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889144"/>
    <w:bookmarkStart w:id="1" w:name="_Hlk146182646"/>
    <w:p w14:paraId="5F847321" w14:textId="1C7658DB" w:rsidR="000676EF" w:rsidRDefault="00000000" w:rsidP="000676EF">
      <w:pPr>
        <w:pStyle w:val="Ttulo"/>
      </w:pPr>
      <w:sdt>
        <w:sdtPr>
          <w:rPr>
            <w:i/>
            <w:u w:val="single"/>
          </w:rPr>
          <w:alias w:val="Title"/>
          <w:tag w:val=""/>
          <w:id w:val="-780801520"/>
          <w:placeholder>
            <w:docPart w:val="6FA0EA368EED4FDD93EF72F658AEB97D"/>
          </w:placeholder>
          <w:dataBinding w:prefixMappings="xmlns:ns0='http://purl.org/dc/elements/1.1/' xmlns:ns1='http://schemas.openxmlformats.org/package/2006/metadata/core-properties' " w:xpath="/ns1:coreProperties[1]/ns0:title[1]" w:storeItemID="{6C3C8BC8-F283-45AE-878A-BAB7291924A1}"/>
          <w:text/>
        </w:sdtPr>
        <w:sdtContent>
          <w:r w:rsidR="000676EF">
            <w:rPr>
              <w:i/>
              <w:u w:val="single"/>
            </w:rPr>
            <w:t>4.B.11</w:t>
          </w:r>
        </w:sdtContent>
      </w:sdt>
      <w:r w:rsidR="000676EF">
        <w:t xml:space="preserve"> :</w:t>
      </w:r>
      <w:r w:rsidR="000676EF" w:rsidRPr="004C0C34">
        <w:t xml:space="preserve"> </w:t>
      </w:r>
      <w:sdt>
        <w:sdtPr>
          <w:alias w:val="Subject"/>
          <w:tag w:val=""/>
          <w:id w:val="-1903059896"/>
          <w:placeholder>
            <w:docPart w:val="6AD80325C59C4F11A0A348C6B9448365"/>
          </w:placeholder>
          <w:dataBinding w:prefixMappings="xmlns:ns0='http://purl.org/dc/elements/1.1/' xmlns:ns1='http://schemas.openxmlformats.org/package/2006/metadata/core-properties' " w:xpath="/ns1:coreProperties[1]/ns0:subject[1]" w:storeItemID="{6C3C8BC8-F283-45AE-878A-BAB7291924A1}"/>
          <w:text/>
        </w:sdtPr>
        <w:sdtContent>
          <w:r w:rsidR="000676EF">
            <w:t>Imposición y oferta. Efectos incentivo de los impuestos.</w:t>
          </w:r>
        </w:sdtContent>
      </w:sdt>
    </w:p>
    <w:p w14:paraId="2AA32671" w14:textId="0759950F" w:rsidR="0088491C" w:rsidRPr="0088491C" w:rsidRDefault="0088491C" w:rsidP="0088491C">
      <w:pPr>
        <w:pStyle w:val="Notaalopositor"/>
      </w:pPr>
      <w:r>
        <w:t>En este documento estaría bien m</w:t>
      </w:r>
      <w:r w:rsidR="008E78D2">
        <w:t>ejorar el apartado del fraude fiscal, desarrollar un poco el reparto de dividendos.</w:t>
      </w:r>
    </w:p>
    <w:bookmarkEnd w:id="0"/>
    <w:bookmarkEnd w:id="1"/>
    <w:p w14:paraId="2ED4E533" w14:textId="77777777" w:rsidR="000676EF" w:rsidRDefault="000676EF" w:rsidP="000676EF">
      <w:pPr>
        <w:pStyle w:val="Introduccinyconclusin"/>
      </w:pPr>
      <w:r>
        <w:t>INTRODUCCION</w:t>
      </w:r>
    </w:p>
    <w:p w14:paraId="38699F2F" w14:textId="77777777" w:rsidR="000676EF" w:rsidRDefault="000676EF" w:rsidP="000676EF">
      <w:pPr>
        <w:pStyle w:val="Nivel1"/>
        <w:keepNext/>
        <w:spacing w:before="0" w:after="0"/>
      </w:pPr>
      <w:bookmarkStart w:id="2" w:name="_Hlk146444314"/>
      <w:r>
        <w:rPr>
          <w:b/>
          <w:bCs/>
          <w:i/>
          <w:iCs/>
        </w:rPr>
        <w:t>Enganche</w:t>
      </w:r>
      <w:r>
        <w:t>:</w:t>
      </w:r>
    </w:p>
    <w:p w14:paraId="470C96C1" w14:textId="77777777" w:rsidR="000676EF" w:rsidRPr="008D01A5" w:rsidRDefault="000676EF" w:rsidP="000676EF">
      <w:pPr>
        <w:pStyle w:val="Nivel2"/>
        <w:keepNext/>
        <w:spacing w:after="0"/>
        <w:rPr>
          <w:rStyle w:val="Hipervnculo"/>
          <w:color w:val="auto"/>
        </w:rPr>
      </w:pPr>
      <w:bookmarkStart w:id="3"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49004B4C" w14:textId="77777777" w:rsidR="000676EF" w:rsidRPr="008D01A5" w:rsidRDefault="000676EF" w:rsidP="000676EF">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4" w:name="_Hlk99365893"/>
      <w:r w:rsidRPr="008D01A5">
        <w:rPr>
          <w:rStyle w:val="Refdenotaalpie"/>
        </w:rPr>
        <w:footnoteReference w:id="2"/>
      </w:r>
      <w:bookmarkEnd w:id="4"/>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3"/>
    <w:p w14:paraId="2B556CA4" w14:textId="77777777" w:rsidR="000676EF" w:rsidRPr="00492C10" w:rsidRDefault="000676EF" w:rsidP="000676EF">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073594BE" w14:textId="77777777" w:rsidR="000676EF" w:rsidRPr="002A08C4" w:rsidRDefault="000676EF" w:rsidP="000676EF">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2D97E33D" w14:textId="77777777" w:rsidR="000676EF" w:rsidRDefault="000676EF" w:rsidP="000676EF">
      <w:pPr>
        <w:pStyle w:val="Nivel2"/>
        <w:keepNext/>
        <w:spacing w:after="0"/>
      </w:pPr>
      <w:r>
        <w:t xml:space="preserve">La </w:t>
      </w:r>
      <w:r>
        <w:rPr>
          <w:b/>
          <w:bCs/>
        </w:rPr>
        <w:t>economía del bienestar</w:t>
      </w:r>
      <w:r>
        <w:t xml:space="preserve"> está ligada a este enfoque normativo.</w:t>
      </w:r>
    </w:p>
    <w:p w14:paraId="36F56710" w14:textId="77777777" w:rsidR="000676EF" w:rsidRDefault="000676EF" w:rsidP="000676EF">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7F7FAAB9" w14:textId="77777777" w:rsidR="000676EF" w:rsidRDefault="000676EF" w:rsidP="000676EF">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5FC57A35" w14:textId="77777777" w:rsidR="000676EF" w:rsidRDefault="000676EF" w:rsidP="000676EF">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35EE3EF6" w14:textId="77777777" w:rsidR="000676EF" w:rsidRDefault="000676EF" w:rsidP="000676EF">
      <w:pPr>
        <w:pStyle w:val="Nivel1"/>
        <w:keepNext/>
        <w:spacing w:after="0"/>
      </w:pPr>
      <w:r>
        <w:rPr>
          <w:b/>
          <w:bCs/>
          <w:i/>
          <w:iCs/>
        </w:rPr>
        <w:t>Relevancia</w:t>
      </w:r>
      <w:r>
        <w:t>:</w:t>
      </w:r>
    </w:p>
    <w:p w14:paraId="0FF238F0" w14:textId="77777777" w:rsidR="000676EF" w:rsidRDefault="000676EF" w:rsidP="000676EF">
      <w:pPr>
        <w:pStyle w:val="Nivel2"/>
        <w:keepNext/>
        <w:spacing w:after="0"/>
      </w:pPr>
      <w:r w:rsidRPr="00516674">
        <w:t>La comparación de diferentes alternativas es algo vital, ya que nos permite</w:t>
      </w:r>
      <w:r>
        <w:t>:</w:t>
      </w:r>
    </w:p>
    <w:p w14:paraId="5A7F134C" w14:textId="77777777" w:rsidR="000676EF" w:rsidRPr="002A08C4" w:rsidRDefault="000676EF" w:rsidP="000676EF">
      <w:pPr>
        <w:pStyle w:val="Nivel3"/>
        <w:rPr>
          <w:spacing w:val="-1"/>
        </w:rPr>
      </w:pPr>
      <w:r w:rsidRPr="002A08C4">
        <w:rPr>
          <w:spacing w:val="-1"/>
        </w:rPr>
        <w:t>Por un lado, valorar si el resultado al que conduce un sistema económico es apropiado o mejorable.</w:t>
      </w:r>
    </w:p>
    <w:p w14:paraId="581428B8" w14:textId="77777777" w:rsidR="000676EF" w:rsidRPr="002A08C4" w:rsidRDefault="000676EF" w:rsidP="000676EF">
      <w:pPr>
        <w:pStyle w:val="Nivel3"/>
        <w:rPr>
          <w:spacing w:val="-5"/>
        </w:rPr>
      </w:pPr>
      <w:r w:rsidRPr="002A08C4">
        <w:rPr>
          <w:spacing w:val="-5"/>
        </w:rPr>
        <w:t>Por otro lado, valorar si una política económica que cambie la situación inicial es deseable.</w:t>
      </w:r>
    </w:p>
    <w:p w14:paraId="186AFA15" w14:textId="77777777" w:rsidR="000676EF" w:rsidRDefault="000676EF" w:rsidP="000676EF">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5B08A5EF" w14:textId="77777777" w:rsidR="000676EF" w:rsidRDefault="000676EF" w:rsidP="000676EF">
      <w:pPr>
        <w:pStyle w:val="Nivel3"/>
      </w:pPr>
      <w:r>
        <w:t xml:space="preserve">Por ello, la economía del bienestar forma parte del “corazón” de la ciencia económica y como tal, debe ocupar un lugar preeminente en la formación de un economista y más aún de un </w:t>
      </w:r>
      <w:proofErr w:type="spellStart"/>
      <w:r>
        <w:rPr>
          <w:i/>
          <w:iCs/>
        </w:rPr>
        <w:t>policy-maker</w:t>
      </w:r>
      <w:proofErr w:type="spellEnd"/>
      <w:r>
        <w:t>.</w:t>
      </w:r>
    </w:p>
    <w:p w14:paraId="75D2A567" w14:textId="77777777" w:rsidR="000676EF" w:rsidRDefault="000676EF" w:rsidP="000676EF">
      <w:pPr>
        <w:pStyle w:val="Nivel1"/>
        <w:keepNext/>
        <w:spacing w:after="0"/>
      </w:pPr>
      <w:r>
        <w:rPr>
          <w:b/>
          <w:bCs/>
          <w:i/>
          <w:iCs/>
        </w:rPr>
        <w:t>Contextualización</w:t>
      </w:r>
      <w:r>
        <w:t>:</w:t>
      </w:r>
    </w:p>
    <w:p w14:paraId="2D20499E" w14:textId="77777777" w:rsidR="000676EF" w:rsidRDefault="000676EF" w:rsidP="000676EF">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4AB50D23" w14:textId="77777777" w:rsidR="000676EF" w:rsidRDefault="000676EF" w:rsidP="000676EF">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1EC5D048" w14:textId="77777777" w:rsidR="000676EF" w:rsidRDefault="000676EF" w:rsidP="000676EF">
      <w:pPr>
        <w:pStyle w:val="Prrafodelista"/>
        <w:keepNext/>
        <w:numPr>
          <w:ilvl w:val="0"/>
          <w:numId w:val="43"/>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25D42875" w14:textId="77777777" w:rsidR="000676EF" w:rsidRPr="00FE0B31" w:rsidRDefault="000676EF" w:rsidP="000676EF">
      <w:pPr>
        <w:pStyle w:val="Prrafodelista"/>
        <w:keepNext/>
        <w:numPr>
          <w:ilvl w:val="0"/>
          <w:numId w:val="43"/>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5720E339" w14:textId="77777777" w:rsidR="000676EF" w:rsidRDefault="000676EF" w:rsidP="000676EF">
      <w:pPr>
        <w:pStyle w:val="Prrafodelista"/>
        <w:keepNext/>
        <w:numPr>
          <w:ilvl w:val="0"/>
          <w:numId w:val="43"/>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23B9EFEE" w14:textId="77777777" w:rsidR="000676EF" w:rsidRDefault="000676EF" w:rsidP="000676EF">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2F36385B" w14:textId="77777777" w:rsidR="000676EF" w:rsidRDefault="000676EF" w:rsidP="000676EF">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4E1CCC0E" w14:textId="77777777" w:rsidR="000676EF" w:rsidRDefault="000676EF" w:rsidP="000676EF">
      <w:pPr>
        <w:pStyle w:val="Nivel2"/>
        <w:keepNext/>
        <w:spacing w:after="0"/>
      </w:pPr>
      <w:r>
        <w:t>Para conseguir sus objetivos de eficiencia, equidad y estabilización el sector público actúa básicamente de 2 formas:</w:t>
      </w:r>
    </w:p>
    <w:p w14:paraId="41CD1C7D" w14:textId="77777777" w:rsidR="000676EF" w:rsidRDefault="000676EF" w:rsidP="000676EF">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74CAB45C" w14:textId="77777777" w:rsidR="000676EF" w:rsidRPr="001742A5" w:rsidRDefault="000676EF" w:rsidP="000676EF">
      <w:pPr>
        <w:pStyle w:val="Nivel3"/>
        <w:keepNext/>
      </w:pPr>
      <w:r w:rsidRPr="000A6812">
        <w:rPr>
          <w:i/>
          <w:iCs/>
        </w:rPr>
        <w:t>Actividades financieras</w:t>
      </w:r>
      <w:r>
        <w:t>:</w:t>
      </w:r>
    </w:p>
    <w:p w14:paraId="1F761C2B" w14:textId="77777777" w:rsidR="000676EF" w:rsidRDefault="000676EF" w:rsidP="000676EF">
      <w:pPr>
        <w:pStyle w:val="Nivel4"/>
      </w:pPr>
      <w:r>
        <w:t>La realización de gastos asociados a las funciones del sector público.</w:t>
      </w:r>
    </w:p>
    <w:p w14:paraId="11236315" w14:textId="77777777" w:rsidR="000676EF" w:rsidRDefault="000676EF" w:rsidP="000676EF">
      <w:pPr>
        <w:pStyle w:val="Nivel4"/>
      </w:pPr>
      <w:r>
        <w:t>La obtención de los ingresos necesarios para hacer frente a esos gastos.</w:t>
      </w:r>
    </w:p>
    <w:p w14:paraId="159CDEB8" w14:textId="77777777" w:rsidR="000676EF" w:rsidRDefault="000676EF" w:rsidP="000676EF">
      <w:pPr>
        <w:pStyle w:val="Nivel1"/>
        <w:keepNext/>
        <w:spacing w:after="0"/>
      </w:pPr>
      <w:r>
        <w:rPr>
          <w:b/>
          <w:bCs/>
          <w:i/>
          <w:iCs/>
        </w:rPr>
        <w:t>Problemática</w:t>
      </w:r>
      <w:r>
        <w:t>:</w:t>
      </w:r>
    </w:p>
    <w:p w14:paraId="3E18F443" w14:textId="11EB6E5C" w:rsidR="000676EF" w:rsidRDefault="000676EF" w:rsidP="000676EF">
      <w:pPr>
        <w:pStyle w:val="Nivel2"/>
      </w:pPr>
      <w:r>
        <w:t xml:space="preserve">El objetivo de esta exposición será llevar a cabo un análisis algo más en profundidad de los impuestos </w:t>
      </w:r>
      <w:r w:rsidRPr="00AF672D">
        <w:rPr>
          <w:sz w:val="19"/>
          <w:szCs w:val="19"/>
        </w:rPr>
        <w:t>(cuya relevancia se refleja en un dato: suponen entorno al 90</w:t>
      </w:r>
      <w:r w:rsidR="00A643D1">
        <w:rPr>
          <w:sz w:val="19"/>
          <w:szCs w:val="19"/>
        </w:rPr>
        <w:t> %</w:t>
      </w:r>
      <w:r w:rsidRPr="00AF672D">
        <w:rPr>
          <w:sz w:val="19"/>
          <w:szCs w:val="19"/>
        </w:rPr>
        <w:t xml:space="preserve"> de los ingresos para países de la OCDE)</w:t>
      </w:r>
      <w:r>
        <w:t xml:space="preserve"> y concretamente de los efectos incentivo de los impuestos.</w:t>
      </w:r>
    </w:p>
    <w:p w14:paraId="5E5F89C0" w14:textId="77777777" w:rsidR="000676EF" w:rsidRDefault="000676EF" w:rsidP="000676EF">
      <w:pPr>
        <w:pStyle w:val="Nivel1"/>
        <w:keepNext/>
        <w:spacing w:after="0"/>
      </w:pPr>
      <w:r>
        <w:rPr>
          <w:b/>
          <w:bCs/>
          <w:i/>
          <w:iCs/>
        </w:rPr>
        <w:lastRenderedPageBreak/>
        <w:t>Estructura</w:t>
      </w:r>
      <w:r>
        <w:t>:</w:t>
      </w:r>
    </w:p>
    <w:tbl>
      <w:tblPr>
        <w:tblStyle w:val="Tablaconcuadrcula"/>
        <w:tblW w:w="9354" w:type="dxa"/>
        <w:tblInd w:w="846" w:type="dxa"/>
        <w:tblLook w:val="04A0" w:firstRow="1" w:lastRow="0" w:firstColumn="1" w:lastColumn="0" w:noHBand="0" w:noVBand="1"/>
      </w:tblPr>
      <w:tblGrid>
        <w:gridCol w:w="9354"/>
      </w:tblGrid>
      <w:tr w:rsidR="000676EF" w14:paraId="6A943D85" w14:textId="77777777" w:rsidTr="00B1421A">
        <w:trPr>
          <w:hidden/>
        </w:trPr>
        <w:tc>
          <w:tcPr>
            <w:tcW w:w="9354"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4090C5A" w14:textId="77777777" w:rsidR="000676EF" w:rsidRPr="009D35BA" w:rsidRDefault="000676EF" w:rsidP="000676EF">
      <w:r>
        <w:br w:type="page"/>
      </w:r>
    </w:p>
    <w:p w14:paraId="24594AE1" w14:textId="645F35F6" w:rsidR="00CF301C" w:rsidRDefault="009E1B0A" w:rsidP="009E1B0A">
      <w:pPr>
        <w:pStyle w:val="Ttulo1"/>
      </w:pPr>
      <w:bookmarkStart w:id="5" w:name="_Toc149220456"/>
      <w:bookmarkEnd w:id="2"/>
      <w:r>
        <w:rPr>
          <w:caps w:val="0"/>
        </w:rPr>
        <w:lastRenderedPageBreak/>
        <w:t xml:space="preserve">EFECTOS INCENTIVO </w:t>
      </w:r>
      <w:r w:rsidRPr="00AD3498">
        <w:rPr>
          <w:caps w:val="0"/>
        </w:rPr>
        <w:t xml:space="preserve">SOBRE </w:t>
      </w:r>
      <w:r>
        <w:rPr>
          <w:caps w:val="0"/>
        </w:rPr>
        <w:t>LAS DECISIONES DE LOS HOGARES</w:t>
      </w:r>
      <w:bookmarkEnd w:id="5"/>
    </w:p>
    <w:p w14:paraId="49FF8B7D" w14:textId="128DCFC1" w:rsidR="00946480" w:rsidRPr="00AD3498" w:rsidRDefault="00CF301C" w:rsidP="009E1B0A">
      <w:pPr>
        <w:pStyle w:val="Ttulo2"/>
      </w:pPr>
      <w:bookmarkStart w:id="6" w:name="_Toc149220457"/>
      <w:r>
        <w:t xml:space="preserve">Efectos incentivo sobre </w:t>
      </w:r>
      <w:r w:rsidRPr="00AD3498">
        <w:t>la oferta de trabajo</w:t>
      </w:r>
      <w:bookmarkEnd w:id="6"/>
    </w:p>
    <w:p w14:paraId="550A5194" w14:textId="11EE77F6" w:rsidR="000454A5" w:rsidRPr="00AD3498" w:rsidRDefault="000454A5" w:rsidP="004E6F3F">
      <w:pPr>
        <w:pStyle w:val="Ttulo3"/>
        <w:spacing w:before="0"/>
      </w:pPr>
      <w:bookmarkStart w:id="7" w:name="_Toc149220458"/>
      <w:r w:rsidRPr="00AD3498">
        <w:t>Idea</w:t>
      </w:r>
      <w:bookmarkEnd w:id="7"/>
    </w:p>
    <w:p w14:paraId="07E8773B" w14:textId="77777777" w:rsidR="00662E12" w:rsidRPr="00AD3498" w:rsidRDefault="00EE0E16" w:rsidP="00DD1512">
      <w:pPr>
        <w:pStyle w:val="Nivel1SM"/>
        <w:spacing w:before="0"/>
      </w:pPr>
      <w:r w:rsidRPr="00EE0E16">
        <w:t xml:space="preserve">Empezamos analizando los efectos de los impuestos sobre la </w:t>
      </w:r>
      <w:r w:rsidRPr="00DD1512">
        <w:rPr>
          <w:b/>
          <w:bCs/>
        </w:rPr>
        <w:t>oferta de trabajo</w:t>
      </w:r>
      <w:r w:rsidRPr="00EE0E16">
        <w:t>. Para ello vamos a analizar en primer lugar el equilibrio en ausencia de impuestos</w:t>
      </w:r>
      <w:r>
        <w:t xml:space="preserve"> para posteriormente ver los efectos que tiene la imposición de estos sobre la oferta de trabajo de los agentes</w:t>
      </w:r>
      <w:r w:rsidR="000454A5" w:rsidRPr="00AD3498">
        <w:t>.</w:t>
      </w:r>
    </w:p>
    <w:p w14:paraId="41A396F3" w14:textId="375EB569" w:rsidR="009E1B0A" w:rsidRDefault="009E1B0A" w:rsidP="009E1B0A">
      <w:pPr>
        <w:pStyle w:val="Ttulo3"/>
      </w:pPr>
      <w:bookmarkStart w:id="8" w:name="_Toc149220459"/>
      <w:r>
        <w:t>Modelo</w:t>
      </w:r>
      <w:bookmarkEnd w:id="8"/>
    </w:p>
    <w:p w14:paraId="0B08F5F4" w14:textId="77777777" w:rsidR="009E1B0A" w:rsidRDefault="009E1B0A" w:rsidP="004E6F3F">
      <w:pPr>
        <w:pStyle w:val="Ttulo6"/>
        <w:spacing w:before="0"/>
      </w:pPr>
      <w:bookmarkStart w:id="9" w:name="_Toc149220460"/>
      <w:r>
        <w:t>Supuestos</w:t>
      </w:r>
      <w:bookmarkEnd w:id="9"/>
    </w:p>
    <w:p w14:paraId="4E66AB5D" w14:textId="77777777" w:rsidR="004E6F3F" w:rsidRDefault="004E6F3F" w:rsidP="004E6F3F">
      <w:pPr>
        <w:pStyle w:val="Nivel2SM"/>
        <w:keepNext/>
        <w:spacing w:after="0"/>
      </w:pPr>
      <w:r>
        <w:t xml:space="preserve">Partiremos de la modelización neoclásica del mercado de trabajo con un agente representativo </w:t>
      </w:r>
      <w:r w:rsidRPr="004E6F3F">
        <w:rPr>
          <w:color w:val="767171" w:themeColor="background2" w:themeShade="80"/>
          <w:sz w:val="19"/>
          <w:szCs w:val="19"/>
        </w:rPr>
        <w:t>[</w:t>
      </w:r>
      <w:r>
        <w:rPr>
          <w:color w:val="767171" w:themeColor="background2" w:themeShade="80"/>
          <w:sz w:val="19"/>
          <w:szCs w:val="19"/>
        </w:rPr>
        <w:t>ver tema 3.A.18</w:t>
      </w:r>
      <w:r w:rsidRPr="004E6F3F">
        <w:rPr>
          <w:color w:val="767171" w:themeColor="background2" w:themeShade="80"/>
          <w:sz w:val="19"/>
          <w:szCs w:val="19"/>
        </w:rPr>
        <w:t>]</w:t>
      </w:r>
      <w:r>
        <w:rPr>
          <w:color w:val="767171" w:themeColor="background2" w:themeShade="80"/>
          <w:sz w:val="19"/>
          <w:szCs w:val="19"/>
        </w:rPr>
        <w:t xml:space="preserve">. </w:t>
      </w:r>
      <w:r>
        <w:t xml:space="preserve">Para ello, partiremos de los </w:t>
      </w:r>
      <w:r w:rsidRPr="00DB58E4">
        <w:rPr>
          <w:b/>
          <w:bCs/>
        </w:rPr>
        <w:t>supuestos</w:t>
      </w:r>
      <w:r>
        <w:t xml:space="preserve"> habituales de la teoría neoclásica:</w:t>
      </w:r>
    </w:p>
    <w:p w14:paraId="53C8EA1F" w14:textId="77777777" w:rsidR="004E6F3F" w:rsidRDefault="004E6F3F" w:rsidP="004E6F3F">
      <w:pPr>
        <w:pStyle w:val="Prrafodelista"/>
        <w:numPr>
          <w:ilvl w:val="0"/>
          <w:numId w:val="45"/>
        </w:numPr>
        <w:spacing w:after="0"/>
        <w:ind w:left="1134" w:hanging="113"/>
      </w:pPr>
      <w:r>
        <w:t>Competencia perfecta en los mercados de bienes y de factores productivos;</w:t>
      </w:r>
    </w:p>
    <w:p w14:paraId="4BB98A09" w14:textId="27F15B54" w:rsidR="00C91B45" w:rsidRDefault="00C91B45" w:rsidP="004E6F3F">
      <w:pPr>
        <w:pStyle w:val="Prrafodelista"/>
        <w:numPr>
          <w:ilvl w:val="0"/>
          <w:numId w:val="45"/>
        </w:numPr>
        <w:spacing w:after="0"/>
        <w:ind w:left="1134" w:hanging="113"/>
      </w:pPr>
      <w:r>
        <w:t>Racionalidad de las empresas y los individuos</w:t>
      </w:r>
      <w:r w:rsidRPr="004E6F3F">
        <w:rPr>
          <w:sz w:val="19"/>
          <w:szCs w:val="19"/>
        </w:rPr>
        <w:t xml:space="preserve"> (i.e. buscan maximizar su bienestar)</w:t>
      </w:r>
      <w:r>
        <w:t>.</w:t>
      </w:r>
    </w:p>
    <w:p w14:paraId="0078012A" w14:textId="16D164CD" w:rsidR="00C91B45" w:rsidRDefault="00C91B45" w:rsidP="004E6F3F">
      <w:pPr>
        <w:pStyle w:val="Prrafodelista"/>
        <w:numPr>
          <w:ilvl w:val="0"/>
          <w:numId w:val="45"/>
        </w:numPr>
        <w:spacing w:after="0"/>
        <w:ind w:left="1134" w:hanging="113"/>
      </w:pPr>
      <w:r>
        <w:t>Información perfecta;</w:t>
      </w:r>
    </w:p>
    <w:p w14:paraId="1AFBD461" w14:textId="4A0F3F4A" w:rsidR="00C91B45" w:rsidRDefault="00C91B45" w:rsidP="004E6F3F">
      <w:pPr>
        <w:pStyle w:val="Prrafodelista"/>
        <w:numPr>
          <w:ilvl w:val="0"/>
          <w:numId w:val="45"/>
        </w:numPr>
        <w:spacing w:after="0"/>
        <w:ind w:left="1134" w:hanging="113"/>
      </w:pPr>
      <w:r>
        <w:t>Homogeneidad del factor trabajo;</w:t>
      </w:r>
    </w:p>
    <w:p w14:paraId="30042C27" w14:textId="6BF92257" w:rsidR="00C91B45" w:rsidRDefault="00C91B45" w:rsidP="004E6F3F">
      <w:pPr>
        <w:pStyle w:val="Prrafodelista"/>
        <w:numPr>
          <w:ilvl w:val="0"/>
          <w:numId w:val="45"/>
        </w:numPr>
        <w:spacing w:after="0"/>
        <w:ind w:left="1134" w:hanging="113"/>
      </w:pPr>
      <w:r>
        <w:t xml:space="preserve">Los agentes son precio-aceptantes </w:t>
      </w:r>
      <w:r w:rsidRPr="004E6F3F">
        <w:rPr>
          <w:sz w:val="19"/>
          <w:szCs w:val="19"/>
        </w:rPr>
        <w:t>(i.e. toman los precios como dados y son conscientes de que sus acciones individuales no afectan a los precios de los productos</w:t>
      </w:r>
      <w:r>
        <w:rPr>
          <w:rStyle w:val="Refdenotaalpie"/>
          <w:sz w:val="19"/>
          <w:szCs w:val="19"/>
        </w:rPr>
        <w:footnoteReference w:id="6"/>
      </w:r>
      <w:r w:rsidRPr="004E6F3F">
        <w:rPr>
          <w:sz w:val="19"/>
          <w:szCs w:val="19"/>
        </w:rPr>
        <w:t>)</w:t>
      </w:r>
      <w:r w:rsidR="007A0412">
        <w:t>;</w:t>
      </w:r>
    </w:p>
    <w:p w14:paraId="5DCA9135" w14:textId="1AC67D17" w:rsidR="004E6F3F" w:rsidRDefault="004E6F3F" w:rsidP="004E6F3F">
      <w:pPr>
        <w:pStyle w:val="Prrafodelista"/>
        <w:numPr>
          <w:ilvl w:val="0"/>
          <w:numId w:val="45"/>
        </w:numPr>
        <w:spacing w:after="0"/>
        <w:ind w:left="1134" w:hanging="113"/>
      </w:pPr>
      <w:r>
        <w:t>Plena flexibilidad de precios y salarios;</w:t>
      </w:r>
    </w:p>
    <w:p w14:paraId="3F319850" w14:textId="4A22741E" w:rsidR="004E6F3F" w:rsidRDefault="004E6F3F" w:rsidP="004E6F3F">
      <w:pPr>
        <w:pStyle w:val="Prrafodelista"/>
        <w:numPr>
          <w:ilvl w:val="0"/>
          <w:numId w:val="45"/>
        </w:numPr>
        <w:spacing w:after="0"/>
        <w:ind w:left="1134" w:hanging="113"/>
      </w:pPr>
      <w:r>
        <w:t>Perfecta movilidad del trabajo;</w:t>
      </w:r>
      <w:r w:rsidR="007A0412">
        <w:t xml:space="preserve"> y</w:t>
      </w:r>
    </w:p>
    <w:p w14:paraId="5DEE0B55" w14:textId="22B67952" w:rsidR="004E6F3F" w:rsidRDefault="004E6F3F" w:rsidP="004E6F3F">
      <w:pPr>
        <w:pStyle w:val="Prrafodelista"/>
        <w:numPr>
          <w:ilvl w:val="0"/>
          <w:numId w:val="45"/>
        </w:numPr>
        <w:spacing w:after="0"/>
        <w:ind w:left="1134" w:hanging="113"/>
      </w:pPr>
      <w:r>
        <w:t>Ausencia de externalidades y bienes públicos</w:t>
      </w:r>
      <w:r w:rsidR="007A0412">
        <w:t>.</w:t>
      </w:r>
    </w:p>
    <w:p w14:paraId="22E390E5" w14:textId="7AD58E05" w:rsidR="009E1B0A" w:rsidRDefault="009E1B0A" w:rsidP="00CF301C">
      <w:pPr>
        <w:pStyle w:val="Ttulo6"/>
      </w:pPr>
      <w:bookmarkStart w:id="10" w:name="_Toc149220461"/>
      <w:r>
        <w:t>Desarrollo</w:t>
      </w:r>
      <w:bookmarkEnd w:id="10"/>
    </w:p>
    <w:p w14:paraId="43B403BF" w14:textId="47625855" w:rsidR="000454A5" w:rsidRPr="00AD3498" w:rsidRDefault="000454A5" w:rsidP="009E1B0A">
      <w:pPr>
        <w:pStyle w:val="Ttulo7"/>
        <w:spacing w:before="0"/>
      </w:pPr>
      <w:bookmarkStart w:id="11" w:name="_Toc149220462"/>
      <w:r w:rsidRPr="00AD3498">
        <w:t xml:space="preserve">Escenario inicial: Elección </w:t>
      </w:r>
      <w:r w:rsidR="00E048D8">
        <w:t>consumo</w:t>
      </w:r>
      <w:r w:rsidRPr="00AD3498">
        <w:t>-ocio del consumidor sin impuestos</w:t>
      </w:r>
      <w:bookmarkEnd w:id="11"/>
    </w:p>
    <w:p w14:paraId="2AD1B146" w14:textId="77777777" w:rsidR="004E6F3F" w:rsidRPr="00C14095" w:rsidRDefault="004E6F3F" w:rsidP="004E6F3F">
      <w:pPr>
        <w:pStyle w:val="Nivel1SM"/>
        <w:keepNext/>
        <w:spacing w:before="0" w:after="0"/>
        <w:rPr>
          <w:spacing w:val="-1"/>
        </w:rPr>
      </w:pPr>
      <w:r w:rsidRPr="00C14095">
        <w:rPr>
          <w:spacing w:val="-1"/>
        </w:rPr>
        <w:t xml:space="preserve">Existe un </w:t>
      </w:r>
      <w:proofErr w:type="spellStart"/>
      <w:r w:rsidRPr="00C14095">
        <w:rPr>
          <w:i/>
          <w:spacing w:val="-1"/>
        </w:rPr>
        <w:t>trade</w:t>
      </w:r>
      <w:proofErr w:type="spellEnd"/>
      <w:r w:rsidRPr="00C14095">
        <w:rPr>
          <w:i/>
          <w:spacing w:val="-1"/>
        </w:rPr>
        <w:t>-off</w:t>
      </w:r>
      <w:r w:rsidRPr="00C14095">
        <w:rPr>
          <w:spacing w:val="-1"/>
        </w:rPr>
        <w:t xml:space="preserve"> entre consumo y ocio representado mediante la </w:t>
      </w:r>
      <w:r w:rsidRPr="00C14095">
        <w:rPr>
          <w:b/>
          <w:bCs/>
          <w:spacing w:val="-1"/>
        </w:rPr>
        <w:t>función de utilidad</w:t>
      </w:r>
      <w:r w:rsidRPr="00C14095">
        <w:rPr>
          <w:spacing w:val="-1"/>
        </w:rPr>
        <w:t xml:space="preserve"> de cada agente,</w:t>
      </w:r>
    </w:p>
    <w:p w14:paraId="498A8972" w14:textId="77777777" w:rsidR="004E6F3F" w:rsidRDefault="004E6F3F" w:rsidP="004E6F3F">
      <w:pPr>
        <w:pStyle w:val="Nivel1SM"/>
        <w:keepNext/>
        <w:numPr>
          <w:ilvl w:val="0"/>
          <w:numId w:val="0"/>
        </w:numPr>
        <w:spacing w:before="0" w:after="0"/>
      </w:pPr>
      <m:oMathPara>
        <m:oMath>
          <m:r>
            <w:rPr>
              <w:rFonts w:ascii="Cambria Math" w:eastAsiaTheme="minorEastAsia" w:hAnsi="Cambria Math"/>
            </w:rPr>
            <m:t xml:space="preserve"> </m:t>
          </m:r>
          <m:r>
            <m:rPr>
              <m:nor/>
            </m:rPr>
            <w:rPr>
              <w:i/>
            </w:rPr>
            <m:t>U</m:t>
          </m:r>
          <m:d>
            <m:dPr>
              <m:ctrlPr>
                <w:rPr>
                  <w:rFonts w:ascii="Cambria Math" w:hAnsi="Cambria Math"/>
                  <w:i/>
                </w:rPr>
              </m:ctrlPr>
            </m:dPr>
            <m:e>
              <m:r>
                <m:rPr>
                  <m:nor/>
                </m:rPr>
                <w:rPr>
                  <w:i/>
                </w:rPr>
                <m:t>C,</m:t>
              </m:r>
              <m:r>
                <m:rPr>
                  <m:nor/>
                </m:rPr>
                <w:rPr>
                  <w:rFonts w:ascii="Cambria Math"/>
                  <w:i/>
                </w:rPr>
                <m:t xml:space="preserve"> </m:t>
              </m:r>
              <m:r>
                <m:rPr>
                  <m:nor/>
                </m:rPr>
                <w:rPr>
                  <w:i/>
                </w:rPr>
                <m:t>O</m:t>
              </m:r>
            </m:e>
          </m:d>
          <m:r>
            <m:rPr>
              <m:sty m:val="p"/>
            </m:rPr>
            <w:br/>
          </m:r>
        </m:oMath>
      </m:oMathPara>
      <w:r>
        <w:t xml:space="preserve">donde </w:t>
      </w:r>
      <m:oMath>
        <m:r>
          <m:rPr>
            <m:nor/>
          </m:rPr>
          <w:rPr>
            <w:i/>
          </w:rPr>
          <m:t>C</m:t>
        </m:r>
      </m:oMath>
      <w:r>
        <w:t xml:space="preserve"> representa el consumo de bienes y </w:t>
      </w:r>
      <m:oMath>
        <m:r>
          <m:rPr>
            <m:nor/>
          </m:rPr>
          <w:rPr>
            <w:i/>
          </w:rPr>
          <m:t>O</m:t>
        </m:r>
      </m:oMath>
      <w:r>
        <w:t xml:space="preserve"> el consumo de ocio, donde ambos son considerados bienes, por lo que todos los individuos desean consumir la mayor cantidad de ambos.</w:t>
      </w:r>
    </w:p>
    <w:p w14:paraId="62C7AB09" w14:textId="77777777" w:rsidR="004E6F3F" w:rsidRDefault="004E6F3F" w:rsidP="004E6F3F">
      <w:pPr>
        <w:pStyle w:val="Nivel2SM"/>
      </w:pPr>
      <w:r>
        <w:t xml:space="preserve">Además, se cumplen los </w:t>
      </w:r>
      <w:r w:rsidRPr="00AD4114">
        <w:rPr>
          <w:i/>
          <w:iCs/>
        </w:rPr>
        <w:t>axiomas sobre las preferencias</w:t>
      </w:r>
      <w:r>
        <w:t xml:space="preserve"> que garantizan que la función de utilidad es de buen comportamiento (completitud, reflexividad, transitividad, continuidad, no-saturación, convexidad estricta y diferenciabilidad) </w:t>
      </w:r>
      <w:r w:rsidRPr="00AD4114">
        <w:rPr>
          <w:color w:val="767171" w:themeColor="background2" w:themeShade="80"/>
          <w:sz w:val="19"/>
          <w:szCs w:val="19"/>
        </w:rPr>
        <w:t>[ver tema 3.A.6]</w:t>
      </w:r>
      <w:r>
        <w:t>.</w:t>
      </w:r>
    </w:p>
    <w:p w14:paraId="50718A80" w14:textId="3BA4BF92" w:rsidR="004E6F3F" w:rsidRDefault="004E6F3F" w:rsidP="004E6F3F">
      <w:pPr>
        <w:pStyle w:val="Nivel2SM"/>
      </w:pPr>
      <w:r>
        <w:t xml:space="preserve">Supondremos que </w:t>
      </w:r>
      <w:r>
        <w:rPr>
          <w:i/>
          <w:iCs/>
        </w:rPr>
        <w:t>C</w:t>
      </w:r>
      <w:r>
        <w:t xml:space="preserve"> es un bien normal</w:t>
      </w:r>
      <w:r w:rsidR="002D563C">
        <w:t xml:space="preserve"> y </w:t>
      </w:r>
      <w:r w:rsidR="002D563C">
        <w:rPr>
          <w:i/>
          <w:iCs/>
        </w:rPr>
        <w:t>O</w:t>
      </w:r>
      <w:r w:rsidR="002D563C">
        <w:t xml:space="preserve"> es un bien normal.</w:t>
      </w:r>
    </w:p>
    <w:p w14:paraId="53DBE150" w14:textId="77777777" w:rsidR="004E6F3F" w:rsidRDefault="004E6F3F" w:rsidP="004E6F3F">
      <w:pPr>
        <w:pStyle w:val="Nivel1SM"/>
        <w:keepNext/>
        <w:spacing w:after="0"/>
      </w:pPr>
      <w:r>
        <w:t xml:space="preserve">En cuanto a la </w:t>
      </w:r>
      <w:r>
        <w:rPr>
          <w:b/>
          <w:bCs/>
        </w:rPr>
        <w:t>restricción presupuestaria</w:t>
      </w:r>
      <w:r>
        <w:t>:</w:t>
      </w:r>
    </w:p>
    <w:p w14:paraId="355F969A" w14:textId="77777777" w:rsidR="004E6F3F" w:rsidRPr="00724F4B" w:rsidRDefault="004E6F3F" w:rsidP="004E6F3F">
      <w:pPr>
        <w:pStyle w:val="Nivel2SM"/>
      </w:pPr>
      <w:r>
        <w:t xml:space="preserve">Cada agente dispone de una cantidad total de tiempo, </w:t>
      </w:r>
      <m:oMath>
        <m:sSub>
          <m:sSubPr>
            <m:ctrlPr>
              <w:rPr>
                <w:rFonts w:ascii="Cambria Math" w:hAnsi="Cambria Math"/>
                <w:i/>
              </w:rPr>
            </m:ctrlPr>
          </m:sSubPr>
          <m:e>
            <m:r>
              <m:rPr>
                <m:nor/>
              </m:rPr>
              <w:rPr>
                <w:i/>
              </w:rPr>
              <m:t>O</m:t>
            </m:r>
          </m:e>
          <m:sub>
            <m:r>
              <m:rPr>
                <m:nor/>
              </m:rPr>
              <w:rPr>
                <w:i/>
              </w:rPr>
              <m:t>0</m:t>
            </m:r>
          </m:sub>
        </m:sSub>
      </m:oMath>
      <w:r>
        <w:t xml:space="preserve">, por lo que la cantidad de horas trabajadas viene dada por </w:t>
      </w:r>
      <w:bookmarkStart w:id="12" w:name="_Hlk103504877"/>
      <m:oMath>
        <m:r>
          <m:rPr>
            <m:nor/>
          </m:rPr>
          <w:rPr>
            <w:i/>
          </w:rPr>
          <m:t>L</m:t>
        </m:r>
        <m:r>
          <w:rPr>
            <w:rFonts w:ascii="Cambria Math"/>
          </w:rPr>
          <m:t>=</m:t>
        </m:r>
        <m:sSub>
          <m:sSubPr>
            <m:ctrlPr>
              <w:rPr>
                <w:rFonts w:ascii="Cambria Math" w:hAnsi="Cambria Math"/>
                <w:i/>
              </w:rPr>
            </m:ctrlPr>
          </m:sSubPr>
          <m:e>
            <m:r>
              <m:rPr>
                <m:nor/>
              </m:rPr>
              <w:rPr>
                <w:i/>
              </w:rPr>
              <m:t>O</m:t>
            </m:r>
          </m:e>
          <m:sub>
            <m:r>
              <m:rPr>
                <m:nor/>
              </m:rPr>
              <w:rPr>
                <w:i/>
              </w:rPr>
              <m:t>0</m:t>
            </m:r>
          </m:sub>
        </m:sSub>
        <m:r>
          <w:rPr>
            <w:rFonts w:ascii="Cambria Math" w:hAnsi="Cambria Math"/>
          </w:rPr>
          <m:t>-</m:t>
        </m:r>
        <m:r>
          <m:rPr>
            <m:nor/>
          </m:rPr>
          <w:rPr>
            <w:i/>
          </w:rPr>
          <m:t>O</m:t>
        </m:r>
      </m:oMath>
      <w:bookmarkEnd w:id="12"/>
      <w:r>
        <w:t>.</w:t>
      </w:r>
    </w:p>
    <w:p w14:paraId="2F2151EF" w14:textId="77777777" w:rsidR="004E6F3F" w:rsidRDefault="004E6F3F" w:rsidP="004E6F3F">
      <w:pPr>
        <w:pStyle w:val="Nivel2SM"/>
      </w:pPr>
      <w:r w:rsidRPr="009F053C">
        <w:t xml:space="preserve">El </w:t>
      </w:r>
      <w:r w:rsidRPr="004E6F3F">
        <w:t>individuo</w:t>
      </w:r>
      <w:r w:rsidRPr="009F053C">
        <w:t xml:space="preserve"> recibe un salario </w:t>
      </w:r>
      <m:oMath>
        <m:r>
          <m:rPr>
            <m:nor/>
          </m:rPr>
          <w:rPr>
            <w:i/>
          </w:rPr>
          <m:t>w</m:t>
        </m:r>
      </m:oMath>
      <w:r w:rsidRPr="009F053C">
        <w:t xml:space="preserve"> por cada hora de trabajo y una renta exógena por motivos externos al mercado de trabajo </w:t>
      </w:r>
      <m:oMath>
        <m:r>
          <m:rPr>
            <m:nor/>
          </m:rPr>
          <w:rPr>
            <w:i/>
          </w:rPr>
          <m:t>M</m:t>
        </m:r>
      </m:oMath>
      <w:r w:rsidRPr="009F053C">
        <w:t xml:space="preserve"> (como pueden ser rentas por inversión, transferencias o actividades ilegales)</w:t>
      </w:r>
      <w:r>
        <w:t>.</w:t>
      </w:r>
    </w:p>
    <w:p w14:paraId="4429BB68" w14:textId="627E51CD" w:rsidR="004E6F3F" w:rsidRDefault="004E6F3F" w:rsidP="004E6F3F">
      <w:pPr>
        <w:pStyle w:val="Nivel2SM"/>
        <w:keepNext/>
        <w:spacing w:after="0"/>
        <w:rPr>
          <w:spacing w:val="-2"/>
        </w:rPr>
      </w:pPr>
      <w:r>
        <w:rPr>
          <w:rFonts w:eastAsiaTheme="minorEastAsia"/>
        </w:rPr>
        <w:t xml:space="preserve">Además, el individuo puede destinar su renta al consumo, suponiendo que el precio del consumo </w:t>
      </w:r>
      <m:oMath>
        <m:sSub>
          <m:sSubPr>
            <m:ctrlPr>
              <w:rPr>
                <w:rFonts w:ascii="Cambria Math" w:hAnsi="Cambria Math"/>
                <w:i/>
              </w:rPr>
            </m:ctrlPr>
          </m:sSubPr>
          <m:e>
            <m:r>
              <m:rPr>
                <m:nor/>
              </m:rPr>
              <w:rPr>
                <w:i/>
              </w:rPr>
              <m:t>P</m:t>
            </m:r>
          </m:e>
          <m:sub>
            <m:r>
              <m:rPr>
                <m:nor/>
              </m:rPr>
              <w:rPr>
                <w:i/>
              </w:rPr>
              <m:t>C</m:t>
            </m:r>
          </m:sub>
        </m:sSub>
      </m:oMath>
      <w:r>
        <w:rPr>
          <w:rFonts w:eastAsiaTheme="minorEastAsia"/>
        </w:rPr>
        <w:t xml:space="preserve"> está normalizado a la unidad.</w:t>
      </w:r>
    </w:p>
    <w:p w14:paraId="2C511C4F" w14:textId="77777777" w:rsidR="004E6F3F" w:rsidRPr="009F053C" w:rsidRDefault="004E6F3F" w:rsidP="004E6F3F">
      <w:pPr>
        <w:pStyle w:val="Nivel3SM"/>
      </w:pPr>
      <w:r>
        <w:t>Por lo tanto,</w:t>
      </w:r>
      <w:r w:rsidRPr="009F053C">
        <w:t xml:space="preserve"> su restricción presupuestaria puede ser expresada como:</w:t>
      </w:r>
    </w:p>
    <w:p w14:paraId="3EB7DE69" w14:textId="77777777" w:rsidR="004E6F3F" w:rsidRPr="00724F4B" w:rsidRDefault="00000000" w:rsidP="004E6F3F">
      <w:pPr>
        <w:pStyle w:val="Nivel1"/>
        <w:numPr>
          <w:ilvl w:val="0"/>
          <w:numId w:val="0"/>
        </w:numPr>
        <w:spacing w:before="0" w:after="0"/>
        <w:ind w:left="963"/>
        <w:rPr>
          <w:rFonts w:eastAsiaTheme="minorEastAsia"/>
          <w:i/>
        </w:rPr>
      </w:pPr>
      <m:oMathPara>
        <m:oMath>
          <m:limLow>
            <m:limLowPr>
              <m:ctrlPr>
                <w:rPr>
                  <w:rFonts w:ascii="Cambria Math" w:eastAsiaTheme="minorEastAsia" w:hAnsi="Cambria Math"/>
                  <w:i/>
                  <w:iCs/>
                  <w:color w:val="767171" w:themeColor="background2" w:themeShade="80"/>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r>
            <w:rPr>
              <w:rFonts w:ascii="Cambria Math" w:hAnsi="Cambria Math"/>
              <w:color w:val="767171" w:themeColor="background2" w:themeShade="80"/>
            </w:rPr>
            <m:t>∙</m:t>
          </m:r>
          <m:r>
            <m:rPr>
              <m:nor/>
            </m:rPr>
            <w:rPr>
              <w:i/>
            </w:rPr>
            <m:t>C</m:t>
          </m:r>
          <m:r>
            <w:rPr>
              <w:rFonts w:ascii="Cambria Math" w:hAnsi="Cambria Math"/>
            </w:rPr>
            <m:t>+</m:t>
          </m:r>
          <m:r>
            <m:rPr>
              <m:nor/>
            </m:rPr>
            <w:rPr>
              <w:i/>
            </w:rPr>
            <m:t>w</m:t>
          </m:r>
          <m:r>
            <w:rPr>
              <w:rFonts w:ascii="Cambria Math" w:hAnsi="Cambria Math"/>
            </w:rPr>
            <m:t>∙</m:t>
          </m:r>
          <m:r>
            <m:rPr>
              <m:nor/>
            </m:rPr>
            <w:rPr>
              <w:i/>
              <w:iCs/>
            </w:rPr>
            <m:t>O</m:t>
          </m:r>
          <m:r>
            <w:rPr>
              <w:rFonts w:ascii="Cambria Math" w:hAnsi="Cambria Math"/>
            </w:rPr>
            <m:t>≤</m:t>
          </m:r>
          <m:r>
            <m:rPr>
              <m:nor/>
            </m:rPr>
            <w:rPr>
              <w:i/>
            </w:rPr>
            <m:t>w</m:t>
          </m:r>
          <m:r>
            <w:rPr>
              <w:rFonts w:ascii="Cambria Math" w:hAnsi="Cambria Math"/>
            </w:rPr>
            <m:t>∙</m:t>
          </m:r>
          <m:sSub>
            <m:sSubPr>
              <m:ctrlPr>
                <w:rPr>
                  <w:rFonts w:ascii="Cambria Math" w:hAnsi="Cambria Math"/>
                  <w:i/>
                </w:rPr>
              </m:ctrlPr>
            </m:sSubPr>
            <m:e>
              <m:r>
                <m:rPr>
                  <m:nor/>
                </m:rPr>
                <w:rPr>
                  <w:i/>
                  <w:iCs/>
                </w:rPr>
                <m:t>O</m:t>
              </m:r>
            </m:e>
            <m:sub>
              <m:r>
                <m:rPr>
                  <m:nor/>
                </m:rPr>
                <w:rPr>
                  <w:i/>
                </w:rPr>
                <m:t>0</m:t>
              </m:r>
            </m:sub>
          </m:sSub>
          <m:r>
            <w:rPr>
              <w:rFonts w:ascii="Cambria Math" w:hAnsi="Cambria Math"/>
            </w:rPr>
            <m:t>+</m:t>
          </m:r>
          <m:r>
            <m:rPr>
              <m:nor/>
            </m:rPr>
            <w:rPr>
              <w:i/>
              <w:iCs/>
            </w:rPr>
            <m:t>M</m:t>
          </m:r>
        </m:oMath>
      </m:oMathPara>
    </w:p>
    <w:p w14:paraId="04340311" w14:textId="77777777" w:rsidR="004E6F3F" w:rsidRDefault="004E6F3F" w:rsidP="004E6F3F">
      <w:pPr>
        <w:pStyle w:val="Nivel1SM"/>
        <w:keepNext/>
        <w:spacing w:before="0" w:after="0"/>
      </w:pPr>
      <w:r>
        <w:lastRenderedPageBreak/>
        <w:t>De todos los supuestos anteriores se deriva el problema del agente, que puede ser representado de la siguiente forma</w:t>
      </w:r>
      <w:r>
        <w:rPr>
          <w:rStyle w:val="Refdenotaalpie"/>
        </w:rPr>
        <w:footnoteReference w:id="7"/>
      </w:r>
      <w:r>
        <w:t>:</w:t>
      </w:r>
    </w:p>
    <w:p w14:paraId="5A66681C" w14:textId="77777777" w:rsidR="004E6F3F" w:rsidRPr="00E74F4D" w:rsidRDefault="00000000" w:rsidP="004E6F3F">
      <w:pPr>
        <w:spacing w:after="100"/>
        <w:rPr>
          <w:rFonts w:eastAsiaTheme="minorEastAsia"/>
          <w:i/>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w:proofErr w:type="spellStart"/>
                      <m:r>
                        <m:rPr>
                          <m:nor/>
                        </m:rPr>
                        <w:rPr>
                          <w:i/>
                        </w:rPr>
                        <m:t>max</m:t>
                      </m:r>
                      <w:proofErr w:type="spellEnd"/>
                    </m:e>
                    <m:lim>
                      <m:d>
                        <m:dPr>
                          <m:begChr m:val="{"/>
                          <m:endChr m:val="}"/>
                          <m:ctrlPr>
                            <w:rPr>
                              <w:rFonts w:ascii="Cambria Math" w:hAnsi="Cambria Math"/>
                              <w:i/>
                            </w:rPr>
                          </m:ctrlPr>
                        </m:dPr>
                        <m:e>
                          <m:r>
                            <m:rPr>
                              <m:nor/>
                            </m:rPr>
                            <w:rPr>
                              <w:i/>
                            </w:rPr>
                            <m:t>C,</m:t>
                          </m:r>
                          <m:r>
                            <m:rPr>
                              <m:nor/>
                            </m:rPr>
                            <w:rPr>
                              <w:rFonts w:eastAsiaTheme="minorEastAsia"/>
                              <w:i/>
                              <w:iCs/>
                            </w:rPr>
                            <m:t>O</m:t>
                          </m:r>
                        </m:e>
                      </m:d>
                    </m:lim>
                  </m:limLow>
                </m:num>
                <m:den>
                  <w:proofErr w:type="spellStart"/>
                  <m:r>
                    <m:rPr>
                      <m:nor/>
                    </m:rPr>
                    <w:rPr>
                      <w:i/>
                    </w:rPr>
                    <m:t>s.a</m:t>
                  </m:r>
                  <w:proofErr w:type="spellEnd"/>
                </m:den>
              </m:f>
              <m:r>
                <w:rPr>
                  <w:rFonts w:ascii="Cambria Math" w:hAnsi="Cambria Math"/>
                </w:rPr>
                <m:t xml:space="preserve">    </m:t>
              </m:r>
            </m:fName>
            <m:e>
              <m:r>
                <w:rPr>
                  <w:rFonts w:ascii="Cambria Math" w:hAnsi="Cambria Math"/>
                </w:rPr>
                <m:t xml:space="preserve"> </m:t>
              </m:r>
              <m:f>
                <m:fPr>
                  <m:type m:val="noBar"/>
                  <m:ctrlPr>
                    <w:rPr>
                      <w:rFonts w:ascii="Cambria Math" w:hAnsi="Cambria Math"/>
                      <w:i/>
                    </w:rPr>
                  </m:ctrlPr>
                </m:fPr>
                <m:num>
                  <m:r>
                    <m:rPr>
                      <m:nor/>
                    </m:rPr>
                    <w:rPr>
                      <w:i/>
                    </w:rPr>
                    <m:t>U</m:t>
                  </m:r>
                  <m:d>
                    <m:dPr>
                      <m:ctrlPr>
                        <w:rPr>
                          <w:rFonts w:ascii="Cambria Math" w:hAnsi="Cambria Math"/>
                          <w:i/>
                          <w:iCs/>
                        </w:rPr>
                      </m:ctrlPr>
                    </m:dPr>
                    <m:e>
                      <m:r>
                        <m:rPr>
                          <m:nor/>
                        </m:rPr>
                        <w:rPr>
                          <w:i/>
                        </w:rPr>
                        <m:t>C,</m:t>
                      </m:r>
                      <m:r>
                        <m:rPr>
                          <m:nor/>
                        </m:rPr>
                        <w:rPr>
                          <w:i/>
                          <w:iCs/>
                        </w:rPr>
                        <m:t>O</m:t>
                      </m:r>
                    </m:e>
                  </m:d>
                  <m:r>
                    <m:rPr>
                      <m:nor/>
                    </m:rPr>
                    <w:rPr>
                      <w:rFonts w:ascii="Cambria Math"/>
                      <w:iCs/>
                    </w:rPr>
                    <m:t xml:space="preserve">                               </m:t>
                  </m:r>
                </m:num>
                <m:den>
                  <m:r>
                    <m:rPr>
                      <m:nor/>
                    </m:rPr>
                    <w:rPr>
                      <w:i/>
                    </w:rPr>
                    <m:t>C</m:t>
                  </m:r>
                  <m:r>
                    <w:rPr>
                      <w:rFonts w:ascii="Cambria Math" w:hAnsi="Cambria Math"/>
                    </w:rPr>
                    <m:t>+</m:t>
                  </m:r>
                  <m:r>
                    <m:rPr>
                      <m:nor/>
                    </m:rPr>
                    <w:rPr>
                      <w:i/>
                    </w:rPr>
                    <m:t>w</m:t>
                  </m:r>
                  <m:r>
                    <w:rPr>
                      <w:rFonts w:ascii="Cambria Math" w:hAnsi="Cambria Math"/>
                    </w:rPr>
                    <m:t>∙</m:t>
                  </m:r>
                  <m:r>
                    <m:rPr>
                      <m:nor/>
                    </m:rPr>
                    <w:rPr>
                      <w:i/>
                      <w:iCs/>
                    </w:rPr>
                    <m:t>O</m:t>
                  </m:r>
                  <m:r>
                    <w:rPr>
                      <w:rFonts w:ascii="Cambria Math" w:hAnsi="Cambria Math"/>
                    </w:rPr>
                    <m:t>≤</m:t>
                  </m:r>
                  <m:r>
                    <m:rPr>
                      <m:nor/>
                    </m:rPr>
                    <w:rPr>
                      <w:i/>
                    </w:rPr>
                    <m:t>w</m:t>
                  </m:r>
                  <m:r>
                    <w:rPr>
                      <w:rFonts w:ascii="Cambria Math" w:hAnsi="Cambria Math"/>
                    </w:rPr>
                    <m:t>∙</m:t>
                  </m:r>
                  <m:sSub>
                    <m:sSubPr>
                      <m:ctrlPr>
                        <w:rPr>
                          <w:rFonts w:ascii="Cambria Math" w:hAnsi="Cambria Math"/>
                          <w:i/>
                        </w:rPr>
                      </m:ctrlPr>
                    </m:sSubPr>
                    <m:e>
                      <m:r>
                        <m:rPr>
                          <m:nor/>
                        </m:rPr>
                        <w:rPr>
                          <w:i/>
                          <w:iCs/>
                        </w:rPr>
                        <m:t>O</m:t>
                      </m:r>
                    </m:e>
                    <m:sub>
                      <m:r>
                        <m:rPr>
                          <m:nor/>
                        </m:rPr>
                        <w:rPr>
                          <w:i/>
                        </w:rPr>
                        <m:t>0</m:t>
                      </m:r>
                    </m:sub>
                  </m:sSub>
                  <m:r>
                    <w:rPr>
                      <w:rFonts w:ascii="Cambria Math" w:hAnsi="Cambria Math"/>
                    </w:rPr>
                    <m:t>+</m:t>
                  </m:r>
                  <m:r>
                    <m:rPr>
                      <m:nor/>
                    </m:rPr>
                    <w:rPr>
                      <w:i/>
                      <w:iCs/>
                    </w:rPr>
                    <m:t>M</m:t>
                  </m:r>
                </m:den>
              </m:f>
            </m:e>
          </m:func>
        </m:oMath>
      </m:oMathPara>
    </w:p>
    <w:p w14:paraId="7BAEE2DF" w14:textId="77777777" w:rsidR="00F722D9" w:rsidRPr="00F754F8" w:rsidRDefault="00F722D9" w:rsidP="00F722D9">
      <w:pPr>
        <w:pStyle w:val="Nivel1SM"/>
        <w:keepNext/>
        <w:spacing w:after="0"/>
      </w:pPr>
      <w:bookmarkStart w:id="13" w:name="_Hlk98839359"/>
      <w:r w:rsidRPr="00F754F8">
        <w:t xml:space="preserve">Dado que se trata de un </w:t>
      </w:r>
      <w:r w:rsidRPr="00F754F8">
        <w:rPr>
          <w:i/>
          <w:iCs/>
        </w:rPr>
        <w:t>problema de optimización condicionada con restricciones de desigualdad</w:t>
      </w:r>
      <w:r w:rsidRPr="00F754F8">
        <w:t xml:space="preserve">, </w:t>
      </w:r>
      <w:r w:rsidRPr="00F754F8">
        <w:rPr>
          <w:spacing w:val="-3"/>
        </w:rPr>
        <w:t xml:space="preserve">utilizaremos </w:t>
      </w:r>
      <w:r w:rsidRPr="00F754F8">
        <w:rPr>
          <w:spacing w:val="-5"/>
        </w:rPr>
        <w:t xml:space="preserve">el </w:t>
      </w:r>
      <w:r w:rsidRPr="00F754F8">
        <w:rPr>
          <w:b/>
          <w:bCs/>
          <w:spacing w:val="-5"/>
        </w:rPr>
        <w:t>método de Kuhn-Tucker</w:t>
      </w:r>
      <w:r w:rsidRPr="00F754F8">
        <w:rPr>
          <w:spacing w:val="-5"/>
        </w:rPr>
        <w:t xml:space="preserve"> para su resolución, </w:t>
      </w:r>
      <w:r>
        <w:rPr>
          <w:spacing w:val="-5"/>
        </w:rPr>
        <w:t>basado</w:t>
      </w:r>
      <w:r w:rsidRPr="00F754F8">
        <w:rPr>
          <w:spacing w:val="-5"/>
        </w:rPr>
        <w:t xml:space="preserve"> en los multiplicadores de Lagrange</w:t>
      </w:r>
      <w:r w:rsidRPr="00F754F8">
        <w:t>. Para resolver el problema, se asocia un multiplicador de Lagrange a la restricción y definimos la función lagrangiana:</w:t>
      </w:r>
    </w:p>
    <w:p w14:paraId="7F42745A" w14:textId="77777777" w:rsidR="00F722D9" w:rsidRPr="00A85F75" w:rsidRDefault="00F722D9" w:rsidP="00F722D9">
      <w:pPr>
        <w:keepNext/>
        <w:spacing w:after="0"/>
        <w:rPr>
          <w:rFonts w:eastAsiaTheme="minorEastAsia"/>
          <w:iCs/>
        </w:rPr>
      </w:pPr>
      <m:oMathPara>
        <m:oMath>
          <m:r>
            <m:rPr>
              <m:scr m:val="script"/>
            </m:rPr>
            <w:rPr>
              <w:rFonts w:ascii="Cambria Math" w:hAnsi="Cambria Math"/>
            </w:rPr>
            <m:t>L</m:t>
          </m:r>
          <m:r>
            <w:rPr>
              <w:rFonts w:ascii="Cambria Math"/>
            </w:rPr>
            <m:t>=</m:t>
          </m:r>
          <m:r>
            <m:rPr>
              <m:nor/>
            </m:rPr>
            <w:rPr>
              <w:i/>
              <w:iCs/>
            </w:rPr>
            <m:t>U</m:t>
          </m:r>
          <m:d>
            <m:dPr>
              <m:ctrlPr>
                <w:rPr>
                  <w:rFonts w:ascii="Cambria Math" w:hAnsi="Cambria Math"/>
                  <w:i/>
                  <w:iCs/>
                </w:rPr>
              </m:ctrlPr>
            </m:dPr>
            <m:e>
              <m:r>
                <m:rPr>
                  <m:nor/>
                </m:rPr>
                <w:rPr>
                  <w:i/>
                </w:rPr>
                <m:t>C,</m:t>
              </m:r>
              <m:r>
                <m:rPr>
                  <m:nor/>
                </m:rPr>
                <w:rPr>
                  <w:i/>
                  <w:iCs/>
                </w:rPr>
                <m:t>O</m:t>
              </m:r>
            </m:e>
          </m:d>
          <m:r>
            <w:rPr>
              <w:rFonts w:ascii="Cambria Math" w:hAnsi="Cambria Math"/>
            </w:rPr>
            <m:t>+</m:t>
          </m:r>
          <m:r>
            <m:rPr>
              <m:nor/>
            </m:rPr>
            <w:rPr>
              <w:i/>
              <w:lang w:val="en-US"/>
            </w:rPr>
            <m:t>λ</m:t>
          </m:r>
          <m:r>
            <w:rPr>
              <w:rFonts w:ascii="Cambria Math" w:hAnsi="Cambria Math"/>
            </w:rPr>
            <m:t>∙</m:t>
          </m:r>
          <m:d>
            <m:dPr>
              <m:ctrlPr>
                <w:rPr>
                  <w:rFonts w:ascii="Cambria Math" w:hAnsi="Cambria Math"/>
                  <w:i/>
                  <w:iCs/>
                </w:rPr>
              </m:ctrlPr>
            </m:dPr>
            <m:e>
              <m:d>
                <m:dPr>
                  <m:ctrlPr>
                    <w:rPr>
                      <w:rFonts w:ascii="Cambria Math" w:hAnsi="Cambria Math"/>
                      <w:i/>
                    </w:rPr>
                  </m:ctrlPr>
                </m:dPr>
                <m:e>
                  <m:r>
                    <m:rPr>
                      <m:nor/>
                    </m:rPr>
                    <w:rPr>
                      <w:i/>
                    </w:rPr>
                    <m:t>w</m:t>
                  </m:r>
                  <m:r>
                    <w:rPr>
                      <w:rFonts w:ascii="Cambria Math" w:hAnsi="Cambria Math"/>
                    </w:rPr>
                    <m:t>∙</m:t>
                  </m:r>
                  <m:sSub>
                    <m:sSubPr>
                      <m:ctrlPr>
                        <w:rPr>
                          <w:rFonts w:ascii="Cambria Math" w:hAnsi="Cambria Math"/>
                          <w:i/>
                        </w:rPr>
                      </m:ctrlPr>
                    </m:sSubPr>
                    <m:e>
                      <m:r>
                        <m:rPr>
                          <m:nor/>
                        </m:rPr>
                        <w:rPr>
                          <w:i/>
                          <w:iCs/>
                        </w:rPr>
                        <m:t>O</m:t>
                      </m:r>
                    </m:e>
                    <m:sub>
                      <m:r>
                        <m:rPr>
                          <m:nor/>
                        </m:rPr>
                        <w:rPr>
                          <w:i/>
                        </w:rPr>
                        <m:t>0</m:t>
                      </m:r>
                    </m:sub>
                  </m:sSub>
                  <m:r>
                    <w:rPr>
                      <w:rFonts w:ascii="Cambria Math" w:hAnsi="Cambria Math"/>
                    </w:rPr>
                    <m:t>+</m:t>
                  </m:r>
                  <m:r>
                    <m:rPr>
                      <m:nor/>
                    </m:rPr>
                    <w:rPr>
                      <w:i/>
                      <w:iCs/>
                    </w:rPr>
                    <m:t>M</m:t>
                  </m:r>
                </m:e>
              </m:d>
              <m:r>
                <w:rPr>
                  <w:rFonts w:ascii="Cambria Math" w:hAnsi="Cambria Math"/>
                </w:rPr>
                <m:t>-</m:t>
              </m:r>
              <m:d>
                <m:dPr>
                  <m:ctrlPr>
                    <w:rPr>
                      <w:rFonts w:ascii="Cambria Math" w:hAnsi="Cambria Math"/>
                      <w:i/>
                    </w:rPr>
                  </m:ctrlPr>
                </m:dPr>
                <m:e>
                  <m:r>
                    <m:rPr>
                      <m:nor/>
                    </m:rPr>
                    <w:rPr>
                      <w:i/>
                    </w:rPr>
                    <m:t>C</m:t>
                  </m:r>
                  <m:r>
                    <w:rPr>
                      <w:rFonts w:ascii="Cambria Math" w:hAnsi="Cambria Math"/>
                    </w:rPr>
                    <m:t>+</m:t>
                  </m:r>
                  <m:r>
                    <m:rPr>
                      <m:nor/>
                    </m:rPr>
                    <w:rPr>
                      <w:i/>
                    </w:rPr>
                    <m:t>w</m:t>
                  </m:r>
                  <m:r>
                    <w:rPr>
                      <w:rFonts w:ascii="Cambria Math" w:hAnsi="Cambria Math"/>
                    </w:rPr>
                    <m:t>∙</m:t>
                  </m:r>
                  <m:r>
                    <m:rPr>
                      <m:nor/>
                    </m:rPr>
                    <w:rPr>
                      <w:i/>
                      <w:iCs/>
                    </w:rPr>
                    <m:t>O</m:t>
                  </m:r>
                </m:e>
              </m:d>
            </m:e>
          </m:d>
        </m:oMath>
      </m:oMathPara>
    </w:p>
    <w:p w14:paraId="33769DE7" w14:textId="77777777" w:rsidR="00F722D9" w:rsidRPr="004F6908" w:rsidRDefault="00F722D9" w:rsidP="00F722D9">
      <w:pPr>
        <w:pStyle w:val="Nivel2SM"/>
      </w:pPr>
      <w:r w:rsidRPr="004F6908">
        <w:t>Lambda (</w:t>
      </w:r>
      <m:oMath>
        <m:r>
          <m:rPr>
            <m:nor/>
          </m:rPr>
          <w:rPr>
            <w:i/>
            <w:lang w:val="en-US"/>
          </w:rPr>
          <m:t>λ</m:t>
        </m:r>
      </m:oMath>
      <w:r w:rsidRPr="004F6908">
        <w:t>)</w:t>
      </w:r>
      <w:r>
        <w:t xml:space="preserve"> es el multiplicador de Lagrange (precio sombra), y nos informa sobre la sensibilidad de la función objetivo (utilidad) ante cambios en la restricción presupuestaria (riqueza). En concreto, representa lo que varía la utilidad al variar marginalmente la riqueza</w:t>
      </w:r>
      <w:r>
        <w:rPr>
          <w:rStyle w:val="Refdenotaalpie"/>
        </w:rPr>
        <w:footnoteReference w:id="8"/>
      </w:r>
      <w:r>
        <w:t>.</w:t>
      </w:r>
    </w:p>
    <w:bookmarkEnd w:id="13"/>
    <w:p w14:paraId="68946E79" w14:textId="1E07B71C" w:rsidR="00F722D9" w:rsidRPr="000A2C86" w:rsidRDefault="00CA62F5" w:rsidP="00F722D9">
      <w:pPr>
        <w:pStyle w:val="Nivel1SM"/>
        <w:keepNext/>
        <w:spacing w:before="0" w:after="0"/>
        <w:rPr>
          <w:spacing w:val="-2"/>
        </w:rPr>
      </w:pPr>
      <w:r>
        <w:rPr>
          <w:spacing w:val="-2"/>
        </w:rPr>
        <w:t>Nos centraremos en</w:t>
      </w:r>
      <w:r w:rsidR="00F722D9" w:rsidRPr="000A2C86">
        <w:rPr>
          <w:spacing w:val="-2"/>
        </w:rPr>
        <w:t xml:space="preserve"> las soluciones interiores. Para ello resolvemos el problema de optimización haciendo uso de las condiciones de Kuhn-Tucker y obtenemos los siguientes resultados</w:t>
      </w:r>
      <w:r w:rsidR="00F722D9" w:rsidRPr="000A2C86">
        <w:rPr>
          <w:rStyle w:val="Refdenotaalpie"/>
          <w:spacing w:val="-2"/>
        </w:rPr>
        <w:footnoteReference w:id="9"/>
      </w:r>
      <w:r w:rsidR="00F722D9" w:rsidRPr="000A2C86">
        <w:rPr>
          <w:spacing w:val="-2"/>
        </w:rPr>
        <w:t>:</w:t>
      </w:r>
    </w:p>
    <w:p w14:paraId="215F03B5" w14:textId="77777777" w:rsidR="00F722D9" w:rsidRDefault="00F722D9" w:rsidP="00F722D9">
      <w:pPr>
        <w:pStyle w:val="Prrafodelista"/>
        <w:keepNext/>
        <w:numPr>
          <w:ilvl w:val="0"/>
          <w:numId w:val="47"/>
        </w:numPr>
        <w:spacing w:after="0"/>
        <w:ind w:left="567" w:hanging="113"/>
      </w:pPr>
      <w:bookmarkStart w:id="17" w:name="_Ref131329748"/>
      <w:r>
        <w:rPr>
          <w:i/>
          <w:iCs/>
        </w:rPr>
        <w:t>Condición de estacionariedad</w:t>
      </w:r>
      <w:r>
        <w:t>:</w:t>
      </w:r>
      <w:bookmarkEnd w:id="17"/>
    </w:p>
    <w:p w14:paraId="551DF1DF" w14:textId="77777777" w:rsidR="00F722D9" w:rsidRDefault="00000000" w:rsidP="00F722D9">
      <w:pPr>
        <w:pStyle w:val="Prrafodelista"/>
        <w:spacing w:after="100"/>
        <w:ind w:left="567"/>
      </w:pPr>
      <m:oMathPara>
        <m:oMath>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color w:val="AEAAAA" w:themeColor="background2" w:themeShade="BF"/>
            </w:rPr>
            <m:t>∙</m:t>
          </m:r>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r>
            <w:rPr>
              <w:rFonts w:ascii="Cambria Math" w:eastAsiaTheme="minorEastAsia" w:hAnsi="Cambria Math"/>
            </w:rPr>
            <m:t>≤</m:t>
          </m:r>
          <m:r>
            <m:rPr>
              <m:nor/>
            </m:rPr>
            <w:rPr>
              <w:i/>
            </w:rPr>
            <m:t>0</m:t>
          </m:r>
          <m:r>
            <m:rPr>
              <m:nor/>
            </m:rPr>
            <w:rPr>
              <w:rFonts w:ascii="Cambria Math"/>
              <w:i/>
            </w:rPr>
            <m:t xml:space="preserve">  </m:t>
          </m:r>
          <m:r>
            <w:rPr>
              <w:rFonts w:ascii="Cambria Math" w:eastAsiaTheme="minorEastAsia" w:hAnsi="Cambria Math"/>
            </w:rPr>
            <m:t xml:space="preserve"> </m:t>
          </m:r>
          <m:r>
            <m:rPr>
              <m:nor/>
            </m:rPr>
            <w:rPr>
              <w:rFonts w:eastAsiaTheme="minorEastAsia"/>
              <w:i/>
              <w:iCs/>
            </w:rPr>
            <m:t>;</m:t>
          </m:r>
          <m:r>
            <m:rPr>
              <m:nor/>
            </m:rPr>
            <w:rPr>
              <w:rFonts w:ascii="Cambria Math" w:eastAsiaTheme="minorEastAsia"/>
              <w:i/>
              <w:iCs/>
            </w:rPr>
            <m:t xml:space="preserve">  </m:t>
          </m:r>
          <m:r>
            <w:rPr>
              <w:rFonts w:ascii="Cambria Math" w:eastAsiaTheme="minorEastAsia" w:hAnsi="Cambria Math"/>
            </w:rPr>
            <m:t xml:space="preserve"> </m:t>
          </m:r>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rPr>
            <m:t>∙</m:t>
          </m:r>
          <m:r>
            <m:rPr>
              <m:nor/>
            </m:rPr>
            <w:rPr>
              <w:i/>
            </w:rPr>
            <m:t>w</m:t>
          </m:r>
          <m:r>
            <w:rPr>
              <w:rFonts w:ascii="Cambria Math" w:eastAsiaTheme="minorEastAsia" w:hAnsi="Cambria Math"/>
            </w:rPr>
            <m:t>≤</m:t>
          </m:r>
          <m:r>
            <m:rPr>
              <m:nor/>
            </m:rPr>
            <w:rPr>
              <w:i/>
            </w:rPr>
            <m:t>0</m:t>
          </m:r>
        </m:oMath>
      </m:oMathPara>
    </w:p>
    <w:p w14:paraId="78D4DDE9" w14:textId="77777777" w:rsidR="00F722D9" w:rsidRDefault="00F722D9" w:rsidP="00F722D9">
      <w:pPr>
        <w:pStyle w:val="Prrafodelista"/>
        <w:keepNext/>
        <w:numPr>
          <w:ilvl w:val="0"/>
          <w:numId w:val="47"/>
        </w:numPr>
        <w:spacing w:after="0"/>
        <w:ind w:left="567" w:hanging="113"/>
      </w:pPr>
      <w:r>
        <w:rPr>
          <w:i/>
          <w:iCs/>
        </w:rPr>
        <w:t>Restricción presupuestaria</w:t>
      </w:r>
      <w:r>
        <w:t>:</w:t>
      </w:r>
    </w:p>
    <w:p w14:paraId="1952350C" w14:textId="77777777" w:rsidR="00F722D9" w:rsidRDefault="00F722D9" w:rsidP="00F722D9">
      <w:pPr>
        <w:pStyle w:val="Prrafodelista"/>
        <w:spacing w:after="100"/>
        <w:ind w:left="567"/>
      </w:pPr>
      <m:oMathPara>
        <m:oMath>
          <m:r>
            <m:rPr>
              <m:nor/>
            </m:rPr>
            <w:rPr>
              <w:rFonts w:eastAsiaTheme="minorEastAsia"/>
              <w:i/>
              <w:iCs/>
            </w:rPr>
            <m:t>C*</m:t>
          </m:r>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i/>
              <w:iCs/>
            </w:rPr>
            <m:t>O</m:t>
          </m:r>
          <m:r>
            <m:rPr>
              <m:nor/>
            </m:rPr>
            <w:rPr>
              <w:rFonts w:eastAsiaTheme="minorEastAsia"/>
              <w:i/>
              <w:iCs/>
            </w:rPr>
            <m:t>*</m:t>
          </m:r>
          <m:r>
            <w:rPr>
              <w:rFonts w:ascii="Cambria Math" w:eastAsiaTheme="minorEastAsia" w:hAnsi="Cambria Math"/>
            </w:rPr>
            <m:t>=</m:t>
          </m:r>
          <m:r>
            <m:rPr>
              <m:nor/>
            </m:rPr>
            <w:rPr>
              <w:rFonts w:eastAsiaTheme="minorEastAsia"/>
              <w:i/>
              <w:iCs/>
            </w:rPr>
            <m:t>w</m:t>
          </m:r>
          <m:r>
            <w:rPr>
              <w:rFonts w:ascii="Cambria Math" w:eastAsiaTheme="minorEastAsia" w:hAnsi="Cambria Math"/>
            </w:rPr>
            <m:t>∙</m:t>
          </m:r>
          <m:sSub>
            <m:sSubPr>
              <m:ctrlPr>
                <w:rPr>
                  <w:rFonts w:ascii="Cambria Math" w:eastAsiaTheme="minorEastAsia" w:hAnsi="Cambria Math"/>
                  <w:i/>
                  <w:iCs/>
                </w:rPr>
              </m:ctrlPr>
            </m:sSubPr>
            <m:e>
              <m:r>
                <m:rPr>
                  <m:nor/>
                </m:rPr>
                <w:rPr>
                  <w:i/>
                  <w:iCs/>
                </w:rPr>
                <m:t>O</m:t>
              </m:r>
            </m:e>
            <m:sub>
              <m:r>
                <m:rPr>
                  <m:nor/>
                </m:rPr>
                <w:rPr>
                  <w:rFonts w:eastAsiaTheme="minorEastAsia"/>
                  <w:i/>
                  <w:iCs/>
                </w:rPr>
                <m:t>0</m:t>
              </m:r>
            </m:sub>
          </m:sSub>
          <m:r>
            <w:rPr>
              <w:rFonts w:ascii="Cambria Math" w:eastAsiaTheme="minorEastAsia" w:hAnsi="Cambria Math"/>
            </w:rPr>
            <m:t>+</m:t>
          </m:r>
          <m:r>
            <m:rPr>
              <m:nor/>
            </m:rPr>
            <w:rPr>
              <w:i/>
              <w:iCs/>
            </w:rPr>
            <m:t>O</m:t>
          </m:r>
        </m:oMath>
      </m:oMathPara>
    </w:p>
    <w:p w14:paraId="01C9DB84" w14:textId="77777777" w:rsidR="00F722D9" w:rsidRDefault="00F722D9" w:rsidP="00F722D9">
      <w:pPr>
        <w:pStyle w:val="Prrafodelista"/>
        <w:keepNext/>
        <w:numPr>
          <w:ilvl w:val="0"/>
          <w:numId w:val="47"/>
        </w:numPr>
        <w:spacing w:after="0"/>
        <w:ind w:left="567" w:hanging="113"/>
      </w:pPr>
      <w:bookmarkStart w:id="18" w:name="_Ref131329712"/>
      <w:r>
        <w:rPr>
          <w:i/>
          <w:iCs/>
        </w:rPr>
        <w:t>No negatividad de los bienes</w:t>
      </w:r>
      <w:r w:rsidRPr="00E177C8">
        <w:t>:</w:t>
      </w:r>
      <w:bookmarkEnd w:id="18"/>
    </w:p>
    <w:p w14:paraId="37F6F560" w14:textId="77777777" w:rsidR="00F722D9" w:rsidRPr="00E177C8" w:rsidRDefault="00F722D9" w:rsidP="00F722D9">
      <w:pPr>
        <w:pStyle w:val="Prrafodelista"/>
        <w:spacing w:after="100"/>
        <w:ind w:left="567"/>
      </w:pPr>
      <m:oMathPara>
        <m:oMath>
          <m:r>
            <m:rPr>
              <m:nor/>
            </m:rPr>
            <w:rPr>
              <w:rFonts w:eastAsiaTheme="minorEastAsia"/>
              <w:i/>
              <w:iCs/>
            </w:rPr>
            <m:t>C*</m:t>
          </m:r>
          <m:r>
            <w:rPr>
              <w:rFonts w:ascii="Cambria Math" w:eastAsiaTheme="minorEastAsia" w:hAnsi="Cambria Math"/>
            </w:rPr>
            <m:t>≥</m:t>
          </m:r>
          <m:r>
            <m:rPr>
              <m:nor/>
            </m:rPr>
            <w:rPr>
              <w:rFonts w:eastAsiaTheme="minorEastAsia"/>
              <w:i/>
              <w:iCs/>
            </w:rPr>
            <m:t>0</m:t>
          </m:r>
          <m:r>
            <w:rPr>
              <w:rFonts w:ascii="Cambria Math" w:eastAsiaTheme="minorEastAsia" w:hAnsi="Cambria Math"/>
            </w:rPr>
            <m:t xml:space="preserve">   </m:t>
          </m:r>
          <m:r>
            <m:rPr>
              <m:nor/>
            </m:rPr>
            <w:rPr>
              <w:rFonts w:eastAsiaTheme="minorEastAsia"/>
              <w:i/>
              <w:iCs/>
            </w:rPr>
            <m:t>;</m:t>
          </m:r>
          <m:r>
            <w:rPr>
              <w:rFonts w:ascii="Cambria Math" w:eastAsiaTheme="minorEastAsia" w:hAnsi="Cambria Math"/>
            </w:rPr>
            <m:t xml:space="preserve">   </m:t>
          </m:r>
          <m:r>
            <m:rPr>
              <m:nor/>
            </m:rPr>
            <w:rPr>
              <w:rFonts w:eastAsiaTheme="minorEastAsia"/>
              <w:i/>
              <w:iCs/>
            </w:rPr>
            <m:t>O*</m:t>
          </m:r>
          <m:r>
            <w:rPr>
              <w:rFonts w:ascii="Cambria Math" w:eastAsiaTheme="minorEastAsia" w:hAnsi="Cambria Math"/>
            </w:rPr>
            <m:t>≥</m:t>
          </m:r>
          <m:r>
            <m:rPr>
              <m:nor/>
            </m:rPr>
            <w:rPr>
              <w:rFonts w:eastAsiaTheme="minorEastAsia"/>
              <w:i/>
              <w:iCs/>
            </w:rPr>
            <m:t>0</m:t>
          </m:r>
        </m:oMath>
      </m:oMathPara>
    </w:p>
    <w:p w14:paraId="183033FA" w14:textId="77777777" w:rsidR="00F722D9" w:rsidRDefault="00F722D9" w:rsidP="00F722D9">
      <w:pPr>
        <w:pStyle w:val="Prrafodelista"/>
        <w:keepNext/>
        <w:numPr>
          <w:ilvl w:val="0"/>
          <w:numId w:val="47"/>
        </w:numPr>
        <w:spacing w:after="0"/>
        <w:ind w:left="567" w:hanging="113"/>
      </w:pPr>
      <w:r>
        <w:rPr>
          <w:i/>
          <w:iCs/>
        </w:rPr>
        <w:t>Condición de holgura complementaria</w:t>
      </w:r>
      <w:r>
        <w:t>:</w:t>
      </w:r>
    </w:p>
    <w:p w14:paraId="0C46CEF9" w14:textId="77777777" w:rsidR="00F722D9" w:rsidRDefault="00F722D9" w:rsidP="00F722D9">
      <w:pPr>
        <w:pStyle w:val="Prrafodelista"/>
        <w:spacing w:after="100"/>
        <w:ind w:left="567"/>
      </w:pPr>
      <m:oMathPara>
        <m:oMath>
          <m:r>
            <w:rPr>
              <w:rFonts w:ascii="Cambria Math" w:eastAsiaTheme="minorEastAsia" w:hAnsi="Cambria Math"/>
            </w:rPr>
            <m:t xml:space="preserve"> </m:t>
          </m:r>
          <m:r>
            <m:rPr>
              <m:nor/>
            </m:rPr>
            <w:rPr>
              <w:rFonts w:eastAsiaTheme="minorEastAsia"/>
              <w:i/>
              <w:iCs/>
            </w:rPr>
            <m:t>C*</m:t>
          </m:r>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color w:val="AEAAAA" w:themeColor="background2" w:themeShade="BF"/>
                </w:rPr>
                <m:t>∙</m:t>
              </m:r>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e>
          </m:d>
          <m:r>
            <w:rPr>
              <w:rFonts w:ascii="Cambria Math" w:eastAsiaTheme="minorEastAsia" w:hAnsi="Cambria Math"/>
            </w:rPr>
            <m:t>≥</m:t>
          </m:r>
          <m:r>
            <m:rPr>
              <m:nor/>
            </m:rPr>
            <w:rPr>
              <w:rFonts w:eastAsiaTheme="minorEastAsia"/>
              <w:i/>
              <w:iCs/>
            </w:rPr>
            <m:t>0</m:t>
          </m:r>
          <m:r>
            <m:rPr>
              <m:nor/>
            </m:rPr>
            <w:rPr>
              <w:rFonts w:ascii="Cambria Math"/>
              <w:i/>
            </w:rPr>
            <m:t xml:space="preserve">  </m:t>
          </m:r>
          <m:r>
            <w:rPr>
              <w:rFonts w:ascii="Cambria Math" w:eastAsiaTheme="minorEastAsia" w:hAnsi="Cambria Math"/>
            </w:rPr>
            <m:t xml:space="preserve"> </m:t>
          </m:r>
          <m:r>
            <m:rPr>
              <m:nor/>
            </m:rPr>
            <w:rPr>
              <w:rFonts w:eastAsiaTheme="minorEastAsia"/>
              <w:i/>
              <w:iCs/>
            </w:rPr>
            <m:t>;</m:t>
          </m:r>
          <m:r>
            <m:rPr>
              <m:nor/>
            </m:rPr>
            <w:rPr>
              <w:rFonts w:ascii="Cambria Math" w:eastAsiaTheme="minorEastAsia"/>
              <w:i/>
              <w:iCs/>
            </w:rPr>
            <m:t xml:space="preserve">  </m:t>
          </m:r>
          <m:r>
            <w:rPr>
              <w:rFonts w:ascii="Cambria Math" w:eastAsiaTheme="minorEastAsia" w:hAnsi="Cambria Math"/>
            </w:rPr>
            <m:t xml:space="preserve"> </m:t>
          </m:r>
          <m:r>
            <m:rPr>
              <m:nor/>
            </m:rPr>
            <w:rPr>
              <w:rFonts w:eastAsiaTheme="minorEastAsia"/>
              <w:i/>
              <w:iCs/>
            </w:rPr>
            <m:t>O*</m:t>
          </m:r>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rPr>
                <m:t>∙</m:t>
              </m:r>
              <m:r>
                <m:rPr>
                  <m:nor/>
                </m:rPr>
                <w:rPr>
                  <w:i/>
                </w:rPr>
                <m:t>w</m:t>
              </m:r>
            </m:e>
          </m:d>
          <m:r>
            <w:rPr>
              <w:rFonts w:ascii="Cambria Math" w:eastAsiaTheme="minorEastAsia" w:hAnsi="Cambria Math"/>
            </w:rPr>
            <m:t>=</m:t>
          </m:r>
          <m:r>
            <m:rPr>
              <m:nor/>
            </m:rPr>
            <w:rPr>
              <w:i/>
            </w:rPr>
            <m:t>0</m:t>
          </m:r>
        </m:oMath>
      </m:oMathPara>
    </w:p>
    <w:p w14:paraId="02DAAA41" w14:textId="5FDFD3C7" w:rsidR="00F722D9" w:rsidRPr="00FB14EE" w:rsidRDefault="00F722D9" w:rsidP="00F722D9">
      <w:pPr>
        <w:pStyle w:val="Nivel1SM"/>
        <w:keepNext/>
        <w:spacing w:before="0" w:after="0"/>
      </w:pPr>
      <w:r>
        <w:lastRenderedPageBreak/>
        <w:t>Analíticamente, la solución es interior si consumo y ocio son estrictamente positivos (i.e. la condición </w:t>
      </w:r>
      <w:proofErr w:type="spellStart"/>
      <w:r w:rsidRPr="00FB14EE">
        <w:rPr>
          <w:i/>
          <w:iCs/>
        </w:rPr>
        <w:fldChar w:fldCharType="begin"/>
      </w:r>
      <w:r w:rsidRPr="00FB14EE">
        <w:rPr>
          <w:i/>
          <w:iCs/>
        </w:rPr>
        <w:instrText xml:space="preserve"> REF _Ref131329712 \r \h </w:instrText>
      </w:r>
      <w:r>
        <w:rPr>
          <w:i/>
          <w:iCs/>
        </w:rPr>
        <w:instrText xml:space="preserve"> \* MERGEFORMAT </w:instrText>
      </w:r>
      <w:r w:rsidRPr="00FB14EE">
        <w:rPr>
          <w:i/>
          <w:iCs/>
        </w:rPr>
      </w:r>
      <w:r w:rsidRPr="00FB14EE">
        <w:rPr>
          <w:i/>
          <w:iCs/>
        </w:rPr>
        <w:fldChar w:fldCharType="separate"/>
      </w:r>
      <w:r w:rsidR="004626ED">
        <w:rPr>
          <w:i/>
          <w:iCs/>
        </w:rPr>
        <w:t>iii</w:t>
      </w:r>
      <w:proofErr w:type="spellEnd"/>
      <w:r w:rsidRPr="00FB14EE">
        <w:rPr>
          <w:i/>
          <w:iCs/>
        </w:rPr>
        <w:fldChar w:fldCharType="end"/>
      </w:r>
      <w:r>
        <w:t xml:space="preserve"> se verifica con positividad estricta y la condición </w:t>
      </w:r>
      <w:r w:rsidRPr="00FB14EE">
        <w:rPr>
          <w:i/>
          <w:iCs/>
        </w:rPr>
        <w:fldChar w:fldCharType="begin"/>
      </w:r>
      <w:r w:rsidRPr="00FB14EE">
        <w:rPr>
          <w:i/>
          <w:iCs/>
        </w:rPr>
        <w:instrText xml:space="preserve"> REF _Ref131329748 \r \h </w:instrText>
      </w:r>
      <w:r>
        <w:rPr>
          <w:i/>
          <w:iCs/>
        </w:rPr>
        <w:instrText xml:space="preserve"> \* MERGEFORMAT </w:instrText>
      </w:r>
      <w:r w:rsidRPr="00FB14EE">
        <w:rPr>
          <w:i/>
          <w:iCs/>
        </w:rPr>
      </w:r>
      <w:r w:rsidRPr="00FB14EE">
        <w:rPr>
          <w:i/>
          <w:iCs/>
        </w:rPr>
        <w:fldChar w:fldCharType="separate"/>
      </w:r>
      <w:r w:rsidR="004626ED">
        <w:rPr>
          <w:i/>
          <w:iCs/>
        </w:rPr>
        <w:t>i</w:t>
      </w:r>
      <w:r w:rsidRPr="00FB14EE">
        <w:rPr>
          <w:i/>
          <w:iCs/>
        </w:rPr>
        <w:fldChar w:fldCharType="end"/>
      </w:r>
      <w:r>
        <w:t xml:space="preserve"> con igualdad estricta). En este caso, las condiciones se pueden resumir en:</w:t>
      </w:r>
    </w:p>
    <w:p w14:paraId="1D3F266A" w14:textId="1AB17E83" w:rsidR="00F722D9" w:rsidRDefault="00F722D9" w:rsidP="00F722D9">
      <w:pPr>
        <w:keepNext/>
        <w:spacing w:after="0"/>
        <w:rPr>
          <w:rFonts w:eastAsiaTheme="minorEastAsia"/>
          <w:iCs/>
        </w:rPr>
      </w:pPr>
      <m:oMathPara>
        <m:oMath>
          <m:r>
            <m:rPr>
              <m:nor/>
            </m:rPr>
            <w:rPr>
              <w:rFonts w:eastAsiaTheme="minorEastAsia"/>
              <w:i/>
              <w:iCs/>
            </w:rPr>
            <m:t>C*</m:t>
          </m:r>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i/>
              <w:iCs/>
            </w:rPr>
            <m:t>O</m:t>
          </m:r>
          <m:r>
            <m:rPr>
              <m:nor/>
            </m:rPr>
            <w:rPr>
              <w:rFonts w:eastAsiaTheme="minorEastAsia"/>
              <w:i/>
              <w:iCs/>
            </w:rPr>
            <m:t>*</m:t>
          </m:r>
          <m:r>
            <w:rPr>
              <w:rFonts w:ascii="Cambria Math" w:eastAsiaTheme="minorEastAsia" w:hAnsi="Cambria Math"/>
            </w:rPr>
            <m:t>=</m:t>
          </m:r>
          <m:r>
            <m:rPr>
              <m:nor/>
            </m:rPr>
            <w:rPr>
              <w:rFonts w:eastAsiaTheme="minorEastAsia"/>
              <w:i/>
              <w:iCs/>
            </w:rPr>
            <m:t>w</m:t>
          </m:r>
          <m:r>
            <w:rPr>
              <w:rFonts w:ascii="Cambria Math" w:eastAsiaTheme="minorEastAsia" w:hAnsi="Cambria Math"/>
            </w:rPr>
            <m:t>∙</m:t>
          </m:r>
          <m:sSub>
            <m:sSubPr>
              <m:ctrlPr>
                <w:rPr>
                  <w:rFonts w:ascii="Cambria Math" w:eastAsiaTheme="minorEastAsia" w:hAnsi="Cambria Math"/>
                  <w:i/>
                  <w:iCs/>
                </w:rPr>
              </m:ctrlPr>
            </m:sSubPr>
            <m:e>
              <m:r>
                <m:rPr>
                  <m:nor/>
                </m:rPr>
                <w:rPr>
                  <w:i/>
                  <w:iCs/>
                </w:rPr>
                <m:t>O</m:t>
              </m:r>
            </m:e>
            <m:sub>
              <m:r>
                <m:rPr>
                  <m:nor/>
                </m:rPr>
                <w:rPr>
                  <w:rFonts w:eastAsiaTheme="minorEastAsia"/>
                  <w:i/>
                  <w:iCs/>
                </w:rPr>
                <m:t>0</m:t>
              </m:r>
            </m:sub>
          </m:sSub>
          <m:r>
            <w:rPr>
              <w:rFonts w:ascii="Cambria Math" w:eastAsiaTheme="minorEastAsia" w:hAnsi="Cambria Math"/>
            </w:rPr>
            <m:t>+</m:t>
          </m:r>
          <m:r>
            <m:rPr>
              <m:nor/>
            </m:rPr>
            <w:rPr>
              <w:i/>
              <w:iCs/>
            </w:rPr>
            <m:t>O</m:t>
          </m:r>
        </m:oMath>
      </m:oMathPara>
    </w:p>
    <w:p w14:paraId="19C22262" w14:textId="416A11F1" w:rsidR="00F722D9" w:rsidRPr="00F722D9" w:rsidRDefault="00000000" w:rsidP="00F722D9">
      <w:pPr>
        <w:keepNext/>
        <w:spacing w:after="0"/>
        <w:rPr>
          <w:rFonts w:eastAsiaTheme="minorEastAsia"/>
        </w:rPr>
      </w:pPr>
      <m:oMathPara>
        <m:oMath>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f>
                    <m:fPr>
                      <m:ctrlPr>
                        <w:rPr>
                          <w:rFonts w:ascii="Cambria Math" w:eastAsiaTheme="minorEastAsia" w:hAnsi="Cambria Math"/>
                          <w:i/>
                          <w:iCs/>
                        </w:rPr>
                      </m:ctrlPr>
                    </m:fPr>
                    <m:num>
                      <w:bookmarkStart w:id="19" w:name="_Hlk78128961"/>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w:bookmarkEnd w:id="19"/>
                    </m:num>
                    <m:den>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den>
                  </m:f>
                </m:e>
              </m:groupChr>
            </m:e>
            <m:lim>
              <m:r>
                <m:rPr>
                  <m:nor/>
                </m:rPr>
                <w:rPr>
                  <w:rFonts w:eastAsiaTheme="minorEastAsia"/>
                  <w:i/>
                </w:rPr>
                <m:t>RMS</m:t>
              </m:r>
            </m:lim>
          </m:limUp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w</m:t>
              </m:r>
            </m:num>
            <m:den>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den>
          </m:f>
        </m:oMath>
      </m:oMathPara>
    </w:p>
    <w:p w14:paraId="76C13A28" w14:textId="586F8B13" w:rsidR="00F722D9" w:rsidRPr="00F722D9" w:rsidRDefault="00F722D9" w:rsidP="00F722D9">
      <w:pPr>
        <w:pStyle w:val="Nivel2SM"/>
        <w:rPr>
          <w:rFonts w:ascii="Cambria Math" w:eastAsiaTheme="minorEastAsia" w:hAnsi="Cambria Math"/>
          <w:spacing w:val="-5"/>
          <w:oMath/>
        </w:rPr>
      </w:pPr>
      <w:r w:rsidRPr="00F722D9">
        <w:rPr>
          <w:spacing w:val="-5"/>
        </w:rPr>
        <w:t xml:space="preserve">La </w:t>
      </w:r>
      <w:r>
        <w:rPr>
          <w:i/>
          <w:iCs/>
          <w:spacing w:val="-5"/>
        </w:rPr>
        <w:t>condi</w:t>
      </w:r>
      <w:r w:rsidRPr="00F722D9">
        <w:rPr>
          <w:i/>
          <w:iCs/>
          <w:spacing w:val="-5"/>
        </w:rPr>
        <w:t>ción de optimalidad</w:t>
      </w:r>
      <w:r w:rsidRPr="00F722D9">
        <w:rPr>
          <w:spacing w:val="-5"/>
        </w:rPr>
        <w:t xml:space="preserve"> nos muestra que el individuo demandará ocio y consumo hasta el punto donde la valoración subjetiva del ocio en términos del ocio sea igual a su coste de oportunidad.</w:t>
      </w:r>
    </w:p>
    <w:p w14:paraId="70D97E51" w14:textId="77777777" w:rsidR="00F722D9" w:rsidRPr="009C00B9" w:rsidRDefault="00F722D9" w:rsidP="00F722D9">
      <w:pPr>
        <w:pStyle w:val="Nivel1SM"/>
        <w:keepNext/>
        <w:spacing w:after="0"/>
      </w:pPr>
      <w:r>
        <w:t>Gráficamente, la solución interior se puede representar de la siguiente manera:</w:t>
      </w:r>
    </w:p>
    <w:p w14:paraId="62CFCE21" w14:textId="4D99F9DD" w:rsidR="00F722D9" w:rsidRPr="00D016C2" w:rsidRDefault="00F722D9" w:rsidP="00F722D9">
      <w:pPr>
        <w:pStyle w:val="Ttuloimagen"/>
        <w:rPr>
          <w:smallCaps w:val="0"/>
        </w:rPr>
      </w:pPr>
      <w:bookmarkStart w:id="20" w:name="_Ref131319519"/>
      <w:r>
        <w:t>Imagen </w:t>
      </w:r>
      <w:r>
        <w:fldChar w:fldCharType="begin"/>
      </w:r>
      <w:r>
        <w:instrText xml:space="preserve"> SEQ Ilustración \* ARABIC </w:instrText>
      </w:r>
      <w:r>
        <w:fldChar w:fldCharType="separate"/>
      </w:r>
      <w:r w:rsidR="004626ED">
        <w:t>1</w:t>
      </w:r>
      <w:r>
        <w:fldChar w:fldCharType="end"/>
      </w:r>
      <w:bookmarkEnd w:id="20"/>
      <w:r>
        <w:rPr>
          <w:smallCaps w:val="0"/>
        </w:rPr>
        <w:t xml:space="preserve">.– </w:t>
      </w:r>
      <w:r>
        <w:rPr>
          <w:i/>
          <w:iCs/>
          <w:smallCaps w:val="0"/>
        </w:rPr>
        <w:t>Trade-off entre consumo y ocio</w:t>
      </w:r>
    </w:p>
    <w:p w14:paraId="5923A69F" w14:textId="77777777" w:rsidR="00F722D9" w:rsidRDefault="00F722D9" w:rsidP="00F722D9">
      <w:pPr>
        <w:pStyle w:val="Imagen"/>
      </w:pPr>
      <w:r>
        <w:drawing>
          <wp:inline distT="0" distB="0" distL="0" distR="0" wp14:anchorId="140E9955" wp14:editId="0F1D11B9">
            <wp:extent cx="4218223" cy="1980000"/>
            <wp:effectExtent l="0" t="0" r="0" b="1270"/>
            <wp:docPr id="704215445" name="Imagen 1" descr="Imagen que contiene objeto, barco, tabla, estacion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15445" name="Imagen 1" descr="Imagen que contiene objeto, barco, tabla, estacionado&#10;&#10;Descripción generada automáticamente"/>
                    <pic:cNvPicPr/>
                  </pic:nvPicPr>
                  <pic:blipFill rotWithShape="1">
                    <a:blip r:embed="rId8"/>
                    <a:srcRect t="5977" b="10570"/>
                    <a:stretch/>
                  </pic:blipFill>
                  <pic:spPr bwMode="auto">
                    <a:xfrm>
                      <a:off x="0" y="0"/>
                      <a:ext cx="4218223" cy="1980000"/>
                    </a:xfrm>
                    <a:prstGeom prst="rect">
                      <a:avLst/>
                    </a:prstGeom>
                    <a:ln>
                      <a:noFill/>
                    </a:ln>
                    <a:extLst>
                      <a:ext uri="{53640926-AAD7-44D8-BBD7-CCE9431645EC}">
                        <a14:shadowObscured xmlns:a14="http://schemas.microsoft.com/office/drawing/2010/main"/>
                      </a:ext>
                    </a:extLst>
                  </pic:spPr>
                </pic:pic>
              </a:graphicData>
            </a:graphic>
          </wp:inline>
        </w:drawing>
      </w:r>
    </w:p>
    <w:p w14:paraId="015F4005" w14:textId="47BC0B69" w:rsidR="00FC5496" w:rsidRPr="00F722D9" w:rsidRDefault="00F722D9" w:rsidP="00F722D9">
      <w:pPr>
        <w:pStyle w:val="PiedeImagen"/>
        <w:rPr>
          <w:i w:val="0"/>
          <w:iCs/>
        </w:rPr>
      </w:pPr>
      <w:r w:rsidRPr="00F722D9">
        <w:t>Fuente</w:t>
      </w:r>
      <w:r w:rsidRPr="00F722D9">
        <w:rPr>
          <w:i w:val="0"/>
          <w:iCs/>
        </w:rPr>
        <w:t>: Adaptado de Cahuc, P., Carcillo, S. &amp; Zylberberg, A. (2014).</w:t>
      </w:r>
      <w:r w:rsidRPr="00F722D9">
        <w:t xml:space="preserve"> Labor economics (Second Edition)</w:t>
      </w:r>
      <w:r w:rsidRPr="00F722D9">
        <w:rPr>
          <w:i w:val="0"/>
          <w:iCs/>
        </w:rPr>
        <w:t>. MIT Press. Página 16.</w:t>
      </w:r>
    </w:p>
    <w:p w14:paraId="3E27A7AE" w14:textId="5CFFDA18" w:rsidR="00FC5496" w:rsidRPr="00E02C8A" w:rsidRDefault="00C91B45" w:rsidP="00C91B45">
      <w:pPr>
        <w:pStyle w:val="Nivel2SM"/>
      </w:pPr>
      <w:r>
        <w:t xml:space="preserve">El individuo demanda </w:t>
      </w:r>
      <m:oMath>
        <m:r>
          <m:rPr>
            <m:nor/>
          </m:rPr>
          <w:rPr>
            <w:i/>
            <w:iCs/>
          </w:rPr>
          <m:t>O</m:t>
        </m:r>
        <m:r>
          <m:rPr>
            <m:nor/>
          </m:rPr>
          <w:rPr>
            <w:rFonts w:eastAsiaTheme="minorEastAsia"/>
            <w:i/>
            <w:iCs/>
          </w:rPr>
          <m:t>*</m:t>
        </m:r>
      </m:oMath>
      <w:r>
        <w:rPr>
          <w:rFonts w:eastAsiaTheme="minorEastAsia"/>
          <w:iCs/>
        </w:rPr>
        <w:t xml:space="preserve"> de ocio y el resto de la dotación (</w:t>
      </w:r>
      <m:oMath>
        <m:sSub>
          <m:sSubPr>
            <m:ctrlPr>
              <w:rPr>
                <w:rFonts w:ascii="Cambria Math" w:eastAsiaTheme="minorEastAsia" w:hAnsi="Cambria Math"/>
                <w:i/>
                <w:iCs/>
              </w:rPr>
            </m:ctrlPr>
          </m:sSubPr>
          <m:e>
            <m:r>
              <m:rPr>
                <m:nor/>
              </m:rPr>
              <w:rPr>
                <w:i/>
                <w:iCs/>
              </w:rPr>
              <m:t>O</m:t>
            </m:r>
          </m:e>
          <m:sub>
            <m:r>
              <m:rPr>
                <m:nor/>
              </m:rPr>
              <w:rPr>
                <w:rFonts w:eastAsiaTheme="minorEastAsia"/>
                <w:i/>
                <w:iCs/>
              </w:rPr>
              <m:t>0</m:t>
            </m:r>
          </m:sub>
        </m:sSub>
        <m:r>
          <w:rPr>
            <w:rFonts w:ascii="Cambria Math" w:eastAsiaTheme="minorEastAsia" w:hAnsi="Cambria Math"/>
          </w:rPr>
          <m:t>-</m:t>
        </m:r>
        <m:r>
          <m:rPr>
            <m:nor/>
          </m:rPr>
          <w:rPr>
            <w:i/>
            <w:iCs/>
          </w:rPr>
          <m:t>O</m:t>
        </m:r>
        <m:r>
          <m:rPr>
            <m:nor/>
          </m:rPr>
          <w:rPr>
            <w:rFonts w:eastAsiaTheme="minorEastAsia"/>
            <w:i/>
            <w:iCs/>
          </w:rPr>
          <m:t>*</m:t>
        </m:r>
      </m:oMath>
      <w:r>
        <w:rPr>
          <w:rFonts w:eastAsiaTheme="minorEastAsia"/>
          <w:iCs/>
        </w:rPr>
        <w:t>) ofertará trabajo.</w:t>
      </w:r>
    </w:p>
    <w:p w14:paraId="17B647A6" w14:textId="5335CB35" w:rsidR="00E02C8A" w:rsidRDefault="00E02C8A" w:rsidP="00E02C8A">
      <w:pPr>
        <w:pStyle w:val="Ttulo7"/>
      </w:pPr>
      <w:bookmarkStart w:id="21" w:name="_Toc149220463"/>
      <w:r>
        <w:t>Introducción de impuestos</w:t>
      </w:r>
      <w:bookmarkEnd w:id="21"/>
    </w:p>
    <w:p w14:paraId="3790A7AE" w14:textId="726D0550" w:rsidR="00E02C8A" w:rsidRDefault="00E02C8A" w:rsidP="00E02C8A">
      <w:pPr>
        <w:pStyle w:val="Nivel1SM"/>
        <w:keepNext/>
        <w:spacing w:before="0" w:after="0"/>
      </w:pPr>
      <w:r>
        <w:t>Hasta aquí hemos estudiado el mercado en ausencia de impuestos. Los impuestos que vamos a ver que afectan a la decisión de oferta de trabajo de los hogares son:</w:t>
      </w:r>
    </w:p>
    <w:p w14:paraId="4DFEE4A5" w14:textId="42C5F523" w:rsidR="00E02C8A" w:rsidRDefault="00E02C8A" w:rsidP="00E02C8A">
      <w:pPr>
        <w:pStyle w:val="Prrafodelista"/>
        <w:numPr>
          <w:ilvl w:val="0"/>
          <w:numId w:val="48"/>
        </w:numPr>
        <w:spacing w:after="100"/>
        <w:ind w:left="567" w:hanging="113"/>
      </w:pPr>
      <w:r>
        <w:rPr>
          <w:i/>
          <w:iCs/>
        </w:rPr>
        <w:t>Impuesto de suma fija</w:t>
      </w:r>
      <w:r>
        <w:t>.</w:t>
      </w:r>
    </w:p>
    <w:p w14:paraId="003C9B1F" w14:textId="367028C7" w:rsidR="00E02C8A" w:rsidRDefault="00E02C8A" w:rsidP="00E02C8A">
      <w:pPr>
        <w:pStyle w:val="Prrafodelista"/>
        <w:numPr>
          <w:ilvl w:val="0"/>
          <w:numId w:val="48"/>
        </w:numPr>
        <w:spacing w:after="100"/>
        <w:ind w:left="567" w:hanging="113"/>
      </w:pPr>
      <w:r>
        <w:rPr>
          <w:i/>
          <w:iCs/>
        </w:rPr>
        <w:t>Impuesto proporcional sobre las rentas salariales</w:t>
      </w:r>
      <w:r>
        <w:t>.</w:t>
      </w:r>
    </w:p>
    <w:p w14:paraId="30AC654E" w14:textId="151157C9" w:rsidR="00E02C8A" w:rsidRDefault="00E02C8A" w:rsidP="00E02C8A">
      <w:pPr>
        <w:pStyle w:val="Prrafodelista"/>
        <w:numPr>
          <w:ilvl w:val="0"/>
          <w:numId w:val="48"/>
        </w:numPr>
        <w:spacing w:after="100"/>
        <w:ind w:left="567" w:hanging="113"/>
      </w:pPr>
      <w:r>
        <w:rPr>
          <w:i/>
          <w:iCs/>
        </w:rPr>
        <w:t>Impuesto proporcional sobre toda la renta del individuo (salarial y no salarial)</w:t>
      </w:r>
      <w:r>
        <w:t>.</w:t>
      </w:r>
    </w:p>
    <w:p w14:paraId="0564AEF8" w14:textId="09A5419B" w:rsidR="00E02C8A" w:rsidRDefault="00E02C8A" w:rsidP="00E02C8A">
      <w:pPr>
        <w:pStyle w:val="Prrafodelista"/>
        <w:numPr>
          <w:ilvl w:val="0"/>
          <w:numId w:val="48"/>
        </w:numPr>
        <w:spacing w:after="100"/>
        <w:ind w:left="567" w:hanging="113"/>
      </w:pPr>
      <w:r>
        <w:rPr>
          <w:i/>
          <w:iCs/>
        </w:rPr>
        <w:t>Impuesto proporcional sobre el consumo</w:t>
      </w:r>
      <w:r>
        <w:t>.</w:t>
      </w:r>
    </w:p>
    <w:p w14:paraId="5F3731C9" w14:textId="76F55EEE" w:rsidR="00E02C8A" w:rsidRDefault="00E02C8A" w:rsidP="00E02C8A">
      <w:pPr>
        <w:pStyle w:val="Prrafodelista"/>
        <w:numPr>
          <w:ilvl w:val="0"/>
          <w:numId w:val="48"/>
        </w:numPr>
        <w:spacing w:after="100"/>
        <w:ind w:left="567" w:hanging="113"/>
        <w:jc w:val="left"/>
      </w:pPr>
      <w:r>
        <w:rPr>
          <w:i/>
          <w:iCs/>
        </w:rPr>
        <w:t>Impuesto progresivo sobre las rentas salariales</w:t>
      </w:r>
      <w:r w:rsidRPr="00E02C8A">
        <w:t>.</w:t>
      </w:r>
    </w:p>
    <w:p w14:paraId="6F1278B6" w14:textId="77777777" w:rsidR="00B56451" w:rsidRPr="00877DEA" w:rsidRDefault="00A30B35" w:rsidP="00F50469">
      <w:pPr>
        <w:pStyle w:val="Ttulo8"/>
      </w:pPr>
      <w:r w:rsidRPr="00877DEA">
        <w:t>Impuesto de suma fija</w:t>
      </w:r>
      <w:r w:rsidR="002862EE" w:rsidRPr="00877DEA">
        <w:t xml:space="preserve"> (Efecto positivo sobre la oferta de trabajo)</w:t>
      </w:r>
    </w:p>
    <w:p w14:paraId="52146EAC" w14:textId="4EBFF008" w:rsidR="001E53D9" w:rsidRDefault="008F63C0" w:rsidP="00E02C8A">
      <w:pPr>
        <w:pStyle w:val="Nivel1SM"/>
        <w:spacing w:before="0" w:after="0"/>
      </w:pPr>
      <w:r>
        <w:t xml:space="preserve">Con la </w:t>
      </w:r>
      <w:r>
        <w:rPr>
          <w:b/>
          <w:bCs/>
        </w:rPr>
        <w:t xml:space="preserve">introducción de un impuesto de suma </w:t>
      </w:r>
      <w:r w:rsidRPr="008F63C0">
        <w:rPr>
          <w:b/>
          <w:bCs/>
        </w:rPr>
        <w:t>fija</w:t>
      </w:r>
      <w:r>
        <w:t>, el p</w:t>
      </w:r>
      <w:r w:rsidR="00414C4C" w:rsidRPr="008F63C0">
        <w:t>roblema</w:t>
      </w:r>
      <w:r w:rsidR="00414C4C" w:rsidRPr="00AD3498">
        <w:t xml:space="preserve"> del individuo</w:t>
      </w:r>
      <w:r>
        <w:t xml:space="preserve"> es el siguiente</w:t>
      </w:r>
      <w:r w:rsidR="001E53D9">
        <w:t>:</w:t>
      </w:r>
    </w:p>
    <w:p w14:paraId="4E49D281" w14:textId="65371EB8" w:rsidR="009E2C84" w:rsidRPr="00E02C8A" w:rsidRDefault="00000000" w:rsidP="00E02C8A">
      <w:pPr>
        <w:spacing w:after="0"/>
        <w:jc w:val="center"/>
        <w:rPr>
          <w:rFonts w:eastAsiaTheme="minorEastAsia"/>
          <w:color w:val="767171" w:themeColor="background2" w:themeShade="80"/>
        </w:rPr>
      </w:pPr>
      <m:oMathPara>
        <m:oMath>
          <m:func>
            <m:funcPr>
              <m:ctrlPr>
                <w:rPr>
                  <w:rFonts w:ascii="Cambria Math" w:hAnsi="Cambria Math"/>
                  <w:i/>
                  <w:color w:val="767171" w:themeColor="background2" w:themeShade="80"/>
                </w:rPr>
              </m:ctrlPr>
            </m:funcPr>
            <m:fName>
              <m:f>
                <m:fPr>
                  <m:type m:val="noBar"/>
                  <m:ctrlPr>
                    <w:rPr>
                      <w:rFonts w:ascii="Cambria Math" w:hAnsi="Cambria Math"/>
                      <w:i/>
                      <w:color w:val="767171" w:themeColor="background2" w:themeShade="80"/>
                    </w:rPr>
                  </m:ctrlPr>
                </m:fPr>
                <m:num>
                  <m:limLow>
                    <m:limLowPr>
                      <m:ctrlPr>
                        <w:rPr>
                          <w:rFonts w:ascii="Cambria Math" w:hAnsi="Cambria Math"/>
                          <w:i/>
                          <w:color w:val="767171" w:themeColor="background2" w:themeShade="80"/>
                        </w:rPr>
                      </m:ctrlPr>
                    </m:limLowPr>
                    <m:e>
                      <w:proofErr w:type="spellStart"/>
                      <m:r>
                        <m:rPr>
                          <m:nor/>
                        </m:rPr>
                        <w:rPr>
                          <w:i/>
                          <w:color w:val="767171" w:themeColor="background2" w:themeShade="80"/>
                        </w:rPr>
                        <m:t>max</m:t>
                      </m:r>
                      <w:proofErr w:type="spellEnd"/>
                    </m:e>
                    <m:lim>
                      <m:d>
                        <m:dPr>
                          <m:begChr m:val="{"/>
                          <m:endChr m:val="}"/>
                          <m:ctrlPr>
                            <w:rPr>
                              <w:rFonts w:ascii="Cambria Math" w:hAnsi="Cambria Math"/>
                              <w:i/>
                              <w:color w:val="767171" w:themeColor="background2" w:themeShade="80"/>
                            </w:rPr>
                          </m:ctrlPr>
                        </m:dPr>
                        <m:e>
                          <m:r>
                            <m:rPr>
                              <m:nor/>
                            </m:rPr>
                            <w:rPr>
                              <w:i/>
                              <w:color w:val="767171" w:themeColor="background2" w:themeShade="80"/>
                            </w:rPr>
                            <m:t>C,</m:t>
                          </m:r>
                          <m:r>
                            <m:rPr>
                              <m:nor/>
                            </m:rPr>
                            <w:rPr>
                              <w:rFonts w:eastAsiaTheme="minorEastAsia"/>
                              <w:i/>
                              <w:iCs/>
                              <w:color w:val="767171" w:themeColor="background2" w:themeShade="80"/>
                            </w:rPr>
                            <m:t>O</m:t>
                          </m:r>
                        </m:e>
                      </m:d>
                    </m:lim>
                  </m:limLow>
                </m:num>
                <m:den>
                  <w:proofErr w:type="spellStart"/>
                  <m:r>
                    <m:rPr>
                      <m:nor/>
                    </m:rPr>
                    <w:rPr>
                      <w:i/>
                      <w:color w:val="767171" w:themeColor="background2" w:themeShade="80"/>
                    </w:rPr>
                    <m:t>s.a</m:t>
                  </m:r>
                  <w:proofErr w:type="spellEnd"/>
                </m:den>
              </m:f>
              <m:r>
                <w:rPr>
                  <w:rFonts w:ascii="Cambria Math" w:hAnsi="Cambria Math"/>
                  <w:color w:val="767171" w:themeColor="background2" w:themeShade="80"/>
                </w:rPr>
                <m:t xml:space="preserve">    </m:t>
              </m:r>
            </m:fName>
            <m:e>
              <m:r>
                <w:rPr>
                  <w:rFonts w:ascii="Cambria Math" w:hAnsi="Cambria Math"/>
                  <w:color w:val="767171" w:themeColor="background2" w:themeShade="80"/>
                </w:rPr>
                <m:t xml:space="preserve"> </m:t>
              </m:r>
              <m:f>
                <m:fPr>
                  <m:type m:val="noBar"/>
                  <m:ctrlPr>
                    <w:rPr>
                      <w:rFonts w:ascii="Cambria Math" w:hAnsi="Cambria Math"/>
                      <w:i/>
                      <w:color w:val="767171" w:themeColor="background2" w:themeShade="80"/>
                    </w:rPr>
                  </m:ctrlPr>
                </m:fPr>
                <m:num>
                  <m:r>
                    <m:rPr>
                      <m:nor/>
                    </m:rPr>
                    <w:rPr>
                      <w:i/>
                      <w:color w:val="767171" w:themeColor="background2" w:themeShade="80"/>
                    </w:rPr>
                    <m:t>U</m:t>
                  </m:r>
                  <m:d>
                    <m:dPr>
                      <m:ctrlPr>
                        <w:rPr>
                          <w:rFonts w:ascii="Cambria Math" w:hAnsi="Cambria Math"/>
                          <w:i/>
                          <w:iCs/>
                          <w:color w:val="767171" w:themeColor="background2" w:themeShade="80"/>
                        </w:rPr>
                      </m:ctrlPr>
                    </m:dPr>
                    <m:e>
                      <m:r>
                        <m:rPr>
                          <m:nor/>
                        </m:rPr>
                        <w:rPr>
                          <w:i/>
                          <w:color w:val="767171" w:themeColor="background2" w:themeShade="80"/>
                        </w:rPr>
                        <m:t>C,</m:t>
                      </m:r>
                      <m:r>
                        <m:rPr>
                          <m:nor/>
                        </m:rPr>
                        <w:rPr>
                          <w:i/>
                          <w:iCs/>
                          <w:color w:val="767171" w:themeColor="background2" w:themeShade="80"/>
                        </w:rPr>
                        <m:t>O</m:t>
                      </m:r>
                    </m:e>
                  </m:d>
                  <m:r>
                    <m:rPr>
                      <m:nor/>
                    </m:rPr>
                    <w:rPr>
                      <w:rFonts w:ascii="Cambria Math"/>
                      <w:iCs/>
                      <w:color w:val="767171" w:themeColor="background2" w:themeShade="80"/>
                    </w:rPr>
                    <m:t xml:space="preserve">                                                   </m:t>
                  </m:r>
                </m:num>
                <m:den>
                  <m:r>
                    <m:rPr>
                      <m:nor/>
                    </m:rPr>
                    <w:rPr>
                      <w:i/>
                      <w:color w:val="767171" w:themeColor="background2" w:themeShade="80"/>
                    </w:rPr>
                    <m:t>C</m:t>
                  </m:r>
                  <m:r>
                    <w:rPr>
                      <w:rFonts w:ascii="Cambria Math" w:hAnsi="Cambria Math"/>
                      <w:color w:val="767171" w:themeColor="background2" w:themeShade="80"/>
                    </w:rPr>
                    <m:t>+</m:t>
                  </m:r>
                  <m:r>
                    <m:rPr>
                      <m:nor/>
                    </m:rPr>
                    <w:rPr>
                      <w:i/>
                      <w:color w:val="767171" w:themeColor="background2" w:themeShade="80"/>
                    </w:rPr>
                    <m:t>w</m:t>
                  </m:r>
                  <m:r>
                    <w:rPr>
                      <w:rFonts w:ascii="Cambria Math" w:hAnsi="Cambria Math"/>
                      <w:color w:val="767171" w:themeColor="background2" w:themeShade="80"/>
                    </w:rPr>
                    <m:t>∙</m:t>
                  </m:r>
                  <m:r>
                    <m:rPr>
                      <m:nor/>
                    </m:rPr>
                    <w:rPr>
                      <w:i/>
                      <w:iCs/>
                      <w:color w:val="767171" w:themeColor="background2" w:themeShade="80"/>
                    </w:rPr>
                    <m:t>O</m:t>
                  </m:r>
                  <m:r>
                    <w:rPr>
                      <w:rFonts w:ascii="Cambria Math" w:hAnsi="Cambria Math"/>
                      <w:color w:val="767171" w:themeColor="background2" w:themeShade="80"/>
                    </w:rPr>
                    <m:t>≤</m:t>
                  </m:r>
                  <m:r>
                    <m:rPr>
                      <m:nor/>
                    </m:rPr>
                    <w:rPr>
                      <w:i/>
                      <w:color w:val="767171" w:themeColor="background2" w:themeShade="80"/>
                    </w:rPr>
                    <m:t>w</m:t>
                  </m:r>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iCs/>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iCs/>
                      <w:color w:val="767171" w:themeColor="background2" w:themeShade="80"/>
                    </w:rPr>
                    <m:t>M</m:t>
                  </m:r>
                  <m:r>
                    <w:rPr>
                      <w:rFonts w:ascii="Cambria Math" w:hAnsi="Cambria Math"/>
                    </w:rPr>
                    <m:t>-</m:t>
                  </m:r>
                  <m:sSub>
                    <m:sSubPr>
                      <m:ctrlPr>
                        <w:rPr>
                          <w:rFonts w:ascii="Cambria Math" w:hAnsi="Cambria Math"/>
                          <w:i/>
                          <w:iCs/>
                        </w:rPr>
                      </m:ctrlPr>
                    </m:sSubPr>
                    <m:e>
                      <m:r>
                        <m:rPr>
                          <m:nor/>
                        </m:rPr>
                        <w:rPr>
                          <w:i/>
                        </w:rPr>
                        <m:t>τ</m:t>
                      </m:r>
                    </m:e>
                    <m:sub>
                      <m:r>
                        <m:rPr>
                          <m:nor/>
                        </m:rPr>
                        <w:rPr>
                          <w:i/>
                        </w:rPr>
                        <m:t>suma fija</m:t>
                      </m:r>
                    </m:sub>
                  </m:sSub>
                </m:den>
              </m:f>
            </m:e>
          </m:func>
        </m:oMath>
      </m:oMathPara>
    </w:p>
    <w:p w14:paraId="339878BA" w14:textId="05BE4245" w:rsidR="00E02C8A" w:rsidRDefault="00E02C8A" w:rsidP="00E02C8A">
      <w:pPr>
        <w:pStyle w:val="Nivel2SM"/>
        <w:keepNext/>
        <w:spacing w:after="0"/>
      </w:pPr>
      <w:r>
        <w:t>De modo que la condición de equilibrio no se altera:</w:t>
      </w:r>
    </w:p>
    <w:p w14:paraId="3BD2B024" w14:textId="7C074C07" w:rsidR="00E02C8A" w:rsidRDefault="00000000" w:rsidP="003A35FC">
      <w:pPr>
        <w:pStyle w:val="Nivel2SM"/>
        <w:numPr>
          <w:ilvl w:val="0"/>
          <w:numId w:val="0"/>
        </w:numPr>
        <w:spacing w:after="0"/>
        <w:ind w:left="567"/>
      </w:pPr>
      <m:oMathPara>
        <m:oMath>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f>
                    <m:fPr>
                      <m:ctrlPr>
                        <w:rPr>
                          <w:rFonts w:ascii="Cambria Math" w:eastAsiaTheme="minorEastAsia" w:hAnsi="Cambria Math"/>
                          <w:i/>
                          <w:iCs/>
                        </w:rPr>
                      </m:ctrlPr>
                    </m:fPr>
                    <m:num>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num>
                    <m:den>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den>
                  </m:f>
                </m:e>
              </m:groupChr>
            </m:e>
            <m:lim>
              <m:r>
                <m:rPr>
                  <m:nor/>
                </m:rPr>
                <w:rPr>
                  <w:rFonts w:eastAsiaTheme="minorEastAsia"/>
                  <w:i/>
                </w:rPr>
                <m:t>RMS</m:t>
              </m:r>
            </m:lim>
          </m:limUp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w</m:t>
              </m:r>
            </m:num>
            <m:den>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den>
          </m:f>
        </m:oMath>
      </m:oMathPara>
    </w:p>
    <w:p w14:paraId="2BED7E5C" w14:textId="13D2CCFD" w:rsidR="00806719" w:rsidRDefault="00806719" w:rsidP="003A35FC">
      <w:pPr>
        <w:pStyle w:val="Nivel3SM"/>
        <w:keepNext/>
      </w:pPr>
      <w:r w:rsidRPr="00AD3498">
        <w:t xml:space="preserve">Un impuesto de suma fija no altera los precios relativos. Por tanto, no produce efecto sustitución (sólo </w:t>
      </w:r>
      <w:r w:rsidR="001F00EC">
        <w:t xml:space="preserve">se </w:t>
      </w:r>
      <w:r w:rsidRPr="00AD3498">
        <w:t>produce efecto renta).</w:t>
      </w:r>
    </w:p>
    <w:p w14:paraId="6854B552" w14:textId="29A063CE" w:rsidR="008F63C0" w:rsidRDefault="008F63C0" w:rsidP="003A35FC">
      <w:pPr>
        <w:pStyle w:val="Nivel4"/>
        <w:ind w:left="1474"/>
      </w:pPr>
      <w:r>
        <w:t>Ello no significa que el impuesto no tenga efectos sobre la renta relativa.</w:t>
      </w:r>
    </w:p>
    <w:p w14:paraId="687AD9E7" w14:textId="0653ACCE" w:rsidR="00E833E2" w:rsidRPr="00AD3498" w:rsidRDefault="00E833E2" w:rsidP="00E833E2">
      <w:pPr>
        <w:pStyle w:val="Nivel2SM"/>
        <w:keepNext/>
        <w:spacing w:after="0"/>
      </w:pPr>
      <w:r w:rsidRPr="00E833E2">
        <w:rPr>
          <w:i/>
          <w:iCs/>
        </w:rPr>
        <w:lastRenderedPageBreak/>
        <w:t>Gráficamente</w:t>
      </w:r>
      <w:r>
        <w:t>, el impuesto de suma fija produce un desplazamiento paralelo hacia adentro de la restricción presupuestaria.</w:t>
      </w:r>
    </w:p>
    <w:p w14:paraId="0967AC8E" w14:textId="77777777" w:rsidR="009D30AB" w:rsidRDefault="000676EF" w:rsidP="00F67FAF">
      <w:pPr>
        <w:jc w:val="center"/>
      </w:pPr>
      <w:r>
        <w:rPr>
          <w:noProof/>
        </w:rPr>
        <w:drawing>
          <wp:inline distT="0" distB="0" distL="0" distR="0" wp14:anchorId="2A117470" wp14:editId="7AACBD3B">
            <wp:extent cx="1965960" cy="1661160"/>
            <wp:effectExtent l="0" t="0" r="0" b="0"/>
            <wp:docPr id="6"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5960" cy="1661160"/>
                    </a:xfrm>
                    <a:prstGeom prst="rect">
                      <a:avLst/>
                    </a:prstGeom>
                    <a:noFill/>
                    <a:ln>
                      <a:noFill/>
                    </a:ln>
                  </pic:spPr>
                </pic:pic>
              </a:graphicData>
            </a:graphic>
          </wp:inline>
        </w:drawing>
      </w:r>
    </w:p>
    <w:p w14:paraId="5502CFE5" w14:textId="10599CE6" w:rsidR="008F63C0" w:rsidRPr="00D016C2" w:rsidRDefault="008F63C0" w:rsidP="008F63C0">
      <w:pPr>
        <w:pStyle w:val="Ttuloimagen"/>
        <w:rPr>
          <w:smallCaps w:val="0"/>
        </w:rPr>
      </w:pPr>
      <w:bookmarkStart w:id="22" w:name="_Ref143514382"/>
      <w:bookmarkStart w:id="23" w:name="_Ref113124674"/>
      <w:r>
        <w:t>Imagen </w:t>
      </w:r>
      <w:r>
        <w:fldChar w:fldCharType="begin"/>
      </w:r>
      <w:r>
        <w:instrText xml:space="preserve"> SEQ Ilustración \* ARABIC </w:instrText>
      </w:r>
      <w:r>
        <w:fldChar w:fldCharType="separate"/>
      </w:r>
      <w:r w:rsidR="004626ED">
        <w:t>2</w:t>
      </w:r>
      <w:r>
        <w:fldChar w:fldCharType="end"/>
      </w:r>
      <w:bookmarkEnd w:id="22"/>
      <w:r>
        <w:rPr>
          <w:smallCaps w:val="0"/>
        </w:rPr>
        <w:t xml:space="preserve">.– </w:t>
      </w:r>
      <w:r>
        <w:rPr>
          <w:i/>
          <w:iCs/>
          <w:smallCaps w:val="0"/>
        </w:rPr>
        <w:t xml:space="preserve">Efecto </w:t>
      </w:r>
      <w:r w:rsidR="00E833E2">
        <w:rPr>
          <w:i/>
          <w:iCs/>
          <w:smallCaps w:val="0"/>
        </w:rPr>
        <w:t xml:space="preserve">de un impuesto de suma fija (análogos a los </w:t>
      </w:r>
      <w:r>
        <w:rPr>
          <w:i/>
          <w:iCs/>
          <w:smallCaps w:val="0"/>
        </w:rPr>
        <w:t>de un</w:t>
      </w:r>
      <w:r w:rsidR="00E833E2">
        <w:rPr>
          <w:i/>
          <w:iCs/>
          <w:smallCaps w:val="0"/>
        </w:rPr>
        <w:t>a</w:t>
      </w:r>
      <w:r>
        <w:rPr>
          <w:i/>
          <w:iCs/>
          <w:smallCaps w:val="0"/>
        </w:rPr>
        <w:t xml:space="preserve"> </w:t>
      </w:r>
      <w:r w:rsidR="00E833E2">
        <w:rPr>
          <w:i/>
          <w:iCs/>
          <w:smallCaps w:val="0"/>
        </w:rPr>
        <w:t>caída</w:t>
      </w:r>
      <w:r>
        <w:rPr>
          <w:i/>
          <w:iCs/>
          <w:smallCaps w:val="0"/>
        </w:rPr>
        <w:t xml:space="preserve"> de la renta no salarial</w:t>
      </w:r>
      <w:r w:rsidR="00E833E2">
        <w:rPr>
          <w:i/>
          <w:iCs/>
          <w:smallCaps w:val="0"/>
        </w:rPr>
        <w:t>).</w:t>
      </w:r>
      <w:r w:rsidR="00E833E2">
        <w:rPr>
          <w:i/>
          <w:iCs/>
          <w:smallCaps w:val="0"/>
        </w:rPr>
        <w:br/>
        <w:t>Sería el paso de E’ a E</w:t>
      </w:r>
    </w:p>
    <w:p w14:paraId="67EE6C7D" w14:textId="77777777" w:rsidR="008F63C0" w:rsidRDefault="008F63C0" w:rsidP="008F63C0">
      <w:pPr>
        <w:pStyle w:val="Imagen"/>
      </w:pPr>
      <w:r>
        <w:drawing>
          <wp:inline distT="0" distB="0" distL="0" distR="0" wp14:anchorId="5E761E0D" wp14:editId="746BC8E3">
            <wp:extent cx="4173937" cy="1980000"/>
            <wp:effectExtent l="0" t="0" r="0" b="1270"/>
            <wp:docPr id="1491833199"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33199" name="Imagen 2" descr="Diagrama&#10;&#10;Descripción generada automáticamente"/>
                    <pic:cNvPicPr/>
                  </pic:nvPicPr>
                  <pic:blipFill rotWithShape="1">
                    <a:blip r:embed="rId10"/>
                    <a:srcRect t="4870" b="10791"/>
                    <a:stretch/>
                  </pic:blipFill>
                  <pic:spPr bwMode="auto">
                    <a:xfrm>
                      <a:off x="0" y="0"/>
                      <a:ext cx="4173937" cy="1980000"/>
                    </a:xfrm>
                    <a:prstGeom prst="rect">
                      <a:avLst/>
                    </a:prstGeom>
                    <a:ln>
                      <a:noFill/>
                    </a:ln>
                    <a:extLst>
                      <a:ext uri="{53640926-AAD7-44D8-BBD7-CCE9431645EC}">
                        <a14:shadowObscured xmlns:a14="http://schemas.microsoft.com/office/drawing/2010/main"/>
                      </a:ext>
                    </a:extLst>
                  </pic:spPr>
                </pic:pic>
              </a:graphicData>
            </a:graphic>
          </wp:inline>
        </w:drawing>
      </w:r>
    </w:p>
    <w:p w14:paraId="40C4F19E" w14:textId="77777777" w:rsidR="008F63C0" w:rsidRPr="004902AE" w:rsidRDefault="008F63C0" w:rsidP="008F63C0">
      <w:pPr>
        <w:pStyle w:val="PiedeImagen"/>
        <w:rPr>
          <w:i w:val="0"/>
          <w:iCs/>
        </w:rPr>
      </w:pPr>
      <w:r w:rsidRPr="000037A9">
        <w:t>Fuente</w:t>
      </w:r>
      <w:r w:rsidRPr="000037A9">
        <w:rPr>
          <w:i w:val="0"/>
          <w:iCs/>
        </w:rPr>
        <w:t>: Adaptado</w:t>
      </w:r>
      <w:r>
        <w:rPr>
          <w:i w:val="0"/>
          <w:iCs/>
        </w:rPr>
        <w:t xml:space="preserve"> de </w:t>
      </w:r>
      <w:r w:rsidRPr="000037A9">
        <w:rPr>
          <w:i w:val="0"/>
          <w:iCs/>
        </w:rPr>
        <w:t xml:space="preserve">Cahuc, P., Carcillo, S. &amp; Zylberberg, A. (2014). </w:t>
      </w:r>
      <w:r w:rsidRPr="00E165FA">
        <w:t>Labor economics</w:t>
      </w:r>
      <w:r w:rsidRPr="00E165FA">
        <w:rPr>
          <w:i w:val="0"/>
          <w:iCs/>
        </w:rPr>
        <w:t xml:space="preserve"> (Second Edition). MIT Press. </w:t>
      </w:r>
      <w:r>
        <w:rPr>
          <w:i w:val="0"/>
          <w:iCs/>
        </w:rPr>
        <w:t>Página 16.</w:t>
      </w:r>
    </w:p>
    <w:bookmarkEnd w:id="23"/>
    <w:p w14:paraId="48B2D944" w14:textId="77777777" w:rsidR="00E833E2" w:rsidRPr="00AD3498" w:rsidRDefault="00E833E2" w:rsidP="00E833E2">
      <w:pPr>
        <w:pStyle w:val="Nivel2SM"/>
        <w:keepNext/>
        <w:spacing w:after="0"/>
      </w:pPr>
      <w:r w:rsidRPr="00E02C8A">
        <w:rPr>
          <w:u w:val="single"/>
        </w:rPr>
        <w:t>Efectos sobre la oferta de trabajo</w:t>
      </w:r>
      <w:r w:rsidRPr="00AD3498">
        <w:t>:</w:t>
      </w:r>
    </w:p>
    <w:p w14:paraId="6994E946" w14:textId="1045CF36" w:rsidR="008F63C0" w:rsidRPr="00AD3498" w:rsidRDefault="00E833E2" w:rsidP="00E833E2">
      <w:pPr>
        <w:pStyle w:val="Nivel3SM"/>
      </w:pPr>
      <w:r>
        <w:t xml:space="preserve">Dado que el ocio </w:t>
      </w:r>
      <w:r w:rsidRPr="00AD3498">
        <w:t xml:space="preserve">es un bien normal, la reducción de la renta del individuo provoca una reducción del ocio y, por tanto, un </w:t>
      </w:r>
      <w:r w:rsidRPr="00E833E2">
        <w:rPr>
          <w:b/>
          <w:bCs/>
        </w:rPr>
        <w:t>aumento de la oferta de trabajo</w:t>
      </w:r>
      <w:r w:rsidRPr="00AD3498">
        <w:t>.</w:t>
      </w:r>
    </w:p>
    <w:p w14:paraId="40AFA222" w14:textId="77777777" w:rsidR="0059096D" w:rsidRDefault="0059096D" w:rsidP="00F50469">
      <w:pPr>
        <w:pStyle w:val="Ttulo8"/>
      </w:pPr>
      <w:r w:rsidRPr="00877DEA">
        <w:t xml:space="preserve">Impuesto </w:t>
      </w:r>
      <w:r w:rsidR="00E95CE4" w:rsidRPr="00877DEA">
        <w:t>proporcional sobre las rentas salariales</w:t>
      </w:r>
      <w:r w:rsidR="002862EE" w:rsidRPr="00877DEA">
        <w:t xml:space="preserve"> (efecto ambiguo sobre la oferta de trabajo)</w:t>
      </w:r>
    </w:p>
    <w:p w14:paraId="00126992" w14:textId="1C802A88" w:rsidR="00E833E2" w:rsidRDefault="00E833E2" w:rsidP="00E833E2">
      <w:pPr>
        <w:pStyle w:val="Nivel1SM"/>
        <w:spacing w:before="0" w:after="0"/>
      </w:pPr>
      <w:r>
        <w:t xml:space="preserve">Con la </w:t>
      </w:r>
      <w:r>
        <w:rPr>
          <w:b/>
          <w:bCs/>
        </w:rPr>
        <w:t xml:space="preserve">introducción de un impuesto </w:t>
      </w:r>
      <w:r w:rsidR="00564831">
        <w:rPr>
          <w:b/>
          <w:bCs/>
        </w:rPr>
        <w:t>proporcional sobre las rentas salariales</w:t>
      </w:r>
      <w:r>
        <w:t>, el p</w:t>
      </w:r>
      <w:r w:rsidRPr="008F63C0">
        <w:t>roblema</w:t>
      </w:r>
      <w:r w:rsidRPr="00AD3498">
        <w:t xml:space="preserve"> del individuo</w:t>
      </w:r>
      <w:r>
        <w:t xml:space="preserve"> es el siguiente:</w:t>
      </w:r>
    </w:p>
    <w:p w14:paraId="5D68BC83" w14:textId="0C218C89" w:rsidR="00E833E2" w:rsidRPr="00E02C8A" w:rsidRDefault="00000000" w:rsidP="00E833E2">
      <w:pPr>
        <w:spacing w:after="0"/>
        <w:jc w:val="center"/>
        <w:rPr>
          <w:rFonts w:eastAsiaTheme="minorEastAsia"/>
          <w:color w:val="767171" w:themeColor="background2" w:themeShade="80"/>
        </w:rPr>
      </w:pPr>
      <m:oMathPara>
        <m:oMath>
          <m:func>
            <m:funcPr>
              <m:ctrlPr>
                <w:rPr>
                  <w:rFonts w:ascii="Cambria Math" w:hAnsi="Cambria Math"/>
                  <w:i/>
                  <w:color w:val="767171" w:themeColor="background2" w:themeShade="80"/>
                </w:rPr>
              </m:ctrlPr>
            </m:funcPr>
            <m:fName>
              <m:f>
                <m:fPr>
                  <m:type m:val="noBar"/>
                  <m:ctrlPr>
                    <w:rPr>
                      <w:rFonts w:ascii="Cambria Math" w:hAnsi="Cambria Math"/>
                      <w:i/>
                      <w:color w:val="767171" w:themeColor="background2" w:themeShade="80"/>
                    </w:rPr>
                  </m:ctrlPr>
                </m:fPr>
                <m:num>
                  <m:limLow>
                    <m:limLowPr>
                      <m:ctrlPr>
                        <w:rPr>
                          <w:rFonts w:ascii="Cambria Math" w:hAnsi="Cambria Math"/>
                          <w:i/>
                          <w:color w:val="767171" w:themeColor="background2" w:themeShade="80"/>
                        </w:rPr>
                      </m:ctrlPr>
                    </m:limLowPr>
                    <m:e>
                      <w:proofErr w:type="spellStart"/>
                      <m:r>
                        <m:rPr>
                          <m:nor/>
                        </m:rPr>
                        <w:rPr>
                          <w:i/>
                          <w:color w:val="767171" w:themeColor="background2" w:themeShade="80"/>
                        </w:rPr>
                        <m:t>max</m:t>
                      </m:r>
                      <w:proofErr w:type="spellEnd"/>
                    </m:e>
                    <m:lim>
                      <m:d>
                        <m:dPr>
                          <m:begChr m:val="{"/>
                          <m:endChr m:val="}"/>
                          <m:ctrlPr>
                            <w:rPr>
                              <w:rFonts w:ascii="Cambria Math" w:hAnsi="Cambria Math"/>
                              <w:i/>
                              <w:color w:val="767171" w:themeColor="background2" w:themeShade="80"/>
                            </w:rPr>
                          </m:ctrlPr>
                        </m:dPr>
                        <m:e>
                          <m:r>
                            <m:rPr>
                              <m:nor/>
                            </m:rPr>
                            <w:rPr>
                              <w:i/>
                              <w:color w:val="767171" w:themeColor="background2" w:themeShade="80"/>
                            </w:rPr>
                            <m:t>C,</m:t>
                          </m:r>
                          <m:r>
                            <m:rPr>
                              <m:nor/>
                            </m:rPr>
                            <w:rPr>
                              <w:rFonts w:eastAsiaTheme="minorEastAsia"/>
                              <w:i/>
                              <w:iCs/>
                              <w:color w:val="767171" w:themeColor="background2" w:themeShade="80"/>
                            </w:rPr>
                            <m:t>O</m:t>
                          </m:r>
                        </m:e>
                      </m:d>
                    </m:lim>
                  </m:limLow>
                </m:num>
                <m:den>
                  <w:proofErr w:type="spellStart"/>
                  <m:r>
                    <m:rPr>
                      <m:nor/>
                    </m:rPr>
                    <w:rPr>
                      <w:i/>
                      <w:color w:val="767171" w:themeColor="background2" w:themeShade="80"/>
                    </w:rPr>
                    <m:t>s.a</m:t>
                  </m:r>
                  <w:proofErr w:type="spellEnd"/>
                </m:den>
              </m:f>
              <m:r>
                <w:rPr>
                  <w:rFonts w:ascii="Cambria Math" w:hAnsi="Cambria Math"/>
                  <w:color w:val="767171" w:themeColor="background2" w:themeShade="80"/>
                </w:rPr>
                <m:t xml:space="preserve">    </m:t>
              </m:r>
            </m:fName>
            <m:e>
              <m:r>
                <w:rPr>
                  <w:rFonts w:ascii="Cambria Math" w:hAnsi="Cambria Math"/>
                  <w:color w:val="767171" w:themeColor="background2" w:themeShade="80"/>
                </w:rPr>
                <m:t xml:space="preserve"> </m:t>
              </m:r>
              <m:f>
                <m:fPr>
                  <m:type m:val="noBar"/>
                  <m:ctrlPr>
                    <w:rPr>
                      <w:rFonts w:ascii="Cambria Math" w:hAnsi="Cambria Math"/>
                      <w:i/>
                      <w:color w:val="767171" w:themeColor="background2" w:themeShade="80"/>
                    </w:rPr>
                  </m:ctrlPr>
                </m:fPr>
                <m:num>
                  <m:r>
                    <m:rPr>
                      <m:nor/>
                    </m:rPr>
                    <w:rPr>
                      <w:i/>
                      <w:color w:val="767171" w:themeColor="background2" w:themeShade="80"/>
                    </w:rPr>
                    <m:t>U</m:t>
                  </m:r>
                  <m:d>
                    <m:dPr>
                      <m:ctrlPr>
                        <w:rPr>
                          <w:rFonts w:ascii="Cambria Math" w:hAnsi="Cambria Math"/>
                          <w:i/>
                          <w:iCs/>
                          <w:color w:val="767171" w:themeColor="background2" w:themeShade="80"/>
                        </w:rPr>
                      </m:ctrlPr>
                    </m:dPr>
                    <m:e>
                      <m:r>
                        <m:rPr>
                          <m:nor/>
                        </m:rPr>
                        <w:rPr>
                          <w:i/>
                          <w:color w:val="767171" w:themeColor="background2" w:themeShade="80"/>
                        </w:rPr>
                        <m:t>C,</m:t>
                      </m:r>
                      <m:r>
                        <m:rPr>
                          <m:nor/>
                        </m:rPr>
                        <w:rPr>
                          <w:i/>
                          <w:iCs/>
                          <w:color w:val="767171" w:themeColor="background2" w:themeShade="80"/>
                        </w:rPr>
                        <m:t>O</m:t>
                      </m:r>
                    </m:e>
                  </m:d>
                  <m:r>
                    <m:rPr>
                      <m:nor/>
                    </m:rPr>
                    <w:rPr>
                      <w:rFonts w:ascii="Cambria Math"/>
                      <w:iCs/>
                      <w:color w:val="767171" w:themeColor="background2" w:themeShade="80"/>
                    </w:rPr>
                    <m:t xml:space="preserve">                                                                    </m:t>
                  </m:r>
                </m:num>
                <m:den>
                  <m:r>
                    <m:rPr>
                      <m:nor/>
                    </m:rPr>
                    <w:rPr>
                      <w:i/>
                      <w:color w:val="767171" w:themeColor="background2" w:themeShade="80"/>
                    </w:rPr>
                    <m:t>C</m:t>
                  </m:r>
                  <m:r>
                    <w:rPr>
                      <w:rFonts w:ascii="Cambria Math" w:hAnsi="Cambria Math"/>
                      <w:color w:val="767171" w:themeColor="background2" w:themeShade="80"/>
                    </w:rPr>
                    <m:t>+</m:t>
                  </m:r>
                  <m:r>
                    <m:rPr>
                      <m:nor/>
                    </m:rPr>
                    <w:rPr>
                      <w:i/>
                      <w:color w:val="767171" w:themeColor="background2" w:themeShade="80"/>
                    </w:rPr>
                    <m:t>w</m:t>
                  </m:r>
                  <m:r>
                    <w:rPr>
                      <w:rFonts w:ascii="Cambria Math" w:hAnsi="Cambria Math"/>
                      <w:color w:val="767171" w:themeColor="background2" w:themeShade="80"/>
                    </w:rPr>
                    <m:t>∙</m:t>
                  </m:r>
                  <m:r>
                    <m:rPr>
                      <m:nor/>
                    </m:rPr>
                    <w:rPr>
                      <w:i/>
                      <w:iCs/>
                      <w:color w:val="767171" w:themeColor="background2" w:themeShade="80"/>
                    </w:rPr>
                    <m:t>O</m:t>
                  </m:r>
                  <m:r>
                    <w:rPr>
                      <w:rFonts w:ascii="Cambria Math" w:hAnsi="Cambria Math"/>
                      <w:color w:val="767171" w:themeColor="background2" w:themeShade="80"/>
                    </w:rPr>
                    <m:t>≤</m:t>
                  </m:r>
                  <m:r>
                    <m:rPr>
                      <m:nor/>
                    </m:rPr>
                    <w:rPr>
                      <w:i/>
                      <w:color w:val="767171" w:themeColor="background2" w:themeShade="80"/>
                    </w:rPr>
                    <m:t>w</m:t>
                  </m:r>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iCs/>
                            </w:rPr>
                          </m:ctrlPr>
                        </m:sSubPr>
                        <m:e>
                          <m:r>
                            <m:rPr>
                              <m:nor/>
                            </m:rPr>
                            <w:rPr>
                              <w:i/>
                            </w:rPr>
                            <m:t>τ</m:t>
                          </m:r>
                        </m:e>
                        <m:sub>
                          <m:r>
                            <m:rPr>
                              <m:nor/>
                            </m:rPr>
                            <w:rPr>
                              <w:i/>
                            </w:rPr>
                            <m:t>rentas salariales</m:t>
                          </m:r>
                        </m:sub>
                      </m:sSub>
                    </m:e>
                  </m:d>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iCs/>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iCs/>
                      <w:color w:val="767171" w:themeColor="background2" w:themeShade="80"/>
                    </w:rPr>
                    <m:t>M</m:t>
                  </m:r>
                </m:den>
              </m:f>
            </m:e>
          </m:func>
        </m:oMath>
      </m:oMathPara>
    </w:p>
    <w:p w14:paraId="1614C975" w14:textId="10C428B0" w:rsidR="00E833E2" w:rsidRDefault="00E833E2" w:rsidP="00E833E2">
      <w:pPr>
        <w:pStyle w:val="Nivel2SM"/>
        <w:keepNext/>
        <w:spacing w:after="0"/>
      </w:pPr>
      <w:r>
        <w:t xml:space="preserve">De modo que la condición de equilibrio </w:t>
      </w:r>
      <w:r w:rsidR="00564831">
        <w:t>queda de la siguiente manera</w:t>
      </w:r>
      <w:r>
        <w:t>:</w:t>
      </w:r>
    </w:p>
    <w:p w14:paraId="368142C7" w14:textId="718D24EE" w:rsidR="00E833E2" w:rsidRDefault="00000000" w:rsidP="003A35FC">
      <w:pPr>
        <w:pStyle w:val="Nivel2SM"/>
        <w:numPr>
          <w:ilvl w:val="0"/>
          <w:numId w:val="0"/>
        </w:numPr>
        <w:spacing w:after="0"/>
        <w:ind w:left="567"/>
      </w:pPr>
      <m:oMathPara>
        <m:oMath>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f>
                    <m:fPr>
                      <m:ctrlPr>
                        <w:rPr>
                          <w:rFonts w:ascii="Cambria Math" w:eastAsiaTheme="minorEastAsia" w:hAnsi="Cambria Math"/>
                          <w:i/>
                          <w:iCs/>
                        </w:rPr>
                      </m:ctrlPr>
                    </m:fPr>
                    <m:num>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num>
                    <m:den>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den>
                  </m:f>
                </m:e>
              </m:groupChr>
            </m:e>
            <m:lim>
              <m:r>
                <m:rPr>
                  <m:nor/>
                </m:rPr>
                <w:rPr>
                  <w:rFonts w:eastAsiaTheme="minorEastAsia"/>
                  <w:i/>
                </w:rPr>
                <m:t>RMS</m:t>
              </m:r>
            </m:lim>
          </m:limUp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w</m:t>
              </m:r>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iCs/>
                        </w:rPr>
                      </m:ctrlPr>
                    </m:sSubPr>
                    <m:e>
                      <m:r>
                        <m:rPr>
                          <m:nor/>
                        </m:rPr>
                        <w:rPr>
                          <w:i/>
                        </w:rPr>
                        <m:t>τ</m:t>
                      </m:r>
                    </m:e>
                    <m:sub>
                      <m:r>
                        <m:rPr>
                          <m:nor/>
                        </m:rPr>
                        <w:rPr>
                          <w:i/>
                        </w:rPr>
                        <m:t>rentas salariales</m:t>
                      </m:r>
                    </m:sub>
                  </m:sSub>
                </m:e>
              </m:d>
            </m:num>
            <m:den>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den>
          </m:f>
        </m:oMath>
      </m:oMathPara>
    </w:p>
    <w:p w14:paraId="17EBABC1" w14:textId="7C3B73AC" w:rsidR="00E833E2" w:rsidRDefault="003A35FC" w:rsidP="003A35FC">
      <w:pPr>
        <w:pStyle w:val="Nivel3SM"/>
      </w:pPr>
      <w:r>
        <w:t>Este</w:t>
      </w:r>
      <w:r w:rsidR="00E833E2" w:rsidRPr="00AD3498">
        <w:t xml:space="preserve"> impuesto </w:t>
      </w:r>
      <w:r>
        <w:t>sí</w:t>
      </w:r>
      <w:r w:rsidR="00E833E2" w:rsidRPr="00AD3498">
        <w:t xml:space="preserve"> altera los precios relativos. Por tanto, </w:t>
      </w:r>
      <w:r>
        <w:t xml:space="preserve">además del efecto renta se </w:t>
      </w:r>
      <w:r w:rsidR="00E833E2" w:rsidRPr="00AD3498">
        <w:t>produce efecto sustitución.</w:t>
      </w:r>
    </w:p>
    <w:p w14:paraId="03801D5F" w14:textId="3F6E34D5" w:rsidR="00A86E23" w:rsidRDefault="00E833E2" w:rsidP="00A86E23">
      <w:pPr>
        <w:pStyle w:val="Nivel2SM"/>
        <w:keepNext/>
        <w:spacing w:after="0"/>
      </w:pPr>
      <w:r w:rsidRPr="00E833E2">
        <w:rPr>
          <w:i/>
          <w:iCs/>
        </w:rPr>
        <w:lastRenderedPageBreak/>
        <w:t>Gráficamente</w:t>
      </w:r>
      <w:r>
        <w:t xml:space="preserve">, </w:t>
      </w:r>
    </w:p>
    <w:p w14:paraId="7ED7EC09" w14:textId="77777777" w:rsidR="005606EA" w:rsidRDefault="000676EF" w:rsidP="000D48CB">
      <w:pPr>
        <w:spacing w:after="0"/>
        <w:ind w:left="720"/>
        <w:jc w:val="center"/>
      </w:pPr>
      <w:r>
        <w:rPr>
          <w:noProof/>
        </w:rPr>
        <w:drawing>
          <wp:inline distT="0" distB="0" distL="0" distR="0" wp14:anchorId="7CED1BFD" wp14:editId="1771B1A4">
            <wp:extent cx="2822383" cy="2444750"/>
            <wp:effectExtent l="0" t="0" r="0" b="0"/>
            <wp:docPr id="9"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rcRect l="3551"/>
                    <a:stretch/>
                  </pic:blipFill>
                  <pic:spPr bwMode="auto">
                    <a:xfrm>
                      <a:off x="0" y="0"/>
                      <a:ext cx="2825371" cy="2447338"/>
                    </a:xfrm>
                    <a:prstGeom prst="rect">
                      <a:avLst/>
                    </a:prstGeom>
                    <a:noFill/>
                    <a:ln>
                      <a:noFill/>
                    </a:ln>
                    <a:extLst>
                      <a:ext uri="{53640926-AAD7-44D8-BBD7-CCE9431645EC}">
                        <a14:shadowObscured xmlns:a14="http://schemas.microsoft.com/office/drawing/2010/main"/>
                      </a:ext>
                    </a:extLst>
                  </pic:spPr>
                </pic:pic>
              </a:graphicData>
            </a:graphic>
          </wp:inline>
        </w:drawing>
      </w:r>
    </w:p>
    <w:p w14:paraId="27777BE0" w14:textId="0FC8C295" w:rsidR="005606EA" w:rsidRPr="005606EA" w:rsidRDefault="005606EA" w:rsidP="00A86E23">
      <w:pPr>
        <w:pStyle w:val="Nivel2SM"/>
        <w:keepNext/>
        <w:spacing w:after="0"/>
      </w:pPr>
      <w:r w:rsidRPr="00166E7D">
        <w:rPr>
          <w:u w:val="single"/>
        </w:rPr>
        <w:t xml:space="preserve">Efectos sobre la </w:t>
      </w:r>
      <w:r w:rsidR="00A86E23">
        <w:rPr>
          <w:u w:val="single"/>
        </w:rPr>
        <w:t>demand</w:t>
      </w:r>
      <w:r w:rsidRPr="00166E7D">
        <w:rPr>
          <w:u w:val="single"/>
        </w:rPr>
        <w:t>a de ocio</w:t>
      </w:r>
      <w:r>
        <w:t xml:space="preserve"> (y por ende la oferta de trabajo)</w:t>
      </w:r>
      <w:r w:rsidRPr="00AD3498">
        <w:t>:</w:t>
      </w:r>
    </w:p>
    <w:p w14:paraId="2DD808C2" w14:textId="65CABFF3" w:rsidR="005606EA" w:rsidRDefault="005606EA" w:rsidP="00A86E23">
      <w:pPr>
        <w:pStyle w:val="Nivel3SM"/>
        <w:keepNext/>
      </w:pPr>
      <w:r w:rsidRPr="00A86E23">
        <w:rPr>
          <w:i/>
          <w:iCs/>
        </w:rPr>
        <w:t>Manteniendo la dotación constante</w:t>
      </w:r>
      <w:r w:rsidR="00A86E23">
        <w:t>:</w:t>
      </w:r>
    </w:p>
    <w:p w14:paraId="53D4BFC9" w14:textId="61F2E14E" w:rsidR="00316244" w:rsidRPr="005606EA" w:rsidRDefault="00316244" w:rsidP="00A86E23">
      <w:pPr>
        <w:pStyle w:val="Nivel4"/>
        <w:keepNext/>
        <w:ind w:left="1474"/>
      </w:pPr>
      <w:r w:rsidRPr="005606EA">
        <w:t>Efecto sustitución</w:t>
      </w:r>
      <w:r w:rsidR="005606EA" w:rsidRPr="005606EA">
        <w:t xml:space="preserve"> (E</w:t>
      </w:r>
      <w:r w:rsidR="005606EA" w:rsidRPr="00A86E23">
        <w:rPr>
          <w:vertAlign w:val="subscript"/>
        </w:rPr>
        <w:t>0</w:t>
      </w:r>
      <w:r w:rsidR="005606EA" w:rsidRPr="005606EA">
        <w:t xml:space="preserve"> – E</w:t>
      </w:r>
      <w:r w:rsidR="005606EA" w:rsidRPr="00A86E23">
        <w:rPr>
          <w:vertAlign w:val="subscript"/>
        </w:rPr>
        <w:t>1</w:t>
      </w:r>
      <w:r w:rsidR="005606EA" w:rsidRPr="005606EA">
        <w:t>):</w:t>
      </w:r>
    </w:p>
    <w:p w14:paraId="23CE5C89" w14:textId="0D175495" w:rsidR="00316244" w:rsidRDefault="00316244" w:rsidP="00A86E23">
      <w:pPr>
        <w:pStyle w:val="Nivel5"/>
        <w:ind w:left="1871"/>
      </w:pPr>
      <w:r>
        <w:t xml:space="preserve">La disminución de la renta salarial abarata el precio del ocio lo que hace aumentar su demanda y por ende </w:t>
      </w:r>
      <w:r>
        <w:rPr>
          <w:u w:val="single"/>
        </w:rPr>
        <w:t>reduce la oferta laboral</w:t>
      </w:r>
      <w:r>
        <w:t>.</w:t>
      </w:r>
    </w:p>
    <w:p w14:paraId="3EC0B76E" w14:textId="77777777" w:rsidR="00316244" w:rsidRPr="005606EA" w:rsidRDefault="00316244" w:rsidP="00A86E23">
      <w:pPr>
        <w:pStyle w:val="Nivel4"/>
        <w:keepNext/>
        <w:ind w:left="1474"/>
      </w:pPr>
      <w:r w:rsidRPr="005606EA">
        <w:t>Efecto renta ordinario</w:t>
      </w:r>
      <w:r w:rsidR="005606EA" w:rsidRPr="005606EA">
        <w:t xml:space="preserve"> (E</w:t>
      </w:r>
      <w:r w:rsidR="005606EA" w:rsidRPr="00A86E23">
        <w:rPr>
          <w:vertAlign w:val="subscript"/>
        </w:rPr>
        <w:t>1</w:t>
      </w:r>
      <w:r w:rsidR="005606EA" w:rsidRPr="005606EA">
        <w:t xml:space="preserve"> – E</w:t>
      </w:r>
      <w:r w:rsidR="005606EA" w:rsidRPr="00A86E23">
        <w:rPr>
          <w:vertAlign w:val="subscript"/>
        </w:rPr>
        <w:t>3</w:t>
      </w:r>
      <w:r w:rsidR="005606EA" w:rsidRPr="005606EA">
        <w:t>):</w:t>
      </w:r>
    </w:p>
    <w:p w14:paraId="0249D1A1" w14:textId="789BBAD4" w:rsidR="005606EA" w:rsidRDefault="005606EA" w:rsidP="00A86E23">
      <w:pPr>
        <w:pStyle w:val="Nivel5"/>
        <w:ind w:left="1871"/>
      </w:pPr>
      <w:r>
        <w:t xml:space="preserve">La reducción del precio del ocio hace aumentar la renta real del trabajador </w:t>
      </w:r>
      <w:bookmarkStart w:id="24" w:name="_Hlk147135157"/>
      <w:r>
        <w:t>lo que le llevará a adquirir más ocio (bien normal).</w:t>
      </w:r>
      <w:bookmarkEnd w:id="24"/>
    </w:p>
    <w:p w14:paraId="64FBB8B8" w14:textId="3DBA4561" w:rsidR="005606EA" w:rsidRDefault="005606EA" w:rsidP="00A86E23">
      <w:pPr>
        <w:pStyle w:val="Nivel5"/>
        <w:ind w:left="1871"/>
      </w:pPr>
      <w:r>
        <w:t xml:space="preserve">Esto </w:t>
      </w:r>
      <w:r w:rsidRPr="00A86E23">
        <w:rPr>
          <w:u w:val="single"/>
        </w:rPr>
        <w:t>reduce la oferta laboral</w:t>
      </w:r>
      <w:r>
        <w:t>.</w:t>
      </w:r>
    </w:p>
    <w:p w14:paraId="27EA63A2" w14:textId="2E045E20" w:rsidR="00EA5501" w:rsidRPr="00EA5501" w:rsidRDefault="00EA5501" w:rsidP="00A86E23">
      <w:pPr>
        <w:pStyle w:val="Nivel5"/>
        <w:ind w:left="1871"/>
      </w:pPr>
      <w:r w:rsidRPr="00A86E23">
        <w:rPr>
          <w:b/>
          <w:bCs/>
          <w:u w:val="single"/>
        </w:rPr>
        <w:t>NOTA: En el gráfico está mal pintado el punto E</w:t>
      </w:r>
      <w:r w:rsidRPr="00A86E23">
        <w:rPr>
          <w:b/>
          <w:bCs/>
          <w:u w:val="single"/>
          <w:vertAlign w:val="subscript"/>
        </w:rPr>
        <w:t>3</w:t>
      </w:r>
      <w:r w:rsidRPr="00A86E23">
        <w:rPr>
          <w:b/>
          <w:bCs/>
          <w:u w:val="single"/>
        </w:rPr>
        <w:t>, no puede estar más a la derecha que la dotación L(barra)</w:t>
      </w:r>
      <w:r w:rsidRPr="00EA5501">
        <w:t>.</w:t>
      </w:r>
    </w:p>
    <w:p w14:paraId="65FD00D6" w14:textId="430B1B19" w:rsidR="005606EA" w:rsidRPr="005606EA" w:rsidRDefault="005606EA" w:rsidP="00A86E23">
      <w:pPr>
        <w:pStyle w:val="Nivel3SM"/>
        <w:keepNext/>
      </w:pPr>
      <w:r w:rsidRPr="00A86E23">
        <w:rPr>
          <w:i/>
          <w:iCs/>
        </w:rPr>
        <w:t>Variando el valor de la dotación</w:t>
      </w:r>
      <w:r w:rsidR="00A86E23">
        <w:t>:</w:t>
      </w:r>
    </w:p>
    <w:p w14:paraId="3615FA6B" w14:textId="77777777" w:rsidR="00316244" w:rsidRDefault="00316244" w:rsidP="00A86E23">
      <w:pPr>
        <w:pStyle w:val="Nivel4"/>
        <w:keepNext/>
        <w:ind w:left="1474"/>
      </w:pPr>
      <w:r w:rsidRPr="00E47C73">
        <w:t xml:space="preserve">Efecto renta </w:t>
      </w:r>
      <w:r>
        <w:t>dotación</w:t>
      </w:r>
      <w:r w:rsidR="005606EA">
        <w:t xml:space="preserve"> (E</w:t>
      </w:r>
      <w:r w:rsidR="005606EA" w:rsidRPr="00A86E23">
        <w:rPr>
          <w:vertAlign w:val="subscript"/>
        </w:rPr>
        <w:t>3</w:t>
      </w:r>
      <w:r w:rsidR="005606EA">
        <w:t xml:space="preserve"> – E</w:t>
      </w:r>
      <w:r w:rsidR="005606EA" w:rsidRPr="00A86E23">
        <w:rPr>
          <w:vertAlign w:val="subscript"/>
        </w:rPr>
        <w:t>4</w:t>
      </w:r>
      <w:r w:rsidR="005606EA">
        <w:t>)</w:t>
      </w:r>
      <w:r w:rsidRPr="00325057">
        <w:t>:</w:t>
      </w:r>
    </w:p>
    <w:p w14:paraId="0434AB33" w14:textId="332CD668" w:rsidR="00EA5501" w:rsidRDefault="00EA5501" w:rsidP="00A86E23">
      <w:pPr>
        <w:pStyle w:val="Nivel5"/>
        <w:ind w:left="1871"/>
      </w:pPr>
      <w:r>
        <w:t>El valor de la dotación se reduce por lo que hay un ER dotación negativo que le haga reducir el ocio con respecto al punto E</w:t>
      </w:r>
      <w:r w:rsidRPr="00A86E23">
        <w:rPr>
          <w:vertAlign w:val="subscript"/>
        </w:rPr>
        <w:t>3</w:t>
      </w:r>
      <w:r>
        <w:t>.</w:t>
      </w:r>
    </w:p>
    <w:p w14:paraId="73986C36" w14:textId="594787EF" w:rsidR="00EA5501" w:rsidRDefault="00EA5501" w:rsidP="00A86E23">
      <w:pPr>
        <w:pStyle w:val="Nivel5"/>
        <w:ind w:left="1871"/>
      </w:pPr>
      <w:r>
        <w:t>Ahora bien, hemos supuesto que el punto final es el punto E</w:t>
      </w:r>
      <w:r w:rsidRPr="00A86E23">
        <w:rPr>
          <w:vertAlign w:val="subscript"/>
        </w:rPr>
        <w:t>4</w:t>
      </w:r>
      <w:r>
        <w:t>. Pero podría haber sido E</w:t>
      </w:r>
      <w:r w:rsidRPr="00A86E23">
        <w:rPr>
          <w:vertAlign w:val="subscript"/>
        </w:rPr>
        <w:t>5</w:t>
      </w:r>
      <w:r>
        <w:t>, punto en el cual el ocio se habría reducido más que inicialmente.</w:t>
      </w:r>
    </w:p>
    <w:p w14:paraId="397C45A9" w14:textId="2836B0F2" w:rsidR="00EA5501" w:rsidRDefault="00EA5501" w:rsidP="00A86E23">
      <w:pPr>
        <w:pStyle w:val="Nivel4"/>
        <w:keepNext/>
        <w:ind w:left="1474"/>
      </w:pPr>
      <w:r w:rsidRPr="002862EE">
        <w:t>Por lo tanto</w:t>
      </w:r>
      <w:r>
        <w:t>:</w:t>
      </w:r>
    </w:p>
    <w:p w14:paraId="6F89298D" w14:textId="5A2A1D36" w:rsidR="00EA5501" w:rsidRPr="00EA5501" w:rsidRDefault="00EA5501" w:rsidP="00A86E23">
      <w:pPr>
        <w:pStyle w:val="Nivel5"/>
        <w:ind w:left="1871"/>
      </w:pPr>
      <w:r>
        <w:t>Si E</w:t>
      </w:r>
      <w:r w:rsidRPr="00A86E23">
        <w:rPr>
          <w:vertAlign w:val="subscript"/>
        </w:rPr>
        <w:t>4</w:t>
      </w:r>
      <w:r>
        <w:t xml:space="preserve">: ES + </w:t>
      </w:r>
      <w:proofErr w:type="spellStart"/>
      <w:r>
        <w:t>ER</w:t>
      </w:r>
      <w:r>
        <w:rPr>
          <w:vertAlign w:val="subscript"/>
        </w:rPr>
        <w:t>Ordinario</w:t>
      </w:r>
      <w:proofErr w:type="spellEnd"/>
      <w:r>
        <w:t xml:space="preserve"> &gt; </w:t>
      </w:r>
      <w:proofErr w:type="spellStart"/>
      <w:r>
        <w:t>ER</w:t>
      </w:r>
      <w:r>
        <w:rPr>
          <w:vertAlign w:val="subscript"/>
        </w:rPr>
        <w:t>Dotación</w:t>
      </w:r>
      <w:proofErr w:type="spellEnd"/>
      <w:r>
        <w:rPr>
          <w:vertAlign w:val="subscript"/>
        </w:rPr>
        <w:t>.</w:t>
      </w:r>
    </w:p>
    <w:p w14:paraId="7C0BF929" w14:textId="77777777" w:rsidR="00EA5501" w:rsidRDefault="00EA5501" w:rsidP="00A86E23">
      <w:pPr>
        <w:pStyle w:val="Nivel5"/>
        <w:ind w:left="1871"/>
      </w:pPr>
      <w:r>
        <w:t>Si E</w:t>
      </w:r>
      <w:r w:rsidRPr="00A86E23">
        <w:rPr>
          <w:vertAlign w:val="subscript"/>
        </w:rPr>
        <w:t>5</w:t>
      </w:r>
      <w:r>
        <w:t xml:space="preserve">: ES + </w:t>
      </w:r>
      <w:proofErr w:type="spellStart"/>
      <w:r>
        <w:t>ER</w:t>
      </w:r>
      <w:r>
        <w:rPr>
          <w:vertAlign w:val="subscript"/>
        </w:rPr>
        <w:t>Ordinario</w:t>
      </w:r>
      <w:proofErr w:type="spellEnd"/>
      <w:r>
        <w:t xml:space="preserve"> &lt; </w:t>
      </w:r>
      <w:proofErr w:type="spellStart"/>
      <w:r>
        <w:t>ER</w:t>
      </w:r>
      <w:r>
        <w:rPr>
          <w:vertAlign w:val="subscript"/>
        </w:rPr>
        <w:t>Dotación</w:t>
      </w:r>
      <w:proofErr w:type="spellEnd"/>
      <w:r>
        <w:rPr>
          <w:vertAlign w:val="subscript"/>
        </w:rPr>
        <w:t>.</w:t>
      </w:r>
    </w:p>
    <w:p w14:paraId="49AD9AA0" w14:textId="77777777" w:rsidR="00316244" w:rsidRPr="00316244" w:rsidRDefault="00316244" w:rsidP="00A86E23">
      <w:pPr>
        <w:pStyle w:val="Nivel2SM"/>
        <w:keepNext/>
        <w:spacing w:after="0"/>
        <w:rPr>
          <w:u w:val="single"/>
        </w:rPr>
      </w:pPr>
      <w:r>
        <w:t>Evidencia empírica:</w:t>
      </w:r>
    </w:p>
    <w:p w14:paraId="2411C391" w14:textId="75BEB58F" w:rsidR="00662E12" w:rsidRPr="00EA5501" w:rsidRDefault="00EA5501" w:rsidP="00A86E23">
      <w:pPr>
        <w:pStyle w:val="Nivel3SM"/>
        <w:rPr>
          <w:u w:val="single"/>
        </w:rPr>
      </w:pPr>
      <w:r>
        <w:t>El resultado E</w:t>
      </w:r>
      <w:r w:rsidRPr="00A86E23">
        <w:rPr>
          <w:vertAlign w:val="subscript"/>
        </w:rPr>
        <w:t>4</w:t>
      </w:r>
      <w:r>
        <w:t xml:space="preserve"> es apoyado por la evidencia empírica.</w:t>
      </w:r>
    </w:p>
    <w:p w14:paraId="423A0AF0" w14:textId="38B767F9" w:rsidR="00E95CE4" w:rsidRDefault="00E95CE4" w:rsidP="00F50469">
      <w:pPr>
        <w:pStyle w:val="Ttulo8"/>
      </w:pPr>
      <w:r w:rsidRPr="00877DEA">
        <w:t>Impuesto proporcional sobre la renta total del individuo</w:t>
      </w:r>
      <w:r w:rsidR="002862EE" w:rsidRPr="00877DEA">
        <w:t xml:space="preserve"> (efecto positivo sobre la oferta de trabajo)</w:t>
      </w:r>
    </w:p>
    <w:p w14:paraId="21D658A5" w14:textId="276B5B13" w:rsidR="00564831" w:rsidRDefault="00564831" w:rsidP="00564831">
      <w:pPr>
        <w:pStyle w:val="Nivel1SM"/>
        <w:spacing w:before="0" w:after="0"/>
      </w:pPr>
      <w:r>
        <w:t xml:space="preserve">Con la </w:t>
      </w:r>
      <w:r>
        <w:rPr>
          <w:b/>
          <w:bCs/>
        </w:rPr>
        <w:t>introducción de un impuesto proporcional sobre la renta del individuo</w:t>
      </w:r>
      <w:r>
        <w:t>, el p</w:t>
      </w:r>
      <w:r w:rsidRPr="008F63C0">
        <w:t>roblema</w:t>
      </w:r>
      <w:r w:rsidRPr="00AD3498">
        <w:t xml:space="preserve"> del individuo</w:t>
      </w:r>
      <w:r>
        <w:t xml:space="preserve"> es el siguiente:</w:t>
      </w:r>
    </w:p>
    <w:p w14:paraId="37137E5E" w14:textId="07DA3F2B" w:rsidR="00564831" w:rsidRPr="00E02C8A" w:rsidRDefault="00000000" w:rsidP="00564831">
      <w:pPr>
        <w:spacing w:after="0"/>
        <w:jc w:val="center"/>
        <w:rPr>
          <w:rFonts w:eastAsiaTheme="minorEastAsia"/>
          <w:color w:val="767171" w:themeColor="background2" w:themeShade="80"/>
        </w:rPr>
      </w:pPr>
      <m:oMathPara>
        <m:oMath>
          <m:func>
            <m:funcPr>
              <m:ctrlPr>
                <w:rPr>
                  <w:rFonts w:ascii="Cambria Math" w:hAnsi="Cambria Math"/>
                  <w:i/>
                  <w:color w:val="767171" w:themeColor="background2" w:themeShade="80"/>
                </w:rPr>
              </m:ctrlPr>
            </m:funcPr>
            <m:fName>
              <m:f>
                <m:fPr>
                  <m:type m:val="noBar"/>
                  <m:ctrlPr>
                    <w:rPr>
                      <w:rFonts w:ascii="Cambria Math" w:hAnsi="Cambria Math"/>
                      <w:i/>
                      <w:color w:val="767171" w:themeColor="background2" w:themeShade="80"/>
                    </w:rPr>
                  </m:ctrlPr>
                </m:fPr>
                <m:num>
                  <m:limLow>
                    <m:limLowPr>
                      <m:ctrlPr>
                        <w:rPr>
                          <w:rFonts w:ascii="Cambria Math" w:hAnsi="Cambria Math"/>
                          <w:i/>
                          <w:color w:val="767171" w:themeColor="background2" w:themeShade="80"/>
                        </w:rPr>
                      </m:ctrlPr>
                    </m:limLowPr>
                    <m:e>
                      <w:proofErr w:type="spellStart"/>
                      <m:r>
                        <m:rPr>
                          <m:nor/>
                        </m:rPr>
                        <w:rPr>
                          <w:i/>
                          <w:color w:val="767171" w:themeColor="background2" w:themeShade="80"/>
                        </w:rPr>
                        <m:t>max</m:t>
                      </m:r>
                      <w:proofErr w:type="spellEnd"/>
                    </m:e>
                    <m:lim>
                      <m:d>
                        <m:dPr>
                          <m:begChr m:val="{"/>
                          <m:endChr m:val="}"/>
                          <m:ctrlPr>
                            <w:rPr>
                              <w:rFonts w:ascii="Cambria Math" w:hAnsi="Cambria Math"/>
                              <w:i/>
                              <w:color w:val="767171" w:themeColor="background2" w:themeShade="80"/>
                            </w:rPr>
                          </m:ctrlPr>
                        </m:dPr>
                        <m:e>
                          <m:r>
                            <m:rPr>
                              <m:nor/>
                            </m:rPr>
                            <w:rPr>
                              <w:i/>
                              <w:color w:val="767171" w:themeColor="background2" w:themeShade="80"/>
                            </w:rPr>
                            <m:t>C,</m:t>
                          </m:r>
                          <m:r>
                            <m:rPr>
                              <m:nor/>
                            </m:rPr>
                            <w:rPr>
                              <w:rFonts w:eastAsiaTheme="minorEastAsia"/>
                              <w:i/>
                              <w:iCs/>
                              <w:color w:val="767171" w:themeColor="background2" w:themeShade="80"/>
                            </w:rPr>
                            <m:t>O</m:t>
                          </m:r>
                        </m:e>
                      </m:d>
                    </m:lim>
                  </m:limLow>
                </m:num>
                <m:den>
                  <w:proofErr w:type="spellStart"/>
                  <m:r>
                    <m:rPr>
                      <m:nor/>
                    </m:rPr>
                    <w:rPr>
                      <w:i/>
                      <w:color w:val="767171" w:themeColor="background2" w:themeShade="80"/>
                    </w:rPr>
                    <m:t>s.a</m:t>
                  </m:r>
                  <w:proofErr w:type="spellEnd"/>
                </m:den>
              </m:f>
              <m:r>
                <w:rPr>
                  <w:rFonts w:ascii="Cambria Math" w:hAnsi="Cambria Math"/>
                  <w:color w:val="767171" w:themeColor="background2" w:themeShade="80"/>
                </w:rPr>
                <m:t xml:space="preserve">    </m:t>
              </m:r>
            </m:fName>
            <m:e>
              <m:r>
                <w:rPr>
                  <w:rFonts w:ascii="Cambria Math" w:hAnsi="Cambria Math"/>
                  <w:color w:val="767171" w:themeColor="background2" w:themeShade="80"/>
                </w:rPr>
                <m:t xml:space="preserve"> </m:t>
              </m:r>
              <m:f>
                <m:fPr>
                  <m:type m:val="noBar"/>
                  <m:ctrlPr>
                    <w:rPr>
                      <w:rFonts w:ascii="Cambria Math" w:hAnsi="Cambria Math"/>
                      <w:i/>
                      <w:color w:val="767171" w:themeColor="background2" w:themeShade="80"/>
                    </w:rPr>
                  </m:ctrlPr>
                </m:fPr>
                <m:num>
                  <m:r>
                    <m:rPr>
                      <m:nor/>
                    </m:rPr>
                    <w:rPr>
                      <w:i/>
                      <w:color w:val="767171" w:themeColor="background2" w:themeShade="80"/>
                    </w:rPr>
                    <m:t>U</m:t>
                  </m:r>
                  <m:d>
                    <m:dPr>
                      <m:ctrlPr>
                        <w:rPr>
                          <w:rFonts w:ascii="Cambria Math" w:hAnsi="Cambria Math"/>
                          <w:i/>
                          <w:iCs/>
                          <w:color w:val="767171" w:themeColor="background2" w:themeShade="80"/>
                        </w:rPr>
                      </m:ctrlPr>
                    </m:dPr>
                    <m:e>
                      <m:r>
                        <m:rPr>
                          <m:nor/>
                        </m:rPr>
                        <w:rPr>
                          <w:i/>
                          <w:color w:val="767171" w:themeColor="background2" w:themeShade="80"/>
                        </w:rPr>
                        <m:t>C,</m:t>
                      </m:r>
                      <m:r>
                        <m:rPr>
                          <m:nor/>
                        </m:rPr>
                        <w:rPr>
                          <w:i/>
                          <w:iCs/>
                          <w:color w:val="767171" w:themeColor="background2" w:themeShade="80"/>
                        </w:rPr>
                        <m:t>O</m:t>
                      </m:r>
                    </m:e>
                  </m:d>
                  <m:r>
                    <m:rPr>
                      <m:nor/>
                    </m:rPr>
                    <w:rPr>
                      <w:rFonts w:ascii="Cambria Math"/>
                      <w:iCs/>
                      <w:color w:val="767171" w:themeColor="background2" w:themeShade="80"/>
                    </w:rPr>
                    <m:t xml:space="preserve">                                                                    </m:t>
                  </m:r>
                </m:num>
                <m:den>
                  <m:r>
                    <m:rPr>
                      <m:nor/>
                    </m:rPr>
                    <w:rPr>
                      <w:i/>
                      <w:color w:val="767171" w:themeColor="background2" w:themeShade="80"/>
                    </w:rPr>
                    <m:t>C</m:t>
                  </m:r>
                  <m:r>
                    <w:rPr>
                      <w:rFonts w:ascii="Cambria Math" w:hAnsi="Cambria Math"/>
                      <w:color w:val="767171" w:themeColor="background2" w:themeShade="80"/>
                    </w:rPr>
                    <m:t>+</m:t>
                  </m:r>
                  <m:r>
                    <m:rPr>
                      <m:nor/>
                    </m:rPr>
                    <w:rPr>
                      <w:i/>
                      <w:color w:val="767171" w:themeColor="background2" w:themeShade="80"/>
                    </w:rPr>
                    <m:t>w</m:t>
                  </m:r>
                  <m:r>
                    <w:rPr>
                      <w:rFonts w:ascii="Cambria Math" w:hAnsi="Cambria Math"/>
                      <w:color w:val="767171" w:themeColor="background2" w:themeShade="80"/>
                    </w:rPr>
                    <m:t>∙</m:t>
                  </m:r>
                  <m:r>
                    <m:rPr>
                      <m:nor/>
                    </m:rPr>
                    <w:rPr>
                      <w:i/>
                      <w:iCs/>
                      <w:color w:val="767171" w:themeColor="background2" w:themeShade="80"/>
                    </w:rPr>
                    <m:t>O</m:t>
                  </m:r>
                  <m:r>
                    <w:rPr>
                      <w:rFonts w:ascii="Cambria Math" w:hAnsi="Cambria Math"/>
                      <w:color w:val="767171" w:themeColor="background2" w:themeShade="80"/>
                    </w:rPr>
                    <m:t>≤</m:t>
                  </m:r>
                  <m:d>
                    <m:dPr>
                      <m:ctrlPr>
                        <w:rPr>
                          <w:rFonts w:ascii="Cambria Math" w:hAnsi="Cambria Math"/>
                          <w:i/>
                          <w:color w:val="767171" w:themeColor="background2" w:themeShade="80"/>
                        </w:rPr>
                      </m:ctrlPr>
                    </m:dPr>
                    <m:e>
                      <m:r>
                        <m:rPr>
                          <m:nor/>
                        </m:rPr>
                        <w:rPr>
                          <w:i/>
                          <w:color w:val="767171" w:themeColor="background2" w:themeShade="80"/>
                        </w:rPr>
                        <m:t>w</m:t>
                      </m:r>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iCs/>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iCs/>
                          <w:color w:val="767171" w:themeColor="background2" w:themeShade="80"/>
                        </w:rPr>
                        <m:t>M</m:t>
                      </m:r>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iCs/>
                            </w:rPr>
                          </m:ctrlPr>
                        </m:sSubPr>
                        <m:e>
                          <m:r>
                            <m:rPr>
                              <m:nor/>
                            </m:rPr>
                            <w:rPr>
                              <w:i/>
                            </w:rPr>
                            <m:t>τ</m:t>
                          </m:r>
                        </m:e>
                        <m:sub>
                          <m:r>
                            <m:rPr>
                              <m:nor/>
                            </m:rPr>
                            <w:rPr>
                              <w:i/>
                            </w:rPr>
                            <m:t>rentas totales</m:t>
                          </m:r>
                        </m:sub>
                      </m:sSub>
                    </m:e>
                  </m:d>
                </m:den>
              </m:f>
            </m:e>
          </m:func>
        </m:oMath>
      </m:oMathPara>
    </w:p>
    <w:p w14:paraId="01E3C07B" w14:textId="08D0C53F" w:rsidR="00564831" w:rsidRDefault="00564831" w:rsidP="00564831">
      <w:pPr>
        <w:pStyle w:val="Nivel2SM"/>
        <w:keepNext/>
        <w:spacing w:after="0"/>
      </w:pPr>
      <w:r>
        <w:t>De modo que la condición de equilibrio queda de la siguiente forma:</w:t>
      </w:r>
    </w:p>
    <w:p w14:paraId="195BEA7B" w14:textId="0061D18D" w:rsidR="00564831" w:rsidRDefault="00000000" w:rsidP="00564831">
      <w:pPr>
        <w:pStyle w:val="Nivel2SM"/>
        <w:numPr>
          <w:ilvl w:val="0"/>
          <w:numId w:val="0"/>
        </w:numPr>
        <w:spacing w:after="0"/>
        <w:ind w:left="567"/>
      </w:pPr>
      <m:oMathPara>
        <m:oMath>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f>
                    <m:fPr>
                      <m:ctrlPr>
                        <w:rPr>
                          <w:rFonts w:ascii="Cambria Math" w:eastAsiaTheme="minorEastAsia" w:hAnsi="Cambria Math"/>
                          <w:i/>
                          <w:iCs/>
                        </w:rPr>
                      </m:ctrlPr>
                    </m:fPr>
                    <m:num>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num>
                    <m:den>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den>
                  </m:f>
                </m:e>
              </m:groupChr>
            </m:e>
            <m:lim>
              <m:r>
                <m:rPr>
                  <m:nor/>
                </m:rPr>
                <w:rPr>
                  <w:rFonts w:eastAsiaTheme="minorEastAsia"/>
                  <w:i/>
                </w:rPr>
                <m:t>RMS</m:t>
              </m:r>
            </m:lim>
          </m:limUp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w</m:t>
              </m:r>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iCs/>
                        </w:rPr>
                      </m:ctrlPr>
                    </m:sSubPr>
                    <m:e>
                      <m:r>
                        <m:rPr>
                          <m:nor/>
                        </m:rPr>
                        <w:rPr>
                          <w:i/>
                        </w:rPr>
                        <m:t>τ</m:t>
                      </m:r>
                    </m:e>
                    <m:sub>
                      <m:r>
                        <m:rPr>
                          <m:nor/>
                        </m:rPr>
                        <w:rPr>
                          <w:i/>
                        </w:rPr>
                        <m:t>rentas totales</m:t>
                      </m:r>
                    </m:sub>
                  </m:sSub>
                </m:e>
              </m:d>
            </m:num>
            <m:den>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den>
          </m:f>
        </m:oMath>
      </m:oMathPara>
    </w:p>
    <w:p w14:paraId="763F2236" w14:textId="77777777" w:rsidR="00564831" w:rsidRDefault="00564831" w:rsidP="00564831">
      <w:pPr>
        <w:pStyle w:val="Nivel3SM"/>
      </w:pPr>
      <w:r>
        <w:t>Este</w:t>
      </w:r>
      <w:r w:rsidRPr="00AD3498">
        <w:t xml:space="preserve"> impuesto </w:t>
      </w:r>
      <w:r>
        <w:t>sí</w:t>
      </w:r>
      <w:r w:rsidRPr="00AD3498">
        <w:t xml:space="preserve"> altera los precios relativos. Por tanto, </w:t>
      </w:r>
      <w:r>
        <w:t xml:space="preserve">además del efecto renta se </w:t>
      </w:r>
      <w:r w:rsidRPr="00AD3498">
        <w:t>produce efecto sustitución.</w:t>
      </w:r>
    </w:p>
    <w:p w14:paraId="2D0A7DEF" w14:textId="0881834E" w:rsidR="00564831" w:rsidRDefault="00564831" w:rsidP="00564831">
      <w:pPr>
        <w:pStyle w:val="Nivel3SM"/>
      </w:pPr>
      <w:r>
        <w:t>E</w:t>
      </w:r>
      <w:r w:rsidRPr="00AD3498">
        <w:t>l impuesto sobre la renta equival</w:t>
      </w:r>
      <w:r>
        <w:t>e</w:t>
      </w:r>
      <w:r w:rsidRPr="00AD3498">
        <w:t xml:space="preserve"> a un impuesto proporcional sobre el salario más un impuesto de suma fija </w:t>
      </w:r>
      <w:r>
        <w:t>(</w:t>
      </w:r>
      <w:r w:rsidRPr="00AD3498">
        <w:t>igual a</w:t>
      </w:r>
      <m:oMath>
        <m:r>
          <w:rPr>
            <w:rFonts w:ascii="Cambria Math" w:hAnsi="Cambria Math"/>
          </w:rPr>
          <m:t xml:space="preserve"> </m:t>
        </m:r>
        <m:r>
          <m:rPr>
            <m:nor/>
          </m:rPr>
          <w:rPr>
            <w:i/>
            <w:iCs/>
          </w:rPr>
          <m:t>M</m:t>
        </m:r>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iCs/>
                  </w:rPr>
                </m:ctrlPr>
              </m:sSubPr>
              <m:e>
                <m:r>
                  <m:rPr>
                    <m:nor/>
                  </m:rPr>
                  <w:rPr>
                    <w:i/>
                  </w:rPr>
                  <m:t>τ</m:t>
                </m:r>
              </m:e>
              <m:sub>
                <m:r>
                  <m:rPr>
                    <m:nor/>
                  </m:rPr>
                  <w:rPr>
                    <w:i/>
                  </w:rPr>
                  <m:t>rentas totales</m:t>
                </m:r>
              </m:sub>
            </m:sSub>
          </m:e>
        </m:d>
      </m:oMath>
      <w:r>
        <w:t>)</w:t>
      </w:r>
      <w:r w:rsidRPr="00AD3498">
        <w:t>.</w:t>
      </w:r>
    </w:p>
    <w:p w14:paraId="3C16B1D2" w14:textId="6F1C9777" w:rsidR="004D3BAA" w:rsidRDefault="004D3BAA" w:rsidP="002B3C8C">
      <w:pPr>
        <w:pStyle w:val="Nivel2SM"/>
        <w:keepNext/>
        <w:spacing w:afterAutospacing="1"/>
      </w:pPr>
      <w:r>
        <w:lastRenderedPageBreak/>
        <w:t>Resultados:</w:t>
      </w:r>
    </w:p>
    <w:p w14:paraId="59B7B033" w14:textId="77777777" w:rsidR="002B3C8C" w:rsidRDefault="004D3BAA" w:rsidP="00E81FA3">
      <w:pPr>
        <w:pStyle w:val="Nivel3SM"/>
      </w:pPr>
      <w:r>
        <w:t xml:space="preserve">La condición de eficiencia </w:t>
      </w:r>
      <w:r w:rsidR="002B3C8C">
        <w:t>es idéntica al caso del impuesto proporcional sobre las rentas salariales</w:t>
      </w:r>
      <w:r>
        <w:t xml:space="preserve"> y obtendríamos los </w:t>
      </w:r>
      <w:r w:rsidR="002B3C8C">
        <w:t>3 </w:t>
      </w:r>
      <w:r>
        <w:t>mismos efectos que de nuevo nos llevarían a una solución no determinada de la oferta del ocio y por ende de la oferta del trabajo.</w:t>
      </w:r>
    </w:p>
    <w:p w14:paraId="27A6C5E0" w14:textId="13345543" w:rsidR="00855C61" w:rsidRPr="00D76B98" w:rsidRDefault="004D3BAA" w:rsidP="00E81FA3">
      <w:pPr>
        <w:pStyle w:val="Nivel3SM"/>
      </w:pPr>
      <w:r>
        <w:t>No obstante</w:t>
      </w:r>
      <w:r w:rsidR="002B3C8C">
        <w:t>,</w:t>
      </w:r>
      <w:r>
        <w:t xml:space="preserve"> comparando ambos casos (impuestos proporcionales sobre la renta incluyendo renta no salarial), se puede asegurar que la oferta de trabajo en este segundo caso será mayor </w:t>
      </w:r>
      <w:r w:rsidRPr="002B3C8C">
        <w:rPr>
          <w:u w:val="single"/>
        </w:rPr>
        <w:t>dado que hay que añadirle un segundo efecto renta</w:t>
      </w:r>
      <w:r w:rsidRPr="004D3BAA">
        <w:t>.</w:t>
      </w:r>
    </w:p>
    <w:p w14:paraId="6EC2FCBB" w14:textId="30B4C62F" w:rsidR="00FE4A89" w:rsidRPr="006F166B" w:rsidRDefault="00FE4A89" w:rsidP="00F50469">
      <w:pPr>
        <w:pStyle w:val="Ttulo8"/>
      </w:pPr>
      <w:r w:rsidRPr="00877DEA">
        <w:t xml:space="preserve">Impuesto </w:t>
      </w:r>
      <w:r>
        <w:t xml:space="preserve">proporcional </w:t>
      </w:r>
      <w:r w:rsidRPr="00877DEA">
        <w:t>sobre el consumo</w:t>
      </w:r>
    </w:p>
    <w:p w14:paraId="4966883F" w14:textId="77777777" w:rsidR="00FE4A89" w:rsidRDefault="00FE4A89" w:rsidP="00FE4A89">
      <w:pPr>
        <w:numPr>
          <w:ilvl w:val="0"/>
          <w:numId w:val="3"/>
        </w:numPr>
        <w:tabs>
          <w:tab w:val="clear" w:pos="720"/>
        </w:tabs>
      </w:pPr>
      <w:r w:rsidRPr="00AD3498">
        <w:rPr>
          <w:u w:val="single"/>
        </w:rPr>
        <w:t>Si suponemos que no existe ahorro</w:t>
      </w:r>
      <w:r w:rsidRPr="00AD3498">
        <w:t xml:space="preserve"> (por tanto, toda la renta disponible se dedica al consumo), un impuesto sobre el consumo tiene los mismos efectos que un impuesto proporcional sobre la renta total del individuo</w:t>
      </w:r>
      <w:r>
        <w:t xml:space="preserve"> cuando se cumpla la siguiente relación entre ambos tipos impositivos</w:t>
      </w:r>
      <w:r w:rsidRPr="00AD3498">
        <w:t>.</w:t>
      </w:r>
    </w:p>
    <w:p w14:paraId="7D85AB87" w14:textId="77777777" w:rsidR="00FE4A89" w:rsidRDefault="00FE4A89" w:rsidP="00FE4A89">
      <w:pPr>
        <w:jc w:val="center"/>
        <w:rPr>
          <w:b/>
        </w:rPr>
      </w:pPr>
      <w:r>
        <w:rPr>
          <w:noProof/>
        </w:rPr>
        <w:drawing>
          <wp:inline distT="0" distB="0" distL="0" distR="0" wp14:anchorId="0C1267A9" wp14:editId="391F7D8F">
            <wp:extent cx="4038600" cy="1691640"/>
            <wp:effectExtent l="0" t="0" r="0" b="0"/>
            <wp:docPr id="13" name="Imagen 27" descr="Imagen de la pantalla de un celular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7" descr="Imagen de la pantalla de un celular con letras&#10;&#10;Descripción generada automáticamente con confianz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8600" cy="1691640"/>
                    </a:xfrm>
                    <a:prstGeom prst="rect">
                      <a:avLst/>
                    </a:prstGeom>
                    <a:noFill/>
                    <a:ln>
                      <a:noFill/>
                    </a:ln>
                  </pic:spPr>
                </pic:pic>
              </a:graphicData>
            </a:graphic>
          </wp:inline>
        </w:drawing>
      </w:r>
    </w:p>
    <w:p w14:paraId="4401E343" w14:textId="77777777" w:rsidR="00662E12" w:rsidRPr="00877DEA" w:rsidRDefault="0019468C" w:rsidP="00F50469">
      <w:pPr>
        <w:pStyle w:val="Ttulo8"/>
      </w:pPr>
      <w:r w:rsidRPr="00877DEA">
        <w:t>Impuesto progresivo</w:t>
      </w:r>
      <w:r w:rsidR="00DE1980" w:rsidRPr="00877DEA">
        <w:t xml:space="preserve"> sobre las rentas salariales</w:t>
      </w:r>
      <w:r w:rsidR="002862EE" w:rsidRPr="00877DEA">
        <w:t xml:space="preserve"> (efecto ambiguo sobre la oferta de trabajo)</w:t>
      </w:r>
    </w:p>
    <w:p w14:paraId="01097179" w14:textId="77777777" w:rsidR="002F63ED" w:rsidRDefault="00414C4C" w:rsidP="00D3340B">
      <w:pPr>
        <w:keepNext/>
        <w:numPr>
          <w:ilvl w:val="0"/>
          <w:numId w:val="3"/>
        </w:numPr>
        <w:tabs>
          <w:tab w:val="clear" w:pos="720"/>
        </w:tabs>
        <w:ind w:hanging="357"/>
      </w:pPr>
      <w:r w:rsidRPr="002862EE">
        <w:rPr>
          <w:u w:val="single"/>
        </w:rPr>
        <w:t>Problema del individuo</w:t>
      </w:r>
      <w:r w:rsidR="002F63ED">
        <w:t>:</w:t>
      </w:r>
    </w:p>
    <w:p w14:paraId="1D9532BA" w14:textId="77777777" w:rsidR="001749CC" w:rsidRDefault="000676EF" w:rsidP="00F67FAF">
      <w:pPr>
        <w:jc w:val="center"/>
      </w:pPr>
      <w:r>
        <w:rPr>
          <w:noProof/>
        </w:rPr>
        <w:drawing>
          <wp:inline distT="0" distB="0" distL="0" distR="0" wp14:anchorId="5314E2E7" wp14:editId="63519893">
            <wp:extent cx="2125980" cy="1043940"/>
            <wp:effectExtent l="0" t="0" r="0" b="0"/>
            <wp:docPr id="1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25980" cy="1043940"/>
                    </a:xfrm>
                    <a:prstGeom prst="rect">
                      <a:avLst/>
                    </a:prstGeom>
                    <a:noFill/>
                    <a:ln>
                      <a:noFill/>
                    </a:ln>
                  </pic:spPr>
                </pic:pic>
              </a:graphicData>
            </a:graphic>
          </wp:inline>
        </w:drawing>
      </w:r>
    </w:p>
    <w:p w14:paraId="7FC7DB8A" w14:textId="77777777" w:rsidR="004D3BAA" w:rsidRDefault="000676EF" w:rsidP="00F67FAF">
      <w:pPr>
        <w:jc w:val="center"/>
      </w:pPr>
      <w:r>
        <w:rPr>
          <w:noProof/>
        </w:rPr>
        <w:drawing>
          <wp:inline distT="0" distB="0" distL="0" distR="0" wp14:anchorId="4C572561" wp14:editId="4641DC3F">
            <wp:extent cx="1242060" cy="502920"/>
            <wp:effectExtent l="0" t="0" r="0" b="0"/>
            <wp:docPr id="1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2060" cy="502920"/>
                    </a:xfrm>
                    <a:prstGeom prst="rect">
                      <a:avLst/>
                    </a:prstGeom>
                    <a:noFill/>
                    <a:ln>
                      <a:noFill/>
                    </a:ln>
                  </pic:spPr>
                </pic:pic>
              </a:graphicData>
            </a:graphic>
          </wp:inline>
        </w:drawing>
      </w:r>
    </w:p>
    <w:p w14:paraId="3A2030DF" w14:textId="77777777" w:rsidR="002F63ED" w:rsidRDefault="002F63ED" w:rsidP="00F67FAF">
      <w:pPr>
        <w:numPr>
          <w:ilvl w:val="1"/>
          <w:numId w:val="3"/>
        </w:numPr>
        <w:tabs>
          <w:tab w:val="clear" w:pos="1440"/>
        </w:tabs>
      </w:pPr>
      <w:r w:rsidRPr="00AD3498">
        <w:t xml:space="preserve">τ es </w:t>
      </w:r>
      <w:r>
        <w:t xml:space="preserve">el tipo impositivo medio. Que sea creciente en su argumento (la renta salarial, </w:t>
      </w:r>
      <w:proofErr w:type="spellStart"/>
      <w:r>
        <w:t>wL</w:t>
      </w:r>
      <w:proofErr w:type="spellEnd"/>
      <w:r>
        <w:t>)</w:t>
      </w:r>
      <w:r w:rsidRPr="00AD3498">
        <w:t xml:space="preserve"> </w:t>
      </w:r>
      <w:r>
        <w:t>implica que es un impuesto progresivo.</w:t>
      </w:r>
    </w:p>
    <w:p w14:paraId="0EF24A92" w14:textId="77777777" w:rsidR="002F63ED" w:rsidRDefault="002F63ED" w:rsidP="00D3340B">
      <w:pPr>
        <w:keepNext/>
        <w:numPr>
          <w:ilvl w:val="0"/>
          <w:numId w:val="3"/>
        </w:numPr>
        <w:tabs>
          <w:tab w:val="clear" w:pos="720"/>
        </w:tabs>
        <w:ind w:hanging="357"/>
      </w:pPr>
      <w:r w:rsidRPr="00E34AB8">
        <w:rPr>
          <w:u w:val="single"/>
        </w:rPr>
        <w:t>Gráficamente</w:t>
      </w:r>
      <w:r w:rsidR="00E34AB8" w:rsidRPr="00E34AB8">
        <w:rPr>
          <w:u w:val="single"/>
        </w:rPr>
        <w:t xml:space="preserve"> la restricción presupuestaria en términos de empleo es</w:t>
      </w:r>
      <w:r w:rsidR="00E34AB8">
        <w:t xml:space="preserve">: </w:t>
      </w:r>
    </w:p>
    <w:p w14:paraId="6BCB7485" w14:textId="77777777" w:rsidR="002F63ED" w:rsidRDefault="000676EF" w:rsidP="00F67FAF">
      <w:pPr>
        <w:ind w:left="360"/>
        <w:jc w:val="center"/>
      </w:pPr>
      <w:r>
        <w:rPr>
          <w:noProof/>
          <w:lang w:val="en-GB" w:eastAsia="en-GB"/>
        </w:rPr>
        <mc:AlternateContent>
          <mc:Choice Requires="wps">
            <w:drawing>
              <wp:anchor distT="0" distB="0" distL="114300" distR="114300" simplePos="0" relativeHeight="251658752" behindDoc="0" locked="0" layoutInCell="1" allowOverlap="1" wp14:anchorId="67AB26D7" wp14:editId="2BFDEAA9">
                <wp:simplePos x="0" y="0"/>
                <wp:positionH relativeFrom="column">
                  <wp:posOffset>2434590</wp:posOffset>
                </wp:positionH>
                <wp:positionV relativeFrom="paragraph">
                  <wp:posOffset>1317625</wp:posOffset>
                </wp:positionV>
                <wp:extent cx="90805" cy="142875"/>
                <wp:effectExtent l="5715" t="3175" r="8255" b="6350"/>
                <wp:wrapNone/>
                <wp:docPr id="68494018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2875"/>
                        </a:xfrm>
                        <a:prstGeom prst="ellipse">
                          <a:avLst/>
                        </a:pr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A7CA10" id="Oval 5" o:spid="_x0000_s1026" style="position:absolute;margin-left:191.7pt;margin-top:103.75pt;width:7.1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" fillcolor="red" stroked="f"/>
            </w:pict>
          </mc:Fallback>
        </mc:AlternateContent>
      </w:r>
      <w:r>
        <w:rPr>
          <w:noProof/>
          <w:lang w:val="en-GB" w:eastAsia="en-GB"/>
        </w:rPr>
        <mc:AlternateContent>
          <mc:Choice Requires="wps">
            <w:drawing>
              <wp:anchor distT="0" distB="0" distL="114300" distR="114300" simplePos="0" relativeHeight="251657728" behindDoc="0" locked="0" layoutInCell="1" allowOverlap="1" wp14:anchorId="47202618" wp14:editId="3762323F">
                <wp:simplePos x="0" y="0"/>
                <wp:positionH relativeFrom="column">
                  <wp:posOffset>2426970</wp:posOffset>
                </wp:positionH>
                <wp:positionV relativeFrom="paragraph">
                  <wp:posOffset>1098550</wp:posOffset>
                </wp:positionV>
                <wp:extent cx="90805" cy="142875"/>
                <wp:effectExtent l="7620" t="3175" r="6350" b="6350"/>
                <wp:wrapNone/>
                <wp:docPr id="84322392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2875"/>
                        </a:xfrm>
                        <a:prstGeom prst="ellipse">
                          <a:avLst/>
                        </a:prstGeom>
                        <a:solidFill>
                          <a:srgbClr val="00B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17BF99" id="Oval 4" o:spid="_x0000_s1026" style="position:absolute;margin-left:191.1pt;margin-top:86.5pt;width:7.1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" fillcolor="#00b050" stroked="f"/>
            </w:pict>
          </mc:Fallback>
        </mc:AlternateContent>
      </w:r>
      <w:r>
        <w:rPr>
          <w:noProof/>
        </w:rPr>
        <w:drawing>
          <wp:inline distT="0" distB="0" distL="0" distR="0" wp14:anchorId="4D2E7852" wp14:editId="0ACACF0A">
            <wp:extent cx="3162300" cy="2339340"/>
            <wp:effectExtent l="0" t="0" r="0" b="0"/>
            <wp:docPr id="12"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2300" cy="2339340"/>
                    </a:xfrm>
                    <a:prstGeom prst="rect">
                      <a:avLst/>
                    </a:prstGeom>
                    <a:noFill/>
                    <a:ln>
                      <a:noFill/>
                    </a:ln>
                  </pic:spPr>
                </pic:pic>
              </a:graphicData>
            </a:graphic>
          </wp:inline>
        </w:drawing>
      </w:r>
    </w:p>
    <w:p w14:paraId="39693F82" w14:textId="77777777" w:rsidR="005C6C92" w:rsidRPr="005C6C92" w:rsidRDefault="005C6C92" w:rsidP="00D3340B">
      <w:pPr>
        <w:keepNext/>
        <w:numPr>
          <w:ilvl w:val="1"/>
          <w:numId w:val="3"/>
        </w:numPr>
        <w:tabs>
          <w:tab w:val="clear" w:pos="1440"/>
        </w:tabs>
        <w:ind w:hanging="357"/>
        <w:rPr>
          <w:u w:val="single"/>
        </w:rPr>
      </w:pPr>
      <w:r w:rsidRPr="005C6C92">
        <w:rPr>
          <w:u w:val="single"/>
        </w:rPr>
        <w:lastRenderedPageBreak/>
        <w:t>Impuesto proporcional</w:t>
      </w:r>
    </w:p>
    <w:p w14:paraId="15B62470" w14:textId="22D7A92A" w:rsidR="00B847BA" w:rsidRDefault="00B847BA" w:rsidP="00F67FAF">
      <w:pPr>
        <w:numPr>
          <w:ilvl w:val="2"/>
          <w:numId w:val="3"/>
        </w:numPr>
        <w:tabs>
          <w:tab w:val="clear" w:pos="2160"/>
        </w:tabs>
      </w:pPr>
      <w:r>
        <w:t>Con el impuesto proporcional el individuo paga un tipo constante en cada unidad de renta que gana y su restricción presupuestaria es una línea recta con pendiente (1-t).</w:t>
      </w:r>
    </w:p>
    <w:p w14:paraId="07A097BC" w14:textId="77777777" w:rsidR="005C6C92" w:rsidRPr="005C6C92" w:rsidRDefault="005C6C92" w:rsidP="00D3340B">
      <w:pPr>
        <w:keepNext/>
        <w:numPr>
          <w:ilvl w:val="1"/>
          <w:numId w:val="3"/>
        </w:numPr>
        <w:tabs>
          <w:tab w:val="clear" w:pos="1440"/>
        </w:tabs>
        <w:ind w:hanging="357"/>
        <w:rPr>
          <w:u w:val="single"/>
        </w:rPr>
      </w:pPr>
      <w:r w:rsidRPr="005C6C92">
        <w:rPr>
          <w:u w:val="single"/>
        </w:rPr>
        <w:t>Impuesto progresivo</w:t>
      </w:r>
    </w:p>
    <w:p w14:paraId="36E9BFDE" w14:textId="46816B87" w:rsidR="00B847BA" w:rsidRDefault="00B847BA" w:rsidP="00F67FAF">
      <w:pPr>
        <w:numPr>
          <w:ilvl w:val="2"/>
          <w:numId w:val="3"/>
        </w:numPr>
        <w:tabs>
          <w:tab w:val="clear" w:pos="2160"/>
        </w:tabs>
      </w:pPr>
      <w:r>
        <w:t>Con un impuesto progresivo el individuo paga un tipo creciente, con lo que su consumo crece a una tasa inferior que su renta. Su RP es por lo tanto una función estrictamente cóncava.</w:t>
      </w:r>
    </w:p>
    <w:p w14:paraId="04AA80E7" w14:textId="0F537734" w:rsidR="00B847BA" w:rsidRDefault="00E34AB8" w:rsidP="00D76B98">
      <w:pPr>
        <w:numPr>
          <w:ilvl w:val="1"/>
          <w:numId w:val="3"/>
        </w:numPr>
        <w:tabs>
          <w:tab w:val="clear" w:pos="1440"/>
        </w:tabs>
      </w:pPr>
      <w:r>
        <w:t xml:space="preserve">En el punto (E) </w:t>
      </w:r>
      <w:r w:rsidR="00B847BA">
        <w:t>ambas funciones impositivas generan la mima recaudación.</w:t>
      </w:r>
    </w:p>
    <w:p w14:paraId="1C1FDF42" w14:textId="6CF77911" w:rsidR="00B847BA" w:rsidRDefault="005C6C92" w:rsidP="00F67FAF">
      <w:pPr>
        <w:numPr>
          <w:ilvl w:val="0"/>
          <w:numId w:val="3"/>
        </w:numPr>
        <w:tabs>
          <w:tab w:val="clear" w:pos="720"/>
        </w:tabs>
      </w:pPr>
      <w:r>
        <w:t>L</w:t>
      </w:r>
      <w:r w:rsidR="00B847BA">
        <w:t xml:space="preserve">os efectos de pasar de un impuesto proporcional a otro progresivo </w:t>
      </w:r>
      <w:r w:rsidR="00B847BA" w:rsidRPr="00E34AB8">
        <w:rPr>
          <w:u w:val="single"/>
        </w:rPr>
        <w:t>dependen del nivel de las rentas s</w:t>
      </w:r>
      <w:r w:rsidR="00961ED4" w:rsidRPr="00E34AB8">
        <w:rPr>
          <w:u w:val="single"/>
        </w:rPr>
        <w:t>alariales de los contribuyentes</w:t>
      </w:r>
      <w:r w:rsidR="00961ED4">
        <w:t xml:space="preserve"> (NOTA: Asociamos el “</w:t>
      </w:r>
      <w:proofErr w:type="spellStart"/>
      <w:r w:rsidR="00961ED4">
        <w:t>wMg</w:t>
      </w:r>
      <w:proofErr w:type="spellEnd"/>
      <w:r w:rsidR="00961ED4">
        <w:t>” al ES y el “</w:t>
      </w:r>
      <w:proofErr w:type="spellStart"/>
      <w:r w:rsidR="00961ED4">
        <w:t>wMe</w:t>
      </w:r>
      <w:proofErr w:type="spellEnd"/>
      <w:r w:rsidR="00961ED4">
        <w:t>” al ER</w:t>
      </w:r>
      <w:r>
        <w:t xml:space="preserve"> </w:t>
      </w:r>
      <w:r w:rsidRPr="00856F5A">
        <w:rPr>
          <w:b/>
        </w:rPr>
        <w:t>dotación</w:t>
      </w:r>
      <w:r w:rsidR="00961ED4">
        <w:t>)</w:t>
      </w:r>
      <w:r>
        <w:t>.</w:t>
      </w:r>
    </w:p>
    <w:p w14:paraId="0DC4A971" w14:textId="77777777" w:rsidR="00B847BA" w:rsidRDefault="00B847BA" w:rsidP="00F67FAF">
      <w:pPr>
        <w:numPr>
          <w:ilvl w:val="1"/>
          <w:numId w:val="3"/>
        </w:numPr>
        <w:tabs>
          <w:tab w:val="clear" w:pos="1440"/>
        </w:tabs>
      </w:pPr>
      <w:r w:rsidRPr="00961ED4">
        <w:rPr>
          <w:u w:val="single"/>
        </w:rPr>
        <w:t>Contribuyente w4L4</w:t>
      </w:r>
      <w:r>
        <w:t>:</w:t>
      </w:r>
    </w:p>
    <w:p w14:paraId="4CA50BF2" w14:textId="6CEC7C81" w:rsidR="00B847BA" w:rsidRDefault="00B847BA" w:rsidP="00F67FAF">
      <w:pPr>
        <w:numPr>
          <w:ilvl w:val="2"/>
          <w:numId w:val="3"/>
        </w:numPr>
        <w:tabs>
          <w:tab w:val="clear" w:pos="2160"/>
        </w:tabs>
      </w:pPr>
      <w:r>
        <w:t xml:space="preserve">Para este contribuyente de renta elevada se producen </w:t>
      </w:r>
      <w:r w:rsidRPr="00B847BA">
        <w:rPr>
          <w:u w:val="single"/>
        </w:rPr>
        <w:t>dos efectos</w:t>
      </w:r>
      <w:r>
        <w:t xml:space="preserve"> al pasar de un impuesto proporcional (D) a otro progresivo (C).</w:t>
      </w:r>
    </w:p>
    <w:p w14:paraId="72C83015" w14:textId="47716077" w:rsidR="00B847BA" w:rsidRDefault="00B847BA" w:rsidP="00F67FAF">
      <w:pPr>
        <w:numPr>
          <w:ilvl w:val="3"/>
          <w:numId w:val="3"/>
        </w:numPr>
        <w:tabs>
          <w:tab w:val="clear" w:pos="2880"/>
        </w:tabs>
      </w:pPr>
      <w:r w:rsidRPr="00961ED4">
        <w:rPr>
          <w:u w:val="single"/>
        </w:rPr>
        <w:t>Primero</w:t>
      </w:r>
      <w:r>
        <w:t>:</w:t>
      </w:r>
    </w:p>
    <w:p w14:paraId="04E9886C" w14:textId="0852DD12" w:rsidR="00B847BA" w:rsidRDefault="00B847BA" w:rsidP="00F67FAF">
      <w:pPr>
        <w:numPr>
          <w:ilvl w:val="4"/>
          <w:numId w:val="3"/>
        </w:numPr>
        <w:tabs>
          <w:tab w:val="clear" w:pos="3600"/>
        </w:tabs>
      </w:pPr>
      <w:r>
        <w:t>Su salario marginal disminuye (porque la pendiente en C es menor que en D).</w:t>
      </w:r>
    </w:p>
    <w:p w14:paraId="0E235534" w14:textId="6DF7B229" w:rsidR="00B847BA" w:rsidRDefault="00B847BA" w:rsidP="00F67FAF">
      <w:pPr>
        <w:numPr>
          <w:ilvl w:val="4"/>
          <w:numId w:val="3"/>
        </w:numPr>
        <w:tabs>
          <w:tab w:val="clear" w:pos="3600"/>
        </w:tabs>
      </w:pPr>
      <w:r>
        <w:t xml:space="preserve">Esto implica que </w:t>
      </w:r>
      <w:proofErr w:type="gramStart"/>
      <w:r>
        <w:t>en relación a</w:t>
      </w:r>
      <w:proofErr w:type="gramEnd"/>
      <w:r>
        <w:t xml:space="preserve"> un impuesto proporcional se refuerza el efecto sustitución</w:t>
      </w:r>
      <w:r w:rsidR="00961ED4">
        <w:t>,</w:t>
      </w:r>
      <w:r>
        <w:t xml:space="preserve"> que le induce a </w:t>
      </w:r>
      <w:r w:rsidRPr="00961ED4">
        <w:rPr>
          <w:u w:val="single"/>
        </w:rPr>
        <w:t>trabajar menos</w:t>
      </w:r>
      <w:r>
        <w:t>.</w:t>
      </w:r>
    </w:p>
    <w:p w14:paraId="7C8867AE" w14:textId="490C4A6C" w:rsidR="00961ED4" w:rsidRDefault="00961ED4" w:rsidP="00F67FAF">
      <w:pPr>
        <w:numPr>
          <w:ilvl w:val="3"/>
          <w:numId w:val="3"/>
        </w:numPr>
        <w:tabs>
          <w:tab w:val="clear" w:pos="2880"/>
        </w:tabs>
      </w:pPr>
      <w:r w:rsidRPr="00961ED4">
        <w:rPr>
          <w:u w:val="single"/>
        </w:rPr>
        <w:t>S</w:t>
      </w:r>
      <w:r w:rsidR="00B847BA" w:rsidRPr="00961ED4">
        <w:rPr>
          <w:u w:val="single"/>
        </w:rPr>
        <w:t>egundo</w:t>
      </w:r>
      <w:r>
        <w:t>:</w:t>
      </w:r>
    </w:p>
    <w:p w14:paraId="17FE7C78" w14:textId="5EC46DC8" w:rsidR="00B847BA" w:rsidRDefault="00961ED4" w:rsidP="00F67FAF">
      <w:pPr>
        <w:numPr>
          <w:ilvl w:val="4"/>
          <w:numId w:val="3"/>
        </w:numPr>
        <w:tabs>
          <w:tab w:val="clear" w:pos="3600"/>
        </w:tabs>
      </w:pPr>
      <w:r>
        <w:t>S</w:t>
      </w:r>
      <w:r w:rsidR="00B847BA">
        <w:t>u salario medio disminuye (porque C está por debajo de</w:t>
      </w:r>
      <w:r>
        <w:t>l punto</w:t>
      </w:r>
      <w:r w:rsidR="006B7738">
        <w:t> </w:t>
      </w:r>
      <w:r w:rsidRPr="006B7738">
        <w:rPr>
          <w:i/>
          <w:iCs/>
        </w:rPr>
        <w:t>D</w:t>
      </w:r>
      <w:r w:rsidR="00B847BA">
        <w:t>).</w:t>
      </w:r>
    </w:p>
    <w:p w14:paraId="18F9BD9F" w14:textId="778FEF31" w:rsidR="00961ED4" w:rsidRDefault="00961ED4" w:rsidP="00F67FAF">
      <w:pPr>
        <w:numPr>
          <w:ilvl w:val="4"/>
          <w:numId w:val="3"/>
        </w:numPr>
        <w:tabs>
          <w:tab w:val="clear" w:pos="3600"/>
        </w:tabs>
      </w:pPr>
      <w:r>
        <w:t xml:space="preserve">Esto implica que </w:t>
      </w:r>
      <w:proofErr w:type="gramStart"/>
      <w:r>
        <w:t>en relación a</w:t>
      </w:r>
      <w:proofErr w:type="gramEnd"/>
      <w:r>
        <w:t xml:space="preserve"> un impuesto proporcional refuerza </w:t>
      </w:r>
      <w:r w:rsidR="00B847BA">
        <w:t>el efecto renta (</w:t>
      </w:r>
      <w:r>
        <w:t xml:space="preserve">NOTA: ER = ER Dotación), que </w:t>
      </w:r>
      <w:r w:rsidR="00B847BA">
        <w:t xml:space="preserve">le induce a </w:t>
      </w:r>
      <w:r w:rsidR="00B847BA" w:rsidRPr="00961ED4">
        <w:rPr>
          <w:u w:val="single"/>
        </w:rPr>
        <w:t>trabajar más</w:t>
      </w:r>
      <w:r>
        <w:t>.</w:t>
      </w:r>
    </w:p>
    <w:p w14:paraId="3FEC2ED0" w14:textId="77777777" w:rsidR="00B847BA" w:rsidRDefault="00F67FAF" w:rsidP="00F67FAF">
      <w:pPr>
        <w:numPr>
          <w:ilvl w:val="2"/>
          <w:numId w:val="3"/>
        </w:numPr>
        <w:tabs>
          <w:tab w:val="clear" w:pos="2160"/>
        </w:tabs>
      </w:pPr>
      <w:r w:rsidRPr="00F67FAF">
        <w:rPr>
          <w:u w:val="single"/>
        </w:rPr>
        <w:t>Resultado indeterminado</w:t>
      </w:r>
      <w:r>
        <w:t xml:space="preserve">: </w:t>
      </w:r>
      <w:r w:rsidR="00B847BA">
        <w:t>El resultado final depende de la fortaleza relativa de ambos efectos.</w:t>
      </w:r>
    </w:p>
    <w:p w14:paraId="62CCC84A" w14:textId="77777777" w:rsidR="00961ED4" w:rsidRDefault="00961ED4" w:rsidP="00F67FAF">
      <w:pPr>
        <w:numPr>
          <w:ilvl w:val="1"/>
          <w:numId w:val="3"/>
        </w:numPr>
        <w:tabs>
          <w:tab w:val="clear" w:pos="1440"/>
        </w:tabs>
      </w:pPr>
      <w:r w:rsidRPr="00961ED4">
        <w:rPr>
          <w:u w:val="single"/>
        </w:rPr>
        <w:t>Contribuyente w</w:t>
      </w:r>
      <w:r>
        <w:rPr>
          <w:u w:val="single"/>
        </w:rPr>
        <w:t>1</w:t>
      </w:r>
      <w:r w:rsidRPr="00961ED4">
        <w:rPr>
          <w:u w:val="single"/>
        </w:rPr>
        <w:t>L</w:t>
      </w:r>
      <w:r>
        <w:rPr>
          <w:u w:val="single"/>
        </w:rPr>
        <w:t>1</w:t>
      </w:r>
      <w:r>
        <w:t>:</w:t>
      </w:r>
    </w:p>
    <w:p w14:paraId="652C99D8" w14:textId="77777777" w:rsidR="00961ED4" w:rsidRDefault="00961ED4" w:rsidP="00F67FAF">
      <w:pPr>
        <w:numPr>
          <w:ilvl w:val="2"/>
          <w:numId w:val="3"/>
        </w:numPr>
        <w:tabs>
          <w:tab w:val="clear" w:pos="2160"/>
        </w:tabs>
      </w:pPr>
      <w:r>
        <w:t xml:space="preserve">Para este contribuyente de renta baja se producen </w:t>
      </w:r>
      <w:r w:rsidRPr="00B847BA">
        <w:rPr>
          <w:u w:val="single"/>
        </w:rPr>
        <w:t>dos efectos</w:t>
      </w:r>
      <w:r>
        <w:t xml:space="preserve"> al pasar de un impuesto proporcional (A) a otro progresivo (B). </w:t>
      </w:r>
    </w:p>
    <w:p w14:paraId="7B16E0F0" w14:textId="77777777" w:rsidR="00961ED4" w:rsidRDefault="00961ED4" w:rsidP="00F67FAF">
      <w:pPr>
        <w:numPr>
          <w:ilvl w:val="3"/>
          <w:numId w:val="3"/>
        </w:numPr>
        <w:tabs>
          <w:tab w:val="clear" w:pos="2880"/>
        </w:tabs>
      </w:pPr>
      <w:r w:rsidRPr="00961ED4">
        <w:rPr>
          <w:u w:val="single"/>
        </w:rPr>
        <w:t>Primero</w:t>
      </w:r>
      <w:r>
        <w:t xml:space="preserve">: </w:t>
      </w:r>
    </w:p>
    <w:p w14:paraId="37C03F7D" w14:textId="6A5C8B38" w:rsidR="00961ED4" w:rsidRDefault="00961ED4" w:rsidP="00F67FAF">
      <w:pPr>
        <w:numPr>
          <w:ilvl w:val="4"/>
          <w:numId w:val="3"/>
        </w:numPr>
        <w:tabs>
          <w:tab w:val="clear" w:pos="3600"/>
        </w:tabs>
      </w:pPr>
      <w:r>
        <w:t xml:space="preserve">Su salario marginal aumenta (porque la pendiente en </w:t>
      </w:r>
      <w:r w:rsidRPr="009E1B0A">
        <w:rPr>
          <w:i/>
          <w:iCs/>
        </w:rPr>
        <w:t>B</w:t>
      </w:r>
      <w:r>
        <w:t xml:space="preserve"> es menor que en </w:t>
      </w:r>
      <w:r w:rsidRPr="009E1B0A">
        <w:rPr>
          <w:i/>
          <w:iCs/>
        </w:rPr>
        <w:t>A</w:t>
      </w:r>
      <w:r>
        <w:t>).</w:t>
      </w:r>
    </w:p>
    <w:p w14:paraId="65507241" w14:textId="7B55CA4B" w:rsidR="00961ED4" w:rsidRDefault="00961ED4" w:rsidP="00F67FAF">
      <w:pPr>
        <w:numPr>
          <w:ilvl w:val="4"/>
          <w:numId w:val="3"/>
        </w:numPr>
        <w:tabs>
          <w:tab w:val="clear" w:pos="3600"/>
        </w:tabs>
      </w:pPr>
      <w:r>
        <w:t xml:space="preserve">Esto implica que </w:t>
      </w:r>
      <w:proofErr w:type="gramStart"/>
      <w:r>
        <w:t>en relación a</w:t>
      </w:r>
      <w:proofErr w:type="gramEnd"/>
      <w:r>
        <w:t xml:space="preserve"> un impuesto proporcional se debilita el efecto sustitución, que le induce a </w:t>
      </w:r>
      <w:r w:rsidRPr="00961ED4">
        <w:rPr>
          <w:u w:val="single"/>
        </w:rPr>
        <w:t xml:space="preserve">trabajar </w:t>
      </w:r>
      <w:r>
        <w:rPr>
          <w:u w:val="single"/>
        </w:rPr>
        <w:t>más</w:t>
      </w:r>
      <w:r>
        <w:t>.</w:t>
      </w:r>
    </w:p>
    <w:p w14:paraId="5A3C0B44" w14:textId="253E8F1E" w:rsidR="00961ED4" w:rsidRDefault="00961ED4" w:rsidP="00F67FAF">
      <w:pPr>
        <w:numPr>
          <w:ilvl w:val="3"/>
          <w:numId w:val="3"/>
        </w:numPr>
        <w:tabs>
          <w:tab w:val="clear" w:pos="2880"/>
        </w:tabs>
      </w:pPr>
      <w:r w:rsidRPr="00961ED4">
        <w:rPr>
          <w:u w:val="single"/>
        </w:rPr>
        <w:t>Segundo</w:t>
      </w:r>
      <w:r>
        <w:t>:</w:t>
      </w:r>
    </w:p>
    <w:p w14:paraId="4C891FDF" w14:textId="6C0B4E88" w:rsidR="00961ED4" w:rsidRDefault="00961ED4" w:rsidP="00F67FAF">
      <w:pPr>
        <w:numPr>
          <w:ilvl w:val="4"/>
          <w:numId w:val="3"/>
        </w:numPr>
        <w:tabs>
          <w:tab w:val="clear" w:pos="3600"/>
        </w:tabs>
      </w:pPr>
      <w:r>
        <w:t xml:space="preserve">Su salario medio aumenta (porque </w:t>
      </w:r>
      <w:r w:rsidRPr="009E1B0A">
        <w:rPr>
          <w:i/>
          <w:iCs/>
        </w:rPr>
        <w:t>A</w:t>
      </w:r>
      <w:r>
        <w:t xml:space="preserve"> está por debajo del punto</w:t>
      </w:r>
      <w:r w:rsidR="009E1B0A">
        <w:t> </w:t>
      </w:r>
      <w:r w:rsidRPr="009E1B0A">
        <w:rPr>
          <w:i/>
          <w:iCs/>
        </w:rPr>
        <w:t>B</w:t>
      </w:r>
      <w:r>
        <w:t>).</w:t>
      </w:r>
    </w:p>
    <w:p w14:paraId="439884A1" w14:textId="0F141C6B" w:rsidR="00961ED4" w:rsidRDefault="00961ED4" w:rsidP="00F67FAF">
      <w:pPr>
        <w:numPr>
          <w:ilvl w:val="4"/>
          <w:numId w:val="3"/>
        </w:numPr>
        <w:tabs>
          <w:tab w:val="clear" w:pos="3600"/>
        </w:tabs>
      </w:pPr>
      <w:r>
        <w:lastRenderedPageBreak/>
        <w:t xml:space="preserve">Esto implica que </w:t>
      </w:r>
      <w:proofErr w:type="gramStart"/>
      <w:r>
        <w:t>en relación a</w:t>
      </w:r>
      <w:proofErr w:type="gramEnd"/>
      <w:r>
        <w:t xml:space="preserve"> un impuesto proporcional se debilita el efecto renta (NOTA: ER = ER Dotación), que le induce a </w:t>
      </w:r>
      <w:r w:rsidRPr="00961ED4">
        <w:rPr>
          <w:u w:val="single"/>
        </w:rPr>
        <w:t>trabajar</w:t>
      </w:r>
      <w:r>
        <w:rPr>
          <w:u w:val="single"/>
        </w:rPr>
        <w:t xml:space="preserve"> menos</w:t>
      </w:r>
      <w:r>
        <w:t>.</w:t>
      </w:r>
    </w:p>
    <w:p w14:paraId="4D24ED6D" w14:textId="77777777" w:rsidR="00961ED4" w:rsidRDefault="00F67FAF" w:rsidP="00F67FAF">
      <w:pPr>
        <w:numPr>
          <w:ilvl w:val="2"/>
          <w:numId w:val="3"/>
        </w:numPr>
        <w:tabs>
          <w:tab w:val="clear" w:pos="2160"/>
        </w:tabs>
      </w:pPr>
      <w:r w:rsidRPr="00F67FAF">
        <w:rPr>
          <w:u w:val="single"/>
        </w:rPr>
        <w:t>Resultado indeterminado</w:t>
      </w:r>
      <w:r>
        <w:t xml:space="preserve">: </w:t>
      </w:r>
      <w:r w:rsidR="00961ED4">
        <w:t>El resultado final depende de la fortaleza relativa de ambos efectos.</w:t>
      </w:r>
    </w:p>
    <w:p w14:paraId="1CB55FBE" w14:textId="77777777" w:rsidR="00961ED4" w:rsidRDefault="00961ED4" w:rsidP="00F67FAF">
      <w:pPr>
        <w:numPr>
          <w:ilvl w:val="1"/>
          <w:numId w:val="3"/>
        </w:numPr>
        <w:tabs>
          <w:tab w:val="clear" w:pos="1440"/>
        </w:tabs>
      </w:pPr>
      <w:r w:rsidRPr="00961ED4">
        <w:rPr>
          <w:u w:val="single"/>
        </w:rPr>
        <w:t>Contribuyente</w:t>
      </w:r>
      <w:r>
        <w:rPr>
          <w:u w:val="single"/>
        </w:rPr>
        <w:t>s</w:t>
      </w:r>
      <w:r w:rsidRPr="00961ED4">
        <w:rPr>
          <w:u w:val="single"/>
        </w:rPr>
        <w:t xml:space="preserve"> w</w:t>
      </w:r>
      <w:r>
        <w:rPr>
          <w:u w:val="single"/>
        </w:rPr>
        <w:t>2</w:t>
      </w:r>
      <w:r w:rsidRPr="00961ED4">
        <w:rPr>
          <w:u w:val="single"/>
        </w:rPr>
        <w:t>L</w:t>
      </w:r>
      <w:r>
        <w:rPr>
          <w:u w:val="single"/>
        </w:rPr>
        <w:t xml:space="preserve">2 – </w:t>
      </w:r>
      <w:r w:rsidRPr="00961ED4">
        <w:rPr>
          <w:u w:val="single"/>
        </w:rPr>
        <w:t>w</w:t>
      </w:r>
      <w:r>
        <w:rPr>
          <w:u w:val="single"/>
        </w:rPr>
        <w:t>3</w:t>
      </w:r>
      <w:r w:rsidRPr="00961ED4">
        <w:rPr>
          <w:u w:val="single"/>
        </w:rPr>
        <w:t>L</w:t>
      </w:r>
      <w:r>
        <w:rPr>
          <w:u w:val="single"/>
        </w:rPr>
        <w:t>3</w:t>
      </w:r>
      <w:r>
        <w:t>:</w:t>
      </w:r>
    </w:p>
    <w:p w14:paraId="7526BA23" w14:textId="68A0DC1E" w:rsidR="00961ED4" w:rsidRDefault="00961ED4" w:rsidP="00F67FAF">
      <w:pPr>
        <w:numPr>
          <w:ilvl w:val="2"/>
          <w:numId w:val="3"/>
        </w:numPr>
        <w:tabs>
          <w:tab w:val="clear" w:pos="2160"/>
        </w:tabs>
      </w:pPr>
      <w:r>
        <w:t xml:space="preserve">Para estos contribuyentes se producen </w:t>
      </w:r>
      <w:r w:rsidRPr="00B847BA">
        <w:rPr>
          <w:u w:val="single"/>
        </w:rPr>
        <w:t>dos efectos</w:t>
      </w:r>
      <w:r>
        <w:t xml:space="preserve"> al pasar de un impuesto proporcional (punto rojo) a otro progresivo (punto verde).</w:t>
      </w:r>
    </w:p>
    <w:p w14:paraId="69BFC0CE" w14:textId="7E295CC9" w:rsidR="00961ED4" w:rsidRDefault="00961ED4" w:rsidP="00F67FAF">
      <w:pPr>
        <w:numPr>
          <w:ilvl w:val="3"/>
          <w:numId w:val="3"/>
        </w:numPr>
        <w:tabs>
          <w:tab w:val="clear" w:pos="2880"/>
        </w:tabs>
      </w:pPr>
      <w:r w:rsidRPr="00961ED4">
        <w:rPr>
          <w:u w:val="single"/>
        </w:rPr>
        <w:t>Primero</w:t>
      </w:r>
      <w:r>
        <w:t>:</w:t>
      </w:r>
    </w:p>
    <w:p w14:paraId="7C5494D8" w14:textId="338B17A7" w:rsidR="00961ED4" w:rsidRDefault="00961ED4" w:rsidP="00F67FAF">
      <w:pPr>
        <w:numPr>
          <w:ilvl w:val="4"/>
          <w:numId w:val="3"/>
        </w:numPr>
        <w:tabs>
          <w:tab w:val="clear" w:pos="3600"/>
        </w:tabs>
      </w:pPr>
      <w:r>
        <w:t xml:space="preserve">Su salario marginal </w:t>
      </w:r>
      <w:r w:rsidR="007A4C3A">
        <w:t>disminuye</w:t>
      </w:r>
      <w:r>
        <w:t xml:space="preserve"> (porque la pendiente en </w:t>
      </w:r>
      <w:r w:rsidR="007A4C3A">
        <w:t>el punto verde</w:t>
      </w:r>
      <w:r>
        <w:t xml:space="preserve"> es menor que en </w:t>
      </w:r>
      <w:r w:rsidR="007A4C3A">
        <w:t>el punto rojo</w:t>
      </w:r>
      <w:r>
        <w:t>).</w:t>
      </w:r>
    </w:p>
    <w:p w14:paraId="53DF25E4" w14:textId="79079925" w:rsidR="00961ED4" w:rsidRDefault="00961ED4" w:rsidP="00F67FAF">
      <w:pPr>
        <w:numPr>
          <w:ilvl w:val="4"/>
          <w:numId w:val="3"/>
        </w:numPr>
        <w:tabs>
          <w:tab w:val="clear" w:pos="3600"/>
        </w:tabs>
      </w:pPr>
      <w:r>
        <w:t xml:space="preserve">Esto implica que </w:t>
      </w:r>
      <w:proofErr w:type="gramStart"/>
      <w:r>
        <w:t>en relación a</w:t>
      </w:r>
      <w:proofErr w:type="gramEnd"/>
      <w:r>
        <w:t xml:space="preserve"> un impuesto proporcional se </w:t>
      </w:r>
      <w:r w:rsidR="007A4C3A">
        <w:t>refuerza</w:t>
      </w:r>
      <w:r>
        <w:t xml:space="preserve"> el efecto sustitución, que le induce a </w:t>
      </w:r>
      <w:r w:rsidRPr="00961ED4">
        <w:rPr>
          <w:u w:val="single"/>
        </w:rPr>
        <w:t>trabajar</w:t>
      </w:r>
      <w:r w:rsidR="007A4C3A">
        <w:rPr>
          <w:u w:val="single"/>
        </w:rPr>
        <w:t xml:space="preserve"> menos</w:t>
      </w:r>
      <w:r>
        <w:t>.</w:t>
      </w:r>
    </w:p>
    <w:p w14:paraId="32BD8CBF" w14:textId="13D98ED2" w:rsidR="00961ED4" w:rsidRDefault="00961ED4" w:rsidP="00F67FAF">
      <w:pPr>
        <w:numPr>
          <w:ilvl w:val="3"/>
          <w:numId w:val="3"/>
        </w:numPr>
        <w:tabs>
          <w:tab w:val="clear" w:pos="2880"/>
        </w:tabs>
      </w:pPr>
      <w:r w:rsidRPr="00961ED4">
        <w:rPr>
          <w:u w:val="single"/>
        </w:rPr>
        <w:t>Segundo</w:t>
      </w:r>
      <w:r>
        <w:t>:</w:t>
      </w:r>
    </w:p>
    <w:p w14:paraId="2CCD4AF6" w14:textId="1C48D540" w:rsidR="00961ED4" w:rsidRDefault="00961ED4" w:rsidP="00F67FAF">
      <w:pPr>
        <w:numPr>
          <w:ilvl w:val="4"/>
          <w:numId w:val="3"/>
        </w:numPr>
        <w:tabs>
          <w:tab w:val="clear" w:pos="3600"/>
        </w:tabs>
      </w:pPr>
      <w:r>
        <w:t xml:space="preserve">Su salario medio aumenta (porque </w:t>
      </w:r>
      <w:r w:rsidR="007A4C3A">
        <w:t>el punto rojo</w:t>
      </w:r>
      <w:r>
        <w:t xml:space="preserve"> está por debajo del punto </w:t>
      </w:r>
      <w:r w:rsidR="007A4C3A">
        <w:t>verde</w:t>
      </w:r>
      <w:r>
        <w:t>).</w:t>
      </w:r>
    </w:p>
    <w:p w14:paraId="5AC19575" w14:textId="3129AC40" w:rsidR="00961ED4" w:rsidRDefault="00961ED4" w:rsidP="00F67FAF">
      <w:pPr>
        <w:numPr>
          <w:ilvl w:val="4"/>
          <w:numId w:val="3"/>
        </w:numPr>
        <w:tabs>
          <w:tab w:val="clear" w:pos="3600"/>
        </w:tabs>
      </w:pPr>
      <w:r>
        <w:t xml:space="preserve">Esto implica que </w:t>
      </w:r>
      <w:proofErr w:type="gramStart"/>
      <w:r>
        <w:t>en relación a</w:t>
      </w:r>
      <w:proofErr w:type="gramEnd"/>
      <w:r>
        <w:t xml:space="preserve"> un impuesto proporcional se debilita el efecto renta (NOTA: ER = ER Dotación), que le induce a </w:t>
      </w:r>
      <w:r w:rsidRPr="00961ED4">
        <w:rPr>
          <w:u w:val="single"/>
        </w:rPr>
        <w:t>trabajar</w:t>
      </w:r>
      <w:r>
        <w:rPr>
          <w:u w:val="single"/>
        </w:rPr>
        <w:t xml:space="preserve"> menos</w:t>
      </w:r>
      <w:r>
        <w:t>.</w:t>
      </w:r>
    </w:p>
    <w:p w14:paraId="4F8F9E64" w14:textId="26C1EF57" w:rsidR="00961ED4" w:rsidRDefault="00F67FAF" w:rsidP="00F67FAF">
      <w:pPr>
        <w:numPr>
          <w:ilvl w:val="2"/>
          <w:numId w:val="3"/>
        </w:numPr>
        <w:tabs>
          <w:tab w:val="clear" w:pos="2160"/>
        </w:tabs>
      </w:pPr>
      <w:r w:rsidRPr="00F67FAF">
        <w:rPr>
          <w:u w:val="single"/>
        </w:rPr>
        <w:t>Resultado determinado</w:t>
      </w:r>
      <w:r>
        <w:t xml:space="preserve">: </w:t>
      </w:r>
      <w:r w:rsidR="005C6C92">
        <w:t>En este caso ambos efectos se refuerzan al ir en la misma dirección</w:t>
      </w:r>
      <w:r w:rsidR="00961ED4">
        <w:t>.</w:t>
      </w:r>
      <w:r>
        <w:t xml:space="preserve"> El empleo se reduce.</w:t>
      </w:r>
    </w:p>
    <w:p w14:paraId="796DF77E" w14:textId="77777777" w:rsidR="007A4C3A" w:rsidRDefault="007A4C3A" w:rsidP="00F67FAF">
      <w:pPr>
        <w:numPr>
          <w:ilvl w:val="0"/>
          <w:numId w:val="3"/>
        </w:numPr>
        <w:tabs>
          <w:tab w:val="clear" w:pos="720"/>
        </w:tabs>
      </w:pPr>
      <w:r w:rsidRPr="00B323A4">
        <w:rPr>
          <w:u w:val="single"/>
        </w:rPr>
        <w:t>Conclusión</w:t>
      </w:r>
      <w:r>
        <w:t>:</w:t>
      </w:r>
    </w:p>
    <w:p w14:paraId="0ABCA585" w14:textId="77777777" w:rsidR="00B847BA" w:rsidRDefault="007A4C3A" w:rsidP="00F67FAF">
      <w:pPr>
        <w:numPr>
          <w:ilvl w:val="1"/>
          <w:numId w:val="3"/>
        </w:numPr>
        <w:tabs>
          <w:tab w:val="clear" w:pos="1440"/>
        </w:tabs>
      </w:pPr>
      <w:r w:rsidRPr="007A4C3A">
        <w:t xml:space="preserve">La conclusión que se extrae de lo anterior es que la progresividad no reduce necesariamente la oferta de trabajo global de la economía </w:t>
      </w:r>
      <w:proofErr w:type="gramStart"/>
      <w:r w:rsidRPr="007A4C3A">
        <w:t>en relación a</w:t>
      </w:r>
      <w:proofErr w:type="gramEnd"/>
      <w:r w:rsidRPr="007A4C3A">
        <w:t xml:space="preserve"> la proporcionalidad, si no que todo va a depender de la importancia relativa de los ES y ER para los distintos niveles de renta salarial.</w:t>
      </w:r>
    </w:p>
    <w:p w14:paraId="4356B5CF" w14:textId="77777777" w:rsidR="00662E12" w:rsidRPr="00AD3498" w:rsidRDefault="00544DCE" w:rsidP="00A87B86">
      <w:pPr>
        <w:pStyle w:val="Ttulo3"/>
      </w:pPr>
      <w:bookmarkStart w:id="25" w:name="_Toc149220464"/>
      <w:r w:rsidRPr="00AD3498">
        <w:t>Evidencia empírica</w:t>
      </w:r>
      <w:bookmarkEnd w:id="25"/>
    </w:p>
    <w:p w14:paraId="6A0CD9F8" w14:textId="40F77411" w:rsidR="00F67FAF" w:rsidRDefault="00F67FAF" w:rsidP="00454109">
      <w:pPr>
        <w:pStyle w:val="Nivel1SM"/>
        <w:keepNext/>
        <w:spacing w:before="0" w:after="0"/>
      </w:pPr>
      <w:r>
        <w:t xml:space="preserve">La principal conclusión de los estudios empíricos que han analizado </w:t>
      </w:r>
      <w:r w:rsidRPr="00454109">
        <w:rPr>
          <w:b/>
          <w:bCs/>
        </w:rPr>
        <w:t>los efecto</w:t>
      </w:r>
      <w:r w:rsidR="00454109" w:rsidRPr="00454109">
        <w:rPr>
          <w:b/>
          <w:bCs/>
        </w:rPr>
        <w:t>s</w:t>
      </w:r>
      <w:r w:rsidRPr="00454109">
        <w:rPr>
          <w:b/>
          <w:bCs/>
        </w:rPr>
        <w:t xml:space="preserve"> de los impuestos sobre la oferta de trabajo de los </w:t>
      </w:r>
      <w:proofErr w:type="gramStart"/>
      <w:r w:rsidRPr="00454109">
        <w:rPr>
          <w:b/>
          <w:bCs/>
        </w:rPr>
        <w:t>hogares</w:t>
      </w:r>
      <w:r>
        <w:t>,</w:t>
      </w:r>
      <w:proofErr w:type="gramEnd"/>
      <w:r>
        <w:t xml:space="preserve"> es que éstos </w:t>
      </w:r>
      <w:r w:rsidRPr="00454109">
        <w:rPr>
          <w:b/>
          <w:bCs/>
        </w:rPr>
        <w:t>dependen mucho del tipo de población considerado</w:t>
      </w:r>
      <w:r>
        <w:t>:</w:t>
      </w:r>
    </w:p>
    <w:p w14:paraId="112D0E15" w14:textId="2032667D" w:rsidR="00F67FAF" w:rsidRDefault="00F67FAF" w:rsidP="00E1108B">
      <w:pPr>
        <w:pStyle w:val="Nivel2SM"/>
      </w:pPr>
      <w:r w:rsidRPr="00454109">
        <w:rPr>
          <w:i/>
          <w:iCs/>
          <w:u w:val="single"/>
        </w:rPr>
        <w:t>Para varones de mediana edad</w:t>
      </w:r>
      <w:r w:rsidR="00454109">
        <w:t xml:space="preserve">: </w:t>
      </w:r>
      <w:r>
        <w:t>La elasticidad-salario de su oferta suele ser cercana a cero (y, por tanto, los impuestos desincentivan poco su oferta de trabajo).</w:t>
      </w:r>
    </w:p>
    <w:p w14:paraId="7FA143BB" w14:textId="6908F6F9" w:rsidR="003B6531" w:rsidRPr="00AD3498" w:rsidRDefault="00F67FAF" w:rsidP="00A63104">
      <w:pPr>
        <w:pStyle w:val="Nivel2SM"/>
      </w:pPr>
      <w:r w:rsidRPr="00454109">
        <w:rPr>
          <w:i/>
          <w:iCs/>
          <w:u w:val="single"/>
        </w:rPr>
        <w:t>Para los trabajadores secundarios del hogar (generalmente, mujeres casadas y con hijos)</w:t>
      </w:r>
      <w:r w:rsidR="00454109">
        <w:t xml:space="preserve">: </w:t>
      </w:r>
      <w:r>
        <w:t>La elasticidad-salario de su oferta es mucho mayor (y, por tanto, los impuestos desincentivan mucho su oferta de trabajo).</w:t>
      </w:r>
    </w:p>
    <w:p w14:paraId="4FE9655C" w14:textId="70FF3BC1" w:rsidR="00B353D3" w:rsidRPr="00AD3498" w:rsidRDefault="00CF301C" w:rsidP="00A87B86">
      <w:pPr>
        <w:pStyle w:val="Ttulo2"/>
      </w:pPr>
      <w:bookmarkStart w:id="26" w:name="_Toc149220465"/>
      <w:r w:rsidRPr="00AD3498">
        <w:t>Efectos incentivo sobre el ahorro</w:t>
      </w:r>
      <w:bookmarkEnd w:id="26"/>
    </w:p>
    <w:p w14:paraId="2D285787" w14:textId="23DB9D43" w:rsidR="00FE3BE4" w:rsidRPr="00AD3498" w:rsidRDefault="00FE3BE4" w:rsidP="00F9555C">
      <w:pPr>
        <w:pStyle w:val="Ttulo3"/>
        <w:spacing w:before="0"/>
      </w:pPr>
      <w:bookmarkStart w:id="27" w:name="_Toc149220466"/>
      <w:r w:rsidRPr="00AD3498">
        <w:t>Idea</w:t>
      </w:r>
      <w:bookmarkEnd w:id="27"/>
    </w:p>
    <w:p w14:paraId="7EA6D889" w14:textId="77777777" w:rsidR="00F9555C" w:rsidRDefault="00F9555C" w:rsidP="00F9555C">
      <w:pPr>
        <w:pStyle w:val="Nivel1SM"/>
        <w:keepNext/>
        <w:spacing w:before="0" w:after="0"/>
      </w:pPr>
      <w:r>
        <w:t>Hasta ahora hemos visto los efectos incentivo de los impuestos sobre las decisiones de oferta de trabajo de los hogares.</w:t>
      </w:r>
    </w:p>
    <w:p w14:paraId="04D8C55D" w14:textId="0D020BBA" w:rsidR="00FE3BE4" w:rsidRPr="00AD3498" w:rsidRDefault="00F9555C" w:rsidP="00F9555C">
      <w:pPr>
        <w:pStyle w:val="Nivel2SM"/>
      </w:pPr>
      <w:r>
        <w:t xml:space="preserve">Pero también pueden afectar a la </w:t>
      </w:r>
      <w:r>
        <w:rPr>
          <w:b/>
          <w:bCs/>
        </w:rPr>
        <w:t>acumulación de capital</w:t>
      </w:r>
      <w:r>
        <w:t xml:space="preserve">. En este sentido, resulta importante apreciar que los </w:t>
      </w:r>
      <w:r w:rsidR="00B80038">
        <w:t xml:space="preserve">impuestos pueden tener un impacto muy importante sobre el </w:t>
      </w:r>
      <w:r w:rsidRPr="00F9555C">
        <w:rPr>
          <w:b/>
          <w:bCs/>
        </w:rPr>
        <w:t>ahorro</w:t>
      </w:r>
      <w:r>
        <w:t xml:space="preserve">, que es un determinante básico de la acumulación de capital y, a su vez, sobre el </w:t>
      </w:r>
      <w:r w:rsidR="00B80038" w:rsidRPr="00F9555C">
        <w:rPr>
          <w:i/>
          <w:iCs/>
        </w:rPr>
        <w:t xml:space="preserve">crecimiento </w:t>
      </w:r>
      <w:r w:rsidRPr="00F9555C">
        <w:rPr>
          <w:i/>
          <w:iCs/>
        </w:rPr>
        <w:t>económico</w:t>
      </w:r>
      <w:r w:rsidR="00B80038">
        <w:t>.</w:t>
      </w:r>
    </w:p>
    <w:p w14:paraId="26F7E003" w14:textId="77777777" w:rsidR="00A87B86" w:rsidRDefault="00A87B86" w:rsidP="00A87B86">
      <w:pPr>
        <w:pStyle w:val="Ttulo3"/>
      </w:pPr>
      <w:bookmarkStart w:id="28" w:name="_Toc149220467"/>
      <w:r>
        <w:lastRenderedPageBreak/>
        <w:t>Modelo</w:t>
      </w:r>
      <w:bookmarkEnd w:id="28"/>
    </w:p>
    <w:p w14:paraId="3B67FAC0" w14:textId="77777777" w:rsidR="00A87B86" w:rsidRDefault="00A87B86" w:rsidP="00A87B86">
      <w:pPr>
        <w:pStyle w:val="Ttulo6"/>
        <w:spacing w:before="0"/>
      </w:pPr>
      <w:bookmarkStart w:id="29" w:name="_Toc149220468"/>
      <w:r>
        <w:t>Supuestos</w:t>
      </w:r>
      <w:bookmarkEnd w:id="29"/>
    </w:p>
    <w:p w14:paraId="2F46EEE1" w14:textId="7785CFB1" w:rsidR="0031004A" w:rsidRDefault="0031004A" w:rsidP="005841AD">
      <w:pPr>
        <w:pStyle w:val="Nivel1SM"/>
        <w:keepNext/>
        <w:keepLines/>
        <w:spacing w:before="0" w:after="0"/>
      </w:pPr>
      <w:r>
        <w:t xml:space="preserve">El ahorro es un fenómeno </w:t>
      </w:r>
      <w:proofErr w:type="spellStart"/>
      <w:r>
        <w:rPr>
          <w:i/>
          <w:iCs/>
        </w:rPr>
        <w:t>intertemporal</w:t>
      </w:r>
      <w:proofErr w:type="spellEnd"/>
      <w:r>
        <w:t xml:space="preserve"> (pues se ahorra hoy para consumir mañana). Por ello, para analizar los efectos de los impuestos sobre el ahorro es necesario utilizar un modelo que tenga en cuenta las decisiones </w:t>
      </w:r>
      <w:proofErr w:type="spellStart"/>
      <w:r>
        <w:t>intertemporales</w:t>
      </w:r>
      <w:proofErr w:type="spellEnd"/>
      <w:r>
        <w:t xml:space="preserve"> de los agentes. Nosotros vamos a considerar un sencillo </w:t>
      </w:r>
      <w:r>
        <w:rPr>
          <w:i/>
          <w:iCs/>
        </w:rPr>
        <w:t>modelo de ciclo vital de 2 períodos</w:t>
      </w:r>
      <w:r w:rsidR="005841AD">
        <w:t>, con los siguientes supuestos:</w:t>
      </w:r>
    </w:p>
    <w:p w14:paraId="361807DE" w14:textId="199CB392" w:rsidR="005B2972" w:rsidRDefault="005841AD" w:rsidP="005B2972">
      <w:pPr>
        <w:pStyle w:val="Nivel2SM"/>
        <w:keepNext/>
        <w:spacing w:after="0"/>
      </w:pPr>
      <w:r>
        <w:t>Los individuos viven 2 períodos</w:t>
      </w:r>
      <w:r w:rsidR="005B2972">
        <w:t>:</w:t>
      </w:r>
    </w:p>
    <w:p w14:paraId="3FB23496" w14:textId="22E6E52C" w:rsidR="005B2972" w:rsidRDefault="005B2972" w:rsidP="005B2972">
      <w:pPr>
        <w:pStyle w:val="Nivel3SM"/>
      </w:pPr>
      <w:r>
        <w:t>S</w:t>
      </w:r>
      <w:r w:rsidR="005841AD">
        <w:t>ólo reciben una renta (que supondremos salarial) en el primer período</w:t>
      </w:r>
      <w:r w:rsidR="005841AD">
        <w:rPr>
          <w:rStyle w:val="Refdenotaalpie"/>
        </w:rPr>
        <w:footnoteReference w:id="10"/>
      </w:r>
      <w:r>
        <w:t>.</w:t>
      </w:r>
    </w:p>
    <w:p w14:paraId="087DC275" w14:textId="77777777" w:rsidR="005B2972" w:rsidRDefault="005B2972" w:rsidP="005B2972">
      <w:pPr>
        <w:pStyle w:val="Nivel3SM"/>
      </w:pPr>
      <w:r>
        <w:t>G</w:t>
      </w:r>
      <w:r w:rsidR="005841AD">
        <w:t>astan toda su renta a lo largo de los 2 períodos (i.e. no dejan herencias)</w:t>
      </w:r>
      <w:r>
        <w:t>.</w:t>
      </w:r>
    </w:p>
    <w:p w14:paraId="2658DA35" w14:textId="5B99A6FE" w:rsidR="005841AD" w:rsidRPr="0031004A" w:rsidRDefault="005B2972" w:rsidP="005B2972">
      <w:pPr>
        <w:pStyle w:val="Nivel3SM"/>
      </w:pPr>
      <w:r>
        <w:t>P</w:t>
      </w:r>
      <w:r w:rsidR="005841AD">
        <w:t>ueden ahorrar al tipo de interés de mercado (por lo que el consumo en el segundo período se financia con el ahorro del primer periodo más su rendimiento).</w:t>
      </w:r>
    </w:p>
    <w:p w14:paraId="11B5A656" w14:textId="77777777" w:rsidR="00A87B86" w:rsidRDefault="00A87B86" w:rsidP="00CF301C">
      <w:pPr>
        <w:pStyle w:val="Ttulo6"/>
      </w:pPr>
      <w:bookmarkStart w:id="30" w:name="_Toc149220469"/>
      <w:r>
        <w:t>Desarrollo</w:t>
      </w:r>
      <w:bookmarkEnd w:id="30"/>
    </w:p>
    <w:p w14:paraId="3B68B6B3" w14:textId="3D4EC3AD" w:rsidR="002A6695" w:rsidRPr="006F166B" w:rsidRDefault="00FE3BE4" w:rsidP="00A87B86">
      <w:pPr>
        <w:pStyle w:val="Ttulo7"/>
        <w:spacing w:before="0"/>
      </w:pPr>
      <w:bookmarkStart w:id="31" w:name="_Toc149220470"/>
      <w:r w:rsidRPr="00AD3498">
        <w:t xml:space="preserve">Escenario inicial: </w:t>
      </w:r>
      <w:r w:rsidR="00055409" w:rsidRPr="00AD3498">
        <w:t>Modelo básico de ciclo vital</w:t>
      </w:r>
      <w:r w:rsidRPr="00AD3498">
        <w:t xml:space="preserve"> sin impuestos</w:t>
      </w:r>
      <w:bookmarkEnd w:id="31"/>
    </w:p>
    <w:p w14:paraId="1B2A2783" w14:textId="4B3152FC" w:rsidR="00F67FAF" w:rsidRPr="00F67FAF" w:rsidRDefault="00F67FAF" w:rsidP="005841AD">
      <w:pPr>
        <w:pStyle w:val="Nivel2SM"/>
        <w:keepNext/>
        <w:spacing w:after="0"/>
      </w:pPr>
      <w:r w:rsidRPr="00F67FAF">
        <w:t xml:space="preserve">Partimos de un modelo donde los agentes únicamente reciben rentas en el primero periodo y donde suponemos que el agente únicamente dedica su tiempo a trabajar. Suponiendo que la dotación es 1 los ingresos vienen dados por </w:t>
      </w:r>
      <w:r w:rsidRPr="005841AD">
        <w:rPr>
          <w:i/>
          <w:iCs/>
        </w:rPr>
        <w:t>w</w:t>
      </w:r>
      <w:r w:rsidRPr="00F67FAF">
        <w:t>.</w:t>
      </w:r>
    </w:p>
    <w:p w14:paraId="3B3A80F7" w14:textId="77777777" w:rsidR="00941AF2" w:rsidRPr="00AD3498" w:rsidRDefault="000676EF" w:rsidP="00F67FAF">
      <w:pPr>
        <w:jc w:val="center"/>
        <w:rPr>
          <w:b/>
        </w:rPr>
      </w:pPr>
      <w:r w:rsidRPr="00F67FAF">
        <w:rPr>
          <w:noProof/>
        </w:rPr>
        <w:drawing>
          <wp:inline distT="0" distB="0" distL="0" distR="0" wp14:anchorId="76A0D242" wp14:editId="360690F9">
            <wp:extent cx="2689860" cy="2217420"/>
            <wp:effectExtent l="0" t="0" r="0" b="0"/>
            <wp:docPr id="1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689860" cy="2217420"/>
                    </a:xfrm>
                    <a:prstGeom prst="rect">
                      <a:avLst/>
                    </a:prstGeom>
                    <a:noFill/>
                    <a:ln>
                      <a:noFill/>
                    </a:ln>
                  </pic:spPr>
                </pic:pic>
              </a:graphicData>
            </a:graphic>
          </wp:inline>
        </w:drawing>
      </w:r>
    </w:p>
    <w:p w14:paraId="40AC21A1" w14:textId="3947C6C6" w:rsidR="00F50469" w:rsidRDefault="00F50469" w:rsidP="00A87B86">
      <w:pPr>
        <w:pStyle w:val="Ttulo7"/>
      </w:pPr>
      <w:bookmarkStart w:id="32" w:name="_Toc149220471"/>
      <w:r>
        <w:t>Introducción de impuestos</w:t>
      </w:r>
      <w:bookmarkEnd w:id="32"/>
    </w:p>
    <w:p w14:paraId="144B9DEA" w14:textId="7CBED988" w:rsidR="00F67FAF" w:rsidRPr="00877DEA" w:rsidRDefault="00F67FAF" w:rsidP="00F50469">
      <w:pPr>
        <w:pStyle w:val="Ttulo8"/>
        <w:spacing w:before="0"/>
      </w:pPr>
      <w:r w:rsidRPr="00877DEA">
        <w:t>Impuesto de suma fija (genera solo ER)</w:t>
      </w:r>
    </w:p>
    <w:p w14:paraId="76C7CC00" w14:textId="77777777" w:rsidR="00F67FAF" w:rsidRPr="00F67FAF" w:rsidRDefault="00F67FAF" w:rsidP="005841AD">
      <w:pPr>
        <w:pStyle w:val="Nivel2SM"/>
        <w:keepNext/>
        <w:spacing w:after="0"/>
      </w:pPr>
      <w:r w:rsidRPr="00F67FAF">
        <w:t>Análisis:</w:t>
      </w:r>
    </w:p>
    <w:p w14:paraId="56655BE8" w14:textId="77777777" w:rsidR="00F67FAF" w:rsidRDefault="000676EF" w:rsidP="005841AD">
      <w:pPr>
        <w:spacing w:after="0"/>
        <w:jc w:val="center"/>
      </w:pPr>
      <w:r w:rsidRPr="00F67FAF">
        <w:rPr>
          <w:noProof/>
        </w:rPr>
        <w:drawing>
          <wp:inline distT="0" distB="0" distL="0" distR="0" wp14:anchorId="64B995F9" wp14:editId="09A1CF3C">
            <wp:extent cx="3322320" cy="906780"/>
            <wp:effectExtent l="0" t="0" r="0" b="7620"/>
            <wp:docPr id="1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322320" cy="906780"/>
                    </a:xfrm>
                    <a:prstGeom prst="rect">
                      <a:avLst/>
                    </a:prstGeom>
                    <a:noFill/>
                    <a:ln>
                      <a:noFill/>
                    </a:ln>
                  </pic:spPr>
                </pic:pic>
              </a:graphicData>
            </a:graphic>
          </wp:inline>
        </w:drawing>
      </w:r>
    </w:p>
    <w:p w14:paraId="6E093498" w14:textId="7FA22852" w:rsidR="00C63FF0" w:rsidRDefault="00C63FF0" w:rsidP="00C63FF0">
      <w:pPr>
        <w:pStyle w:val="Nivel3SM"/>
      </w:pPr>
      <w:r>
        <w:t>Vemos cómo un impuesto de suma fija mantiene inalterada la CPO, por lo que no habrá efectos sustitución.</w:t>
      </w:r>
    </w:p>
    <w:p w14:paraId="1CD25603" w14:textId="0AF1DC1C" w:rsidR="00C63FF0" w:rsidRPr="00F67FAF" w:rsidRDefault="00C63FF0" w:rsidP="00C63FF0">
      <w:pPr>
        <w:pStyle w:val="Nivel3SM"/>
      </w:pPr>
      <w:r>
        <w:t xml:space="preserve">Sí habrá, sin embargo, </w:t>
      </w:r>
      <w:r>
        <w:rPr>
          <w:i/>
          <w:iCs/>
        </w:rPr>
        <w:t>efecto renta</w:t>
      </w:r>
      <w:r>
        <w:t>. La restricción presupuestaria se desplazará de forma paralela hacia el origen (manteniendo, pues, su pendiente constante). Si el consumo en ambos períodos es un bien normal (algo que vamos a suponer de aquí en adelante), se reduce el consumo en ambos períodos.</w:t>
      </w:r>
    </w:p>
    <w:p w14:paraId="1FB44079" w14:textId="77777777" w:rsidR="00F67FAF" w:rsidRPr="00F67FAF" w:rsidRDefault="00F67FAF" w:rsidP="005841AD">
      <w:pPr>
        <w:pStyle w:val="Nivel2SM"/>
        <w:keepNext/>
        <w:spacing w:after="0"/>
      </w:pPr>
      <w:r w:rsidRPr="00F67FAF">
        <w:t>Gráficamente:</w:t>
      </w:r>
    </w:p>
    <w:p w14:paraId="611A2B16" w14:textId="77777777" w:rsidR="00F67FAF" w:rsidRPr="00F67FAF" w:rsidRDefault="00F67FAF" w:rsidP="005841AD">
      <w:pPr>
        <w:pStyle w:val="Nivel3SM"/>
      </w:pPr>
      <w:r w:rsidRPr="00F67FAF">
        <w:t>La restricción presupuestaria se desplaza hacia el origen, pero su pendiente no varía.</w:t>
      </w:r>
    </w:p>
    <w:p w14:paraId="43F3CF9F" w14:textId="403AA595" w:rsidR="00F67FAF" w:rsidRPr="00F67FAF" w:rsidRDefault="00F67FAF" w:rsidP="005841AD">
      <w:pPr>
        <w:pStyle w:val="Nivel3SM"/>
      </w:pPr>
      <w:r w:rsidRPr="00F67FAF">
        <w:t xml:space="preserve">Si tanto </w:t>
      </w:r>
      <m:oMath>
        <m:sSub>
          <m:sSubPr>
            <m:ctrlPr>
              <w:rPr>
                <w:rFonts w:ascii="Cambria Math" w:eastAsia="Times New Roman" w:hAnsi="Cambria Math"/>
                <w:i/>
              </w:rPr>
            </m:ctrlPr>
          </m:sSubPr>
          <m:e>
            <m:r>
              <m:rPr>
                <m:nor/>
              </m:rPr>
              <w:rPr>
                <w:rFonts w:eastAsia="Times New Roman"/>
                <w:i/>
              </w:rPr>
              <m:t>C</m:t>
            </m:r>
          </m:e>
          <m:sub>
            <m:r>
              <m:rPr>
                <m:nor/>
              </m:rPr>
              <w:rPr>
                <w:rFonts w:eastAsia="Times New Roman"/>
                <w:i/>
              </w:rPr>
              <m:t>1</m:t>
            </m:r>
          </m:sub>
        </m:sSub>
      </m:oMath>
      <w:r w:rsidRPr="005841AD">
        <w:t xml:space="preserve"> </w:t>
      </w:r>
      <w:r w:rsidRPr="00F67FAF">
        <w:t xml:space="preserve">como </w:t>
      </w:r>
      <m:oMath>
        <m:sSub>
          <m:sSubPr>
            <m:ctrlPr>
              <w:rPr>
                <w:rFonts w:ascii="Cambria Math" w:eastAsia="Times New Roman" w:hAnsi="Cambria Math"/>
                <w:i/>
              </w:rPr>
            </m:ctrlPr>
          </m:sSubPr>
          <m:e>
            <m:r>
              <m:rPr>
                <m:nor/>
              </m:rPr>
              <w:rPr>
                <w:rFonts w:eastAsia="Times New Roman"/>
                <w:i/>
              </w:rPr>
              <m:t>C</m:t>
            </m:r>
          </m:e>
          <m:sub>
            <m:r>
              <m:rPr>
                <m:nor/>
              </m:rPr>
              <w:rPr>
                <w:rFonts w:eastAsia="Times New Roman"/>
                <w:i/>
              </w:rPr>
              <m:t>2</m:t>
            </m:r>
          </m:sub>
        </m:sSub>
      </m:oMath>
      <w:r w:rsidRPr="00F67FAF">
        <w:t xml:space="preserve"> son bienes normales, el equilibrio pasa a ser </w:t>
      </w:r>
      <m:oMath>
        <m:sSub>
          <m:sSubPr>
            <m:ctrlPr>
              <w:rPr>
                <w:rFonts w:ascii="Cambria Math" w:eastAsia="Times New Roman" w:hAnsi="Cambria Math"/>
                <w:i/>
              </w:rPr>
            </m:ctrlPr>
          </m:sSubPr>
          <m:e>
            <m:r>
              <m:rPr>
                <m:nor/>
              </m:rPr>
              <w:rPr>
                <w:rFonts w:eastAsia="Times New Roman"/>
                <w:i/>
              </w:rPr>
              <m:t>E</m:t>
            </m:r>
          </m:e>
          <m:sub>
            <m:r>
              <m:rPr>
                <m:nor/>
              </m:rPr>
              <w:rPr>
                <w:rFonts w:eastAsia="Times New Roman"/>
                <w:i/>
              </w:rPr>
              <m:t>1</m:t>
            </m:r>
          </m:sub>
        </m:sSub>
      </m:oMath>
      <w:r w:rsidRPr="00F67FAF">
        <w:t xml:space="preserve"> (se reduce el consumo en ambos periodos).</w:t>
      </w:r>
    </w:p>
    <w:p w14:paraId="3411E95E" w14:textId="77777777" w:rsidR="00F67FAF" w:rsidRPr="00F67FAF" w:rsidRDefault="000676EF" w:rsidP="00F67FAF">
      <w:pPr>
        <w:jc w:val="center"/>
      </w:pPr>
      <w:r w:rsidRPr="00F67FAF">
        <w:rPr>
          <w:noProof/>
        </w:rPr>
        <w:lastRenderedPageBreak/>
        <w:drawing>
          <wp:inline distT="0" distB="0" distL="0" distR="0" wp14:anchorId="3361077B" wp14:editId="7251CF5E">
            <wp:extent cx="2499867" cy="2232660"/>
            <wp:effectExtent l="0" t="0" r="0" b="0"/>
            <wp:docPr id="16"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503988" cy="2236340"/>
                    </a:xfrm>
                    <a:prstGeom prst="rect">
                      <a:avLst/>
                    </a:prstGeom>
                    <a:noFill/>
                    <a:ln>
                      <a:noFill/>
                    </a:ln>
                  </pic:spPr>
                </pic:pic>
              </a:graphicData>
            </a:graphic>
          </wp:inline>
        </w:drawing>
      </w:r>
    </w:p>
    <w:p w14:paraId="6625B899" w14:textId="77777777" w:rsidR="00F67FAF" w:rsidRPr="00F67FAF" w:rsidRDefault="00F67FAF" w:rsidP="005841AD">
      <w:pPr>
        <w:pStyle w:val="Nivel2SM"/>
        <w:keepNext/>
        <w:spacing w:after="0"/>
      </w:pPr>
      <w:r w:rsidRPr="005841AD">
        <w:rPr>
          <w:u w:val="single"/>
        </w:rPr>
        <w:t>Efectos sobre el ahorro privado</w:t>
      </w:r>
      <w:r w:rsidRPr="00F67FAF">
        <w:t>:</w:t>
      </w:r>
    </w:p>
    <w:p w14:paraId="5027A69D" w14:textId="78BF571D" w:rsidR="00F67FAF" w:rsidRPr="00F67FAF" w:rsidRDefault="00F67FAF" w:rsidP="005841AD">
      <w:pPr>
        <w:pStyle w:val="Nivel3SM"/>
        <w:keepNext/>
      </w:pPr>
      <w:r w:rsidRPr="00F67FAF">
        <w:t xml:space="preserve">De la restricción del segundo periodo se puede ver, dado los supuestos, que el ahorro privado es igual al </w:t>
      </w:r>
      <w:r w:rsidRPr="00F67FAF">
        <w:rPr>
          <w:u w:val="single"/>
        </w:rPr>
        <w:t>valor presente del consumo en el 2º</w:t>
      </w:r>
      <w:r w:rsidR="005841AD">
        <w:rPr>
          <w:u w:val="single"/>
        </w:rPr>
        <w:t> </w:t>
      </w:r>
      <w:r w:rsidRPr="00F67FAF">
        <w:rPr>
          <w:u w:val="single"/>
        </w:rPr>
        <w:t>periodo (</w:t>
      </w:r>
      <m:oMath>
        <m:sSub>
          <m:sSubPr>
            <m:ctrlPr>
              <w:rPr>
                <w:rFonts w:ascii="Cambria Math" w:eastAsia="Times New Roman" w:hAnsi="Cambria Math"/>
                <w:i/>
                <w:u w:val="single"/>
              </w:rPr>
            </m:ctrlPr>
          </m:sSubPr>
          <m:e>
            <m:r>
              <m:rPr>
                <m:nor/>
              </m:rPr>
              <w:rPr>
                <w:rFonts w:eastAsia="Times New Roman"/>
                <w:i/>
                <w:u w:val="single"/>
              </w:rPr>
              <m:t>C</m:t>
            </m:r>
          </m:e>
          <m:sub>
            <m:r>
              <m:rPr>
                <m:nor/>
              </m:rPr>
              <w:rPr>
                <w:rFonts w:eastAsia="Times New Roman"/>
                <w:i/>
                <w:u w:val="single"/>
              </w:rPr>
              <m:t>2</m:t>
            </m:r>
          </m:sub>
        </m:sSub>
      </m:oMath>
      <w:r w:rsidRPr="00F67FAF">
        <w:rPr>
          <w:u w:val="single"/>
        </w:rPr>
        <w:t>)</w:t>
      </w:r>
      <w:r w:rsidRPr="00F67FAF">
        <w:t>.</w:t>
      </w:r>
    </w:p>
    <w:p w14:paraId="6D9F2A2C" w14:textId="3CC14BBE" w:rsidR="00F67FAF" w:rsidRPr="005841AD" w:rsidRDefault="00000000" w:rsidP="005841AD">
      <w:pPr>
        <w:spacing w:after="0"/>
        <w:jc w:val="center"/>
        <w:rPr>
          <w:i/>
        </w:rPr>
      </w:pPr>
      <m:oMathPara>
        <m:oMath>
          <m:sSub>
            <m:sSubPr>
              <m:ctrlPr>
                <w:rPr>
                  <w:rFonts w:ascii="Cambria Math" w:eastAsia="Times New Roman" w:hAnsi="Cambria Math"/>
                  <w:i/>
                </w:rPr>
              </m:ctrlPr>
            </m:sSubPr>
            <m:e>
              <m:r>
                <m:rPr>
                  <m:nor/>
                </m:rPr>
                <w:rPr>
                  <w:rFonts w:eastAsia="Times New Roman"/>
                  <w:i/>
                </w:rPr>
                <m:t>S</m:t>
              </m:r>
            </m:e>
            <m:sub>
              <m:r>
                <m:rPr>
                  <m:nor/>
                </m:rPr>
                <w:rPr>
                  <w:rFonts w:eastAsia="Times New Roman"/>
                  <w:i/>
                </w:rPr>
                <m:t>1</m:t>
              </m:r>
            </m:sub>
          </m:sSub>
          <m:r>
            <w:rPr>
              <w:rFonts w:ascii="Cambria Math" w:eastAsia="Times New Roman" w:hAnsi="Cambria Math"/>
            </w:rPr>
            <m:t>∙</m:t>
          </m:r>
          <m:d>
            <m:dPr>
              <m:ctrlPr>
                <w:rPr>
                  <w:rFonts w:ascii="Cambria Math" w:eastAsia="Times New Roman" w:hAnsi="Cambria Math"/>
                  <w:i/>
                </w:rPr>
              </m:ctrlPr>
            </m:dPr>
            <m:e>
              <m:r>
                <m:rPr>
                  <m:nor/>
                </m:rPr>
                <w:rPr>
                  <w:rFonts w:eastAsia="Times New Roman"/>
                  <w:i/>
                </w:rPr>
                <m:t>1</m:t>
              </m:r>
              <m:r>
                <w:rPr>
                  <w:rFonts w:ascii="Cambria Math" w:eastAsia="Times New Roman" w:hAnsi="Cambria Math"/>
                </w:rPr>
                <m:t>+</m:t>
              </m:r>
              <m:r>
                <m:rPr>
                  <m:nor/>
                </m:rPr>
                <w:rPr>
                  <w:rFonts w:eastAsia="Times New Roman"/>
                  <w:i/>
                </w:rPr>
                <m:t>r</m:t>
              </m:r>
            </m:e>
          </m:d>
          <m:r>
            <w:rPr>
              <w:rFonts w:ascii="Cambria Math" w:eastAsia="Times New Roman" w:hAnsi="Cambria Math"/>
            </w:rPr>
            <m:t>=</m:t>
          </m:r>
          <m:sSub>
            <m:sSubPr>
              <m:ctrlPr>
                <w:rPr>
                  <w:rFonts w:ascii="Cambria Math" w:eastAsia="Times New Roman" w:hAnsi="Cambria Math"/>
                  <w:i/>
                </w:rPr>
              </m:ctrlPr>
            </m:sSubPr>
            <m:e>
              <m:r>
                <m:rPr>
                  <m:nor/>
                </m:rPr>
                <w:rPr>
                  <w:rFonts w:eastAsia="Times New Roman"/>
                  <w:i/>
                </w:rPr>
                <m:t>C</m:t>
              </m:r>
            </m:e>
            <m:sub>
              <m:r>
                <m:rPr>
                  <m:nor/>
                </m:rPr>
                <w:rPr>
                  <w:rFonts w:eastAsia="Times New Roman"/>
                  <w:i/>
                </w:rPr>
                <m:t>2</m:t>
              </m:r>
            </m:sub>
          </m:sSub>
        </m:oMath>
      </m:oMathPara>
    </w:p>
    <w:p w14:paraId="41A2AD4B" w14:textId="365D3702" w:rsidR="00041B86" w:rsidRDefault="00F67FAF" w:rsidP="005841AD">
      <w:pPr>
        <w:pStyle w:val="Nivel4"/>
        <w:ind w:left="1474"/>
      </w:pPr>
      <w:r w:rsidRPr="00F67FAF">
        <w:t xml:space="preserve">Pues bien, dado que </w:t>
      </w:r>
      <m:oMath>
        <m:sSub>
          <m:sSubPr>
            <m:ctrlPr>
              <w:rPr>
                <w:rFonts w:ascii="Cambria Math" w:eastAsia="Times New Roman" w:hAnsi="Cambria Math"/>
                <w:i/>
              </w:rPr>
            </m:ctrlPr>
          </m:sSubPr>
          <m:e>
            <m:r>
              <m:rPr>
                <m:nor/>
              </m:rPr>
              <w:rPr>
                <w:rFonts w:eastAsia="Times New Roman"/>
                <w:i/>
              </w:rPr>
              <m:t>C</m:t>
            </m:r>
          </m:e>
          <m:sub>
            <m:r>
              <m:rPr>
                <m:nor/>
              </m:rPr>
              <w:rPr>
                <w:rFonts w:eastAsia="Times New Roman"/>
                <w:i/>
              </w:rPr>
              <m:t>2</m:t>
            </m:r>
          </m:sub>
        </m:sSub>
      </m:oMath>
      <w:r w:rsidRPr="00F67FAF">
        <w:t xml:space="preserve"> disminuye, el ahorro también se reduce. No obstante, la disminución del ahorro privado será de una magnitud inferior al impuesto (porque la propensión marginal a ahorrar es menor que 1)</w:t>
      </w:r>
      <w:r w:rsidR="007F07C5">
        <w:rPr>
          <w:rStyle w:val="Refdenotaalpie"/>
        </w:rPr>
        <w:footnoteReference w:id="11"/>
      </w:r>
      <w:r w:rsidRPr="00F67FAF">
        <w:t>.</w:t>
      </w:r>
    </w:p>
    <w:p w14:paraId="3C1D689F" w14:textId="6584CF4F" w:rsidR="007A7BD5" w:rsidRPr="00AD3498" w:rsidRDefault="00D36BF3" w:rsidP="005841AD">
      <w:pPr>
        <w:pStyle w:val="Nivel2SM"/>
        <w:keepNext/>
        <w:spacing w:after="0"/>
      </w:pPr>
      <w:r w:rsidRPr="005841AD">
        <w:rPr>
          <w:u w:val="single"/>
        </w:rPr>
        <w:t>Efectos sobre el ahorro público</w:t>
      </w:r>
      <w:r w:rsidR="007A7BD5" w:rsidRPr="005841AD">
        <w:rPr>
          <w:u w:val="single"/>
        </w:rPr>
        <w:t xml:space="preserve"> y el ahorro nacional</w:t>
      </w:r>
      <w:r w:rsidRPr="00AD3498">
        <w:t>:</w:t>
      </w:r>
    </w:p>
    <w:p w14:paraId="4F436DE2" w14:textId="77777777" w:rsidR="00D36BF3" w:rsidRPr="00AD3498" w:rsidRDefault="00052D94" w:rsidP="005841AD">
      <w:pPr>
        <w:pStyle w:val="Nivel3SM"/>
        <w:keepNext/>
      </w:pPr>
      <w:r w:rsidRPr="00AD3498">
        <w:t>Dependerá del uso que haga el sector público de la recaudación impositiva:</w:t>
      </w:r>
    </w:p>
    <w:p w14:paraId="68DB53F0" w14:textId="77777777" w:rsidR="00052D94" w:rsidRPr="00AD3498" w:rsidRDefault="00052D94" w:rsidP="005841AD">
      <w:pPr>
        <w:pStyle w:val="Nivel4"/>
        <w:ind w:left="1474"/>
      </w:pPr>
      <w:r w:rsidRPr="00AD3498">
        <w:t xml:space="preserve">Si ésta se dedica íntegramente a consumo público y/o transferencias, </w:t>
      </w:r>
      <w:r w:rsidRPr="00AD3498">
        <w:rPr>
          <w:u w:val="single"/>
        </w:rPr>
        <w:t>el ahorro del sector público será nulo</w:t>
      </w:r>
      <w:r w:rsidRPr="00AD3498">
        <w:t xml:space="preserve"> y por tanto la variación del ahorro nacional será igual a la variación del ahorro privado</w:t>
      </w:r>
      <w:r w:rsidR="007A7BD5" w:rsidRPr="00AD3498">
        <w:t xml:space="preserve"> (</w:t>
      </w:r>
      <w:r w:rsidR="007A7BD5" w:rsidRPr="00AD3498">
        <w:rPr>
          <w:u w:val="single"/>
        </w:rPr>
        <w:t>el ahorro nacional disminuirá</w:t>
      </w:r>
      <w:r w:rsidR="007A7BD5" w:rsidRPr="00AD3498">
        <w:t>)</w:t>
      </w:r>
      <w:r w:rsidRPr="00AD3498">
        <w:t>.</w:t>
      </w:r>
    </w:p>
    <w:p w14:paraId="689892B9" w14:textId="4DAA13D8" w:rsidR="00662E12" w:rsidRPr="00AD3498" w:rsidRDefault="007A7BD5" w:rsidP="005841AD">
      <w:pPr>
        <w:pStyle w:val="Nivel4"/>
        <w:ind w:left="1474"/>
      </w:pPr>
      <w:r w:rsidRPr="00AD3498">
        <w:t xml:space="preserve">Si ésta se ahorra íntegramente, </w:t>
      </w:r>
      <w:r w:rsidRPr="00AD3498">
        <w:rPr>
          <w:u w:val="single"/>
        </w:rPr>
        <w:t>el ahorro del sector público será igual a la recaudación impositiva</w:t>
      </w:r>
      <w:r w:rsidRPr="00AD3498">
        <w:t xml:space="preserve">. </w:t>
      </w:r>
      <w:r w:rsidR="009A3CDE" w:rsidRPr="00AD3498">
        <w:t xml:space="preserve">Dado que el ahorro privado disminuye en una magnitud inferior a la recaudación impositiva, el resultado final será que </w:t>
      </w:r>
      <w:r w:rsidR="009A3CDE" w:rsidRPr="00AD3498">
        <w:rPr>
          <w:u w:val="single"/>
        </w:rPr>
        <w:t>el ahorro nacional aumentará</w:t>
      </w:r>
      <w:r w:rsidR="009A3CDE" w:rsidRPr="00AD3498">
        <w:t>.</w:t>
      </w:r>
    </w:p>
    <w:p w14:paraId="4041A06B" w14:textId="77777777" w:rsidR="00034BC1" w:rsidRPr="00877DEA" w:rsidRDefault="00034BC1" w:rsidP="00F50469">
      <w:pPr>
        <w:pStyle w:val="Ttulo8"/>
      </w:pPr>
      <w:r w:rsidRPr="00877DEA">
        <w:t>Impuesto proporcional sobre las rentas salariales</w:t>
      </w:r>
      <w:r w:rsidR="0080277A" w:rsidRPr="00877DEA">
        <w:t xml:space="preserve"> (genera solo ER)</w:t>
      </w:r>
    </w:p>
    <w:p w14:paraId="049F5461" w14:textId="77777777" w:rsidR="00C940CD" w:rsidRDefault="00C940CD" w:rsidP="009D6433">
      <w:pPr>
        <w:pStyle w:val="Nivel2SM"/>
      </w:pPr>
      <w:r>
        <w:t>Recordemos que hemos supuesto que la oferta de trabajo es fija</w:t>
      </w:r>
      <w:r w:rsidR="00983B5B">
        <w:t xml:space="preserve"> y por ende el impuesto no tendrá efectos sobre las decisiones de trabajo del agente</w:t>
      </w:r>
      <w:r>
        <w:t>. Entonces, un impuesto sobre el salario tiene el mismo efecto que un impuesto de suma fija que dé lugar a la misma recaudación, porque ambos son neutrales</w:t>
      </w:r>
      <w:r w:rsidR="00983B5B">
        <w:t xml:space="preserve"> siendo </w:t>
      </w:r>
      <w:r>
        <w:t>los efectos exactamente los mismos.</w:t>
      </w:r>
    </w:p>
    <w:p w14:paraId="0D90EBE8" w14:textId="644435E6" w:rsidR="00662E12" w:rsidRPr="00AD3498" w:rsidRDefault="004C7FFD" w:rsidP="00F50469">
      <w:pPr>
        <w:pStyle w:val="Ttulo8"/>
      </w:pPr>
      <w:r w:rsidRPr="00877DEA">
        <w:t xml:space="preserve">Impuesto </w:t>
      </w:r>
      <w:r w:rsidR="00B14430" w:rsidRPr="00877DEA">
        <w:t xml:space="preserve">general </w:t>
      </w:r>
      <w:r w:rsidR="00794718">
        <w:t xml:space="preserve">proporcional </w:t>
      </w:r>
      <w:r w:rsidRPr="00877DEA">
        <w:t>sobre el consumo</w:t>
      </w:r>
      <w:r w:rsidR="0080277A" w:rsidRPr="00877DEA">
        <w:t xml:space="preserve"> (genera solo ER)</w:t>
      </w:r>
    </w:p>
    <w:p w14:paraId="0BB6E572" w14:textId="77777777" w:rsidR="00F67FAF" w:rsidRPr="00F67FAF" w:rsidRDefault="00F67FAF" w:rsidP="005841AD">
      <w:pPr>
        <w:pStyle w:val="Nivel2SM"/>
        <w:keepNext/>
        <w:spacing w:after="0"/>
      </w:pPr>
      <w:r w:rsidRPr="00F67FAF">
        <w:t>El problema viene dado por:</w:t>
      </w:r>
    </w:p>
    <w:p w14:paraId="779777C3" w14:textId="77777777" w:rsidR="00F67FAF" w:rsidRPr="00F67FAF" w:rsidRDefault="000676EF" w:rsidP="00794718">
      <w:pPr>
        <w:spacing w:after="0"/>
        <w:ind w:left="720"/>
        <w:jc w:val="center"/>
      </w:pPr>
      <w:r w:rsidRPr="00F67FAF">
        <w:rPr>
          <w:noProof/>
        </w:rPr>
        <w:drawing>
          <wp:inline distT="0" distB="0" distL="0" distR="0" wp14:anchorId="48D01828" wp14:editId="12944FD3">
            <wp:extent cx="4175760" cy="967740"/>
            <wp:effectExtent l="0" t="0" r="0" b="3810"/>
            <wp:docPr id="18"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75760" cy="967740"/>
                    </a:xfrm>
                    <a:prstGeom prst="rect">
                      <a:avLst/>
                    </a:prstGeom>
                    <a:noFill/>
                    <a:ln>
                      <a:noFill/>
                    </a:ln>
                  </pic:spPr>
                </pic:pic>
              </a:graphicData>
            </a:graphic>
          </wp:inline>
        </w:drawing>
      </w:r>
    </w:p>
    <w:p w14:paraId="3D66AC7B" w14:textId="77777777" w:rsidR="00F67FAF" w:rsidRPr="00F67FAF" w:rsidRDefault="00F67FAF" w:rsidP="005841AD">
      <w:pPr>
        <w:pStyle w:val="Nivel2SM"/>
        <w:keepNext/>
        <w:spacing w:after="0"/>
      </w:pPr>
      <w:r w:rsidRPr="005841AD">
        <w:rPr>
          <w:u w:val="single"/>
        </w:rPr>
        <w:t>Efectos sobre el consumo</w:t>
      </w:r>
      <w:r w:rsidRPr="00F67FAF">
        <w:t>:</w:t>
      </w:r>
    </w:p>
    <w:p w14:paraId="26F3D070" w14:textId="5EC8AD8D" w:rsidR="00F67FAF" w:rsidRPr="00F67FAF" w:rsidRDefault="00F67FAF" w:rsidP="005841AD">
      <w:pPr>
        <w:pStyle w:val="Nivel3SM"/>
      </w:pPr>
      <w:r w:rsidRPr="00F67FAF">
        <w:t>Al gravarse el consumo de ambos periodos al mismo tipo, el precio relativo del consumo presente y futuro no varía.</w:t>
      </w:r>
    </w:p>
    <w:p w14:paraId="1F068CB4" w14:textId="3898F3AB" w:rsidR="00F67FAF" w:rsidRPr="00F67FAF" w:rsidRDefault="00F67FAF" w:rsidP="005841AD">
      <w:pPr>
        <w:pStyle w:val="Nivel3SM"/>
      </w:pPr>
      <w:r w:rsidRPr="00F67FAF">
        <w:t>Sí que existirá un ER negativo (se grava el consumo y el agente destina toda su renta a consumir), que se traduce gráficamente en un desplazamiento paralelo hacia dentro de la RP (mismo gráfico que antes).</w:t>
      </w:r>
    </w:p>
    <w:p w14:paraId="59509275" w14:textId="77777777" w:rsidR="00F67FAF" w:rsidRPr="00F67FAF" w:rsidRDefault="00F67FAF" w:rsidP="005841AD">
      <w:pPr>
        <w:pStyle w:val="Nivel2SM"/>
        <w:keepNext/>
        <w:spacing w:after="0"/>
      </w:pPr>
      <w:r w:rsidRPr="005841AD">
        <w:rPr>
          <w:u w:val="single"/>
        </w:rPr>
        <w:lastRenderedPageBreak/>
        <w:t>Efectos sobre el ahorro</w:t>
      </w:r>
      <w:r w:rsidRPr="00F67FAF">
        <w:t>:</w:t>
      </w:r>
    </w:p>
    <w:p w14:paraId="030F6DC5" w14:textId="2A68BDAA" w:rsidR="00F67FAF" w:rsidRPr="00F67FAF" w:rsidRDefault="00F67FAF" w:rsidP="005841AD">
      <w:pPr>
        <w:pStyle w:val="Nivel3SM"/>
        <w:keepNext/>
      </w:pPr>
      <w:r w:rsidRPr="00F67FAF">
        <w:t xml:space="preserve">El ahorro privado, por su parte, será </w:t>
      </w:r>
      <m:oMath>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1</m:t>
            </m:r>
          </m:sub>
        </m:sSub>
        <m:d>
          <m:dPr>
            <m:ctrlPr>
              <w:rPr>
                <w:rFonts w:ascii="Cambria Math" w:eastAsia="Times New Roman" w:hAnsi="Cambria Math"/>
                <w:i/>
              </w:rPr>
            </m:ctrlPr>
          </m:dPr>
          <m:e>
            <m:r>
              <w:rPr>
                <w:rFonts w:ascii="Cambria Math" w:eastAsia="Times New Roman" w:hAnsi="Cambria Math"/>
              </w:rPr>
              <m:t>1+r</m:t>
            </m:r>
          </m:e>
        </m:d>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2</m:t>
            </m:r>
          </m:sub>
        </m:sSub>
        <m:r>
          <w:rPr>
            <w:rFonts w:ascii="Cambria Math" w:eastAsia="Times New Roman" w:hAnsi="Cambria Math"/>
          </w:rPr>
          <m:t>(1+</m:t>
        </m:r>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c</m:t>
            </m:r>
          </m:sub>
        </m:sSub>
        <m:r>
          <w:rPr>
            <w:rFonts w:ascii="Cambria Math" w:eastAsia="Times New Roman" w:hAnsi="Cambria Math"/>
          </w:rPr>
          <m:t>)</m:t>
        </m:r>
      </m:oMath>
      <w:r w:rsidRPr="00F67FAF">
        <w:t xml:space="preserve">. Esta expresión es distinta a la que teníamos con el impuesto fijo sobre el salario. Suponiendo que </w:t>
      </w:r>
      <m:oMath>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2</m:t>
            </m:r>
          </m:sub>
        </m:sSub>
      </m:oMath>
      <w:r w:rsidRPr="00F67FAF">
        <w:t xml:space="preserve"> es igual en ambos casos, el ahorro privado será necesariamente mayor con el impuesto general sobre el consumo que con el impuesto de suma fija sobre la renta.</w:t>
      </w:r>
    </w:p>
    <w:p w14:paraId="01F2DB30" w14:textId="77777777" w:rsidR="0080277A" w:rsidRPr="00AD3498" w:rsidRDefault="00F67FAF" w:rsidP="005841AD">
      <w:pPr>
        <w:pStyle w:val="Nivel4"/>
        <w:ind w:left="1474"/>
      </w:pPr>
      <w:r w:rsidRPr="00F67FAF">
        <w:t xml:space="preserve">Esto se debe a que un impuesto sobre el consumo grava la </w:t>
      </w:r>
      <w:r w:rsidRPr="00F67FAF">
        <w:rPr>
          <w:u w:val="single"/>
        </w:rPr>
        <w:t>renta gastada</w:t>
      </w:r>
      <w:r w:rsidRPr="00F67FAF">
        <w:t xml:space="preserve"> mientras que un impuesto sobre la renta grava toda la renta al margen de si es o no gastada. Por tanto, la renta en el periodo 1 después de impuestos será mayor con un impuesto sobre el consumo y, por tanto, </w:t>
      </w:r>
      <w:r w:rsidRPr="00F67FAF">
        <w:rPr>
          <w:u w:val="single"/>
        </w:rPr>
        <w:t>el ahorro privado será mayor</w:t>
      </w:r>
      <w:r w:rsidRPr="00F67FAF">
        <w:t>.</w:t>
      </w:r>
    </w:p>
    <w:p w14:paraId="1D51242C" w14:textId="77777777" w:rsidR="00FF40D9" w:rsidRPr="00AD3498" w:rsidRDefault="00FF40D9" w:rsidP="005841AD">
      <w:pPr>
        <w:pStyle w:val="Nivel2SM"/>
        <w:keepNext/>
        <w:spacing w:after="0"/>
      </w:pPr>
      <w:r w:rsidRPr="005841AD">
        <w:rPr>
          <w:u w:val="single"/>
        </w:rPr>
        <w:t>Efectos sobre el ahorro público</w:t>
      </w:r>
      <w:r w:rsidRPr="00AD3498">
        <w:t>:</w:t>
      </w:r>
    </w:p>
    <w:p w14:paraId="4CE570D8" w14:textId="668FF625" w:rsidR="00FF40D9" w:rsidRDefault="00FF40D9" w:rsidP="005841AD">
      <w:pPr>
        <w:pStyle w:val="Nivel3SM"/>
      </w:pPr>
      <w:r w:rsidRPr="00AD3498">
        <w:t>Como los individuos difieren parte de sus pagos de impuestos (los difieren hasta que consuman en el periodo</w:t>
      </w:r>
      <w:r w:rsidR="005841AD">
        <w:t> </w:t>
      </w:r>
      <w:r w:rsidRPr="00AD3498">
        <w:t xml:space="preserve">2, mientras que en el caso de un impuesto sobre la renta pagaban todos los impuestos en el periodo 1), </w:t>
      </w:r>
      <w:r w:rsidRPr="00AD3498">
        <w:rPr>
          <w:u w:val="single"/>
        </w:rPr>
        <w:t>el ahorro público disminuye</w:t>
      </w:r>
      <w:r w:rsidRPr="00AD3498">
        <w:t xml:space="preserve"> en una cuantía igual al valor actual de dichos impuestos diferidos.</w:t>
      </w:r>
    </w:p>
    <w:p w14:paraId="04409529" w14:textId="77777777" w:rsidR="00FF40D9" w:rsidRPr="00AD3498" w:rsidRDefault="00FF40D9" w:rsidP="005841AD">
      <w:pPr>
        <w:pStyle w:val="Nivel2SM"/>
        <w:keepNext/>
        <w:spacing w:after="0"/>
      </w:pPr>
      <w:r w:rsidRPr="005841AD">
        <w:rPr>
          <w:u w:val="single"/>
        </w:rPr>
        <w:t>Efectos sobre el ahorro nacional</w:t>
      </w:r>
      <w:r w:rsidRPr="00AD3498">
        <w:t>:</w:t>
      </w:r>
    </w:p>
    <w:p w14:paraId="3CA6F7F2" w14:textId="77777777" w:rsidR="00FF40D9" w:rsidRPr="00AD3498" w:rsidRDefault="00FF40D9" w:rsidP="005841AD">
      <w:pPr>
        <w:pStyle w:val="Nivel3SM"/>
      </w:pPr>
      <w:r w:rsidRPr="00AD3498">
        <w:t xml:space="preserve">El </w:t>
      </w:r>
      <w:r w:rsidRPr="0039478A">
        <w:rPr>
          <w:u w:val="single"/>
        </w:rPr>
        <w:t>aumento</w:t>
      </w:r>
      <w:r w:rsidRPr="00AD3498">
        <w:t xml:space="preserve"> del ahorro privado es exactamente igual a la </w:t>
      </w:r>
      <w:r w:rsidRPr="0039478A">
        <w:rPr>
          <w:u w:val="single"/>
        </w:rPr>
        <w:t>reducción</w:t>
      </w:r>
      <w:r w:rsidRPr="00AD3498">
        <w:t xml:space="preserve"> del ahorro público (pues ambos se deben al mismo motivo), por lo que el </w:t>
      </w:r>
      <w:r w:rsidRPr="00AD3498">
        <w:rPr>
          <w:u w:val="single"/>
        </w:rPr>
        <w:t>ahorro nacional no varía</w:t>
      </w:r>
      <w:r w:rsidR="00A077B1" w:rsidRPr="00AD3498">
        <w:rPr>
          <w:u w:val="single"/>
        </w:rPr>
        <w:t xml:space="preserve"> respecto al impuesto proporcional sobre la rent</w:t>
      </w:r>
      <w:r w:rsidR="00A077B1" w:rsidRPr="008F4653">
        <w:rPr>
          <w:u w:val="single"/>
        </w:rPr>
        <w:t>a</w:t>
      </w:r>
      <w:r w:rsidRPr="008F4653">
        <w:rPr>
          <w:u w:val="single"/>
        </w:rPr>
        <w:t>.</w:t>
      </w:r>
      <w:r w:rsidR="008F4653" w:rsidRPr="008F4653">
        <w:rPr>
          <w:u w:val="single"/>
        </w:rPr>
        <w:t xml:space="preserve"> Lo que sí varía es su composición</w:t>
      </w:r>
      <w:r w:rsidR="008F4653">
        <w:t>.</w:t>
      </w:r>
    </w:p>
    <w:p w14:paraId="74B09F8A" w14:textId="77777777" w:rsidR="00C4269F" w:rsidRPr="00877DEA" w:rsidRDefault="00C4269F" w:rsidP="00F50469">
      <w:pPr>
        <w:pStyle w:val="Ttulo8"/>
      </w:pPr>
      <w:r w:rsidRPr="00877DEA">
        <w:t>Impuesto sobre los rendimientos del ahorro</w:t>
      </w:r>
      <w:r w:rsidR="0080277A" w:rsidRPr="00877DEA">
        <w:t xml:space="preserve"> (genera ER y ES)</w:t>
      </w:r>
      <w:r w:rsidR="00C11F9A" w:rsidRPr="00877DEA">
        <w:t xml:space="preserve"> </w:t>
      </w:r>
    </w:p>
    <w:p w14:paraId="1870E211" w14:textId="691E0F2D" w:rsidR="00877DEA" w:rsidRPr="00877DEA" w:rsidRDefault="00877DEA" w:rsidP="00F50469">
      <w:pPr>
        <w:pStyle w:val="Ttulo9"/>
        <w:spacing w:before="0"/>
      </w:pPr>
      <w:r w:rsidRPr="00877DEA">
        <w:t>Sin rentas en el segundo periodo</w:t>
      </w:r>
    </w:p>
    <w:p w14:paraId="576E59E2" w14:textId="77777777" w:rsidR="0039478A" w:rsidRPr="0039478A" w:rsidRDefault="0039478A" w:rsidP="009D6433">
      <w:pPr>
        <w:pStyle w:val="Nivel2SM"/>
      </w:pPr>
      <w:r w:rsidRPr="0039478A">
        <w:t>Un impuesto sobre los rendimientos del ahorro reduce el tipo de interés que recibe el individuo sobre su ahorro</w:t>
      </w:r>
      <w:r w:rsidR="002A6695">
        <w:t>.</w:t>
      </w:r>
    </w:p>
    <w:p w14:paraId="71051031" w14:textId="77777777" w:rsidR="0039478A" w:rsidRPr="0039478A" w:rsidRDefault="0039478A" w:rsidP="009D6433">
      <w:pPr>
        <w:pStyle w:val="Nivel2SM"/>
        <w:keepNext/>
        <w:spacing w:after="0"/>
      </w:pPr>
      <w:r w:rsidRPr="009D6433">
        <w:rPr>
          <w:u w:val="single"/>
        </w:rPr>
        <w:t>Analíticamente</w:t>
      </w:r>
      <w:r w:rsidRPr="0039478A">
        <w:t>:</w:t>
      </w:r>
    </w:p>
    <w:p w14:paraId="5DA13ED5" w14:textId="77777777" w:rsidR="0039478A" w:rsidRPr="0039478A" w:rsidRDefault="000676EF" w:rsidP="009D6433">
      <w:pPr>
        <w:spacing w:after="0"/>
        <w:ind w:left="720"/>
        <w:jc w:val="center"/>
      </w:pPr>
      <w:r w:rsidRPr="0039478A">
        <w:rPr>
          <w:noProof/>
        </w:rPr>
        <w:drawing>
          <wp:inline distT="0" distB="0" distL="0" distR="0" wp14:anchorId="75405A19" wp14:editId="5EC70B58">
            <wp:extent cx="4579620" cy="1143000"/>
            <wp:effectExtent l="0" t="0" r="0" b="0"/>
            <wp:docPr id="2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BEBA8EAE-BF5A-486C-A8C5-ECC9F3942E4B}">
                          <a14:imgProps xmlns:a14="http://schemas.microsoft.com/office/drawing/2010/main">
                            <a14:imgLayer r:embed="rId2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79620" cy="1143000"/>
                    </a:xfrm>
                    <a:prstGeom prst="rect">
                      <a:avLst/>
                    </a:prstGeom>
                    <a:noFill/>
                    <a:ln>
                      <a:noFill/>
                    </a:ln>
                  </pic:spPr>
                </pic:pic>
              </a:graphicData>
            </a:graphic>
          </wp:inline>
        </w:drawing>
      </w:r>
    </w:p>
    <w:p w14:paraId="749F5F58" w14:textId="77777777" w:rsidR="0039478A" w:rsidRPr="009D6433" w:rsidRDefault="0039478A" w:rsidP="009D6433">
      <w:pPr>
        <w:pStyle w:val="Nivel2SM"/>
        <w:keepNext/>
        <w:spacing w:after="0"/>
        <w:rPr>
          <w:u w:val="single"/>
        </w:rPr>
      </w:pPr>
      <w:r w:rsidRPr="009D6433">
        <w:rPr>
          <w:u w:val="single"/>
        </w:rPr>
        <w:t>Resultado incierto</w:t>
      </w:r>
    </w:p>
    <w:p w14:paraId="21199C78" w14:textId="2E628703" w:rsidR="0039478A" w:rsidRPr="0039478A" w:rsidRDefault="0039478A" w:rsidP="009D6433">
      <w:pPr>
        <w:pStyle w:val="Nivel3SM"/>
      </w:pPr>
      <w:r w:rsidRPr="0039478A">
        <w:t>El resultado sobre el consumo en el periodo</w:t>
      </w:r>
      <w:r w:rsidR="009D6433">
        <w:t> </w:t>
      </w:r>
      <w:r w:rsidRPr="0039478A">
        <w:t>1 y sobre el ahorro (y por ende el consumo en el periodo</w:t>
      </w:r>
      <w:r w:rsidR="009D6433">
        <w:t> </w:t>
      </w:r>
      <w:r w:rsidRPr="0039478A">
        <w:t>2) es a pesar del impuesto incierto.</w:t>
      </w:r>
    </w:p>
    <w:p w14:paraId="6E9477D7" w14:textId="77777777" w:rsidR="0039478A" w:rsidRPr="0039478A" w:rsidRDefault="0039478A" w:rsidP="009D6433">
      <w:pPr>
        <w:pStyle w:val="Nivel3SM"/>
        <w:keepNext/>
      </w:pPr>
      <w:r w:rsidRPr="0039478A">
        <w:t xml:space="preserve">Esto se debe a que existen tres efectos </w:t>
      </w:r>
      <w:proofErr w:type="gramStart"/>
      <w:r w:rsidRPr="0039478A">
        <w:t>a</w:t>
      </w:r>
      <w:proofErr w:type="gramEnd"/>
      <w:r w:rsidRPr="0039478A">
        <w:t xml:space="preserve"> tener en cuenta que afectan al consumo presente:</w:t>
      </w:r>
    </w:p>
    <w:p w14:paraId="65992E2B" w14:textId="6E02C6B2" w:rsidR="0039478A" w:rsidRPr="0039478A" w:rsidRDefault="0039478A" w:rsidP="009D6433">
      <w:pPr>
        <w:pStyle w:val="Nivel4"/>
        <w:ind w:left="1474"/>
      </w:pPr>
      <w:r w:rsidRPr="009D6433">
        <w:rPr>
          <w:u w:val="single"/>
        </w:rPr>
        <w:t>Efecto sustitución ordinario (efecto positivo)</w:t>
      </w:r>
      <w:r w:rsidRPr="0039478A">
        <w:t>: El coste relativo del consumo presente disminuye por lo que aumenta el consumo en el periodo</w:t>
      </w:r>
      <w:r w:rsidR="009D6433">
        <w:t> </w:t>
      </w:r>
      <w:r w:rsidRPr="0039478A">
        <w:t>1 y por ende disminuye el ahorro.</w:t>
      </w:r>
    </w:p>
    <w:p w14:paraId="0126C7DF" w14:textId="577F2B71" w:rsidR="0039478A" w:rsidRPr="0039478A" w:rsidRDefault="0039478A" w:rsidP="009D6433">
      <w:pPr>
        <w:pStyle w:val="Nivel4"/>
        <w:ind w:left="1474"/>
      </w:pPr>
      <w:r w:rsidRPr="009D6433">
        <w:rPr>
          <w:u w:val="single"/>
        </w:rPr>
        <w:t>Efecto renta ordinario (efecto positivo)</w:t>
      </w:r>
      <w:r w:rsidRPr="0039478A">
        <w:t>: Manteniendo el valor de la dotación del ahorro constante, la renta real aumenta lo que de nuevo lleva a aumentar el consumo presente y a reducir el ahorro.</w:t>
      </w:r>
    </w:p>
    <w:p w14:paraId="570A770E" w14:textId="535DFB51" w:rsidR="0039478A" w:rsidRPr="0039478A" w:rsidRDefault="0039478A" w:rsidP="009D6433">
      <w:pPr>
        <w:pStyle w:val="Nivel4"/>
        <w:ind w:left="1474"/>
      </w:pPr>
      <w:r w:rsidRPr="009D6433">
        <w:rPr>
          <w:u w:val="single"/>
        </w:rPr>
        <w:t>Efecto renta dotación (efecto negativo)</w:t>
      </w:r>
      <w:r w:rsidRPr="0039478A">
        <w:t>:</w:t>
      </w:r>
      <w:r w:rsidR="009D6433">
        <w:t xml:space="preserve"> </w:t>
      </w:r>
      <w:r w:rsidRPr="0039478A">
        <w:t>Teniendo en cuenta que el valor de la dotación disminuye, el consumo presente también lo hará lo que podría llevar a un aumento del ahorro.</w:t>
      </w:r>
    </w:p>
    <w:p w14:paraId="00AB39A3" w14:textId="77777777" w:rsidR="0039478A" w:rsidRPr="0039478A" w:rsidRDefault="000676EF" w:rsidP="009D6433">
      <w:pPr>
        <w:spacing w:after="0"/>
        <w:ind w:left="720"/>
        <w:jc w:val="center"/>
      </w:pPr>
      <w:r w:rsidRPr="0039478A">
        <w:rPr>
          <w:noProof/>
        </w:rPr>
        <w:lastRenderedPageBreak/>
        <w:drawing>
          <wp:inline distT="0" distB="0" distL="0" distR="0" wp14:anchorId="249C8DFA" wp14:editId="24FF66F8">
            <wp:extent cx="4099560" cy="3307080"/>
            <wp:effectExtent l="0" t="0" r="0" b="0"/>
            <wp:docPr id="2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99560" cy="3307080"/>
                    </a:xfrm>
                    <a:prstGeom prst="rect">
                      <a:avLst/>
                    </a:prstGeom>
                    <a:noFill/>
                    <a:ln>
                      <a:noFill/>
                    </a:ln>
                  </pic:spPr>
                </pic:pic>
              </a:graphicData>
            </a:graphic>
          </wp:inline>
        </w:drawing>
      </w:r>
    </w:p>
    <w:p w14:paraId="70F9F832" w14:textId="77777777" w:rsidR="0039478A" w:rsidRPr="0039478A" w:rsidRDefault="000676EF" w:rsidP="009D6433">
      <w:pPr>
        <w:spacing w:after="0"/>
        <w:ind w:left="720"/>
        <w:jc w:val="center"/>
      </w:pPr>
      <w:r w:rsidRPr="0039478A">
        <w:rPr>
          <w:noProof/>
        </w:rPr>
        <w:drawing>
          <wp:inline distT="0" distB="0" distL="0" distR="0" wp14:anchorId="751E05F1" wp14:editId="1BD6E431">
            <wp:extent cx="3688080" cy="1127760"/>
            <wp:effectExtent l="0" t="0" r="0" b="0"/>
            <wp:docPr id="2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88080" cy="1127760"/>
                    </a:xfrm>
                    <a:prstGeom prst="rect">
                      <a:avLst/>
                    </a:prstGeom>
                    <a:noFill/>
                    <a:ln>
                      <a:noFill/>
                    </a:ln>
                  </pic:spPr>
                </pic:pic>
              </a:graphicData>
            </a:graphic>
          </wp:inline>
        </w:drawing>
      </w:r>
    </w:p>
    <w:p w14:paraId="428E5D7D" w14:textId="4C5F883E" w:rsidR="0039478A" w:rsidRPr="0039478A" w:rsidRDefault="0039478A" w:rsidP="009D6433">
      <w:pPr>
        <w:pStyle w:val="Nivel2SM"/>
        <w:keepNext/>
        <w:spacing w:after="0"/>
      </w:pPr>
      <w:r w:rsidRPr="0039478A">
        <w:t>Por lo tanto:</w:t>
      </w:r>
    </w:p>
    <w:p w14:paraId="6AA550AF" w14:textId="3D4BFB81" w:rsidR="0039478A" w:rsidRPr="0039478A" w:rsidRDefault="0039478A" w:rsidP="002A3BAA">
      <w:pPr>
        <w:pStyle w:val="Nivel3SM"/>
      </w:pPr>
      <w:r w:rsidRPr="0039478A">
        <w:t>Si E</w:t>
      </w:r>
      <w:r w:rsidRPr="002A3BAA">
        <w:rPr>
          <w:vertAlign w:val="subscript"/>
        </w:rPr>
        <w:t>4</w:t>
      </w:r>
      <w:r w:rsidRPr="0039478A">
        <w:t xml:space="preserve">: ES + </w:t>
      </w:r>
      <w:proofErr w:type="spellStart"/>
      <w:r w:rsidRPr="0039478A">
        <w:t>ER</w:t>
      </w:r>
      <w:r w:rsidRPr="0039478A">
        <w:rPr>
          <w:vertAlign w:val="subscript"/>
        </w:rPr>
        <w:t>Ordinario</w:t>
      </w:r>
      <w:proofErr w:type="spellEnd"/>
      <w:r w:rsidRPr="0039478A">
        <w:t xml:space="preserve"> &gt; </w:t>
      </w:r>
      <w:proofErr w:type="spellStart"/>
      <w:r w:rsidRPr="0039478A">
        <w:t>ER</w:t>
      </w:r>
      <w:r w:rsidRPr="0039478A">
        <w:rPr>
          <w:vertAlign w:val="subscript"/>
        </w:rPr>
        <w:t>Dotación</w:t>
      </w:r>
      <w:proofErr w:type="spellEnd"/>
      <w:r w:rsidRPr="0039478A">
        <w:rPr>
          <w:vertAlign w:val="subscript"/>
        </w:rPr>
        <w:t xml:space="preserve">. </w:t>
      </w:r>
      <w:r w:rsidRPr="0039478A">
        <w:t>(disminución del ahorro).</w:t>
      </w:r>
    </w:p>
    <w:p w14:paraId="63154654" w14:textId="58CF7244" w:rsidR="00440AE8" w:rsidRPr="006B66E4" w:rsidRDefault="0039478A" w:rsidP="002A3BAA">
      <w:pPr>
        <w:pStyle w:val="Nivel3SM"/>
      </w:pPr>
      <w:r w:rsidRPr="0039478A">
        <w:t>Si E</w:t>
      </w:r>
      <w:r w:rsidR="002A3BAA" w:rsidRPr="002A3BAA">
        <w:rPr>
          <w:vertAlign w:val="subscript"/>
        </w:rPr>
        <w:t>4</w:t>
      </w:r>
      <w:r w:rsidRPr="0039478A">
        <w:t xml:space="preserve"> (izquierda): ES + </w:t>
      </w:r>
      <w:proofErr w:type="spellStart"/>
      <w:r w:rsidRPr="0039478A">
        <w:t>ER</w:t>
      </w:r>
      <w:r w:rsidRPr="0039478A">
        <w:rPr>
          <w:vertAlign w:val="subscript"/>
        </w:rPr>
        <w:t>Ordinario</w:t>
      </w:r>
      <w:proofErr w:type="spellEnd"/>
      <w:r w:rsidRPr="0039478A">
        <w:t xml:space="preserve"> &lt; </w:t>
      </w:r>
      <w:proofErr w:type="spellStart"/>
      <w:r w:rsidRPr="0039478A">
        <w:t>ER</w:t>
      </w:r>
      <w:r w:rsidRPr="0039478A">
        <w:rPr>
          <w:vertAlign w:val="subscript"/>
        </w:rPr>
        <w:t>Dotación</w:t>
      </w:r>
      <w:proofErr w:type="spellEnd"/>
      <w:r w:rsidRPr="0039478A">
        <w:rPr>
          <w:vertAlign w:val="subscript"/>
        </w:rPr>
        <w:t xml:space="preserve">. </w:t>
      </w:r>
      <w:r w:rsidRPr="0039478A">
        <w:t>(aumento del ahorro).</w:t>
      </w:r>
    </w:p>
    <w:p w14:paraId="76D55E25" w14:textId="77777777" w:rsidR="00060010" w:rsidRPr="00060010" w:rsidRDefault="003F0D18" w:rsidP="00F50469">
      <w:pPr>
        <w:pStyle w:val="Ttulo9"/>
      </w:pPr>
      <w:r>
        <w:t>C</w:t>
      </w:r>
      <w:r w:rsidR="00060010" w:rsidRPr="00060010">
        <w:t>on rentas en el segundo periodo</w:t>
      </w:r>
    </w:p>
    <w:p w14:paraId="28DDE857" w14:textId="07FAA218" w:rsidR="003F0D18" w:rsidRDefault="006B66E4" w:rsidP="002A3BAA">
      <w:pPr>
        <w:pStyle w:val="Nivel2SM"/>
        <w:keepNext/>
        <w:spacing w:after="0"/>
      </w:pPr>
      <w:r>
        <w:t>Hasta ahora hemos supuesto que individuo es ahorrador neto dado que no obtiene renta en el segundo periodo.</w:t>
      </w:r>
    </w:p>
    <w:p w14:paraId="6427205A" w14:textId="77777777" w:rsidR="0051563A" w:rsidRPr="00AD3498" w:rsidRDefault="006B66E4" w:rsidP="002A3BAA">
      <w:pPr>
        <w:pStyle w:val="Nivel3SM"/>
      </w:pPr>
      <w:r>
        <w:t>En este caso, el resultado quedará indeterminado como acabamos de ver. En cambio, si suponemos</w:t>
      </w:r>
      <w:r w:rsidR="003801DE" w:rsidRPr="00AD3498">
        <w:t xml:space="preserve"> que la renta del individuo en el segundo periodo </w:t>
      </w:r>
      <w:r>
        <w:t xml:space="preserve">no es nula y por tanto es capaz de endeudarse en el primer periodo, el resultado </w:t>
      </w:r>
      <w:r w:rsidR="0039478A">
        <w:t xml:space="preserve">dependerá de si el agente es prestamista o prestatario. </w:t>
      </w:r>
    </w:p>
    <w:p w14:paraId="47019B90" w14:textId="77777777" w:rsidR="001A5CB2" w:rsidRDefault="001A5CB2" w:rsidP="002A3BAA">
      <w:pPr>
        <w:pStyle w:val="Nivel2SM"/>
        <w:keepNext/>
        <w:spacing w:after="0"/>
      </w:pPr>
      <w:r>
        <w:t>En este caso, el problema del consumidor es:</w:t>
      </w:r>
    </w:p>
    <w:p w14:paraId="290D2229" w14:textId="77777777" w:rsidR="006B66E4" w:rsidRDefault="000676EF" w:rsidP="002A3BAA">
      <w:pPr>
        <w:spacing w:after="0"/>
        <w:jc w:val="center"/>
      </w:pPr>
      <w:r>
        <w:rPr>
          <w:noProof/>
        </w:rPr>
        <w:drawing>
          <wp:inline distT="0" distB="0" distL="0" distR="0" wp14:anchorId="1DFCE62C" wp14:editId="0A16EC92">
            <wp:extent cx="4785360" cy="1066800"/>
            <wp:effectExtent l="0" t="0" r="0" b="0"/>
            <wp:docPr id="26"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85360" cy="1066800"/>
                    </a:xfrm>
                    <a:prstGeom prst="rect">
                      <a:avLst/>
                    </a:prstGeom>
                    <a:noFill/>
                    <a:ln>
                      <a:noFill/>
                    </a:ln>
                  </pic:spPr>
                </pic:pic>
              </a:graphicData>
            </a:graphic>
          </wp:inline>
        </w:drawing>
      </w:r>
    </w:p>
    <w:p w14:paraId="092DCF86" w14:textId="77777777" w:rsidR="006B66E4" w:rsidRDefault="006B66E4" w:rsidP="002A3BAA">
      <w:pPr>
        <w:pStyle w:val="Nivel2SM"/>
        <w:keepNext/>
        <w:spacing w:after="0"/>
      </w:pPr>
      <w:r>
        <w:lastRenderedPageBreak/>
        <w:t>Gráficamente:</w:t>
      </w:r>
    </w:p>
    <w:p w14:paraId="4A454CE9" w14:textId="77777777" w:rsidR="006B66E4" w:rsidRDefault="000676EF" w:rsidP="00F67FAF">
      <w:pPr>
        <w:jc w:val="center"/>
      </w:pPr>
      <w:r>
        <w:rPr>
          <w:noProof/>
        </w:rPr>
        <mc:AlternateContent>
          <mc:Choice Requires="wps">
            <w:drawing>
              <wp:anchor distT="0" distB="0" distL="114300" distR="114300" simplePos="0" relativeHeight="251656704" behindDoc="0" locked="0" layoutInCell="1" allowOverlap="1" wp14:anchorId="2C7E5490" wp14:editId="057EE2A5">
                <wp:simplePos x="0" y="0"/>
                <wp:positionH relativeFrom="column">
                  <wp:posOffset>1644015</wp:posOffset>
                </wp:positionH>
                <wp:positionV relativeFrom="paragraph">
                  <wp:posOffset>454660</wp:posOffset>
                </wp:positionV>
                <wp:extent cx="1543050" cy="1428750"/>
                <wp:effectExtent l="15240" t="111760" r="0" b="107315"/>
                <wp:wrapNone/>
                <wp:docPr id="900828531" name="Ar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1272243">
                          <a:off x="0" y="0"/>
                          <a:ext cx="1543050" cy="142875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9D990" id="Arc 2" o:spid="_x0000_s1026" style="position:absolute;margin-left:129.45pt;margin-top:35.8pt;width:121.5pt;height:112.5pt;rotation:-11280665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" path="m,nfc11929,,21600,9670,21600,21600em,nsc11929,,21600,9670,21600,21600l,21600,,xe" filled="f" strokecolor="red">
                <v:path arrowok="t" o:extrusionok="f" o:connecttype="custom" o:connectlocs="0,0;1543050,1428750;0,1428750" o:connectangles="0,0,0"/>
              </v:shape>
            </w:pict>
          </mc:Fallback>
        </mc:AlternateContent>
      </w:r>
      <w:r w:rsidRPr="00AD3498">
        <w:rPr>
          <w:noProof/>
        </w:rPr>
        <w:drawing>
          <wp:inline distT="0" distB="0" distL="0" distR="0" wp14:anchorId="6FC98E9C" wp14:editId="2270D921">
            <wp:extent cx="3451860" cy="2705100"/>
            <wp:effectExtent l="0" t="0" r="0" b="0"/>
            <wp:docPr id="2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51860" cy="2705100"/>
                    </a:xfrm>
                    <a:prstGeom prst="rect">
                      <a:avLst/>
                    </a:prstGeom>
                    <a:noFill/>
                    <a:ln>
                      <a:noFill/>
                    </a:ln>
                  </pic:spPr>
                </pic:pic>
              </a:graphicData>
            </a:graphic>
          </wp:inline>
        </w:drawing>
      </w:r>
    </w:p>
    <w:p w14:paraId="6673453D" w14:textId="584C90E6" w:rsidR="0039478A" w:rsidRDefault="006B66E4" w:rsidP="002A3BAA">
      <w:pPr>
        <w:pStyle w:val="Nivel2SM"/>
      </w:pPr>
      <w:r>
        <w:t>Suponiendo que el punto de ahorro nulo está en el punto</w:t>
      </w:r>
      <w:r w:rsidR="002A3BAA">
        <w:t> </w:t>
      </w:r>
      <w:r w:rsidRPr="002A3BAA">
        <w:rPr>
          <w:i/>
          <w:iCs/>
        </w:rPr>
        <w:t>K</w:t>
      </w:r>
      <w:r>
        <w:t xml:space="preserve">, la restricción presupuestaria rotaría </w:t>
      </w:r>
      <w:r w:rsidR="0039478A">
        <w:t xml:space="preserve">debido al impuesto </w:t>
      </w:r>
      <w:r w:rsidR="0018219C">
        <w:t>en el punto</w:t>
      </w:r>
      <w:r w:rsidR="002A3BAA">
        <w:t> </w:t>
      </w:r>
      <w:r w:rsidR="0018219C" w:rsidRPr="002A3BAA">
        <w:rPr>
          <w:i/>
          <w:iCs/>
        </w:rPr>
        <w:t>K</w:t>
      </w:r>
      <w:r w:rsidR="0018219C">
        <w:t xml:space="preserve"> de la forma ilustrada.</w:t>
      </w:r>
    </w:p>
    <w:p w14:paraId="6F3424F3" w14:textId="7AFD2466" w:rsidR="0039478A" w:rsidRDefault="0039478A" w:rsidP="002A3BAA">
      <w:pPr>
        <w:pStyle w:val="Nivel2SM"/>
        <w:keepNext/>
        <w:spacing w:after="0"/>
      </w:pPr>
      <w:r>
        <w:t xml:space="preserve">Diferenciamos entre </w:t>
      </w:r>
      <w:r w:rsidR="001726A4">
        <w:t>3 </w:t>
      </w:r>
      <w:r>
        <w:t>posibles casos</w:t>
      </w:r>
      <w:r w:rsidR="002A3BAA">
        <w:t>:</w:t>
      </w:r>
    </w:p>
    <w:p w14:paraId="7C5E85E9" w14:textId="6A985C34" w:rsidR="00360B78" w:rsidRPr="00AD3498" w:rsidRDefault="0039478A" w:rsidP="002A3BAA">
      <w:pPr>
        <w:pStyle w:val="Nivel3SM"/>
      </w:pPr>
      <w:r w:rsidRPr="002A3BAA">
        <w:rPr>
          <w:u w:val="single"/>
        </w:rPr>
        <w:t>Individuo con ahorro nulo</w:t>
      </w:r>
      <w:r w:rsidR="00837B49" w:rsidRPr="002A3BAA">
        <w:rPr>
          <w:u w:val="single"/>
        </w:rPr>
        <w:t xml:space="preserve"> (Punto K)</w:t>
      </w:r>
      <w:r w:rsidR="002A3BAA" w:rsidRPr="002A3BAA">
        <w:t>:</w:t>
      </w:r>
      <w:r w:rsidR="002A3BAA">
        <w:t xml:space="preserve"> </w:t>
      </w:r>
      <w:r w:rsidR="00837B49">
        <w:t xml:space="preserve">No existe efecto dotación por lo que necesariamente se volverá prestatario. Por </w:t>
      </w:r>
      <w:proofErr w:type="gramStart"/>
      <w:r w:rsidR="00837B49">
        <w:t>ejemplo</w:t>
      </w:r>
      <w:proofErr w:type="gramEnd"/>
      <w:r w:rsidR="00837B49">
        <w:t xml:space="preserve"> punto</w:t>
      </w:r>
      <w:r w:rsidR="002A3BAA">
        <w:t> </w:t>
      </w:r>
      <w:r w:rsidR="00837B49" w:rsidRPr="002A3BAA">
        <w:rPr>
          <w:i/>
          <w:iCs/>
        </w:rPr>
        <w:t>F</w:t>
      </w:r>
      <w:r w:rsidR="00837B49" w:rsidRPr="002A3BAA">
        <w:rPr>
          <w:i/>
          <w:iCs/>
          <w:vertAlign w:val="subscript"/>
        </w:rPr>
        <w:t>1</w:t>
      </w:r>
      <w:r w:rsidR="00837B49">
        <w:t>.</w:t>
      </w:r>
    </w:p>
    <w:p w14:paraId="403A76DB" w14:textId="58A3F336" w:rsidR="00837B49" w:rsidRDefault="00837B49" w:rsidP="002A3BAA">
      <w:pPr>
        <w:pStyle w:val="Nivel3SM"/>
      </w:pPr>
      <w:r w:rsidRPr="002A3BAA">
        <w:rPr>
          <w:u w:val="single"/>
        </w:rPr>
        <w:t>Individuo prestamista (Punto E0)</w:t>
      </w:r>
      <w:r w:rsidR="002A3BAA">
        <w:t xml:space="preserve">: </w:t>
      </w:r>
      <w:r>
        <w:t xml:space="preserve">Igual que antes. Efectos ambiguos al ser el efecto dotación negativo reduciendo así </w:t>
      </w:r>
      <w:r w:rsidR="002A3BAA" w:rsidRPr="002A3BAA">
        <w:rPr>
          <w:i/>
          <w:iCs/>
        </w:rPr>
        <w:t>C</w:t>
      </w:r>
      <w:r w:rsidRPr="002A3BAA">
        <w:rPr>
          <w:i/>
          <w:iCs/>
          <w:vertAlign w:val="subscript"/>
        </w:rPr>
        <w:t>1</w:t>
      </w:r>
      <w:r>
        <w:t>.</w:t>
      </w:r>
    </w:p>
    <w:p w14:paraId="610617A6" w14:textId="6F5B1201" w:rsidR="00837B49" w:rsidRDefault="00837B49" w:rsidP="002A3BAA">
      <w:pPr>
        <w:pStyle w:val="Nivel3SM"/>
      </w:pPr>
      <w:r w:rsidRPr="002A3BAA">
        <w:rPr>
          <w:u w:val="single"/>
        </w:rPr>
        <w:t>Individuo prestatario</w:t>
      </w:r>
      <w:r w:rsidR="002A3BAA">
        <w:t xml:space="preserve">: </w:t>
      </w:r>
      <w:r>
        <w:t xml:space="preserve">Efecto dotación positivo. Por </w:t>
      </w:r>
      <w:proofErr w:type="gramStart"/>
      <w:r>
        <w:t>tanto</w:t>
      </w:r>
      <w:proofErr w:type="gramEnd"/>
      <w:r>
        <w:t xml:space="preserve"> inequívocamente se endeudará al empujar los </w:t>
      </w:r>
      <w:r w:rsidR="002A3BAA">
        <w:t>3 </w:t>
      </w:r>
      <w:r>
        <w:t xml:space="preserve">efectos (ES, </w:t>
      </w:r>
      <w:proofErr w:type="spellStart"/>
      <w:r>
        <w:t>ERord</w:t>
      </w:r>
      <w:proofErr w:type="spellEnd"/>
      <w:r>
        <w:t xml:space="preserve"> y </w:t>
      </w:r>
      <w:proofErr w:type="spellStart"/>
      <w:r>
        <w:t>ERdot</w:t>
      </w:r>
      <w:proofErr w:type="spellEnd"/>
      <w:r>
        <w:t>) en el mismo sentido.</w:t>
      </w:r>
    </w:p>
    <w:p w14:paraId="4A0BC72B" w14:textId="57BEDBD2" w:rsidR="001859B6" w:rsidRDefault="001859B6" w:rsidP="001859B6">
      <w:pPr>
        <w:pStyle w:val="Ttulo8"/>
      </w:pPr>
      <w:r>
        <w:t>Impuesto proporcional sobre toda la renta del individuo (salarial y del ahorro)</w:t>
      </w:r>
    </w:p>
    <w:p w14:paraId="2EDEE1B5" w14:textId="66BBB496" w:rsidR="00662E12" w:rsidRPr="00AD3498" w:rsidRDefault="002A357F" w:rsidP="00A87B86">
      <w:pPr>
        <w:pStyle w:val="Ttulo3"/>
      </w:pPr>
      <w:bookmarkStart w:id="33" w:name="_Toc149220472"/>
      <w:r w:rsidRPr="00AD3498">
        <w:t>Evidencia empírica</w:t>
      </w:r>
      <w:bookmarkEnd w:id="33"/>
    </w:p>
    <w:p w14:paraId="3785B6E5" w14:textId="77777777" w:rsidR="00662E12" w:rsidRPr="00AD3498" w:rsidRDefault="002A357F" w:rsidP="002A3BAA">
      <w:pPr>
        <w:pStyle w:val="Nivel2SM"/>
        <w:keepNext/>
        <w:spacing w:after="0"/>
      </w:pPr>
      <w:r w:rsidRPr="00AD3498">
        <w:t>La evidencia empírica, aunque es poco robusta, sugiere que la elasticidad del ahorro respecto al tipo de interés es muy reducida (cercana a 0).</w:t>
      </w:r>
    </w:p>
    <w:p w14:paraId="1FC63660" w14:textId="77777777" w:rsidR="002A357F" w:rsidRPr="00AD3498" w:rsidRDefault="002A357F" w:rsidP="002A3BAA">
      <w:pPr>
        <w:pStyle w:val="Nivel3SM"/>
      </w:pPr>
      <w:r w:rsidRPr="00AD3498">
        <w:t>En otras palabras, los estudios empíricos parecen sugerir que el principal determinante del ahorro es la renta disponible y no el tipo de interés (lo cual parece razonable).</w:t>
      </w:r>
    </w:p>
    <w:p w14:paraId="0EE9CD62" w14:textId="77777777" w:rsidR="002A357F" w:rsidRPr="00AD3498" w:rsidRDefault="002A357F" w:rsidP="002A3BAA">
      <w:pPr>
        <w:pStyle w:val="Nivel2SM"/>
        <w:keepNext/>
        <w:spacing w:after="0"/>
      </w:pPr>
      <w:r w:rsidRPr="00AD3498">
        <w:t>Implicaciones:</w:t>
      </w:r>
    </w:p>
    <w:p w14:paraId="3A78E645" w14:textId="7AB16BC9" w:rsidR="002A357F" w:rsidRPr="00AD3498" w:rsidRDefault="002A357F" w:rsidP="002A3BAA">
      <w:pPr>
        <w:pStyle w:val="Nivel3SM"/>
      </w:pPr>
      <w:r w:rsidRPr="00AD3498">
        <w:t>Un impuesto sobre la renta tendrá más efectos sobre el ahorro que un impuesto sobre los rendimientos del ahorro.</w:t>
      </w:r>
    </w:p>
    <w:p w14:paraId="25885DB6" w14:textId="17B4E54F" w:rsidR="001C7679" w:rsidRPr="00AD3498" w:rsidRDefault="00CF301C" w:rsidP="00A87B86">
      <w:pPr>
        <w:pStyle w:val="Ttulo2"/>
      </w:pPr>
      <w:bookmarkStart w:id="34" w:name="_Toc149220473"/>
      <w:r w:rsidRPr="00AD3498">
        <w:t>Efectos incentivo sobre la asunción de riesgos</w:t>
      </w:r>
      <w:r w:rsidR="003A473E">
        <w:t xml:space="preserve"> (ahorro en forma de activos financieros)</w:t>
      </w:r>
      <w:bookmarkEnd w:id="34"/>
    </w:p>
    <w:p w14:paraId="60C9EEDF" w14:textId="22C15804" w:rsidR="001C7679" w:rsidRPr="00AD3498" w:rsidRDefault="001C7679" w:rsidP="00A87B86">
      <w:pPr>
        <w:pStyle w:val="Ttulo3"/>
      </w:pPr>
      <w:bookmarkStart w:id="35" w:name="_Toc149220474"/>
      <w:r w:rsidRPr="00AD3498">
        <w:t>Idea</w:t>
      </w:r>
      <w:bookmarkEnd w:id="35"/>
    </w:p>
    <w:p w14:paraId="7E618E59" w14:textId="50EB33F4" w:rsidR="001C7679" w:rsidRPr="00AD3498" w:rsidRDefault="00714524" w:rsidP="002A3BAA">
      <w:pPr>
        <w:pStyle w:val="Nivel2SM"/>
      </w:pPr>
      <w:r>
        <w:t xml:space="preserve">El ahorro de los agentes se canaliza muchas veces </w:t>
      </w:r>
      <w:r w:rsidR="002A6695">
        <w:t xml:space="preserve">a </w:t>
      </w:r>
      <w:r>
        <w:t>la inversión en activos financieros. Analizamos cómo afectarían los impuestos a las decisiones de inversión de los consumidores y a la asunción de riesgos.</w:t>
      </w:r>
    </w:p>
    <w:p w14:paraId="128510B5" w14:textId="77777777" w:rsidR="00A87B86" w:rsidRDefault="00A87B86" w:rsidP="00A87B86">
      <w:pPr>
        <w:pStyle w:val="Ttulo3"/>
      </w:pPr>
      <w:bookmarkStart w:id="36" w:name="_Toc149220475"/>
      <w:r>
        <w:lastRenderedPageBreak/>
        <w:t>Modelo</w:t>
      </w:r>
      <w:bookmarkEnd w:id="36"/>
    </w:p>
    <w:p w14:paraId="661D1F58" w14:textId="77777777" w:rsidR="00A87B86" w:rsidRDefault="00A87B86" w:rsidP="00A87B86">
      <w:pPr>
        <w:pStyle w:val="Ttulo6"/>
        <w:spacing w:before="0"/>
      </w:pPr>
      <w:bookmarkStart w:id="37" w:name="_Toc149220476"/>
      <w:r>
        <w:t>Supuestos</w:t>
      </w:r>
      <w:bookmarkEnd w:id="37"/>
    </w:p>
    <w:p w14:paraId="50742210" w14:textId="77777777" w:rsidR="00A87B86" w:rsidRDefault="00A87B86" w:rsidP="00CF301C">
      <w:pPr>
        <w:pStyle w:val="Ttulo6"/>
      </w:pPr>
      <w:bookmarkStart w:id="38" w:name="_Toc149220477"/>
      <w:r>
        <w:t>Desarrollo</w:t>
      </w:r>
      <w:bookmarkEnd w:id="38"/>
    </w:p>
    <w:p w14:paraId="0C5B72BF" w14:textId="51F8CA42" w:rsidR="001C7679" w:rsidRPr="001726A4" w:rsidRDefault="001C7679" w:rsidP="00A87B86">
      <w:pPr>
        <w:pStyle w:val="Ttulo7"/>
        <w:spacing w:before="0"/>
      </w:pPr>
      <w:bookmarkStart w:id="39" w:name="_Toc149220478"/>
      <w:r w:rsidRPr="00AD3498">
        <w:t xml:space="preserve">Escenario inicial: </w:t>
      </w:r>
      <w:r w:rsidR="003B028E" w:rsidRPr="00AD3498">
        <w:t>Modelo de cartera con 2</w:t>
      </w:r>
      <w:r w:rsidR="001726A4">
        <w:t> </w:t>
      </w:r>
      <w:r w:rsidR="003B028E" w:rsidRPr="00AD3498">
        <w:t>activos</w:t>
      </w:r>
      <w:bookmarkEnd w:id="39"/>
    </w:p>
    <w:p w14:paraId="2B4DCE19" w14:textId="2C58D454" w:rsidR="00714524" w:rsidRDefault="00714524" w:rsidP="00546FA4">
      <w:pPr>
        <w:pStyle w:val="Nivel2SM"/>
        <w:keepNext/>
        <w:spacing w:after="0"/>
      </w:pPr>
      <w:r>
        <w:t>Supongamos que el agente invierte en un activo libre de riesgo (</w:t>
      </w:r>
      <w:r w:rsidRPr="00B81C5B">
        <w:rPr>
          <w:i/>
          <w:iCs/>
        </w:rPr>
        <w:t>s</w:t>
      </w:r>
      <w:r>
        <w:t>) y un activo con riesgo (</w:t>
      </w:r>
      <w:r w:rsidRPr="00B81C5B">
        <w:rPr>
          <w:i/>
          <w:iCs/>
        </w:rPr>
        <w:t>i</w:t>
      </w:r>
      <w:r>
        <w:t xml:space="preserve">). El rendimiento de la cartera y el riesgo de </w:t>
      </w:r>
      <w:proofErr w:type="gramStart"/>
      <w:r>
        <w:t>la misma</w:t>
      </w:r>
      <w:proofErr w:type="gramEnd"/>
      <w:r>
        <w:t xml:space="preserve"> son:</w:t>
      </w:r>
    </w:p>
    <w:p w14:paraId="07732240" w14:textId="77777777" w:rsidR="00714524" w:rsidRDefault="000676EF" w:rsidP="00714524">
      <w:pPr>
        <w:ind w:left="720"/>
        <w:jc w:val="center"/>
      </w:pPr>
      <w:r>
        <w:rPr>
          <w:noProof/>
        </w:rPr>
        <w:drawing>
          <wp:inline distT="0" distB="0" distL="0" distR="0" wp14:anchorId="5E46948A" wp14:editId="54BD4BE5">
            <wp:extent cx="5074920" cy="1181100"/>
            <wp:effectExtent l="0" t="0" r="0" b="0"/>
            <wp:docPr id="2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74920" cy="1181100"/>
                    </a:xfrm>
                    <a:prstGeom prst="rect">
                      <a:avLst/>
                    </a:prstGeom>
                    <a:noFill/>
                    <a:ln>
                      <a:noFill/>
                    </a:ln>
                  </pic:spPr>
                </pic:pic>
              </a:graphicData>
            </a:graphic>
          </wp:inline>
        </w:drawing>
      </w:r>
    </w:p>
    <w:p w14:paraId="5F53AD5A" w14:textId="220BFB57" w:rsidR="00714524" w:rsidRDefault="00714524" w:rsidP="00546FA4">
      <w:pPr>
        <w:pStyle w:val="Nivel2SM"/>
        <w:keepNext/>
        <w:spacing w:after="0"/>
      </w:pPr>
      <w:r>
        <w:t>Suponiendo que el rendimiento es un bien y el riesgo de la cartera un mal y diferenciando con respecto a la proporción del activo con riesgo obtenemos que la inversión en el activo con riesgo es:</w:t>
      </w:r>
    </w:p>
    <w:p w14:paraId="282E3ADA" w14:textId="77777777" w:rsidR="00714524" w:rsidRDefault="000676EF" w:rsidP="00714524">
      <w:pPr>
        <w:ind w:left="720"/>
        <w:jc w:val="center"/>
      </w:pPr>
      <w:r>
        <w:rPr>
          <w:noProof/>
        </w:rPr>
        <w:drawing>
          <wp:inline distT="0" distB="0" distL="0" distR="0" wp14:anchorId="7D158141" wp14:editId="3D0C9E7D">
            <wp:extent cx="3154680" cy="1287780"/>
            <wp:effectExtent l="0" t="0" r="0" b="0"/>
            <wp:docPr id="2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54680" cy="1287780"/>
                    </a:xfrm>
                    <a:prstGeom prst="rect">
                      <a:avLst/>
                    </a:prstGeom>
                    <a:noFill/>
                    <a:ln>
                      <a:noFill/>
                    </a:ln>
                  </pic:spPr>
                </pic:pic>
              </a:graphicData>
            </a:graphic>
          </wp:inline>
        </w:drawing>
      </w:r>
    </w:p>
    <w:p w14:paraId="2AEF79EF" w14:textId="2DF4BA9A" w:rsidR="001E2B9B" w:rsidRPr="00AD3498" w:rsidRDefault="00576D79" w:rsidP="00546FA4">
      <w:pPr>
        <w:pStyle w:val="Nivel2SM"/>
        <w:keepNext/>
        <w:spacing w:after="0"/>
      </w:pPr>
      <w:r w:rsidRPr="00AD3498">
        <w:t>Por tanto, la inversión en el activo con riesgo será mayor…</w:t>
      </w:r>
    </w:p>
    <w:p w14:paraId="40257FE5" w14:textId="77777777" w:rsidR="00F7657E" w:rsidRDefault="00F7657E" w:rsidP="00546FA4">
      <w:pPr>
        <w:pStyle w:val="Nivel3SM"/>
      </w:pPr>
      <w:r w:rsidRPr="00AD3498">
        <w:t xml:space="preserve">Cuanto mayor sea la </w:t>
      </w:r>
      <w:r w:rsidR="0033638B">
        <w:t>valoración otorgada</w:t>
      </w:r>
      <w:r w:rsidRPr="00AD3498">
        <w:t xml:space="preserve"> </w:t>
      </w:r>
      <w:r w:rsidR="0033638B">
        <w:t>a</w:t>
      </w:r>
      <w:r w:rsidRPr="00AD3498">
        <w:t xml:space="preserve">l rendimiento </w:t>
      </w:r>
      <w:r w:rsidR="0033638B">
        <w:t xml:space="preserve">en la función de utilidad </w:t>
      </w:r>
      <w:r w:rsidRPr="00AD3498">
        <w:t>(</w:t>
      </w:r>
      <w:r w:rsidRPr="00B24E65">
        <w:rPr>
          <w:i/>
          <w:iCs/>
        </w:rPr>
        <w:t>α</w:t>
      </w:r>
      <w:r w:rsidRPr="00AD3498">
        <w:t>).</w:t>
      </w:r>
    </w:p>
    <w:p w14:paraId="79A84543" w14:textId="77777777" w:rsidR="0033638B" w:rsidRPr="00AD3498" w:rsidRDefault="0033638B" w:rsidP="00546FA4">
      <w:pPr>
        <w:pStyle w:val="Nivel3SM"/>
      </w:pPr>
      <w:r w:rsidRPr="00AD3498">
        <w:t>Cuanto menor sea la aversión al riesgo (</w:t>
      </w:r>
      <w:r w:rsidRPr="00B24E65">
        <w:rPr>
          <w:i/>
          <w:iCs/>
        </w:rPr>
        <w:t>β</w:t>
      </w:r>
      <w:r w:rsidRPr="00AD3498">
        <w:t>).</w:t>
      </w:r>
    </w:p>
    <w:p w14:paraId="477609B6" w14:textId="77777777" w:rsidR="00F7657E" w:rsidRPr="00AD3498" w:rsidRDefault="00F7657E" w:rsidP="00546FA4">
      <w:pPr>
        <w:pStyle w:val="Nivel3SM"/>
      </w:pPr>
      <w:r w:rsidRPr="00AD3498">
        <w:t>Cuanto mayor sea la rentabilidad esperada del activo con riesgo.</w:t>
      </w:r>
    </w:p>
    <w:p w14:paraId="165F5406" w14:textId="77777777" w:rsidR="00F7657E" w:rsidRPr="00AD3498" w:rsidRDefault="00F7657E" w:rsidP="00546FA4">
      <w:pPr>
        <w:pStyle w:val="Nivel3SM"/>
      </w:pPr>
      <w:r w:rsidRPr="00AD3498">
        <w:t>Cuanto menor sea la rentabilidad del activo sin riesgo.</w:t>
      </w:r>
    </w:p>
    <w:p w14:paraId="15E536F3" w14:textId="0641FFFC" w:rsidR="00662E12" w:rsidRPr="001726A4" w:rsidRDefault="00E43DF2" w:rsidP="00546FA4">
      <w:pPr>
        <w:pStyle w:val="Nivel3SM"/>
      </w:pPr>
      <w:r w:rsidRPr="00AD3498">
        <w:t>Cuanto menor sea la varianza del activo con riesgo.</w:t>
      </w:r>
    </w:p>
    <w:p w14:paraId="018B7E42" w14:textId="0EC70345" w:rsidR="00D30202" w:rsidRDefault="00D30202" w:rsidP="00605B49">
      <w:pPr>
        <w:pStyle w:val="Ttulo7"/>
        <w:spacing w:before="0"/>
      </w:pPr>
      <w:bookmarkStart w:id="40" w:name="_Toc149220479"/>
      <w:r>
        <w:t>Introducción de impuestos</w:t>
      </w:r>
      <w:bookmarkEnd w:id="40"/>
    </w:p>
    <w:p w14:paraId="64225143" w14:textId="44F8380F" w:rsidR="00662E12" w:rsidRPr="001726A4" w:rsidRDefault="002E7BFF" w:rsidP="00D30202">
      <w:pPr>
        <w:pStyle w:val="Ttulo8"/>
        <w:spacing w:before="0"/>
      </w:pPr>
      <w:r w:rsidRPr="00AD3498">
        <w:t>Impuesto sobre los rendimientos del activo sin riesgo</w:t>
      </w:r>
    </w:p>
    <w:p w14:paraId="139467E3" w14:textId="77777777" w:rsidR="00662E12" w:rsidRPr="00AD3498" w:rsidRDefault="002E7BFF" w:rsidP="00546FA4">
      <w:pPr>
        <w:pStyle w:val="Nivel2SM"/>
      </w:pPr>
      <w:r w:rsidRPr="00AD3498">
        <w:t>Esto puede ocurrir si, por ejemplo, el sector público establece una exención en el IRPF de los dividendos o ganancias de capital (esto hace que los rendimientos de la deuda pública estén gravados, pero los del activo con riesgo no).</w:t>
      </w:r>
    </w:p>
    <w:p w14:paraId="31E094DD" w14:textId="541B551B" w:rsidR="00E757C7" w:rsidRPr="00546FA4" w:rsidRDefault="00E757C7" w:rsidP="00987842">
      <w:pPr>
        <w:pStyle w:val="Nivel2SM"/>
        <w:keepNext/>
        <w:spacing w:after="0"/>
      </w:pPr>
      <w:r w:rsidRPr="00546FA4">
        <w:t>Efecto</w:t>
      </w:r>
      <w:r w:rsidR="002F595D" w:rsidRPr="00546FA4">
        <w:t xml:space="preserve"> sobre </w:t>
      </w:r>
      <w:proofErr w:type="spellStart"/>
      <w:r w:rsidR="002F595D" w:rsidRPr="00546FA4">
        <w:t>a</w:t>
      </w:r>
      <w:r w:rsidR="002F595D" w:rsidRPr="00546FA4">
        <w:rPr>
          <w:vertAlign w:val="subscript"/>
        </w:rPr>
        <w:t>i</w:t>
      </w:r>
      <w:proofErr w:type="spellEnd"/>
      <w:r w:rsidRPr="00546FA4">
        <w:t>:</w:t>
      </w:r>
    </w:p>
    <w:p w14:paraId="2E33000F" w14:textId="77777777" w:rsidR="00E757C7" w:rsidRPr="00AD3498" w:rsidRDefault="000676EF" w:rsidP="00546FA4">
      <w:pPr>
        <w:spacing w:after="0"/>
        <w:jc w:val="center"/>
      </w:pPr>
      <w:r>
        <w:rPr>
          <w:noProof/>
        </w:rPr>
        <w:drawing>
          <wp:inline distT="0" distB="0" distL="0" distR="0" wp14:anchorId="2828EF43" wp14:editId="18C4B617">
            <wp:extent cx="2397443" cy="636609"/>
            <wp:effectExtent l="0" t="0" r="3175" b="0"/>
            <wp:docPr id="3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04749" cy="638549"/>
                    </a:xfrm>
                    <a:prstGeom prst="rect">
                      <a:avLst/>
                    </a:prstGeom>
                    <a:noFill/>
                    <a:ln>
                      <a:noFill/>
                    </a:ln>
                  </pic:spPr>
                </pic:pic>
              </a:graphicData>
            </a:graphic>
          </wp:inline>
        </w:drawing>
      </w:r>
    </w:p>
    <w:p w14:paraId="19B9C48A" w14:textId="77777777" w:rsidR="001258CD" w:rsidRPr="00AD3498" w:rsidRDefault="005913CD" w:rsidP="00546FA4">
      <w:pPr>
        <w:pStyle w:val="Nivel3SM"/>
      </w:pPr>
      <w:r w:rsidRPr="00AD3498">
        <w:t>Por tanto, la proporción invertida en el activo</w:t>
      </w:r>
      <w:r w:rsidR="00661A9A">
        <w:t xml:space="preserve"> con riesgo</w:t>
      </w:r>
      <w:r w:rsidRPr="00AD3498">
        <w:t xml:space="preserve"> aumenta.</w:t>
      </w:r>
    </w:p>
    <w:p w14:paraId="03C29F1A" w14:textId="77777777" w:rsidR="00CB004D" w:rsidRPr="00AD3498" w:rsidRDefault="00CB004D" w:rsidP="00D30202">
      <w:pPr>
        <w:pStyle w:val="Ttulo8"/>
      </w:pPr>
      <w:r w:rsidRPr="00AD3498">
        <w:t>Impuesto sobre los rendimientos del activo con riesgo</w:t>
      </w:r>
    </w:p>
    <w:p w14:paraId="289D9991" w14:textId="77777777" w:rsidR="002F595D" w:rsidRDefault="00367F60" w:rsidP="004C2184">
      <w:pPr>
        <w:pStyle w:val="Nivel2SM"/>
        <w:keepNext/>
        <w:spacing w:after="0"/>
      </w:pPr>
      <w:r>
        <w:t xml:space="preserve">La proporción óptima de inversión en la cartera con riesgo sería: </w:t>
      </w:r>
    </w:p>
    <w:p w14:paraId="7ABF9CA0" w14:textId="77777777" w:rsidR="002F595D" w:rsidRDefault="000676EF" w:rsidP="004C2184">
      <w:pPr>
        <w:spacing w:after="0"/>
        <w:jc w:val="center"/>
      </w:pPr>
      <w:r>
        <w:rPr>
          <w:noProof/>
        </w:rPr>
        <w:drawing>
          <wp:inline distT="0" distB="0" distL="0" distR="0" wp14:anchorId="683DE39E" wp14:editId="29520369">
            <wp:extent cx="2552700" cy="716280"/>
            <wp:effectExtent l="0" t="0" r="0" b="0"/>
            <wp:docPr id="3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52700" cy="716280"/>
                    </a:xfrm>
                    <a:prstGeom prst="rect">
                      <a:avLst/>
                    </a:prstGeom>
                    <a:noFill/>
                    <a:ln>
                      <a:noFill/>
                    </a:ln>
                  </pic:spPr>
                </pic:pic>
              </a:graphicData>
            </a:graphic>
          </wp:inline>
        </w:drawing>
      </w:r>
    </w:p>
    <w:p w14:paraId="2EBD7C36" w14:textId="77777777" w:rsidR="00007FDF" w:rsidRDefault="00007FDF" w:rsidP="004C2184">
      <w:pPr>
        <w:pStyle w:val="Nivel3SM"/>
      </w:pPr>
      <w:r w:rsidRPr="00AD3498">
        <w:t>El efecto es ambiguo, ya que se producen dos efectos (disminución del rendimiento esperado y del riesgo) que actúan en sentido contrario.</w:t>
      </w:r>
    </w:p>
    <w:p w14:paraId="29761BCE" w14:textId="3597FF49" w:rsidR="005A6F78" w:rsidRDefault="000E0527" w:rsidP="004C2184">
      <w:pPr>
        <w:pStyle w:val="Nivel3SM"/>
      </w:pPr>
      <w:r>
        <w:t>El efecto</w:t>
      </w:r>
      <w:r w:rsidR="00026C2A">
        <w:t xml:space="preserve"> concreto</w:t>
      </w:r>
      <w:r>
        <w:t xml:space="preserve"> vendrá dado por la derivada de</w:t>
      </w:r>
      <w:r w:rsidR="005A6F78">
        <w:t xml:space="preserve"> </w:t>
      </w:r>
      <w:r w:rsidR="004C2184" w:rsidRPr="004C2184">
        <w:rPr>
          <w:i/>
          <w:iCs/>
        </w:rPr>
        <w:t>α</w:t>
      </w:r>
      <w:r w:rsidR="005A6F78">
        <w:t xml:space="preserve"> con respecto a</w:t>
      </w:r>
      <w:r w:rsidR="00026C2A">
        <w:t xml:space="preserve"> </w:t>
      </w:r>
      <w:r w:rsidR="00026C2A" w:rsidRPr="004C2184">
        <w:rPr>
          <w:i/>
          <w:iCs/>
        </w:rPr>
        <w:t>t</w:t>
      </w:r>
      <w:r w:rsidR="00026C2A">
        <w:t xml:space="preserve"> (el</w:t>
      </w:r>
      <w:r w:rsidR="005A6F78">
        <w:t xml:space="preserve"> tipo impositivo sobre el rendimiento del activo con riesgo</w:t>
      </w:r>
      <w:r w:rsidR="00026C2A">
        <w:t>)</w:t>
      </w:r>
      <w:r w:rsidR="005A6F78">
        <w:t xml:space="preserve">, que es una función del resto de </w:t>
      </w:r>
      <w:r w:rsidR="00026C2A">
        <w:t xml:space="preserve">parámetros </w:t>
      </w:r>
      <w:r w:rsidR="00026C2A">
        <w:lastRenderedPageBreak/>
        <w:t>(E(</w:t>
      </w:r>
      <w:proofErr w:type="spellStart"/>
      <w:r w:rsidR="00026C2A">
        <w:t>Ri</w:t>
      </w:r>
      <w:proofErr w:type="spellEnd"/>
      <w:r w:rsidR="00026C2A">
        <w:t xml:space="preserve">), </w:t>
      </w:r>
      <w:proofErr w:type="spellStart"/>
      <w:r w:rsidR="00026C2A">
        <w:t>Rs</w:t>
      </w:r>
      <w:proofErr w:type="spellEnd"/>
      <w:r w:rsidR="00026C2A">
        <w:t xml:space="preserve">, </w:t>
      </w:r>
      <w:r w:rsidR="004C2184" w:rsidRPr="004C2184">
        <w:rPr>
          <w:rFonts w:ascii="Times New Roman" w:hAnsi="Times New Roman" w:cs="Times New Roman"/>
          <w:i/>
          <w:iCs/>
        </w:rPr>
        <w:t>β</w:t>
      </w:r>
      <w:r w:rsidR="00026C2A">
        <w:t xml:space="preserve">, </w:t>
      </w:r>
      <w:proofErr w:type="spellStart"/>
      <w:r w:rsidR="004C2184" w:rsidRPr="004C2184">
        <w:rPr>
          <w:rFonts w:ascii="Times New Roman" w:hAnsi="Times New Roman" w:cs="Times New Roman"/>
          <w:i/>
          <w:iCs/>
        </w:rPr>
        <w:t>σ</w:t>
      </w:r>
      <w:r w:rsidR="00026C2A" w:rsidRPr="004C2184">
        <w:rPr>
          <w:i/>
          <w:iCs/>
          <w:vertAlign w:val="subscript"/>
        </w:rPr>
        <w:t>i</w:t>
      </w:r>
      <w:proofErr w:type="spellEnd"/>
      <w:r w:rsidR="00026C2A">
        <w:t>)</w:t>
      </w:r>
      <w:r w:rsidR="005A6F78">
        <w:t xml:space="preserve"> y que podrá ser negativo o positivo</w:t>
      </w:r>
      <w:r w:rsidR="00026C2A">
        <w:t xml:space="preserve"> según qué valores se adopten, </w:t>
      </w:r>
      <w:r w:rsidR="005A6F78">
        <w:t xml:space="preserve">de ahí la ambigüedad. </w:t>
      </w:r>
    </w:p>
    <w:p w14:paraId="5B3C7271" w14:textId="457DEB9A" w:rsidR="005A6F78" w:rsidRDefault="005A6F78" w:rsidP="004C2184">
      <w:pPr>
        <w:pStyle w:val="Nivel3SM"/>
        <w:keepNext/>
      </w:pPr>
      <w:r>
        <w:t xml:space="preserve">En cualquier caso, a través de simulaciones se puede demostrar que, para </w:t>
      </w:r>
      <w:r w:rsidRPr="000676EF">
        <w:rPr>
          <w:b/>
          <w:bCs/>
        </w:rPr>
        <w:t xml:space="preserve">valores constantes de </w:t>
      </w:r>
      <w:r w:rsidR="004C2184" w:rsidRPr="004C2184">
        <w:rPr>
          <w:rFonts w:ascii="Times New Roman" w:hAnsi="Times New Roman" w:cs="Times New Roman"/>
          <w:b/>
          <w:bCs/>
          <w:i/>
          <w:iCs/>
        </w:rPr>
        <w:t>β</w:t>
      </w:r>
      <w:r w:rsidRPr="000676EF">
        <w:rPr>
          <w:b/>
          <w:bCs/>
        </w:rPr>
        <w:t xml:space="preserve"> y </w:t>
      </w:r>
      <w:proofErr w:type="spellStart"/>
      <w:r w:rsidR="004C2184" w:rsidRPr="004C2184">
        <w:rPr>
          <w:rFonts w:ascii="Times New Roman" w:hAnsi="Times New Roman" w:cs="Times New Roman"/>
          <w:b/>
          <w:bCs/>
          <w:i/>
          <w:iCs/>
        </w:rPr>
        <w:t>σ</w:t>
      </w:r>
      <w:r w:rsidR="004C2184" w:rsidRPr="004C2184">
        <w:rPr>
          <w:b/>
          <w:bCs/>
          <w:i/>
          <w:iCs/>
          <w:vertAlign w:val="subscript"/>
        </w:rPr>
        <w:t>i</w:t>
      </w:r>
      <w:proofErr w:type="spellEnd"/>
      <w:r w:rsidRPr="000676EF">
        <w:rPr>
          <w:b/>
          <w:bCs/>
        </w:rPr>
        <w:t>:</w:t>
      </w:r>
    </w:p>
    <w:p w14:paraId="339D6BFD" w14:textId="738E395A" w:rsidR="000E0527" w:rsidRDefault="005A6F78" w:rsidP="004C2184">
      <w:pPr>
        <w:pStyle w:val="Nivel4"/>
        <w:ind w:left="1474"/>
      </w:pPr>
      <w:r>
        <w:t xml:space="preserve">Generalmente, la derivada es positiva para valores reducidos o medios de </w:t>
      </w:r>
      <w:r w:rsidRPr="00A643D1">
        <w:rPr>
          <w:i/>
          <w:iCs/>
        </w:rPr>
        <w:t>t</w:t>
      </w:r>
      <w:r>
        <w:t>. Es decir, para niveles impositivos de entre 0</w:t>
      </w:r>
      <w:r w:rsidR="00A643D1">
        <w:t> %</w:t>
      </w:r>
      <w:r>
        <w:t xml:space="preserve"> y </w:t>
      </w:r>
      <w:r w:rsidR="00B82227">
        <w:t>7</w:t>
      </w:r>
      <w:r>
        <w:t>0</w:t>
      </w:r>
      <w:r w:rsidR="004844E5">
        <w:t> %</w:t>
      </w:r>
      <w:r>
        <w:t xml:space="preserve">, el impuesto aumenta el </w:t>
      </w:r>
      <w:r w:rsidR="00026C2A">
        <w:t xml:space="preserve">nivel de </w:t>
      </w:r>
      <w:r>
        <w:t>riesgo</w:t>
      </w:r>
      <w:r w:rsidR="00026C2A">
        <w:t xml:space="preserve"> óptimo (</w:t>
      </w:r>
      <w:r w:rsidR="00A643D1" w:rsidRPr="004C2184">
        <w:rPr>
          <w:i/>
          <w:iCs/>
        </w:rPr>
        <w:t>α</w:t>
      </w:r>
      <w:r w:rsidR="00026C2A">
        <w:t>)</w:t>
      </w:r>
      <w:r>
        <w:t xml:space="preserve">, pero cuando supera </w:t>
      </w:r>
      <w:r w:rsidR="00B82227">
        <w:t xml:space="preserve">esa barrera </w:t>
      </w:r>
      <w:r>
        <w:t>a reducirlo.</w:t>
      </w:r>
    </w:p>
    <w:p w14:paraId="53730D7B" w14:textId="43EBE1C9" w:rsidR="005A6F78" w:rsidRDefault="005A6F78" w:rsidP="004C2184">
      <w:pPr>
        <w:pStyle w:val="Nivel4"/>
        <w:ind w:left="1474"/>
      </w:pPr>
      <w:r>
        <w:t>Cuando el diferencial entre E(</w:t>
      </w:r>
      <w:proofErr w:type="spellStart"/>
      <w:r>
        <w:t>Ri</w:t>
      </w:r>
      <w:proofErr w:type="spellEnd"/>
      <w:r>
        <w:t xml:space="preserve">) y </w:t>
      </w:r>
      <w:proofErr w:type="spellStart"/>
      <w:r>
        <w:t>Rs</w:t>
      </w:r>
      <w:proofErr w:type="spellEnd"/>
      <w:r>
        <w:t xml:space="preserve"> es muy elevado, el nivel de riesgo óptimo crece con </w:t>
      </w:r>
      <w:r w:rsidRPr="00A643D1">
        <w:rPr>
          <w:i/>
          <w:iCs/>
        </w:rPr>
        <w:t>t</w:t>
      </w:r>
      <w:r>
        <w:t xml:space="preserve"> para cualquier valor de </w:t>
      </w:r>
      <w:r w:rsidRPr="004C2184">
        <w:rPr>
          <w:i/>
          <w:iCs/>
        </w:rPr>
        <w:t>t</w:t>
      </w:r>
      <w:r w:rsidR="00B82227">
        <w:t>, porque el efecto sobre la varianza domina siempre el efecto sobre el diferencial de rendimiento.</w:t>
      </w:r>
    </w:p>
    <w:p w14:paraId="6927EA1C" w14:textId="77777777" w:rsidR="00BD5767" w:rsidRPr="00AD3498" w:rsidRDefault="00BD5767" w:rsidP="00D30202">
      <w:pPr>
        <w:pStyle w:val="Ttulo8"/>
      </w:pPr>
      <w:r w:rsidRPr="00AD3498">
        <w:t>Impuesto sobre los rendimientos de ambos activos</w:t>
      </w:r>
    </w:p>
    <w:p w14:paraId="18B47D05" w14:textId="1D0D36EA" w:rsidR="0090355F" w:rsidRPr="00AD3498" w:rsidRDefault="00367F60" w:rsidP="00D30202">
      <w:pPr>
        <w:pStyle w:val="Nivel2SM"/>
        <w:keepNext/>
        <w:spacing w:after="0"/>
      </w:pPr>
      <w:r>
        <w:t>La proporción óptima de inversión en la cartera con riesgo sería:</w:t>
      </w:r>
    </w:p>
    <w:p w14:paraId="58A9E84B" w14:textId="77777777" w:rsidR="0090355F" w:rsidRDefault="000676EF" w:rsidP="00D30202">
      <w:pPr>
        <w:spacing w:after="0"/>
        <w:jc w:val="center"/>
      </w:pPr>
      <w:r>
        <w:rPr>
          <w:noProof/>
        </w:rPr>
        <w:drawing>
          <wp:inline distT="0" distB="0" distL="0" distR="0" wp14:anchorId="4A5992E9" wp14:editId="6965BE39">
            <wp:extent cx="2087880" cy="670560"/>
            <wp:effectExtent l="0" t="0" r="0" b="0"/>
            <wp:docPr id="3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87880" cy="670560"/>
                    </a:xfrm>
                    <a:prstGeom prst="rect">
                      <a:avLst/>
                    </a:prstGeom>
                    <a:noFill/>
                    <a:ln>
                      <a:noFill/>
                    </a:ln>
                  </pic:spPr>
                </pic:pic>
              </a:graphicData>
            </a:graphic>
          </wp:inline>
        </w:drawing>
      </w:r>
    </w:p>
    <w:p w14:paraId="2EE63E44" w14:textId="77777777" w:rsidR="0090355F" w:rsidRPr="00AD3498" w:rsidRDefault="00C161F1" w:rsidP="00546FA4">
      <w:pPr>
        <w:pStyle w:val="Nivel3SM"/>
      </w:pPr>
      <w:r w:rsidRPr="00AD3498">
        <w:t xml:space="preserve">El </w:t>
      </w:r>
      <w:r w:rsidR="003B7B77" w:rsidRPr="00AD3498">
        <w:t xml:space="preserve">impuesto aumenta la proporción invertida </w:t>
      </w:r>
      <w:r w:rsidRPr="00AD3498">
        <w:t>en el activo con riesgo.</w:t>
      </w:r>
      <w:r w:rsidR="00586924">
        <w:t xml:space="preserve"> La explicación es que el rendimiento </w:t>
      </w:r>
      <w:r w:rsidR="00586924" w:rsidRPr="00586924">
        <w:rPr>
          <w:u w:val="single"/>
        </w:rPr>
        <w:t>relativo</w:t>
      </w:r>
      <w:r w:rsidR="00586924">
        <w:t xml:space="preserve"> del activo con riesgo no ha variado, pero su riesgo se ha reducido.</w:t>
      </w:r>
    </w:p>
    <w:p w14:paraId="5CD491CF" w14:textId="6E5928C5" w:rsidR="00DE0017" w:rsidRPr="00557F53" w:rsidRDefault="00557F53" w:rsidP="00557F53">
      <w:pPr>
        <w:pStyle w:val="Ttulo1"/>
      </w:pPr>
      <w:bookmarkStart w:id="41" w:name="_Toc149220480"/>
      <w:r w:rsidRPr="00557F53">
        <w:t>EFECTOS INCENTIVO SOBRE EMPRESAS</w:t>
      </w:r>
      <w:bookmarkEnd w:id="41"/>
    </w:p>
    <w:p w14:paraId="74DB37AF" w14:textId="23D06BB6" w:rsidR="00DE0017" w:rsidRPr="00DE0017" w:rsidRDefault="00DE0017" w:rsidP="00605B49">
      <w:pPr>
        <w:pStyle w:val="Nivel1SM"/>
        <w:spacing w:before="0"/>
      </w:pPr>
      <w:r w:rsidRPr="00DE0017">
        <w:t>Analizamos a continuación los efectos de los impuestos sobre algunas de las decisiones más relevantes de las empresas.</w:t>
      </w:r>
    </w:p>
    <w:p w14:paraId="29A62D97" w14:textId="0D11340E" w:rsidR="00605B49" w:rsidRDefault="00605B49" w:rsidP="00557F53">
      <w:pPr>
        <w:pStyle w:val="Ttulo2"/>
      </w:pPr>
      <w:bookmarkStart w:id="42" w:name="_Toc149220481"/>
      <w:r>
        <w:t>Efectos sobre las decisiones de producción y la demanda de factores productivos</w:t>
      </w:r>
      <w:bookmarkEnd w:id="42"/>
    </w:p>
    <w:p w14:paraId="65D27D69" w14:textId="4EEBD9B4" w:rsidR="00605B49" w:rsidRPr="00605B49" w:rsidRDefault="00605B49" w:rsidP="00DA5843">
      <w:pPr>
        <w:pStyle w:val="Notaalopositor"/>
        <w:tabs>
          <w:tab w:val="left" w:pos="3360"/>
        </w:tabs>
      </w:pPr>
      <w:r>
        <w:t xml:space="preserve">Ver tema 4.B.10 (Idea de </w:t>
      </w:r>
      <w:proofErr w:type="spellStart"/>
      <w:r>
        <w:t>Sahuquillo</w:t>
      </w:r>
      <w:proofErr w:type="spellEnd"/>
      <w:r>
        <w:t>).</w:t>
      </w:r>
      <w:r w:rsidR="00DA5843">
        <w:t xml:space="preserve"> Igual es mejor lo del tema 4.B.9 (modelo </w:t>
      </w:r>
      <w:proofErr w:type="spellStart"/>
      <w:r w:rsidR="00DA5843">
        <w:t>unisectorial</w:t>
      </w:r>
      <w:proofErr w:type="spellEnd"/>
      <w:r w:rsidR="00DA5843">
        <w:t xml:space="preserve"> y </w:t>
      </w:r>
      <w:proofErr w:type="spellStart"/>
      <w:r w:rsidR="00DA5843">
        <w:t>bisectorial</w:t>
      </w:r>
      <w:proofErr w:type="spellEnd"/>
      <w:r w:rsidR="00DA5843">
        <w:t>).</w:t>
      </w:r>
    </w:p>
    <w:p w14:paraId="6BF863B2" w14:textId="427F8C17" w:rsidR="00DE0017" w:rsidRDefault="00DE0017" w:rsidP="00557F53">
      <w:pPr>
        <w:pStyle w:val="Ttulo2"/>
      </w:pPr>
      <w:bookmarkStart w:id="43" w:name="_Toc149220482"/>
      <w:r w:rsidRPr="00DE0017">
        <w:t>Efectos sobre la estructura de capital</w:t>
      </w:r>
      <w:r w:rsidR="002E5EFF">
        <w:t xml:space="preserve"> y la política de dividendos</w:t>
      </w:r>
      <w:bookmarkEnd w:id="43"/>
    </w:p>
    <w:p w14:paraId="2FDFD6CD" w14:textId="6CD2AF59" w:rsidR="002E5EFF" w:rsidRPr="002E5EFF" w:rsidRDefault="002E5EFF" w:rsidP="002E5EFF">
      <w:pPr>
        <w:pStyle w:val="Notaalopositor"/>
      </w:pPr>
      <w:r>
        <w:t xml:space="preserve">Para lo de política de dividendos ver </w:t>
      </w:r>
      <w:proofErr w:type="spellStart"/>
      <w:r>
        <w:t>Sahuquillo</w:t>
      </w:r>
      <w:proofErr w:type="spellEnd"/>
      <w:r>
        <w:t>.</w:t>
      </w:r>
    </w:p>
    <w:p w14:paraId="206C1837" w14:textId="77777777" w:rsidR="00D07B06" w:rsidRPr="00A103A5" w:rsidRDefault="00D07B06" w:rsidP="00D07B06">
      <w:pPr>
        <w:pStyle w:val="Ttulo6"/>
        <w:spacing w:before="0"/>
      </w:pPr>
      <w:bookmarkStart w:id="44" w:name="_Toc125044539"/>
      <w:bookmarkStart w:id="45" w:name="_Toc149220483"/>
      <w:r>
        <w:t>Idea</w:t>
      </w:r>
      <w:bookmarkEnd w:id="44"/>
      <w:bookmarkEnd w:id="45"/>
    </w:p>
    <w:p w14:paraId="6DE9AA21" w14:textId="3A216980" w:rsidR="00D07B06" w:rsidRDefault="00D07B06" w:rsidP="00D07B06">
      <w:pPr>
        <w:pStyle w:val="Nivel1SM"/>
        <w:spacing w:before="0"/>
      </w:pPr>
      <w:r>
        <w:rPr>
          <w:smallCaps/>
        </w:rPr>
        <w:t>Modigliani</w:t>
      </w:r>
      <w:r>
        <w:t xml:space="preserve"> y </w:t>
      </w:r>
      <w:r>
        <w:rPr>
          <w:smallCaps/>
        </w:rPr>
        <w:t>Miller</w:t>
      </w:r>
      <w:r>
        <w:t xml:space="preserve"> (1958) </w:t>
      </w:r>
      <w:r w:rsidR="001C4BE4">
        <w:t>d</w:t>
      </w:r>
      <w:r>
        <w:t xml:space="preserve">emuestran que, si se cumplen una serie de supuestos, el valor de la empresa viene determinado por sus activos y los flujos de caja que éstos generan (decisión de inversión), </w:t>
      </w:r>
      <w:proofErr w:type="gramStart"/>
      <w:r>
        <w:t>y</w:t>
      </w:r>
      <w:proofErr w:type="gramEnd"/>
      <w:r>
        <w:t xml:space="preserve"> por tanto, no depende de la estructura de sus pasivos y fondos propios (decisión de financiación).</w:t>
      </w:r>
    </w:p>
    <w:p w14:paraId="38309E03" w14:textId="77777777" w:rsidR="00D07B06" w:rsidRDefault="00D07B06" w:rsidP="00D07B06">
      <w:pPr>
        <w:pStyle w:val="Ttulo6"/>
        <w:spacing w:before="0"/>
      </w:pPr>
      <w:bookmarkStart w:id="46" w:name="_Toc125044540"/>
      <w:bookmarkStart w:id="47" w:name="_Toc149220484"/>
      <w:r>
        <w:t>Modelo de</w:t>
      </w:r>
      <w:r w:rsidRPr="00830E36">
        <w:t xml:space="preserve"> </w:t>
      </w:r>
      <w:r w:rsidRPr="003E4089">
        <w:rPr>
          <w:smallCaps/>
        </w:rPr>
        <w:t>Modigliani</w:t>
      </w:r>
      <w:r>
        <w:t xml:space="preserve"> y </w:t>
      </w:r>
      <w:r w:rsidRPr="003E4089">
        <w:rPr>
          <w:smallCaps/>
        </w:rPr>
        <w:t>Miller</w:t>
      </w:r>
      <w:r>
        <w:t xml:space="preserve"> (1958)</w:t>
      </w:r>
      <w:bookmarkEnd w:id="46"/>
      <w:bookmarkEnd w:id="47"/>
    </w:p>
    <w:p w14:paraId="3C2AB3D4" w14:textId="77777777" w:rsidR="00D07B06" w:rsidRPr="00A103A5" w:rsidRDefault="00D07B06" w:rsidP="00D07B06">
      <w:pPr>
        <w:pStyle w:val="Ttulo7"/>
        <w:spacing w:before="0"/>
      </w:pPr>
      <w:bookmarkStart w:id="48" w:name="_Toc125044541"/>
      <w:bookmarkStart w:id="49" w:name="_Toc149220485"/>
      <w:r>
        <w:t>Supuestos</w:t>
      </w:r>
      <w:bookmarkEnd w:id="48"/>
      <w:bookmarkEnd w:id="49"/>
    </w:p>
    <w:p w14:paraId="4D41A495" w14:textId="77777777" w:rsidR="00D07B06" w:rsidRDefault="00D07B06" w:rsidP="00D07B06">
      <w:pPr>
        <w:pStyle w:val="Nivel1SM"/>
        <w:keepNext/>
        <w:spacing w:before="0" w:after="0"/>
      </w:pPr>
      <w:r>
        <w:t xml:space="preserve">Se basan en los siguientes </w:t>
      </w:r>
      <w:r w:rsidRPr="00A103A5">
        <w:rPr>
          <w:b/>
          <w:bCs/>
        </w:rPr>
        <w:t>supuestos</w:t>
      </w:r>
      <w:r>
        <w:t>:</w:t>
      </w:r>
    </w:p>
    <w:p w14:paraId="6A53B66D" w14:textId="77777777" w:rsidR="00D07B06" w:rsidRDefault="00D07B06" w:rsidP="00D07B06">
      <w:pPr>
        <w:pStyle w:val="Prrafodelista"/>
        <w:numPr>
          <w:ilvl w:val="5"/>
          <w:numId w:val="40"/>
        </w:numPr>
        <w:spacing w:after="100"/>
        <w:ind w:left="567" w:hanging="57"/>
      </w:pPr>
      <w:r w:rsidRPr="00A103A5">
        <w:rPr>
          <w:i/>
          <w:iCs/>
        </w:rPr>
        <w:t>Mercados de capitales perfectos</w:t>
      </w:r>
      <w:r>
        <w:t xml:space="preserve"> (sin impuestos, costes de insolvencia nulos, etc.);</w:t>
      </w:r>
    </w:p>
    <w:p w14:paraId="288A6CAF" w14:textId="77777777" w:rsidR="00D07B06" w:rsidRDefault="00D07B06" w:rsidP="00D07B06">
      <w:pPr>
        <w:pStyle w:val="Prrafodelista"/>
        <w:numPr>
          <w:ilvl w:val="5"/>
          <w:numId w:val="40"/>
        </w:numPr>
        <w:spacing w:after="100"/>
        <w:ind w:left="567" w:hanging="57"/>
      </w:pPr>
      <w:r w:rsidRPr="00A103A5">
        <w:rPr>
          <w:i/>
          <w:iCs/>
        </w:rPr>
        <w:t>Agentes racionales</w:t>
      </w:r>
      <w:r>
        <w:t xml:space="preserve"> (todo accionista prefiere más riqueza a menos, y es indiferente entre un aumento de los dividendos o un incremento equivalente del precio de las acciones);</w:t>
      </w:r>
    </w:p>
    <w:p w14:paraId="61783D6E" w14:textId="77777777" w:rsidR="00D07B06" w:rsidRDefault="00D07B06" w:rsidP="00D07B06">
      <w:pPr>
        <w:pStyle w:val="Prrafodelista"/>
        <w:numPr>
          <w:ilvl w:val="5"/>
          <w:numId w:val="40"/>
        </w:numPr>
        <w:spacing w:after="100"/>
        <w:ind w:left="567" w:hanging="57"/>
      </w:pPr>
      <w:r w:rsidRPr="00A103A5">
        <w:rPr>
          <w:i/>
          <w:iCs/>
        </w:rPr>
        <w:t>Agentes neutrales al riesgo</w:t>
      </w:r>
      <w:r>
        <w:t>;</w:t>
      </w:r>
    </w:p>
    <w:p w14:paraId="5CD98637" w14:textId="77777777" w:rsidR="00D07B06" w:rsidRDefault="00D07B06" w:rsidP="00D07B06">
      <w:pPr>
        <w:pStyle w:val="Prrafodelista"/>
        <w:numPr>
          <w:ilvl w:val="5"/>
          <w:numId w:val="40"/>
        </w:numPr>
        <w:spacing w:after="100"/>
        <w:ind w:left="567" w:hanging="57"/>
      </w:pPr>
      <w:r w:rsidRPr="00A103A5">
        <w:rPr>
          <w:i/>
          <w:iCs/>
        </w:rPr>
        <w:t>Ausencia de incertidumbre</w:t>
      </w:r>
      <w:r>
        <w:t>; y</w:t>
      </w:r>
    </w:p>
    <w:p w14:paraId="1FFEE358" w14:textId="77777777" w:rsidR="00D07B06" w:rsidRDefault="00D07B06" w:rsidP="00D07B06">
      <w:pPr>
        <w:pStyle w:val="Prrafodelista"/>
        <w:numPr>
          <w:ilvl w:val="5"/>
          <w:numId w:val="40"/>
        </w:numPr>
        <w:spacing w:after="100"/>
        <w:ind w:left="567" w:hanging="57"/>
      </w:pPr>
      <w:r w:rsidRPr="00A103A5">
        <w:rPr>
          <w:i/>
          <w:iCs/>
        </w:rPr>
        <w:t>Mismos costes de financiación para empresas e inversores</w:t>
      </w:r>
      <w:r>
        <w:t xml:space="preserve"> (esto será crucial para que funcione la estrategia de arbitraje).</w:t>
      </w:r>
    </w:p>
    <w:p w14:paraId="10646802" w14:textId="77777777" w:rsidR="00D07B06" w:rsidRDefault="00D07B06" w:rsidP="00D07B06">
      <w:pPr>
        <w:pStyle w:val="Nivel1SM"/>
      </w:pPr>
      <w:r>
        <w:t xml:space="preserve">El objetivo de </w:t>
      </w:r>
      <w:r>
        <w:rPr>
          <w:smallCaps/>
        </w:rPr>
        <w:t>Modigliani</w:t>
      </w:r>
      <w:r>
        <w:t xml:space="preserve"> y </w:t>
      </w:r>
      <w:r>
        <w:rPr>
          <w:smallCaps/>
        </w:rPr>
        <w:t>Miller</w:t>
      </w:r>
      <w:r>
        <w:t xml:space="preserve"> no es afirmar que la estructura de capital es irrelevante, sino caracterizar los factores que la hacen relevante, es decir, como el incumplimiento de estos supuestos podría dar lugar a que la estructura de capital sea relevante.</w:t>
      </w:r>
    </w:p>
    <w:p w14:paraId="76F6E1AD" w14:textId="77777777" w:rsidR="00D07B06" w:rsidRDefault="00D07B06" w:rsidP="00D07B06">
      <w:pPr>
        <w:pStyle w:val="Ttulo7"/>
      </w:pPr>
      <w:bookmarkStart w:id="50" w:name="_Toc125044542"/>
      <w:bookmarkStart w:id="51" w:name="_Toc149220486"/>
      <w:r>
        <w:lastRenderedPageBreak/>
        <w:t>Desarrollo</w:t>
      </w:r>
      <w:bookmarkEnd w:id="50"/>
      <w:bookmarkEnd w:id="51"/>
    </w:p>
    <w:p w14:paraId="783C9897" w14:textId="77777777" w:rsidR="00D07B06" w:rsidRPr="003F03CF" w:rsidRDefault="00D07B06" w:rsidP="00D07B06">
      <w:pPr>
        <w:pStyle w:val="Ttulo8"/>
        <w:spacing w:before="0"/>
      </w:pPr>
      <w:r>
        <w:t xml:space="preserve">Proposiciones fundamentales de </w:t>
      </w:r>
      <w:r>
        <w:rPr>
          <w:smallCaps/>
        </w:rPr>
        <w:t>Modigliani</w:t>
      </w:r>
      <w:r>
        <w:t xml:space="preserve"> y </w:t>
      </w:r>
      <w:r>
        <w:rPr>
          <w:smallCaps/>
        </w:rPr>
        <w:t>Miller</w:t>
      </w:r>
    </w:p>
    <w:p w14:paraId="47B6C4AD" w14:textId="77777777" w:rsidR="00D07B06" w:rsidRDefault="00D07B06" w:rsidP="00D07B06">
      <w:pPr>
        <w:pStyle w:val="Nivel1SM"/>
        <w:keepNext/>
        <w:spacing w:before="0" w:after="0"/>
      </w:pPr>
      <w:r>
        <w:rPr>
          <w:smallCaps/>
        </w:rPr>
        <w:t>Modigliani</w:t>
      </w:r>
      <w:r>
        <w:t xml:space="preserve"> y </w:t>
      </w:r>
      <w:r>
        <w:rPr>
          <w:smallCaps/>
        </w:rPr>
        <w:t>Miller</w:t>
      </w:r>
      <w:r>
        <w:t xml:space="preserve"> (1958) hacen 2 proposiciones fundamentales:</w:t>
      </w:r>
    </w:p>
    <w:p w14:paraId="49A4095F" w14:textId="77777777" w:rsidR="00D07B06" w:rsidRDefault="00D07B06" w:rsidP="00D07B06">
      <w:pPr>
        <w:pStyle w:val="Prrafodelista"/>
        <w:numPr>
          <w:ilvl w:val="0"/>
          <w:numId w:val="51"/>
        </w:numPr>
        <w:spacing w:after="0"/>
        <w:ind w:left="568" w:hanging="284"/>
      </w:pPr>
      <w:r w:rsidRPr="002E02DF">
        <w:rPr>
          <w:b/>
          <w:bCs/>
          <w:u w:val="single"/>
        </w:rPr>
        <w:t xml:space="preserve">Primera proposición fundamental de </w:t>
      </w:r>
      <w:r w:rsidRPr="002E02DF">
        <w:rPr>
          <w:b/>
          <w:bCs/>
          <w:smallCaps/>
          <w:u w:val="single"/>
        </w:rPr>
        <w:t>Modigliani</w:t>
      </w:r>
      <w:r w:rsidRPr="002E02DF">
        <w:rPr>
          <w:b/>
          <w:bCs/>
          <w:u w:val="single"/>
        </w:rPr>
        <w:t xml:space="preserve"> y </w:t>
      </w:r>
      <w:r w:rsidRPr="002E02DF">
        <w:rPr>
          <w:b/>
          <w:bCs/>
          <w:smallCaps/>
          <w:u w:val="single"/>
        </w:rPr>
        <w:t>Miller</w:t>
      </w:r>
      <w:r>
        <w:t>: El valor de mercado de cualquier empresa es independiente de su estructura de capital, de manera que depende únicamente de la capacidad de sus activos para generar beneficios.</w:t>
      </w:r>
    </w:p>
    <w:p w14:paraId="35086A43" w14:textId="77777777" w:rsidR="00D07B06" w:rsidRDefault="00D07B06" w:rsidP="00D07B06">
      <w:pPr>
        <w:pStyle w:val="Prrafodelista"/>
        <w:keepNext/>
        <w:spacing w:after="0"/>
        <w:ind w:left="568"/>
      </w:pPr>
      <w:r>
        <w:t xml:space="preserve">Partimos de una situación con </w:t>
      </w:r>
      <w:r w:rsidRPr="002E02DF">
        <w:rPr>
          <w:b/>
          <w:bCs/>
        </w:rPr>
        <w:t>2 empresas</w:t>
      </w:r>
      <w:r>
        <w:t xml:space="preserve"> que generan los </w:t>
      </w:r>
      <w:r w:rsidRPr="002E02DF">
        <w:rPr>
          <w:b/>
          <w:bCs/>
        </w:rPr>
        <w:t>mismos beneficios</w:t>
      </w:r>
      <w:r>
        <w:t xml:space="preserve"> y que se diferencian únicamente en su estructura de capital:</w:t>
      </w:r>
    </w:p>
    <w:p w14:paraId="1EE163A2" w14:textId="77777777" w:rsidR="00D07B06" w:rsidRDefault="00D07B06" w:rsidP="00D07B06">
      <w:pPr>
        <w:pStyle w:val="Letra"/>
        <w:keepNext/>
        <w:numPr>
          <w:ilvl w:val="0"/>
          <w:numId w:val="53"/>
        </w:numPr>
        <w:spacing w:after="100"/>
        <w:ind w:left="1134" w:hanging="227"/>
        <w:contextualSpacing/>
      </w:pPr>
      <w:r>
        <w:t>La empresa </w:t>
      </w:r>
      <w:r w:rsidRPr="00D07B06">
        <w:rPr>
          <w:i/>
          <w:iCs/>
        </w:rPr>
        <w:t xml:space="preserve">A </w:t>
      </w:r>
      <w:r>
        <w:t>no está apalancada (i.e. no tiene deuda) y, por tanto, el valor total de sus activos (</w:t>
      </w:r>
      <m:oMath>
        <m:sSup>
          <m:sSupPr>
            <m:ctrlPr>
              <w:rPr>
                <w:rFonts w:ascii="Cambria Math" w:hAnsi="Cambria Math"/>
                <w:i/>
                <w:iCs/>
              </w:rPr>
            </m:ctrlPr>
          </m:sSupPr>
          <m:e>
            <m:r>
              <m:rPr>
                <m:nor/>
              </m:rPr>
              <w:rPr>
                <w:i/>
                <w:iCs/>
              </w:rPr>
              <m:t>V</m:t>
            </m:r>
          </m:e>
          <m:sup>
            <m:r>
              <m:rPr>
                <m:nor/>
              </m:rPr>
              <w:rPr>
                <w:i/>
                <w:iCs/>
              </w:rPr>
              <m:t>A</m:t>
            </m:r>
          </m:sup>
        </m:sSup>
      </m:oMath>
      <w:r>
        <w:t>) es igual al valor de sus fondos propios (</w:t>
      </w:r>
      <m:oMath>
        <m:sSubSup>
          <m:sSubSupPr>
            <m:ctrlPr>
              <w:rPr>
                <w:rFonts w:ascii="Cambria Math" w:hAnsi="Cambria Math"/>
                <w:i/>
              </w:rPr>
            </m:ctrlPr>
          </m:sSubSupPr>
          <m:e>
            <m:r>
              <m:rPr>
                <m:nor/>
              </m:rPr>
              <w:rPr>
                <w:i/>
                <w:iCs/>
              </w:rPr>
              <m:t>V</m:t>
            </m:r>
          </m:e>
          <m:sub>
            <m:r>
              <m:rPr>
                <m:nor/>
              </m:rPr>
              <w:rPr>
                <w:i/>
                <w:iCs/>
              </w:rPr>
              <m:t>E</m:t>
            </m:r>
          </m:sub>
          <m:sup>
            <m:r>
              <m:rPr>
                <m:nor/>
              </m:rPr>
              <w:rPr>
                <w:i/>
                <w:iCs/>
              </w:rPr>
              <m:t>A</m:t>
            </m:r>
          </m:sup>
        </m:sSubSup>
      </m:oMath>
      <w:r>
        <w:t>).</w:t>
      </w:r>
    </w:p>
    <w:p w14:paraId="47B808C8" w14:textId="77777777" w:rsidR="00D07B06" w:rsidRDefault="00D07B06" w:rsidP="00D07B06">
      <w:pPr>
        <w:pStyle w:val="Letra"/>
        <w:spacing w:after="0"/>
        <w:ind w:left="1134"/>
        <w:contextualSpacing/>
      </w:pPr>
      <w:r>
        <w:t>La empresa </w:t>
      </w:r>
      <w:r>
        <w:rPr>
          <w:i/>
          <w:iCs/>
        </w:rPr>
        <w:t xml:space="preserve">B </w:t>
      </w:r>
      <w:r>
        <w:t>está apalancada y, por tanto, el valor total de sus activos (</w:t>
      </w:r>
      <m:oMath>
        <m:sSup>
          <m:sSupPr>
            <m:ctrlPr>
              <w:rPr>
                <w:rFonts w:ascii="Cambria Math" w:hAnsi="Cambria Math"/>
                <w:i/>
                <w:iCs/>
              </w:rPr>
            </m:ctrlPr>
          </m:sSupPr>
          <m:e>
            <m:r>
              <m:rPr>
                <m:nor/>
              </m:rPr>
              <w:rPr>
                <w:i/>
                <w:iCs/>
              </w:rPr>
              <m:t>V</m:t>
            </m:r>
          </m:e>
          <m:sup>
            <m:r>
              <m:rPr>
                <m:nor/>
              </m:rPr>
              <w:rPr>
                <w:i/>
                <w:iCs/>
              </w:rPr>
              <m:t>B</m:t>
            </m:r>
          </m:sup>
        </m:sSup>
      </m:oMath>
      <w:r>
        <w:t>) es igual al valor de sus fondos propios (</w:t>
      </w:r>
      <m:oMath>
        <m:sSubSup>
          <m:sSubSupPr>
            <m:ctrlPr>
              <w:rPr>
                <w:rFonts w:ascii="Cambria Math" w:hAnsi="Cambria Math"/>
                <w:i/>
              </w:rPr>
            </m:ctrlPr>
          </m:sSubSupPr>
          <m:e>
            <m:r>
              <m:rPr>
                <m:nor/>
              </m:rPr>
              <w:rPr>
                <w:i/>
                <w:iCs/>
              </w:rPr>
              <m:t>V</m:t>
            </m:r>
          </m:e>
          <m:sub>
            <m:r>
              <m:rPr>
                <m:nor/>
              </m:rPr>
              <w:rPr>
                <w:i/>
                <w:iCs/>
              </w:rPr>
              <m:t>E</m:t>
            </m:r>
          </m:sub>
          <m:sup>
            <m:r>
              <m:rPr>
                <m:nor/>
              </m:rPr>
              <w:rPr>
                <w:i/>
                <w:iCs/>
              </w:rPr>
              <m:t>B</m:t>
            </m:r>
          </m:sup>
        </m:sSubSup>
      </m:oMath>
      <w:r>
        <w:t>) más el valor de sus pasivos (</w:t>
      </w:r>
      <m:oMath>
        <m:sSubSup>
          <m:sSubSupPr>
            <m:ctrlPr>
              <w:rPr>
                <w:rFonts w:ascii="Cambria Math" w:hAnsi="Cambria Math"/>
                <w:i/>
              </w:rPr>
            </m:ctrlPr>
          </m:sSubSupPr>
          <m:e>
            <m:r>
              <m:rPr>
                <m:nor/>
              </m:rPr>
              <w:rPr>
                <w:i/>
                <w:iCs/>
              </w:rPr>
              <m:t>V</m:t>
            </m:r>
          </m:e>
          <m:sub>
            <m:r>
              <m:rPr>
                <m:nor/>
              </m:rPr>
              <w:rPr>
                <w:i/>
                <w:iCs/>
              </w:rPr>
              <m:t>D</m:t>
            </m:r>
          </m:sub>
          <m:sup>
            <m:r>
              <m:rPr>
                <m:nor/>
              </m:rPr>
              <w:rPr>
                <w:i/>
                <w:iCs/>
              </w:rPr>
              <m:t>B</m:t>
            </m:r>
          </m:sup>
        </m:sSubSup>
      </m:oMath>
      <w:r>
        <w:t>).</w:t>
      </w:r>
    </w:p>
    <w:p w14:paraId="7A35ACB5" w14:textId="77777777" w:rsidR="00D07B06" w:rsidRDefault="00D07B06" w:rsidP="00D07B06">
      <w:pPr>
        <w:pStyle w:val="Prrafodelista"/>
        <w:keepNext/>
        <w:spacing w:after="100"/>
        <w:ind w:left="568"/>
      </w:pPr>
      <w:r>
        <w:t>El valor de mercado de cualquier empresa es independiente de su estructura de capital, de manera que depende únicamente de la capacidad de sus activos para generar beneficios</w:t>
      </w:r>
    </w:p>
    <w:p w14:paraId="782F839A" w14:textId="77777777" w:rsidR="00D07B06" w:rsidRPr="003A129A" w:rsidRDefault="00D07B06" w:rsidP="00D07B06">
      <w:pPr>
        <w:pStyle w:val="Prrafodelista"/>
        <w:numPr>
          <w:ilvl w:val="2"/>
          <w:numId w:val="52"/>
        </w:numPr>
        <w:spacing w:after="0"/>
        <w:ind w:left="1134" w:hanging="113"/>
      </w:pPr>
      <w:r w:rsidRPr="003A129A">
        <w:t>Si compramos el 1 % de las acciones de la empresa </w:t>
      </w:r>
      <w:r w:rsidRPr="003A129A">
        <w:rPr>
          <w:i/>
          <w:iCs/>
        </w:rPr>
        <w:t>A</w:t>
      </w:r>
      <w:r w:rsidRPr="003A129A">
        <w:t xml:space="preserve">, la rentabilidad será </w:t>
      </w:r>
      <m:oMath>
        <m:r>
          <m:rPr>
            <m:nor/>
          </m:rPr>
          <w:rPr>
            <w:i/>
          </w:rPr>
          <m:t>0,01</m:t>
        </m:r>
        <m:r>
          <w:rPr>
            <w:rFonts w:ascii="Cambria Math" w:hAnsi="Cambria Math"/>
          </w:rPr>
          <m:t>∙</m:t>
        </m:r>
        <m:r>
          <m:rPr>
            <m:nor/>
          </m:rPr>
          <w:rPr>
            <w:i/>
          </w:rPr>
          <m:t>Beneficios</m:t>
        </m:r>
      </m:oMath>
      <w:r w:rsidRPr="003A129A">
        <w:rPr>
          <w:rFonts w:eastAsiaTheme="minorEastAsia"/>
        </w:rPr>
        <w:t>.</w:t>
      </w:r>
    </w:p>
    <w:p w14:paraId="51D8A1DB" w14:textId="77777777" w:rsidR="00D07B06" w:rsidRDefault="00D07B06" w:rsidP="00D07B06">
      <w:pPr>
        <w:pStyle w:val="Prrafodelista"/>
        <w:keepNext/>
        <w:numPr>
          <w:ilvl w:val="2"/>
          <w:numId w:val="52"/>
        </w:numPr>
        <w:spacing w:after="0"/>
        <w:ind w:left="1134" w:hanging="113"/>
      </w:pPr>
      <w:r>
        <w:t>Si compramos un 1 % de las acciones de la empresa </w:t>
      </w:r>
      <w:r>
        <w:rPr>
          <w:i/>
          <w:iCs/>
        </w:rPr>
        <w:t>B</w:t>
      </w:r>
      <w:r>
        <w:t xml:space="preserve"> y un 1 % de su deuda (porque recordemos que esta empresa tiene deuda), la rentabilidad será:</w:t>
      </w:r>
    </w:p>
    <w:p w14:paraId="7EC63296" w14:textId="77777777" w:rsidR="00D07B06" w:rsidRPr="003C5AED" w:rsidRDefault="00D07B06" w:rsidP="00D07B06">
      <w:pPr>
        <w:pStyle w:val="Prrafodelista"/>
        <w:numPr>
          <w:ilvl w:val="3"/>
          <w:numId w:val="52"/>
        </w:numPr>
        <w:spacing w:after="0"/>
        <w:ind w:left="1701" w:hanging="142"/>
      </w:pPr>
      <m:oMath>
        <m:r>
          <w:rPr>
            <w:rFonts w:ascii="Cambria Math" w:eastAsiaTheme="minorEastAsia" w:hAnsi="Cambria Math"/>
          </w:rPr>
          <m:t>+</m:t>
        </m:r>
        <m:r>
          <m:rPr>
            <m:nor/>
          </m:rPr>
          <w:rPr>
            <w:i/>
          </w:rPr>
          <m:t>0,01</m:t>
        </m:r>
        <m:r>
          <w:rPr>
            <w:rFonts w:ascii="Cambria Math" w:hAnsi="Cambria Math"/>
          </w:rPr>
          <m:t>∙</m:t>
        </m:r>
        <m:r>
          <m:rPr>
            <m:nor/>
          </m:rPr>
          <w:rPr>
            <w:i/>
          </w:rPr>
          <m:t>Interés</m:t>
        </m:r>
      </m:oMath>
      <w:r>
        <w:rPr>
          <w:rFonts w:eastAsiaTheme="minorEastAsia"/>
        </w:rPr>
        <w:t xml:space="preserve"> por ser obligacionistas.</w:t>
      </w:r>
    </w:p>
    <w:p w14:paraId="148F9124" w14:textId="77777777" w:rsidR="00D07B06" w:rsidRPr="003C5AED" w:rsidRDefault="00D07B06" w:rsidP="00D07B06">
      <w:pPr>
        <w:pStyle w:val="Prrafodelista"/>
        <w:numPr>
          <w:ilvl w:val="3"/>
          <w:numId w:val="52"/>
        </w:numPr>
        <w:spacing w:after="0"/>
        <w:ind w:left="1701" w:hanging="142"/>
      </w:pPr>
      <m:oMath>
        <m:r>
          <w:rPr>
            <w:rFonts w:ascii="Cambria Math" w:eastAsiaTheme="minorEastAsia" w:hAnsi="Cambria Math"/>
          </w:rPr>
          <m:t>+</m:t>
        </m:r>
        <m:r>
          <m:rPr>
            <m:nor/>
          </m:rPr>
          <w:rPr>
            <w:i/>
          </w:rPr>
          <m:t>0,01</m:t>
        </m:r>
        <m:r>
          <w:rPr>
            <w:rFonts w:ascii="Cambria Math" w:hAnsi="Cambria Math"/>
          </w:rPr>
          <m:t>∙</m:t>
        </m:r>
        <m:d>
          <m:dPr>
            <m:ctrlPr>
              <w:rPr>
                <w:rFonts w:ascii="Cambria Math" w:hAnsi="Cambria Math"/>
                <w:i/>
                <w:iCs/>
              </w:rPr>
            </m:ctrlPr>
          </m:dPr>
          <m:e>
            <m:r>
              <m:rPr>
                <m:nor/>
              </m:rPr>
              <w:rPr>
                <w:i/>
              </w:rPr>
              <m:t>Beneficios</m:t>
            </m:r>
            <m:r>
              <w:rPr>
                <w:rFonts w:ascii="Cambria Math" w:hAnsi="Cambria Math"/>
              </w:rPr>
              <m:t>-</m:t>
            </m:r>
            <m:r>
              <m:rPr>
                <m:nor/>
              </m:rPr>
              <w:rPr>
                <w:i/>
              </w:rPr>
              <m:t>Interés</m:t>
            </m:r>
          </m:e>
        </m:d>
      </m:oMath>
      <w:r>
        <w:rPr>
          <w:rFonts w:eastAsiaTheme="minorEastAsia"/>
        </w:rPr>
        <w:t xml:space="preserve"> por ser accionistas.</w:t>
      </w:r>
    </w:p>
    <w:p w14:paraId="62BFD43D" w14:textId="77777777" w:rsidR="00D07B06" w:rsidRPr="0093731D" w:rsidRDefault="00D07B06" w:rsidP="00D07B06">
      <w:pPr>
        <w:pStyle w:val="Prrafodelista"/>
        <w:numPr>
          <w:ilvl w:val="3"/>
          <w:numId w:val="52"/>
        </w:numPr>
        <w:spacing w:after="0"/>
        <w:ind w:left="1701" w:hanging="142"/>
      </w:pPr>
      <w:r w:rsidRPr="003C5AED">
        <w:rPr>
          <w:i/>
          <w:iCs/>
        </w:rPr>
        <w:t>Total</w:t>
      </w:r>
      <w:r>
        <w:t xml:space="preserve">: </w:t>
      </w:r>
      <m:oMath>
        <m:r>
          <m:rPr>
            <m:nor/>
          </m:rPr>
          <w:rPr>
            <w:i/>
          </w:rPr>
          <m:t>0,01</m:t>
        </m:r>
        <m:r>
          <w:rPr>
            <w:rFonts w:ascii="Cambria Math" w:hAnsi="Cambria Math"/>
          </w:rPr>
          <m:t>∙</m:t>
        </m:r>
        <m:r>
          <m:rPr>
            <m:nor/>
          </m:rPr>
          <w:rPr>
            <w:i/>
          </w:rPr>
          <m:t>Beneficios</m:t>
        </m:r>
      </m:oMath>
      <w:r>
        <w:rPr>
          <w:rFonts w:eastAsiaTheme="minorEastAsia"/>
        </w:rPr>
        <w:t>, que es la misma rentabilidad que la de la empresa </w:t>
      </w:r>
      <w:r>
        <w:rPr>
          <w:rFonts w:eastAsiaTheme="minorEastAsia"/>
          <w:i/>
          <w:iCs/>
        </w:rPr>
        <w:t>A.</w:t>
      </w:r>
    </w:p>
    <w:p w14:paraId="743E10E8" w14:textId="77777777" w:rsidR="00D07B06" w:rsidRDefault="00D07B06" w:rsidP="00D07B06">
      <w:pPr>
        <w:pStyle w:val="Nivel3SM"/>
      </w:pPr>
      <w:r>
        <w:t xml:space="preserve">Que el valor de la empresa sea independiente de la estructura de capital implica que el </w:t>
      </w:r>
      <w:r w:rsidRPr="002E02DF">
        <w:rPr>
          <w:i/>
          <w:iCs/>
        </w:rPr>
        <w:t>WACC</w:t>
      </w:r>
      <w:r>
        <w:t xml:space="preserve"> no varía con el nivel de endeudamiento (i.e. porque la estructura de capital no afecta a los flujos generados por los activos).</w:t>
      </w:r>
    </w:p>
    <w:p w14:paraId="0C1B91F1" w14:textId="77777777" w:rsidR="00D07B06" w:rsidRDefault="00D07B06" w:rsidP="00D07B06">
      <w:pPr>
        <w:pStyle w:val="Nivel3SM"/>
        <w:keepNext/>
      </w:pPr>
      <w:r>
        <w:t xml:space="preserve">El WACC será el mismo en las 2 empresas por </w:t>
      </w:r>
      <w:r w:rsidRPr="002E02DF">
        <w:rPr>
          <w:i/>
          <w:iCs/>
        </w:rPr>
        <w:t>arbitraje</w:t>
      </w:r>
      <w:r>
        <w:t xml:space="preserve">. De no ser así, cualquier inversor podría obtener </w:t>
      </w:r>
      <w:r w:rsidRPr="002E02DF">
        <w:t>mayores</w:t>
      </w:r>
      <w:r>
        <w:t xml:space="preserve"> beneficios con el mismo riesgo vendiendo su posición en la empresa con menor WACC y adquiriendo la posición de </w:t>
      </w:r>
      <w:r w:rsidRPr="00345308">
        <w:t>la empresa con mayor WACC replicando la estructura de capital de la empresa endeudada</w:t>
      </w:r>
      <w:r>
        <w:t>.</w:t>
      </w:r>
    </w:p>
    <w:p w14:paraId="18BA6F32" w14:textId="77777777" w:rsidR="00D07B06" w:rsidRDefault="00D07B06" w:rsidP="00D07B06">
      <w:pPr>
        <w:pStyle w:val="Nivel4"/>
        <w:ind w:left="1474"/>
      </w:pPr>
      <w:r>
        <w:t>Por ejemplo, si la empresa endeudada tiene menor WACC, el inversor puede obtener mayores beneficios manteniendo el mismo nivel de riesgo vendiendo su posición en la empresa con deuda y adquiriendo la posición de la empresa sin endeudar replicando la estructura de capital de la empresa endeudada</w:t>
      </w:r>
      <w:r>
        <w:rPr>
          <w:rStyle w:val="Refdenotaalpie"/>
        </w:rPr>
        <w:footnoteReference w:id="12"/>
      </w:r>
      <w:r>
        <w:t>.</w:t>
      </w:r>
    </w:p>
    <w:p w14:paraId="43487DD2" w14:textId="77777777" w:rsidR="00D07B06" w:rsidRDefault="00D07B06" w:rsidP="00D07B06">
      <w:pPr>
        <w:pStyle w:val="Nivel4"/>
        <w:ind w:left="1474"/>
      </w:pPr>
      <w:r>
        <w:t xml:space="preserve">En cambio, si la empresa endeudada tiene un mayor WACC (y teniendo en cuenta que el coste de la financiación ajena es inferior al de la financiación propia), el inversor podría obtener mayores beneficios al mismo riesgo vendiendo la empresa sin endeudar y destinando los ingresos de la venta a la compra de la acciones y obligaciones de la endeudada </w:t>
      </w:r>
      <w:proofErr w:type="gramStart"/>
      <w:r>
        <w:t>de acuerdo a</w:t>
      </w:r>
      <w:proofErr w:type="gramEnd"/>
      <w:r>
        <w:t xml:space="preserve"> su estructura de capital.</w:t>
      </w:r>
    </w:p>
    <w:p w14:paraId="4F0FC505" w14:textId="77777777" w:rsidR="00D07B06" w:rsidRPr="00787A4D" w:rsidRDefault="00D07B06" w:rsidP="00D07B06">
      <w:pPr>
        <w:pStyle w:val="Prrafodelista"/>
        <w:keepNext/>
        <w:numPr>
          <w:ilvl w:val="0"/>
          <w:numId w:val="51"/>
        </w:numPr>
        <w:spacing w:after="100"/>
        <w:ind w:left="568" w:hanging="284"/>
        <w:rPr>
          <w:spacing w:val="-2"/>
        </w:rPr>
      </w:pPr>
      <w:r w:rsidRPr="00787A4D">
        <w:rPr>
          <w:b/>
          <w:bCs/>
          <w:spacing w:val="-2"/>
          <w:u w:val="single"/>
        </w:rPr>
        <w:t xml:space="preserve">Segunda proposición fundamental de </w:t>
      </w:r>
      <w:r w:rsidRPr="00787A4D">
        <w:rPr>
          <w:b/>
          <w:bCs/>
          <w:smallCaps/>
          <w:spacing w:val="-2"/>
          <w:u w:val="single"/>
        </w:rPr>
        <w:t>Modigliani</w:t>
      </w:r>
      <w:r w:rsidRPr="00787A4D">
        <w:rPr>
          <w:b/>
          <w:bCs/>
          <w:spacing w:val="-2"/>
          <w:u w:val="single"/>
        </w:rPr>
        <w:t xml:space="preserve"> y </w:t>
      </w:r>
      <w:r w:rsidRPr="00787A4D">
        <w:rPr>
          <w:b/>
          <w:bCs/>
          <w:smallCaps/>
          <w:spacing w:val="-2"/>
          <w:u w:val="single"/>
        </w:rPr>
        <w:t>Miller</w:t>
      </w:r>
      <w:r w:rsidRPr="00787A4D">
        <w:rPr>
          <w:spacing w:val="-2"/>
        </w:rPr>
        <w:t>: La rentabilidad esperada de las acciones de la empresa aumenta conforme aumenta la ratio deuda-fondos propios (</w:t>
      </w:r>
      <m:oMath>
        <m:f>
          <m:fPr>
            <m:type m:val="lin"/>
            <m:ctrlPr>
              <w:rPr>
                <w:rFonts w:ascii="Cambria Math" w:hAnsi="Cambria Math"/>
                <w:i/>
                <w:spacing w:val="-2"/>
              </w:rPr>
            </m:ctrlPr>
          </m:fPr>
          <m:num>
            <m:sSub>
              <m:sSubPr>
                <m:ctrlPr>
                  <w:rPr>
                    <w:rFonts w:ascii="Cambria Math" w:hAnsi="Cambria Math"/>
                    <w:i/>
                    <w:iCs/>
                    <w:color w:val="000000"/>
                    <w:spacing w:val="-2"/>
                  </w:rPr>
                </m:ctrlPr>
              </m:sSubPr>
              <m:e>
                <m:r>
                  <m:rPr>
                    <m:nor/>
                  </m:rPr>
                  <w:rPr>
                    <w:i/>
                    <w:iCs/>
                    <w:color w:val="000000"/>
                    <w:spacing w:val="-2"/>
                  </w:rPr>
                  <m:t>V</m:t>
                </m:r>
              </m:e>
              <m:sub>
                <m:r>
                  <m:rPr>
                    <m:nor/>
                  </m:rPr>
                  <w:rPr>
                    <w:i/>
                    <w:iCs/>
                    <w:color w:val="000000"/>
                    <w:spacing w:val="-2"/>
                  </w:rPr>
                  <m:t>D</m:t>
                </m:r>
              </m:sub>
            </m:sSub>
          </m:num>
          <m:den>
            <m:sSub>
              <m:sSubPr>
                <m:ctrlPr>
                  <w:rPr>
                    <w:rFonts w:ascii="Cambria Math" w:hAnsi="Cambria Math"/>
                    <w:i/>
                    <w:iCs/>
                    <w:color w:val="000000"/>
                    <w:spacing w:val="-2"/>
                  </w:rPr>
                </m:ctrlPr>
              </m:sSubPr>
              <m:e>
                <m:r>
                  <m:rPr>
                    <m:nor/>
                  </m:rPr>
                  <w:rPr>
                    <w:i/>
                    <w:iCs/>
                    <w:color w:val="000000"/>
                    <w:spacing w:val="-2"/>
                  </w:rPr>
                  <m:t>V</m:t>
                </m:r>
              </m:e>
              <m:sub>
                <m:r>
                  <m:rPr>
                    <m:nor/>
                  </m:rPr>
                  <w:rPr>
                    <w:i/>
                    <w:iCs/>
                    <w:color w:val="000000"/>
                    <w:spacing w:val="-2"/>
                  </w:rPr>
                  <m:t>E</m:t>
                </m:r>
              </m:sub>
            </m:sSub>
          </m:den>
        </m:f>
      </m:oMath>
      <w:r w:rsidRPr="00787A4D">
        <w:rPr>
          <w:spacing w:val="-2"/>
        </w:rPr>
        <w:t>)</w:t>
      </w:r>
      <w:r w:rsidRPr="00787A4D">
        <w:rPr>
          <w:rStyle w:val="Refdenotaalpie"/>
          <w:spacing w:val="-2"/>
        </w:rPr>
        <w:footnoteReference w:id="13"/>
      </w:r>
      <w:r w:rsidRPr="00787A4D">
        <w:rPr>
          <w:spacing w:val="-2"/>
        </w:rPr>
        <w:t>.</w:t>
      </w:r>
    </w:p>
    <w:p w14:paraId="2B062197" w14:textId="77777777" w:rsidR="00D07B06" w:rsidRDefault="00D07B06" w:rsidP="00D07B06">
      <w:pPr>
        <w:pStyle w:val="Prrafodelista"/>
        <w:keepNext/>
        <w:spacing w:after="0"/>
        <w:ind w:left="568"/>
      </w:pPr>
      <w:r w:rsidRPr="00EC0B36">
        <w:t>Pa</w:t>
      </w:r>
      <w:r>
        <w:t>ra esta segunda proposición, los autores parten de la fórmula del WACC, y llegan a la siguiente ecuación:</w:t>
      </w:r>
    </w:p>
    <w:p w14:paraId="2543705A" w14:textId="77777777" w:rsidR="00D07B06" w:rsidRDefault="00D07B06" w:rsidP="00D07B06">
      <w:pPr>
        <w:pStyle w:val="Prrafodelista"/>
        <w:keepLines/>
        <w:ind w:left="567"/>
        <w:rPr>
          <w:rFonts w:eastAsiaTheme="minorEastAsia"/>
          <w:spacing w:val="-4"/>
        </w:rPr>
      </w:pPr>
      <m:oMathPara>
        <m:oMath>
          <m:r>
            <m:rPr>
              <m:sty m:val="bi"/>
            </m:rPr>
            <w:rPr>
              <w:rFonts w:ascii="Cambria Math" w:eastAsiaTheme="minorEastAsia" w:hAnsi="Cambria Math"/>
              <w:color w:val="92D050"/>
            </w:rPr>
            <w:lastRenderedPageBreak/>
            <m:t xml:space="preserve"> </m:t>
          </m:r>
          <m:r>
            <m:rPr>
              <m:nor/>
            </m:rPr>
            <w:rPr>
              <w:i/>
              <w:iCs/>
              <w:color w:val="92D050"/>
            </w:rPr>
            <m:t>WACC</m:t>
          </m:r>
          <m:r>
            <w:rPr>
              <w:rFonts w:ascii="Cambria Math" w:hAnsi="Cambria Math"/>
            </w:rPr>
            <m:t>=</m:t>
          </m:r>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eastAsiaTheme="minorEastAsia" w:hAnsi="Cambria Math"/>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E</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1</m:t>
              </m:r>
              <m:r>
                <w:rPr>
                  <w:rFonts w:ascii="Cambria Math" w:eastAsiaTheme="minorEastAsia" w:hAnsi="Cambria Math"/>
                </w:rPr>
                <m:t>-</m:t>
              </m:r>
              <m:r>
                <m:rPr>
                  <m:nor/>
                </m:rPr>
                <w:rPr>
                  <w:rFonts w:eastAsiaTheme="minorEastAsia"/>
                  <w:i/>
                  <w:iCs/>
                </w:rPr>
                <m:t>L</m:t>
              </m:r>
            </m:lim>
          </m:limLow>
          <m:r>
            <w:rPr>
              <w:rFonts w:ascii="Cambria Math" w:eastAsiaTheme="minorEastAsia" w:hAnsi="Cambria Math"/>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r>
            <m:rPr>
              <m:nor/>
            </m:rPr>
            <w:rPr>
              <w:rFonts w:eastAsiaTheme="minorEastAsia"/>
              <w:i/>
              <w:iCs/>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D</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L</m:t>
              </m:r>
            </m:lim>
          </m:limLow>
          <m:r>
            <w:rPr>
              <w:rFonts w:ascii="Cambria Math" w:eastAsiaTheme="minorEastAsia" w:hAnsi="Cambria Math"/>
              <w:lang w:val="en-US"/>
            </w:rPr>
            <m:t>⟹</m:t>
          </m:r>
          <m:r>
            <m:rPr>
              <m:nor/>
            </m:rPr>
            <w:rPr>
              <w:i/>
              <w:iCs/>
              <w:color w:val="92D050"/>
            </w:rPr>
            <m:t>WACC</m:t>
          </m:r>
          <m:r>
            <w:rPr>
              <w:rFonts w:ascii="Cambria Math" w:eastAsiaTheme="minorEastAsia" w:hAnsi="Cambria Math"/>
            </w:rPr>
            <m:t>∙</m:t>
          </m:r>
          <m:d>
            <m:dPr>
              <m:ctrlPr>
                <w:rPr>
                  <w:rFonts w:ascii="Cambria Math" w:eastAsiaTheme="minorEastAsia" w:hAnsi="Cambria Math"/>
                  <w:i/>
                  <w:iCs/>
                </w:rPr>
              </m:ctrlPr>
            </m:dPr>
            <m:e>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e>
          </m:d>
          <m:r>
            <w:rPr>
              <w:rFonts w:ascii="Cambria Math" w:hAnsi="Cambria Math"/>
            </w:rPr>
            <m:t>=</m:t>
          </m:r>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r>
            <w:rPr>
              <w:rFonts w:ascii="Cambria Math" w:eastAsiaTheme="minorEastAsia" w:hAnsi="Cambria Math"/>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r>
            <m:rPr>
              <m:nor/>
            </m:rPr>
            <w:rPr>
              <w:rFonts w:eastAsiaTheme="minorEastAsia"/>
              <w:i/>
              <w:iCs/>
            </w:rPr>
            <m:t>∙</m:t>
          </m:r>
          <m:sSub>
            <m:sSubPr>
              <m:ctrlPr>
                <w:rPr>
                  <w:rFonts w:ascii="Cambria Math" w:hAnsi="Cambria Math"/>
                  <w:i/>
                  <w:iCs/>
                </w:rPr>
              </m:ctrlPr>
            </m:sSubPr>
            <m:e>
              <m:r>
                <m:rPr>
                  <m:nor/>
                </m:rPr>
                <w:rPr>
                  <w:i/>
                  <w:iCs/>
                </w:rPr>
                <m:t>V</m:t>
              </m:r>
            </m:e>
            <m:sub>
              <m:r>
                <m:rPr>
                  <m:nor/>
                </m:rPr>
                <w:rPr>
                  <w:i/>
                  <w:iCs/>
                </w:rPr>
                <m:t>D</m:t>
              </m:r>
            </m:sub>
          </m:sSub>
          <m:r>
            <m:rPr>
              <m:sty m:val="p"/>
            </m:rPr>
            <w:rPr>
              <w:rFonts w:ascii="Cambria Math" w:hAnsi="Cambria Math"/>
            </w:rPr>
            <w:br/>
          </m:r>
        </m:oMath>
        <m:oMath>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hAnsi="Cambria Math"/>
            </w:rPr>
            <m:t>=</m:t>
          </m:r>
          <m:f>
            <m:fPr>
              <m:ctrlPr>
                <w:rPr>
                  <w:rFonts w:ascii="Cambria Math" w:hAnsi="Cambria Math"/>
                  <w:i/>
                  <w:iCs/>
                  <w:color w:val="000000"/>
                </w:rPr>
              </m:ctrlPr>
            </m:fPr>
            <m:num>
              <m:r>
                <m:rPr>
                  <m:nor/>
                </m:rPr>
                <w:rPr>
                  <w:i/>
                  <w:iCs/>
                  <w:color w:val="92D050"/>
                </w:rPr>
                <m:t>WACC</m:t>
              </m:r>
              <m:r>
                <w:rPr>
                  <w:rFonts w:ascii="Cambria Math" w:eastAsiaTheme="minorEastAsia" w:hAnsi="Cambria Math"/>
                  <w:color w:val="000000"/>
                </w:rPr>
                <m:t>∙</m:t>
              </m:r>
              <m:d>
                <m:dPr>
                  <m:ctrlPr>
                    <w:rPr>
                      <w:rFonts w:ascii="Cambria Math" w:eastAsiaTheme="minorEastAsia" w:hAnsi="Cambria Math"/>
                      <w:i/>
                      <w:iCs/>
                      <w:color w:val="000000"/>
                    </w:rPr>
                  </m:ctrlPr>
                </m:dPr>
                <m:e>
                  <m:sSub>
                    <m:sSubPr>
                      <m:ctrlPr>
                        <w:rPr>
                          <w:rFonts w:ascii="Cambria Math" w:hAnsi="Cambria Math"/>
                          <w:i/>
                          <w:iCs/>
                          <w:color w:val="000000"/>
                        </w:rPr>
                      </m:ctrlPr>
                    </m:sSubPr>
                    <m:e>
                      <m:r>
                        <m:rPr>
                          <m:nor/>
                        </m:rPr>
                        <w:rPr>
                          <w:i/>
                          <w:iCs/>
                          <w:color w:val="000000"/>
                        </w:rPr>
                        <m:t>V</m:t>
                      </m:r>
                    </m:e>
                    <m:sub>
                      <m:r>
                        <m:rPr>
                          <m:nor/>
                        </m:rPr>
                        <w:rPr>
                          <w:i/>
                          <w:iCs/>
                          <w:color w:val="000000"/>
                        </w:rPr>
                        <m:t>D</m:t>
                      </m:r>
                    </m:sub>
                  </m:sSub>
                  <m:r>
                    <w:rPr>
                      <w:rFonts w:ascii="Cambria Math" w:eastAsiaTheme="minorEastAsia" w:hAnsi="Cambria Math"/>
                      <w:color w:val="000000"/>
                    </w:rPr>
                    <m:t>+</m:t>
                  </m:r>
                  <m:sSub>
                    <m:sSubPr>
                      <m:ctrlPr>
                        <w:rPr>
                          <w:rFonts w:ascii="Cambria Math" w:hAnsi="Cambria Math"/>
                          <w:i/>
                          <w:iCs/>
                          <w:color w:val="000000"/>
                        </w:rPr>
                      </m:ctrlPr>
                    </m:sSubPr>
                    <m:e>
                      <m:r>
                        <m:rPr>
                          <m:nor/>
                        </m:rPr>
                        <w:rPr>
                          <w:i/>
                          <w:iCs/>
                          <w:color w:val="000000"/>
                        </w:rPr>
                        <m:t>V</m:t>
                      </m:r>
                    </m:e>
                    <m:sub>
                      <m:r>
                        <m:rPr>
                          <m:nor/>
                        </m:rPr>
                        <w:rPr>
                          <w:i/>
                          <w:iCs/>
                          <w:color w:val="000000"/>
                        </w:rPr>
                        <m:t>E</m:t>
                      </m:r>
                    </m:sub>
                  </m:sSub>
                </m:e>
              </m:d>
              <m:r>
                <w:rPr>
                  <w:rFonts w:ascii="Cambria Math" w:eastAsiaTheme="minorEastAsia" w:hAnsi="Cambria Math"/>
                  <w:color w:val="000000"/>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r>
                <w:rPr>
                  <w:rFonts w:ascii="Cambria Math" w:eastAsiaTheme="minorEastAsia" w:hAnsi="Cambria Math"/>
                  <w:color w:val="000000"/>
                </w:rPr>
                <m:t>∙</m:t>
              </m:r>
              <m:sSub>
                <m:sSubPr>
                  <m:ctrlPr>
                    <w:rPr>
                      <w:rFonts w:ascii="Cambria Math" w:hAnsi="Cambria Math"/>
                      <w:i/>
                      <w:iCs/>
                      <w:color w:val="000000"/>
                    </w:rPr>
                  </m:ctrlPr>
                </m:sSubPr>
                <m:e>
                  <m:r>
                    <m:rPr>
                      <m:nor/>
                    </m:rPr>
                    <w:rPr>
                      <w:i/>
                      <w:iCs/>
                      <w:color w:val="000000"/>
                    </w:rPr>
                    <m:t>V</m:t>
                  </m:r>
                </m:e>
                <m:sub>
                  <m:r>
                    <m:rPr>
                      <m:nor/>
                    </m:rPr>
                    <w:rPr>
                      <w:i/>
                      <w:iCs/>
                      <w:color w:val="000000"/>
                    </w:rPr>
                    <m:t>D</m:t>
                  </m:r>
                </m:sub>
              </m:sSub>
            </m:num>
            <m:den>
              <m:sSub>
                <m:sSubPr>
                  <m:ctrlPr>
                    <w:rPr>
                      <w:rFonts w:ascii="Cambria Math" w:hAnsi="Cambria Math"/>
                      <w:i/>
                      <w:iCs/>
                    </w:rPr>
                  </m:ctrlPr>
                </m:sSubPr>
                <m:e>
                  <m:r>
                    <m:rPr>
                      <m:nor/>
                    </m:rPr>
                    <w:rPr>
                      <w:i/>
                      <w:iCs/>
                    </w:rPr>
                    <m:t>V</m:t>
                  </m:r>
                </m:e>
                <m:sub>
                  <m:r>
                    <m:rPr>
                      <m:nor/>
                    </m:rPr>
                    <w:rPr>
                      <w:i/>
                      <w:iCs/>
                    </w:rPr>
                    <m:t>E</m:t>
                  </m:r>
                </m:sub>
              </m:sSub>
            </m:den>
          </m:f>
          <m:r>
            <m:rPr>
              <m:sty m:val="p"/>
            </m:rPr>
            <w:rPr>
              <w:rFonts w:ascii="Cambria Math" w:hAnsi="Cambria Math"/>
              <w:color w:val="000000"/>
            </w:rPr>
            <w:br/>
          </m:r>
        </m:oMath>
        <m:oMath>
          <m:borderBox>
            <m:borderBoxPr>
              <m:ctrlPr>
                <w:rPr>
                  <w:rFonts w:ascii="Cambria Math" w:hAnsi="Cambria Math"/>
                  <w:i/>
                  <w:iCs/>
                  <w:color w:val="000000"/>
                  <w:lang w:val="en-US"/>
                </w:rPr>
              </m:ctrlPr>
            </m:borderBoxPr>
            <m:e>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hAnsi="Cambria Math"/>
                  <w:color w:val="000000"/>
                </w:rPr>
                <m:t>=</m:t>
              </m:r>
              <m:r>
                <m:rPr>
                  <m:nor/>
                </m:rPr>
                <w:rPr>
                  <w:i/>
                  <w:iCs/>
                  <w:color w:val="92D050"/>
                </w:rPr>
                <m:t>WACC</m:t>
              </m:r>
              <m:r>
                <w:rPr>
                  <w:rFonts w:ascii="Cambria Math" w:eastAsiaTheme="minorEastAsia" w:hAnsi="Cambria Math"/>
                  <w:color w:val="000000"/>
                </w:rPr>
                <m:t>+</m:t>
              </m:r>
              <m:d>
                <m:dPr>
                  <m:ctrlPr>
                    <w:rPr>
                      <w:rFonts w:ascii="Cambria Math" w:hAnsi="Cambria Math"/>
                      <w:i/>
                      <w:iCs/>
                      <w:color w:val="000000"/>
                    </w:rPr>
                  </m:ctrlPr>
                </m:dPr>
                <m:e>
                  <m:r>
                    <m:rPr>
                      <m:nor/>
                    </m:rPr>
                    <w:rPr>
                      <w:i/>
                      <w:iCs/>
                      <w:color w:val="92D050"/>
                    </w:rPr>
                    <m:t>WACC</m:t>
                  </m:r>
                  <m:r>
                    <w:rPr>
                      <w:rFonts w:ascii="Cambria Math" w:eastAsiaTheme="minorEastAsia" w:hAnsi="Cambria Math"/>
                      <w:color w:val="000000"/>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e>
              </m:d>
              <m:r>
                <w:rPr>
                  <w:rFonts w:ascii="Cambria Math" w:eastAsiaTheme="minorEastAsia" w:hAnsi="Cambria Math"/>
                  <w:color w:val="000000"/>
                </w:rPr>
                <m:t>∙</m:t>
              </m:r>
              <m:f>
                <m:fPr>
                  <m:ctrlPr>
                    <w:rPr>
                      <w:rFonts w:ascii="Cambria Math" w:hAnsi="Cambria Math"/>
                      <w:i/>
                      <w:iCs/>
                      <w:color w:val="000000"/>
                    </w:rPr>
                  </m:ctrlPr>
                </m:fPr>
                <m:num>
                  <m:sSub>
                    <m:sSubPr>
                      <m:ctrlPr>
                        <w:rPr>
                          <w:rFonts w:ascii="Cambria Math" w:hAnsi="Cambria Math"/>
                          <w:i/>
                          <w:iCs/>
                          <w:color w:val="000000"/>
                        </w:rPr>
                      </m:ctrlPr>
                    </m:sSubPr>
                    <m:e>
                      <m:r>
                        <m:rPr>
                          <m:nor/>
                        </m:rPr>
                        <w:rPr>
                          <w:i/>
                          <w:iCs/>
                          <w:color w:val="000000"/>
                        </w:rPr>
                        <m:t>V</m:t>
                      </m:r>
                    </m:e>
                    <m:sub>
                      <m:r>
                        <m:rPr>
                          <m:nor/>
                        </m:rPr>
                        <w:rPr>
                          <w:i/>
                          <w:iCs/>
                          <w:color w:val="000000"/>
                        </w:rPr>
                        <m:t>D</m:t>
                      </m:r>
                    </m:sub>
                  </m:sSub>
                </m:num>
                <m:den>
                  <m:sSub>
                    <m:sSubPr>
                      <m:ctrlPr>
                        <w:rPr>
                          <w:rFonts w:ascii="Cambria Math" w:hAnsi="Cambria Math"/>
                          <w:i/>
                          <w:iCs/>
                          <w:color w:val="000000"/>
                        </w:rPr>
                      </m:ctrlPr>
                    </m:sSubPr>
                    <m:e>
                      <m:r>
                        <m:rPr>
                          <m:nor/>
                        </m:rPr>
                        <w:rPr>
                          <w:i/>
                          <w:iCs/>
                          <w:color w:val="000000"/>
                        </w:rPr>
                        <m:t>V</m:t>
                      </m:r>
                    </m:e>
                    <m:sub>
                      <m:r>
                        <m:rPr>
                          <m:nor/>
                        </m:rPr>
                        <w:rPr>
                          <w:i/>
                          <w:iCs/>
                          <w:color w:val="000000"/>
                        </w:rPr>
                        <m:t>E</m:t>
                      </m:r>
                    </m:sub>
                  </m:sSub>
                </m:den>
              </m:f>
            </m:e>
          </m:borderBox>
          <m:r>
            <m:rPr>
              <m:sty m:val="p"/>
            </m:rPr>
            <w:rPr>
              <w:rFonts w:eastAsiaTheme="minorEastAsia"/>
              <w:color w:val="000000"/>
            </w:rPr>
            <w:br/>
          </m:r>
        </m:oMath>
      </m:oMathPara>
      <w:r>
        <w:rPr>
          <w:rFonts w:eastAsiaTheme="minorEastAsia"/>
          <w:color w:val="000000"/>
        </w:rPr>
        <w:t xml:space="preserve">donde al aumentar la ratio de apalancamiento, </w:t>
      </w:r>
      <m:oMath>
        <m:f>
          <m:fPr>
            <m:type m:val="lin"/>
            <m:ctrlPr>
              <w:rPr>
                <w:rFonts w:ascii="Cambria Math" w:hAnsi="Cambria Math"/>
                <w:i/>
                <w:spacing w:val="-4"/>
              </w:rPr>
            </m:ctrlPr>
          </m:fPr>
          <m:num>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num>
          <m:den>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E</m:t>
                </m:r>
              </m:sub>
            </m:sSub>
          </m:den>
        </m:f>
      </m:oMath>
      <w:r>
        <w:rPr>
          <w:rFonts w:eastAsiaTheme="minorEastAsia"/>
          <w:spacing w:val="-4"/>
        </w:rPr>
        <w:t>, aumenta la rentabilidad de las acciones.</w:t>
      </w:r>
    </w:p>
    <w:p w14:paraId="78056858" w14:textId="77777777" w:rsidR="00D07B06" w:rsidRDefault="00D07B06" w:rsidP="00D07B06">
      <w:pPr>
        <w:pStyle w:val="Nivel1SM"/>
        <w:keepNext/>
        <w:spacing w:before="0" w:after="0"/>
      </w:pPr>
      <w:r>
        <w:t xml:space="preserve">Si consideramos que no existe posibilidad de bancarrota (como originalmente hicieron </w:t>
      </w:r>
      <w:r>
        <w:rPr>
          <w:smallCaps/>
        </w:rPr>
        <w:t>Modigliani</w:t>
      </w:r>
      <w:r>
        <w:t xml:space="preserve"> y </w:t>
      </w:r>
      <w:r>
        <w:rPr>
          <w:smallCaps/>
        </w:rPr>
        <w:t>Miller</w:t>
      </w:r>
      <w:r>
        <w:t>):</w:t>
      </w:r>
    </w:p>
    <w:p w14:paraId="0280EE36" w14:textId="77777777" w:rsidR="00D07B06" w:rsidRDefault="00D07B06" w:rsidP="00D07B06">
      <w:pPr>
        <w:pStyle w:val="Nivel2"/>
        <w:ind w:left="454" w:hanging="170"/>
      </w:pPr>
      <w:r>
        <w:t>El coste de capital propio aumenta con el nivel de endeudamiento, ya que los accionistas requieren más rentabilidad en una empresa con mayor nivel de deuda (tal y como hemos visto en la segunda proposición). Además, el coste de capital propio es mayor que el de la deuda para cualquier nivel de endeudamiento ya que conlleva más riesgo.</w:t>
      </w:r>
    </w:p>
    <w:p w14:paraId="273F3302" w14:textId="77777777" w:rsidR="00D07B06" w:rsidRDefault="00D07B06" w:rsidP="00D07B06">
      <w:pPr>
        <w:pStyle w:val="Nivel2"/>
        <w:ind w:left="454" w:hanging="170"/>
      </w:pPr>
      <w:r>
        <w:t>El coste de la deuda se mantendría constante (no se da en ningún caso la situación de bancarrota) e igual al tipo de interés libre de riesgo</w:t>
      </w:r>
      <w:r>
        <w:rPr>
          <w:rStyle w:val="Refdenotaalpie"/>
        </w:rPr>
        <w:footnoteReference w:id="14"/>
      </w:r>
      <w:r>
        <w:t>.</w:t>
      </w:r>
    </w:p>
    <w:p w14:paraId="3E949FB5" w14:textId="5B2DABEB" w:rsidR="00D07B06" w:rsidRPr="0060179A" w:rsidRDefault="00D07B06" w:rsidP="00D07B06">
      <w:pPr>
        <w:pStyle w:val="Ttuloimagen"/>
        <w:rPr>
          <w:i/>
          <w:iCs/>
          <w:spacing w:val="-4"/>
          <w:sz w:val="18"/>
          <w:szCs w:val="18"/>
        </w:rPr>
      </w:pPr>
      <w:r w:rsidRPr="0060179A">
        <w:rPr>
          <w:spacing w:val="-4"/>
        </w:rPr>
        <w:t>Imagen</w:t>
      </w:r>
      <w:r>
        <w:rPr>
          <w:spacing w:val="-4"/>
        </w:rPr>
        <w:t> </w:t>
      </w:r>
      <w:r w:rsidRPr="0060179A">
        <w:rPr>
          <w:spacing w:val="-4"/>
        </w:rPr>
        <w:fldChar w:fldCharType="begin"/>
      </w:r>
      <w:r w:rsidRPr="0060179A">
        <w:rPr>
          <w:spacing w:val="-4"/>
        </w:rPr>
        <w:instrText xml:space="preserve"> SEQ Ilustración \* ARABIC </w:instrText>
      </w:r>
      <w:r w:rsidRPr="0060179A">
        <w:rPr>
          <w:spacing w:val="-4"/>
        </w:rPr>
        <w:fldChar w:fldCharType="separate"/>
      </w:r>
      <w:r w:rsidR="004626ED">
        <w:rPr>
          <w:spacing w:val="-4"/>
        </w:rPr>
        <w:t>3</w:t>
      </w:r>
      <w:r w:rsidRPr="0060179A">
        <w:rPr>
          <w:spacing w:val="-4"/>
        </w:rPr>
        <w:fldChar w:fldCharType="end"/>
      </w:r>
      <w:r w:rsidRPr="0060179A">
        <w:rPr>
          <w:smallCaps w:val="0"/>
          <w:spacing w:val="-4"/>
        </w:rPr>
        <w:t>.–</w:t>
      </w:r>
      <w:r w:rsidRPr="0060179A">
        <w:rPr>
          <w:i/>
          <w:iCs/>
          <w:smallCaps w:val="0"/>
          <w:spacing w:val="-4"/>
          <w:sz w:val="18"/>
          <w:szCs w:val="18"/>
        </w:rPr>
        <w:t xml:space="preserve"> Coste de capital en función de la estructura de capital de la empresa (</w:t>
      </w:r>
      <w:r w:rsidRPr="00DC1A0F">
        <w:rPr>
          <w:i/>
          <w:iCs/>
          <w:spacing w:val="-4"/>
          <w:sz w:val="18"/>
          <w:szCs w:val="18"/>
        </w:rPr>
        <w:t>Modigliani</w:t>
      </w:r>
      <w:r w:rsidRPr="0060179A">
        <w:rPr>
          <w:i/>
          <w:iCs/>
          <w:smallCaps w:val="0"/>
          <w:spacing w:val="-4"/>
          <w:sz w:val="18"/>
          <w:szCs w:val="18"/>
        </w:rPr>
        <w:t xml:space="preserve"> y </w:t>
      </w:r>
      <w:r w:rsidRPr="00DC1A0F">
        <w:rPr>
          <w:i/>
          <w:iCs/>
          <w:spacing w:val="-4"/>
          <w:sz w:val="18"/>
          <w:szCs w:val="18"/>
        </w:rPr>
        <w:t>Miller</w:t>
      </w:r>
      <w:r w:rsidRPr="0060179A">
        <w:rPr>
          <w:i/>
          <w:iCs/>
          <w:smallCaps w:val="0"/>
          <w:spacing w:val="-4"/>
          <w:sz w:val="18"/>
          <w:szCs w:val="18"/>
        </w:rPr>
        <w:t xml:space="preserve"> </w:t>
      </w:r>
      <w:r>
        <w:rPr>
          <w:i/>
          <w:iCs/>
          <w:smallCaps w:val="0"/>
          <w:spacing w:val="-4"/>
          <w:sz w:val="18"/>
          <w:szCs w:val="18"/>
        </w:rPr>
        <w:t>sin</w:t>
      </w:r>
      <w:r w:rsidRPr="0060179A">
        <w:rPr>
          <w:i/>
          <w:iCs/>
          <w:smallCaps w:val="0"/>
          <w:spacing w:val="-4"/>
          <w:sz w:val="18"/>
          <w:szCs w:val="18"/>
        </w:rPr>
        <w:t xml:space="preserve"> posibilidad de bancarrota)</w:t>
      </w:r>
    </w:p>
    <w:p w14:paraId="66BFB446" w14:textId="77777777" w:rsidR="00D07B06" w:rsidRDefault="00D07B06" w:rsidP="00D07B06">
      <w:pPr>
        <w:pStyle w:val="Imagen"/>
      </w:pPr>
      <w:r>
        <w:drawing>
          <wp:inline distT="0" distB="0" distL="0" distR="0" wp14:anchorId="741688EE" wp14:editId="1F900F38">
            <wp:extent cx="3200221" cy="1800000"/>
            <wp:effectExtent l="0" t="0" r="635" b="0"/>
            <wp:docPr id="2" name="Imagen 2" descr="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de líneas&#10;&#10;Descripción generada automáticamente"/>
                    <pic:cNvPicPr/>
                  </pic:nvPicPr>
                  <pic:blipFill>
                    <a:blip r:embed="rId36"/>
                    <a:stretch>
                      <a:fillRect/>
                    </a:stretch>
                  </pic:blipFill>
                  <pic:spPr>
                    <a:xfrm>
                      <a:off x="0" y="0"/>
                      <a:ext cx="3200221" cy="1800000"/>
                    </a:xfrm>
                    <a:prstGeom prst="rect">
                      <a:avLst/>
                    </a:prstGeom>
                  </pic:spPr>
                </pic:pic>
              </a:graphicData>
            </a:graphic>
          </wp:inline>
        </w:drawing>
      </w:r>
    </w:p>
    <w:p w14:paraId="6373D33E" w14:textId="77777777" w:rsidR="00D07B06" w:rsidRPr="000757C2" w:rsidRDefault="00D07B06" w:rsidP="00D07B06">
      <w:pPr>
        <w:pStyle w:val="PiedeImagen"/>
        <w:rPr>
          <w:i w:val="0"/>
          <w:iCs/>
        </w:rPr>
      </w:pPr>
      <w:r>
        <w:t>Fuente</w:t>
      </w:r>
      <w:r>
        <w:rPr>
          <w:i w:val="0"/>
          <w:iCs/>
        </w:rPr>
        <w:t>: Elaboración propia</w:t>
      </w:r>
    </w:p>
    <w:p w14:paraId="52584508" w14:textId="77777777" w:rsidR="00D07B06" w:rsidRDefault="00D07B06" w:rsidP="00D07B06">
      <w:pPr>
        <w:pStyle w:val="Ttulo7"/>
      </w:pPr>
      <w:bookmarkStart w:id="52" w:name="_Toc125044543"/>
      <w:bookmarkStart w:id="53" w:name="_Toc149220487"/>
      <w:r>
        <w:t>Implicaciones</w:t>
      </w:r>
      <w:bookmarkEnd w:id="52"/>
      <w:bookmarkEnd w:id="53"/>
    </w:p>
    <w:p w14:paraId="1F5D15A8" w14:textId="77777777" w:rsidR="00D07B06" w:rsidRPr="003F03CF" w:rsidRDefault="00D07B06" w:rsidP="00D07B06">
      <w:pPr>
        <w:pStyle w:val="Ttulo8"/>
        <w:spacing w:before="0"/>
      </w:pPr>
      <w:r>
        <w:t>Proposición de irrelevancia</w:t>
      </w:r>
    </w:p>
    <w:p w14:paraId="51148806" w14:textId="77777777" w:rsidR="00D07B06" w:rsidRDefault="00D07B06" w:rsidP="00D07B06">
      <w:pPr>
        <w:pStyle w:val="Nivel1SM"/>
        <w:keepNext/>
        <w:keepLines/>
        <w:spacing w:before="0" w:after="0"/>
      </w:pPr>
      <w:r>
        <w:t xml:space="preserve">Del estudio de las decisiones de inversión, sabemos que toda empresa que quiera maximizar el valor para sus accionistas deberá realizar sólo aquellas inversiones cuya tasa de retorno (TIR) sea, al menos, igual a su coste de capital medio ponderado (WACC) </w:t>
      </w:r>
      <w:r w:rsidRPr="00830E36">
        <w:rPr>
          <w:color w:val="767171" w:themeColor="background2" w:themeShade="80"/>
          <w:sz w:val="19"/>
          <w:szCs w:val="19"/>
        </w:rPr>
        <w:t>[ver tema 3.B.2]</w:t>
      </w:r>
      <w:r>
        <w:t xml:space="preserve">. Como el WACC es constante cualquiera que sea el tipo de recursos empleados en su financiación, esto implica que </w:t>
      </w:r>
      <w:r w:rsidRPr="00E22630">
        <w:rPr>
          <w:i/>
          <w:iCs/>
        </w:rPr>
        <w:t>las decisiones de inversión y de financiación son independientes</w:t>
      </w:r>
      <w:r>
        <w:t>.</w:t>
      </w:r>
    </w:p>
    <w:p w14:paraId="1BB33EA6" w14:textId="77777777" w:rsidR="00D07B06" w:rsidRDefault="00D07B06" w:rsidP="00D07B06">
      <w:pPr>
        <w:pStyle w:val="Nivel2SM"/>
        <w:keepNext/>
        <w:spacing w:after="0"/>
      </w:pPr>
      <w:r>
        <w:t xml:space="preserve">Esto es lo que se conoce como la </w:t>
      </w:r>
      <w:r w:rsidRPr="00830E36">
        <w:rPr>
          <w:b/>
          <w:bCs/>
        </w:rPr>
        <w:t>proposición de irrelevancia</w:t>
      </w:r>
      <w:r>
        <w:rPr>
          <w:rStyle w:val="Refdenotaalpie"/>
        </w:rPr>
        <w:footnoteReference w:id="15"/>
      </w:r>
      <w:r>
        <w:t>.</w:t>
      </w:r>
    </w:p>
    <w:p w14:paraId="4677326F" w14:textId="77777777" w:rsidR="00D07B06" w:rsidRDefault="00D07B06" w:rsidP="00D07B06">
      <w:pPr>
        <w:pStyle w:val="Nivel3SM"/>
      </w:pPr>
      <w:r w:rsidRPr="00EC7260">
        <w:rPr>
          <w:smallCaps/>
        </w:rPr>
        <w:t>Miller</w:t>
      </w:r>
      <w:r w:rsidRPr="00EC7260">
        <w:t xml:space="preserve"> llegó a </w:t>
      </w:r>
      <w:r>
        <w:t xml:space="preserve">hacer la analogía de que su </w:t>
      </w:r>
      <w:r w:rsidRPr="00830E36">
        <w:t>proposición de irrelevancia</w:t>
      </w:r>
      <w:r>
        <w:t xml:space="preserve"> es igual a </w:t>
      </w:r>
      <w:r w:rsidRPr="00EC7260">
        <w:t xml:space="preserve">decir que el tamaño de una </w:t>
      </w:r>
      <w:r>
        <w:t>pizza no depende de en cuantos trozos la partas.</w:t>
      </w:r>
    </w:p>
    <w:p w14:paraId="65D694C7" w14:textId="77777777" w:rsidR="00D07B06" w:rsidRPr="00D52A44" w:rsidRDefault="00D07B06" w:rsidP="00D07B06">
      <w:pPr>
        <w:pStyle w:val="Nivel1SM"/>
      </w:pPr>
      <w:r>
        <w:lastRenderedPageBreak/>
        <w:t xml:space="preserve">En el mundo real, puede haber preferencia por alguna forma de financiación, por lo que esta teoría no se cumple, pero sirve como punto de partida para explicar los motivos de su incumplimiento (i.e. incumplimientos de los supuestos del modelo). Por ello, en los años posteriores, </w:t>
      </w:r>
      <w:r>
        <w:rPr>
          <w:smallCaps/>
        </w:rPr>
        <w:t>Modigliani</w:t>
      </w:r>
      <w:r>
        <w:t xml:space="preserve"> y </w:t>
      </w:r>
      <w:r>
        <w:rPr>
          <w:smallCaps/>
        </w:rPr>
        <w:t>Miller</w:t>
      </w:r>
      <w:r>
        <w:t xml:space="preserve"> van a relajar algunos supuestos para explicar por qué en el mundo real puede haber preferencia por alguna forma de financiación.</w:t>
      </w:r>
    </w:p>
    <w:p w14:paraId="2AA89D5D" w14:textId="77777777" w:rsidR="006E3B9F" w:rsidRDefault="006E3B9F" w:rsidP="00E51441">
      <w:pPr>
        <w:pStyle w:val="Ttulo8"/>
      </w:pPr>
      <w:bookmarkStart w:id="54" w:name="_Toc125044545"/>
      <w:r>
        <w:t>Efecto de los impuestos sobre la estructura financiera óptima</w:t>
      </w:r>
      <w:bookmarkEnd w:id="54"/>
    </w:p>
    <w:p w14:paraId="21A9D1E1" w14:textId="77777777" w:rsidR="006E3B9F" w:rsidRDefault="006E3B9F" w:rsidP="006E3B9F">
      <w:pPr>
        <w:pStyle w:val="Nivel1SM"/>
        <w:keepNext/>
        <w:spacing w:before="0" w:after="0"/>
      </w:pPr>
      <w:r w:rsidRPr="002141AE">
        <w:t xml:space="preserve">Cuando </w:t>
      </w:r>
      <w:r w:rsidRPr="002141AE">
        <w:rPr>
          <w:smallCaps/>
        </w:rPr>
        <w:t>Modigliani</w:t>
      </w:r>
      <w:r w:rsidRPr="002141AE">
        <w:t xml:space="preserve"> y </w:t>
      </w:r>
      <w:r w:rsidRPr="002141AE">
        <w:rPr>
          <w:smallCaps/>
        </w:rPr>
        <w:t>Miller</w:t>
      </w:r>
      <w:r w:rsidRPr="002141AE">
        <w:t xml:space="preserve"> (1963) introducen los </w:t>
      </w:r>
      <w:r w:rsidRPr="002141AE">
        <w:rPr>
          <w:b/>
          <w:bCs/>
        </w:rPr>
        <w:t>impuestos</w:t>
      </w:r>
      <w:r w:rsidRPr="002141AE">
        <w:t xml:space="preserve"> en su análisis, se </w:t>
      </w:r>
      <w:r w:rsidRPr="002141AE">
        <w:rPr>
          <w:b/>
          <w:bCs/>
        </w:rPr>
        <w:t>rompe el supuesto fundamental de mercados de capitales perfectos</w:t>
      </w:r>
      <w:r w:rsidRPr="002141AE">
        <w:t xml:space="preserve"> y sus conclusiones cambian radicalmente</w:t>
      </w:r>
      <w:r>
        <w:rPr>
          <w:rStyle w:val="Refdenotaalpie"/>
          <w:spacing w:val="-3"/>
        </w:rPr>
        <w:footnoteReference w:id="16"/>
      </w:r>
      <w:r>
        <w:t>.</w:t>
      </w:r>
    </w:p>
    <w:p w14:paraId="0AE55718" w14:textId="77777777" w:rsidR="006E3B9F" w:rsidRDefault="006E3B9F" w:rsidP="006E3B9F">
      <w:pPr>
        <w:pStyle w:val="Prrafodelista"/>
        <w:numPr>
          <w:ilvl w:val="6"/>
          <w:numId w:val="40"/>
        </w:numPr>
        <w:spacing w:after="100"/>
        <w:ind w:left="568" w:hanging="284"/>
      </w:pPr>
      <w:r>
        <w:t xml:space="preserve">Primero, </w:t>
      </w:r>
      <w:r w:rsidRPr="004435D3">
        <w:rPr>
          <w:smallCaps/>
        </w:rPr>
        <w:t>Modigliani</w:t>
      </w:r>
      <w:r>
        <w:t xml:space="preserve"> y </w:t>
      </w:r>
      <w:r w:rsidRPr="004435D3">
        <w:rPr>
          <w:smallCaps/>
        </w:rPr>
        <w:t>Miller</w:t>
      </w:r>
      <w:r>
        <w:t> (1963) estudiarían el efecto del impuesto de sociedades (IS) sobre la estructura financiera óptima.</w:t>
      </w:r>
    </w:p>
    <w:p w14:paraId="1B4AE998" w14:textId="77777777" w:rsidR="006E3B9F" w:rsidRPr="002141AE" w:rsidRDefault="006E3B9F" w:rsidP="006E3B9F">
      <w:pPr>
        <w:pStyle w:val="Prrafodelista"/>
        <w:numPr>
          <w:ilvl w:val="6"/>
          <w:numId w:val="40"/>
        </w:numPr>
        <w:spacing w:after="100"/>
        <w:ind w:left="568" w:hanging="284"/>
      </w:pPr>
      <w:r>
        <w:t xml:space="preserve">Posteriormente, </w:t>
      </w:r>
      <w:r w:rsidRPr="004435D3">
        <w:rPr>
          <w:smallCaps/>
        </w:rPr>
        <w:t>Miller</w:t>
      </w:r>
      <w:r>
        <w:t xml:space="preserve"> (1977) consideraría el efecto conjunto del IS y del IRPF.</w:t>
      </w:r>
    </w:p>
    <w:p w14:paraId="23F036B3" w14:textId="77777777" w:rsidR="006E3B9F" w:rsidRPr="00796200" w:rsidRDefault="006E3B9F" w:rsidP="00E51441">
      <w:pPr>
        <w:pStyle w:val="Ttulo9"/>
      </w:pPr>
      <w:r>
        <w:t>Efecto del IS sobre la estructura financiera óptima (</w:t>
      </w:r>
      <w:r>
        <w:rPr>
          <w:smallCaps/>
        </w:rPr>
        <w:t>Modigliani</w:t>
      </w:r>
      <w:r>
        <w:t xml:space="preserve"> y </w:t>
      </w:r>
      <w:r>
        <w:rPr>
          <w:smallCaps/>
        </w:rPr>
        <w:t>Miller</w:t>
      </w:r>
      <w:r>
        <w:t>, 1963)</w:t>
      </w:r>
    </w:p>
    <w:p w14:paraId="516F39A2" w14:textId="5285C769" w:rsidR="006E3B9F" w:rsidRDefault="006E3B9F" w:rsidP="006E3B9F">
      <w:pPr>
        <w:pStyle w:val="Nivel1SM"/>
        <w:keepNext/>
        <w:spacing w:before="0" w:after="0"/>
      </w:pPr>
      <w:r>
        <w:t xml:space="preserve">Como decíamos antes, los </w:t>
      </w:r>
      <w:r>
        <w:rPr>
          <w:b/>
          <w:bCs/>
        </w:rPr>
        <w:t>intereses</w:t>
      </w:r>
      <w:r>
        <w:t xml:space="preserve"> que paga la deuda son un </w:t>
      </w:r>
      <w:r w:rsidRPr="00A37940">
        <w:rPr>
          <w:b/>
          <w:bCs/>
        </w:rPr>
        <w:t>gasto</w:t>
      </w:r>
      <w:r>
        <w:rPr>
          <w:b/>
          <w:bCs/>
        </w:rPr>
        <w:t xml:space="preserve"> fiscalmente deducible</w:t>
      </w:r>
      <w:r>
        <w:t xml:space="preserve"> en muchos países</w:t>
      </w:r>
      <w:r w:rsidRPr="002F50CD">
        <w:rPr>
          <w:color w:val="767171" w:themeColor="background2" w:themeShade="80"/>
          <w:sz w:val="19"/>
          <w:szCs w:val="19"/>
        </w:rPr>
        <w:t xml:space="preserve"> </w:t>
      </w:r>
      <w:r w:rsidRPr="00F206D4">
        <w:t>(</w:t>
      </w:r>
      <w:r w:rsidRPr="00F206D4">
        <w:rPr>
          <w:i/>
          <w:iCs/>
        </w:rPr>
        <w:t>escudo fiscal</w:t>
      </w:r>
      <w:r w:rsidRPr="00F206D4">
        <w:t>)</w:t>
      </w:r>
      <w:r w:rsidRPr="002F50CD">
        <w:rPr>
          <w:rStyle w:val="Refdenotaalpie"/>
        </w:rPr>
        <w:footnoteReference w:id="17"/>
      </w:r>
      <w:r>
        <w:t>.</w:t>
      </w:r>
    </w:p>
    <w:p w14:paraId="3302D611" w14:textId="77777777" w:rsidR="006E3B9F" w:rsidRDefault="006E3B9F" w:rsidP="006E3B9F">
      <w:pPr>
        <w:pStyle w:val="Nivel2SM"/>
      </w:pPr>
      <w:r>
        <w:t xml:space="preserve">Así, un aumento del endeudamiento de la empresa aumentaría el valor de la empresa. Por lo tanto, según este enfoque la </w:t>
      </w:r>
      <w:r>
        <w:rPr>
          <w:b/>
          <w:bCs/>
        </w:rPr>
        <w:t>estructura de capital óptima</w:t>
      </w:r>
      <w:r>
        <w:t xml:space="preserve"> correspondería a un </w:t>
      </w:r>
      <w:r>
        <w:rPr>
          <w:b/>
          <w:bCs/>
        </w:rPr>
        <w:t>100 % de deuda</w:t>
      </w:r>
      <w:r>
        <w:t>.</w:t>
      </w:r>
    </w:p>
    <w:p w14:paraId="0EDB1854" w14:textId="77777777" w:rsidR="006E3B9F" w:rsidRDefault="006E3B9F" w:rsidP="006E3B9F">
      <w:pPr>
        <w:pStyle w:val="Nivel2SM"/>
      </w:pPr>
      <w:r>
        <w:t xml:space="preserve">Antes, al hablar del artículo de </w:t>
      </w:r>
      <w:r w:rsidRPr="00F42E68">
        <w:rPr>
          <w:smallCaps/>
        </w:rPr>
        <w:t>Modigliani</w:t>
      </w:r>
      <w:r>
        <w:t xml:space="preserve"> y </w:t>
      </w:r>
      <w:r w:rsidRPr="00F42E68">
        <w:rPr>
          <w:smallCaps/>
        </w:rPr>
        <w:t>Miller</w:t>
      </w:r>
      <w:r>
        <w:t xml:space="preserve"> sin impuestos, se mencionó la analogía con la pizza que </w:t>
      </w:r>
      <w:r w:rsidRPr="00F42E68">
        <w:rPr>
          <w:smallCaps/>
        </w:rPr>
        <w:t>Merton Miller</w:t>
      </w:r>
      <w:r>
        <w:t xml:space="preserve"> utilizó alguna vez para describir las proposiciones de MM con mercados de capital perfectos: </w:t>
      </w:r>
      <w:r w:rsidRPr="00F42E68">
        <w:rPr>
          <w:i/>
          <w:iCs/>
        </w:rPr>
        <w:t xml:space="preserve">No importa cómo se corte la pizza, siempre se tendrá la misma cantidad de </w:t>
      </w:r>
      <w:r>
        <w:rPr>
          <w:i/>
          <w:iCs/>
        </w:rPr>
        <w:t>e</w:t>
      </w:r>
      <w:r w:rsidRPr="00F42E68">
        <w:rPr>
          <w:i/>
          <w:iCs/>
        </w:rPr>
        <w:t>sta</w:t>
      </w:r>
      <w:r>
        <w:t>.</w:t>
      </w:r>
    </w:p>
    <w:p w14:paraId="0641134E" w14:textId="335D6A50" w:rsidR="006E3B9F" w:rsidRDefault="006E3B9F" w:rsidP="006E3B9F">
      <w:pPr>
        <w:pStyle w:val="Nivel2SM"/>
      </w:pPr>
      <w:r>
        <w:t xml:space="preserve">Esta analogía se extiende al planteamiento con impuestos, pero la historia es un poco diferente. En este caso, cada vez que el propietario vende una rebanada de pizza a los accionistas, debe darle otra al </w:t>
      </w:r>
      <w:r w:rsidR="00790C9D">
        <w:t>Estado</w:t>
      </w:r>
      <w:r>
        <w:t xml:space="preserve"> como pago de sus impuestos. Pero si el dueño vende una rebanada a los </w:t>
      </w:r>
      <w:r>
        <w:lastRenderedPageBreak/>
        <w:t>acreedores, no hay impuestos. Entonces, al vender más rebanadas a los acreedores que a los accionistas, aumentan los ingresos por una pizza. Si bien la cantidad total de pizza no cambia, el dueño entrega menos en impuestos, y deja más para los clientes.</w:t>
      </w:r>
    </w:p>
    <w:p w14:paraId="098E4113" w14:textId="03D4B621" w:rsidR="006E3B9F" w:rsidRPr="00527ED0" w:rsidRDefault="006E3B9F" w:rsidP="006E3B9F">
      <w:pPr>
        <w:pStyle w:val="Ttuloimagen"/>
        <w:rPr>
          <w:i/>
          <w:iCs/>
          <w:spacing w:val="-5"/>
          <w:sz w:val="18"/>
          <w:szCs w:val="18"/>
        </w:rPr>
      </w:pPr>
      <w:r w:rsidRPr="00527ED0">
        <w:rPr>
          <w:spacing w:val="-5"/>
        </w:rPr>
        <w:t>Imagen </w:t>
      </w:r>
      <w:r w:rsidRPr="00527ED0">
        <w:rPr>
          <w:spacing w:val="-5"/>
        </w:rPr>
        <w:fldChar w:fldCharType="begin"/>
      </w:r>
      <w:r w:rsidRPr="00527ED0">
        <w:rPr>
          <w:spacing w:val="-5"/>
        </w:rPr>
        <w:instrText xml:space="preserve"> SEQ Ilustración \* ARABIC </w:instrText>
      </w:r>
      <w:r w:rsidRPr="00527ED0">
        <w:rPr>
          <w:spacing w:val="-5"/>
        </w:rPr>
        <w:fldChar w:fldCharType="separate"/>
      </w:r>
      <w:r w:rsidR="004626ED">
        <w:rPr>
          <w:spacing w:val="-5"/>
        </w:rPr>
        <w:t>4</w:t>
      </w:r>
      <w:r w:rsidRPr="00527ED0">
        <w:rPr>
          <w:spacing w:val="-5"/>
        </w:rPr>
        <w:fldChar w:fldCharType="end"/>
      </w:r>
      <w:r w:rsidRPr="00527ED0">
        <w:rPr>
          <w:smallCaps w:val="0"/>
          <w:spacing w:val="-5"/>
        </w:rPr>
        <w:t>.–</w:t>
      </w:r>
      <w:r w:rsidRPr="00527ED0">
        <w:rPr>
          <w:i/>
          <w:iCs/>
          <w:smallCaps w:val="0"/>
          <w:spacing w:val="-5"/>
          <w:sz w:val="18"/>
          <w:szCs w:val="18"/>
        </w:rPr>
        <w:t xml:space="preserve"> Coste de capital en función de la estructura de capital de la empresa (</w:t>
      </w:r>
      <w:r w:rsidRPr="00527ED0">
        <w:rPr>
          <w:i/>
          <w:iCs/>
          <w:spacing w:val="-5"/>
          <w:sz w:val="18"/>
          <w:szCs w:val="18"/>
        </w:rPr>
        <w:t>Modigliani</w:t>
      </w:r>
      <w:r w:rsidRPr="00527ED0">
        <w:rPr>
          <w:i/>
          <w:iCs/>
          <w:smallCaps w:val="0"/>
          <w:spacing w:val="-5"/>
          <w:sz w:val="18"/>
          <w:szCs w:val="18"/>
        </w:rPr>
        <w:t xml:space="preserve"> y </w:t>
      </w:r>
      <w:r w:rsidRPr="00527ED0">
        <w:rPr>
          <w:i/>
          <w:iCs/>
          <w:spacing w:val="-5"/>
          <w:sz w:val="18"/>
          <w:szCs w:val="18"/>
        </w:rPr>
        <w:t>Miller</w:t>
      </w:r>
      <w:r w:rsidRPr="00527ED0">
        <w:rPr>
          <w:i/>
          <w:iCs/>
          <w:smallCaps w:val="0"/>
          <w:spacing w:val="-5"/>
          <w:sz w:val="18"/>
          <w:szCs w:val="18"/>
        </w:rPr>
        <w:t>, 1963 con Impuesto de Sociedades)</w:t>
      </w:r>
    </w:p>
    <w:p w14:paraId="3163300C" w14:textId="77777777" w:rsidR="006E3B9F" w:rsidRDefault="006E3B9F" w:rsidP="006E3B9F">
      <w:pPr>
        <w:pStyle w:val="Imagen"/>
      </w:pPr>
      <w:r>
        <w:drawing>
          <wp:inline distT="0" distB="0" distL="0" distR="0" wp14:anchorId="48F75DCE" wp14:editId="54D67A42">
            <wp:extent cx="3200221" cy="1800000"/>
            <wp:effectExtent l="0" t="0" r="635" b="0"/>
            <wp:docPr id="498332969"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332969" name="Imagen 1" descr="Gráfico, Gráfico de líneas&#10;&#10;Descripción generada automáticamente"/>
                    <pic:cNvPicPr/>
                  </pic:nvPicPr>
                  <pic:blipFill>
                    <a:blip r:embed="rId37"/>
                    <a:stretch>
                      <a:fillRect/>
                    </a:stretch>
                  </pic:blipFill>
                  <pic:spPr>
                    <a:xfrm>
                      <a:off x="0" y="0"/>
                      <a:ext cx="3200221" cy="1800000"/>
                    </a:xfrm>
                    <a:prstGeom prst="rect">
                      <a:avLst/>
                    </a:prstGeom>
                  </pic:spPr>
                </pic:pic>
              </a:graphicData>
            </a:graphic>
          </wp:inline>
        </w:drawing>
      </w:r>
    </w:p>
    <w:p w14:paraId="45371466" w14:textId="77777777" w:rsidR="006E3B9F" w:rsidRDefault="006E3B9F" w:rsidP="006E3B9F">
      <w:pPr>
        <w:pStyle w:val="PiedeImagen"/>
        <w:rPr>
          <w:i w:val="0"/>
          <w:iCs/>
        </w:rPr>
      </w:pPr>
      <w:r>
        <w:t>Fuente</w:t>
      </w:r>
      <w:r>
        <w:rPr>
          <w:i w:val="0"/>
          <w:iCs/>
        </w:rPr>
        <w:t>: Elaboración propia</w:t>
      </w:r>
    </w:p>
    <w:p w14:paraId="6D16774D" w14:textId="77777777" w:rsidR="006E3B9F" w:rsidRDefault="006E3B9F" w:rsidP="006E3B9F">
      <w:pPr>
        <w:pStyle w:val="Nivel1SM"/>
        <w:keepNext/>
        <w:spacing w:after="0"/>
      </w:pPr>
      <w:r>
        <w:t xml:space="preserve">Sin embargo, la </w:t>
      </w:r>
      <w:r>
        <w:rPr>
          <w:b/>
          <w:bCs/>
        </w:rPr>
        <w:t>realidad observada</w:t>
      </w:r>
      <w:r w:rsidRPr="00A37940">
        <w:t xml:space="preserve"> </w:t>
      </w:r>
      <w:r>
        <w:t xml:space="preserve">es </w:t>
      </w:r>
      <w:r>
        <w:rPr>
          <w:b/>
          <w:bCs/>
        </w:rPr>
        <w:t>contraria</w:t>
      </w:r>
      <w:r>
        <w:t xml:space="preserve"> a la conclusión anterior en 2 sentidos:</w:t>
      </w:r>
    </w:p>
    <w:p w14:paraId="11EBB48B" w14:textId="77777777" w:rsidR="006E3B9F" w:rsidRPr="001C4BE4" w:rsidRDefault="006E3B9F" w:rsidP="006E3B9F">
      <w:pPr>
        <w:pStyle w:val="Letra"/>
        <w:numPr>
          <w:ilvl w:val="0"/>
          <w:numId w:val="57"/>
        </w:numPr>
        <w:spacing w:after="100"/>
        <w:ind w:left="568" w:hanging="284"/>
        <w:contextualSpacing/>
        <w:rPr>
          <w:i/>
          <w:iCs/>
        </w:rPr>
      </w:pPr>
      <w:r w:rsidRPr="001C4BE4">
        <w:rPr>
          <w:i/>
          <w:iCs/>
        </w:rPr>
        <w:t>No se observa que cambios en el tipo impositivo del IS produzcan variaciones significativas en la estructura financiera de las empresas.</w:t>
      </w:r>
    </w:p>
    <w:p w14:paraId="1A79FDCF" w14:textId="77777777" w:rsidR="006E3B9F" w:rsidRDefault="006E3B9F" w:rsidP="006E3B9F">
      <w:pPr>
        <w:pStyle w:val="Letra"/>
        <w:spacing w:after="100"/>
        <w:ind w:left="568" w:hanging="284"/>
        <w:contextualSpacing/>
      </w:pPr>
      <w:r w:rsidRPr="00503D17">
        <w:rPr>
          <w:i/>
          <w:iCs/>
        </w:rPr>
        <w:t>No encontramos muchas empresas que tengan en la práctica dicha estructura</w:t>
      </w:r>
      <w:r>
        <w:t>.</w:t>
      </w:r>
    </w:p>
    <w:p w14:paraId="550AA259" w14:textId="77777777" w:rsidR="006E3B9F" w:rsidRDefault="006E3B9F" w:rsidP="006E3B9F">
      <w:pPr>
        <w:pStyle w:val="Nivel1SM"/>
        <w:keepNext/>
        <w:spacing w:after="0"/>
      </w:pPr>
      <w:r>
        <w:t xml:space="preserve">¿A qué se debe lo anterior? A que el efecto </w:t>
      </w:r>
      <w:r w:rsidRPr="00503D17">
        <w:rPr>
          <w:b/>
          <w:bCs/>
        </w:rPr>
        <w:t>positivo</w:t>
      </w:r>
      <w:r>
        <w:t xml:space="preserve"> sobre el endeudamiento del impuesto de sociedades puede verse </w:t>
      </w:r>
      <w:r w:rsidRPr="00503D17">
        <w:rPr>
          <w:b/>
          <w:bCs/>
        </w:rPr>
        <w:t>contrarrestado</w:t>
      </w:r>
      <w:r>
        <w:t xml:space="preserve"> por 2 efectos </w:t>
      </w:r>
      <w:r w:rsidRPr="00503D17">
        <w:rPr>
          <w:b/>
          <w:bCs/>
        </w:rPr>
        <w:t>negativos</w:t>
      </w:r>
      <w:r>
        <w:t xml:space="preserve"> derivados de ese endeudamiento:</w:t>
      </w:r>
    </w:p>
    <w:p w14:paraId="14031A5C" w14:textId="77777777" w:rsidR="006E3B9F" w:rsidRDefault="006E3B9F" w:rsidP="006E3B9F">
      <w:pPr>
        <w:pStyle w:val="Prrafodelista"/>
        <w:keepNext/>
        <w:numPr>
          <w:ilvl w:val="0"/>
          <w:numId w:val="54"/>
        </w:numPr>
        <w:spacing w:after="100"/>
        <w:ind w:left="568" w:hanging="284"/>
      </w:pPr>
      <w:r>
        <w:rPr>
          <w:i/>
          <w:iCs/>
          <w:u w:val="single"/>
        </w:rPr>
        <w:t>Costes de insolvencia</w:t>
      </w:r>
      <w:r>
        <w:t>.</w:t>
      </w:r>
    </w:p>
    <w:p w14:paraId="5616EFB9" w14:textId="77777777" w:rsidR="006E3B9F" w:rsidRDefault="006E3B9F" w:rsidP="006E3B9F">
      <w:pPr>
        <w:pStyle w:val="Prrafodelista"/>
        <w:numPr>
          <w:ilvl w:val="0"/>
          <w:numId w:val="54"/>
        </w:numPr>
        <w:spacing w:after="100"/>
        <w:ind w:left="568" w:hanging="284"/>
      </w:pPr>
      <w:r>
        <w:rPr>
          <w:i/>
          <w:iCs/>
          <w:u w:val="single"/>
        </w:rPr>
        <w:t>Costes de una tributación desfavorable de las ganancias de capital</w:t>
      </w:r>
      <w:r>
        <w:t xml:space="preserve"> (i.e. de los cupones de la deuda que reciben los obligacionistas que compraron deuda).</w:t>
      </w:r>
    </w:p>
    <w:p w14:paraId="6328A160" w14:textId="77777777" w:rsidR="000127D5" w:rsidRDefault="000127D5" w:rsidP="00E51441">
      <w:pPr>
        <w:pStyle w:val="Ttulo9"/>
      </w:pPr>
      <w:r>
        <w:t xml:space="preserve">Efecto </w:t>
      </w:r>
      <w:r w:rsidRPr="005C37D0">
        <w:t>conjunto</w:t>
      </w:r>
      <w:r>
        <w:t xml:space="preserve"> del IS y del IRPF (M</w:t>
      </w:r>
      <w:r>
        <w:rPr>
          <w:smallCaps/>
        </w:rPr>
        <w:t>iller, 1977</w:t>
      </w:r>
      <w:r>
        <w:t>)</w:t>
      </w:r>
    </w:p>
    <w:p w14:paraId="28C3C568" w14:textId="77777777" w:rsidR="000127D5" w:rsidRDefault="000127D5" w:rsidP="000127D5">
      <w:pPr>
        <w:pStyle w:val="Nivel1SM"/>
        <w:keepNext/>
        <w:spacing w:before="0" w:after="0"/>
      </w:pPr>
      <w:r>
        <w:t>Al introducir el IRPF y el IS</w:t>
      </w:r>
      <w:r>
        <w:rPr>
          <w:rStyle w:val="Refdenotaalpie"/>
        </w:rPr>
        <w:footnoteReference w:id="18"/>
      </w:r>
      <w:r>
        <w:t>, la empresa debería tratar de minimizar el valor actual de todos los impuestos pagados sobre la renta (tanto los impuestos pagados por la sociedad en concepto de IS como los impuestos pagados por accionistas y obligacionistas en concepto de IRPF)</w:t>
      </w:r>
      <w:r>
        <w:rPr>
          <w:rStyle w:val="Refdenotaalpie"/>
        </w:rPr>
        <w:footnoteReference w:id="19"/>
      </w:r>
      <w:r>
        <w:t>.</w:t>
      </w:r>
    </w:p>
    <w:p w14:paraId="7978DEF9" w14:textId="77777777" w:rsidR="000127D5" w:rsidRDefault="000127D5" w:rsidP="000127D5">
      <w:pPr>
        <w:pStyle w:val="Nivel2SM"/>
      </w:pPr>
      <w:r>
        <w:t>Si todas las clases de renta personal (plusvalías, dividendos e intereses) estuviesen gravadas al mismo tipo impositivo, el IRPF no reduciría las ventajas del endeudamiento empresarial. Sin embargo, debido al distinto tratamiento fiscal de las ganancias de capital (el pago de impuestos se demora hasta que se realizan las plusvalías), dividendos (el pago puede retrasarse si la empresa decide no repartir dividendos) e intereses, el rendimiento total neto de impuestos que perciben los accionistas y obligacionistas será diferente en función de cuál sea la estructura financiera de la empresa.</w:t>
      </w:r>
    </w:p>
    <w:p w14:paraId="2D0EFF81" w14:textId="60748A8B" w:rsidR="000127D5" w:rsidRDefault="000127D5" w:rsidP="000127D5">
      <w:pPr>
        <w:pStyle w:val="Ttuloimagen"/>
        <w:rPr>
          <w:i/>
          <w:iCs/>
          <w:smallCaps w:val="0"/>
        </w:rPr>
      </w:pPr>
      <w:r>
        <w:lastRenderedPageBreak/>
        <w:t>Imagen </w:t>
      </w:r>
      <w:r>
        <w:fldChar w:fldCharType="begin"/>
      </w:r>
      <w:r>
        <w:instrText xml:space="preserve"> SEQ Ilustración \* ARABIC </w:instrText>
      </w:r>
      <w:r>
        <w:fldChar w:fldCharType="separate"/>
      </w:r>
      <w:r w:rsidR="004626ED">
        <w:t>5</w:t>
      </w:r>
      <w:r>
        <w:fldChar w:fldCharType="end"/>
      </w:r>
      <w:r w:rsidRPr="00BC434C">
        <w:rPr>
          <w:smallCaps w:val="0"/>
        </w:rPr>
        <w:t xml:space="preserve">.– </w:t>
      </w:r>
      <w:r>
        <w:rPr>
          <w:i/>
          <w:iCs/>
          <w:smallCaps w:val="0"/>
        </w:rPr>
        <w:t>Lógica detrás del efecto conjunto del IS y del IRPF (</w:t>
      </w:r>
      <w:r>
        <w:rPr>
          <w:i/>
          <w:iCs/>
        </w:rPr>
        <w:t>Miller</w:t>
      </w:r>
      <w:r>
        <w:rPr>
          <w:i/>
          <w:iCs/>
          <w:smallCaps w:val="0"/>
        </w:rPr>
        <w:t>, 1977)</w:t>
      </w:r>
    </w:p>
    <w:p w14:paraId="336CB3E2" w14:textId="77777777" w:rsidR="000127D5" w:rsidRDefault="000127D5" w:rsidP="000127D5">
      <w:pPr>
        <w:pStyle w:val="Imagen"/>
      </w:pPr>
      <w:r>
        <w:drawing>
          <wp:inline distT="0" distB="0" distL="0" distR="0" wp14:anchorId="72E01CB1" wp14:editId="1AB9A0F9">
            <wp:extent cx="3368535" cy="2743200"/>
            <wp:effectExtent l="0" t="0" r="3810" b="0"/>
            <wp:docPr id="206970990" name="Imagen 20697099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31464" name="Imagen 2" descr="Diagrama&#10;&#10;Descripción generada automáticamente"/>
                    <pic:cNvPicPr>
                      <a:picLocks noChangeAspect="1" noChangeArrowheads="1"/>
                    </pic:cNvPicPr>
                  </pic:nvPicPr>
                  <pic:blipFill rotWithShape="1">
                    <a:blip r:embed="rId38">
                      <a:extLst>
                        <a:ext uri="{BEBA8EAE-BF5A-486C-A8C5-ECC9F3942E4B}">
                          <a14:imgProps xmlns:a14="http://schemas.microsoft.com/office/drawing/2010/main">
                            <a14:imgLayer r:embed="rId39">
                              <a14:imgEffect>
                                <a14:brightnessContrast bright="20000" contrast="-40000"/>
                              </a14:imgEffect>
                            </a14:imgLayer>
                          </a14:imgProps>
                        </a:ext>
                        <a:ext uri="{28A0092B-C50C-407E-A947-70E740481C1C}">
                          <a14:useLocalDpi xmlns:a14="http://schemas.microsoft.com/office/drawing/2010/main" val="0"/>
                        </a:ext>
                      </a:extLst>
                    </a:blip>
                    <a:srcRect t="1695"/>
                    <a:stretch/>
                  </pic:blipFill>
                  <pic:spPr bwMode="auto">
                    <a:xfrm>
                      <a:off x="0" y="0"/>
                      <a:ext cx="3371613" cy="2745707"/>
                    </a:xfrm>
                    <a:prstGeom prst="rect">
                      <a:avLst/>
                    </a:prstGeom>
                    <a:noFill/>
                    <a:ln>
                      <a:noFill/>
                    </a:ln>
                    <a:extLst>
                      <a:ext uri="{53640926-AAD7-44D8-BBD7-CCE9431645EC}">
                        <a14:shadowObscured xmlns:a14="http://schemas.microsoft.com/office/drawing/2010/main"/>
                      </a:ext>
                    </a:extLst>
                  </pic:spPr>
                </pic:pic>
              </a:graphicData>
            </a:graphic>
          </wp:inline>
        </w:drawing>
      </w:r>
    </w:p>
    <w:p w14:paraId="6C3DAB88" w14:textId="6A795517" w:rsidR="000127D5" w:rsidRPr="00BC434C" w:rsidRDefault="000127D5" w:rsidP="000127D5">
      <w:pPr>
        <w:pStyle w:val="PiedeImagen"/>
        <w:rPr>
          <w:i w:val="0"/>
          <w:iCs/>
        </w:rPr>
      </w:pPr>
      <w:r>
        <w:t>Fuente</w:t>
      </w:r>
      <w:r>
        <w:rPr>
          <w:i w:val="0"/>
          <w:iCs/>
        </w:rPr>
        <w:t xml:space="preserve">: </w:t>
      </w:r>
      <w:r w:rsidR="00E51441">
        <w:rPr>
          <w:i w:val="0"/>
          <w:iCs/>
        </w:rPr>
        <w:t>…</w:t>
      </w:r>
    </w:p>
    <w:p w14:paraId="14EA76B9" w14:textId="77777777" w:rsidR="000127D5" w:rsidRDefault="000127D5" w:rsidP="000127D5">
      <w:pPr>
        <w:pStyle w:val="Nivel1SM"/>
        <w:keepNext/>
        <w:spacing w:after="0"/>
      </w:pPr>
      <w:r>
        <w:t>La empresa se endeudará siempre que exista un ahorro fiscal, es decir, hasta que la renta disponible (después de impuesto) en el caso de una empresa endeudada sea igual que la renta disponible para accionistas en el cas</w:t>
      </w:r>
      <w:r w:rsidRPr="00746FB8">
        <w:t>o de una empresa no endeudada:</w:t>
      </w:r>
    </w:p>
    <w:p w14:paraId="01D9437E" w14:textId="77777777" w:rsidR="000127D5" w:rsidRPr="007B755C" w:rsidRDefault="00000000" w:rsidP="000127D5">
      <w:pPr>
        <w:keepNext/>
        <w:spacing w:after="0"/>
        <w:rPr>
          <w:rFonts w:eastAsiaTheme="minorEastAsia"/>
          <w:iCs/>
          <w:color w:val="000000"/>
          <w:spacing w:val="-4"/>
        </w:rPr>
      </w:pPr>
      <m:oMathPara>
        <m:oMath>
          <m:m>
            <m:mPr>
              <m:mcs>
                <m:mc>
                  <m:mcPr>
                    <m:count m:val="1"/>
                    <m:mcJc m:val="center"/>
                  </m:mcPr>
                </m:mc>
              </m:mcs>
              <m:ctrlPr>
                <w:rPr>
                  <w:rFonts w:ascii="Cambria Math" w:hAnsi="Cambria Math"/>
                  <w:i/>
                </w:rPr>
              </m:ctrlPr>
            </m:mPr>
            <m:mr>
              <m:e>
                <m:limUpp>
                  <m:limUppPr>
                    <m:ctrlPr>
                      <w:rPr>
                        <w:rFonts w:ascii="Cambria Math" w:hAnsi="Cambria Math"/>
                        <w:i/>
                      </w:rPr>
                    </m:ctrlPr>
                  </m:limUppPr>
                  <m:e>
                    <m:groupChr>
                      <m:groupChrPr>
                        <m:chr m:val="⏞"/>
                        <m:pos m:val="top"/>
                        <m:vertJc m:val="bot"/>
                        <m:ctrlPr>
                          <w:rPr>
                            <w:rFonts w:ascii="Cambria Math" w:hAnsi="Cambria Math"/>
                            <w:i/>
                          </w:rPr>
                        </m:ctrlPr>
                      </m:groupChrPr>
                      <m:e>
                        <m:limLow>
                          <m:limLowPr>
                            <m:ctrlPr>
                              <w:rPr>
                                <w:rFonts w:ascii="Cambria Math" w:hAnsi="Cambria Math"/>
                                <w:i/>
                                <w:iCs/>
                                <w:color w:val="000000"/>
                                <w:spacing w:val="-4"/>
                              </w:rPr>
                            </m:ctrlPr>
                          </m:limLowPr>
                          <m:e>
                            <m:groupChr>
                              <m:groupChrPr>
                                <m:ctrlPr>
                                  <w:rPr>
                                    <w:rFonts w:ascii="Cambria Math" w:hAnsi="Cambria Math"/>
                                    <w:i/>
                                    <w:iCs/>
                                    <w:color w:val="000000"/>
                                    <w:spacing w:val="-4"/>
                                  </w:rPr>
                                </m:ctrlPr>
                              </m:groupChrPr>
                              <m:e>
                                <m:r>
                                  <m:rPr>
                                    <m:nor/>
                                  </m:rPr>
                                  <w:rPr>
                                    <w:i/>
                                    <w:iCs/>
                                    <w:color w:val="000000"/>
                                    <w:spacing w:val="-4"/>
                                  </w:rPr>
                                  <m:t>B</m:t>
                                </m:r>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e>
                            </m:groupChr>
                          </m:e>
                          <m:lim>
                            <m:r>
                              <m:rPr>
                                <m:nor/>
                              </m:rPr>
                              <w:rPr>
                                <w:i/>
                                <w:color w:val="000000"/>
                                <w:spacing w:val="-4"/>
                              </w:rPr>
                              <m:t>Beneficio tras impuestos</m:t>
                            </m:r>
                          </m:lim>
                        </m:limLow>
                        <m:r>
                          <w:rPr>
                            <w:rFonts w:ascii="Cambria Math" w:hAnsi="Cambria Math"/>
                            <w:color w:val="000000"/>
                            <w:spacing w:val="-4"/>
                          </w:rPr>
                          <m:t>-</m:t>
                        </m:r>
                        <m:limLow>
                          <m:limLowPr>
                            <m:ctrlPr>
                              <w:rPr>
                                <w:rFonts w:ascii="Cambria Math" w:hAnsi="Cambria Math"/>
                                <w:i/>
                                <w:iCs/>
                                <w:color w:val="000000"/>
                                <w:spacing w:val="-4"/>
                              </w:rPr>
                            </m:ctrlPr>
                          </m:limLowPr>
                          <m:e>
                            <m:groupChr>
                              <m:groupChrPr>
                                <m:ctrlPr>
                                  <w:rPr>
                                    <w:rFonts w:ascii="Cambria Math" w:hAnsi="Cambria Math"/>
                                    <w:i/>
                                    <w:iCs/>
                                    <w:color w:val="000000"/>
                                    <w:spacing w:val="-4"/>
                                  </w:rPr>
                                </m:ctrlPr>
                              </m:groupChrPr>
                              <m:e>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r>
                                  <w:rPr>
                                    <w:rFonts w:ascii="Cambria Math" w:hAnsi="Cambria Math"/>
                                    <w:color w:val="000000"/>
                                    <w:spacing w:val="-4"/>
                                  </w:rPr>
                                  <m:t>∙</m:t>
                                </m:r>
                                <m:d>
                                  <m:dPr>
                                    <m:ctrlPr>
                                      <w:rPr>
                                        <w:rFonts w:ascii="Cambria Math" w:hAnsi="Cambria Math"/>
                                        <w:i/>
                                        <w:iCs/>
                                        <w:color w:val="000000"/>
                                        <w:spacing w:val="-4"/>
                                      </w:rPr>
                                    </m:ctrlPr>
                                  </m:dPr>
                                  <m:e>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f>
                                      <m:fPr>
                                        <m:type m:val="lin"/>
                                        <m:ctrlPr>
                                          <w:rPr>
                                            <w:rFonts w:ascii="Cambria Math" w:hAnsi="Cambria Math"/>
                                            <w:i/>
                                            <w:iCs/>
                                            <w:color w:val="000000"/>
                                            <w:spacing w:val="-4"/>
                                          </w:rPr>
                                        </m:ctrlPr>
                                      </m:fPr>
                                      <m:num>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num>
                                      <m:den>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D</m:t>
                                                </m:r>
                                              </m:sup>
                                            </m:sSubSup>
                                          </m:e>
                                        </m:d>
                                      </m:den>
                                    </m:f>
                                  </m:e>
                                </m:d>
                              </m:e>
                            </m:groupChr>
                          </m:e>
                          <m:lim>
                            <m:r>
                              <m:rPr>
                                <m:nor/>
                              </m:rPr>
                              <w:rPr>
                                <w:i/>
                                <w:color w:val="000000"/>
                                <w:spacing w:val="-4"/>
                              </w:rPr>
                              <m:t>Coste de la deuda tras impuestos</m:t>
                            </m:r>
                          </m:lim>
                        </m:limLow>
                      </m:e>
                    </m:groupChr>
                  </m:e>
                  <m:lim>
                    <m:eqArr>
                      <m:eqArrPr>
                        <m:ctrlPr>
                          <w:rPr>
                            <w:rFonts w:ascii="Cambria Math" w:hAnsi="Cambria Math"/>
                            <w:i/>
                            <w:iCs/>
                            <w:color w:val="000000"/>
                            <w:spacing w:val="-4"/>
                            <w:lang w:val="fr-FR"/>
                          </w:rPr>
                        </m:ctrlPr>
                      </m:eqArrPr>
                      <m:e>
                        <m:r>
                          <m:rPr>
                            <m:nor/>
                          </m:rPr>
                          <w:rPr>
                            <w:i/>
                            <w:iCs/>
                            <w:color w:val="000000"/>
                            <w:spacing w:val="-4"/>
                          </w:rPr>
                          <m:t>Renta disponible para accionistas y obligacionistas</m:t>
                        </m:r>
                      </m:e>
                      <m:e>
                        <m:r>
                          <m:rPr>
                            <m:nor/>
                          </m:rPr>
                          <w:rPr>
                            <w:i/>
                            <w:iCs/>
                            <w:color w:val="000000"/>
                            <w:spacing w:val="-4"/>
                          </w:rPr>
                          <m:t>en el caso de una empresa endeudada</m:t>
                        </m:r>
                      </m:e>
                    </m:eqArr>
                  </m:lim>
                </m:limUpp>
                <m:r>
                  <w:rPr>
                    <w:rFonts w:ascii="Cambria Math" w:hAnsi="Cambria Math"/>
                    <w:color w:val="000000"/>
                    <w:spacing w:val="-4"/>
                  </w:rPr>
                  <m:t>=</m:t>
                </m:r>
                <m:limUpp>
                  <m:limUppPr>
                    <m:ctrlPr>
                      <w:rPr>
                        <w:rFonts w:ascii="Cambria Math" w:hAnsi="Cambria Math"/>
                        <w:i/>
                        <w:iCs/>
                        <w:color w:val="000000"/>
                        <w:spacing w:val="-4"/>
                        <w:lang w:val="fr-FR"/>
                      </w:rPr>
                    </m:ctrlPr>
                  </m:limUppPr>
                  <m:e>
                    <m:groupChr>
                      <m:groupChrPr>
                        <m:chr m:val="⏞"/>
                        <m:pos m:val="top"/>
                        <m:vertJc m:val="bot"/>
                        <m:ctrlPr>
                          <w:rPr>
                            <w:rFonts w:ascii="Cambria Math" w:hAnsi="Cambria Math"/>
                            <w:i/>
                            <w:iCs/>
                            <w:color w:val="000000"/>
                            <w:spacing w:val="-4"/>
                            <w:lang w:val="fr-FR"/>
                          </w:rPr>
                        </m:ctrlPr>
                      </m:groupChrPr>
                      <m:e>
                        <m:limLow>
                          <m:limLowPr>
                            <m:ctrlPr>
                              <w:rPr>
                                <w:rFonts w:ascii="Cambria Math" w:hAnsi="Cambria Math"/>
                                <w:i/>
                                <w:iCs/>
                                <w:color w:val="000000"/>
                                <w:spacing w:val="-4"/>
                              </w:rPr>
                            </m:ctrlPr>
                          </m:limLowPr>
                          <m:e>
                            <m:groupChr>
                              <m:groupChrPr>
                                <m:ctrlPr>
                                  <w:rPr>
                                    <w:rFonts w:ascii="Cambria Math" w:hAnsi="Cambria Math"/>
                                    <w:i/>
                                    <w:iCs/>
                                    <w:color w:val="000000"/>
                                    <w:spacing w:val="-4"/>
                                  </w:rPr>
                                </m:ctrlPr>
                              </m:groupChrPr>
                              <m:e>
                                <m:r>
                                  <m:rPr>
                                    <m:nor/>
                                  </m:rPr>
                                  <w:rPr>
                                    <w:i/>
                                    <w:iCs/>
                                    <w:color w:val="000000"/>
                                    <w:spacing w:val="-4"/>
                                  </w:rPr>
                                  <m:t>B</m:t>
                                </m:r>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e>
                            </m:groupChr>
                          </m:e>
                          <m:lim>
                            <m:r>
                              <m:rPr>
                                <m:nor/>
                              </m:rPr>
                              <w:rPr>
                                <w:i/>
                                <w:color w:val="000000"/>
                                <w:spacing w:val="-4"/>
                              </w:rPr>
                              <m:t>Beneficio tras impuestos</m:t>
                            </m:r>
                          </m:lim>
                        </m:limLow>
                      </m:e>
                    </m:groupChr>
                  </m:e>
                  <m:lim>
                    <m:eqArr>
                      <m:eqArrPr>
                        <m:ctrlPr>
                          <w:rPr>
                            <w:rFonts w:ascii="Cambria Math" w:hAnsi="Cambria Math"/>
                            <w:i/>
                            <w:iCs/>
                            <w:color w:val="000000"/>
                            <w:spacing w:val="-4"/>
                            <w:lang w:val="fr-FR"/>
                          </w:rPr>
                        </m:ctrlPr>
                      </m:eqArrPr>
                      <m:e>
                        <m:r>
                          <m:rPr>
                            <m:nor/>
                          </m:rPr>
                          <w:rPr>
                            <w:i/>
                            <w:iCs/>
                            <w:color w:val="000000"/>
                            <w:spacing w:val="-4"/>
                          </w:rPr>
                          <m:t>Renta disponible para accionistas</m:t>
                        </m:r>
                      </m:e>
                      <m:e>
                        <m:r>
                          <m:rPr>
                            <m:nor/>
                          </m:rPr>
                          <w:rPr>
                            <w:i/>
                            <w:iCs/>
                            <w:color w:val="000000"/>
                            <w:spacing w:val="-4"/>
                          </w:rPr>
                          <m:t>en el caso de una empresa no endeudada</m:t>
                        </m:r>
                      </m:e>
                    </m:eqArr>
                  </m:lim>
                </m:limUpp>
              </m:e>
            </m:mr>
            <m:mr>
              <m:e>
                <m:r>
                  <w:rPr>
                    <w:rFonts w:ascii="Cambria Math" w:hAnsi="Cambria Math"/>
                  </w:rPr>
                  <m:t xml:space="preserve">                                                </m:t>
                </m:r>
                <m:m>
                  <m:mPr>
                    <m:mcs>
                      <m:mc>
                        <m:mcPr>
                          <m:count m:val="2"/>
                          <m:mcJc m:val="center"/>
                        </m:mcPr>
                      </m:mc>
                    </m:mcs>
                    <m:ctrlPr>
                      <w:rPr>
                        <w:rFonts w:ascii="Cambria Math" w:hAnsi="Cambria Math"/>
                        <w:i/>
                      </w:rPr>
                    </m:ctrlPr>
                  </m:mPr>
                  <m:mr>
                    <m:e>
                      <m:r>
                        <w:rPr>
                          <w:rFonts w:ascii="Cambria Math" w:hAnsi="Cambria Math"/>
                        </w:rPr>
                        <m:t>⇓</m:t>
                      </m:r>
                    </m:e>
                    <m:e>
                      <m:d>
                        <m:dPr>
                          <m:begChr m:val="{"/>
                          <m:endChr m:val=""/>
                          <m:ctrlPr>
                            <w:rPr>
                              <w:rFonts w:ascii="Cambria Math" w:hAnsi="Cambria Math"/>
                              <w:i/>
                            </w:rPr>
                          </m:ctrlPr>
                        </m:dPr>
                        <m:e>
                          <m:r>
                            <m:rPr>
                              <m:nor/>
                            </m:rPr>
                            <w:rPr>
                              <w:i/>
                              <w:iCs/>
                              <w:sz w:val="16"/>
                              <w:szCs w:val="16"/>
                            </w:rPr>
                            <m:t>Pasamos lo de la derecha restando</m:t>
                          </m:r>
                        </m:e>
                      </m:d>
                    </m:e>
                  </m:mr>
                </m:m>
              </m:e>
            </m:mr>
            <m:mr>
              <m:e>
                <m:r>
                  <m:rPr>
                    <m:nor/>
                  </m:rPr>
                  <w:rPr>
                    <w:i/>
                    <w:iCs/>
                    <w:color w:val="000000"/>
                    <w:spacing w:val="-4"/>
                  </w:rPr>
                  <m:t xml:space="preserve">Ahorro fiscal por endeudarse una cantidad </m:t>
                </m:r>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r>
                  <w:rPr>
                    <w:rFonts w:ascii="Cambria Math" w:hAnsi="Cambria Math"/>
                    <w:color w:val="000000"/>
                    <w:spacing w:val="-4"/>
                  </w:rPr>
                  <m:t xml:space="preserve">: </m:t>
                </m:r>
                <m:borderBox>
                  <m:borderBoxPr>
                    <m:ctrlPr>
                      <w:rPr>
                        <w:rFonts w:ascii="Cambria Math" w:hAnsi="Cambria Math"/>
                        <w:i/>
                        <w:iCs/>
                        <w:color w:val="000000"/>
                        <w:spacing w:val="-4"/>
                      </w:rPr>
                    </m:ctrlPr>
                  </m:borderBoxPr>
                  <m:e>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f>
                          <m:fPr>
                            <m:type m:val="lin"/>
                            <m:ctrlPr>
                              <w:rPr>
                                <w:rFonts w:ascii="Cambria Math" w:hAnsi="Cambria Math"/>
                                <w:i/>
                                <w:iCs/>
                                <w:color w:val="000000"/>
                                <w:spacing w:val="-4"/>
                              </w:rPr>
                            </m:ctrlPr>
                          </m:fPr>
                          <m:num>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num>
                          <m:den>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D</m:t>
                                    </m:r>
                                  </m:sup>
                                </m:sSubSup>
                              </m:e>
                            </m:d>
                          </m:den>
                        </m:f>
                      </m:e>
                    </m:d>
                  </m:e>
                </m:borderBox>
              </m:e>
            </m:mr>
          </m:m>
        </m:oMath>
      </m:oMathPara>
    </w:p>
    <w:p w14:paraId="06FEF9AA" w14:textId="77777777" w:rsidR="000127D5" w:rsidRDefault="000127D5" w:rsidP="000127D5">
      <w:pPr>
        <w:keepNext/>
        <w:spacing w:after="0"/>
      </w:pPr>
      <w:r>
        <w:t>donde:</w:t>
      </w:r>
    </w:p>
    <w:p w14:paraId="7EBCADC5" w14:textId="77777777" w:rsidR="000127D5" w:rsidRPr="003472F3" w:rsidRDefault="00000000" w:rsidP="000127D5">
      <w:pPr>
        <w:pStyle w:val="Prrafodelista"/>
        <w:numPr>
          <w:ilvl w:val="0"/>
          <w:numId w:val="50"/>
        </w:numPr>
        <w:spacing w:after="100"/>
        <w:ind w:left="567" w:hanging="198"/>
      </w:pPr>
      <m:oMath>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oMath>
      <w:r w:rsidR="000127D5" w:rsidRPr="003472F3">
        <w:t xml:space="preserve"> representa e</w:t>
      </w:r>
      <w:r w:rsidR="000127D5">
        <w:t>l tipo impositivo del IRPF en concepto de intereses de deudas;</w:t>
      </w:r>
    </w:p>
    <w:p w14:paraId="27636C8C" w14:textId="77777777" w:rsidR="000127D5" w:rsidRPr="00AB0451" w:rsidRDefault="00000000" w:rsidP="000127D5">
      <w:pPr>
        <w:pStyle w:val="Prrafodelista"/>
        <w:numPr>
          <w:ilvl w:val="0"/>
          <w:numId w:val="50"/>
        </w:numPr>
        <w:spacing w:after="100"/>
        <w:ind w:left="567" w:hanging="198"/>
      </w:pPr>
      <m:oMath>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oMath>
      <w:r w:rsidR="000127D5" w:rsidRPr="00AB0451">
        <w:t xml:space="preserve"> representa e</w:t>
      </w:r>
      <w:r w:rsidR="000127D5">
        <w:t>l tipo impositivo del IRPF correspondiente al rendimiento de las acciones (tanto por plusvalías como por dividendos);</w:t>
      </w:r>
    </w:p>
    <w:p w14:paraId="2C480982" w14:textId="77777777" w:rsidR="000127D5" w:rsidRDefault="00000000" w:rsidP="000127D5">
      <w:pPr>
        <w:pStyle w:val="Prrafodelista"/>
        <w:numPr>
          <w:ilvl w:val="0"/>
          <w:numId w:val="50"/>
        </w:numPr>
        <w:spacing w:after="100"/>
        <w:ind w:left="567" w:hanging="198"/>
      </w:pPr>
      <m:oMath>
        <m:sSub>
          <m:sSubPr>
            <m:ctrlPr>
              <w:rPr>
                <w:rFonts w:ascii="Cambria Math" w:hAnsi="Cambria Math"/>
                <w:i/>
              </w:rPr>
            </m:ctrlPr>
          </m:sSubPr>
          <m:e>
            <m:r>
              <m:rPr>
                <m:nor/>
              </m:rPr>
              <w:rPr>
                <w:i/>
              </w:rPr>
              <m:t>t</m:t>
            </m:r>
          </m:e>
          <m:sub>
            <m:r>
              <m:rPr>
                <m:nor/>
              </m:rPr>
              <w:rPr>
                <w:i/>
              </w:rPr>
              <m:t>IS</m:t>
            </m:r>
          </m:sub>
        </m:sSub>
      </m:oMath>
      <w:r w:rsidR="000127D5">
        <w:t xml:space="preserve"> representa el tipo impositivo del impuesto de sociedades.</w:t>
      </w:r>
    </w:p>
    <w:p w14:paraId="62A1811D" w14:textId="77777777" w:rsidR="000127D5" w:rsidRDefault="000127D5" w:rsidP="000127D5">
      <w:pPr>
        <w:pStyle w:val="Nivel1SM"/>
        <w:keepNext/>
        <w:spacing w:after="0"/>
      </w:pPr>
      <w:r>
        <w:t xml:space="preserve">En este caso también existe un </w:t>
      </w:r>
      <w:proofErr w:type="spellStart"/>
      <w:r>
        <w:rPr>
          <w:b/>
          <w:bCs/>
        </w:rPr>
        <w:t>trade</w:t>
      </w:r>
      <w:proofErr w:type="spellEnd"/>
      <w:r>
        <w:rPr>
          <w:b/>
          <w:bCs/>
        </w:rPr>
        <w:t>-off</w:t>
      </w:r>
      <w:r>
        <w:t xml:space="preserve"> para la empresa entre las ventajas de un impuesto de sociedades y las desventajas de un impuesto sobre la renta que grava las ganancias de capital de los tenedores de deuda (y que, por tanto, van a exigir a la empresa una rentabilidad mayor).</w:t>
      </w:r>
    </w:p>
    <w:p w14:paraId="68E31AE9" w14:textId="77777777" w:rsidR="000127D5" w:rsidRDefault="000127D5" w:rsidP="000127D5">
      <w:pPr>
        <w:pStyle w:val="Nivel2SM"/>
        <w:keepNext/>
        <w:spacing w:after="0"/>
      </w:pPr>
      <w:r>
        <w:t>Concretamente:</w:t>
      </w:r>
    </w:p>
    <w:p w14:paraId="6B8C53A1" w14:textId="77777777" w:rsidR="000127D5" w:rsidRPr="00AB0451" w:rsidRDefault="000127D5" w:rsidP="000127D5">
      <w:pPr>
        <w:pStyle w:val="Nivel3SM"/>
      </w:pPr>
      <w:r w:rsidRPr="00AB0451">
        <w:t xml:space="preserve">Si </w:t>
      </w:r>
      <m:oMath>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e>
        </m:d>
        <m:r>
          <w:rPr>
            <w:rFonts w:ascii="Cambria Math" w:hAnsi="Cambria Math"/>
          </w:rPr>
          <m:t>&lt;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e>
        </m:d>
      </m:oMath>
      <w:r w:rsidRPr="00AB0451">
        <w:t xml:space="preserve">, </w:t>
      </w:r>
      <w:r>
        <w:t xml:space="preserve">el escudo fiscal es mayor que en el caso en que sólo tenemos en cuenta el impuesto de sociedades (i.e. </w:t>
      </w:r>
      <w:r>
        <w:rPr>
          <w:smallCaps/>
        </w:rPr>
        <w:t>Modigliani</w:t>
      </w:r>
      <w:r>
        <w:t xml:space="preserve"> y </w:t>
      </w:r>
      <w:r>
        <w:rPr>
          <w:smallCaps/>
        </w:rPr>
        <w:t>Miller</w:t>
      </w:r>
      <w:r>
        <w:t xml:space="preserve"> (1963)).</w:t>
      </w:r>
    </w:p>
    <w:p w14:paraId="0171326A" w14:textId="77777777" w:rsidR="000127D5" w:rsidRPr="00A127BE" w:rsidRDefault="000127D5" w:rsidP="000127D5">
      <w:pPr>
        <w:pStyle w:val="Nivel3SM"/>
      </w:pPr>
      <w:r w:rsidRPr="00A127BE">
        <w:t xml:space="preserve">Si </w:t>
      </w:r>
      <m:oMath>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e>
        </m:d>
        <m:r>
          <w:rPr>
            <w:rFonts w:ascii="Cambria Math" w:hAnsi="Cambria Math"/>
          </w:rPr>
          <m: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e>
        </m:d>
      </m:oMath>
      <w:r w:rsidRPr="00A127BE">
        <w:t xml:space="preserve">, </w:t>
      </w:r>
      <w:r>
        <w:t>el escudo fiscal es igual al caso en que sólo tenemos en cuenta el impuesto de sociedades</w:t>
      </w:r>
      <w:r w:rsidRPr="00A127BE">
        <w:t>.</w:t>
      </w:r>
    </w:p>
    <w:p w14:paraId="6EA7C7C6" w14:textId="77777777" w:rsidR="000127D5" w:rsidRPr="00AB0451" w:rsidRDefault="000127D5" w:rsidP="000127D5">
      <w:pPr>
        <w:pStyle w:val="Nivel3SM"/>
      </w:pPr>
      <w:r w:rsidRPr="00AB0451">
        <w:t xml:space="preserve">Si </w:t>
      </w:r>
      <m:oMath>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e>
        </m:d>
        <m:r>
          <w:rPr>
            <w:rFonts w:ascii="Cambria Math" w:hAnsi="Cambria Math"/>
          </w:rPr>
          <m:t>&gt;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e>
        </m:d>
      </m:oMath>
      <w:r w:rsidRPr="00AB0451">
        <w:t xml:space="preserve">, </w:t>
      </w:r>
      <w:r>
        <w:t xml:space="preserve">el escudo fiscal tenderá a ser menor que en el caso en que sólo tenemos en cuenta el impuesto de sociedades (i.e. </w:t>
      </w:r>
      <w:r>
        <w:rPr>
          <w:smallCaps/>
        </w:rPr>
        <w:t>Modigliani</w:t>
      </w:r>
      <w:r>
        <w:t xml:space="preserve"> y </w:t>
      </w:r>
      <w:r>
        <w:rPr>
          <w:smallCaps/>
        </w:rPr>
        <w:t>Miller</w:t>
      </w:r>
      <w:r>
        <w:t xml:space="preserve"> (1963)).</w:t>
      </w:r>
    </w:p>
    <w:p w14:paraId="35A7EAC5" w14:textId="308DCA63" w:rsidR="000127D5" w:rsidRDefault="000127D5" w:rsidP="000127D5">
      <w:pPr>
        <w:pStyle w:val="Nivel1SM"/>
        <w:keepNext/>
        <w:spacing w:after="0"/>
      </w:pPr>
      <w:r>
        <w:t>Este enfoque nos hace ver</w:t>
      </w:r>
      <w:r w:rsidR="00625005">
        <w:t xml:space="preserve"> que</w:t>
      </w:r>
      <w:r>
        <w:t xml:space="preserve"> </w:t>
      </w:r>
      <w:r w:rsidRPr="00625005">
        <w:rPr>
          <w:b/>
          <w:bCs/>
        </w:rPr>
        <w:t>los impuestos podrían ser determinantes de la estructura financiera de las empresas</w:t>
      </w:r>
      <w:r>
        <w:t>. En términos generales, el nivel de endeudamiento óptimo será directamente proporcional al tipo de gravamen del IS e inversamente proporcional al tipo de gravamen del IRPF.</w:t>
      </w:r>
    </w:p>
    <w:p w14:paraId="05E665E8" w14:textId="77777777" w:rsidR="000127D5" w:rsidRDefault="000127D5" w:rsidP="000127D5">
      <w:pPr>
        <w:pStyle w:val="Nivel2SM"/>
      </w:pPr>
      <w:r>
        <w:t xml:space="preserve">Por tanto, en la vida real las cosas son más complicadas y hay que tener en cuenta el sistema fiscal, pero bien podría volverse a la conclusión inicial de </w:t>
      </w:r>
      <w:r>
        <w:rPr>
          <w:smallCaps/>
        </w:rPr>
        <w:t>Modigliani</w:t>
      </w:r>
      <w:r>
        <w:t xml:space="preserve"> y </w:t>
      </w:r>
      <w:r>
        <w:rPr>
          <w:smallCaps/>
        </w:rPr>
        <w:t>Miller</w:t>
      </w:r>
      <w:r>
        <w:t> (1958) si la cancelación de efectos entre ambos impuestos es completa.</w:t>
      </w:r>
    </w:p>
    <w:p w14:paraId="4E0FB8BD" w14:textId="77777777" w:rsidR="004E6F3F" w:rsidRDefault="00DE0017" w:rsidP="004E6F3F">
      <w:pPr>
        <w:pStyle w:val="Ttulo2"/>
      </w:pPr>
      <w:bookmarkStart w:id="55" w:name="_Toc149220492"/>
      <w:r w:rsidRPr="00DE0017">
        <w:lastRenderedPageBreak/>
        <w:t>Efectos sobre las decisiones de inversión</w:t>
      </w:r>
      <w:bookmarkEnd w:id="55"/>
    </w:p>
    <w:p w14:paraId="6D755F6C" w14:textId="77777777" w:rsidR="004E6F3F" w:rsidRDefault="004E6F3F" w:rsidP="004E6F3F">
      <w:pPr>
        <w:pStyle w:val="Ttulo3"/>
        <w:spacing w:before="0"/>
      </w:pPr>
      <w:bookmarkStart w:id="56" w:name="_Toc149220493"/>
      <w:r>
        <w:t>Idea</w:t>
      </w:r>
      <w:bookmarkEnd w:id="56"/>
    </w:p>
    <w:p w14:paraId="068B48A7" w14:textId="52660DBD" w:rsidR="00DE0017" w:rsidRPr="00DE0017" w:rsidRDefault="004E6F3F" w:rsidP="004E6F3F">
      <w:pPr>
        <w:pStyle w:val="Ttulo3"/>
      </w:pPr>
      <w:bookmarkStart w:id="57" w:name="_Toc149220494"/>
      <w:r>
        <w:t>Modelo</w:t>
      </w:r>
      <w:bookmarkEnd w:id="57"/>
    </w:p>
    <w:p w14:paraId="41FF7FBA" w14:textId="77777777" w:rsidR="004E6F3F" w:rsidRDefault="004E6F3F" w:rsidP="004E6F3F">
      <w:pPr>
        <w:pStyle w:val="Ttulo6"/>
        <w:spacing w:before="0"/>
      </w:pPr>
      <w:bookmarkStart w:id="58" w:name="_Toc149220495"/>
      <w:r>
        <w:t>Supuestos</w:t>
      </w:r>
      <w:bookmarkEnd w:id="58"/>
    </w:p>
    <w:p w14:paraId="6BBD1062" w14:textId="77777777" w:rsidR="004E6F3F" w:rsidRDefault="004E6F3F" w:rsidP="00D35E6C">
      <w:pPr>
        <w:pStyle w:val="Ttulo6"/>
      </w:pPr>
      <w:bookmarkStart w:id="59" w:name="_Toc149220496"/>
      <w:r>
        <w:t>Desarrollo</w:t>
      </w:r>
      <w:bookmarkEnd w:id="59"/>
    </w:p>
    <w:p w14:paraId="4153B233" w14:textId="13BD99AC" w:rsidR="00DE0017" w:rsidRPr="00DE0017" w:rsidRDefault="00DE0017" w:rsidP="004E6F3F">
      <w:pPr>
        <w:pStyle w:val="Ttulo7"/>
        <w:spacing w:before="0"/>
      </w:pPr>
      <w:bookmarkStart w:id="60" w:name="_Toc149220497"/>
      <w:r w:rsidRPr="00DE0017">
        <w:t>Situación sin impuestos</w:t>
      </w:r>
      <w:bookmarkEnd w:id="60"/>
    </w:p>
    <w:p w14:paraId="0AD7C9EE" w14:textId="72F4D423" w:rsidR="00DE0017" w:rsidRPr="00DE0017" w:rsidRDefault="00DE0017" w:rsidP="00546FA4">
      <w:pPr>
        <w:pStyle w:val="Nivel2SM"/>
        <w:keepNext/>
        <w:spacing w:after="0"/>
      </w:pPr>
      <w:r w:rsidRPr="00DE0017">
        <w:t>Además de lo anterior, impuestos como el IS influyen también sobre las decisiones de inversión. Para analizarlo partimos del programa de maximizac</w:t>
      </w:r>
      <w:r w:rsidR="00401B83">
        <w:t>ión de beneficios de la empresa y la decisión de inversión.</w:t>
      </w:r>
    </w:p>
    <w:p w14:paraId="136A6BB5" w14:textId="40A1F57F" w:rsidR="00DE0017" w:rsidRPr="00D3340B" w:rsidRDefault="00000000" w:rsidP="00546FA4">
      <w:pPr>
        <w:spacing w:after="0"/>
        <w:ind w:left="720"/>
        <w:jc w:val="center"/>
        <w:rPr>
          <w:i/>
          <w:lang w:val="en-US"/>
        </w:rPr>
      </w:pPr>
      <m:oMathPara>
        <m:oMath>
          <m:func>
            <m:funcPr>
              <m:ctrlPr>
                <w:rPr>
                  <w:rFonts w:ascii="Cambria Math" w:eastAsia="Times New Roman" w:hAnsi="Cambria Math"/>
                  <w:i/>
                </w:rPr>
              </m:ctrlPr>
            </m:funcPr>
            <m:fName>
              <m:limLow>
                <m:limLowPr>
                  <m:ctrlPr>
                    <w:rPr>
                      <w:rFonts w:ascii="Cambria Math" w:eastAsia="Times New Roman" w:hAnsi="Cambria Math"/>
                      <w:i/>
                    </w:rPr>
                  </m:ctrlPr>
                </m:limLowPr>
                <m:e>
                  <m:r>
                    <m:rPr>
                      <m:nor/>
                    </m:rPr>
                    <w:rPr>
                      <w:rFonts w:eastAsia="Times New Roman"/>
                      <w:i/>
                      <w:lang w:val="en-US"/>
                    </w:rPr>
                    <m:t>max</m:t>
                  </m:r>
                </m:e>
                <m:lim>
                  <m:d>
                    <m:dPr>
                      <m:begChr m:val="{"/>
                      <m:endChr m:val="}"/>
                      <m:ctrlPr>
                        <w:rPr>
                          <w:rFonts w:ascii="Cambria Math" w:eastAsia="Times New Roman" w:hAnsi="Cambria Math"/>
                          <w:i/>
                        </w:rPr>
                      </m:ctrlPr>
                    </m:dPr>
                    <m:e>
                      <m:r>
                        <m:rPr>
                          <m:nor/>
                        </m:rPr>
                        <w:rPr>
                          <w:rFonts w:eastAsia="Times New Roman"/>
                          <w:i/>
                          <w:lang w:val="en-US"/>
                        </w:rPr>
                        <m:t>K</m:t>
                      </m:r>
                    </m:e>
                  </m:d>
                </m:lim>
              </m:limLow>
            </m:fName>
            <m:e>
              <m:r>
                <m:rPr>
                  <m:nor/>
                </m:rPr>
                <w:rPr>
                  <w:rFonts w:eastAsia="Times New Roman"/>
                  <w:i/>
                </w:rPr>
                <m:t>Π</m:t>
              </m:r>
              <m:r>
                <w:rPr>
                  <w:rFonts w:ascii="Cambria Math" w:eastAsia="Times New Roman" w:hAnsi="Cambria Math"/>
                  <w:lang w:val="en-US"/>
                </w:rPr>
                <m:t>=</m:t>
              </m:r>
              <m:r>
                <m:rPr>
                  <m:nor/>
                </m:rPr>
                <w:rPr>
                  <w:rFonts w:eastAsia="Times New Roman"/>
                  <w:i/>
                  <w:lang w:val="en-US"/>
                </w:rPr>
                <m:t>p</m:t>
              </m:r>
              <m:r>
                <w:rPr>
                  <w:rFonts w:ascii="Cambria Math" w:eastAsia="Times New Roman" w:hAnsi="Cambria Math"/>
                  <w:lang w:val="en-US"/>
                </w:rPr>
                <m:t>∙</m:t>
              </m:r>
              <m:r>
                <m:rPr>
                  <m:nor/>
                </m:rPr>
                <w:rPr>
                  <w:rFonts w:eastAsia="Times New Roman"/>
                  <w:i/>
                  <w:lang w:val="en-US"/>
                </w:rPr>
                <m:t>F</m:t>
              </m:r>
              <m:d>
                <m:dPr>
                  <m:ctrlPr>
                    <w:rPr>
                      <w:rFonts w:ascii="Cambria Math" w:eastAsia="Times New Roman" w:hAnsi="Cambria Math"/>
                      <w:i/>
                    </w:rPr>
                  </m:ctrlPr>
                </m:dPr>
                <m:e>
                  <m:r>
                    <m:rPr>
                      <m:nor/>
                    </m:rPr>
                    <w:rPr>
                      <w:rFonts w:eastAsia="Times New Roman"/>
                      <w:i/>
                      <w:lang w:val="en-US"/>
                    </w:rPr>
                    <m:t>K,L</m:t>
                  </m:r>
                </m:e>
              </m:d>
              <m:r>
                <w:rPr>
                  <w:rFonts w:ascii="Cambria Math" w:eastAsia="Times New Roman" w:hAnsi="Cambria Math"/>
                  <w:lang w:val="en-US"/>
                </w:rPr>
                <m:t>-</m:t>
              </m:r>
              <m:r>
                <m:rPr>
                  <m:nor/>
                </m:rPr>
                <w:rPr>
                  <w:rFonts w:eastAsia="Times New Roman"/>
                  <w:i/>
                  <w:lang w:val="en-US"/>
                </w:rPr>
                <m:t>w</m:t>
              </m:r>
              <m:r>
                <w:rPr>
                  <w:rFonts w:ascii="Cambria Math" w:eastAsia="Times New Roman" w:hAnsi="Cambria Math"/>
                  <w:lang w:val="en-US"/>
                </w:rPr>
                <m:t>∙</m:t>
              </m:r>
              <m:r>
                <m:rPr>
                  <m:nor/>
                </m:rPr>
                <w:rPr>
                  <w:rFonts w:eastAsia="Times New Roman"/>
                  <w:i/>
                  <w:lang w:val="en-US"/>
                </w:rPr>
                <m:t>L</m:t>
              </m:r>
              <m:r>
                <w:rPr>
                  <w:rFonts w:ascii="Cambria Math" w:eastAsia="Times New Roman" w:hAnsi="Cambria Math"/>
                  <w:lang w:val="en-US"/>
                </w:rPr>
                <m:t>-</m:t>
              </m:r>
              <m:d>
                <m:dPr>
                  <m:ctrlPr>
                    <w:rPr>
                      <w:rFonts w:ascii="Cambria Math" w:eastAsia="Times New Roman" w:hAnsi="Cambria Math"/>
                      <w:i/>
                    </w:rPr>
                  </m:ctrlPr>
                </m:dPr>
                <m:e>
                  <m:r>
                    <m:rPr>
                      <m:nor/>
                    </m:rPr>
                    <w:rPr>
                      <w:rFonts w:eastAsia="Times New Roman"/>
                      <w:i/>
                      <w:lang w:val="en-US"/>
                    </w:rPr>
                    <m:t>r</m:t>
                  </m:r>
                  <m:r>
                    <w:rPr>
                      <w:rFonts w:ascii="Cambria Math" w:eastAsia="Times New Roman" w:hAnsi="Cambria Math"/>
                      <w:lang w:val="en-US"/>
                    </w:rPr>
                    <m:t>+</m:t>
                  </m:r>
                  <m:r>
                    <m:rPr>
                      <m:nor/>
                    </m:rPr>
                    <w:rPr>
                      <w:rFonts w:eastAsia="Times New Roman"/>
                      <w:i/>
                    </w:rPr>
                    <m:t>δ</m:t>
                  </m:r>
                </m:e>
              </m:d>
              <m:r>
                <w:rPr>
                  <w:rFonts w:ascii="Cambria Math" w:eastAsia="Times New Roman" w:hAnsi="Cambria Math"/>
                  <w:lang w:val="en-US"/>
                </w:rPr>
                <m:t>∙</m:t>
              </m:r>
              <m:r>
                <m:rPr>
                  <m:nor/>
                </m:rPr>
                <w:rPr>
                  <w:rFonts w:eastAsia="Times New Roman"/>
                  <w:i/>
                  <w:lang w:val="en-US"/>
                </w:rPr>
                <m:t>K</m:t>
              </m:r>
            </m:e>
          </m:func>
        </m:oMath>
      </m:oMathPara>
    </w:p>
    <w:p w14:paraId="74B2B3BA" w14:textId="78A70DF4" w:rsidR="00DE0017" w:rsidRPr="000676EF" w:rsidRDefault="00FC47F5" w:rsidP="00546FA4">
      <w:pPr>
        <w:spacing w:after="0"/>
        <w:ind w:left="720"/>
        <w:jc w:val="center"/>
      </w:pPr>
      <m:oMathPara>
        <m:oMath>
          <m:r>
            <m:rPr>
              <m:nor/>
            </m:rPr>
            <w:rPr>
              <w:rFonts w:eastAsia="Times New Roman"/>
              <w:i/>
            </w:rPr>
            <m:t>p</m:t>
          </m:r>
          <m:r>
            <w:rPr>
              <w:rFonts w:ascii="Cambria Math" w:eastAsia="Times New Roman" w:hAnsi="Cambria Math"/>
            </w:rPr>
            <m:t>∙</m:t>
          </m:r>
          <m:sSubSup>
            <m:sSubSupPr>
              <m:ctrlPr>
                <w:rPr>
                  <w:rFonts w:ascii="Cambria Math" w:eastAsia="Times New Roman" w:hAnsi="Cambria Math"/>
                  <w:i/>
                </w:rPr>
              </m:ctrlPr>
            </m:sSubSupPr>
            <m:e>
              <m:r>
                <m:rPr>
                  <m:nor/>
                </m:rPr>
                <w:rPr>
                  <w:rFonts w:eastAsia="Times New Roman"/>
                  <w:i/>
                </w:rPr>
                <m:t>F</m:t>
              </m:r>
            </m:e>
            <m:sub>
              <m:r>
                <m:rPr>
                  <m:nor/>
                </m:rPr>
                <w:rPr>
                  <w:rFonts w:eastAsia="Times New Roman"/>
                  <w:i/>
                </w:rPr>
                <m:t>K</m:t>
              </m:r>
            </m:sub>
            <m:sup>
              <m:r>
                <m:rPr>
                  <m:nor/>
                </m:rPr>
                <w:rPr>
                  <w:rFonts w:eastAsia="Times New Roman"/>
                  <w:i/>
                </w:rPr>
                <m:t>'</m:t>
              </m:r>
            </m:sup>
          </m:sSubSup>
          <m:r>
            <w:rPr>
              <w:rFonts w:ascii="Cambria Math" w:eastAsia="Times New Roman" w:hAnsi="Cambria Math"/>
            </w:rPr>
            <m:t>=</m:t>
          </m:r>
          <m:r>
            <m:rPr>
              <m:nor/>
            </m:rPr>
            <w:rPr>
              <w:rFonts w:eastAsia="Times New Roman"/>
              <w:i/>
            </w:rPr>
            <m:t>r</m:t>
          </m:r>
          <m:r>
            <w:rPr>
              <w:rFonts w:ascii="Cambria Math" w:eastAsia="Times New Roman" w:hAnsi="Cambria Math"/>
            </w:rPr>
            <m:t>+</m:t>
          </m:r>
          <m:r>
            <m:rPr>
              <m:nor/>
            </m:rPr>
            <w:rPr>
              <w:rFonts w:eastAsia="Times New Roman"/>
              <w:i/>
            </w:rPr>
            <m:t>δ</m:t>
          </m:r>
        </m:oMath>
      </m:oMathPara>
    </w:p>
    <w:p w14:paraId="223D522A" w14:textId="5341D472" w:rsidR="00DE0017" w:rsidRPr="00DE0017" w:rsidRDefault="00DE0017" w:rsidP="004E6F3F">
      <w:pPr>
        <w:pStyle w:val="Ttulo7"/>
      </w:pPr>
      <w:bookmarkStart w:id="61" w:name="_Toc149220498"/>
      <w:r w:rsidRPr="00DE0017">
        <w:t>Introducci</w:t>
      </w:r>
      <w:r w:rsidR="00C43044">
        <w:t>ó</w:t>
      </w:r>
      <w:r w:rsidRPr="00DE0017">
        <w:t>n del impuesto</w:t>
      </w:r>
      <w:bookmarkEnd w:id="61"/>
    </w:p>
    <w:p w14:paraId="19EB3508" w14:textId="77777777" w:rsidR="00DE0017" w:rsidRPr="00DE0017" w:rsidRDefault="00DE0017" w:rsidP="00546FA4">
      <w:pPr>
        <w:pStyle w:val="Nivel2SM"/>
        <w:keepNext/>
        <w:spacing w:after="0"/>
      </w:pPr>
      <w:r w:rsidRPr="00DE0017">
        <w:t>Si se admite la deducibilidad de todos los costes financieros</w:t>
      </w:r>
      <w:r w:rsidR="00401B83">
        <w:t xml:space="preserve"> y operativos</w:t>
      </w:r>
      <w:r w:rsidRPr="00DE0017">
        <w:t>, no se producirán alteraciones en las CPO y el IS será neutral sobre la inversión:</w:t>
      </w:r>
    </w:p>
    <w:p w14:paraId="099E11D7" w14:textId="52CD8F08" w:rsidR="00DE0017" w:rsidRPr="00546FA4" w:rsidRDefault="00000000" w:rsidP="00546FA4">
      <w:pPr>
        <w:spacing w:after="0"/>
        <w:ind w:left="720"/>
        <w:jc w:val="center"/>
        <w:rPr>
          <w:lang w:val="fr-FR"/>
        </w:rPr>
      </w:pPr>
      <m:oMathPara>
        <m:oMath>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r>
            <w:rPr>
              <w:rFonts w:ascii="Cambria Math" w:eastAsia="Times New Roman" w:hAnsi="Cambria Math"/>
              <w:lang w:val="fr-FR"/>
            </w:rPr>
            <m:t>∙</m:t>
          </m:r>
          <m:r>
            <m:rPr>
              <m:nor/>
            </m:rPr>
            <w:rPr>
              <w:rFonts w:eastAsia="Times New Roman"/>
              <w:i/>
              <w:lang w:val="fr-FR"/>
            </w:rPr>
            <m:t>p</m:t>
          </m:r>
          <m:r>
            <w:rPr>
              <w:rFonts w:ascii="Cambria Math" w:eastAsia="Times New Roman" w:hAnsi="Cambria Math"/>
              <w:lang w:val="fr-FR"/>
            </w:rPr>
            <m:t>∙</m:t>
          </m:r>
          <m:sSubSup>
            <m:sSubSupPr>
              <m:ctrlPr>
                <w:rPr>
                  <w:rFonts w:ascii="Cambria Math" w:eastAsia="Times New Roman" w:hAnsi="Cambria Math"/>
                  <w:i/>
                </w:rPr>
              </m:ctrlPr>
            </m:sSubSupPr>
            <m:e>
              <m:r>
                <m:rPr>
                  <m:nor/>
                </m:rPr>
                <w:rPr>
                  <w:rFonts w:eastAsia="Times New Roman"/>
                  <w:i/>
                  <w:lang w:val="fr-FR"/>
                </w:rPr>
                <m:t>F</m:t>
              </m:r>
            </m:e>
            <m:sub>
              <m:r>
                <m:rPr>
                  <m:nor/>
                </m:rPr>
                <w:rPr>
                  <w:rFonts w:eastAsia="Times New Roman"/>
                  <w:i/>
                  <w:lang w:val="fr-FR"/>
                </w:rPr>
                <m:t>K</m:t>
              </m:r>
            </m:sub>
            <m:sup>
              <m:r>
                <m:rPr>
                  <m:nor/>
                </m:rPr>
                <w:rPr>
                  <w:rFonts w:eastAsia="Times New Roman"/>
                  <w:i/>
                  <w:lang w:val="fr-FR"/>
                </w:rPr>
                <m:t>'</m:t>
              </m:r>
            </m:sup>
          </m:sSubSup>
          <m:r>
            <w:rPr>
              <w:rFonts w:ascii="Cambria Math" w:eastAsia="Times New Roman" w:hAnsi="Cambria Math"/>
              <w:lang w:val="fr-FR"/>
            </w:rPr>
            <m:t>=</m:t>
          </m:r>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r>
            <w:rPr>
              <w:rFonts w:ascii="Cambria Math" w:eastAsia="Times New Roman" w:hAnsi="Cambria Math"/>
              <w:lang w:val="fr-FR"/>
            </w:rPr>
            <m:t>∙</m:t>
          </m:r>
          <m:d>
            <m:dPr>
              <m:ctrlPr>
                <w:rPr>
                  <w:rFonts w:ascii="Cambria Math" w:eastAsia="Times New Roman" w:hAnsi="Cambria Math"/>
                  <w:i/>
                </w:rPr>
              </m:ctrlPr>
            </m:dPr>
            <m:e>
              <m:r>
                <m:rPr>
                  <m:nor/>
                </m:rPr>
                <w:rPr>
                  <w:rFonts w:eastAsia="Times New Roman"/>
                  <w:i/>
                  <w:lang w:val="fr-FR"/>
                </w:rPr>
                <m:t>r</m:t>
              </m:r>
              <m:r>
                <w:rPr>
                  <w:rFonts w:ascii="Cambria Math" w:eastAsia="Times New Roman" w:hAnsi="Cambria Math"/>
                  <w:lang w:val="fr-FR"/>
                </w:rPr>
                <m:t>+</m:t>
              </m:r>
              <m:r>
                <m:rPr>
                  <m:nor/>
                </m:rPr>
                <w:rPr>
                  <w:rFonts w:eastAsia="Times New Roman"/>
                  <w:i/>
                </w:rPr>
                <m:t>δ</m:t>
              </m:r>
            </m:e>
          </m:d>
        </m:oMath>
      </m:oMathPara>
    </w:p>
    <w:p w14:paraId="11BFF7AB" w14:textId="77777777" w:rsidR="00DE0017" w:rsidRPr="00DE0017" w:rsidRDefault="00DE0017" w:rsidP="00546FA4">
      <w:pPr>
        <w:pStyle w:val="Nivel2SM"/>
        <w:keepNext/>
        <w:spacing w:after="0"/>
      </w:pPr>
      <w:r w:rsidRPr="00DE0017">
        <w:t xml:space="preserve">Si por el contrario (y como ocurre en la práctica) no se admite la deducibilidad </w:t>
      </w:r>
      <w:r w:rsidR="00401B83">
        <w:t>de los costes de capital</w:t>
      </w:r>
      <w:r w:rsidRPr="00DE0017">
        <w:t xml:space="preserve"> la CPO queda:</w:t>
      </w:r>
    </w:p>
    <w:p w14:paraId="1D2D75F6" w14:textId="6E7ABF0E" w:rsidR="00DE0017" w:rsidRPr="00546FA4" w:rsidRDefault="00000000" w:rsidP="00546FA4">
      <w:pPr>
        <w:spacing w:after="0"/>
        <w:ind w:left="720"/>
        <w:jc w:val="center"/>
        <w:rPr>
          <w:lang w:val="fr-FR"/>
        </w:rPr>
      </w:pPr>
      <m:oMathPara>
        <m:oMath>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r>
            <w:rPr>
              <w:rFonts w:ascii="Cambria Math" w:eastAsia="Times New Roman" w:hAnsi="Cambria Math"/>
              <w:lang w:val="fr-FR"/>
            </w:rPr>
            <m:t>∙</m:t>
          </m:r>
          <m:r>
            <m:rPr>
              <m:nor/>
            </m:rPr>
            <w:rPr>
              <w:rFonts w:eastAsia="Times New Roman"/>
              <w:i/>
              <w:lang w:val="fr-FR"/>
            </w:rPr>
            <m:t>p</m:t>
          </m:r>
          <m:r>
            <w:rPr>
              <w:rFonts w:ascii="Cambria Math" w:eastAsia="Times New Roman" w:hAnsi="Cambria Math"/>
              <w:lang w:val="fr-FR"/>
            </w:rPr>
            <m:t>∙</m:t>
          </m:r>
          <m:sSubSup>
            <m:sSubSupPr>
              <m:ctrlPr>
                <w:rPr>
                  <w:rFonts w:ascii="Cambria Math" w:eastAsia="Times New Roman" w:hAnsi="Cambria Math"/>
                  <w:i/>
                </w:rPr>
              </m:ctrlPr>
            </m:sSubSupPr>
            <m:e>
              <m:r>
                <m:rPr>
                  <m:nor/>
                </m:rPr>
                <w:rPr>
                  <w:rFonts w:eastAsia="Times New Roman"/>
                  <w:i/>
                  <w:lang w:val="fr-FR"/>
                </w:rPr>
                <m:t>F</m:t>
              </m:r>
            </m:e>
            <m:sub>
              <m:r>
                <m:rPr>
                  <m:nor/>
                </m:rPr>
                <w:rPr>
                  <w:rFonts w:eastAsia="Times New Roman"/>
                  <w:i/>
                  <w:lang w:val="fr-FR"/>
                </w:rPr>
                <m:t>K</m:t>
              </m:r>
            </m:sub>
            <m:sup>
              <m:r>
                <m:rPr>
                  <m:nor/>
                </m:rPr>
                <w:rPr>
                  <w:rFonts w:eastAsia="Times New Roman"/>
                  <w:i/>
                  <w:lang w:val="fr-FR"/>
                </w:rPr>
                <m:t>'</m:t>
              </m:r>
            </m:sup>
          </m:sSubSup>
          <m:r>
            <w:rPr>
              <w:rFonts w:ascii="Cambria Math" w:eastAsia="Times New Roman" w:hAnsi="Cambria Math"/>
              <w:lang w:val="fr-FR"/>
            </w:rPr>
            <m:t>=</m:t>
          </m:r>
          <m:r>
            <m:rPr>
              <m:nor/>
            </m:rPr>
            <w:rPr>
              <w:rFonts w:eastAsia="Times New Roman"/>
              <w:i/>
              <w:lang w:val="fr-FR"/>
            </w:rPr>
            <m:t>r</m:t>
          </m:r>
          <m:r>
            <w:rPr>
              <w:rFonts w:ascii="Cambria Math" w:eastAsia="Times New Roman" w:hAnsi="Cambria Math"/>
              <w:lang w:val="fr-FR"/>
            </w:rPr>
            <m:t>+</m:t>
          </m:r>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r>
            <w:rPr>
              <w:rFonts w:ascii="Cambria Math" w:eastAsia="Times New Roman" w:hAnsi="Cambria Math"/>
              <w:lang w:val="fr-FR"/>
            </w:rPr>
            <m:t>∙</m:t>
          </m:r>
          <m:r>
            <m:rPr>
              <m:nor/>
            </m:rPr>
            <w:rPr>
              <w:rFonts w:eastAsia="Times New Roman"/>
              <w:i/>
            </w:rPr>
            <m:t>δ</m:t>
          </m:r>
        </m:oMath>
      </m:oMathPara>
    </w:p>
    <w:p w14:paraId="7413118A" w14:textId="53B55013" w:rsidR="00DE0017" w:rsidRPr="00546FA4" w:rsidRDefault="00546FA4" w:rsidP="00546FA4">
      <w:pPr>
        <w:spacing w:after="0"/>
        <w:ind w:left="720"/>
        <w:jc w:val="center"/>
        <w:rPr>
          <w:lang w:val="fr-FR"/>
        </w:rPr>
      </w:pPr>
      <m:oMathPara>
        <m:oMath>
          <m:r>
            <w:rPr>
              <w:rFonts w:ascii="Cambria Math" w:eastAsiaTheme="minorEastAsia" w:hAnsi="Cambria Math"/>
              <w:lang w:val="fr-FR"/>
            </w:rPr>
            <m:t xml:space="preserve"> </m:t>
          </m:r>
          <m:r>
            <m:rPr>
              <m:nor/>
            </m:rPr>
            <w:rPr>
              <w:rFonts w:eastAsia="Times New Roman"/>
              <w:i/>
              <w:lang w:val="fr-FR"/>
            </w:rPr>
            <m:t>p</m:t>
          </m:r>
          <m:r>
            <w:rPr>
              <w:rFonts w:ascii="Cambria Math" w:eastAsia="Times New Roman" w:hAnsi="Cambria Math"/>
              <w:lang w:val="fr-FR"/>
            </w:rPr>
            <m:t>∙</m:t>
          </m:r>
          <m:sSubSup>
            <m:sSubSupPr>
              <m:ctrlPr>
                <w:rPr>
                  <w:rFonts w:ascii="Cambria Math" w:eastAsia="Times New Roman" w:hAnsi="Cambria Math"/>
                  <w:i/>
                </w:rPr>
              </m:ctrlPr>
            </m:sSubSupPr>
            <m:e>
              <m:r>
                <m:rPr>
                  <m:nor/>
                </m:rPr>
                <w:rPr>
                  <w:rFonts w:eastAsia="Times New Roman"/>
                  <w:i/>
                  <w:lang w:val="fr-FR"/>
                </w:rPr>
                <m:t>F</m:t>
              </m:r>
            </m:e>
            <m:sub>
              <m:r>
                <m:rPr>
                  <m:nor/>
                </m:rPr>
                <w:rPr>
                  <w:rFonts w:eastAsia="Times New Roman"/>
                  <w:i/>
                  <w:lang w:val="fr-FR"/>
                </w:rPr>
                <m:t>K</m:t>
              </m:r>
            </m:sub>
            <m:sup>
              <m:r>
                <m:rPr>
                  <m:nor/>
                </m:rPr>
                <w:rPr>
                  <w:rFonts w:eastAsia="Times New Roman"/>
                  <w:i/>
                  <w:lang w:val="fr-FR"/>
                </w:rPr>
                <m:t>'</m:t>
              </m:r>
            </m:sup>
          </m:sSubSup>
          <m:r>
            <w:rPr>
              <w:rFonts w:ascii="Cambria Math" w:eastAsia="Times New Roman" w:hAnsi="Cambria Math"/>
              <w:lang w:val="fr-FR"/>
            </w:rPr>
            <m:t>=</m:t>
          </m:r>
          <m:f>
            <m:fPr>
              <m:ctrlPr>
                <w:rPr>
                  <w:rFonts w:ascii="Cambria Math" w:eastAsia="Times New Roman" w:hAnsi="Cambria Math"/>
                  <w:i/>
                  <w:lang w:val="en-US"/>
                </w:rPr>
              </m:ctrlPr>
            </m:fPr>
            <m:num>
              <m:r>
                <m:rPr>
                  <m:nor/>
                </m:rPr>
                <w:rPr>
                  <w:rFonts w:eastAsia="Times New Roman"/>
                  <w:i/>
                  <w:lang w:val="fr-FR"/>
                </w:rPr>
                <m:t>r</m:t>
              </m:r>
            </m:num>
            <m:den>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den>
          </m:f>
          <m:r>
            <w:rPr>
              <w:rFonts w:ascii="Cambria Math" w:eastAsia="Times New Roman" w:hAnsi="Cambria Math"/>
              <w:lang w:val="fr-FR"/>
            </w:rPr>
            <m:t>+</m:t>
          </m:r>
          <m:r>
            <m:rPr>
              <m:nor/>
            </m:rPr>
            <w:rPr>
              <w:rFonts w:eastAsia="Times New Roman"/>
              <w:i/>
            </w:rPr>
            <m:t>δ</m:t>
          </m:r>
        </m:oMath>
      </m:oMathPara>
    </w:p>
    <w:p w14:paraId="5C08600E" w14:textId="31E782AB" w:rsidR="00DE0017" w:rsidRPr="00DE0017" w:rsidRDefault="00DE0017" w:rsidP="00546FA4">
      <w:pPr>
        <w:pStyle w:val="Nivel3SM"/>
      </w:pPr>
      <w:r w:rsidRPr="00DE0017">
        <w:t xml:space="preserve">Así, aumenta el coste de uso del </w:t>
      </w:r>
      <w:r w:rsidR="00546FA4">
        <w:t>capital</w:t>
      </w:r>
      <w:r w:rsidRPr="00DE0017">
        <w:t xml:space="preserve"> por lo que se reducirá la inversión.</w:t>
      </w:r>
    </w:p>
    <w:p w14:paraId="391D3E59" w14:textId="77777777" w:rsidR="003C06F1" w:rsidRPr="003C06F1" w:rsidRDefault="003C06F1" w:rsidP="004E6F3F">
      <w:pPr>
        <w:pStyle w:val="Ttulo7"/>
      </w:pPr>
      <w:bookmarkStart w:id="62" w:name="_Toc149220499"/>
      <w:r w:rsidRPr="003C06F1">
        <w:t>Restricciones de liquidez</w:t>
      </w:r>
      <w:bookmarkEnd w:id="62"/>
    </w:p>
    <w:p w14:paraId="0655F477" w14:textId="77777777" w:rsidR="00DE0017" w:rsidRDefault="00DE0017" w:rsidP="00FC47F5">
      <w:pPr>
        <w:pStyle w:val="Nivel2SM"/>
      </w:pPr>
      <w:r w:rsidRPr="00DE0017">
        <w:t>Finalmente, h</w:t>
      </w:r>
      <w:r w:rsidR="003C06F1">
        <w:t xml:space="preserve">ay que matizar que en presencia de restricciones de liquidez </w:t>
      </w:r>
      <w:r w:rsidRPr="00DE0017">
        <w:t>el IS, al reducir el beneficio neto, reducirá la capacidad de autofinanciación y, con ello, las posibilidades de inversión.</w:t>
      </w:r>
    </w:p>
    <w:p w14:paraId="75E52662" w14:textId="77777777" w:rsidR="00147FDC" w:rsidRPr="00AD3498" w:rsidRDefault="00147FDC" w:rsidP="00C43044">
      <w:pPr>
        <w:pStyle w:val="Ttulo1"/>
      </w:pPr>
      <w:bookmarkStart w:id="63" w:name="_Toc149220500"/>
      <w:r>
        <w:t>OTROS EFECTOS DE LOS IMPUESTOS</w:t>
      </w:r>
      <w:bookmarkEnd w:id="63"/>
    </w:p>
    <w:p w14:paraId="689AB37F" w14:textId="4482F697" w:rsidR="00147FDC" w:rsidRDefault="00147FDC" w:rsidP="00CF301C">
      <w:pPr>
        <w:pStyle w:val="Nivel1SM"/>
        <w:keepNext/>
        <w:spacing w:before="0" w:after="0"/>
      </w:pPr>
      <w:r>
        <w:t xml:space="preserve">A </w:t>
      </w:r>
      <w:r w:rsidR="00D3340B">
        <w:t>continuación,</w:t>
      </w:r>
      <w:r>
        <w:t xml:space="preserve"> comentamos otros efectos relevantes de los impuestos.</w:t>
      </w:r>
    </w:p>
    <w:p w14:paraId="76677779" w14:textId="77777777" w:rsidR="008A39B0" w:rsidRPr="00147FDC" w:rsidRDefault="008A39B0" w:rsidP="008A39B0">
      <w:pPr>
        <w:pStyle w:val="Ttulo2"/>
      </w:pPr>
      <w:bookmarkStart w:id="64" w:name="_Toc149220501"/>
      <w:r w:rsidRPr="00147FDC">
        <w:t>Efectos de los impuestos sobre el fraude y la elusión fiscal</w:t>
      </w:r>
      <w:bookmarkEnd w:id="64"/>
    </w:p>
    <w:p w14:paraId="7A5F585C" w14:textId="77777777" w:rsidR="008A39B0" w:rsidRPr="00147FDC" w:rsidRDefault="008A39B0" w:rsidP="008A39B0">
      <w:pPr>
        <w:pStyle w:val="Ttulo6"/>
        <w:spacing w:before="0"/>
      </w:pPr>
      <w:bookmarkStart w:id="65" w:name="_Toc149220502"/>
      <w:r w:rsidRPr="00147FDC">
        <w:t>Evasión (fraude) vs. elusión fiscal</w:t>
      </w:r>
      <w:bookmarkEnd w:id="65"/>
    </w:p>
    <w:p w14:paraId="36CDC7EB" w14:textId="77777777" w:rsidR="008A39B0" w:rsidRDefault="008A39B0" w:rsidP="00FC47F5">
      <w:pPr>
        <w:pStyle w:val="Nivel2SM"/>
      </w:pPr>
      <w:r>
        <w:t xml:space="preserve">La </w:t>
      </w:r>
      <w:r>
        <w:rPr>
          <w:i/>
        </w:rPr>
        <w:t>evasión</w:t>
      </w:r>
      <w:r>
        <w:t xml:space="preserve"> consiste en el impago voluntario de impuestos debidos, y es ilícita, mientras que la </w:t>
      </w:r>
      <w:r>
        <w:rPr>
          <w:i/>
        </w:rPr>
        <w:t>elusión</w:t>
      </w:r>
      <w:r>
        <w:t xml:space="preserve"> fiscal consiste en la reducción o eliminación de la carga tributaria a través de la planificación financiera, y es lícita.</w:t>
      </w:r>
    </w:p>
    <w:p w14:paraId="0F7B5E03" w14:textId="77777777" w:rsidR="008A39B0" w:rsidRPr="00A43E6D" w:rsidRDefault="008A39B0" w:rsidP="008A39B0">
      <w:pPr>
        <w:pStyle w:val="Ttulo6"/>
      </w:pPr>
      <w:bookmarkStart w:id="66" w:name="_Toc149220503"/>
      <w:r w:rsidRPr="00A43E6D">
        <w:t>Modelo de fraude fiscal</w:t>
      </w:r>
      <w:bookmarkEnd w:id="66"/>
    </w:p>
    <w:p w14:paraId="0AD25230" w14:textId="77777777" w:rsidR="008A39B0" w:rsidRDefault="008A39B0" w:rsidP="00FC47F5">
      <w:pPr>
        <w:pStyle w:val="Nivel2SM"/>
        <w:keepNext/>
        <w:spacing w:after="0"/>
      </w:pPr>
      <w:r w:rsidRPr="00FC47F5">
        <w:rPr>
          <w:u w:val="single"/>
        </w:rPr>
        <w:t>Supuestos</w:t>
      </w:r>
      <w:r>
        <w:t>:</w:t>
      </w:r>
    </w:p>
    <w:p w14:paraId="41A7BEA6" w14:textId="4F90AB19" w:rsidR="008A39B0" w:rsidRDefault="008A39B0" w:rsidP="00FC47F5">
      <w:pPr>
        <w:pStyle w:val="Nivel3SM"/>
      </w:pPr>
      <w:r>
        <w:t>El individuo tiene 2</w:t>
      </w:r>
      <w:r w:rsidR="00FC47F5">
        <w:t> </w:t>
      </w:r>
      <w:r>
        <w:t>opciones: declarar toda su renta o una cantidad inferior.</w:t>
      </w:r>
    </w:p>
    <w:p w14:paraId="5B49BD85" w14:textId="77777777" w:rsidR="008A39B0" w:rsidRDefault="008A39B0" w:rsidP="00FC47F5">
      <w:pPr>
        <w:pStyle w:val="Nivel3SM"/>
      </w:pPr>
      <w:r>
        <w:t>La función de utilidad del individuo sólo depende de la renta disponible.</w:t>
      </w:r>
    </w:p>
    <w:p w14:paraId="36F881A4" w14:textId="0EA079C7" w:rsidR="008A39B0" w:rsidRDefault="008A39B0" w:rsidP="00FC47F5">
      <w:pPr>
        <w:pStyle w:val="Nivel2SM"/>
        <w:keepNext/>
        <w:spacing w:after="0"/>
      </w:pPr>
      <w:r w:rsidRPr="00FC47F5">
        <w:rPr>
          <w:u w:val="single"/>
        </w:rPr>
        <w:t>Gráficamente</w:t>
      </w:r>
      <w:r w:rsidR="00FC47F5">
        <w:t>:</w:t>
      </w:r>
    </w:p>
    <w:p w14:paraId="769240C0" w14:textId="77777777" w:rsidR="008A39B0" w:rsidRDefault="008A39B0" w:rsidP="00FC47F5">
      <w:pPr>
        <w:pStyle w:val="Nivel3SM"/>
      </w:pPr>
      <w:r>
        <w:t>El nivel de renta no declarada y por ende fraude fiscal vendrá dado por.</w:t>
      </w:r>
    </w:p>
    <w:p w14:paraId="63CAED39" w14:textId="77777777" w:rsidR="008A39B0" w:rsidRDefault="008A39B0" w:rsidP="008A39B0">
      <w:pPr>
        <w:ind w:left="720"/>
        <w:jc w:val="center"/>
      </w:pPr>
      <w:r w:rsidRPr="00A43E6D">
        <w:rPr>
          <w:noProof/>
        </w:rPr>
        <w:lastRenderedPageBreak/>
        <w:drawing>
          <wp:inline distT="0" distB="0" distL="0" distR="0" wp14:anchorId="22E6EE2E" wp14:editId="104C1263">
            <wp:extent cx="2727960" cy="2331720"/>
            <wp:effectExtent l="0" t="0" r="0" b="0"/>
            <wp:docPr id="50"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4" descr="Diagrama&#10;&#10;Descripción generada automáticament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27960" cy="2331720"/>
                    </a:xfrm>
                    <a:prstGeom prst="rect">
                      <a:avLst/>
                    </a:prstGeom>
                    <a:noFill/>
                    <a:ln>
                      <a:noFill/>
                    </a:ln>
                  </pic:spPr>
                </pic:pic>
              </a:graphicData>
            </a:graphic>
          </wp:inline>
        </w:drawing>
      </w:r>
    </w:p>
    <w:p w14:paraId="21EBBD68" w14:textId="29AB143C" w:rsidR="008A39B0" w:rsidRDefault="008A39B0" w:rsidP="00FC47F5">
      <w:pPr>
        <w:pStyle w:val="Nivel3SM"/>
      </w:pPr>
      <w:r w:rsidRPr="00FC47F5">
        <w:rPr>
          <w:u w:val="single"/>
        </w:rPr>
        <w:t>Beneficio marginal constante</w:t>
      </w:r>
      <w:r w:rsidRPr="00FC47F5">
        <w:t>:</w:t>
      </w:r>
      <w:r w:rsidR="00FC47F5" w:rsidRPr="00FC47F5">
        <w:t xml:space="preserve"> </w:t>
      </w:r>
      <w:r>
        <w:t>El beneficio de no declarar una unidad monetaria de renta es igual al tipo marginal t, y que supondremos que es constante para todo nivel de renta declarado (i.e. el impuesto es proporcional).</w:t>
      </w:r>
    </w:p>
    <w:p w14:paraId="58F00755" w14:textId="3AA622C6" w:rsidR="008A39B0" w:rsidRDefault="008A39B0" w:rsidP="00FC47F5">
      <w:pPr>
        <w:pStyle w:val="Nivel3SM"/>
      </w:pPr>
      <w:r w:rsidRPr="00FC47F5">
        <w:rPr>
          <w:u w:val="single"/>
        </w:rPr>
        <w:t>Coste marginal creciente</w:t>
      </w:r>
      <w:r w:rsidR="00FC47F5">
        <w:t xml:space="preserve">: </w:t>
      </w:r>
      <w:r>
        <w:t>El coste de no declarar una unidad monetaria de renta es igual a la multa impuesta por cada unidad evadida si se detecta el fraude, y será mayor cuanto mayor sea la cantidad defraudada, por la probabilidad de que las autoridades detecten el fraude, p.</w:t>
      </w:r>
    </w:p>
    <w:p w14:paraId="0B56404B" w14:textId="77777777" w:rsidR="008A39B0" w:rsidRDefault="008A39B0" w:rsidP="008A39B0">
      <w:pPr>
        <w:pStyle w:val="Ttulo6"/>
      </w:pPr>
      <w:bookmarkStart w:id="67" w:name="_Toc149220504"/>
      <w:r>
        <w:t>Medidas para reducir el fraude fiscal</w:t>
      </w:r>
      <w:bookmarkEnd w:id="67"/>
    </w:p>
    <w:p w14:paraId="06ED2CC1" w14:textId="77777777" w:rsidR="008A39B0" w:rsidRDefault="008A39B0" w:rsidP="00FC47F5">
      <w:pPr>
        <w:pStyle w:val="Nivel2SM"/>
        <w:keepNext/>
        <w:spacing w:after="0"/>
      </w:pPr>
      <w:r>
        <w:t>En el marco de este modelo:</w:t>
      </w:r>
    </w:p>
    <w:p w14:paraId="53DAA1BB" w14:textId="77777777" w:rsidR="008A39B0" w:rsidRDefault="008A39B0" w:rsidP="00FC47F5">
      <w:pPr>
        <w:pStyle w:val="Nivel3SM"/>
      </w:pPr>
      <w:r>
        <w:t xml:space="preserve">Reducir el tipo marginal (i.e. curva de </w:t>
      </w:r>
      <w:proofErr w:type="spellStart"/>
      <w:r>
        <w:t>BMg</w:t>
      </w:r>
      <w:proofErr w:type="spellEnd"/>
      <w:r>
        <w:t xml:space="preserve"> hacia abajo).</w:t>
      </w:r>
    </w:p>
    <w:p w14:paraId="057B76ED" w14:textId="77777777" w:rsidR="008A39B0" w:rsidRDefault="008A39B0" w:rsidP="00FC47F5">
      <w:pPr>
        <w:pStyle w:val="Nivel3SM"/>
      </w:pPr>
      <w:r>
        <w:t xml:space="preserve">Elevar la probabilidad de que se detecte el fraude (p.ej. aumentar las inspecciones) (i.e. curva de </w:t>
      </w:r>
      <w:proofErr w:type="spellStart"/>
      <w:r>
        <w:t>CMg</w:t>
      </w:r>
      <w:proofErr w:type="spellEnd"/>
      <w:r>
        <w:t xml:space="preserve"> hacia arriba).</w:t>
      </w:r>
    </w:p>
    <w:p w14:paraId="6C8E1C77" w14:textId="77777777" w:rsidR="008A39B0" w:rsidRDefault="008A39B0" w:rsidP="00FC47F5">
      <w:pPr>
        <w:pStyle w:val="Nivel3SM"/>
      </w:pPr>
      <w:r>
        <w:t xml:space="preserve">Elevar la multa (i.e. curva de </w:t>
      </w:r>
      <w:proofErr w:type="spellStart"/>
      <w:r>
        <w:t>CMg</w:t>
      </w:r>
      <w:proofErr w:type="spellEnd"/>
      <w:r>
        <w:t xml:space="preserve"> hacia arriba).</w:t>
      </w:r>
    </w:p>
    <w:p w14:paraId="198AA54D" w14:textId="77777777" w:rsidR="00C642AE" w:rsidRDefault="00151DA0" w:rsidP="00C43044">
      <w:pPr>
        <w:pStyle w:val="Ttulo2"/>
      </w:pPr>
      <w:bookmarkStart w:id="68" w:name="_Toc149220505"/>
      <w:r w:rsidRPr="00151DA0">
        <w:t>La curva de Laffer</w:t>
      </w:r>
      <w:bookmarkEnd w:id="68"/>
    </w:p>
    <w:p w14:paraId="429D20C2" w14:textId="64A7EEC2" w:rsidR="00612105" w:rsidRPr="00612105" w:rsidRDefault="00612105" w:rsidP="00612105">
      <w:pPr>
        <w:pStyle w:val="Cajadeanotaciones"/>
        <w:rPr>
          <w:sz w:val="19"/>
          <w:szCs w:val="19"/>
        </w:rPr>
      </w:pPr>
      <w:hyperlink r:id="rId41" w:history="1">
        <w:r w:rsidRPr="00612105">
          <w:rPr>
            <w:rStyle w:val="Hipervnculo"/>
            <w:sz w:val="19"/>
            <w:szCs w:val="19"/>
          </w:rPr>
          <w:t>https://www.funcas.es/wp-content/uploads/Migracion/Articulos/FUNCAS_PEE/154art10.pdf</w:t>
        </w:r>
      </w:hyperlink>
    </w:p>
    <w:p w14:paraId="080C1633" w14:textId="411C5493" w:rsidR="00A43E6D" w:rsidRPr="00C43044" w:rsidRDefault="00A43E6D" w:rsidP="00FC47F5">
      <w:pPr>
        <w:pStyle w:val="Ttulo6"/>
        <w:spacing w:before="0"/>
      </w:pPr>
      <w:bookmarkStart w:id="69" w:name="_Toc149220506"/>
      <w:r w:rsidRPr="00A43E6D">
        <w:t>Idea tradicional</w:t>
      </w:r>
      <w:bookmarkEnd w:id="69"/>
    </w:p>
    <w:p w14:paraId="52BC46F1" w14:textId="77777777" w:rsidR="00151DA0" w:rsidRDefault="00151DA0" w:rsidP="00E368B2">
      <w:pPr>
        <w:pStyle w:val="Nivel2SM"/>
      </w:pPr>
      <w:r w:rsidRPr="00151DA0">
        <w:t>Tradicionalmente no se cuestionaba la existencia de una relación positiva entre tipo impositivo y recaudación, idea que se basaba en el supuesto de que los impuestos distorsionaban moderadamente los incentivos de los agentes.</w:t>
      </w:r>
    </w:p>
    <w:p w14:paraId="71A8ACA2" w14:textId="3A7173DA" w:rsidR="00A43E6D" w:rsidRPr="00A43E6D" w:rsidRDefault="00E368B2" w:rsidP="00D35E6C">
      <w:pPr>
        <w:pStyle w:val="Ttulo6"/>
      </w:pPr>
      <w:bookmarkStart w:id="70" w:name="_Toc149220507"/>
      <w:r>
        <w:lastRenderedPageBreak/>
        <w:t xml:space="preserve">Idea de </w:t>
      </w:r>
      <w:r w:rsidR="00A43E6D" w:rsidRPr="00A43E6D">
        <w:t>Laffer</w:t>
      </w:r>
      <w:bookmarkEnd w:id="70"/>
    </w:p>
    <w:p w14:paraId="7D39A442" w14:textId="361DB26C" w:rsidR="003B655A" w:rsidRDefault="00151DA0" w:rsidP="00E368B2">
      <w:pPr>
        <w:pStyle w:val="Nivel2SM"/>
        <w:keepNext/>
        <w:spacing w:after="0"/>
      </w:pPr>
      <w:r w:rsidRPr="00151DA0">
        <w:t xml:space="preserve">Esta idea, no obstante, fue cuestionada por </w:t>
      </w:r>
      <w:r w:rsidR="003B655A" w:rsidRPr="003B655A">
        <w:rPr>
          <w:smallCaps/>
        </w:rPr>
        <w:t>Arthur</w:t>
      </w:r>
      <w:r w:rsidR="003B655A">
        <w:t xml:space="preserve"> </w:t>
      </w:r>
      <w:r w:rsidRPr="00E368B2">
        <w:rPr>
          <w:smallCaps/>
        </w:rPr>
        <w:t>Laffer</w:t>
      </w:r>
      <w:r w:rsidR="003B655A">
        <w:t>, quien se sentó en un restaurante de Washington con algunos destacados políticos y periodistas, cogió una servilleta y realizó un gráfico para mostrar cómo afectan los tipos impositivos a los ingresos fiscales</w:t>
      </w:r>
      <w:r w:rsidRPr="00151DA0">
        <w:t>.</w:t>
      </w:r>
    </w:p>
    <w:p w14:paraId="18F1915B" w14:textId="2F7FA21C" w:rsidR="001F7C03" w:rsidRPr="001F7C03" w:rsidRDefault="001F7C03" w:rsidP="001F7C03">
      <w:pPr>
        <w:pStyle w:val="Ttuloimagen"/>
        <w:rPr>
          <w:smallCaps w:val="0"/>
        </w:rPr>
      </w:pPr>
      <w:r>
        <w:t>Imagen </w:t>
      </w:r>
      <w:r>
        <w:fldChar w:fldCharType="begin"/>
      </w:r>
      <w:r>
        <w:instrText xml:space="preserve"> SEQ Ilustración \* ARABIC </w:instrText>
      </w:r>
      <w:r>
        <w:fldChar w:fldCharType="separate"/>
      </w:r>
      <w:r w:rsidR="004626ED">
        <w:t>6</w:t>
      </w:r>
      <w:r>
        <w:fldChar w:fldCharType="end"/>
      </w:r>
      <w:r>
        <w:rPr>
          <w:smallCaps w:val="0"/>
        </w:rPr>
        <w:t xml:space="preserve">.– </w:t>
      </w:r>
      <w:r>
        <w:rPr>
          <w:i/>
          <w:iCs/>
          <w:smallCaps w:val="0"/>
        </w:rPr>
        <w:t xml:space="preserve">Servilleta en la que </w:t>
      </w:r>
      <w:r w:rsidRPr="001F7C03">
        <w:rPr>
          <w:i/>
          <w:iCs/>
        </w:rPr>
        <w:t>Arthur</w:t>
      </w:r>
      <w:r>
        <w:rPr>
          <w:i/>
          <w:iCs/>
          <w:smallCaps w:val="0"/>
        </w:rPr>
        <w:t xml:space="preserve"> </w:t>
      </w:r>
      <w:r>
        <w:rPr>
          <w:i/>
          <w:iCs/>
        </w:rPr>
        <w:t>Laffer</w:t>
      </w:r>
      <w:r>
        <w:rPr>
          <w:i/>
          <w:iCs/>
          <w:smallCaps w:val="0"/>
        </w:rPr>
        <w:t xml:space="preserve"> escr</w:t>
      </w:r>
      <w:r w:rsidR="00612105">
        <w:rPr>
          <w:i/>
          <w:iCs/>
          <w:smallCaps w:val="0"/>
        </w:rPr>
        <w:t>i</w:t>
      </w:r>
      <w:r>
        <w:rPr>
          <w:i/>
          <w:iCs/>
          <w:smallCaps w:val="0"/>
        </w:rPr>
        <w:t xml:space="preserve">bió su teoría en </w:t>
      </w:r>
      <w:r w:rsidR="005341D8">
        <w:rPr>
          <w:i/>
          <w:iCs/>
          <w:smallCaps w:val="0"/>
        </w:rPr>
        <w:t xml:space="preserve">Washington D.C. en </w:t>
      </w:r>
      <w:r>
        <w:rPr>
          <w:i/>
          <w:iCs/>
          <w:smallCaps w:val="0"/>
        </w:rPr>
        <w:t>1974</w:t>
      </w:r>
    </w:p>
    <w:p w14:paraId="68826676" w14:textId="2FD1A69D" w:rsidR="001F7C03" w:rsidRDefault="001F7C03" w:rsidP="003B655A">
      <w:pPr>
        <w:pStyle w:val="Imagen"/>
        <w:keepNext w:val="0"/>
      </w:pPr>
      <w:r>
        <w:drawing>
          <wp:inline distT="0" distB="0" distL="0" distR="0" wp14:anchorId="707929CF" wp14:editId="3D4D90B8">
            <wp:extent cx="2376055" cy="2376055"/>
            <wp:effectExtent l="0" t="0" r="5715" b="5715"/>
            <wp:docPr id="96471373" name="Imagen 1" descr="La curva de Laffer: cómo una teoría escrita en una servilleta se convirtió  en la guía para la política fiscal de Donald Trump en Estados Unidos - BBC  News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urva de Laffer: cómo una teoría escrita en una servilleta se convirtió  en la guía para la política fiscal de Donald Trump en Estados Unidos - BBC  News Mund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85141" cy="2385141"/>
                    </a:xfrm>
                    <a:prstGeom prst="rect">
                      <a:avLst/>
                    </a:prstGeom>
                    <a:noFill/>
                    <a:ln>
                      <a:noFill/>
                    </a:ln>
                  </pic:spPr>
                </pic:pic>
              </a:graphicData>
            </a:graphic>
          </wp:inline>
        </w:drawing>
      </w:r>
    </w:p>
    <w:p w14:paraId="682776D1" w14:textId="7164DB87" w:rsidR="003B655A" w:rsidRDefault="003B655A" w:rsidP="003B655A">
      <w:pPr>
        <w:pStyle w:val="Nivel2SM"/>
        <w:keepNext/>
        <w:spacing w:after="0"/>
      </w:pPr>
      <w:r w:rsidRPr="00151DA0">
        <w:t xml:space="preserve">La idea </w:t>
      </w:r>
      <w:r>
        <w:t>es sencilla</w:t>
      </w:r>
      <w:r w:rsidR="00D54889">
        <w:rPr>
          <w:rStyle w:val="Refdenotaalpie"/>
        </w:rPr>
        <w:footnoteReference w:id="20"/>
      </w:r>
      <w:r>
        <w:t>:</w:t>
      </w:r>
    </w:p>
    <w:p w14:paraId="7CB37BED" w14:textId="4F446C16" w:rsidR="003B655A" w:rsidRDefault="003B655A" w:rsidP="003B655A">
      <w:pPr>
        <w:pStyle w:val="Nivel3SM"/>
      </w:pPr>
      <w:r>
        <w:t>Si la tasa impositiva es de 0 %, se recaudarán cero impuestos.</w:t>
      </w:r>
    </w:p>
    <w:p w14:paraId="34B8B76D" w14:textId="20D25F6A" w:rsidR="003B655A" w:rsidRDefault="003B655A" w:rsidP="00795884">
      <w:pPr>
        <w:pStyle w:val="Nivel3SM"/>
      </w:pPr>
      <w:r>
        <w:t>Pero si la tasa impositiva es del 100 % la recaudación también será nula (i.e. para un tipo del 100 % no habrá incentivo alguno para trabajar lo que lleva la base imponible a cero).</w:t>
      </w:r>
    </w:p>
    <w:p w14:paraId="6A82ACE3" w14:textId="2E777691" w:rsidR="003B655A" w:rsidRDefault="003B655A" w:rsidP="00795884">
      <w:pPr>
        <w:pStyle w:val="Nivel3SM"/>
      </w:pPr>
      <w:r>
        <w:t xml:space="preserve">En algún punto intermedio </w:t>
      </w:r>
      <w:r>
        <w:rPr>
          <w:i/>
          <w:iCs/>
        </w:rPr>
        <w:t>t*</w:t>
      </w:r>
      <w:r>
        <w:t xml:space="preserve"> estará el máximo de recaudación posible.</w:t>
      </w:r>
    </w:p>
    <w:p w14:paraId="62C552B7" w14:textId="51CD6CB6" w:rsidR="003B655A" w:rsidRDefault="003B655A" w:rsidP="003B655A">
      <w:pPr>
        <w:pStyle w:val="Nivel4"/>
        <w:ind w:left="1474"/>
      </w:pPr>
      <w:r>
        <w:t>Antes de llegar a este punto sucede que a un incremento del tipo impositivo le acompaña un incremento en la recaudación.</w:t>
      </w:r>
    </w:p>
    <w:p w14:paraId="645ED7EF" w14:textId="5262FD2F" w:rsidR="003B655A" w:rsidRDefault="003B655A" w:rsidP="003B655A">
      <w:pPr>
        <w:pStyle w:val="Nivel4"/>
        <w:ind w:left="1474"/>
      </w:pPr>
      <w:r>
        <w:t xml:space="preserve">Sin embargo, después de pasado </w:t>
      </w:r>
      <w:proofErr w:type="gramStart"/>
      <w:r>
        <w:t>ese punto comienzan</w:t>
      </w:r>
      <w:proofErr w:type="gramEnd"/>
      <w:r>
        <w:t xml:space="preserve"> a prevalecer los inventivos a no trabajar debido al carácter confiscatorio del impuesto. Si se suben los impuestos se recaudará menos y, si se bajan se recaudará más. Esta es la </w:t>
      </w:r>
      <w:r w:rsidRPr="003B655A">
        <w:rPr>
          <w:i/>
          <w:iCs/>
        </w:rPr>
        <w:t>zona de sobreimposición</w:t>
      </w:r>
      <w:r>
        <w:t>.</w:t>
      </w:r>
    </w:p>
    <w:p w14:paraId="06897088" w14:textId="7FDBE5E4" w:rsidR="003B655A" w:rsidRDefault="003B655A" w:rsidP="003B655A">
      <w:pPr>
        <w:pStyle w:val="Nivel2SM"/>
        <w:keepNext/>
        <w:spacing w:after="0"/>
      </w:pPr>
      <w:r>
        <w:t>C</w:t>
      </w:r>
      <w:r w:rsidRPr="003C06F1">
        <w:t>uando los tipos impositivos son suficientemente elevados introducen distorsiones de tal magnitud sobre las ofertas factoriales</w:t>
      </w:r>
      <w:r>
        <w:t>,</w:t>
      </w:r>
      <w:r w:rsidRPr="00151DA0">
        <w:t xml:space="preserve"> </w:t>
      </w:r>
      <w:r w:rsidRPr="003C06F1">
        <w:t>que a su vez determinan la base imponible,</w:t>
      </w:r>
      <w:r w:rsidRPr="00151DA0">
        <w:t xml:space="preserve"> que la recaudación disminuye.</w:t>
      </w:r>
    </w:p>
    <w:p w14:paraId="6DB17F09" w14:textId="2914411F" w:rsidR="00387D15" w:rsidRDefault="003B655A" w:rsidP="00387D15">
      <w:pPr>
        <w:ind w:left="720"/>
        <w:jc w:val="center"/>
      </w:pPr>
      <w:r>
        <w:rPr>
          <w:noProof/>
        </w:rPr>
        <w:drawing>
          <wp:inline distT="0" distB="0" distL="0" distR="0" wp14:anchorId="57CEE6EC" wp14:editId="6E5931A0">
            <wp:extent cx="2771123" cy="2528455"/>
            <wp:effectExtent l="0" t="0" r="0" b="5715"/>
            <wp:docPr id="638826653" name="Imagen 2" descr="La servilleta de Laffer: la cena que dio forma a la dere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servilleta de Laffer: la cena que dio forma a la derecha"/>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92288" cy="2547766"/>
                    </a:xfrm>
                    <a:prstGeom prst="rect">
                      <a:avLst/>
                    </a:prstGeom>
                    <a:noFill/>
                    <a:ln>
                      <a:noFill/>
                    </a:ln>
                  </pic:spPr>
                </pic:pic>
              </a:graphicData>
            </a:graphic>
          </wp:inline>
        </w:drawing>
      </w:r>
      <w:r w:rsidR="00541D29">
        <w:rPr>
          <w:noProof/>
        </w:rPr>
        <w:t xml:space="preserve"> (Rango normal y Rango prohibitivo)</w:t>
      </w:r>
    </w:p>
    <w:p w14:paraId="37BC9452" w14:textId="77777777" w:rsidR="00A43E6D" w:rsidRPr="00A43E6D" w:rsidRDefault="00A43E6D" w:rsidP="00D35E6C">
      <w:pPr>
        <w:pStyle w:val="Ttulo6"/>
      </w:pPr>
      <w:bookmarkStart w:id="71" w:name="_Toc149220508"/>
      <w:r w:rsidRPr="00A43E6D">
        <w:lastRenderedPageBreak/>
        <w:t>Problemas</w:t>
      </w:r>
      <w:bookmarkEnd w:id="71"/>
    </w:p>
    <w:p w14:paraId="13ADC11E" w14:textId="77777777" w:rsidR="00151DA0" w:rsidRDefault="00151DA0" w:rsidP="003B655A">
      <w:pPr>
        <w:pStyle w:val="Nivel2SM"/>
        <w:keepNext/>
        <w:spacing w:after="0"/>
      </w:pPr>
      <w:r w:rsidRPr="00151DA0">
        <w:t>Este razonamiento, sin embargo, presenta ciertos problemas:</w:t>
      </w:r>
    </w:p>
    <w:p w14:paraId="36D57160" w14:textId="21FCF369" w:rsidR="00151DA0" w:rsidRDefault="003C06F1" w:rsidP="003B655A">
      <w:pPr>
        <w:pStyle w:val="Nivel3SM"/>
      </w:pPr>
      <w:r w:rsidRPr="003B655A">
        <w:rPr>
          <w:i/>
          <w:iCs/>
          <w:u w:val="single"/>
        </w:rPr>
        <w:t>El comportamiento de los agentes no varía de forma inmediata</w:t>
      </w:r>
      <w:r w:rsidR="00151DA0">
        <w:t>:</w:t>
      </w:r>
      <w:r w:rsidR="003B655A">
        <w:t xml:space="preserve"> </w:t>
      </w:r>
      <w:r w:rsidR="00387D15" w:rsidRPr="003B655A">
        <w:t>Es decir la variación de los impuestos no</w:t>
      </w:r>
      <w:r w:rsidR="00151DA0" w:rsidRPr="003B655A">
        <w:t xml:space="preserve"> altera el comportamiento de los individuos de forma inmediata, sino </w:t>
      </w:r>
      <w:r w:rsidR="00387D15" w:rsidRPr="003B655A">
        <w:t>que existe un periodo de ajuste por lo que los ingresos disminuyen.</w:t>
      </w:r>
    </w:p>
    <w:p w14:paraId="70D7F910" w14:textId="3A780219" w:rsidR="00151DA0" w:rsidRDefault="00151DA0" w:rsidP="003B655A">
      <w:pPr>
        <w:pStyle w:val="Nivel3SM"/>
      </w:pPr>
      <w:r w:rsidRPr="003B655A">
        <w:rPr>
          <w:i/>
          <w:iCs/>
          <w:u w:val="single"/>
        </w:rPr>
        <w:t>Efectos medidas compensatorias temporales</w:t>
      </w:r>
      <w:r>
        <w:t>:</w:t>
      </w:r>
      <w:r w:rsidR="003B655A">
        <w:t xml:space="preserve"> </w:t>
      </w:r>
      <w:r w:rsidR="00387D15">
        <w:t>Esta reducción de ingresos hace necesaria la implementación de medidas compensatorias temporales</w:t>
      </w:r>
      <w:r w:rsidR="003B7115">
        <w:t xml:space="preserve"> (i.e. r</w:t>
      </w:r>
      <w:r w:rsidR="00387D15">
        <w:t>educción del gasto público o aumento del endeudamiento</w:t>
      </w:r>
      <w:r w:rsidR="003B7115">
        <w:t>)</w:t>
      </w:r>
      <w:r w:rsidR="00387D15">
        <w:t xml:space="preserve">, lo que podría llevar a efectos negativos. Por </w:t>
      </w:r>
      <w:proofErr w:type="gramStart"/>
      <w:r w:rsidR="00387D15">
        <w:t>ejemplo</w:t>
      </w:r>
      <w:proofErr w:type="gramEnd"/>
      <w:r w:rsidR="00387D15">
        <w:t xml:space="preserve"> la reducción del gasto público reduciría la demanda agregada que podría </w:t>
      </w:r>
      <w:r>
        <w:t>retrasar o incluso eliminar los posibles aumentos de base imponible derivados del recorte fiscal.</w:t>
      </w:r>
    </w:p>
    <w:p w14:paraId="09F21412" w14:textId="6EA5BE97" w:rsidR="00151DA0" w:rsidRDefault="00447AD1" w:rsidP="003B655A">
      <w:pPr>
        <w:pStyle w:val="Nivel3SM"/>
      </w:pPr>
      <w:r w:rsidRPr="003B655A">
        <w:rPr>
          <w:i/>
          <w:iCs/>
          <w:u w:val="single"/>
        </w:rPr>
        <w:t>¿Cuál es el tipo impositivo óptimo?</w:t>
      </w:r>
      <w:r w:rsidR="003B7115">
        <w:t xml:space="preserve">: </w:t>
      </w:r>
      <w:r w:rsidR="00151DA0" w:rsidRPr="00151DA0">
        <w:t>Por otro lado, no concreta cuál es el tipo impositivo que maximiza la recaudación, que además variará entre países y a lo largo del tiempo.</w:t>
      </w:r>
    </w:p>
    <w:p w14:paraId="2AA26404" w14:textId="17E217C2" w:rsidR="00151DA0" w:rsidRPr="00151DA0" w:rsidRDefault="00151DA0" w:rsidP="00E368B2">
      <w:pPr>
        <w:pStyle w:val="Nivel2SM"/>
        <w:keepNext/>
        <w:spacing w:after="0"/>
      </w:pPr>
      <w:r w:rsidRPr="00D54889">
        <w:rPr>
          <w:i/>
          <w:iCs/>
          <w:u w:val="single"/>
        </w:rPr>
        <w:t>Empíricamente</w:t>
      </w:r>
      <w:r w:rsidRPr="00151DA0">
        <w:t>, parece que en el impuesto sobre la renta ese tipo</w:t>
      </w:r>
      <w:r w:rsidR="00D54889">
        <w:t xml:space="preserve"> </w:t>
      </w:r>
      <w:r w:rsidR="00D54889">
        <w:rPr>
          <w:i/>
          <w:iCs/>
        </w:rPr>
        <w:t>t*</w:t>
      </w:r>
      <w:r w:rsidRPr="00151DA0">
        <w:t xml:space="preserve"> estaría muy próximo a la confiscación (casi el 100</w:t>
      </w:r>
      <w:r w:rsidR="00A643D1">
        <w:t> %</w:t>
      </w:r>
      <w:r w:rsidRPr="00151DA0">
        <w:t xml:space="preserve">), lo que da a la mayoría de </w:t>
      </w:r>
      <w:proofErr w:type="gramStart"/>
      <w:r w:rsidRPr="00151DA0">
        <w:t>países</w:t>
      </w:r>
      <w:proofErr w:type="gramEnd"/>
      <w:r w:rsidRPr="00151DA0">
        <w:t xml:space="preserve"> mucho margen para aumentar la recaudación. Si tomamos el ejemplo de </w:t>
      </w:r>
      <w:r w:rsidR="00557F53">
        <w:t>Estados Unidos</w:t>
      </w:r>
      <w:r w:rsidRPr="00151DA0">
        <w:t>:</w:t>
      </w:r>
    </w:p>
    <w:p w14:paraId="32E3C75E" w14:textId="57B633FC" w:rsidR="00151DA0" w:rsidRPr="00151DA0" w:rsidRDefault="00151DA0" w:rsidP="00E368B2">
      <w:pPr>
        <w:pStyle w:val="Nivel3SM"/>
      </w:pPr>
      <w:r w:rsidRPr="00151DA0">
        <w:t>El tipo marginal máximo del IRPF llegó a situarse en el 94</w:t>
      </w:r>
      <w:r w:rsidR="004844E5">
        <w:t> %</w:t>
      </w:r>
      <w:r w:rsidRPr="00151DA0">
        <w:t xml:space="preserve"> con </w:t>
      </w:r>
      <w:r w:rsidRPr="00557F53">
        <w:rPr>
          <w:smallCaps/>
        </w:rPr>
        <w:t>Roosevelt</w:t>
      </w:r>
      <w:r w:rsidRPr="00151DA0">
        <w:t xml:space="preserve"> durante la </w:t>
      </w:r>
      <w:r w:rsidR="00557F53">
        <w:t>Segunda Guerra Mundial</w:t>
      </w:r>
      <w:r w:rsidR="00D54889">
        <w:rPr>
          <w:rStyle w:val="Refdenotaalpie"/>
        </w:rPr>
        <w:footnoteReference w:id="21"/>
      </w:r>
      <w:r w:rsidRPr="00151DA0">
        <w:t>.</w:t>
      </w:r>
    </w:p>
    <w:p w14:paraId="676439C9" w14:textId="77777777" w:rsidR="00151DA0" w:rsidRDefault="00151DA0" w:rsidP="00E368B2">
      <w:pPr>
        <w:pStyle w:val="Nivel3SM"/>
      </w:pPr>
      <w:r w:rsidRPr="00151DA0">
        <w:t xml:space="preserve">Durante el mandato de </w:t>
      </w:r>
      <w:r w:rsidRPr="00557F53">
        <w:rPr>
          <w:smallCaps/>
        </w:rPr>
        <w:t>Ronald Reagan</w:t>
      </w:r>
      <w:r w:rsidRPr="00151DA0">
        <w:t xml:space="preserve"> se aplicó la tesis de Laffer, con fuertes recortes impositivos basados en la creencia de que se estaba en la </w:t>
      </w:r>
      <w:r w:rsidRPr="00F94E22">
        <w:t>parte decreciente de la curva</w:t>
      </w:r>
      <w:r w:rsidRPr="00151DA0">
        <w:t>. El resultado fue una gran caída de la recaudación y un importante aumento del déficit público.</w:t>
      </w:r>
    </w:p>
    <w:p w14:paraId="59406AEC" w14:textId="77777777" w:rsidR="003B7115" w:rsidRDefault="003B7115" w:rsidP="003B7115">
      <w:pPr>
        <w:pStyle w:val="Ttulo6"/>
      </w:pPr>
      <w:bookmarkStart w:id="72" w:name="_Toc149220509"/>
      <w:r>
        <w:t>Curva de Laffer dinámica</w:t>
      </w:r>
      <w:bookmarkEnd w:id="72"/>
    </w:p>
    <w:p w14:paraId="1752B84E" w14:textId="77777777" w:rsidR="003B7115" w:rsidRDefault="003B7115" w:rsidP="003B7115">
      <w:pPr>
        <w:pStyle w:val="Nivel2SM"/>
        <w:keepNext/>
        <w:spacing w:after="0"/>
      </w:pPr>
      <w:r>
        <w:t xml:space="preserve">A diferencia de la curva de Laffer estática, la clave del efecto Laffer dinámico es que </w:t>
      </w:r>
      <w:r w:rsidRPr="00D54889">
        <w:rPr>
          <w:b/>
          <w:bCs/>
        </w:rPr>
        <w:t>un recorte impositivo puede afectar positivamente a la tasa de crecimiento de la economía</w:t>
      </w:r>
      <w:r>
        <w:t>.</w:t>
      </w:r>
    </w:p>
    <w:p w14:paraId="5B753BBC" w14:textId="77777777" w:rsidR="003B7115" w:rsidRDefault="003B7115" w:rsidP="003B7115">
      <w:pPr>
        <w:pStyle w:val="Nivel3SM"/>
      </w:pPr>
      <w:r>
        <w:t>Si la reducción en el tipo impositivo da lugar a un incremento suficientemente importante en la tasa de crecimiento, de manera que la base imponible futura se incremente en el largo plazo, entonces es posible que los ingresos fiscales futuros den lugar a superávits que compensen los déficits iniciales creados con el recorte impositivo.</w:t>
      </w:r>
    </w:p>
    <w:p w14:paraId="3B818C5D" w14:textId="77777777" w:rsidR="003B7115" w:rsidRDefault="003B7115" w:rsidP="003B7115">
      <w:pPr>
        <w:pStyle w:val="Nivel3SM"/>
      </w:pPr>
      <w:r>
        <w:t>Es decir, es posible que el recorte impositivo pueda pagarse solo, y aunque el tipo impositivo se encuentre en la parte creciente de la curva de Laffer estática.</w:t>
      </w:r>
    </w:p>
    <w:p w14:paraId="73F2A94B" w14:textId="77777777" w:rsidR="003B7115" w:rsidRPr="00A23CCF" w:rsidRDefault="003B7115" w:rsidP="003B7115">
      <w:pPr>
        <w:pStyle w:val="Nivel3SM"/>
        <w:rPr>
          <w:spacing w:val="-2"/>
        </w:rPr>
      </w:pPr>
      <w:r w:rsidRPr="00A23CCF">
        <w:rPr>
          <w:spacing w:val="-2"/>
        </w:rPr>
        <w:t xml:space="preserve">En definitiva, podemos hablar de un </w:t>
      </w:r>
      <w:r w:rsidRPr="00A23CCF">
        <w:rPr>
          <w:i/>
          <w:iCs/>
          <w:spacing w:val="-2"/>
        </w:rPr>
        <w:t>recorte impositivo dinámicamente factible</w:t>
      </w:r>
      <w:r w:rsidRPr="00A23CCF">
        <w:rPr>
          <w:spacing w:val="-2"/>
        </w:rPr>
        <w:t xml:space="preserve"> si los déficits iniciales generados por tal recorte se compensasen con superávits futuros en valor presente (es decir, la restricción presupuestaria del gobierno se satisface intertemporalmente).</w:t>
      </w:r>
    </w:p>
    <w:p w14:paraId="78081235" w14:textId="77777777" w:rsidR="004844E5" w:rsidRDefault="004844E5" w:rsidP="004844E5">
      <w:pPr>
        <w:pStyle w:val="Introduccinyconclusin"/>
      </w:pPr>
      <w:r>
        <w:t>CONCLUSION</w:t>
      </w:r>
    </w:p>
    <w:p w14:paraId="68AF7982" w14:textId="77777777" w:rsidR="004844E5" w:rsidRDefault="004844E5" w:rsidP="004844E5">
      <w:pPr>
        <w:pStyle w:val="Nivel1"/>
        <w:keepNext/>
        <w:spacing w:before="0" w:after="0"/>
      </w:pPr>
      <w:r>
        <w:rPr>
          <w:b/>
          <w:bCs/>
          <w:i/>
          <w:iCs/>
        </w:rPr>
        <w:t>Recapitulación (Ideas clave)</w:t>
      </w:r>
      <w:r>
        <w:t>:</w:t>
      </w:r>
    </w:p>
    <w:p w14:paraId="0D143EB9" w14:textId="77777777" w:rsidR="004844E5" w:rsidRPr="00AD3498" w:rsidRDefault="004844E5" w:rsidP="004844E5">
      <w:pPr>
        <w:pStyle w:val="Nivel2"/>
        <w:keepNext/>
        <w:spacing w:after="0"/>
      </w:pPr>
      <w:r w:rsidRPr="00AD3498">
        <w:t>Los impuestos pueden ser un importante incentivo/desincentivo a ciertas actividades económicas.</w:t>
      </w:r>
    </w:p>
    <w:p w14:paraId="5CB6E56B" w14:textId="77777777" w:rsidR="004844E5" w:rsidRPr="00AD3498" w:rsidRDefault="004844E5" w:rsidP="004844E5">
      <w:pPr>
        <w:pStyle w:val="Nivel3"/>
      </w:pPr>
      <w:r w:rsidRPr="00AD3498">
        <w:t>El debate sobre los tipos marginales del IRPF y su efecto sobre la oferta de trabajo de los individuos de renta alta es un ejemplo tradicional de la preocupación por estas cuestiones.</w:t>
      </w:r>
    </w:p>
    <w:p w14:paraId="6F8C2C22" w14:textId="77777777" w:rsidR="004844E5" w:rsidRDefault="004844E5" w:rsidP="004844E5">
      <w:pPr>
        <w:pStyle w:val="Nivel3"/>
        <w:keepNext/>
      </w:pPr>
      <w:r w:rsidRPr="00AD3498">
        <w:t xml:space="preserve">La curva de Laffer es una representación teórica que explica que los impuestos pueden llegar a producir tal efecto desincentivo sobre la actividad económica que un </w:t>
      </w:r>
      <w:r w:rsidRPr="00AD3498">
        <w:lastRenderedPageBreak/>
        <w:t>aumento de los impuestos produzca una disminución de la recaudación (por su efecto desincentivo sobre la actividad económica).</w:t>
      </w:r>
    </w:p>
    <w:p w14:paraId="6F8614A0" w14:textId="77777777" w:rsidR="004844E5" w:rsidRDefault="004844E5" w:rsidP="004844E5">
      <w:pPr>
        <w:pStyle w:val="Nivel4"/>
      </w:pPr>
      <w:r>
        <w:t>Aunque las implicaciones de esta curva también podrían aplicarse por ejemplo a los impuestos sobre el ahorro, sobre el consumo,…</w:t>
      </w:r>
    </w:p>
    <w:p w14:paraId="05D23D22" w14:textId="77777777" w:rsidR="004844E5" w:rsidRDefault="004844E5" w:rsidP="004844E5">
      <w:pPr>
        <w:pStyle w:val="Nivel3"/>
        <w:keepNext/>
      </w:pPr>
      <w:r>
        <w:t>NOTA: No obstante, la evidencia empírica sobre la curva de Laffer no es clara.</w:t>
      </w:r>
    </w:p>
    <w:p w14:paraId="6D7FF054" w14:textId="77777777" w:rsidR="004844E5" w:rsidRDefault="004844E5" w:rsidP="004844E5">
      <w:pPr>
        <w:pStyle w:val="Nivel4"/>
      </w:pPr>
      <w:r>
        <w:t>No hay mucha evidencia de que recortes de impuestos que hayan conducido a un aumento de la recaudación.</w:t>
      </w:r>
    </w:p>
    <w:p w14:paraId="6033C272" w14:textId="77777777" w:rsidR="004844E5" w:rsidRDefault="004844E5" w:rsidP="004844E5">
      <w:pPr>
        <w:pStyle w:val="Nivel4"/>
      </w:pPr>
      <w:r>
        <w:t>De hecho, una curva de Laffer para el IRPF implicaría que la elasticidad de la oferta de trabajo respecto al tipo impositivo sea mayor que 1, y como hemos visto la evidencia empírica no parece ofrecer resultados que apoyen de forma robusta esta hipótesis.</w:t>
      </w:r>
    </w:p>
    <w:p w14:paraId="2B50A51D" w14:textId="69E60FD6" w:rsidR="00F94E22" w:rsidRPr="00AD3498" w:rsidRDefault="00F94E22" w:rsidP="004844E5">
      <w:pPr>
        <w:pStyle w:val="Nivel4"/>
      </w:pPr>
      <w:r>
        <w:t>En cualquier caso, a la hora de regular, es necesario tener en cuenta los efectos incentivos (la curva de Laffer se explica por la existencia de 2 efectos, efecto mecánico y efecto comportamiento, si sólo tenemos en cuenta el efecto mecánico a la hora de estimar el impacto sobre la recaudación de un aumento en el tipo impositivo, sobreestimaremos dicho efecto</w:t>
      </w:r>
      <w:r>
        <w:rPr>
          <w:rStyle w:val="Refdenotaalpie"/>
        </w:rPr>
        <w:footnoteReference w:id="22"/>
      </w:r>
      <w:r>
        <w:t>).</w:t>
      </w:r>
    </w:p>
    <w:p w14:paraId="3CB77A0A" w14:textId="4AC9E066" w:rsidR="004844E5" w:rsidRPr="00AD3498" w:rsidRDefault="004844E5" w:rsidP="004844E5">
      <w:pPr>
        <w:pStyle w:val="Nivel2"/>
      </w:pPr>
      <w:r w:rsidRPr="00AD3498">
        <w:t>Por otro lado, los gobiernos son conscientes de los efectos incentivo/desincentivo de los impuestos y las subvenciones y los utilizan a menudo para estimular determinadas actividades (</w:t>
      </w:r>
      <w:r w:rsidR="004A22B8">
        <w:t>p.ej.</w:t>
      </w:r>
      <w:r w:rsidRPr="00AD3498">
        <w:t xml:space="preserve"> subvenciones a energías renovables) y desincentivar otras (</w:t>
      </w:r>
      <w:r w:rsidR="004A22B8">
        <w:t>p.ej.</w:t>
      </w:r>
      <w:r w:rsidRPr="00AD3498">
        <w:t xml:space="preserve"> impuestos a hidrocarburos).</w:t>
      </w:r>
    </w:p>
    <w:p w14:paraId="5F6C07AB" w14:textId="77777777" w:rsidR="004844E5" w:rsidRPr="00747F0A" w:rsidRDefault="004844E5" w:rsidP="004844E5">
      <w:pPr>
        <w:pStyle w:val="Nivel1"/>
        <w:keepNext/>
        <w:spacing w:after="0"/>
      </w:pPr>
      <w:r>
        <w:rPr>
          <w:b/>
          <w:bCs/>
          <w:i/>
          <w:iCs/>
        </w:rPr>
        <w:t>Relevancia</w:t>
      </w:r>
      <w:r>
        <w:t>:</w:t>
      </w:r>
    </w:p>
    <w:p w14:paraId="4E6F1691" w14:textId="77777777" w:rsidR="004844E5" w:rsidRPr="00747F0A" w:rsidRDefault="004844E5" w:rsidP="004844E5">
      <w:pPr>
        <w:pStyle w:val="Nivel2"/>
      </w:pPr>
    </w:p>
    <w:p w14:paraId="16C1A4A6" w14:textId="77777777" w:rsidR="004844E5" w:rsidRDefault="004844E5" w:rsidP="004844E5">
      <w:pPr>
        <w:pStyle w:val="Nivel1"/>
        <w:keepNext/>
        <w:spacing w:after="0"/>
      </w:pPr>
      <w:r>
        <w:rPr>
          <w:b/>
          <w:bCs/>
          <w:i/>
          <w:iCs/>
        </w:rPr>
        <w:t>Extensiones y relación con otras partes del temario</w:t>
      </w:r>
      <w:r>
        <w:t>:</w:t>
      </w:r>
    </w:p>
    <w:p w14:paraId="1DD64455" w14:textId="7753E6F9" w:rsidR="004844E5" w:rsidRDefault="004A22B8" w:rsidP="004A22B8">
      <w:pPr>
        <w:pStyle w:val="Nivel2"/>
        <w:keepNext/>
        <w:spacing w:after="0"/>
      </w:pPr>
      <w:r>
        <w:t xml:space="preserve">Los efectos incentivo no tienen que ir necesariamente en detrimento del bienestar. Por ejemplo, en el caso de una empresa contaminante, la introducción de un impuesto </w:t>
      </w:r>
      <w:proofErr w:type="spellStart"/>
      <w:r>
        <w:t>pigouviano</w:t>
      </w:r>
      <w:proofErr w:type="spellEnd"/>
      <w:r>
        <w:t xml:space="preserve"> busca corregir una externalidad incentivándola a producir una cantidad socialmente óptima </w:t>
      </w:r>
      <w:r w:rsidRPr="004A22B8">
        <w:rPr>
          <w:color w:val="767171" w:themeColor="background2" w:themeShade="80"/>
          <w:sz w:val="19"/>
          <w:szCs w:val="19"/>
        </w:rPr>
        <w:t>[</w:t>
      </w:r>
      <w:r>
        <w:rPr>
          <w:color w:val="767171" w:themeColor="background2" w:themeShade="80"/>
          <w:sz w:val="19"/>
          <w:szCs w:val="19"/>
        </w:rPr>
        <w:t>ver tema 3.A.23</w:t>
      </w:r>
      <w:r w:rsidRPr="004A22B8">
        <w:rPr>
          <w:color w:val="767171" w:themeColor="background2" w:themeShade="80"/>
          <w:sz w:val="19"/>
          <w:szCs w:val="19"/>
        </w:rPr>
        <w:t>]</w:t>
      </w:r>
      <w:r>
        <w:t>.</w:t>
      </w:r>
    </w:p>
    <w:p w14:paraId="7B7157FF" w14:textId="77777777" w:rsidR="004A22B8" w:rsidRDefault="004A22B8" w:rsidP="004A22B8">
      <w:pPr>
        <w:pStyle w:val="Nivel3"/>
        <w:keepNext/>
      </w:pPr>
      <w:r>
        <w:t>Esto nos muestra cómo los efectos incentivo de los impuestos se podrían utilizar para generar objetivos deseables (p.ej. reducir el consumo del tabaco, el alcohol, tasar los bienes complementarios al ocio para aumentar la oferta de trabajo, etc.).</w:t>
      </w:r>
    </w:p>
    <w:p w14:paraId="2EC17950" w14:textId="611A5BFD" w:rsidR="004A22B8" w:rsidRDefault="004A22B8" w:rsidP="004A22B8">
      <w:pPr>
        <w:pStyle w:val="Nivel4"/>
      </w:pPr>
      <w:r>
        <w:t>Todo ello con el objetivo de reducir la carga impositiva sobre estos impuestos más distorsionantes como los impuesto sobre el ahorro y la acumulación de capital o los impuestos sobre las rentas del trabajo.</w:t>
      </w:r>
    </w:p>
    <w:p w14:paraId="7B07505B" w14:textId="7B27D27B" w:rsidR="004A22B8" w:rsidRPr="00AD3498" w:rsidRDefault="004A22B8" w:rsidP="004A22B8">
      <w:pPr>
        <w:pStyle w:val="Nivel3"/>
        <w:keepNext/>
      </w:pPr>
      <w:r>
        <w:t xml:space="preserve">En cuanto a la </w:t>
      </w:r>
      <w:r w:rsidRPr="004A22B8">
        <w:rPr>
          <w:b/>
          <w:bCs/>
        </w:rPr>
        <w:t>evasión fiscal</w:t>
      </w:r>
      <w:r>
        <w:t xml:space="preserve">, </w:t>
      </w:r>
      <w:r w:rsidRPr="00AD3498">
        <w:t>los gobiernos tratan de combatir cada vez más activamente el fraude fiscal, aunque es más difícil de lo que parece</w:t>
      </w:r>
      <w:r>
        <w:t xml:space="preserve"> por los siguientes motivos</w:t>
      </w:r>
      <w:r w:rsidRPr="00AD3498">
        <w:t>:</w:t>
      </w:r>
    </w:p>
    <w:p w14:paraId="62A2AB64" w14:textId="77777777" w:rsidR="004A22B8" w:rsidRPr="00AD3498" w:rsidRDefault="004A22B8" w:rsidP="004A22B8">
      <w:pPr>
        <w:pStyle w:val="Nivel4"/>
      </w:pPr>
      <w:r w:rsidRPr="00AD3498">
        <w:t>Es muy difícil estimar la cuantía del fraude.</w:t>
      </w:r>
    </w:p>
    <w:p w14:paraId="159610BE" w14:textId="59DE681F" w:rsidR="004A22B8" w:rsidRPr="00AD3498" w:rsidRDefault="004A22B8" w:rsidP="004A22B8">
      <w:pPr>
        <w:pStyle w:val="Nivel4"/>
        <w:keepNext/>
      </w:pPr>
      <w:r w:rsidRPr="00AD3498">
        <w:t>Además, hay que ser cautelosos al difundir cifras de fraude pues:</w:t>
      </w:r>
    </w:p>
    <w:p w14:paraId="390D14B4" w14:textId="77777777" w:rsidR="004A22B8" w:rsidRPr="00AD3498" w:rsidRDefault="004A22B8" w:rsidP="004A22B8">
      <w:pPr>
        <w:pStyle w:val="Nivel5"/>
      </w:pPr>
      <w:r w:rsidRPr="00AD3498">
        <w:t>Difícilmente serán exactas.</w:t>
      </w:r>
    </w:p>
    <w:p w14:paraId="45E00266" w14:textId="4F552AEA" w:rsidR="004A22B8" w:rsidRPr="00AD3498" w:rsidRDefault="004A22B8" w:rsidP="004A22B8">
      <w:pPr>
        <w:pStyle w:val="Nivel5"/>
      </w:pPr>
      <w:r w:rsidRPr="00AD3498">
        <w:t>Pueden tener efectos negativos (</w:t>
      </w:r>
      <w:r>
        <w:t>p.ej.</w:t>
      </w:r>
      <w:r w:rsidRPr="00AD3498">
        <w:t xml:space="preserve"> </w:t>
      </w:r>
      <w:r>
        <w:t xml:space="preserve">una cifra elevada podría reducir la </w:t>
      </w:r>
      <w:r w:rsidRPr="00AD3498">
        <w:t xml:space="preserve">confianza </w:t>
      </w:r>
      <w:r>
        <w:t xml:space="preserve">de los ciudadanos </w:t>
      </w:r>
      <w:r w:rsidRPr="00AD3498">
        <w:t>en la justicia del sistema fiscal</w:t>
      </w:r>
      <w:r>
        <w:t xml:space="preserve"> e incentivarlos a defraudar</w:t>
      </w:r>
      <w:r w:rsidRPr="00AD3498">
        <w:t>).</w:t>
      </w:r>
    </w:p>
    <w:p w14:paraId="169F71DE" w14:textId="77777777" w:rsidR="004A22B8" w:rsidRDefault="004A22B8" w:rsidP="004A22B8">
      <w:pPr>
        <w:pStyle w:val="Nivel3"/>
        <w:keepNext/>
        <w:numPr>
          <w:ilvl w:val="0"/>
          <w:numId w:val="0"/>
        </w:numPr>
        <w:ind w:left="1474"/>
      </w:pPr>
      <w:r>
        <w:t>En cualquier caso, se podrían proponer los siguientes mecanismos para luchar contra el fraude fiscal:</w:t>
      </w:r>
    </w:p>
    <w:p w14:paraId="3DC8E80F" w14:textId="4A616D00" w:rsidR="004A22B8" w:rsidRPr="00AD3498" w:rsidRDefault="004A22B8" w:rsidP="004A22B8">
      <w:pPr>
        <w:pStyle w:val="Nivel4"/>
      </w:pPr>
      <w:r w:rsidRPr="00AD3498">
        <w:t xml:space="preserve">La </w:t>
      </w:r>
      <w:r w:rsidRPr="004A22B8">
        <w:rPr>
          <w:i/>
          <w:iCs/>
          <w:u w:val="single"/>
        </w:rPr>
        <w:t>educación</w:t>
      </w:r>
      <w:r w:rsidRPr="00AD3498">
        <w:t xml:space="preserve"> es una vía muy importante para combatirlo, pero sus beneficios sólo se aprecian a largo plazo.</w:t>
      </w:r>
    </w:p>
    <w:p w14:paraId="7582477D" w14:textId="6F3AC968" w:rsidR="000036C0" w:rsidRDefault="000036C0" w:rsidP="000036C0">
      <w:pPr>
        <w:pStyle w:val="Nivel4"/>
        <w:keepNext/>
      </w:pPr>
      <w:r>
        <w:rPr>
          <w:i/>
          <w:iCs/>
          <w:u w:val="single"/>
        </w:rPr>
        <w:lastRenderedPageBreak/>
        <w:t>Una mejora institucional</w:t>
      </w:r>
      <w:r>
        <w:t xml:space="preserve"> para que los ciudadanos confíen y vislumbren de mejor manera los beneficios sociales del pago de impuestos. Por ejemplo</w:t>
      </w:r>
      <w:r w:rsidR="00D3340B">
        <w:t>,</w:t>
      </w:r>
      <w:r>
        <w:t xml:space="preserve"> mediante:</w:t>
      </w:r>
    </w:p>
    <w:p w14:paraId="08A13AB4" w14:textId="4E2C0BA4" w:rsidR="000036C0" w:rsidRPr="004A22B8" w:rsidRDefault="000036C0" w:rsidP="000036C0">
      <w:pPr>
        <w:pStyle w:val="Nivel5"/>
      </w:pPr>
      <w:r w:rsidRPr="000036C0">
        <w:rPr>
          <w:i/>
          <w:iCs/>
          <w:u w:val="single"/>
        </w:rPr>
        <w:t>Transparencia del sistema fiscal</w:t>
      </w:r>
      <w:r>
        <w:rPr>
          <w:rStyle w:val="Refdenotaalpie"/>
        </w:rPr>
        <w:footnoteReference w:id="23"/>
      </w:r>
      <w:r>
        <w:t>.</w:t>
      </w:r>
    </w:p>
    <w:p w14:paraId="1636A47B" w14:textId="77777777" w:rsidR="000036C0" w:rsidRPr="00AD3498" w:rsidRDefault="000036C0" w:rsidP="000036C0">
      <w:pPr>
        <w:pStyle w:val="Nivel5"/>
      </w:pPr>
      <w:r w:rsidRPr="00AD3498">
        <w:t xml:space="preserve">El </w:t>
      </w:r>
      <w:r w:rsidRPr="004A22B8">
        <w:rPr>
          <w:i/>
          <w:iCs/>
          <w:u w:val="single"/>
        </w:rPr>
        <w:t>aumento de las sanciones</w:t>
      </w:r>
      <w:r w:rsidRPr="00AD3498">
        <w:t xml:space="preserve"> y las inspecciones puede ser importante.</w:t>
      </w:r>
    </w:p>
    <w:p w14:paraId="4950B662" w14:textId="77777777" w:rsidR="000036C0" w:rsidRDefault="000036C0" w:rsidP="000036C0">
      <w:pPr>
        <w:pStyle w:val="Nivel5"/>
      </w:pPr>
      <w:r w:rsidRPr="004A22B8">
        <w:rPr>
          <w:i/>
          <w:iCs/>
          <w:u w:val="single"/>
        </w:rPr>
        <w:t>Reducir los recargos por liquidación fuera de plazo</w:t>
      </w:r>
      <w:r w:rsidRPr="00AD3498">
        <w:t xml:space="preserve"> (para que los retrasos no incentiven el fraude </w:t>
      </w:r>
      <w:r w:rsidRPr="004844E5">
        <w:t>definitivo).</w:t>
      </w:r>
    </w:p>
    <w:p w14:paraId="4008240E" w14:textId="77777777" w:rsidR="004844E5" w:rsidRDefault="004844E5" w:rsidP="004844E5">
      <w:pPr>
        <w:pStyle w:val="Nivel1"/>
        <w:keepNext/>
        <w:spacing w:after="0"/>
      </w:pPr>
      <w:r>
        <w:rPr>
          <w:b/>
          <w:bCs/>
          <w:i/>
          <w:iCs/>
        </w:rPr>
        <w:t>Opinión</w:t>
      </w:r>
      <w:r>
        <w:t>:</w:t>
      </w:r>
    </w:p>
    <w:p w14:paraId="135C0940" w14:textId="77777777" w:rsidR="004844E5" w:rsidRPr="00747F0A" w:rsidRDefault="004844E5" w:rsidP="004844E5">
      <w:pPr>
        <w:pStyle w:val="Nivel2"/>
      </w:pPr>
    </w:p>
    <w:p w14:paraId="4CDB9FC3" w14:textId="77777777" w:rsidR="004844E5" w:rsidRDefault="004844E5" w:rsidP="004844E5">
      <w:pPr>
        <w:pStyle w:val="Nivel1"/>
        <w:keepNext/>
        <w:spacing w:after="0"/>
      </w:pPr>
      <w:r>
        <w:rPr>
          <w:b/>
          <w:bCs/>
          <w:i/>
          <w:iCs/>
        </w:rPr>
        <w:t>Idea final (Salida o cierre)</w:t>
      </w:r>
      <w:r>
        <w:t>:</w:t>
      </w:r>
    </w:p>
    <w:p w14:paraId="208CC892" w14:textId="04A10B33" w:rsidR="004844E5" w:rsidRDefault="0055110E" w:rsidP="004844E5">
      <w:pPr>
        <w:pStyle w:val="Nivel2"/>
      </w:pPr>
      <w:r>
        <w:t>En definitiva, el sector público debe tener en cuenta los efectos incentivos de los impuestos para el diseño de un sistema fiscal que cumpla una serie de propiedades deseadas como eficiencia, equidad y suficiencia.</w:t>
      </w:r>
    </w:p>
    <w:p w14:paraId="53F73C84" w14:textId="77777777" w:rsidR="004844E5" w:rsidRDefault="004844E5" w:rsidP="004844E5">
      <w:pPr>
        <w:spacing w:after="0" w:line="240" w:lineRule="auto"/>
        <w:jc w:val="left"/>
      </w:pPr>
      <w:r>
        <w:br w:type="page"/>
      </w:r>
    </w:p>
    <w:p w14:paraId="4ED965A0" w14:textId="77777777" w:rsidR="004844E5" w:rsidRDefault="004844E5" w:rsidP="004844E5">
      <w:pPr>
        <w:pStyle w:val="Ttulo4"/>
      </w:pPr>
      <w:r>
        <w:lastRenderedPageBreak/>
        <w:t>Bibliografía</w:t>
      </w:r>
    </w:p>
    <w:p w14:paraId="051C8485" w14:textId="77777777" w:rsidR="004844E5" w:rsidRDefault="004844E5" w:rsidP="004844E5">
      <w:r>
        <w:t>Tema María Palacios Carrere</w:t>
      </w:r>
    </w:p>
    <w:p w14:paraId="2B67FCCF" w14:textId="6D86FC6D" w:rsidR="00DC2ED4" w:rsidRDefault="00DC2ED4" w:rsidP="004844E5">
      <w:r>
        <w:t>Tema Juan Luis Cordero.</w:t>
      </w:r>
    </w:p>
    <w:p w14:paraId="6D3C4A70" w14:textId="4EA583A6" w:rsidR="008A39B0" w:rsidRDefault="008A39B0" w:rsidP="004844E5">
      <w:r>
        <w:t xml:space="preserve">Tema A. </w:t>
      </w:r>
      <w:proofErr w:type="spellStart"/>
      <w:r>
        <w:t>Sahuquillo</w:t>
      </w:r>
      <w:proofErr w:type="spellEnd"/>
    </w:p>
    <w:p w14:paraId="32148A2E" w14:textId="77777777" w:rsidR="004844E5" w:rsidRDefault="004844E5" w:rsidP="004844E5">
      <w:r w:rsidRPr="000612C0">
        <w:rPr>
          <w:i/>
          <w:iCs/>
        </w:rPr>
        <w:t>“Economía pública”</w:t>
      </w:r>
      <w:r w:rsidRPr="000612C0">
        <w:t>, Albi.</w:t>
      </w:r>
    </w:p>
    <w:p w14:paraId="5905D276" w14:textId="77777777" w:rsidR="004844E5" w:rsidRDefault="004844E5" w:rsidP="004844E5">
      <w:pPr>
        <w:pStyle w:val="Ttulo4"/>
      </w:pPr>
      <w:r>
        <w:t>Preguntas de otros exámenes</w:t>
      </w:r>
    </w:p>
    <w:p w14:paraId="4F67EB35" w14:textId="77777777" w:rsidR="004844E5" w:rsidRPr="002908B3" w:rsidRDefault="004844E5" w:rsidP="004844E5">
      <w:pPr>
        <w:pStyle w:val="Nivel2SM"/>
      </w:pPr>
    </w:p>
    <w:p w14:paraId="60B73122" w14:textId="77777777" w:rsidR="004844E5" w:rsidRDefault="004844E5" w:rsidP="004844E5">
      <w:pPr>
        <w:pStyle w:val="Ttulo4"/>
      </w:pPr>
      <w:r w:rsidRPr="00342648">
        <w:t>Anexos</w:t>
      </w:r>
    </w:p>
    <w:p w14:paraId="0673A8EF" w14:textId="6610A20B" w:rsidR="00AA2875" w:rsidRPr="004844E5" w:rsidRDefault="004844E5" w:rsidP="004844E5">
      <w:pPr>
        <w:pStyle w:val="Ttulo5"/>
        <w:rPr>
          <w:bCs/>
          <w:u w:val="none"/>
        </w:rPr>
      </w:pPr>
      <w:r>
        <w:t>Anexo 1</w:t>
      </w:r>
      <w:r w:rsidRPr="00DA4C9D">
        <w:rPr>
          <w:u w:val="none"/>
        </w:rPr>
        <w:t xml:space="preserve">: </w:t>
      </w:r>
      <w:r w:rsidR="00AA2875" w:rsidRPr="004844E5">
        <w:rPr>
          <w:bCs/>
          <w:u w:val="none"/>
        </w:rPr>
        <w:t>Otras consideraciones sobre el ahorro</w:t>
      </w:r>
    </w:p>
    <w:p w14:paraId="7D6BDD84" w14:textId="77777777" w:rsidR="00AA2875" w:rsidRPr="00AD3498" w:rsidRDefault="00AA2875" w:rsidP="001F5A17">
      <w:pPr>
        <w:pStyle w:val="Nivel2SM"/>
        <w:keepNext/>
        <w:spacing w:after="0"/>
      </w:pPr>
      <w:r w:rsidRPr="00AD3498">
        <w:t xml:space="preserve">Los efectos de los impuestos también </w:t>
      </w:r>
      <w:r w:rsidRPr="00AD3498">
        <w:rPr>
          <w:u w:val="single"/>
        </w:rPr>
        <w:t>dependerán de si son percibidos por los individuos como permanentes o transitorios</w:t>
      </w:r>
      <w:r w:rsidRPr="00AD3498">
        <w:t>.</w:t>
      </w:r>
    </w:p>
    <w:p w14:paraId="2E1E1C3F" w14:textId="77777777" w:rsidR="00AA2875" w:rsidRPr="00AD3498" w:rsidRDefault="00AA2875" w:rsidP="001F5A17">
      <w:pPr>
        <w:pStyle w:val="Nivel3SM"/>
      </w:pPr>
      <w:r w:rsidRPr="00AD3498">
        <w:t xml:space="preserve">Así, si se reduce un </w:t>
      </w:r>
      <w:proofErr w:type="gramStart"/>
      <w:r w:rsidRPr="00AD3498">
        <w:t>impuesto</w:t>
      </w:r>
      <w:proofErr w:type="gramEnd"/>
      <w:r w:rsidRPr="00AD3498">
        <w:t xml:space="preserve"> pero los individuos anticipan que el próximo año se aumentará, los efectos incentivo no serán los mismos que si la reducción de impuestos se percibe como permanente.</w:t>
      </w:r>
    </w:p>
    <w:p w14:paraId="542E6A23" w14:textId="77777777" w:rsidR="00AA2875" w:rsidRPr="00AD3498" w:rsidRDefault="00AA2875" w:rsidP="001F5A17">
      <w:pPr>
        <w:pStyle w:val="Nivel3SM"/>
        <w:keepNext/>
      </w:pPr>
      <w:r w:rsidRPr="00AD3498">
        <w:t>De hecho, el modelo de equivalencia ricardiana de Barro postula que “si el consumidor es capaz de anticipar perfectamente los cambios futuros en los impuestos como resultado de una reducción de impuestos en el presente, éste modificará su ahorro sin alterar su senda de consumo”</w:t>
      </w:r>
    </w:p>
    <w:p w14:paraId="13AAA4F9" w14:textId="378D5411" w:rsidR="00AA2875" w:rsidRPr="00AD3498" w:rsidRDefault="00AA2875" w:rsidP="001F5A17">
      <w:pPr>
        <w:pStyle w:val="Nivel4"/>
        <w:ind w:left="1474"/>
      </w:pPr>
      <w:r w:rsidRPr="00AD3498">
        <w:t>Sin embargo, esto no ocurre en la realidad por múltiples motivos (</w:t>
      </w:r>
      <w:r w:rsidR="004A22B8">
        <w:t>p.ej.</w:t>
      </w:r>
      <w:r w:rsidRPr="00AD3498">
        <w:t xml:space="preserve"> los agentes no tienen capacidad de previsión perfecta).</w:t>
      </w:r>
    </w:p>
    <w:p w14:paraId="31103B2B" w14:textId="44876D87" w:rsidR="00547B18" w:rsidRPr="004844E5" w:rsidRDefault="004844E5" w:rsidP="004844E5">
      <w:pPr>
        <w:pStyle w:val="Ttulo5"/>
        <w:rPr>
          <w:bCs/>
          <w:u w:val="none"/>
        </w:rPr>
      </w:pPr>
      <w:r w:rsidRPr="0002549F">
        <w:t>Anexo</w:t>
      </w:r>
      <w:r>
        <w:t> 2</w:t>
      </w:r>
      <w:r w:rsidRPr="00AF1FE6">
        <w:rPr>
          <w:u w:val="none"/>
        </w:rPr>
        <w:t xml:space="preserve">: </w:t>
      </w:r>
      <w:r w:rsidR="007B699E" w:rsidRPr="004844E5">
        <w:rPr>
          <w:bCs/>
          <w:u w:val="none"/>
        </w:rPr>
        <w:t xml:space="preserve">Análisis del ahorro: </w:t>
      </w:r>
      <w:r w:rsidR="00547B18" w:rsidRPr="004844E5">
        <w:rPr>
          <w:bCs/>
          <w:u w:val="none"/>
        </w:rPr>
        <w:t>Impuesto selectivo sobre el consumo</w:t>
      </w:r>
    </w:p>
    <w:p w14:paraId="54E08EEB" w14:textId="77777777" w:rsidR="00547B18" w:rsidRPr="00AD3498" w:rsidRDefault="00547B18" w:rsidP="001F5A17">
      <w:pPr>
        <w:pStyle w:val="Nivel2SM"/>
      </w:pPr>
      <w:r w:rsidRPr="00AD3498">
        <w:t>Ejemplo: Impuesto sobre el consumo presente, pero no futuro.</w:t>
      </w:r>
    </w:p>
    <w:p w14:paraId="45D7A676" w14:textId="77777777" w:rsidR="00547B18" w:rsidRPr="00AD3498" w:rsidRDefault="00547B18" w:rsidP="001F5A17">
      <w:pPr>
        <w:pStyle w:val="Nivel2SM"/>
        <w:keepNext/>
        <w:spacing w:after="0"/>
      </w:pPr>
      <w:r w:rsidRPr="00AD3498">
        <w:t>E</w:t>
      </w:r>
      <w:r w:rsidR="007B699E" w:rsidRPr="00AD3498">
        <w:t>fecto</w:t>
      </w:r>
      <w:r w:rsidRPr="00AD3498">
        <w:t>:</w:t>
      </w:r>
    </w:p>
    <w:p w14:paraId="7D19D594" w14:textId="77777777" w:rsidR="00547B18" w:rsidRPr="00AD3498" w:rsidRDefault="000676EF" w:rsidP="001F5A17">
      <w:pPr>
        <w:spacing w:after="0"/>
        <w:jc w:val="center"/>
        <w:rPr>
          <w:b/>
        </w:rPr>
      </w:pPr>
      <w:r w:rsidRPr="00AD3498">
        <w:rPr>
          <w:b/>
          <w:noProof/>
        </w:rPr>
        <w:drawing>
          <wp:inline distT="0" distB="0" distL="0" distR="0" wp14:anchorId="54FDCCA7" wp14:editId="0CB3E8F3">
            <wp:extent cx="2080260" cy="1821180"/>
            <wp:effectExtent l="0" t="0" r="0" b="7620"/>
            <wp:docPr id="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4">
                      <a:extLst>
                        <a:ext uri="{BEBA8EAE-BF5A-486C-A8C5-ECC9F3942E4B}">
                          <a14:imgProps xmlns:a14="http://schemas.microsoft.com/office/drawing/2010/main">
                            <a14:imgLayer r:embed="rId4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80260" cy="1821180"/>
                    </a:xfrm>
                    <a:prstGeom prst="rect">
                      <a:avLst/>
                    </a:prstGeom>
                    <a:noFill/>
                    <a:ln>
                      <a:noFill/>
                    </a:ln>
                  </pic:spPr>
                </pic:pic>
              </a:graphicData>
            </a:graphic>
          </wp:inline>
        </w:drawing>
      </w:r>
    </w:p>
    <w:p w14:paraId="6323915D" w14:textId="77777777" w:rsidR="00435C91" w:rsidRPr="00AD3498" w:rsidRDefault="00CF5431" w:rsidP="001F5A17">
      <w:pPr>
        <w:pStyle w:val="Nivel3SM"/>
      </w:pPr>
      <w:r w:rsidRPr="00AD3498">
        <w:t>En función de si domina el ES o el ER, puede ocurrir que el consumo futuro aumente o disminuya (por tanto, que el ahorro privado aumente o disminuya).</w:t>
      </w:r>
    </w:p>
    <w:p w14:paraId="392501F7" w14:textId="7CA0C668" w:rsidR="00861ED4" w:rsidRPr="004844E5" w:rsidRDefault="004844E5" w:rsidP="004B50E2">
      <w:pPr>
        <w:pStyle w:val="Ttulo5"/>
        <w:rPr>
          <w:bCs/>
          <w:u w:val="none"/>
        </w:rPr>
      </w:pPr>
      <w:r w:rsidRPr="0002549F">
        <w:lastRenderedPageBreak/>
        <w:t>Anexo</w:t>
      </w:r>
      <w:r>
        <w:t> </w:t>
      </w:r>
      <w:r w:rsidR="001F5A17">
        <w:t>3</w:t>
      </w:r>
      <w:r w:rsidRPr="00AF1FE6">
        <w:rPr>
          <w:u w:val="none"/>
        </w:rPr>
        <w:t xml:space="preserve">: </w:t>
      </w:r>
      <w:r w:rsidR="00861ED4" w:rsidRPr="004844E5">
        <w:rPr>
          <w:bCs/>
          <w:u w:val="none"/>
        </w:rPr>
        <w:t>Determinantes del fraude fiscal</w:t>
      </w:r>
    </w:p>
    <w:p w14:paraId="51490B2D" w14:textId="77777777" w:rsidR="00861ED4" w:rsidRPr="00AD3498" w:rsidRDefault="000676EF" w:rsidP="00F67FAF">
      <w:pPr>
        <w:jc w:val="center"/>
      </w:pPr>
      <w:r w:rsidRPr="00AD3498">
        <w:rPr>
          <w:noProof/>
        </w:rPr>
        <w:drawing>
          <wp:inline distT="0" distB="0" distL="0" distR="0" wp14:anchorId="68373F8C" wp14:editId="2A8DDB84">
            <wp:extent cx="4229100" cy="4610100"/>
            <wp:effectExtent l="0" t="0" r="0" b="0"/>
            <wp:docPr id="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29100" cy="4610100"/>
                    </a:xfrm>
                    <a:prstGeom prst="rect">
                      <a:avLst/>
                    </a:prstGeom>
                    <a:noFill/>
                    <a:ln>
                      <a:noFill/>
                    </a:ln>
                  </pic:spPr>
                </pic:pic>
              </a:graphicData>
            </a:graphic>
          </wp:inline>
        </w:drawing>
      </w:r>
    </w:p>
    <w:p w14:paraId="7A3EA4F8" w14:textId="77777777" w:rsidR="00F43420" w:rsidRPr="00AD3498" w:rsidRDefault="000676EF" w:rsidP="00F67FAF">
      <w:pPr>
        <w:jc w:val="center"/>
        <w:rPr>
          <w:b/>
        </w:rPr>
      </w:pPr>
      <w:r w:rsidRPr="00AD3498">
        <w:rPr>
          <w:b/>
          <w:noProof/>
        </w:rPr>
        <w:drawing>
          <wp:inline distT="0" distB="0" distL="0" distR="0" wp14:anchorId="1F2B21E2" wp14:editId="54BFA727">
            <wp:extent cx="4533900" cy="2636520"/>
            <wp:effectExtent l="0" t="0" r="0" b="0"/>
            <wp:docPr id="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33900" cy="2636520"/>
                    </a:xfrm>
                    <a:prstGeom prst="rect">
                      <a:avLst/>
                    </a:prstGeom>
                    <a:noFill/>
                    <a:ln>
                      <a:noFill/>
                    </a:ln>
                  </pic:spPr>
                </pic:pic>
              </a:graphicData>
            </a:graphic>
          </wp:inline>
        </w:drawing>
      </w:r>
    </w:p>
    <w:sectPr w:rsidR="00F43420" w:rsidRPr="00AD3498" w:rsidSect="000676EF">
      <w:headerReference w:type="even" r:id="rId48"/>
      <w:headerReference w:type="default" r:id="rId49"/>
      <w:footerReference w:type="even" r:id="rId50"/>
      <w:footerReference w:type="default" r:id="rId51"/>
      <w:headerReference w:type="first" r:id="rId52"/>
      <w:footerReference w:type="first" r:id="rId5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1BC45" w14:textId="77777777" w:rsidR="002B3F40" w:rsidRDefault="002B3F40">
      <w:r>
        <w:separator/>
      </w:r>
    </w:p>
  </w:endnote>
  <w:endnote w:type="continuationSeparator" w:id="0">
    <w:p w14:paraId="14791812" w14:textId="77777777" w:rsidR="002B3F40" w:rsidRDefault="002B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76EF" w:rsidRPr="009B5FC2" w14:paraId="6BCCBF9A" w14:textId="77777777" w:rsidTr="00B777D0">
      <w:trPr>
        <w:trHeight w:val="138"/>
        <w:jc w:val="center"/>
      </w:trPr>
      <w:tc>
        <w:tcPr>
          <w:tcW w:w="1134" w:type="dxa"/>
        </w:tcPr>
        <w:p w14:paraId="0270E442" w14:textId="77777777" w:rsidR="000676EF" w:rsidRPr="009B5FC2" w:rsidRDefault="000676EF"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3FF15C9E" w14:textId="77777777" w:rsidR="000676EF" w:rsidRPr="009B5FC2" w:rsidRDefault="000676EF" w:rsidP="009B5FC2">
          <w:pPr>
            <w:pStyle w:val="Encabezado"/>
            <w:spacing w:after="0"/>
            <w:ind w:right="-110"/>
            <w:contextualSpacing/>
            <w:jc w:val="center"/>
            <w:rPr>
              <w:i/>
              <w:iCs/>
              <w:color w:val="5F2987"/>
              <w:sz w:val="18"/>
              <w:szCs w:val="18"/>
            </w:rPr>
          </w:pPr>
        </w:p>
      </w:tc>
      <w:tc>
        <w:tcPr>
          <w:tcW w:w="2551" w:type="dxa"/>
          <w:vAlign w:val="center"/>
        </w:tcPr>
        <w:p w14:paraId="297AEC6C" w14:textId="77777777" w:rsidR="000676EF" w:rsidRPr="009B5FC2" w:rsidRDefault="000676EF" w:rsidP="009B5FC2">
          <w:pPr>
            <w:pStyle w:val="Encabezado"/>
            <w:spacing w:after="0"/>
            <w:contextualSpacing/>
            <w:jc w:val="right"/>
            <w:rPr>
              <w:b/>
              <w:bCs/>
              <w:i/>
              <w:iCs/>
              <w:color w:val="5F2987"/>
              <w:spacing w:val="-6"/>
              <w:sz w:val="18"/>
              <w:szCs w:val="18"/>
            </w:rPr>
          </w:pPr>
        </w:p>
      </w:tc>
    </w:tr>
  </w:tbl>
  <w:p w14:paraId="28DF6504" w14:textId="77777777" w:rsidR="000676EF" w:rsidRPr="009C61AF" w:rsidRDefault="000676EF"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76EF" w:rsidRPr="00C44422" w14:paraId="596F217D" w14:textId="77777777" w:rsidTr="0078055F">
      <w:trPr>
        <w:trHeight w:val="138"/>
        <w:jc w:val="center"/>
      </w:trPr>
      <w:tc>
        <w:tcPr>
          <w:tcW w:w="1134" w:type="dxa"/>
          <w:vAlign w:val="center"/>
        </w:tcPr>
        <w:p w14:paraId="321E968A" w14:textId="77777777" w:rsidR="000676EF" w:rsidRPr="006B5D4B" w:rsidRDefault="000676EF"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A820AB1" w14:textId="77777777" w:rsidR="000676EF" w:rsidRPr="006B5D4B" w:rsidRDefault="000676EF" w:rsidP="009B5FC2">
          <w:pPr>
            <w:pStyle w:val="Encabezado"/>
            <w:spacing w:after="0"/>
            <w:ind w:right="-110"/>
            <w:contextualSpacing/>
            <w:jc w:val="center"/>
            <w:rPr>
              <w:i/>
              <w:iCs/>
              <w:color w:val="5F2987"/>
              <w:sz w:val="18"/>
              <w:szCs w:val="18"/>
            </w:rPr>
          </w:pPr>
        </w:p>
      </w:tc>
      <w:tc>
        <w:tcPr>
          <w:tcW w:w="2551" w:type="dxa"/>
          <w:vAlign w:val="center"/>
        </w:tcPr>
        <w:p w14:paraId="49E10AFB" w14:textId="77777777" w:rsidR="000676EF" w:rsidRPr="006B5D4B" w:rsidRDefault="000676EF"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7649E3E" w14:textId="77777777" w:rsidR="000676EF" w:rsidRPr="00BE1B62" w:rsidRDefault="000676EF"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76EF" w:rsidRPr="00C44422" w14:paraId="03819E55" w14:textId="77777777" w:rsidTr="0078055F">
      <w:trPr>
        <w:trHeight w:val="138"/>
        <w:jc w:val="center"/>
      </w:trPr>
      <w:tc>
        <w:tcPr>
          <w:tcW w:w="1134" w:type="dxa"/>
          <w:vAlign w:val="center"/>
        </w:tcPr>
        <w:p w14:paraId="38FAB2D5" w14:textId="77777777" w:rsidR="000676EF" w:rsidRPr="006B5D4B" w:rsidRDefault="000676EF"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4AB54D9" w14:textId="77777777" w:rsidR="000676EF" w:rsidRPr="006B5D4B" w:rsidRDefault="000676EF" w:rsidP="009B5FC2">
          <w:pPr>
            <w:pStyle w:val="Encabezado"/>
            <w:spacing w:after="0"/>
            <w:ind w:right="-110"/>
            <w:contextualSpacing/>
            <w:jc w:val="center"/>
            <w:rPr>
              <w:i/>
              <w:iCs/>
              <w:color w:val="5F2987"/>
              <w:sz w:val="18"/>
              <w:szCs w:val="18"/>
            </w:rPr>
          </w:pPr>
        </w:p>
      </w:tc>
      <w:tc>
        <w:tcPr>
          <w:tcW w:w="2551" w:type="dxa"/>
          <w:vAlign w:val="center"/>
        </w:tcPr>
        <w:p w14:paraId="3BE2B68A" w14:textId="77777777" w:rsidR="000676EF" w:rsidRPr="006B5D4B" w:rsidRDefault="000676EF"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1EA3E053" w14:textId="77777777" w:rsidR="000676EF" w:rsidRPr="00BE1B62" w:rsidRDefault="000676EF"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9CD6D" w14:textId="77777777" w:rsidR="002B3F40" w:rsidRPr="000676EF" w:rsidRDefault="002B3F40" w:rsidP="000676EF">
      <w:pPr>
        <w:spacing w:after="0" w:line="240" w:lineRule="auto"/>
        <w:rPr>
          <w:sz w:val="16"/>
          <w:szCs w:val="16"/>
        </w:rPr>
      </w:pPr>
      <w:r w:rsidRPr="000676EF">
        <w:rPr>
          <w:sz w:val="16"/>
          <w:szCs w:val="16"/>
        </w:rPr>
        <w:separator/>
      </w:r>
    </w:p>
  </w:footnote>
  <w:footnote w:type="continuationSeparator" w:id="0">
    <w:p w14:paraId="64C893D1" w14:textId="77777777" w:rsidR="002B3F40" w:rsidRPr="000676EF" w:rsidRDefault="002B3F40" w:rsidP="000676EF">
      <w:pPr>
        <w:spacing w:after="0" w:line="240" w:lineRule="auto"/>
        <w:rPr>
          <w:sz w:val="16"/>
          <w:szCs w:val="16"/>
        </w:rPr>
      </w:pPr>
      <w:r w:rsidRPr="000676EF">
        <w:rPr>
          <w:sz w:val="16"/>
          <w:szCs w:val="16"/>
        </w:rPr>
        <w:continuationSeparator/>
      </w:r>
    </w:p>
  </w:footnote>
  <w:footnote w:type="continuationNotice" w:id="1">
    <w:p w14:paraId="6E6BBA69" w14:textId="77777777" w:rsidR="002B3F40" w:rsidRPr="000676EF" w:rsidRDefault="002B3F40" w:rsidP="000676EF">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7A2BCE41" w14:textId="77777777" w:rsidR="000676EF" w:rsidRDefault="000676EF" w:rsidP="000676EF">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7D949396" w14:textId="77777777" w:rsidR="000676EF" w:rsidRDefault="000676EF" w:rsidP="000676EF">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47EEEAFC" w14:textId="77777777" w:rsidR="000676EF" w:rsidRPr="00446C0D" w:rsidRDefault="000676EF" w:rsidP="000676EF">
      <w:pPr>
        <w:pStyle w:val="Textonotapie"/>
      </w:pPr>
      <w:r>
        <w:t>Además, la microeconomía también estudia a otros agentes como las instituciones financieras o el Estado.</w:t>
      </w:r>
    </w:p>
  </w:footnote>
  <w:footnote w:id="4">
    <w:p w14:paraId="33B9AB60" w14:textId="77777777" w:rsidR="000676EF" w:rsidRDefault="000676EF" w:rsidP="000676EF">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74F055F1" w14:textId="77777777" w:rsidR="000676EF" w:rsidRDefault="000676EF" w:rsidP="000676EF">
      <w:pPr>
        <w:pStyle w:val="Textonotapie"/>
        <w:numPr>
          <w:ilvl w:val="0"/>
          <w:numId w:val="44"/>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431DF71C" w14:textId="77777777" w:rsidR="000676EF" w:rsidRDefault="000676EF" w:rsidP="000676EF">
      <w:pPr>
        <w:pStyle w:val="Textonotapie"/>
        <w:numPr>
          <w:ilvl w:val="0"/>
          <w:numId w:val="44"/>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6F9DD10C" w14:textId="77777777" w:rsidR="000676EF" w:rsidRPr="002A08C4" w:rsidRDefault="000676EF" w:rsidP="000676EF">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1469BE6F" w14:textId="77777777" w:rsidR="000676EF" w:rsidRPr="002A08C4" w:rsidRDefault="000676EF" w:rsidP="000676EF">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62662E52" w14:textId="77777777" w:rsidR="00C91B45" w:rsidRDefault="00C91B45" w:rsidP="00C91B45">
      <w:pPr>
        <w:pStyle w:val="Textonotapie"/>
      </w:pPr>
      <w:r>
        <w:rPr>
          <w:rStyle w:val="Refdenotaalpie"/>
        </w:rPr>
        <w:footnoteRef/>
      </w:r>
      <w:r>
        <w:t xml:space="preserve"> Esto encuentra su explicación en que el mercado está atomizado. Hay muchos demandantes de trabajo (muchas empresas) y muchos oferentes de trabajo (trabajadores) de tal manera que las acciones individuales son imperceptibles en cuanto a cambios en precios.</w:t>
      </w:r>
    </w:p>
  </w:footnote>
  <w:footnote w:id="7">
    <w:p w14:paraId="25B4D835" w14:textId="3CC28435" w:rsidR="004E6F3F" w:rsidRDefault="004E6F3F" w:rsidP="004E6F3F">
      <w:pPr>
        <w:pStyle w:val="Textonotapie"/>
      </w:pPr>
      <w:r>
        <w:rPr>
          <w:rStyle w:val="Refdenotaalpie"/>
        </w:rPr>
        <w:footnoteRef/>
      </w:r>
      <w:r>
        <w:t xml:space="preserve"> En el problema de optimización se aprecia claramente como el salario aparece en ambos lados de la restricción presupuestaria. Esto explicará la existencia de un efecto renta-dotación.</w:t>
      </w:r>
    </w:p>
  </w:footnote>
  <w:footnote w:id="8">
    <w:p w14:paraId="693D9064" w14:textId="77777777" w:rsidR="00F722D9" w:rsidRDefault="00F722D9" w:rsidP="00F722D9">
      <w:pPr>
        <w:pStyle w:val="Textonotapie"/>
      </w:pPr>
      <w:r>
        <w:rPr>
          <w:rStyle w:val="Refdenotaalpie"/>
        </w:rPr>
        <w:footnoteRef/>
      </w:r>
      <w:r>
        <w:t xml:space="preserve"> Es decir, representa la utilidad marginal de la renta gastada en consumo y ocio.</w:t>
      </w:r>
    </w:p>
  </w:footnote>
  <w:footnote w:id="9">
    <w:p w14:paraId="79D93047" w14:textId="77777777" w:rsidR="00F722D9" w:rsidRPr="004237DE" w:rsidRDefault="00F722D9" w:rsidP="00F722D9">
      <w:pPr>
        <w:pStyle w:val="Textonotapie"/>
        <w:keepNext/>
        <w:spacing w:after="0"/>
      </w:pPr>
      <w:r>
        <w:rPr>
          <w:rStyle w:val="Refdenotaalpie"/>
        </w:rPr>
        <w:footnoteRef/>
      </w:r>
      <w:r>
        <w:t xml:space="preserve"> </w:t>
      </w:r>
      <w:r w:rsidRPr="004237DE">
        <w:t xml:space="preserve">Las </w:t>
      </w:r>
      <w:r w:rsidRPr="00BD1D39">
        <w:rPr>
          <w:b/>
          <w:bCs/>
        </w:rPr>
        <w:t>condiciones de primer orden (CPO) o condiciones necesarias</w:t>
      </w:r>
      <w:r>
        <w:t xml:space="preserve"> </w:t>
      </w:r>
      <w:r w:rsidRPr="004237DE">
        <w:t xml:space="preserve">para que </w:t>
      </w:r>
      <m:oMath>
        <m:r>
          <m:rPr>
            <m:nor/>
          </m:rPr>
          <w:rPr>
            <w:b/>
            <w:bCs/>
            <w:i/>
          </w:rPr>
          <m:t>x*</m:t>
        </m:r>
      </m:oMath>
      <w:r w:rsidRPr="004237DE">
        <w:rPr>
          <w:rFonts w:eastAsiaTheme="minorEastAsia"/>
        </w:rPr>
        <w:t xml:space="preserve"> sea el vector solución a este problema son cuatro:</w:t>
      </w:r>
    </w:p>
    <w:p w14:paraId="1C1E1FD6" w14:textId="77777777" w:rsidR="00F722D9" w:rsidRPr="004237DE" w:rsidRDefault="00F722D9" w:rsidP="00F722D9">
      <w:pPr>
        <w:pStyle w:val="Textonotapie"/>
        <w:keepNext/>
        <w:numPr>
          <w:ilvl w:val="0"/>
          <w:numId w:val="46"/>
        </w:numPr>
        <w:spacing w:after="0"/>
        <w:ind w:left="284" w:hanging="57"/>
      </w:pPr>
      <w:bookmarkStart w:id="14" w:name="_Ref109291657"/>
      <w:bookmarkStart w:id="15" w:name="_Ref109290466"/>
      <w:r>
        <w:rPr>
          <w:i/>
          <w:iCs/>
          <w:u w:val="single"/>
        </w:rPr>
        <w:t>Condición de estacionariedad (Segunda ley de Gossen)</w:t>
      </w:r>
      <w:r w:rsidRPr="004237DE">
        <w:t>:</w:t>
      </w:r>
      <w:bookmarkEnd w:id="14"/>
    </w:p>
    <w:p w14:paraId="4AB81AF3" w14:textId="77777777" w:rsidR="00F722D9" w:rsidRPr="00E1196C" w:rsidRDefault="00000000" w:rsidP="00F722D9">
      <w:pPr>
        <w:pStyle w:val="Textonotapie"/>
        <w:keepNext/>
        <w:spacing w:after="0"/>
        <w:ind w:left="284"/>
        <w:rPr>
          <w:rFonts w:eastAsiaTheme="minorEastAsia"/>
          <w:i/>
        </w:rPr>
      </w:pPr>
      <m:oMathPara>
        <m:oMath>
          <m:f>
            <m:fPr>
              <m:ctrlPr>
                <w:rPr>
                  <w:rFonts w:ascii="Cambria Math" w:hAnsi="Cambria Math"/>
                  <w:i/>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x</m:t>
                  </m:r>
                </m:e>
                <m:sub>
                  <m:r>
                    <m:rPr>
                      <m:nor/>
                    </m:rPr>
                    <w:rPr>
                      <w:i/>
                    </w:rPr>
                    <m:t>i</m:t>
                  </m:r>
                </m:sub>
              </m:sSub>
            </m:den>
          </m:f>
          <m:r>
            <w:rPr>
              <w:rFonts w:ascii="Cambria Math" w:hAnsi="Cambria Math"/>
            </w:rPr>
            <m:t>=</m:t>
          </m:r>
          <m:sSub>
            <m:sSubPr>
              <m:ctrlPr>
                <w:rPr>
                  <w:rFonts w:ascii="Cambria Math" w:hAnsi="Cambria Math"/>
                  <w:i/>
                </w:rPr>
              </m:ctrlPr>
            </m:sSubPr>
            <m:e>
              <m:r>
                <m:rPr>
                  <m:nor/>
                </m:rPr>
                <w:rPr>
                  <w:i/>
                </w:rPr>
                <m:t>u</m:t>
              </m:r>
            </m:e>
            <m:sub>
              <m:r>
                <m:rPr>
                  <m:nor/>
                </m:rPr>
                <w:rPr>
                  <w:i/>
                </w:rPr>
                <m:t>i</m:t>
              </m:r>
            </m:sub>
          </m:sSub>
          <m:r>
            <w:rPr>
              <w:rFonts w:ascii="Cambria Math" w:hAnsi="Cambria Math"/>
            </w:rPr>
            <m:t>-</m:t>
          </m:r>
          <m:r>
            <m:rPr>
              <m:nor/>
            </m:rPr>
            <w:rPr>
              <w:i/>
              <w:lang w:val="en-US"/>
            </w:rPr>
            <m:t>λ</m:t>
          </m:r>
          <m:r>
            <w:rPr>
              <w:rFonts w:ascii="Cambria Math" w:hAnsi="Cambria Math"/>
            </w:rPr>
            <m:t>∙</m:t>
          </m:r>
          <m:sSub>
            <m:sSubPr>
              <m:ctrlPr>
                <w:rPr>
                  <w:rFonts w:ascii="Cambria Math" w:hAnsi="Cambria Math"/>
                  <w:i/>
                </w:rPr>
              </m:ctrlPr>
            </m:sSubPr>
            <m:e>
              <m:r>
                <m:rPr>
                  <m:nor/>
                </m:rPr>
                <w:rPr>
                  <w:i/>
                </w:rPr>
                <m:t>p</m:t>
              </m:r>
            </m:e>
            <m:sub>
              <m:r>
                <m:rPr>
                  <m:nor/>
                </m:rPr>
                <w:rPr>
                  <w:i/>
                </w:rPr>
                <m:t>i</m:t>
              </m:r>
            </m:sub>
          </m:sSub>
          <m:r>
            <w:rPr>
              <w:rFonts w:ascii="Cambria Math" w:eastAsiaTheme="minorEastAsia" w:hAnsi="Cambria Math"/>
            </w:rPr>
            <m:t>≤</m:t>
          </m:r>
          <m:r>
            <m:rPr>
              <m:nor/>
            </m:rPr>
            <w:rPr>
              <w:i/>
            </w:rPr>
            <m:t>0,</m:t>
          </m:r>
          <m:r>
            <w:rPr>
              <w:rFonts w:ascii="Cambria Math" w:eastAsiaTheme="minorEastAsia" w:hAnsi="Cambria Math"/>
            </w:rPr>
            <m:t xml:space="preserve">   ∀ </m:t>
          </m:r>
          <m:r>
            <m:rPr>
              <m:nor/>
            </m:rPr>
            <w:rPr>
              <w:i/>
            </w:rPr>
            <m:t>i</m:t>
          </m:r>
          <m:r>
            <w:rPr>
              <w:rFonts w:ascii="Cambria Math"/>
            </w:rPr>
            <m:t>=</m:t>
          </m:r>
          <m:r>
            <m:rPr>
              <m:nor/>
            </m:rPr>
            <w:rPr>
              <w:i/>
            </w:rPr>
            <m:t>1,</m:t>
          </m:r>
          <m:r>
            <m:rPr>
              <m:nor/>
            </m:rPr>
            <w:rPr>
              <w:rFonts w:ascii="Cambria Math"/>
              <w:i/>
            </w:rPr>
            <m:t xml:space="preserve"> </m:t>
          </m:r>
          <m:r>
            <m:rPr>
              <m:nor/>
            </m:rPr>
            <w:rPr>
              <w:i/>
            </w:rPr>
            <m:t>2,</m:t>
          </m:r>
          <m:r>
            <w:rPr>
              <w:rFonts w:ascii="Cambria Math" w:hAnsi="Cambria Math"/>
            </w:rPr>
            <m:t>…</m:t>
          </m:r>
          <m:r>
            <m:rPr>
              <m:nor/>
            </m:rPr>
            <w:rPr>
              <w:i/>
            </w:rPr>
            <m:t>,</m:t>
          </m:r>
          <m:r>
            <m:rPr>
              <m:nor/>
            </m:rPr>
            <w:rPr>
              <w:rFonts w:ascii="Cambria Math"/>
              <w:i/>
            </w:rPr>
            <m:t xml:space="preserve"> </m:t>
          </m:r>
          <m:r>
            <m:rPr>
              <m:nor/>
            </m:rPr>
            <w:rPr>
              <w:i/>
            </w:rPr>
            <m:t>n</m:t>
          </m:r>
        </m:oMath>
      </m:oMathPara>
    </w:p>
    <w:p w14:paraId="13EEBDB0" w14:textId="77777777" w:rsidR="00F722D9" w:rsidRDefault="00F722D9" w:rsidP="00F722D9">
      <w:pPr>
        <w:pStyle w:val="Textonotapie"/>
        <w:ind w:left="284"/>
      </w:pPr>
      <w:r w:rsidRPr="004237DE">
        <w:t xml:space="preserve">El consumidor iguala la utilidad que le reporta una unidad adicional de bien con el coste de adquirirla. Es decir, la utilidad marginal del consumo de una unidad del bien </w:t>
      </w:r>
      <w:r>
        <w:rPr>
          <w:i/>
          <w:iCs/>
        </w:rPr>
        <w:t>i</w:t>
      </w:r>
      <w:r w:rsidRPr="004237DE">
        <w:t xml:space="preserve"> debe igualarse con su coste marginal de adquirirlo, en términos de utilidad para que sea comparable (esto es, el precio de dicha unidad en unidades monetarias multiplicado por la utilidad marginal de la </w:t>
      </w:r>
      <w:r>
        <w:t>riquez</w:t>
      </w:r>
      <w:r w:rsidRPr="004237DE">
        <w:t>a monetaria</w:t>
      </w:r>
      <w:r>
        <w:t xml:space="preserve"> (gastada)</w:t>
      </w:r>
      <w:r w:rsidRPr="004237DE">
        <w:t>, dada por el multiplicador de Lagrange).</w:t>
      </w:r>
    </w:p>
    <w:p w14:paraId="48EFC182" w14:textId="77777777" w:rsidR="00F722D9" w:rsidRPr="004237DE" w:rsidRDefault="00F722D9" w:rsidP="00F722D9">
      <w:pPr>
        <w:pStyle w:val="Textonotapie"/>
        <w:keepNext/>
        <w:numPr>
          <w:ilvl w:val="0"/>
          <w:numId w:val="46"/>
        </w:numPr>
        <w:spacing w:after="0"/>
        <w:ind w:left="284" w:hanging="57"/>
      </w:pPr>
      <w:r w:rsidRPr="004237DE">
        <w:rPr>
          <w:i/>
          <w:iCs/>
          <w:u w:val="single"/>
        </w:rPr>
        <w:t>Restricción presupuestaria</w:t>
      </w:r>
      <w:bookmarkEnd w:id="15"/>
      <w:r w:rsidRPr="004237DE">
        <w:t>:</w:t>
      </w:r>
    </w:p>
    <w:p w14:paraId="30DF7763" w14:textId="77777777" w:rsidR="00F722D9" w:rsidRPr="004237DE" w:rsidRDefault="00000000" w:rsidP="00F722D9">
      <w:pPr>
        <w:pStyle w:val="Textonotapie"/>
        <w:keepNext/>
        <w:spacing w:after="0"/>
        <w:ind w:left="284"/>
        <w:rPr>
          <w:rFonts w:eastAsiaTheme="minorEastAsia"/>
          <w:lang w:val="en-US"/>
        </w:rPr>
      </w:pPr>
      <m:oMathPara>
        <m:oMath>
          <m:f>
            <m:fPr>
              <m:ctrlPr>
                <w:rPr>
                  <w:rFonts w:ascii="Cambria Math" w:hAnsi="Cambria Math"/>
                  <w:i/>
                </w:rPr>
              </m:ctrlPr>
            </m:fPr>
            <m:num>
              <m:r>
                <m:rPr>
                  <m:nor/>
                </m:rPr>
                <w:rPr>
                  <w:i/>
                  <w:lang w:val="en-US"/>
                </w:rPr>
                <m:t>∂</m:t>
              </m:r>
              <m:r>
                <m:rPr>
                  <m:scr m:val="script"/>
                </m:rPr>
                <w:rPr>
                  <w:rFonts w:ascii="Cambria Math" w:hAnsi="Cambria Math"/>
                  <w:lang w:val="en-US"/>
                </w:rPr>
                <m:t>L</m:t>
              </m:r>
            </m:num>
            <m:den>
              <m:r>
                <m:rPr>
                  <m:nor/>
                </m:rPr>
                <w:rPr>
                  <w:i/>
                  <w:lang w:val="en-US"/>
                </w:rPr>
                <m:t>∂λ</m:t>
              </m:r>
            </m:den>
          </m:f>
          <m:r>
            <w:rPr>
              <w:rFonts w:ascii="Cambria Math" w:hAnsi="Cambria Math"/>
              <w:lang w:val="en-US"/>
            </w:rPr>
            <m:t>=</m:t>
          </m:r>
          <m:acc>
            <m:accPr>
              <m:chr m:val="̅"/>
              <m:ctrlPr>
                <w:rPr>
                  <w:rFonts w:ascii="Cambria Math" w:hAnsi="Cambria Math"/>
                  <w:i/>
                </w:rPr>
              </m:ctrlPr>
            </m:accPr>
            <m:e>
              <m:r>
                <m:rPr>
                  <m:nor/>
                </m:rPr>
                <w:rPr>
                  <w:i/>
                  <w:lang w:val="en-US"/>
                </w:rPr>
                <m:t>W</m:t>
              </m:r>
            </m:e>
          </m:acc>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hAnsi="Cambria Math"/>
                  <w:lang w:val="en-US"/>
                </w:rPr>
                <m:t>∙</m:t>
              </m:r>
              <m:sSub>
                <m:sSubPr>
                  <m:ctrlPr>
                    <w:rPr>
                      <w:rFonts w:ascii="Cambria Math" w:hAnsi="Cambria Math"/>
                      <w:i/>
                    </w:rPr>
                  </m:ctrlPr>
                </m:sSubPr>
                <m:e>
                  <m:r>
                    <m:rPr>
                      <m:nor/>
                    </m:rPr>
                    <w:rPr>
                      <w:i/>
                      <w:lang w:val="en-US"/>
                    </w:rPr>
                    <m:t>x</m:t>
                  </m:r>
                </m:e>
                <m:sub>
                  <w:proofErr w:type="spellStart"/>
                  <m:r>
                    <m:rPr>
                      <m:nor/>
                    </m:rPr>
                    <w:rPr>
                      <w:i/>
                      <w:lang w:val="en-US"/>
                    </w:rPr>
                    <m:t>i</m:t>
                  </m:r>
                  <w:proofErr w:type="spellEnd"/>
                </m:sub>
              </m:sSub>
            </m:e>
          </m:nary>
          <m:r>
            <w:rPr>
              <w:rFonts w:ascii="Cambria Math" w:eastAsiaTheme="minorEastAsia" w:hAnsi="Cambria Math"/>
              <w:lang w:val="en-US"/>
            </w:rPr>
            <m:t>=</m:t>
          </m:r>
          <m:r>
            <m:rPr>
              <m:nor/>
            </m:rPr>
            <w:rPr>
              <w:i/>
              <w:lang w:val="en-US"/>
            </w:rPr>
            <m:t>0</m:t>
          </m:r>
        </m:oMath>
      </m:oMathPara>
    </w:p>
    <w:p w14:paraId="07F3DEAB" w14:textId="77777777" w:rsidR="00F722D9" w:rsidRPr="004237DE" w:rsidRDefault="00F722D9" w:rsidP="00F722D9">
      <w:pPr>
        <w:pStyle w:val="Textonotapie"/>
        <w:ind w:left="284"/>
        <w:rPr>
          <w:rFonts w:eastAsiaTheme="minorEastAsia"/>
        </w:rPr>
      </w:pPr>
      <w:r w:rsidRPr="004237DE">
        <w:rPr>
          <w:rFonts w:eastAsiaTheme="minorEastAsia"/>
        </w:rPr>
        <w:t xml:space="preserve">El consumidor gasta toda su </w:t>
      </w:r>
      <w:r>
        <w:rPr>
          <w:rFonts w:eastAsiaTheme="minorEastAsia"/>
        </w:rPr>
        <w:t>riqueza</w:t>
      </w:r>
      <w:r w:rsidRPr="004237DE">
        <w:rPr>
          <w:rFonts w:eastAsiaTheme="minorEastAsia"/>
        </w:rPr>
        <w:t>, fruto del axioma de monotonía de las preferencias.</w:t>
      </w:r>
    </w:p>
    <w:p w14:paraId="31B20776" w14:textId="77777777" w:rsidR="00F722D9" w:rsidRPr="004237DE" w:rsidRDefault="00F722D9" w:rsidP="00F722D9">
      <w:pPr>
        <w:pStyle w:val="Textonotapie"/>
        <w:keepNext/>
        <w:numPr>
          <w:ilvl w:val="0"/>
          <w:numId w:val="46"/>
        </w:numPr>
        <w:spacing w:after="0"/>
        <w:ind w:left="284" w:hanging="57"/>
      </w:pPr>
      <w:bookmarkStart w:id="16" w:name="_Ref109290742"/>
      <w:r w:rsidRPr="004237DE">
        <w:rPr>
          <w:i/>
          <w:iCs/>
          <w:u w:val="single"/>
        </w:rPr>
        <w:t>No negatividad de los bienes</w:t>
      </w:r>
      <w:r w:rsidRPr="004237DE">
        <w:t>:</w:t>
      </w:r>
      <w:bookmarkEnd w:id="16"/>
    </w:p>
    <w:p w14:paraId="15D4FC55" w14:textId="77777777" w:rsidR="00F722D9" w:rsidRPr="004237DE" w:rsidRDefault="00000000" w:rsidP="00F722D9">
      <w:pPr>
        <w:pStyle w:val="Textonotapie"/>
        <w:keepNext/>
        <w:spacing w:after="0"/>
        <w:ind w:left="284"/>
      </w:pPr>
      <m:oMathPara>
        <m:oMath>
          <m:sSub>
            <m:sSubPr>
              <m:ctrlPr>
                <w:rPr>
                  <w:rFonts w:ascii="Cambria Math" w:hAnsi="Cambria Math"/>
                  <w:i/>
                </w:rPr>
              </m:ctrlPr>
            </m:sSubPr>
            <m:e>
              <m:r>
                <m:rPr>
                  <m:nor/>
                </m:rPr>
                <w:rPr>
                  <w:i/>
                </w:rPr>
                <m:t>x</m:t>
              </m:r>
            </m:e>
            <m:sub>
              <m:r>
                <m:rPr>
                  <m:nor/>
                </m:rPr>
                <w:rPr>
                  <w:i/>
                </w:rPr>
                <m:t>i</m:t>
              </m:r>
            </m:sub>
          </m:sSub>
          <m:r>
            <w:rPr>
              <w:rFonts w:ascii="Cambria Math" w:eastAsiaTheme="minorEastAsia" w:hAnsi="Cambria Math"/>
            </w:rPr>
            <m:t>≥</m:t>
          </m:r>
          <m:r>
            <m:rPr>
              <m:nor/>
            </m:rPr>
            <w:rPr>
              <w:i/>
            </w:rPr>
            <m:t>0</m:t>
          </m:r>
        </m:oMath>
      </m:oMathPara>
    </w:p>
    <w:p w14:paraId="26E100C7" w14:textId="77777777" w:rsidR="00F722D9" w:rsidRPr="004237DE" w:rsidRDefault="00F722D9" w:rsidP="00F722D9">
      <w:pPr>
        <w:pStyle w:val="Textonotapie"/>
        <w:ind w:left="284"/>
      </w:pPr>
      <w:r w:rsidRPr="004237DE">
        <w:t>En el óptimo el consumidor adquiere una cantidad positiva o nula de los bienes.</w:t>
      </w:r>
    </w:p>
    <w:p w14:paraId="20E7991A" w14:textId="77777777" w:rsidR="00F722D9" w:rsidRPr="00EC4B1C" w:rsidRDefault="00F722D9" w:rsidP="00F722D9">
      <w:pPr>
        <w:pStyle w:val="Textonotapie"/>
        <w:keepNext/>
        <w:numPr>
          <w:ilvl w:val="0"/>
          <w:numId w:val="46"/>
        </w:numPr>
        <w:spacing w:after="0"/>
        <w:ind w:left="284" w:hanging="57"/>
      </w:pPr>
      <w:r w:rsidRPr="00EC4B1C">
        <w:rPr>
          <w:i/>
          <w:iCs/>
          <w:u w:val="single"/>
        </w:rPr>
        <w:t>Condición de holgura complementaria</w:t>
      </w:r>
      <w:r w:rsidRPr="00EC4B1C">
        <w:t>:</w:t>
      </w:r>
    </w:p>
    <w:p w14:paraId="6FE946DF" w14:textId="77777777" w:rsidR="00F722D9" w:rsidRPr="00EC4B1C" w:rsidRDefault="00000000" w:rsidP="00F722D9">
      <w:pPr>
        <w:pStyle w:val="Textonotapie"/>
        <w:keepNext/>
        <w:spacing w:after="0"/>
        <w:ind w:left="284"/>
        <w:rPr>
          <w:rFonts w:eastAsiaTheme="minorEastAsia"/>
          <w:lang w:val="en-US"/>
        </w:rPr>
      </w:pPr>
      <m:oMathPara>
        <m:oMath>
          <m:sSub>
            <m:sSubPr>
              <m:ctrlPr>
                <w:rPr>
                  <w:rFonts w:ascii="Cambria Math" w:hAnsi="Cambria Math"/>
                  <w:i/>
                </w:rPr>
              </m:ctrlPr>
            </m:sSubPr>
            <m:e>
              <m:r>
                <m:rPr>
                  <m:nor/>
                </m:rPr>
                <w:rPr>
                  <w:i/>
                  <w:lang w:val="en-US"/>
                </w:rPr>
                <m:t>x</m:t>
              </m:r>
            </m:e>
            <m:sub>
              <w:proofErr w:type="spellStart"/>
              <m:r>
                <m:rPr>
                  <m:nor/>
                </m:rPr>
                <w:rPr>
                  <w:i/>
                  <w:lang w:val="en-US"/>
                </w:rPr>
                <m:t>i</m:t>
              </m:r>
              <w:proofErr w:type="spellEnd"/>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lang w:val="en-US"/>
                    </w:rPr>
                    <m:t>u</m:t>
                  </m:r>
                </m:e>
                <m:sub>
                  <w:proofErr w:type="spellStart"/>
                  <m:r>
                    <m:rPr>
                      <m:nor/>
                    </m:rPr>
                    <w:rPr>
                      <w:i/>
                      <w:lang w:val="en-US"/>
                    </w:rPr>
                    <m:t>i</m:t>
                  </m:r>
                  <w:proofErr w:type="spellEnd"/>
                </m:sub>
              </m:sSub>
              <m:r>
                <w:rPr>
                  <w:rFonts w:ascii="Cambria Math" w:hAnsi="Cambria Math"/>
                </w:rPr>
                <m:t>-</m:t>
              </m:r>
              <m:r>
                <m:rPr>
                  <m:nor/>
                </m:rPr>
                <w:rPr>
                  <w:i/>
                  <w:lang w:val="en-US"/>
                </w:rPr>
                <m:t>λ</m:t>
              </m:r>
              <m:r>
                <w:rPr>
                  <w:rFonts w:ascii="Cambria Math"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e>
          </m:d>
          <m:r>
            <w:rPr>
              <w:rFonts w:ascii="Cambria Math" w:eastAsiaTheme="minorEastAsia" w:hAnsi="Cambria Math"/>
            </w:rPr>
            <m:t>=</m:t>
          </m:r>
          <m:r>
            <m:rPr>
              <m:nor/>
            </m:rPr>
            <w:rPr>
              <w:i/>
              <w:lang w:val="en-US"/>
            </w:rPr>
            <m:t>0</m:t>
          </m:r>
        </m:oMath>
      </m:oMathPara>
    </w:p>
    <w:p w14:paraId="6350BD57" w14:textId="04491827" w:rsidR="00F722D9" w:rsidRPr="00A85F75" w:rsidRDefault="00F722D9" w:rsidP="00F722D9">
      <w:pPr>
        <w:pStyle w:val="Textonotapie"/>
        <w:ind w:left="284"/>
        <w:rPr>
          <w:highlight w:val="yellow"/>
        </w:rPr>
      </w:pPr>
      <w:r w:rsidRPr="00EC4B1C">
        <w:rPr>
          <w:rFonts w:eastAsiaTheme="minorEastAsia"/>
        </w:rPr>
        <w:t xml:space="preserve">Esta ecuación necesariamente se tiene que cumplir con igualdad, es decir, se debe anular la condición </w:t>
      </w:r>
      <w:r w:rsidRPr="004237DE">
        <w:rPr>
          <w:rFonts w:eastAsiaTheme="minorEastAsia"/>
          <w:i/>
          <w:iCs/>
        </w:rPr>
        <w:fldChar w:fldCharType="begin"/>
      </w:r>
      <w:r w:rsidRPr="004237DE">
        <w:rPr>
          <w:rFonts w:eastAsiaTheme="minorEastAsia"/>
          <w:i/>
          <w:iCs/>
        </w:rPr>
        <w:instrText xml:space="preserve"> REF _Ref109291657 \r \h  \* MERGEFORMAT </w:instrText>
      </w:r>
      <w:r w:rsidRPr="004237DE">
        <w:rPr>
          <w:rFonts w:eastAsiaTheme="minorEastAsia"/>
          <w:i/>
          <w:iCs/>
        </w:rPr>
      </w:r>
      <w:r w:rsidRPr="004237DE">
        <w:rPr>
          <w:rFonts w:eastAsiaTheme="minorEastAsia"/>
          <w:i/>
          <w:iCs/>
        </w:rPr>
        <w:fldChar w:fldCharType="separate"/>
      </w:r>
      <w:r w:rsidR="004626ED">
        <w:rPr>
          <w:rFonts w:eastAsiaTheme="minorEastAsia"/>
          <w:i/>
          <w:iCs/>
        </w:rPr>
        <w:t>i</w:t>
      </w:r>
      <w:r w:rsidRPr="004237DE">
        <w:rPr>
          <w:rFonts w:eastAsiaTheme="minorEastAsia"/>
          <w:i/>
          <w:iCs/>
        </w:rPr>
        <w:fldChar w:fldCharType="end"/>
      </w:r>
      <w:r>
        <w:rPr>
          <w:rFonts w:eastAsiaTheme="minorEastAsia"/>
          <w:i/>
          <w:iCs/>
        </w:rPr>
        <w:t xml:space="preserve"> </w:t>
      </w:r>
      <w:r w:rsidRPr="00EC4B1C">
        <w:rPr>
          <w:rFonts w:eastAsiaTheme="minorEastAsia"/>
        </w:rPr>
        <w:t xml:space="preserve">(solución interior), la condición </w:t>
      </w:r>
      <w:r w:rsidRPr="00913394">
        <w:rPr>
          <w:rFonts w:eastAsiaTheme="minorEastAsia"/>
          <w:i/>
          <w:iCs/>
        </w:rPr>
        <w:fldChar w:fldCharType="begin"/>
      </w:r>
      <w:r w:rsidRPr="00913394">
        <w:rPr>
          <w:rFonts w:eastAsiaTheme="minorEastAsia"/>
          <w:i/>
          <w:iCs/>
        </w:rPr>
        <w:instrText xml:space="preserve"> REF _Ref109290742 \r \h </w:instrText>
      </w:r>
      <w:r>
        <w:rPr>
          <w:rFonts w:eastAsiaTheme="minorEastAsia"/>
          <w:i/>
          <w:iCs/>
        </w:rPr>
        <w:instrText xml:space="preserve"> \* MERGEFORMAT </w:instrText>
      </w:r>
      <w:r w:rsidRPr="00913394">
        <w:rPr>
          <w:rFonts w:eastAsiaTheme="minorEastAsia"/>
          <w:i/>
          <w:iCs/>
        </w:rPr>
      </w:r>
      <w:r w:rsidRPr="00913394">
        <w:rPr>
          <w:rFonts w:eastAsiaTheme="minorEastAsia"/>
          <w:i/>
          <w:iCs/>
        </w:rPr>
        <w:fldChar w:fldCharType="separate"/>
      </w:r>
      <w:proofErr w:type="spellStart"/>
      <w:r w:rsidR="004626ED">
        <w:rPr>
          <w:rFonts w:eastAsiaTheme="minorEastAsia"/>
          <w:i/>
          <w:iCs/>
        </w:rPr>
        <w:t>iii</w:t>
      </w:r>
      <w:proofErr w:type="spellEnd"/>
      <w:r w:rsidRPr="00913394">
        <w:rPr>
          <w:rFonts w:eastAsiaTheme="minorEastAsia"/>
          <w:i/>
          <w:iCs/>
        </w:rPr>
        <w:fldChar w:fldCharType="end"/>
      </w:r>
      <w:r>
        <w:rPr>
          <w:rFonts w:eastAsiaTheme="minorEastAsia"/>
          <w:i/>
          <w:iCs/>
        </w:rPr>
        <w:t xml:space="preserve"> </w:t>
      </w:r>
      <w:r w:rsidRPr="00EC4B1C">
        <w:rPr>
          <w:rFonts w:eastAsiaTheme="minorEastAsia"/>
        </w:rPr>
        <w:t>(solució</w:t>
      </w:r>
      <w:r>
        <w:rPr>
          <w:rFonts w:eastAsiaTheme="minorEastAsia"/>
        </w:rPr>
        <w:t>n de esquina) o ambas a la vez (solución de esquina), de ahí que el producto de ambas siempre sea nulo.</w:t>
      </w:r>
    </w:p>
  </w:footnote>
  <w:footnote w:id="10">
    <w:p w14:paraId="3D44607F" w14:textId="59E05835" w:rsidR="005841AD" w:rsidRPr="005841AD" w:rsidRDefault="005841AD">
      <w:pPr>
        <w:pStyle w:val="Textonotapie"/>
      </w:pPr>
      <w:r>
        <w:rPr>
          <w:rStyle w:val="Refdenotaalpie"/>
        </w:rPr>
        <w:footnoteRef/>
      </w:r>
      <w:r>
        <w:t xml:space="preserve"> El supuesto de renta salarial fija puede parecer restrictivo, pero hay que tener en cuenta que el objetivo de este análisis es analizar exclusivamente los efectos de los impuestos sobre el </w:t>
      </w:r>
      <w:r>
        <w:rPr>
          <w:i/>
          <w:iCs/>
        </w:rPr>
        <w:t>ahorro</w:t>
      </w:r>
      <w:r>
        <w:t>.</w:t>
      </w:r>
    </w:p>
  </w:footnote>
  <w:footnote w:id="11">
    <w:p w14:paraId="31142769" w14:textId="0EADF3E8" w:rsidR="007F07C5" w:rsidRPr="007F07C5" w:rsidRDefault="007F07C5">
      <w:pPr>
        <w:pStyle w:val="Textonotapie"/>
      </w:pPr>
      <w:r>
        <w:rPr>
          <w:rStyle w:val="Refdenotaalpie"/>
        </w:rPr>
        <w:footnoteRef/>
      </w:r>
      <w:r>
        <w:t xml:space="preserve"> Es decir, cuando se le detrae al individuo 1 </w:t>
      </w:r>
      <w:proofErr w:type="spellStart"/>
      <w:r>
        <w:t>u.m</w:t>
      </w:r>
      <w:proofErr w:type="spellEnd"/>
      <w:r>
        <w:t xml:space="preserve">. de renta, reduce su consumo en </w:t>
      </w:r>
      <w:proofErr w:type="spellStart"/>
      <w:r>
        <w:rPr>
          <w:i/>
          <w:iCs/>
        </w:rPr>
        <w:t>PMgC</w:t>
      </w:r>
      <w:proofErr w:type="spellEnd"/>
      <w:r>
        <w:t> </w:t>
      </w:r>
      <w:proofErr w:type="spellStart"/>
      <w:r>
        <w:t>u.m</w:t>
      </w:r>
      <w:proofErr w:type="spellEnd"/>
      <w:r>
        <w:t xml:space="preserve">. y su ahorro en </w:t>
      </w:r>
      <w:r>
        <w:rPr>
          <w:i/>
          <w:iCs/>
        </w:rPr>
        <w:t>1 − </w:t>
      </w:r>
      <w:proofErr w:type="spellStart"/>
      <w:r>
        <w:rPr>
          <w:i/>
          <w:iCs/>
        </w:rPr>
        <w:t>PMgC</w:t>
      </w:r>
      <w:proofErr w:type="spellEnd"/>
      <w:r>
        <w:t> </w:t>
      </w:r>
      <w:proofErr w:type="spellStart"/>
      <w:r>
        <w:t>u.m</w:t>
      </w:r>
      <w:proofErr w:type="spellEnd"/>
      <w:r>
        <w:t>.</w:t>
      </w:r>
    </w:p>
  </w:footnote>
  <w:footnote w:id="12">
    <w:p w14:paraId="3340697C" w14:textId="77777777" w:rsidR="00D07B06" w:rsidRPr="00785770" w:rsidRDefault="00D07B06" w:rsidP="00D07B06">
      <w:pPr>
        <w:pStyle w:val="Textonotapie"/>
      </w:pPr>
      <w:r>
        <w:rPr>
          <w:rStyle w:val="Refdenotaalpie"/>
        </w:rPr>
        <w:footnoteRef/>
      </w:r>
      <w:r>
        <w:t xml:space="preserve"> Para ver un ejemplo consultar </w:t>
      </w:r>
      <w:proofErr w:type="spellStart"/>
      <w:r>
        <w:rPr>
          <w:smallCaps/>
        </w:rPr>
        <w:t>Vernimmen</w:t>
      </w:r>
      <w:proofErr w:type="spellEnd"/>
      <w:r>
        <w:t xml:space="preserve"> et al. (2017), págs. 594 y 595.</w:t>
      </w:r>
    </w:p>
  </w:footnote>
  <w:footnote w:id="13">
    <w:p w14:paraId="491B8EB7" w14:textId="77777777" w:rsidR="00D07B06" w:rsidRDefault="00D07B06" w:rsidP="00D07B06">
      <w:pPr>
        <w:pStyle w:val="Textonotapie"/>
      </w:pPr>
      <w:r>
        <w:rPr>
          <w:rStyle w:val="Refdenotaalpie"/>
        </w:rPr>
        <w:footnoteRef/>
      </w:r>
      <w:r>
        <w:t xml:space="preserve"> Pero si la primera proposición decía que el valor de la empresa es independiente de su estructura de capital, ¿cómo decimos ahora que la rentabilidad esperada de las acciones de la empresa aumenta conforme lo hace la ratio deuda-fondos propios? No es contradictorio, ya que lo que dice la segunda proposición es que, ante un aumento de la deuda, aumenta la rentabilidad de las acciones de una empresa, no su valor. Y es que el valor de una empresa es igual al valor de sus acciones menos el valor de la deuda.</w:t>
      </w:r>
    </w:p>
  </w:footnote>
  <w:footnote w:id="14">
    <w:p w14:paraId="413EE60F" w14:textId="77777777" w:rsidR="00D07B06" w:rsidRDefault="00D07B06" w:rsidP="00D07B06">
      <w:pPr>
        <w:pStyle w:val="Textonotapie"/>
      </w:pPr>
      <w:r>
        <w:rPr>
          <w:rStyle w:val="Refdenotaalpie"/>
        </w:rPr>
        <w:footnoteRef/>
      </w:r>
      <w:r>
        <w:t xml:space="preserve"> Aunque lo que interesa es el tramo horizontal, no cabe duda de que a partir de un determinado nivel de endeudamiento (</w:t>
      </w:r>
      <m:oMath>
        <m:r>
          <m:rPr>
            <m:nor/>
          </m:rPr>
          <w:rPr>
            <w:i/>
            <w:iCs/>
          </w:rPr>
          <m:t>L</m:t>
        </m:r>
      </m:oMath>
      <w:r>
        <w:rPr>
          <w:rFonts w:eastAsiaTheme="minorEastAsia"/>
          <w:iCs/>
        </w:rPr>
        <w:t>), el WACC terminará subiendo. Esto no es relevante, el tramo relevante es el tramo horizontal, de modo que se llega a las conclusiones que vemos en el cuerpo del tema.</w:t>
      </w:r>
    </w:p>
  </w:footnote>
  <w:footnote w:id="15">
    <w:p w14:paraId="250CB6A7" w14:textId="77777777" w:rsidR="00D07B06" w:rsidRPr="00DE2505" w:rsidRDefault="00D07B06" w:rsidP="00D07B06">
      <w:pPr>
        <w:pStyle w:val="Textonotapie"/>
        <w:keepNext/>
        <w:spacing w:after="0"/>
      </w:pPr>
      <w:r>
        <w:rPr>
          <w:rStyle w:val="Refdenotaalpie"/>
        </w:rPr>
        <w:footnoteRef/>
      </w:r>
      <w:r>
        <w:t xml:space="preserve"> Artículo interesante del </w:t>
      </w:r>
      <w:proofErr w:type="spellStart"/>
      <w:r>
        <w:rPr>
          <w:i/>
          <w:iCs/>
        </w:rPr>
        <w:t>Financial</w:t>
      </w:r>
      <w:proofErr w:type="spellEnd"/>
      <w:r>
        <w:rPr>
          <w:i/>
          <w:iCs/>
        </w:rPr>
        <w:t xml:space="preserve"> Times</w:t>
      </w:r>
      <w:r>
        <w:t xml:space="preserve"> en el que se explica la teoría de </w:t>
      </w:r>
      <w:r>
        <w:rPr>
          <w:smallCaps/>
        </w:rPr>
        <w:t>Modigliani</w:t>
      </w:r>
      <w:r>
        <w:t xml:space="preserve"> y </w:t>
      </w:r>
      <w:r>
        <w:rPr>
          <w:smallCaps/>
        </w:rPr>
        <w:t>Miller</w:t>
      </w:r>
      <w:r>
        <w:t xml:space="preserve"> en el contexto de la pandemia.</w:t>
      </w:r>
    </w:p>
    <w:p w14:paraId="73C7D90A" w14:textId="77777777" w:rsidR="00D07B06" w:rsidRDefault="00D07B06" w:rsidP="00D07B06">
      <w:pPr>
        <w:pStyle w:val="Textonotapie"/>
        <w:rPr>
          <w:rStyle w:val="Hipervnculo"/>
          <w:lang w:val="en-US"/>
        </w:rPr>
      </w:pPr>
      <w:r w:rsidRPr="00DE2505">
        <w:rPr>
          <w:lang w:val="en-US"/>
        </w:rPr>
        <w:t xml:space="preserve">Wigglesworth, R. (2020, </w:t>
      </w:r>
      <w:proofErr w:type="spellStart"/>
      <w:r w:rsidRPr="00DE2505">
        <w:rPr>
          <w:lang w:val="en-US"/>
        </w:rPr>
        <w:t>octubre</w:t>
      </w:r>
      <w:proofErr w:type="spellEnd"/>
      <w:r w:rsidRPr="00DE2505">
        <w:rPr>
          <w:lang w:val="en-US"/>
        </w:rPr>
        <w:t xml:space="preserve"> 19). The debt bubble legacy of economists Modigliani and Miller. </w:t>
      </w:r>
      <w:r w:rsidRPr="00DE2505">
        <w:rPr>
          <w:i/>
          <w:iCs/>
          <w:lang w:val="en-US"/>
        </w:rPr>
        <w:t>Financial Times</w:t>
      </w:r>
      <w:r w:rsidRPr="00DE2505">
        <w:rPr>
          <w:lang w:val="en-US"/>
        </w:rPr>
        <w:t xml:space="preserve">. </w:t>
      </w:r>
      <w:hyperlink r:id="rId1" w:history="1">
        <w:r w:rsidRPr="00633860">
          <w:rPr>
            <w:rStyle w:val="Hipervnculo"/>
            <w:lang w:val="en-US"/>
          </w:rPr>
          <w:t>https://www.ft.com/content/87efe5a9-4cb6-493b-a31a-f9efd5ddd242</w:t>
        </w:r>
      </w:hyperlink>
    </w:p>
    <w:p w14:paraId="54DE538F" w14:textId="77777777" w:rsidR="00D07B06" w:rsidRPr="00E06345" w:rsidRDefault="00D07B06" w:rsidP="00D07B06">
      <w:pPr>
        <w:pStyle w:val="Textonotapie"/>
        <w:ind w:left="284"/>
        <w:rPr>
          <w:spacing w:val="-2"/>
          <w:lang w:val="en-US"/>
        </w:rPr>
      </w:pPr>
      <w:r w:rsidRPr="00E06345">
        <w:rPr>
          <w:spacing w:val="-2"/>
          <w:lang w:val="en-US"/>
        </w:rPr>
        <w:t>Half a century ago, two starlets of economics argued that whether companies funded themselves with debt or equity was irrelevant. One legacy of that insight is becoming clearer in the wreckage of corporate failures mounting in the wake of the pandemic. Until then most companies had assumed that too much debt would affect the value of the firm, so their paper was a counterintuitive bombshell. […]</w:t>
      </w:r>
    </w:p>
    <w:p w14:paraId="703889C3" w14:textId="77777777" w:rsidR="00D07B06" w:rsidRPr="00E06345" w:rsidRDefault="00D07B06" w:rsidP="00D07B06">
      <w:pPr>
        <w:pStyle w:val="Textonotapie"/>
        <w:ind w:left="284"/>
        <w:rPr>
          <w:spacing w:val="-2"/>
          <w:lang w:val="en-US"/>
        </w:rPr>
      </w:pPr>
      <w:r w:rsidRPr="00E06345">
        <w:rPr>
          <w:spacing w:val="-2"/>
          <w:lang w:val="en-US"/>
        </w:rPr>
        <w:t xml:space="preserve">This gave rise to the idea of “efficient” balance sheets layered with </w:t>
      </w:r>
      <w:proofErr w:type="gramStart"/>
      <w:r w:rsidRPr="00E06345">
        <w:rPr>
          <w:spacing w:val="-2"/>
          <w:lang w:val="en-US"/>
        </w:rPr>
        <w:t>debt, and</w:t>
      </w:r>
      <w:proofErr w:type="gramEnd"/>
      <w:r w:rsidRPr="00E06345">
        <w:rPr>
          <w:spacing w:val="-2"/>
          <w:lang w:val="en-US"/>
        </w:rPr>
        <w:t xml:space="preserve"> </w:t>
      </w:r>
      <w:proofErr w:type="spellStart"/>
      <w:r w:rsidRPr="00E06345">
        <w:rPr>
          <w:spacing w:val="-2"/>
          <w:lang w:val="en-US"/>
        </w:rPr>
        <w:t>immortalised</w:t>
      </w:r>
      <w:proofErr w:type="spellEnd"/>
      <w:r w:rsidRPr="00E06345">
        <w:rPr>
          <w:spacing w:val="-2"/>
          <w:lang w:val="en-US"/>
        </w:rPr>
        <w:t xml:space="preserve"> by a memorable phrase written by 2 corporate finance specialists in 1988: </w:t>
      </w:r>
      <w:r w:rsidRPr="00E06345">
        <w:rPr>
          <w:i/>
          <w:iCs/>
          <w:spacing w:val="-2"/>
          <w:lang w:val="en-US"/>
        </w:rPr>
        <w:t>“Equity is soft, debt hard. Equity is forgiving, debt insistent. Equity is a pillow, debt a sword.”</w:t>
      </w:r>
    </w:p>
    <w:p w14:paraId="4409DE7F" w14:textId="77777777" w:rsidR="00D07B06" w:rsidRPr="00E06345" w:rsidRDefault="00D07B06" w:rsidP="00D07B06">
      <w:pPr>
        <w:pStyle w:val="Textonotapie"/>
        <w:ind w:left="284"/>
        <w:rPr>
          <w:spacing w:val="-2"/>
          <w:lang w:val="en-US"/>
        </w:rPr>
      </w:pPr>
      <w:r w:rsidRPr="00E06345">
        <w:rPr>
          <w:spacing w:val="-2"/>
          <w:lang w:val="en-US"/>
        </w:rPr>
        <w:t>The result can be seen in the evolving distribution of corporate credit ratings. Four decades ago, Standard &amp; Poor’s had given 65</w:t>
      </w:r>
      <w:r>
        <w:rPr>
          <w:spacing w:val="-2"/>
          <w:lang w:val="en-US"/>
        </w:rPr>
        <w:t> </w:t>
      </w:r>
      <w:r w:rsidRPr="00E06345">
        <w:rPr>
          <w:spacing w:val="-2"/>
          <w:lang w:val="en-US"/>
        </w:rPr>
        <w:t>companies around the world a spotless triple</w:t>
      </w:r>
      <w:r>
        <w:rPr>
          <w:spacing w:val="-2"/>
          <w:lang w:val="en-US"/>
        </w:rPr>
        <w:t> </w:t>
      </w:r>
      <w:r w:rsidRPr="00E06345">
        <w:rPr>
          <w:spacing w:val="-2"/>
          <w:lang w:val="en-US"/>
        </w:rPr>
        <w:t>A rating, equal to almost 6 per cent of its total ratings. Another 679</w:t>
      </w:r>
      <w:r>
        <w:rPr>
          <w:spacing w:val="-2"/>
          <w:lang w:val="en-US"/>
        </w:rPr>
        <w:t> </w:t>
      </w:r>
      <w:r w:rsidRPr="00E06345">
        <w:rPr>
          <w:spacing w:val="-2"/>
          <w:lang w:val="en-US"/>
        </w:rPr>
        <w:t>companies enjoyed ratings in the A</w:t>
      </w:r>
      <w:r>
        <w:rPr>
          <w:spacing w:val="-2"/>
          <w:lang w:val="en-US"/>
        </w:rPr>
        <w:t> </w:t>
      </w:r>
      <w:r w:rsidRPr="00E06345">
        <w:rPr>
          <w:spacing w:val="-2"/>
          <w:lang w:val="en-US"/>
        </w:rPr>
        <w:t>range.</w:t>
      </w:r>
      <w:r>
        <w:rPr>
          <w:spacing w:val="-2"/>
          <w:lang w:val="en-US"/>
        </w:rPr>
        <w:t xml:space="preserve"> </w:t>
      </w:r>
      <w:r w:rsidRPr="00E06345">
        <w:rPr>
          <w:lang w:val="en-US"/>
        </w:rPr>
        <w:t xml:space="preserve">Today there are only </w:t>
      </w:r>
      <w:r>
        <w:rPr>
          <w:lang w:val="en-US"/>
        </w:rPr>
        <w:t>5 </w:t>
      </w:r>
      <w:r w:rsidRPr="00E06345">
        <w:rPr>
          <w:lang w:val="en-US"/>
        </w:rPr>
        <w:t>companies with triple</w:t>
      </w:r>
      <w:r>
        <w:rPr>
          <w:lang w:val="en-US"/>
        </w:rPr>
        <w:t> </w:t>
      </w:r>
      <w:r w:rsidRPr="00E06345">
        <w:rPr>
          <w:lang w:val="en-US"/>
        </w:rPr>
        <w:t>A</w:t>
      </w:r>
      <w:r>
        <w:rPr>
          <w:lang w:val="en-US"/>
        </w:rPr>
        <w:t> </w:t>
      </w:r>
      <w:r w:rsidRPr="00E06345">
        <w:rPr>
          <w:lang w:val="en-US"/>
        </w:rPr>
        <w:t>ratings, out of nearly 5,000</w:t>
      </w:r>
      <w:r>
        <w:rPr>
          <w:lang w:val="en-US"/>
        </w:rPr>
        <w:t> </w:t>
      </w:r>
      <w:r w:rsidRPr="00E06345">
        <w:rPr>
          <w:lang w:val="en-US"/>
        </w:rPr>
        <w:t>companies. And under 14</w:t>
      </w:r>
      <w:r>
        <w:rPr>
          <w:lang w:val="en-US"/>
        </w:rPr>
        <w:t> %</w:t>
      </w:r>
      <w:r w:rsidRPr="00E06345">
        <w:rPr>
          <w:lang w:val="en-US"/>
        </w:rPr>
        <w:t xml:space="preserve"> of all rated companies are in the A</w:t>
      </w:r>
      <w:r>
        <w:rPr>
          <w:lang w:val="en-US"/>
        </w:rPr>
        <w:t> </w:t>
      </w:r>
      <w:r w:rsidRPr="00E06345">
        <w:rPr>
          <w:lang w:val="en-US"/>
        </w:rPr>
        <w:t>range.</w:t>
      </w:r>
    </w:p>
    <w:p w14:paraId="49A99444" w14:textId="77777777" w:rsidR="00D07B06" w:rsidRPr="00E06345" w:rsidRDefault="00D07B06" w:rsidP="00D07B06">
      <w:pPr>
        <w:pStyle w:val="Textonotapie"/>
        <w:ind w:left="284"/>
        <w:jc w:val="center"/>
        <w:rPr>
          <w:spacing w:val="-2"/>
          <w:lang w:val="en-US"/>
        </w:rPr>
      </w:pPr>
      <w:r w:rsidRPr="00E06345">
        <w:rPr>
          <w:noProof/>
          <w:spacing w:val="-2"/>
        </w:rPr>
        <w:drawing>
          <wp:inline distT="0" distB="0" distL="0" distR="0" wp14:anchorId="520988FD" wp14:editId="52D9424D">
            <wp:extent cx="2160000" cy="1541000"/>
            <wp:effectExtent l="0" t="0" r="0" b="2540"/>
            <wp:docPr id="17051980" name="Imagen 17051980" descr="Column chart of Number of S&amp;P non-financial credit ratings, by grade showing Global creditworthiness has atrophied since the 199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umn chart of Number of S&amp;P non-financial credit ratings, by grade showing Global creditworthiness has atrophied since the 1990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0000" cy="1541000"/>
                    </a:xfrm>
                    <a:prstGeom prst="rect">
                      <a:avLst/>
                    </a:prstGeom>
                    <a:noFill/>
                    <a:ln>
                      <a:noFill/>
                    </a:ln>
                  </pic:spPr>
                </pic:pic>
              </a:graphicData>
            </a:graphic>
          </wp:inline>
        </w:drawing>
      </w:r>
    </w:p>
    <w:p w14:paraId="09A9BE49" w14:textId="77777777" w:rsidR="00D07B06" w:rsidRPr="00E06345" w:rsidRDefault="00D07B06" w:rsidP="00D07B06">
      <w:pPr>
        <w:pStyle w:val="Textonotapie"/>
        <w:ind w:left="284"/>
        <w:rPr>
          <w:spacing w:val="-2"/>
          <w:lang w:val="en-US"/>
        </w:rPr>
      </w:pPr>
      <w:r w:rsidRPr="00E06345">
        <w:rPr>
          <w:spacing w:val="-2"/>
          <w:lang w:val="en-US"/>
        </w:rPr>
        <w:t xml:space="preserve">Once again, we can see the cost all around us with many corporate executives now </w:t>
      </w:r>
      <w:proofErr w:type="spellStart"/>
      <w:r w:rsidRPr="00E06345">
        <w:rPr>
          <w:spacing w:val="-2"/>
          <w:lang w:val="en-US"/>
        </w:rPr>
        <w:t>rueing</w:t>
      </w:r>
      <w:proofErr w:type="spellEnd"/>
      <w:r w:rsidRPr="00E06345">
        <w:rPr>
          <w:spacing w:val="-2"/>
          <w:lang w:val="en-US"/>
        </w:rPr>
        <w:t xml:space="preserve"> choosing the sword over the pillow. For sure, the Covid-19 pandemic was an extraordinary shock that could have threatened the solvency of even the sturdiest company. But the fact that </w:t>
      </w:r>
      <w:r w:rsidRPr="00E06345">
        <w:rPr>
          <w:spacing w:val="-2"/>
          <w:u w:val="single"/>
          <w:lang w:val="en-US"/>
        </w:rPr>
        <w:t>so many companies around the world are far from sturdy is a major reason why governments and central banks had to go to eye-popping lengths to moderate a tidal wave of corporate bankruptcies</w:t>
      </w:r>
      <w:r w:rsidRPr="00E06345">
        <w:rPr>
          <w:spacing w:val="-2"/>
          <w:lang w:val="en-US"/>
        </w:rPr>
        <w:t>.</w:t>
      </w:r>
    </w:p>
    <w:p w14:paraId="4FF5B83B" w14:textId="77777777" w:rsidR="00D07B06" w:rsidRPr="00E06345" w:rsidRDefault="00D07B06" w:rsidP="00D07B06">
      <w:pPr>
        <w:pStyle w:val="Textonotapie"/>
        <w:ind w:left="284"/>
        <w:rPr>
          <w:spacing w:val="-2"/>
          <w:lang w:val="en-US"/>
        </w:rPr>
      </w:pPr>
      <w:r w:rsidRPr="00E06345">
        <w:rPr>
          <w:spacing w:val="-2"/>
          <w:lang w:val="en-US"/>
        </w:rPr>
        <w:t xml:space="preserve">Those efforts have largely been successful. Yet </w:t>
      </w:r>
      <w:r w:rsidRPr="00E06345">
        <w:rPr>
          <w:spacing w:val="-2"/>
          <w:u w:val="single"/>
          <w:lang w:val="en-US"/>
        </w:rPr>
        <w:t xml:space="preserve">the cost has been </w:t>
      </w:r>
      <w:proofErr w:type="gramStart"/>
      <w:r w:rsidRPr="00E06345">
        <w:rPr>
          <w:spacing w:val="-2"/>
          <w:u w:val="single"/>
          <w:lang w:val="en-US"/>
        </w:rPr>
        <w:t>gargantuan</w:t>
      </w:r>
      <w:proofErr w:type="gramEnd"/>
      <w:r w:rsidRPr="00E06345">
        <w:rPr>
          <w:spacing w:val="-2"/>
          <w:lang w:val="en-US"/>
        </w:rPr>
        <w:t xml:space="preserve"> and the pain will still be frightful. Standard &amp; Poor’s tallied 88 corporate bond defaults just in the second quarter of 2020, the highest since the peak of the financial crisis. Millions of smaller businesses have gone under.</w:t>
      </w:r>
      <w:r>
        <w:rPr>
          <w:spacing w:val="-2"/>
          <w:lang w:val="en-US"/>
        </w:rPr>
        <w:t xml:space="preserve"> </w:t>
      </w:r>
      <w:r w:rsidRPr="00E06345">
        <w:rPr>
          <w:spacing w:val="-2"/>
          <w:u w:val="single"/>
          <w:lang w:val="en-US"/>
        </w:rPr>
        <w:t>While the overall toll is likely to be more moderate than that caused by the global financial crisis, we will be living with the legacy for years to come</w:t>
      </w:r>
      <w:r w:rsidRPr="00E06345">
        <w:rPr>
          <w:spacing w:val="-2"/>
          <w:lang w:val="en-US"/>
        </w:rPr>
        <w:t>.</w:t>
      </w:r>
    </w:p>
    <w:p w14:paraId="20A994BD" w14:textId="77777777" w:rsidR="00D07B06" w:rsidRPr="00E31269" w:rsidRDefault="00D07B06" w:rsidP="00D07B06">
      <w:pPr>
        <w:pStyle w:val="Textonotapie"/>
        <w:ind w:left="284"/>
        <w:rPr>
          <w:spacing w:val="-5"/>
          <w:lang w:val="en-US"/>
        </w:rPr>
      </w:pPr>
      <w:r w:rsidRPr="00E31269">
        <w:rPr>
          <w:spacing w:val="-5"/>
          <w:lang w:val="en-US"/>
        </w:rPr>
        <w:t xml:space="preserve">After 2008, there was a reckoning with banks and how they fund themselves. After 2020, there should be a similar overhaul for companies. The aim can obviously not be to </w:t>
      </w:r>
      <w:proofErr w:type="spellStart"/>
      <w:r w:rsidRPr="00E31269">
        <w:rPr>
          <w:spacing w:val="-5"/>
          <w:lang w:val="en-US"/>
        </w:rPr>
        <w:t>immunise</w:t>
      </w:r>
      <w:proofErr w:type="spellEnd"/>
      <w:r w:rsidRPr="00E31269">
        <w:rPr>
          <w:spacing w:val="-5"/>
          <w:lang w:val="en-US"/>
        </w:rPr>
        <w:t xml:space="preserve"> every company completely from every crisis — let alone one as abrupt, broad and deep as Covid-19. But </w:t>
      </w:r>
      <w:r w:rsidRPr="00E31269">
        <w:rPr>
          <w:spacing w:val="-5"/>
          <w:u w:val="single"/>
          <w:lang w:val="en-US"/>
        </w:rPr>
        <w:t>a shift from efficient to resilient balance sheets would be a long-term boon to the health of the financial system and the global economy</w:t>
      </w:r>
      <w:r w:rsidRPr="00E31269">
        <w:rPr>
          <w:spacing w:val="-5"/>
          <w:lang w:val="en-US"/>
        </w:rPr>
        <w:t>.</w:t>
      </w:r>
    </w:p>
    <w:p w14:paraId="24BBE051" w14:textId="77777777" w:rsidR="00D07B06" w:rsidRPr="00E06345" w:rsidRDefault="00D07B06" w:rsidP="00D07B06">
      <w:pPr>
        <w:pStyle w:val="Textonotapie"/>
        <w:ind w:left="284"/>
        <w:rPr>
          <w:spacing w:val="-2"/>
          <w:lang w:val="en-US"/>
        </w:rPr>
      </w:pPr>
      <w:r w:rsidRPr="00E06345">
        <w:rPr>
          <w:spacing w:val="-2"/>
          <w:lang w:val="en-US"/>
        </w:rPr>
        <w:t>Ideally, this should happen in response to the signals already being sent by markets: The shares of companies with stronger balance sheets have this year massively outperformed those with weaker ones, according to Goldman Sachs data.</w:t>
      </w:r>
    </w:p>
    <w:p w14:paraId="56994C1B" w14:textId="77777777" w:rsidR="00D07B06" w:rsidRPr="00E06345" w:rsidRDefault="00D07B06" w:rsidP="00D07B06">
      <w:pPr>
        <w:pStyle w:val="Textonotapie"/>
        <w:ind w:left="284"/>
        <w:rPr>
          <w:spacing w:val="-2"/>
          <w:lang w:val="en-US"/>
        </w:rPr>
      </w:pPr>
      <w:r w:rsidRPr="00E06345">
        <w:rPr>
          <w:spacing w:val="-2"/>
          <w:lang w:val="en-US"/>
        </w:rPr>
        <w:t>But if this proves a fleeting phenomenon —as is likely— then more countries should start taking a hard look at the tax advantages enjoyed by debt. Such a draconian move can only be done carefully, over a long period of time. But everyone would benefit from a world where companies once again aspire to be more creditworthy.</w:t>
      </w:r>
    </w:p>
  </w:footnote>
  <w:footnote w:id="16">
    <w:p w14:paraId="431D0853" w14:textId="77777777" w:rsidR="006E3B9F" w:rsidRPr="002F168A" w:rsidRDefault="006E3B9F" w:rsidP="006E3B9F">
      <w:pPr>
        <w:pStyle w:val="Textonotapie"/>
        <w:rPr>
          <w:lang w:val="en-US"/>
        </w:rPr>
      </w:pPr>
      <w:r>
        <w:rPr>
          <w:rStyle w:val="Refdenotaalpie"/>
        </w:rPr>
        <w:footnoteRef/>
      </w:r>
      <w:r w:rsidRPr="002F168A">
        <w:rPr>
          <w:lang w:val="en-US"/>
        </w:rPr>
        <w:t xml:space="preserve"> </w:t>
      </w:r>
      <w:hyperlink r:id="rId3" w:history="1">
        <w:r w:rsidRPr="002F168A">
          <w:rPr>
            <w:rStyle w:val="Hipervnculo"/>
            <w:lang w:val="en-US"/>
          </w:rPr>
          <w:t>https://www.youtube.com/watch?v=DoLc5CCqd3g</w:t>
        </w:r>
      </w:hyperlink>
    </w:p>
  </w:footnote>
  <w:footnote w:id="17">
    <w:p w14:paraId="4BD52388" w14:textId="77777777" w:rsidR="006E3B9F" w:rsidRPr="00C326D3" w:rsidRDefault="006E3B9F" w:rsidP="006E3B9F">
      <w:pPr>
        <w:keepNext/>
        <w:spacing w:after="0"/>
        <w:rPr>
          <w:rFonts w:ascii="Cambria Math" w:eastAsiaTheme="minorEastAsia" w:hAnsi="Cambria Math"/>
          <w:i/>
          <w:sz w:val="16"/>
          <w:szCs w:val="16"/>
        </w:rPr>
      </w:pPr>
      <w:r w:rsidRPr="002F50CD">
        <w:rPr>
          <w:rStyle w:val="Refdenotaalpie"/>
          <w:sz w:val="16"/>
          <w:szCs w:val="16"/>
        </w:rPr>
        <w:footnoteRef/>
      </w:r>
      <w:r w:rsidRPr="002F50CD">
        <w:rPr>
          <w:sz w:val="16"/>
          <w:szCs w:val="16"/>
        </w:rPr>
        <w:t xml:space="preserve"> </w:t>
      </w:r>
      <w:r w:rsidRPr="002F50CD">
        <w:rPr>
          <w:rFonts w:ascii="Cambria Math" w:hAnsi="Cambria Math"/>
          <w:i/>
        </w:rPr>
        <w:br/>
      </w:r>
      <m:oMathPara>
        <m:oMath>
          <m:m>
            <m:mPr>
              <m:mcs>
                <m:mc>
                  <m:mcPr>
                    <m:count m:val="1"/>
                    <m:mcJc m:val="center"/>
                  </m:mcPr>
                </m:mc>
              </m:mcs>
              <m:ctrlPr>
                <w:rPr>
                  <w:rFonts w:ascii="Cambria Math" w:hAnsi="Cambria Math"/>
                  <w:i/>
                  <w:sz w:val="16"/>
                  <w:szCs w:val="16"/>
                </w:rPr>
              </m:ctrlPr>
            </m:mPr>
            <m:mr>
              <m:e>
                <m:limUpp>
                  <m:limUppPr>
                    <m:ctrlPr>
                      <w:rPr>
                        <w:rFonts w:ascii="Cambria Math" w:hAnsi="Cambria Math"/>
                        <w:i/>
                        <w:sz w:val="16"/>
                        <w:szCs w:val="16"/>
                      </w:rPr>
                    </m:ctrlPr>
                  </m:limUppPr>
                  <m:e>
                    <m:groupChr>
                      <m:groupChrPr>
                        <m:chr m:val="⏞"/>
                        <m:pos m:val="top"/>
                        <m:vertJc m:val="bot"/>
                        <m:ctrlPr>
                          <w:rPr>
                            <w:rFonts w:ascii="Cambria Math" w:hAnsi="Cambria Math"/>
                            <w:i/>
                            <w:sz w:val="16"/>
                            <w:szCs w:val="16"/>
                          </w:rPr>
                        </m:ctrlPr>
                      </m:groupChrPr>
                      <m:e>
                        <m:limLow>
                          <m:limLowPr>
                            <m:ctrlPr>
                              <w:rPr>
                                <w:rFonts w:ascii="Cambria Math" w:hAnsi="Cambria Math"/>
                                <w:i/>
                                <w:iCs/>
                                <w:color w:val="000000"/>
                                <w:spacing w:val="-4"/>
                                <w:sz w:val="16"/>
                                <w:szCs w:val="16"/>
                              </w:rPr>
                            </m:ctrlPr>
                          </m:limLowPr>
                          <m:e>
                            <m:groupChr>
                              <m:groupChrPr>
                                <m:ctrlPr>
                                  <w:rPr>
                                    <w:rFonts w:ascii="Cambria Math" w:hAnsi="Cambria Math"/>
                                    <w:i/>
                                    <w:iCs/>
                                    <w:color w:val="000000"/>
                                    <w:spacing w:val="-4"/>
                                    <w:sz w:val="16"/>
                                    <w:szCs w:val="16"/>
                                  </w:rPr>
                                </m:ctrlPr>
                              </m:groupChrPr>
                              <m:e>
                                <m:r>
                                  <m:rPr>
                                    <m:nor/>
                                  </m:rPr>
                                  <w:rPr>
                                    <w:i/>
                                    <w:iCs/>
                                    <w:color w:val="000000"/>
                                    <w:spacing w:val="-4"/>
                                    <w:sz w:val="16"/>
                                    <w:szCs w:val="16"/>
                                  </w:rPr>
                                  <m:t>B</m:t>
                                </m:r>
                                <m:r>
                                  <w:rPr>
                                    <w:rFonts w:ascii="Cambria Math" w:hAnsi="Cambria Math"/>
                                    <w:color w:val="000000"/>
                                    <w:spacing w:val="-4"/>
                                    <w:sz w:val="16"/>
                                    <w:szCs w:val="16"/>
                                  </w:rPr>
                                  <m:t>∙</m:t>
                                </m:r>
                                <m:d>
                                  <m:dPr>
                                    <m:ctrlPr>
                                      <w:rPr>
                                        <w:rFonts w:ascii="Cambria Math" w:hAnsi="Cambria Math"/>
                                        <w:i/>
                                        <w:iCs/>
                                        <w:color w:val="000000"/>
                                        <w:spacing w:val="-4"/>
                                        <w:sz w:val="16"/>
                                        <w:szCs w:val="16"/>
                                      </w:rPr>
                                    </m:ctrlPr>
                                  </m:dPr>
                                  <m:e>
                                    <m:r>
                                      <m:rPr>
                                        <m:nor/>
                                      </m:rPr>
                                      <w:rPr>
                                        <w:i/>
                                        <w:color w:val="000000"/>
                                        <w:spacing w:val="-4"/>
                                        <w:sz w:val="16"/>
                                        <w:szCs w:val="16"/>
                                      </w:rPr>
                                      <m:t>1</m:t>
                                    </m:r>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d>
                              </m:e>
                            </m:groupChr>
                          </m:e>
                          <m:lim>
                            <m:r>
                              <m:rPr>
                                <m:nor/>
                              </m:rPr>
                              <w:rPr>
                                <w:i/>
                                <w:color w:val="000000"/>
                                <w:spacing w:val="-4"/>
                                <w:sz w:val="16"/>
                                <w:szCs w:val="16"/>
                              </w:rPr>
                              <m:t>Beneficio tras impuestos</m:t>
                            </m:r>
                          </m:lim>
                        </m:limLow>
                        <m:r>
                          <w:rPr>
                            <w:rFonts w:ascii="Cambria Math" w:hAnsi="Cambria Math"/>
                            <w:color w:val="000000"/>
                            <w:spacing w:val="-4"/>
                            <w:sz w:val="16"/>
                            <w:szCs w:val="16"/>
                          </w:rPr>
                          <m:t>-</m:t>
                        </m:r>
                        <m:limLow>
                          <m:limLowPr>
                            <m:ctrlPr>
                              <w:rPr>
                                <w:rFonts w:ascii="Cambria Math" w:hAnsi="Cambria Math"/>
                                <w:i/>
                                <w:iCs/>
                                <w:color w:val="000000"/>
                                <w:spacing w:val="-4"/>
                                <w:sz w:val="16"/>
                                <w:szCs w:val="16"/>
                              </w:rPr>
                            </m:ctrlPr>
                          </m:limLowPr>
                          <m:e>
                            <m:groupChr>
                              <m:groupChrPr>
                                <m:ctrlPr>
                                  <w:rPr>
                                    <w:rFonts w:ascii="Cambria Math" w:hAnsi="Cambria Math"/>
                                    <w:i/>
                                    <w:iCs/>
                                    <w:color w:val="000000"/>
                                    <w:spacing w:val="-4"/>
                                    <w:sz w:val="16"/>
                                    <w:szCs w:val="16"/>
                                  </w:rPr>
                                </m:ctrlPr>
                              </m:groupChrPr>
                              <m:e>
                                <m:sSub>
                                  <m:sSubPr>
                                    <m:ctrlPr>
                                      <w:rPr>
                                        <w:rFonts w:ascii="Cambria Math" w:hAnsi="Cambria Math"/>
                                        <w:i/>
                                        <w:iCs/>
                                        <w:color w:val="000000"/>
                                        <w:spacing w:val="-4"/>
                                        <w:sz w:val="16"/>
                                        <w:szCs w:val="16"/>
                                      </w:rPr>
                                    </m:ctrlPr>
                                  </m:sSubPr>
                                  <m:e>
                                    <m:r>
                                      <m:rPr>
                                        <m:nor/>
                                      </m:rPr>
                                      <w:rPr>
                                        <w:i/>
                                        <w:iCs/>
                                        <w:color w:val="000000"/>
                                        <w:spacing w:val="-4"/>
                                        <w:sz w:val="16"/>
                                        <w:szCs w:val="16"/>
                                      </w:rPr>
                                      <m:t>V</m:t>
                                    </m:r>
                                  </m:e>
                                  <m:sub>
                                    <m:r>
                                      <m:rPr>
                                        <m:nor/>
                                      </m:rPr>
                                      <w:rPr>
                                        <w:i/>
                                        <w:iCs/>
                                        <w:color w:val="000000"/>
                                        <w:spacing w:val="-4"/>
                                        <w:sz w:val="16"/>
                                        <w:szCs w:val="16"/>
                                      </w:rPr>
                                      <m:t>D</m:t>
                                    </m:r>
                                  </m:sub>
                                </m:sSub>
                                <m:r>
                                  <w:rPr>
                                    <w:rFonts w:ascii="Cambria Math" w:hAnsi="Cambria Math"/>
                                    <w:color w:val="000000"/>
                                    <w:spacing w:val="-4"/>
                                    <w:sz w:val="16"/>
                                    <w:szCs w:val="16"/>
                                  </w:rPr>
                                  <m:t>∙</m:t>
                                </m:r>
                                <m:d>
                                  <m:dPr>
                                    <m:ctrlPr>
                                      <w:rPr>
                                        <w:rFonts w:ascii="Cambria Math" w:hAnsi="Cambria Math"/>
                                        <w:i/>
                                        <w:iCs/>
                                        <w:color w:val="000000"/>
                                        <w:spacing w:val="-4"/>
                                        <w:sz w:val="16"/>
                                        <w:szCs w:val="16"/>
                                      </w:rPr>
                                    </m:ctrlPr>
                                  </m:dPr>
                                  <m:e>
                                    <m:r>
                                      <m:rPr>
                                        <m:nor/>
                                      </m:rPr>
                                      <w:rPr>
                                        <w:i/>
                                        <w:iCs/>
                                        <w:color w:val="000000"/>
                                        <w:spacing w:val="-4"/>
                                        <w:sz w:val="16"/>
                                        <w:szCs w:val="16"/>
                                      </w:rPr>
                                      <m:t>1</m:t>
                                    </m:r>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d>
                              </m:e>
                            </m:groupChr>
                          </m:e>
                          <m:lim>
                            <m:r>
                              <m:rPr>
                                <m:nor/>
                              </m:rPr>
                              <w:rPr>
                                <w:i/>
                                <w:color w:val="000000"/>
                                <w:spacing w:val="-4"/>
                                <w:sz w:val="16"/>
                                <w:szCs w:val="16"/>
                              </w:rPr>
                              <m:t>Coste de la deuda tras impuestos</m:t>
                            </m:r>
                          </m:lim>
                        </m:limLow>
                      </m:e>
                    </m:groupChr>
                  </m:e>
                  <m:lim>
                    <m:eqArr>
                      <m:eqArrPr>
                        <m:ctrlPr>
                          <w:rPr>
                            <w:rFonts w:ascii="Cambria Math" w:hAnsi="Cambria Math"/>
                            <w:i/>
                            <w:iCs/>
                            <w:color w:val="000000"/>
                            <w:spacing w:val="-4"/>
                            <w:sz w:val="16"/>
                            <w:szCs w:val="16"/>
                            <w:lang w:val="fr-FR"/>
                          </w:rPr>
                        </m:ctrlPr>
                      </m:eqArrPr>
                      <m:e>
                        <m:r>
                          <m:rPr>
                            <m:nor/>
                          </m:rPr>
                          <w:rPr>
                            <w:i/>
                            <w:iCs/>
                            <w:color w:val="000000"/>
                            <w:spacing w:val="-4"/>
                            <w:sz w:val="16"/>
                            <w:szCs w:val="16"/>
                          </w:rPr>
                          <m:t>Renta disponible para accionistas y obligacionistas</m:t>
                        </m:r>
                      </m:e>
                      <m:e>
                        <m:r>
                          <m:rPr>
                            <m:nor/>
                          </m:rPr>
                          <w:rPr>
                            <w:i/>
                            <w:iCs/>
                            <w:color w:val="000000"/>
                            <w:spacing w:val="-4"/>
                            <w:sz w:val="16"/>
                            <w:szCs w:val="16"/>
                          </w:rPr>
                          <m:t>en el caso de una empresa endeudada</m:t>
                        </m:r>
                      </m:e>
                    </m:eqArr>
                  </m:lim>
                </m:limUpp>
                <m:r>
                  <w:rPr>
                    <w:rFonts w:ascii="Cambria Math" w:hAnsi="Cambria Math"/>
                    <w:color w:val="000000"/>
                    <w:spacing w:val="-4"/>
                    <w:sz w:val="16"/>
                    <w:szCs w:val="16"/>
                  </w:rPr>
                  <m:t>=</m:t>
                </m:r>
                <m:limUpp>
                  <m:limUppPr>
                    <m:ctrlPr>
                      <w:rPr>
                        <w:rFonts w:ascii="Cambria Math" w:hAnsi="Cambria Math"/>
                        <w:i/>
                        <w:iCs/>
                        <w:color w:val="000000"/>
                        <w:spacing w:val="-4"/>
                        <w:sz w:val="16"/>
                        <w:szCs w:val="16"/>
                        <w:lang w:val="fr-FR"/>
                      </w:rPr>
                    </m:ctrlPr>
                  </m:limUppPr>
                  <m:e>
                    <m:groupChr>
                      <m:groupChrPr>
                        <m:chr m:val="⏞"/>
                        <m:pos m:val="top"/>
                        <m:vertJc m:val="bot"/>
                        <m:ctrlPr>
                          <w:rPr>
                            <w:rFonts w:ascii="Cambria Math" w:hAnsi="Cambria Math"/>
                            <w:i/>
                            <w:iCs/>
                            <w:color w:val="000000"/>
                            <w:spacing w:val="-4"/>
                            <w:sz w:val="16"/>
                            <w:szCs w:val="16"/>
                            <w:lang w:val="fr-FR"/>
                          </w:rPr>
                        </m:ctrlPr>
                      </m:groupChrPr>
                      <m:e>
                        <m:limLow>
                          <m:limLowPr>
                            <m:ctrlPr>
                              <w:rPr>
                                <w:rFonts w:ascii="Cambria Math" w:hAnsi="Cambria Math"/>
                                <w:i/>
                                <w:iCs/>
                                <w:color w:val="000000"/>
                                <w:spacing w:val="-4"/>
                                <w:sz w:val="16"/>
                                <w:szCs w:val="16"/>
                              </w:rPr>
                            </m:ctrlPr>
                          </m:limLowPr>
                          <m:e>
                            <m:groupChr>
                              <m:groupChrPr>
                                <m:ctrlPr>
                                  <w:rPr>
                                    <w:rFonts w:ascii="Cambria Math" w:hAnsi="Cambria Math"/>
                                    <w:i/>
                                    <w:iCs/>
                                    <w:color w:val="000000"/>
                                    <w:spacing w:val="-4"/>
                                    <w:sz w:val="16"/>
                                    <w:szCs w:val="16"/>
                                  </w:rPr>
                                </m:ctrlPr>
                              </m:groupChrPr>
                              <m:e>
                                <m:r>
                                  <m:rPr>
                                    <m:nor/>
                                  </m:rPr>
                                  <w:rPr>
                                    <w:i/>
                                    <w:iCs/>
                                    <w:color w:val="000000"/>
                                    <w:spacing w:val="-4"/>
                                    <w:sz w:val="16"/>
                                    <w:szCs w:val="16"/>
                                  </w:rPr>
                                  <m:t>B</m:t>
                                </m:r>
                                <m:r>
                                  <w:rPr>
                                    <w:rFonts w:ascii="Cambria Math" w:hAnsi="Cambria Math"/>
                                    <w:color w:val="000000"/>
                                    <w:spacing w:val="-4"/>
                                    <w:sz w:val="16"/>
                                    <w:szCs w:val="16"/>
                                  </w:rPr>
                                  <m:t>∙</m:t>
                                </m:r>
                                <m:d>
                                  <m:dPr>
                                    <m:ctrlPr>
                                      <w:rPr>
                                        <w:rFonts w:ascii="Cambria Math" w:hAnsi="Cambria Math"/>
                                        <w:i/>
                                        <w:iCs/>
                                        <w:color w:val="000000"/>
                                        <w:spacing w:val="-4"/>
                                        <w:sz w:val="16"/>
                                        <w:szCs w:val="16"/>
                                      </w:rPr>
                                    </m:ctrlPr>
                                  </m:dPr>
                                  <m:e>
                                    <m:r>
                                      <m:rPr>
                                        <m:nor/>
                                      </m:rPr>
                                      <w:rPr>
                                        <w:i/>
                                        <w:color w:val="000000"/>
                                        <w:spacing w:val="-4"/>
                                        <w:sz w:val="16"/>
                                        <w:szCs w:val="16"/>
                                      </w:rPr>
                                      <m:t>1</m:t>
                                    </m:r>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d>
                              </m:e>
                            </m:groupChr>
                          </m:e>
                          <m:lim>
                            <m:r>
                              <m:rPr>
                                <m:nor/>
                              </m:rPr>
                              <w:rPr>
                                <w:i/>
                                <w:color w:val="000000"/>
                                <w:spacing w:val="-4"/>
                                <w:sz w:val="16"/>
                                <w:szCs w:val="16"/>
                              </w:rPr>
                              <m:t>Beneficio tras impuestos</m:t>
                            </m:r>
                          </m:lim>
                        </m:limLow>
                      </m:e>
                    </m:groupChr>
                  </m:e>
                  <m:lim>
                    <m:eqArr>
                      <m:eqArrPr>
                        <m:ctrlPr>
                          <w:rPr>
                            <w:rFonts w:ascii="Cambria Math" w:hAnsi="Cambria Math"/>
                            <w:i/>
                            <w:iCs/>
                            <w:color w:val="000000"/>
                            <w:spacing w:val="-4"/>
                            <w:sz w:val="16"/>
                            <w:szCs w:val="16"/>
                            <w:lang w:val="fr-FR"/>
                          </w:rPr>
                        </m:ctrlPr>
                      </m:eqArrPr>
                      <m:e>
                        <m:r>
                          <m:rPr>
                            <m:nor/>
                          </m:rPr>
                          <w:rPr>
                            <w:i/>
                            <w:iCs/>
                            <w:color w:val="000000"/>
                            <w:spacing w:val="-4"/>
                            <w:sz w:val="16"/>
                            <w:szCs w:val="16"/>
                          </w:rPr>
                          <m:t>Renta disponible para accionistas</m:t>
                        </m:r>
                      </m:e>
                      <m:e>
                        <m:r>
                          <m:rPr>
                            <m:nor/>
                          </m:rPr>
                          <w:rPr>
                            <w:i/>
                            <w:iCs/>
                            <w:color w:val="000000"/>
                            <w:spacing w:val="-4"/>
                            <w:sz w:val="16"/>
                            <w:szCs w:val="16"/>
                          </w:rPr>
                          <m:t>en el caso de una empresa no endeudada</m:t>
                        </m:r>
                      </m:e>
                    </m:eqArr>
                  </m:lim>
                </m:limUpp>
              </m:e>
            </m:mr>
            <m:mr>
              <m:e>
                <m:r>
                  <w:rPr>
                    <w:rFonts w:ascii="Cambria Math" w:hAnsi="Cambria Math"/>
                    <w:sz w:val="16"/>
                    <w:szCs w:val="16"/>
                  </w:rPr>
                  <m:t xml:space="preserve">                                                </m:t>
                </m:r>
                <m:m>
                  <m:mPr>
                    <m:mcs>
                      <m:mc>
                        <m:mcPr>
                          <m:count m:val="2"/>
                          <m:mcJc m:val="center"/>
                        </m:mcPr>
                      </m:mc>
                    </m:mcs>
                    <m:ctrlPr>
                      <w:rPr>
                        <w:rFonts w:ascii="Cambria Math" w:hAnsi="Cambria Math"/>
                        <w:i/>
                        <w:sz w:val="16"/>
                        <w:szCs w:val="16"/>
                      </w:rPr>
                    </m:ctrlPr>
                  </m:mPr>
                  <m:mr>
                    <m:e>
                      <m:r>
                        <w:rPr>
                          <w:rFonts w:ascii="Cambria Math" w:hAnsi="Cambria Math"/>
                          <w:sz w:val="16"/>
                          <w:szCs w:val="16"/>
                        </w:rPr>
                        <m:t>⇓</m:t>
                      </m:r>
                    </m:e>
                    <m:e>
                      <m:d>
                        <m:dPr>
                          <m:begChr m:val="{"/>
                          <m:endChr m:val=""/>
                          <m:ctrlPr>
                            <w:rPr>
                              <w:rFonts w:ascii="Cambria Math" w:hAnsi="Cambria Math"/>
                              <w:i/>
                              <w:sz w:val="16"/>
                              <w:szCs w:val="16"/>
                            </w:rPr>
                          </m:ctrlPr>
                        </m:dPr>
                        <m:e>
                          <m:r>
                            <m:rPr>
                              <m:nor/>
                            </m:rPr>
                            <w:rPr>
                              <w:i/>
                              <w:iCs/>
                              <w:sz w:val="16"/>
                              <w:szCs w:val="16"/>
                            </w:rPr>
                            <m:t>Pasamos lo de la derecha restando</m:t>
                          </m:r>
                        </m:e>
                      </m:d>
                    </m:e>
                  </m:mr>
                </m:m>
              </m:e>
            </m:mr>
            <m:mr>
              <m:e>
                <m:r>
                  <m:rPr>
                    <m:nor/>
                  </m:rPr>
                  <w:rPr>
                    <w:i/>
                    <w:iCs/>
                    <w:color w:val="000000"/>
                    <w:spacing w:val="-4"/>
                    <w:sz w:val="16"/>
                    <w:szCs w:val="16"/>
                  </w:rPr>
                  <m:t xml:space="preserve">Ahorro fiscal por endeudarse una cantidad </m:t>
                </m:r>
                <m:sSub>
                  <m:sSubPr>
                    <m:ctrlPr>
                      <w:rPr>
                        <w:rFonts w:ascii="Cambria Math" w:hAnsi="Cambria Math"/>
                        <w:i/>
                        <w:iCs/>
                        <w:color w:val="000000"/>
                        <w:spacing w:val="-4"/>
                        <w:sz w:val="16"/>
                        <w:szCs w:val="16"/>
                      </w:rPr>
                    </m:ctrlPr>
                  </m:sSubPr>
                  <m:e>
                    <m:r>
                      <m:rPr>
                        <m:nor/>
                      </m:rPr>
                      <w:rPr>
                        <w:i/>
                        <w:iCs/>
                        <w:color w:val="000000"/>
                        <w:spacing w:val="-4"/>
                        <w:sz w:val="16"/>
                        <w:szCs w:val="16"/>
                      </w:rPr>
                      <m:t>V</m:t>
                    </m:r>
                  </m:e>
                  <m:sub>
                    <m:r>
                      <m:rPr>
                        <m:nor/>
                      </m:rPr>
                      <w:rPr>
                        <w:i/>
                        <w:iCs/>
                        <w:color w:val="000000"/>
                        <w:spacing w:val="-4"/>
                        <w:sz w:val="16"/>
                        <w:szCs w:val="16"/>
                      </w:rPr>
                      <m:t>D</m:t>
                    </m:r>
                  </m:sub>
                </m:sSub>
                <m:r>
                  <m:rPr>
                    <m:nor/>
                  </m:rPr>
                  <w:rPr>
                    <w:rFonts w:ascii="Cambria Math"/>
                    <w:i/>
                    <w:iCs/>
                    <w:color w:val="000000"/>
                    <w:spacing w:val="-4"/>
                    <w:sz w:val="16"/>
                    <w:szCs w:val="16"/>
                  </w:rPr>
                  <m:t xml:space="preserve"> </m:t>
                </m:r>
                <m:r>
                  <m:rPr>
                    <m:nor/>
                  </m:rPr>
                  <w:rPr>
                    <w:color w:val="000000"/>
                    <w:spacing w:val="-4"/>
                    <w:sz w:val="16"/>
                    <w:szCs w:val="16"/>
                  </w:rPr>
                  <m:t>(</m:t>
                </m:r>
                <m:r>
                  <m:rPr>
                    <m:nor/>
                  </m:rPr>
                  <w:rPr>
                    <w:i/>
                    <w:color w:val="000000"/>
                    <w:spacing w:val="-4"/>
                    <w:sz w:val="16"/>
                    <w:szCs w:val="16"/>
                  </w:rPr>
                  <m:t>Escudo fiscal</m:t>
                </m:r>
                <m:r>
                  <m:rPr>
                    <m:nor/>
                  </m:rPr>
                  <w:rPr>
                    <w:color w:val="000000"/>
                    <w:spacing w:val="-4"/>
                    <w:sz w:val="16"/>
                    <w:szCs w:val="16"/>
                  </w:rPr>
                  <m:t>)</m:t>
                </m:r>
                <m:r>
                  <w:rPr>
                    <w:rFonts w:ascii="Cambria Math" w:hAnsi="Cambria Math"/>
                    <w:color w:val="000000"/>
                    <w:spacing w:val="-4"/>
                    <w:sz w:val="16"/>
                    <w:szCs w:val="16"/>
                  </w:rPr>
                  <m:t xml:space="preserve">: </m:t>
                </m:r>
                <m:borderBox>
                  <m:borderBoxPr>
                    <m:ctrlPr>
                      <w:rPr>
                        <w:rFonts w:ascii="Cambria Math" w:hAnsi="Cambria Math"/>
                        <w:i/>
                        <w:iCs/>
                        <w:color w:val="000000"/>
                        <w:spacing w:val="-4"/>
                        <w:sz w:val="16"/>
                        <w:szCs w:val="16"/>
                      </w:rPr>
                    </m:ctrlPr>
                  </m:borderBoxPr>
                  <m:e>
                    <m:sSub>
                      <m:sSubPr>
                        <m:ctrlPr>
                          <w:rPr>
                            <w:rFonts w:ascii="Cambria Math" w:hAnsi="Cambria Math"/>
                            <w:i/>
                            <w:iCs/>
                            <w:color w:val="000000"/>
                            <w:spacing w:val="-4"/>
                            <w:sz w:val="16"/>
                            <w:szCs w:val="16"/>
                          </w:rPr>
                        </m:ctrlPr>
                      </m:sSubPr>
                      <m:e>
                        <m:r>
                          <m:rPr>
                            <m:nor/>
                          </m:rPr>
                          <w:rPr>
                            <w:i/>
                            <w:iCs/>
                            <w:color w:val="000000"/>
                            <w:spacing w:val="-4"/>
                            <w:sz w:val="16"/>
                            <w:szCs w:val="16"/>
                          </w:rPr>
                          <m:t>V</m:t>
                        </m:r>
                      </m:e>
                      <m:sub>
                        <m:r>
                          <m:rPr>
                            <m:nor/>
                          </m:rPr>
                          <w:rPr>
                            <w:i/>
                            <w:iCs/>
                            <w:color w:val="000000"/>
                            <w:spacing w:val="-4"/>
                            <w:sz w:val="16"/>
                            <w:szCs w:val="16"/>
                          </w:rPr>
                          <m:t>D</m:t>
                        </m:r>
                      </m:sub>
                    </m:sSub>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borderBox>
              </m:e>
            </m:mr>
          </m:m>
        </m:oMath>
      </m:oMathPara>
    </w:p>
  </w:footnote>
  <w:footnote w:id="18">
    <w:p w14:paraId="5E612EDF" w14:textId="77777777" w:rsidR="000127D5" w:rsidRDefault="000127D5" w:rsidP="000127D5">
      <w:pPr>
        <w:pStyle w:val="Textonotapie"/>
      </w:pPr>
      <w:r>
        <w:rPr>
          <w:rStyle w:val="Refdenotaalpie"/>
        </w:rPr>
        <w:footnoteRef/>
      </w:r>
      <w:r>
        <w:t xml:space="preserve"> Por simplicidad consideraremos el IRPF con un tipo impositivo único (impuesto proporcional). En la práctica, sin embargo, es un impuesto progresivo, por lo que cada obligacionista y cada accionista tienen un tipo marginal distinto.</w:t>
      </w:r>
    </w:p>
  </w:footnote>
  <w:footnote w:id="19">
    <w:p w14:paraId="5150069D" w14:textId="77777777" w:rsidR="000127D5" w:rsidRDefault="000127D5" w:rsidP="000127D5">
      <w:pPr>
        <w:pStyle w:val="Textonotapie"/>
      </w:pPr>
      <w:r>
        <w:rPr>
          <w:rStyle w:val="Refdenotaalpie"/>
        </w:rPr>
        <w:footnoteRef/>
      </w:r>
      <w:r>
        <w:t xml:space="preserve"> </w:t>
      </w:r>
      <w:hyperlink r:id="rId4" w:history="1">
        <w:r w:rsidRPr="00286535">
          <w:rPr>
            <w:rStyle w:val="Hipervnculo"/>
          </w:rPr>
          <w:t>https://onlinelibrary.wiley.com/doi/epdf/10.1111/j.1540-6261.1977.tb03267.x</w:t>
        </w:r>
      </w:hyperlink>
    </w:p>
  </w:footnote>
  <w:footnote w:id="20">
    <w:p w14:paraId="7C829B55" w14:textId="77777777" w:rsidR="00D54889" w:rsidRDefault="00D54889" w:rsidP="00D54889">
      <w:pPr>
        <w:pStyle w:val="Textonotapie"/>
        <w:keepNext/>
        <w:spacing w:after="0"/>
        <w:rPr>
          <w:lang w:val="en-US"/>
        </w:rPr>
      </w:pPr>
      <w:r>
        <w:rPr>
          <w:rStyle w:val="Refdenotaalpie"/>
        </w:rPr>
        <w:footnoteRef/>
      </w:r>
      <w:r w:rsidRPr="00D54889">
        <w:rPr>
          <w:lang w:val="en-US"/>
        </w:rPr>
        <w:t xml:space="preserve"> Changes in tax rates h</w:t>
      </w:r>
      <w:r>
        <w:rPr>
          <w:lang w:val="en-US"/>
        </w:rPr>
        <w:t>ave 2 effects on revenues:</w:t>
      </w:r>
    </w:p>
    <w:p w14:paraId="5153300A" w14:textId="34ABCEAC" w:rsidR="00D54889" w:rsidRDefault="00D54889" w:rsidP="00D54889">
      <w:pPr>
        <w:pStyle w:val="Textonotapie"/>
        <w:numPr>
          <w:ilvl w:val="0"/>
          <w:numId w:val="49"/>
        </w:numPr>
        <w:spacing w:after="0"/>
        <w:ind w:left="284" w:hanging="57"/>
        <w:rPr>
          <w:lang w:val="en-US"/>
        </w:rPr>
      </w:pPr>
      <w:r w:rsidRPr="00D54889">
        <w:rPr>
          <w:i/>
          <w:iCs/>
          <w:lang w:val="en-US"/>
        </w:rPr>
        <w:t>Arithmetic effect</w:t>
      </w:r>
      <w:r>
        <w:rPr>
          <w:lang w:val="en-US"/>
        </w:rPr>
        <w:t>: It is simply that if tax rates are lowered, tax revenues (per dollar of tax base) will be lowered by the amount of the decrease in the rate.</w:t>
      </w:r>
    </w:p>
    <w:p w14:paraId="4546C7B3" w14:textId="6D6DEE1F" w:rsidR="00D54889" w:rsidRPr="00D54889" w:rsidRDefault="00D54889" w:rsidP="00D54889">
      <w:pPr>
        <w:pStyle w:val="Textonotapie"/>
        <w:numPr>
          <w:ilvl w:val="0"/>
          <w:numId w:val="49"/>
        </w:numPr>
        <w:ind w:left="284" w:hanging="57"/>
        <w:rPr>
          <w:lang w:val="en-US"/>
        </w:rPr>
      </w:pPr>
      <w:r w:rsidRPr="00D54889">
        <w:rPr>
          <w:i/>
          <w:iCs/>
          <w:lang w:val="en-US"/>
        </w:rPr>
        <w:t>Economic effect</w:t>
      </w:r>
      <w:r w:rsidRPr="00D54889">
        <w:rPr>
          <w:lang w:val="en-US"/>
        </w:rPr>
        <w:t>:</w:t>
      </w:r>
      <w:r>
        <w:rPr>
          <w:lang w:val="en-US"/>
        </w:rPr>
        <w:t xml:space="preserve"> This effect recognizes the positive impact that lower tax rates have on work, output and employment –and thereby the tax base– by providing incentives to increase these activities. Raising tax rates has the opposite economic effect by penalizing participation in the taxed activities.</w:t>
      </w:r>
    </w:p>
  </w:footnote>
  <w:footnote w:id="21">
    <w:p w14:paraId="03F52178" w14:textId="368EA0BD" w:rsidR="00D54889" w:rsidRDefault="00D54889">
      <w:pPr>
        <w:pStyle w:val="Textonotapie"/>
      </w:pPr>
      <w:r>
        <w:rPr>
          <w:rStyle w:val="Refdenotaalpie"/>
        </w:rPr>
        <w:footnoteRef/>
      </w:r>
      <w:r>
        <w:t xml:space="preserve"> ¡Ojo! 94 % era el tipo marginal, no el tipo medio. Era para la renta por encima de 200.000 $ (el equivalente más o menos a 2,5 millones de dólares actuales)</w:t>
      </w:r>
      <w:r w:rsidR="00496CA3">
        <w:t>.</w:t>
      </w:r>
    </w:p>
  </w:footnote>
  <w:footnote w:id="22">
    <w:p w14:paraId="39FA8565" w14:textId="6B489421" w:rsidR="00F94E22" w:rsidRDefault="00F94E22">
      <w:pPr>
        <w:pStyle w:val="Textonotapie"/>
      </w:pPr>
      <w:r>
        <w:rPr>
          <w:rStyle w:val="Refdenotaalpie"/>
        </w:rPr>
        <w:footnoteRef/>
      </w:r>
      <w:r>
        <w:t xml:space="preserve"> </w:t>
      </w:r>
      <w:hyperlink r:id="rId5" w:history="1">
        <w:r w:rsidRPr="0005104A">
          <w:rPr>
            <w:rStyle w:val="Hipervnculo"/>
          </w:rPr>
          <w:t>https://www.funcas.es/wp-content/uploads/Migracion/Articulos/FUNCAS_PEE/154art10.pdf</w:t>
        </w:r>
      </w:hyperlink>
    </w:p>
  </w:footnote>
  <w:footnote w:id="23">
    <w:p w14:paraId="0AC776C3" w14:textId="77777777" w:rsidR="000036C0" w:rsidRDefault="000036C0" w:rsidP="000036C0">
      <w:pPr>
        <w:pStyle w:val="Textonotapie"/>
      </w:pPr>
      <w:r>
        <w:rPr>
          <w:rStyle w:val="Refdenotaalpie"/>
        </w:rPr>
        <w:footnoteRef/>
      </w:r>
      <w:r>
        <w:t xml:space="preserve"> </w:t>
      </w:r>
      <w:r w:rsidRPr="00976457">
        <w:t xml:space="preserve">Novo Corti, I., Díaz Roldán, C. &amp; Ruesga Benito, S. M. (2020). </w:t>
      </w:r>
      <w:r w:rsidRPr="00976457">
        <w:rPr>
          <w:i/>
          <w:iCs/>
        </w:rPr>
        <w:t xml:space="preserve">Presión y fraude fiscales, predisposición a pagar impuestos y satisfacción personal en España / Fiscal </w:t>
      </w:r>
      <w:proofErr w:type="spellStart"/>
      <w:r w:rsidRPr="00976457">
        <w:rPr>
          <w:i/>
          <w:iCs/>
        </w:rPr>
        <w:t>Pressure</w:t>
      </w:r>
      <w:proofErr w:type="spellEnd"/>
      <w:r w:rsidRPr="00976457">
        <w:rPr>
          <w:i/>
          <w:iCs/>
        </w:rPr>
        <w:t xml:space="preserve"> and </w:t>
      </w:r>
      <w:proofErr w:type="spellStart"/>
      <w:r w:rsidRPr="00976457">
        <w:rPr>
          <w:i/>
          <w:iCs/>
        </w:rPr>
        <w:t>Fraud</w:t>
      </w:r>
      <w:proofErr w:type="spellEnd"/>
      <w:r w:rsidRPr="00976457">
        <w:rPr>
          <w:i/>
          <w:iCs/>
        </w:rPr>
        <w:t xml:space="preserve">, </w:t>
      </w:r>
      <w:proofErr w:type="spellStart"/>
      <w:r w:rsidRPr="00976457">
        <w:rPr>
          <w:i/>
          <w:iCs/>
        </w:rPr>
        <w:t>Predisposition</w:t>
      </w:r>
      <w:proofErr w:type="spellEnd"/>
      <w:r w:rsidRPr="00976457">
        <w:rPr>
          <w:i/>
          <w:iCs/>
        </w:rPr>
        <w:t xml:space="preserve"> </w:t>
      </w:r>
      <w:proofErr w:type="spellStart"/>
      <w:r w:rsidRPr="00976457">
        <w:rPr>
          <w:i/>
          <w:iCs/>
        </w:rPr>
        <w:t>to</w:t>
      </w:r>
      <w:proofErr w:type="spellEnd"/>
      <w:r w:rsidRPr="00976457">
        <w:rPr>
          <w:i/>
          <w:iCs/>
        </w:rPr>
        <w:t xml:space="preserve"> Pay </w:t>
      </w:r>
      <w:proofErr w:type="spellStart"/>
      <w:r w:rsidRPr="00976457">
        <w:rPr>
          <w:i/>
          <w:iCs/>
        </w:rPr>
        <w:t>Taxes</w:t>
      </w:r>
      <w:proofErr w:type="spellEnd"/>
      <w:r w:rsidRPr="00976457">
        <w:rPr>
          <w:i/>
          <w:iCs/>
        </w:rPr>
        <w:t xml:space="preserve"> and Personal </w:t>
      </w:r>
      <w:proofErr w:type="spellStart"/>
      <w:r w:rsidRPr="00976457">
        <w:rPr>
          <w:i/>
          <w:iCs/>
        </w:rPr>
        <w:t>Satisfaction</w:t>
      </w:r>
      <w:proofErr w:type="spellEnd"/>
      <w:r w:rsidRPr="00976457">
        <w:rPr>
          <w:i/>
          <w:iCs/>
        </w:rPr>
        <w:t xml:space="preserve"> in Spain</w:t>
      </w:r>
      <w:r w:rsidRPr="00976457">
        <w:t xml:space="preserve">. Revista Española de Investigaciones Sociológicas. </w:t>
      </w:r>
      <w:hyperlink r:id="rId6" w:history="1">
        <w:r w:rsidRPr="00DB339D">
          <w:rPr>
            <w:rStyle w:val="Hipervnculo"/>
          </w:rPr>
          <w:t>https://doi.org/10.5477/cis/reis.172.101</w:t>
        </w:r>
      </w:hyperlink>
    </w:p>
    <w:p w14:paraId="2123C4B3" w14:textId="77777777" w:rsidR="000036C0" w:rsidRDefault="000036C0" w:rsidP="000036C0">
      <w:pPr>
        <w:pStyle w:val="Textonotapie"/>
        <w:jc w:val="center"/>
      </w:pPr>
      <w:r>
        <w:rPr>
          <w:noProof/>
        </w:rPr>
        <w:drawing>
          <wp:inline distT="0" distB="0" distL="0" distR="0" wp14:anchorId="743DC0CB" wp14:editId="001A2DAD">
            <wp:extent cx="3451860" cy="1624214"/>
            <wp:effectExtent l="0" t="0" r="0" b="0"/>
            <wp:docPr id="153326891" name="Imagen 1" descr="Imagen de la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6891" name="Imagen 1" descr="Imagen de la pantalla de un celular con texto&#10;&#10;Descripción generada automáticamente con confianza media"/>
                    <pic:cNvPicPr/>
                  </pic:nvPicPr>
                  <pic:blipFill>
                    <a:blip r:embed="rId7"/>
                    <a:stretch>
                      <a:fillRect/>
                    </a:stretch>
                  </pic:blipFill>
                  <pic:spPr>
                    <a:xfrm>
                      <a:off x="0" y="0"/>
                      <a:ext cx="3468555" cy="1632070"/>
                    </a:xfrm>
                    <a:prstGeom prst="rect">
                      <a:avLst/>
                    </a:prstGeom>
                  </pic:spPr>
                </pic:pic>
              </a:graphicData>
            </a:graphic>
          </wp:inline>
        </w:drawing>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76EF" w:rsidRPr="00C44422" w14:paraId="15D116BB"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7A715B9" w14:textId="768161DC" w:rsidR="000676EF" w:rsidRPr="000676EF" w:rsidRDefault="000676EF"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4.B.11</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2FF90943" w14:textId="6A233641" w:rsidR="000676EF" w:rsidRPr="000676EF" w:rsidRDefault="000676EF" w:rsidP="00C80BBD">
              <w:pPr>
                <w:pStyle w:val="Encabezado"/>
                <w:spacing w:after="0"/>
                <w:ind w:right="-110"/>
                <w:contextualSpacing/>
                <w:jc w:val="center"/>
                <w:rPr>
                  <w:i/>
                  <w:iCs/>
                  <w:color w:val="5F2987"/>
                  <w:sz w:val="18"/>
                  <w:szCs w:val="18"/>
                  <w:lang w:val="es-ES"/>
                </w:rPr>
              </w:pPr>
              <w:r w:rsidRPr="000676EF">
                <w:rPr>
                  <w:i/>
                  <w:iCs/>
                  <w:color w:val="5F2987"/>
                  <w:sz w:val="18"/>
                  <w:szCs w:val="18"/>
                  <w:lang w:val="es-ES"/>
                </w:rPr>
                <w:t>Imposición y oferta. Efectos incentivo de los impuestos</w:t>
              </w:r>
              <w:r>
                <w:rPr>
                  <w:i/>
                  <w:iCs/>
                  <w:color w:val="5F2987"/>
                  <w:sz w:val="18"/>
                  <w:szCs w:val="18"/>
                  <w:lang w:val="es-ES"/>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FE52BDF" w14:textId="3DFE0F47" w:rsidR="000676EF" w:rsidRPr="00C44422" w:rsidRDefault="000676EF"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76EF" w:rsidRPr="00C44422" w14:paraId="3BE404D7" w14:textId="77777777" w:rsidTr="0078055F">
      <w:trPr>
        <w:trHeight w:val="136"/>
        <w:jc w:val="center"/>
      </w:trPr>
      <w:bookmarkStart w:id="73" w:name="_Hlk72149218" w:displacedByCustomXml="next"/>
      <w:sdt>
        <w:sdtPr>
          <w:rPr>
            <w:b/>
            <w:bCs/>
            <w:i/>
            <w:iCs/>
            <w:caps/>
            <w:color w:val="5F2987"/>
            <w:sz w:val="18"/>
            <w:szCs w:val="18"/>
          </w:rPr>
          <w:alias w:val="Title"/>
          <w:tag w:val=""/>
          <w:id w:val="207847010"/>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354482A" w14:textId="470C925E" w:rsidR="000676EF" w:rsidRPr="000676EF" w:rsidRDefault="000676EF"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4.B.11</w:t>
              </w:r>
            </w:p>
          </w:tc>
        </w:sdtContent>
      </w:sdt>
      <w:tc>
        <w:tcPr>
          <w:tcW w:w="7088" w:type="dxa"/>
          <w:vAlign w:val="center"/>
        </w:tcPr>
        <w:sdt>
          <w:sdtPr>
            <w:rPr>
              <w:i/>
              <w:iCs/>
              <w:color w:val="5F2987"/>
              <w:sz w:val="18"/>
              <w:szCs w:val="18"/>
            </w:rPr>
            <w:alias w:val="Subject"/>
            <w:tag w:val=""/>
            <w:id w:val="-754287326"/>
            <w:dataBinding w:prefixMappings="xmlns:ns0='http://purl.org/dc/elements/1.1/' xmlns:ns1='http://schemas.openxmlformats.org/package/2006/metadata/core-properties' " w:xpath="/ns1:coreProperties[1]/ns0:subject[1]" w:storeItemID="{6C3C8BC8-F283-45AE-878A-BAB7291924A1}"/>
            <w:text/>
          </w:sdtPr>
          <w:sdtContent>
            <w:p w14:paraId="23611E45" w14:textId="7578D10B" w:rsidR="000676EF" w:rsidRPr="000676EF" w:rsidRDefault="000676EF" w:rsidP="00C80BBD">
              <w:pPr>
                <w:pStyle w:val="Encabezado"/>
                <w:spacing w:after="0"/>
                <w:ind w:right="-110"/>
                <w:contextualSpacing/>
                <w:jc w:val="center"/>
                <w:rPr>
                  <w:i/>
                  <w:iCs/>
                  <w:color w:val="5F2987"/>
                  <w:sz w:val="18"/>
                  <w:szCs w:val="18"/>
                  <w:lang w:val="es-ES"/>
                </w:rPr>
              </w:pPr>
              <w:r>
                <w:rPr>
                  <w:i/>
                  <w:iCs/>
                  <w:color w:val="5F2987"/>
                  <w:sz w:val="18"/>
                  <w:szCs w:val="18"/>
                  <w:lang w:val="es-ES"/>
                </w:rPr>
                <w:t>Imposición y oferta. Efectos incentivo de los impuestos.</w:t>
              </w:r>
            </w:p>
          </w:sdtContent>
        </w:sdt>
      </w:tc>
      <w:sdt>
        <w:sdtPr>
          <w:rPr>
            <w:b/>
            <w:bCs/>
            <w:i/>
            <w:iCs/>
            <w:color w:val="5F2987"/>
            <w:spacing w:val="-6"/>
            <w:sz w:val="18"/>
            <w:szCs w:val="18"/>
          </w:rPr>
          <w:alias w:val="Author"/>
          <w:tag w:val=""/>
          <w:id w:val="-415790074"/>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FD2FA95" w14:textId="26B93A7A" w:rsidR="000676EF" w:rsidRPr="00C44422" w:rsidRDefault="000676EF"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73"/>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676EF" w:rsidRPr="00BE1B62" w14:paraId="31DCD35E" w14:textId="77777777" w:rsidTr="00726148">
      <w:tc>
        <w:tcPr>
          <w:tcW w:w="3261" w:type="dxa"/>
          <w:tcBorders>
            <w:bottom w:val="thickThinSmallGap" w:sz="12" w:space="0" w:color="5F2987"/>
          </w:tcBorders>
        </w:tcPr>
        <w:p w14:paraId="2A3644CA" w14:textId="5F0DF714" w:rsidR="000676EF" w:rsidRPr="000676EF" w:rsidRDefault="000676EF" w:rsidP="00382937">
          <w:pPr>
            <w:pStyle w:val="Encabezado"/>
            <w:spacing w:after="0"/>
            <w:jc w:val="left"/>
            <w:rPr>
              <w:i/>
              <w:iCs/>
              <w:color w:val="5F2987"/>
              <w:spacing w:val="-6"/>
              <w:sz w:val="18"/>
              <w:szCs w:val="18"/>
              <w:lang w:val="es-ES"/>
            </w:rPr>
          </w:pPr>
          <w:r w:rsidRPr="000676EF">
            <w:rPr>
              <w:i/>
              <w:iCs/>
              <w:color w:val="5F2987"/>
              <w:spacing w:val="-6"/>
              <w:sz w:val="14"/>
              <w:szCs w:val="14"/>
              <w:lang w:val="es-ES"/>
            </w:rPr>
            <w:t>Fecha de la última actualización:</w:t>
          </w:r>
          <w:r w:rsidRPr="000676EF">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4626ED">
            <w:rPr>
              <w:i/>
              <w:iCs/>
              <w:noProof/>
              <w:color w:val="5F2987"/>
              <w:spacing w:val="-6"/>
              <w:sz w:val="18"/>
              <w:szCs w:val="18"/>
            </w:rPr>
            <w:t>16/01/2026</w:t>
          </w:r>
          <w:r>
            <w:rPr>
              <w:i/>
              <w:iCs/>
              <w:color w:val="5F2987"/>
              <w:spacing w:val="-6"/>
              <w:sz w:val="18"/>
              <w:szCs w:val="18"/>
            </w:rPr>
            <w:fldChar w:fldCharType="end"/>
          </w:r>
        </w:p>
      </w:tc>
      <w:tc>
        <w:tcPr>
          <w:tcW w:w="4819" w:type="dxa"/>
          <w:tcBorders>
            <w:bottom w:val="thickThinSmallGap" w:sz="12" w:space="0" w:color="5F2987"/>
          </w:tcBorders>
        </w:tcPr>
        <w:p w14:paraId="7EF9C043" w14:textId="77777777" w:rsidR="000676EF" w:rsidRPr="000676EF" w:rsidRDefault="000676EF" w:rsidP="00382937">
          <w:pPr>
            <w:pStyle w:val="Encabezado"/>
            <w:spacing w:after="0"/>
            <w:jc w:val="center"/>
            <w:rPr>
              <w:i/>
              <w:iCs/>
              <w:color w:val="5F2987"/>
              <w:spacing w:val="-6"/>
              <w:sz w:val="18"/>
              <w:szCs w:val="18"/>
              <w:lang w:val="es-ES"/>
            </w:rPr>
          </w:pPr>
          <w:r w:rsidRPr="000676EF">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338DC554F6914391B56650E243F6657D"/>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E51C419" w14:textId="7BFA35A7" w:rsidR="000676EF" w:rsidRPr="000676EF" w:rsidRDefault="000676EF" w:rsidP="00382937">
              <w:pPr>
                <w:pStyle w:val="Encabezado"/>
                <w:spacing w:after="0"/>
                <w:jc w:val="right"/>
                <w:rPr>
                  <w:i/>
                  <w:iCs/>
                  <w:color w:val="5F2987"/>
                  <w:spacing w:val="-6"/>
                  <w:sz w:val="18"/>
                  <w:szCs w:val="18"/>
                  <w:lang w:val="es-ES"/>
                </w:rPr>
              </w:pPr>
              <w:r>
                <w:rPr>
                  <w:i/>
                  <w:iCs/>
                  <w:color w:val="5F2987"/>
                  <w:spacing w:val="-6"/>
                  <w:sz w:val="20"/>
                  <w:szCs w:val="20"/>
                  <w:lang w:val="es-ES"/>
                </w:rPr>
                <w:t>4.B.11</w:t>
              </w:r>
            </w:p>
          </w:tc>
        </w:sdtContent>
      </w:sdt>
    </w:tr>
  </w:tbl>
  <w:p w14:paraId="7FA58048" w14:textId="77777777" w:rsidR="000676EF" w:rsidRPr="00C80BBD" w:rsidRDefault="000676EF"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24619"/>
    <w:multiLevelType w:val="hybridMultilevel"/>
    <w:tmpl w:val="91724A0A"/>
    <w:lvl w:ilvl="0" w:tplc="FFFFFFFF">
      <w:start w:val="1"/>
      <w:numFmt w:val="lowerRoman"/>
      <w:lvlText w:val="%1."/>
      <w:lvlJc w:val="right"/>
      <w:pPr>
        <w:ind w:left="1429" w:hanging="360"/>
      </w:pPr>
      <w:rPr>
        <w:i/>
        <w:iCs/>
      </w:rPr>
    </w:lvl>
    <w:lvl w:ilvl="1" w:tplc="FFFFFFFF">
      <w:start w:val="1"/>
      <w:numFmt w:val="lowerLetter"/>
      <w:lvlText w:val="%2."/>
      <w:lvlJc w:val="left"/>
      <w:pPr>
        <w:ind w:left="2149" w:hanging="360"/>
      </w:pPr>
    </w:lvl>
    <w:lvl w:ilvl="2" w:tplc="FFFFFFFF">
      <w:start w:val="1"/>
      <w:numFmt w:val="lowerRoman"/>
      <w:lvlText w:val="%3."/>
      <w:lvlJc w:val="right"/>
      <w:pPr>
        <w:ind w:left="2869" w:hanging="180"/>
      </w:pPr>
      <w:rPr>
        <w:i/>
        <w:iCs/>
      </w:rPr>
    </w:lvl>
    <w:lvl w:ilvl="3" w:tplc="0D68C970">
      <w:start w:val="1"/>
      <w:numFmt w:val="lowerLetter"/>
      <w:lvlText w:val="%4)"/>
      <w:lvlJc w:val="right"/>
      <w:pPr>
        <w:ind w:left="3589" w:hanging="360"/>
      </w:pPr>
      <w:rPr>
        <w:rFonts w:hint="default"/>
        <w:i/>
        <w:iCs/>
      </w:rPr>
    </w:lvl>
    <w:lvl w:ilvl="4" w:tplc="FFFFFFFF">
      <w:start w:val="1"/>
      <w:numFmt w:val="lowerLetter"/>
      <w:lvlText w:val="%5."/>
      <w:lvlJc w:val="left"/>
      <w:pPr>
        <w:ind w:left="4309" w:hanging="360"/>
      </w:pPr>
    </w:lvl>
    <w:lvl w:ilvl="5" w:tplc="C7FC8860">
      <w:start w:val="1"/>
      <w:numFmt w:val="lowerRoman"/>
      <w:lvlText w:val="%6)"/>
      <w:lvlJc w:val="right"/>
      <w:pPr>
        <w:ind w:left="5569" w:hanging="720"/>
      </w:pPr>
      <w:rPr>
        <w:rFonts w:hint="default"/>
        <w:i/>
      </w:rPr>
    </w:lvl>
    <w:lvl w:ilvl="6" w:tplc="52F85884">
      <w:start w:val="1"/>
      <w:numFmt w:val="decimal"/>
      <w:lvlText w:val="%7)"/>
      <w:lvlJc w:val="left"/>
      <w:pPr>
        <w:ind w:left="5749" w:hanging="360"/>
      </w:pPr>
      <w:rPr>
        <w:rFonts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start w:val="1"/>
      <w:numFmt w:val="lowerRoman"/>
      <w:lvlText w:val="%6."/>
      <w:lvlJc w:val="right"/>
      <w:pPr>
        <w:ind w:left="5029" w:hanging="180"/>
      </w:pPr>
    </w:lvl>
    <w:lvl w:ilvl="6" w:tplc="0C0A000F">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8B65A57"/>
    <w:multiLevelType w:val="hybridMultilevel"/>
    <w:tmpl w:val="69C29C5C"/>
    <w:lvl w:ilvl="0" w:tplc="0D68C970">
      <w:start w:val="1"/>
      <w:numFmt w:val="lowerLetter"/>
      <w:lvlText w:val="%1)"/>
      <w:lvlJc w:val="right"/>
      <w:pPr>
        <w:ind w:left="3049" w:hanging="360"/>
      </w:pPr>
      <w:rPr>
        <w:rFonts w:hint="default"/>
        <w:i/>
        <w:iCs/>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6" w15:restartNumberingAfterBreak="0">
    <w:nsid w:val="0CD62DB8"/>
    <w:multiLevelType w:val="hybridMultilevel"/>
    <w:tmpl w:val="117CFE5C"/>
    <w:lvl w:ilvl="0" w:tplc="FFFFFFFF">
      <w:start w:val="1"/>
      <w:numFmt w:val="lowerRoman"/>
      <w:lvlText w:val="%1."/>
      <w:lvlJc w:val="right"/>
      <w:pPr>
        <w:ind w:left="720" w:hanging="360"/>
      </w:pPr>
      <w:rPr>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C66657"/>
    <w:multiLevelType w:val="hybridMultilevel"/>
    <w:tmpl w:val="A2FAD2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6B8358A"/>
    <w:multiLevelType w:val="hybridMultilevel"/>
    <w:tmpl w:val="00B8D74E"/>
    <w:lvl w:ilvl="0" w:tplc="8B30455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6" w15:restartNumberingAfterBreak="0">
    <w:nsid w:val="2AC33B45"/>
    <w:multiLevelType w:val="hybridMultilevel"/>
    <w:tmpl w:val="3408A168"/>
    <w:lvl w:ilvl="0" w:tplc="BC3CF9E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317A40A7"/>
    <w:multiLevelType w:val="hybridMultilevel"/>
    <w:tmpl w:val="E202223E"/>
    <w:lvl w:ilvl="0" w:tplc="EDF69E1C">
      <w:start w:val="1"/>
      <w:numFmt w:val="lowerLetter"/>
      <w:lvlText w:val="%1."/>
      <w:lvlJc w:val="left"/>
      <w:pPr>
        <w:ind w:left="2149" w:hanging="360"/>
      </w:pPr>
      <w:rPr>
        <w:i/>
        <w:iCs/>
      </w:rPr>
    </w:lvl>
    <w:lvl w:ilvl="1" w:tplc="0C0A0019" w:tentative="1">
      <w:start w:val="1"/>
      <w:numFmt w:val="lowerLetter"/>
      <w:lvlText w:val="%2."/>
      <w:lvlJc w:val="left"/>
      <w:pPr>
        <w:ind w:left="2869" w:hanging="360"/>
      </w:pPr>
    </w:lvl>
    <w:lvl w:ilvl="2" w:tplc="0C0A001B" w:tentative="1">
      <w:start w:val="1"/>
      <w:numFmt w:val="lowerRoman"/>
      <w:lvlText w:val="%3."/>
      <w:lvlJc w:val="right"/>
      <w:pPr>
        <w:ind w:left="3589" w:hanging="180"/>
      </w:pPr>
    </w:lvl>
    <w:lvl w:ilvl="3" w:tplc="0C0A000F" w:tentative="1">
      <w:start w:val="1"/>
      <w:numFmt w:val="decimal"/>
      <w:lvlText w:val="%4."/>
      <w:lvlJc w:val="left"/>
      <w:pPr>
        <w:ind w:left="4309" w:hanging="360"/>
      </w:pPr>
    </w:lvl>
    <w:lvl w:ilvl="4" w:tplc="0C0A0019" w:tentative="1">
      <w:start w:val="1"/>
      <w:numFmt w:val="lowerLetter"/>
      <w:lvlText w:val="%5."/>
      <w:lvlJc w:val="left"/>
      <w:pPr>
        <w:ind w:left="5029" w:hanging="360"/>
      </w:pPr>
    </w:lvl>
    <w:lvl w:ilvl="5" w:tplc="0C0A001B" w:tentative="1">
      <w:start w:val="1"/>
      <w:numFmt w:val="lowerRoman"/>
      <w:lvlText w:val="%6."/>
      <w:lvlJc w:val="right"/>
      <w:pPr>
        <w:ind w:left="5749" w:hanging="180"/>
      </w:pPr>
    </w:lvl>
    <w:lvl w:ilvl="6" w:tplc="0C0A000F" w:tentative="1">
      <w:start w:val="1"/>
      <w:numFmt w:val="decimal"/>
      <w:lvlText w:val="%7."/>
      <w:lvlJc w:val="left"/>
      <w:pPr>
        <w:ind w:left="6469" w:hanging="360"/>
      </w:pPr>
    </w:lvl>
    <w:lvl w:ilvl="7" w:tplc="0C0A0019" w:tentative="1">
      <w:start w:val="1"/>
      <w:numFmt w:val="lowerLetter"/>
      <w:lvlText w:val="%8."/>
      <w:lvlJc w:val="left"/>
      <w:pPr>
        <w:ind w:left="7189" w:hanging="360"/>
      </w:pPr>
    </w:lvl>
    <w:lvl w:ilvl="8" w:tplc="0C0A001B" w:tentative="1">
      <w:start w:val="1"/>
      <w:numFmt w:val="lowerRoman"/>
      <w:lvlText w:val="%9."/>
      <w:lvlJc w:val="right"/>
      <w:pPr>
        <w:ind w:left="7909" w:hanging="180"/>
      </w:pPr>
    </w:lvl>
  </w:abstractNum>
  <w:abstractNum w:abstractNumId="29"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8D760E5"/>
    <w:multiLevelType w:val="hybridMultilevel"/>
    <w:tmpl w:val="7F8EE540"/>
    <w:lvl w:ilvl="0" w:tplc="C0C4A19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A0B6729"/>
    <w:multiLevelType w:val="hybridMultilevel"/>
    <w:tmpl w:val="09A2C918"/>
    <w:lvl w:ilvl="0" w:tplc="35C895C2">
      <w:start w:val="1"/>
      <w:numFmt w:val="lowerRoman"/>
      <w:lvlText w:val="%1)"/>
      <w:lvlJc w:val="right"/>
      <w:pPr>
        <w:ind w:left="1353" w:hanging="360"/>
      </w:pPr>
      <w:rPr>
        <w:rFonts w:eastAsiaTheme="minorHAnsi" w:hint="default"/>
        <w:i/>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3"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6601F5E"/>
    <w:multiLevelType w:val="hybridMultilevel"/>
    <w:tmpl w:val="1B3AFF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750058E"/>
    <w:multiLevelType w:val="hybridMultilevel"/>
    <w:tmpl w:val="941EEC5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F221FC4"/>
    <w:multiLevelType w:val="hybridMultilevel"/>
    <w:tmpl w:val="99BA04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0FB7C1A"/>
    <w:multiLevelType w:val="multilevel"/>
    <w:tmpl w:val="0809001D"/>
    <w:numStyleLink w:val="Lista1"/>
  </w:abstractNum>
  <w:abstractNum w:abstractNumId="39"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B443D7"/>
    <w:multiLevelType w:val="hybridMultilevel"/>
    <w:tmpl w:val="B7E20964"/>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6"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43436EE"/>
    <w:multiLevelType w:val="hybridMultilevel"/>
    <w:tmpl w:val="84EA8570"/>
    <w:lvl w:ilvl="0" w:tplc="BEF4242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8AD688F"/>
    <w:multiLevelType w:val="hybridMultilevel"/>
    <w:tmpl w:val="EAF8AD9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2"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3"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861385514">
    <w:abstractNumId w:val="22"/>
  </w:num>
  <w:num w:numId="2" w16cid:durableId="116798831">
    <w:abstractNumId w:val="27"/>
  </w:num>
  <w:num w:numId="3" w16cid:durableId="411850224">
    <w:abstractNumId w:val="20"/>
  </w:num>
  <w:num w:numId="4" w16cid:durableId="563298394">
    <w:abstractNumId w:val="14"/>
  </w:num>
  <w:num w:numId="5" w16cid:durableId="129901494">
    <w:abstractNumId w:val="46"/>
  </w:num>
  <w:num w:numId="6" w16cid:durableId="871848392">
    <w:abstractNumId w:val="11"/>
  </w:num>
  <w:num w:numId="7" w16cid:durableId="552354888">
    <w:abstractNumId w:val="40"/>
  </w:num>
  <w:num w:numId="8" w16cid:durableId="1055010191">
    <w:abstractNumId w:val="21"/>
  </w:num>
  <w:num w:numId="9" w16cid:durableId="252904480">
    <w:abstractNumId w:val="17"/>
  </w:num>
  <w:num w:numId="10" w16cid:durableId="1949464075">
    <w:abstractNumId w:val="37"/>
  </w:num>
  <w:num w:numId="11" w16cid:durableId="1488545940">
    <w:abstractNumId w:val="35"/>
  </w:num>
  <w:num w:numId="12" w16cid:durableId="937327828">
    <w:abstractNumId w:val="36"/>
  </w:num>
  <w:num w:numId="13" w16cid:durableId="583993544">
    <w:abstractNumId w:val="33"/>
  </w:num>
  <w:num w:numId="14" w16cid:durableId="354354762">
    <w:abstractNumId w:val="47"/>
  </w:num>
  <w:num w:numId="15" w16cid:durableId="1671911660">
    <w:abstractNumId w:val="15"/>
  </w:num>
  <w:num w:numId="16" w16cid:durableId="196352726">
    <w:abstractNumId w:val="48"/>
  </w:num>
  <w:num w:numId="17" w16cid:durableId="723483658">
    <w:abstractNumId w:val="53"/>
  </w:num>
  <w:num w:numId="18" w16cid:durableId="1745643295">
    <w:abstractNumId w:val="52"/>
  </w:num>
  <w:num w:numId="19" w16cid:durableId="1628662876">
    <w:abstractNumId w:val="23"/>
  </w:num>
  <w:num w:numId="20" w16cid:durableId="1311592643">
    <w:abstractNumId w:val="42"/>
  </w:num>
  <w:num w:numId="21" w16cid:durableId="70006707">
    <w:abstractNumId w:val="24"/>
  </w:num>
  <w:num w:numId="22" w16cid:durableId="170685151">
    <w:abstractNumId w:val="38"/>
  </w:num>
  <w:num w:numId="23" w16cid:durableId="384640329">
    <w:abstractNumId w:val="45"/>
  </w:num>
  <w:num w:numId="24" w16cid:durableId="228808743">
    <w:abstractNumId w:val="25"/>
  </w:num>
  <w:num w:numId="25" w16cid:durableId="510217875">
    <w:abstractNumId w:val="9"/>
  </w:num>
  <w:num w:numId="26" w16cid:durableId="540939199">
    <w:abstractNumId w:val="7"/>
  </w:num>
  <w:num w:numId="27" w16cid:durableId="1276521130">
    <w:abstractNumId w:val="6"/>
  </w:num>
  <w:num w:numId="28" w16cid:durableId="138038237">
    <w:abstractNumId w:val="5"/>
  </w:num>
  <w:num w:numId="29" w16cid:durableId="259414181">
    <w:abstractNumId w:val="4"/>
  </w:num>
  <w:num w:numId="30" w16cid:durableId="1837456698">
    <w:abstractNumId w:val="8"/>
  </w:num>
  <w:num w:numId="31" w16cid:durableId="1465469240">
    <w:abstractNumId w:val="3"/>
  </w:num>
  <w:num w:numId="32" w16cid:durableId="782379172">
    <w:abstractNumId w:val="2"/>
  </w:num>
  <w:num w:numId="33" w16cid:durableId="1670979396">
    <w:abstractNumId w:val="1"/>
  </w:num>
  <w:num w:numId="34" w16cid:durableId="750470261">
    <w:abstractNumId w:val="0"/>
  </w:num>
  <w:num w:numId="35" w16cid:durableId="1822112732">
    <w:abstractNumId w:val="51"/>
  </w:num>
  <w:num w:numId="36" w16cid:durableId="716441936">
    <w:abstractNumId w:val="31"/>
  </w:num>
  <w:num w:numId="37" w16cid:durableId="2122606156">
    <w:abstractNumId w:val="34"/>
  </w:num>
  <w:num w:numId="38" w16cid:durableId="7665390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87876842">
    <w:abstractNumId w:val="39"/>
  </w:num>
  <w:num w:numId="40" w16cid:durableId="194395470">
    <w:abstractNumId w:val="12"/>
  </w:num>
  <w:num w:numId="41" w16cid:durableId="596907767">
    <w:abstractNumId w:val="19"/>
  </w:num>
  <w:num w:numId="42" w16cid:durableId="1011831720">
    <w:abstractNumId w:val="44"/>
  </w:num>
  <w:num w:numId="43" w16cid:durableId="454641942">
    <w:abstractNumId w:val="29"/>
  </w:num>
  <w:num w:numId="44" w16cid:durableId="112331197">
    <w:abstractNumId w:val="41"/>
  </w:num>
  <w:num w:numId="45" w16cid:durableId="70007292">
    <w:abstractNumId w:val="16"/>
  </w:num>
  <w:num w:numId="46" w16cid:durableId="1494101417">
    <w:abstractNumId w:val="30"/>
  </w:num>
  <w:num w:numId="47" w16cid:durableId="1684093849">
    <w:abstractNumId w:val="49"/>
  </w:num>
  <w:num w:numId="48" w16cid:durableId="625357777">
    <w:abstractNumId w:val="18"/>
  </w:num>
  <w:num w:numId="49" w16cid:durableId="362021654">
    <w:abstractNumId w:val="26"/>
  </w:num>
  <w:num w:numId="50" w16cid:durableId="848955300">
    <w:abstractNumId w:val="43"/>
  </w:num>
  <w:num w:numId="51" w16cid:durableId="775754382">
    <w:abstractNumId w:val="50"/>
  </w:num>
  <w:num w:numId="52" w16cid:durableId="2061318313">
    <w:abstractNumId w:val="10"/>
  </w:num>
  <w:num w:numId="53" w16cid:durableId="63188781">
    <w:abstractNumId w:val="45"/>
    <w:lvlOverride w:ilvl="0">
      <w:startOverride w:val="1"/>
    </w:lvlOverride>
  </w:num>
  <w:num w:numId="54" w16cid:durableId="1190951705">
    <w:abstractNumId w:val="28"/>
  </w:num>
  <w:num w:numId="55" w16cid:durableId="1752239582">
    <w:abstractNumId w:val="32"/>
  </w:num>
  <w:num w:numId="56" w16cid:durableId="1727991608">
    <w:abstractNumId w:val="13"/>
  </w:num>
  <w:num w:numId="57" w16cid:durableId="84227596">
    <w:abstractNumId w:val="4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47C"/>
    <w:rsid w:val="000007BD"/>
    <w:rsid w:val="00001448"/>
    <w:rsid w:val="0000166E"/>
    <w:rsid w:val="000016E3"/>
    <w:rsid w:val="00001E3D"/>
    <w:rsid w:val="000023C4"/>
    <w:rsid w:val="00002A09"/>
    <w:rsid w:val="00002B76"/>
    <w:rsid w:val="00002E3A"/>
    <w:rsid w:val="00002E77"/>
    <w:rsid w:val="00002EB6"/>
    <w:rsid w:val="000032B1"/>
    <w:rsid w:val="000036C0"/>
    <w:rsid w:val="00003A25"/>
    <w:rsid w:val="000040EA"/>
    <w:rsid w:val="00004264"/>
    <w:rsid w:val="000048B9"/>
    <w:rsid w:val="000051EF"/>
    <w:rsid w:val="000053F9"/>
    <w:rsid w:val="00005501"/>
    <w:rsid w:val="00005F38"/>
    <w:rsid w:val="00005F55"/>
    <w:rsid w:val="00006470"/>
    <w:rsid w:val="0000663D"/>
    <w:rsid w:val="000066BD"/>
    <w:rsid w:val="000066C0"/>
    <w:rsid w:val="0000675F"/>
    <w:rsid w:val="0000696D"/>
    <w:rsid w:val="00006D3F"/>
    <w:rsid w:val="00006E30"/>
    <w:rsid w:val="000072C5"/>
    <w:rsid w:val="000073AA"/>
    <w:rsid w:val="000076BF"/>
    <w:rsid w:val="000077E2"/>
    <w:rsid w:val="00007F0E"/>
    <w:rsid w:val="00007FDF"/>
    <w:rsid w:val="00010D0C"/>
    <w:rsid w:val="000110EF"/>
    <w:rsid w:val="00011356"/>
    <w:rsid w:val="000115D9"/>
    <w:rsid w:val="00012701"/>
    <w:rsid w:val="000127D5"/>
    <w:rsid w:val="00012CD0"/>
    <w:rsid w:val="00012DA2"/>
    <w:rsid w:val="000138DD"/>
    <w:rsid w:val="00013A71"/>
    <w:rsid w:val="00013BF9"/>
    <w:rsid w:val="0001470D"/>
    <w:rsid w:val="0001569A"/>
    <w:rsid w:val="000157F5"/>
    <w:rsid w:val="00015997"/>
    <w:rsid w:val="000160C9"/>
    <w:rsid w:val="000161D0"/>
    <w:rsid w:val="00016574"/>
    <w:rsid w:val="0001668B"/>
    <w:rsid w:val="00017700"/>
    <w:rsid w:val="00017730"/>
    <w:rsid w:val="00017B40"/>
    <w:rsid w:val="00017C10"/>
    <w:rsid w:val="00017ED1"/>
    <w:rsid w:val="00020166"/>
    <w:rsid w:val="0002076A"/>
    <w:rsid w:val="00020816"/>
    <w:rsid w:val="00021052"/>
    <w:rsid w:val="00021279"/>
    <w:rsid w:val="000214D2"/>
    <w:rsid w:val="000218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A80"/>
    <w:rsid w:val="00024CD1"/>
    <w:rsid w:val="000254B1"/>
    <w:rsid w:val="00025A5C"/>
    <w:rsid w:val="00025C78"/>
    <w:rsid w:val="0002613E"/>
    <w:rsid w:val="00026C2A"/>
    <w:rsid w:val="00026E2C"/>
    <w:rsid w:val="000272EA"/>
    <w:rsid w:val="00027B20"/>
    <w:rsid w:val="00027DD5"/>
    <w:rsid w:val="00027DF3"/>
    <w:rsid w:val="00030BE9"/>
    <w:rsid w:val="00030F52"/>
    <w:rsid w:val="0003115D"/>
    <w:rsid w:val="0003122B"/>
    <w:rsid w:val="00031759"/>
    <w:rsid w:val="000317B6"/>
    <w:rsid w:val="000319FC"/>
    <w:rsid w:val="00031D49"/>
    <w:rsid w:val="000322BC"/>
    <w:rsid w:val="000329E8"/>
    <w:rsid w:val="00032AA1"/>
    <w:rsid w:val="00032AEA"/>
    <w:rsid w:val="00032E0F"/>
    <w:rsid w:val="00032EA1"/>
    <w:rsid w:val="00032EC1"/>
    <w:rsid w:val="00032ECC"/>
    <w:rsid w:val="0003313A"/>
    <w:rsid w:val="000335BC"/>
    <w:rsid w:val="000346B5"/>
    <w:rsid w:val="00034BC1"/>
    <w:rsid w:val="00035679"/>
    <w:rsid w:val="000361AA"/>
    <w:rsid w:val="00036EAA"/>
    <w:rsid w:val="00037286"/>
    <w:rsid w:val="0003746A"/>
    <w:rsid w:val="000379B1"/>
    <w:rsid w:val="00037BA7"/>
    <w:rsid w:val="00040429"/>
    <w:rsid w:val="00040C13"/>
    <w:rsid w:val="000411AD"/>
    <w:rsid w:val="0004175F"/>
    <w:rsid w:val="00041895"/>
    <w:rsid w:val="000419AD"/>
    <w:rsid w:val="00041A76"/>
    <w:rsid w:val="00041B86"/>
    <w:rsid w:val="00041BFD"/>
    <w:rsid w:val="000421C1"/>
    <w:rsid w:val="000423AB"/>
    <w:rsid w:val="00042696"/>
    <w:rsid w:val="00042922"/>
    <w:rsid w:val="00042973"/>
    <w:rsid w:val="00042DAB"/>
    <w:rsid w:val="00043363"/>
    <w:rsid w:val="00043790"/>
    <w:rsid w:val="000438E8"/>
    <w:rsid w:val="000439C9"/>
    <w:rsid w:val="00043AF6"/>
    <w:rsid w:val="00043B1C"/>
    <w:rsid w:val="00043E46"/>
    <w:rsid w:val="00043FA0"/>
    <w:rsid w:val="00044994"/>
    <w:rsid w:val="00044E0E"/>
    <w:rsid w:val="00044EEE"/>
    <w:rsid w:val="00045047"/>
    <w:rsid w:val="00045070"/>
    <w:rsid w:val="00045432"/>
    <w:rsid w:val="000454A5"/>
    <w:rsid w:val="000456D4"/>
    <w:rsid w:val="00045F40"/>
    <w:rsid w:val="00045FC7"/>
    <w:rsid w:val="00046894"/>
    <w:rsid w:val="00046ADE"/>
    <w:rsid w:val="00046E12"/>
    <w:rsid w:val="00046F0A"/>
    <w:rsid w:val="000472B2"/>
    <w:rsid w:val="000473BE"/>
    <w:rsid w:val="00047596"/>
    <w:rsid w:val="000478BB"/>
    <w:rsid w:val="00047F74"/>
    <w:rsid w:val="0005073C"/>
    <w:rsid w:val="000508D3"/>
    <w:rsid w:val="00051268"/>
    <w:rsid w:val="000515EB"/>
    <w:rsid w:val="00052224"/>
    <w:rsid w:val="00052AD8"/>
    <w:rsid w:val="00052D94"/>
    <w:rsid w:val="00052E5A"/>
    <w:rsid w:val="0005333B"/>
    <w:rsid w:val="00053393"/>
    <w:rsid w:val="00053540"/>
    <w:rsid w:val="00053645"/>
    <w:rsid w:val="00053B06"/>
    <w:rsid w:val="00053C54"/>
    <w:rsid w:val="00053CEF"/>
    <w:rsid w:val="00053FB0"/>
    <w:rsid w:val="0005436C"/>
    <w:rsid w:val="000545A3"/>
    <w:rsid w:val="000549AD"/>
    <w:rsid w:val="00054CB3"/>
    <w:rsid w:val="00055003"/>
    <w:rsid w:val="0005513E"/>
    <w:rsid w:val="0005534A"/>
    <w:rsid w:val="00055409"/>
    <w:rsid w:val="00056131"/>
    <w:rsid w:val="00056419"/>
    <w:rsid w:val="000567DF"/>
    <w:rsid w:val="0005681F"/>
    <w:rsid w:val="00056F79"/>
    <w:rsid w:val="000570D0"/>
    <w:rsid w:val="0005794D"/>
    <w:rsid w:val="00057DBD"/>
    <w:rsid w:val="00060010"/>
    <w:rsid w:val="00060148"/>
    <w:rsid w:val="000601B9"/>
    <w:rsid w:val="000603B8"/>
    <w:rsid w:val="00060B47"/>
    <w:rsid w:val="000612D3"/>
    <w:rsid w:val="00061379"/>
    <w:rsid w:val="00061865"/>
    <w:rsid w:val="0006187D"/>
    <w:rsid w:val="000621FB"/>
    <w:rsid w:val="00062584"/>
    <w:rsid w:val="00062667"/>
    <w:rsid w:val="00062B55"/>
    <w:rsid w:val="00063066"/>
    <w:rsid w:val="0006321F"/>
    <w:rsid w:val="00063852"/>
    <w:rsid w:val="00064985"/>
    <w:rsid w:val="000649BE"/>
    <w:rsid w:val="00064AA9"/>
    <w:rsid w:val="00065961"/>
    <w:rsid w:val="00065B51"/>
    <w:rsid w:val="00065D5E"/>
    <w:rsid w:val="00065F29"/>
    <w:rsid w:val="00066999"/>
    <w:rsid w:val="00066AD2"/>
    <w:rsid w:val="00066DB4"/>
    <w:rsid w:val="00066EA5"/>
    <w:rsid w:val="000675E4"/>
    <w:rsid w:val="000676EF"/>
    <w:rsid w:val="0007015B"/>
    <w:rsid w:val="00070191"/>
    <w:rsid w:val="000705E3"/>
    <w:rsid w:val="00070AB1"/>
    <w:rsid w:val="00070C1B"/>
    <w:rsid w:val="0007141A"/>
    <w:rsid w:val="00071619"/>
    <w:rsid w:val="0007194A"/>
    <w:rsid w:val="00072504"/>
    <w:rsid w:val="0007259E"/>
    <w:rsid w:val="000725F5"/>
    <w:rsid w:val="00073758"/>
    <w:rsid w:val="000745FB"/>
    <w:rsid w:val="0007480F"/>
    <w:rsid w:val="00074AAF"/>
    <w:rsid w:val="0007508F"/>
    <w:rsid w:val="000757E7"/>
    <w:rsid w:val="00075EBE"/>
    <w:rsid w:val="00076382"/>
    <w:rsid w:val="000764AD"/>
    <w:rsid w:val="00076B08"/>
    <w:rsid w:val="0007702B"/>
    <w:rsid w:val="0007729D"/>
    <w:rsid w:val="00077DFE"/>
    <w:rsid w:val="00081B23"/>
    <w:rsid w:val="00082C9E"/>
    <w:rsid w:val="0008375E"/>
    <w:rsid w:val="00084408"/>
    <w:rsid w:val="00085177"/>
    <w:rsid w:val="00085FC9"/>
    <w:rsid w:val="0008688A"/>
    <w:rsid w:val="00086893"/>
    <w:rsid w:val="00086A82"/>
    <w:rsid w:val="00087BA9"/>
    <w:rsid w:val="00090006"/>
    <w:rsid w:val="0009025A"/>
    <w:rsid w:val="00090C80"/>
    <w:rsid w:val="00091307"/>
    <w:rsid w:val="00091BDA"/>
    <w:rsid w:val="00091DC2"/>
    <w:rsid w:val="000927C7"/>
    <w:rsid w:val="00092EA7"/>
    <w:rsid w:val="00093C52"/>
    <w:rsid w:val="00094FE7"/>
    <w:rsid w:val="000954D2"/>
    <w:rsid w:val="000956BF"/>
    <w:rsid w:val="00095F6E"/>
    <w:rsid w:val="00096069"/>
    <w:rsid w:val="00096521"/>
    <w:rsid w:val="000968C5"/>
    <w:rsid w:val="00096C51"/>
    <w:rsid w:val="00096DFA"/>
    <w:rsid w:val="0009707D"/>
    <w:rsid w:val="000974BE"/>
    <w:rsid w:val="00097953"/>
    <w:rsid w:val="000979F7"/>
    <w:rsid w:val="000A00F4"/>
    <w:rsid w:val="000A0126"/>
    <w:rsid w:val="000A0643"/>
    <w:rsid w:val="000A11D2"/>
    <w:rsid w:val="000A12DC"/>
    <w:rsid w:val="000A16CE"/>
    <w:rsid w:val="000A1BE4"/>
    <w:rsid w:val="000A1D85"/>
    <w:rsid w:val="000A27FB"/>
    <w:rsid w:val="000A280C"/>
    <w:rsid w:val="000A2927"/>
    <w:rsid w:val="000A2C6B"/>
    <w:rsid w:val="000A312B"/>
    <w:rsid w:val="000A3861"/>
    <w:rsid w:val="000A39AE"/>
    <w:rsid w:val="000A3EEA"/>
    <w:rsid w:val="000A442B"/>
    <w:rsid w:val="000A454A"/>
    <w:rsid w:val="000A5531"/>
    <w:rsid w:val="000A554E"/>
    <w:rsid w:val="000A6519"/>
    <w:rsid w:val="000A6528"/>
    <w:rsid w:val="000A6D52"/>
    <w:rsid w:val="000A6DE8"/>
    <w:rsid w:val="000A6F27"/>
    <w:rsid w:val="000A6FA7"/>
    <w:rsid w:val="000A73E3"/>
    <w:rsid w:val="000A7DBE"/>
    <w:rsid w:val="000A7E52"/>
    <w:rsid w:val="000B0054"/>
    <w:rsid w:val="000B0096"/>
    <w:rsid w:val="000B0BAE"/>
    <w:rsid w:val="000B11F8"/>
    <w:rsid w:val="000B133D"/>
    <w:rsid w:val="000B15D8"/>
    <w:rsid w:val="000B19FF"/>
    <w:rsid w:val="000B1C3E"/>
    <w:rsid w:val="000B1D8F"/>
    <w:rsid w:val="000B1E8A"/>
    <w:rsid w:val="000B2526"/>
    <w:rsid w:val="000B30E2"/>
    <w:rsid w:val="000B3B89"/>
    <w:rsid w:val="000B3C7C"/>
    <w:rsid w:val="000B41CD"/>
    <w:rsid w:val="000B45BE"/>
    <w:rsid w:val="000B4B3B"/>
    <w:rsid w:val="000B5B11"/>
    <w:rsid w:val="000B6476"/>
    <w:rsid w:val="000B656A"/>
    <w:rsid w:val="000B69FA"/>
    <w:rsid w:val="000B7003"/>
    <w:rsid w:val="000B7180"/>
    <w:rsid w:val="000B7442"/>
    <w:rsid w:val="000B744C"/>
    <w:rsid w:val="000B7548"/>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35A6"/>
    <w:rsid w:val="000C3DC2"/>
    <w:rsid w:val="000C3FA8"/>
    <w:rsid w:val="000C4B4C"/>
    <w:rsid w:val="000C4FD1"/>
    <w:rsid w:val="000C56EF"/>
    <w:rsid w:val="000C675D"/>
    <w:rsid w:val="000C703F"/>
    <w:rsid w:val="000C74CB"/>
    <w:rsid w:val="000C762E"/>
    <w:rsid w:val="000C76CF"/>
    <w:rsid w:val="000C7AB9"/>
    <w:rsid w:val="000D010B"/>
    <w:rsid w:val="000D097C"/>
    <w:rsid w:val="000D0FDC"/>
    <w:rsid w:val="000D1552"/>
    <w:rsid w:val="000D18D7"/>
    <w:rsid w:val="000D22F9"/>
    <w:rsid w:val="000D2489"/>
    <w:rsid w:val="000D2E97"/>
    <w:rsid w:val="000D324F"/>
    <w:rsid w:val="000D329E"/>
    <w:rsid w:val="000D32D7"/>
    <w:rsid w:val="000D3789"/>
    <w:rsid w:val="000D4047"/>
    <w:rsid w:val="000D48CB"/>
    <w:rsid w:val="000D4E26"/>
    <w:rsid w:val="000D5122"/>
    <w:rsid w:val="000D530C"/>
    <w:rsid w:val="000D5388"/>
    <w:rsid w:val="000D5511"/>
    <w:rsid w:val="000D5658"/>
    <w:rsid w:val="000D79D9"/>
    <w:rsid w:val="000D7B09"/>
    <w:rsid w:val="000D7D1F"/>
    <w:rsid w:val="000D7FAC"/>
    <w:rsid w:val="000E0204"/>
    <w:rsid w:val="000E0527"/>
    <w:rsid w:val="000E0D36"/>
    <w:rsid w:val="000E1061"/>
    <w:rsid w:val="000E112F"/>
    <w:rsid w:val="000E1335"/>
    <w:rsid w:val="000E140A"/>
    <w:rsid w:val="000E144E"/>
    <w:rsid w:val="000E1949"/>
    <w:rsid w:val="000E1A81"/>
    <w:rsid w:val="000E23AA"/>
    <w:rsid w:val="000E23EA"/>
    <w:rsid w:val="000E39AF"/>
    <w:rsid w:val="000E3E9D"/>
    <w:rsid w:val="000E47C9"/>
    <w:rsid w:val="000E48DC"/>
    <w:rsid w:val="000E49B1"/>
    <w:rsid w:val="000E537D"/>
    <w:rsid w:val="000E599F"/>
    <w:rsid w:val="000E5A0A"/>
    <w:rsid w:val="000E5A42"/>
    <w:rsid w:val="000E623E"/>
    <w:rsid w:val="000E630F"/>
    <w:rsid w:val="000E65E9"/>
    <w:rsid w:val="000E6621"/>
    <w:rsid w:val="000E6FA0"/>
    <w:rsid w:val="000E7029"/>
    <w:rsid w:val="000E70A6"/>
    <w:rsid w:val="000E7B38"/>
    <w:rsid w:val="000F05E1"/>
    <w:rsid w:val="000F0914"/>
    <w:rsid w:val="000F0B43"/>
    <w:rsid w:val="000F12C9"/>
    <w:rsid w:val="000F12FD"/>
    <w:rsid w:val="000F1641"/>
    <w:rsid w:val="000F2B38"/>
    <w:rsid w:val="000F41A6"/>
    <w:rsid w:val="000F430C"/>
    <w:rsid w:val="000F51DA"/>
    <w:rsid w:val="000F5222"/>
    <w:rsid w:val="000F57A9"/>
    <w:rsid w:val="000F57CE"/>
    <w:rsid w:val="000F58E0"/>
    <w:rsid w:val="000F591C"/>
    <w:rsid w:val="000F595B"/>
    <w:rsid w:val="000F5E3F"/>
    <w:rsid w:val="000F6025"/>
    <w:rsid w:val="000F6E15"/>
    <w:rsid w:val="000F7357"/>
    <w:rsid w:val="000F75ED"/>
    <w:rsid w:val="000F79E6"/>
    <w:rsid w:val="000F7F30"/>
    <w:rsid w:val="001002DD"/>
    <w:rsid w:val="00100DE1"/>
    <w:rsid w:val="00101138"/>
    <w:rsid w:val="00101768"/>
    <w:rsid w:val="00101A75"/>
    <w:rsid w:val="00101CA5"/>
    <w:rsid w:val="001025D7"/>
    <w:rsid w:val="001033DC"/>
    <w:rsid w:val="00103552"/>
    <w:rsid w:val="001039D3"/>
    <w:rsid w:val="00103C93"/>
    <w:rsid w:val="00103D94"/>
    <w:rsid w:val="00103FD3"/>
    <w:rsid w:val="00104262"/>
    <w:rsid w:val="00104428"/>
    <w:rsid w:val="00104A2E"/>
    <w:rsid w:val="00104A41"/>
    <w:rsid w:val="001061BE"/>
    <w:rsid w:val="001062F1"/>
    <w:rsid w:val="00106401"/>
    <w:rsid w:val="00106C24"/>
    <w:rsid w:val="00107791"/>
    <w:rsid w:val="00107C93"/>
    <w:rsid w:val="001100D5"/>
    <w:rsid w:val="00110A50"/>
    <w:rsid w:val="00110C5E"/>
    <w:rsid w:val="00110F36"/>
    <w:rsid w:val="00110FE6"/>
    <w:rsid w:val="0011118B"/>
    <w:rsid w:val="001111EE"/>
    <w:rsid w:val="00111DE2"/>
    <w:rsid w:val="00111F70"/>
    <w:rsid w:val="001123A7"/>
    <w:rsid w:val="00112A64"/>
    <w:rsid w:val="00113181"/>
    <w:rsid w:val="001138C0"/>
    <w:rsid w:val="001138F3"/>
    <w:rsid w:val="00113926"/>
    <w:rsid w:val="00113C92"/>
    <w:rsid w:val="00113F74"/>
    <w:rsid w:val="0011405A"/>
    <w:rsid w:val="00114105"/>
    <w:rsid w:val="00114121"/>
    <w:rsid w:val="00114156"/>
    <w:rsid w:val="00114458"/>
    <w:rsid w:val="00114E92"/>
    <w:rsid w:val="0011502D"/>
    <w:rsid w:val="001150C5"/>
    <w:rsid w:val="00115210"/>
    <w:rsid w:val="001152BD"/>
    <w:rsid w:val="00115D20"/>
    <w:rsid w:val="00115FDC"/>
    <w:rsid w:val="001164CB"/>
    <w:rsid w:val="001168B8"/>
    <w:rsid w:val="00116B7B"/>
    <w:rsid w:val="001170B7"/>
    <w:rsid w:val="00117B8A"/>
    <w:rsid w:val="001204C9"/>
    <w:rsid w:val="001205E1"/>
    <w:rsid w:val="0012126B"/>
    <w:rsid w:val="00121369"/>
    <w:rsid w:val="001221B5"/>
    <w:rsid w:val="00122278"/>
    <w:rsid w:val="00122371"/>
    <w:rsid w:val="00122900"/>
    <w:rsid w:val="00122936"/>
    <w:rsid w:val="00122AC6"/>
    <w:rsid w:val="00123AF0"/>
    <w:rsid w:val="001244FF"/>
    <w:rsid w:val="001247FA"/>
    <w:rsid w:val="001249B3"/>
    <w:rsid w:val="001249BE"/>
    <w:rsid w:val="00124E01"/>
    <w:rsid w:val="00125188"/>
    <w:rsid w:val="001258CD"/>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30361"/>
    <w:rsid w:val="001306CD"/>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82D"/>
    <w:rsid w:val="00134944"/>
    <w:rsid w:val="00134A8E"/>
    <w:rsid w:val="00134E18"/>
    <w:rsid w:val="001354B7"/>
    <w:rsid w:val="00135570"/>
    <w:rsid w:val="00135622"/>
    <w:rsid w:val="001356E5"/>
    <w:rsid w:val="0013573A"/>
    <w:rsid w:val="0013632D"/>
    <w:rsid w:val="00136690"/>
    <w:rsid w:val="001368E9"/>
    <w:rsid w:val="00136C70"/>
    <w:rsid w:val="001373DE"/>
    <w:rsid w:val="00137705"/>
    <w:rsid w:val="00137C0D"/>
    <w:rsid w:val="0014011B"/>
    <w:rsid w:val="00141AE8"/>
    <w:rsid w:val="00141E28"/>
    <w:rsid w:val="00142095"/>
    <w:rsid w:val="0014257D"/>
    <w:rsid w:val="00142BF8"/>
    <w:rsid w:val="0014336D"/>
    <w:rsid w:val="00143B41"/>
    <w:rsid w:val="00143F4A"/>
    <w:rsid w:val="00144545"/>
    <w:rsid w:val="0014462B"/>
    <w:rsid w:val="00144DAA"/>
    <w:rsid w:val="0014577B"/>
    <w:rsid w:val="001459B6"/>
    <w:rsid w:val="00145BD6"/>
    <w:rsid w:val="001463EC"/>
    <w:rsid w:val="001467B0"/>
    <w:rsid w:val="001468F2"/>
    <w:rsid w:val="00146924"/>
    <w:rsid w:val="00146ACA"/>
    <w:rsid w:val="00146D04"/>
    <w:rsid w:val="00147934"/>
    <w:rsid w:val="00147EAD"/>
    <w:rsid w:val="00147FDC"/>
    <w:rsid w:val="00150090"/>
    <w:rsid w:val="001516B3"/>
    <w:rsid w:val="00151742"/>
    <w:rsid w:val="0015199E"/>
    <w:rsid w:val="00151DA0"/>
    <w:rsid w:val="00152780"/>
    <w:rsid w:val="00153316"/>
    <w:rsid w:val="0015419A"/>
    <w:rsid w:val="0015430F"/>
    <w:rsid w:val="001545D6"/>
    <w:rsid w:val="00154E47"/>
    <w:rsid w:val="00154EE3"/>
    <w:rsid w:val="00155144"/>
    <w:rsid w:val="00155472"/>
    <w:rsid w:val="001555E0"/>
    <w:rsid w:val="001558F1"/>
    <w:rsid w:val="00155B6D"/>
    <w:rsid w:val="00155D0A"/>
    <w:rsid w:val="00155EE2"/>
    <w:rsid w:val="00156641"/>
    <w:rsid w:val="001567CD"/>
    <w:rsid w:val="001569BA"/>
    <w:rsid w:val="00156EFF"/>
    <w:rsid w:val="00156F36"/>
    <w:rsid w:val="001577A2"/>
    <w:rsid w:val="00157C44"/>
    <w:rsid w:val="00157DE8"/>
    <w:rsid w:val="00157E61"/>
    <w:rsid w:val="00160011"/>
    <w:rsid w:val="00160023"/>
    <w:rsid w:val="00160061"/>
    <w:rsid w:val="00160698"/>
    <w:rsid w:val="001606DB"/>
    <w:rsid w:val="00160842"/>
    <w:rsid w:val="00160A2E"/>
    <w:rsid w:val="00160CF7"/>
    <w:rsid w:val="00161146"/>
    <w:rsid w:val="00161F76"/>
    <w:rsid w:val="00163177"/>
    <w:rsid w:val="001633DA"/>
    <w:rsid w:val="001637CC"/>
    <w:rsid w:val="001639C2"/>
    <w:rsid w:val="00163DDF"/>
    <w:rsid w:val="00163E43"/>
    <w:rsid w:val="00164977"/>
    <w:rsid w:val="00164C6B"/>
    <w:rsid w:val="00164D68"/>
    <w:rsid w:val="00164E25"/>
    <w:rsid w:val="00164F52"/>
    <w:rsid w:val="001650FE"/>
    <w:rsid w:val="00165B3F"/>
    <w:rsid w:val="00165EAD"/>
    <w:rsid w:val="00166877"/>
    <w:rsid w:val="0016743E"/>
    <w:rsid w:val="00167DC8"/>
    <w:rsid w:val="00170321"/>
    <w:rsid w:val="001705BE"/>
    <w:rsid w:val="00171335"/>
    <w:rsid w:val="001713A2"/>
    <w:rsid w:val="001714B6"/>
    <w:rsid w:val="00171FA8"/>
    <w:rsid w:val="00172068"/>
    <w:rsid w:val="001726A4"/>
    <w:rsid w:val="001727E7"/>
    <w:rsid w:val="00173386"/>
    <w:rsid w:val="0017386A"/>
    <w:rsid w:val="001738A9"/>
    <w:rsid w:val="00173968"/>
    <w:rsid w:val="00173D3A"/>
    <w:rsid w:val="0017427D"/>
    <w:rsid w:val="0017486E"/>
    <w:rsid w:val="001749CC"/>
    <w:rsid w:val="00174A9E"/>
    <w:rsid w:val="001751AD"/>
    <w:rsid w:val="001757B8"/>
    <w:rsid w:val="00175FA4"/>
    <w:rsid w:val="00176A0F"/>
    <w:rsid w:val="0017709E"/>
    <w:rsid w:val="0017722C"/>
    <w:rsid w:val="0017763D"/>
    <w:rsid w:val="00177664"/>
    <w:rsid w:val="0017771E"/>
    <w:rsid w:val="00177836"/>
    <w:rsid w:val="001778CD"/>
    <w:rsid w:val="00177A61"/>
    <w:rsid w:val="00177D42"/>
    <w:rsid w:val="0018013F"/>
    <w:rsid w:val="00180335"/>
    <w:rsid w:val="001817E7"/>
    <w:rsid w:val="00181C36"/>
    <w:rsid w:val="00182034"/>
    <w:rsid w:val="0018219C"/>
    <w:rsid w:val="00182310"/>
    <w:rsid w:val="00182462"/>
    <w:rsid w:val="001829F1"/>
    <w:rsid w:val="00182AFD"/>
    <w:rsid w:val="00182CAE"/>
    <w:rsid w:val="00182F6F"/>
    <w:rsid w:val="00183427"/>
    <w:rsid w:val="00184D75"/>
    <w:rsid w:val="0018589E"/>
    <w:rsid w:val="00185961"/>
    <w:rsid w:val="001859B6"/>
    <w:rsid w:val="00185B9F"/>
    <w:rsid w:val="0018602C"/>
    <w:rsid w:val="0018673F"/>
    <w:rsid w:val="0018728D"/>
    <w:rsid w:val="001878DE"/>
    <w:rsid w:val="00190397"/>
    <w:rsid w:val="00190D02"/>
    <w:rsid w:val="00190F33"/>
    <w:rsid w:val="0019127C"/>
    <w:rsid w:val="00191285"/>
    <w:rsid w:val="00191311"/>
    <w:rsid w:val="001913DF"/>
    <w:rsid w:val="00191492"/>
    <w:rsid w:val="00192870"/>
    <w:rsid w:val="0019287E"/>
    <w:rsid w:val="00193069"/>
    <w:rsid w:val="001930F3"/>
    <w:rsid w:val="00193CB3"/>
    <w:rsid w:val="00193F15"/>
    <w:rsid w:val="0019468C"/>
    <w:rsid w:val="00194EAD"/>
    <w:rsid w:val="001953E5"/>
    <w:rsid w:val="00195400"/>
    <w:rsid w:val="001958A6"/>
    <w:rsid w:val="00195F6D"/>
    <w:rsid w:val="00196044"/>
    <w:rsid w:val="00196147"/>
    <w:rsid w:val="00196972"/>
    <w:rsid w:val="00196B4B"/>
    <w:rsid w:val="00196C5B"/>
    <w:rsid w:val="00197282"/>
    <w:rsid w:val="001A03F7"/>
    <w:rsid w:val="001A0631"/>
    <w:rsid w:val="001A06D9"/>
    <w:rsid w:val="001A09E4"/>
    <w:rsid w:val="001A0CAC"/>
    <w:rsid w:val="001A0FD0"/>
    <w:rsid w:val="001A1ABF"/>
    <w:rsid w:val="001A1B28"/>
    <w:rsid w:val="001A25CD"/>
    <w:rsid w:val="001A2639"/>
    <w:rsid w:val="001A2719"/>
    <w:rsid w:val="001A2890"/>
    <w:rsid w:val="001A2C96"/>
    <w:rsid w:val="001A37B6"/>
    <w:rsid w:val="001A388D"/>
    <w:rsid w:val="001A45AD"/>
    <w:rsid w:val="001A4BB3"/>
    <w:rsid w:val="001A5B6C"/>
    <w:rsid w:val="001A5CB2"/>
    <w:rsid w:val="001A5E4B"/>
    <w:rsid w:val="001A6380"/>
    <w:rsid w:val="001A67F5"/>
    <w:rsid w:val="001A6C6C"/>
    <w:rsid w:val="001A6FAD"/>
    <w:rsid w:val="001A729F"/>
    <w:rsid w:val="001A73E9"/>
    <w:rsid w:val="001A7844"/>
    <w:rsid w:val="001A7895"/>
    <w:rsid w:val="001A7B4D"/>
    <w:rsid w:val="001B074F"/>
    <w:rsid w:val="001B079C"/>
    <w:rsid w:val="001B111A"/>
    <w:rsid w:val="001B15CC"/>
    <w:rsid w:val="001B1E01"/>
    <w:rsid w:val="001B1FF4"/>
    <w:rsid w:val="001B22E1"/>
    <w:rsid w:val="001B23B4"/>
    <w:rsid w:val="001B26CF"/>
    <w:rsid w:val="001B2BA5"/>
    <w:rsid w:val="001B3038"/>
    <w:rsid w:val="001B3172"/>
    <w:rsid w:val="001B34E9"/>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236"/>
    <w:rsid w:val="001C2A5B"/>
    <w:rsid w:val="001C2CAD"/>
    <w:rsid w:val="001C2EE4"/>
    <w:rsid w:val="001C3046"/>
    <w:rsid w:val="001C3ACE"/>
    <w:rsid w:val="001C3B13"/>
    <w:rsid w:val="001C3D0B"/>
    <w:rsid w:val="001C3DB7"/>
    <w:rsid w:val="001C4500"/>
    <w:rsid w:val="001C4953"/>
    <w:rsid w:val="001C4BE4"/>
    <w:rsid w:val="001C4C26"/>
    <w:rsid w:val="001C4EA1"/>
    <w:rsid w:val="001C535E"/>
    <w:rsid w:val="001C6141"/>
    <w:rsid w:val="001C6951"/>
    <w:rsid w:val="001C7679"/>
    <w:rsid w:val="001C7721"/>
    <w:rsid w:val="001C7E0C"/>
    <w:rsid w:val="001D0351"/>
    <w:rsid w:val="001D22E5"/>
    <w:rsid w:val="001D2AD9"/>
    <w:rsid w:val="001D2E0E"/>
    <w:rsid w:val="001D2EA1"/>
    <w:rsid w:val="001D3725"/>
    <w:rsid w:val="001D391F"/>
    <w:rsid w:val="001D3C3D"/>
    <w:rsid w:val="001D3DEB"/>
    <w:rsid w:val="001D4096"/>
    <w:rsid w:val="001D4865"/>
    <w:rsid w:val="001D4E9B"/>
    <w:rsid w:val="001D559C"/>
    <w:rsid w:val="001D6930"/>
    <w:rsid w:val="001D6A97"/>
    <w:rsid w:val="001D6C3D"/>
    <w:rsid w:val="001D6EA3"/>
    <w:rsid w:val="001D73D5"/>
    <w:rsid w:val="001E014D"/>
    <w:rsid w:val="001E0354"/>
    <w:rsid w:val="001E03FE"/>
    <w:rsid w:val="001E0479"/>
    <w:rsid w:val="001E065A"/>
    <w:rsid w:val="001E0910"/>
    <w:rsid w:val="001E0D4E"/>
    <w:rsid w:val="001E11BE"/>
    <w:rsid w:val="001E12E2"/>
    <w:rsid w:val="001E14A2"/>
    <w:rsid w:val="001E1A52"/>
    <w:rsid w:val="001E1DA3"/>
    <w:rsid w:val="001E2164"/>
    <w:rsid w:val="001E2B9B"/>
    <w:rsid w:val="001E3D44"/>
    <w:rsid w:val="001E3ED4"/>
    <w:rsid w:val="001E53D9"/>
    <w:rsid w:val="001E5634"/>
    <w:rsid w:val="001E5BBB"/>
    <w:rsid w:val="001E603D"/>
    <w:rsid w:val="001E6095"/>
    <w:rsid w:val="001E65E6"/>
    <w:rsid w:val="001E68C5"/>
    <w:rsid w:val="001E6E7B"/>
    <w:rsid w:val="001E7465"/>
    <w:rsid w:val="001E7791"/>
    <w:rsid w:val="001E798B"/>
    <w:rsid w:val="001E7BDD"/>
    <w:rsid w:val="001E7C03"/>
    <w:rsid w:val="001F00AD"/>
    <w:rsid w:val="001F00EC"/>
    <w:rsid w:val="001F0432"/>
    <w:rsid w:val="001F061D"/>
    <w:rsid w:val="001F09F2"/>
    <w:rsid w:val="001F0A36"/>
    <w:rsid w:val="001F0AD8"/>
    <w:rsid w:val="001F0FBD"/>
    <w:rsid w:val="001F0FC5"/>
    <w:rsid w:val="001F12B2"/>
    <w:rsid w:val="001F1418"/>
    <w:rsid w:val="001F206A"/>
    <w:rsid w:val="001F262F"/>
    <w:rsid w:val="001F26F9"/>
    <w:rsid w:val="001F27C7"/>
    <w:rsid w:val="001F288F"/>
    <w:rsid w:val="001F2D67"/>
    <w:rsid w:val="001F2EF2"/>
    <w:rsid w:val="001F3893"/>
    <w:rsid w:val="001F4573"/>
    <w:rsid w:val="001F4889"/>
    <w:rsid w:val="001F4DDF"/>
    <w:rsid w:val="001F5178"/>
    <w:rsid w:val="001F525A"/>
    <w:rsid w:val="001F5592"/>
    <w:rsid w:val="001F57D9"/>
    <w:rsid w:val="001F5A17"/>
    <w:rsid w:val="001F5B49"/>
    <w:rsid w:val="001F5C43"/>
    <w:rsid w:val="001F5F42"/>
    <w:rsid w:val="001F6399"/>
    <w:rsid w:val="001F63C6"/>
    <w:rsid w:val="001F737C"/>
    <w:rsid w:val="001F73CB"/>
    <w:rsid w:val="001F7856"/>
    <w:rsid w:val="001F7896"/>
    <w:rsid w:val="001F7C03"/>
    <w:rsid w:val="0020038E"/>
    <w:rsid w:val="0020044B"/>
    <w:rsid w:val="002004F7"/>
    <w:rsid w:val="00200B0E"/>
    <w:rsid w:val="00200C78"/>
    <w:rsid w:val="00200DE2"/>
    <w:rsid w:val="00200E22"/>
    <w:rsid w:val="00200EFE"/>
    <w:rsid w:val="002011D7"/>
    <w:rsid w:val="002015C1"/>
    <w:rsid w:val="002015F2"/>
    <w:rsid w:val="002017A6"/>
    <w:rsid w:val="0020182E"/>
    <w:rsid w:val="00201E27"/>
    <w:rsid w:val="00202099"/>
    <w:rsid w:val="002022B2"/>
    <w:rsid w:val="00202384"/>
    <w:rsid w:val="00202B5D"/>
    <w:rsid w:val="00202FE3"/>
    <w:rsid w:val="0020322D"/>
    <w:rsid w:val="002032BD"/>
    <w:rsid w:val="002035BB"/>
    <w:rsid w:val="00203AAD"/>
    <w:rsid w:val="00203E2F"/>
    <w:rsid w:val="00203F81"/>
    <w:rsid w:val="002042F4"/>
    <w:rsid w:val="00204948"/>
    <w:rsid w:val="00204BCA"/>
    <w:rsid w:val="00204E5D"/>
    <w:rsid w:val="00205221"/>
    <w:rsid w:val="00205552"/>
    <w:rsid w:val="0020598B"/>
    <w:rsid w:val="00206587"/>
    <w:rsid w:val="00206A8B"/>
    <w:rsid w:val="0020755E"/>
    <w:rsid w:val="00207B84"/>
    <w:rsid w:val="002103E5"/>
    <w:rsid w:val="00210B62"/>
    <w:rsid w:val="00211E9D"/>
    <w:rsid w:val="00211F87"/>
    <w:rsid w:val="00212224"/>
    <w:rsid w:val="002129EF"/>
    <w:rsid w:val="0021349C"/>
    <w:rsid w:val="0021352E"/>
    <w:rsid w:val="00213604"/>
    <w:rsid w:val="00213694"/>
    <w:rsid w:val="00213A95"/>
    <w:rsid w:val="00213BFF"/>
    <w:rsid w:val="00213C4E"/>
    <w:rsid w:val="00214595"/>
    <w:rsid w:val="00214ABD"/>
    <w:rsid w:val="00214BD2"/>
    <w:rsid w:val="00214D29"/>
    <w:rsid w:val="00214E4A"/>
    <w:rsid w:val="002152E7"/>
    <w:rsid w:val="00215757"/>
    <w:rsid w:val="00215AA6"/>
    <w:rsid w:val="00215CAF"/>
    <w:rsid w:val="00215DD8"/>
    <w:rsid w:val="0021631D"/>
    <w:rsid w:val="002165E0"/>
    <w:rsid w:val="00216792"/>
    <w:rsid w:val="0021696D"/>
    <w:rsid w:val="00217336"/>
    <w:rsid w:val="0021737E"/>
    <w:rsid w:val="00217C4A"/>
    <w:rsid w:val="00217DFD"/>
    <w:rsid w:val="002202ED"/>
    <w:rsid w:val="002204FC"/>
    <w:rsid w:val="00220558"/>
    <w:rsid w:val="0022059E"/>
    <w:rsid w:val="0022093F"/>
    <w:rsid w:val="00221390"/>
    <w:rsid w:val="0022185E"/>
    <w:rsid w:val="002219B8"/>
    <w:rsid w:val="00221E5A"/>
    <w:rsid w:val="00222140"/>
    <w:rsid w:val="002221E3"/>
    <w:rsid w:val="00222328"/>
    <w:rsid w:val="002226D7"/>
    <w:rsid w:val="00222879"/>
    <w:rsid w:val="00223852"/>
    <w:rsid w:val="00223940"/>
    <w:rsid w:val="00224451"/>
    <w:rsid w:val="00225969"/>
    <w:rsid w:val="00225A4A"/>
    <w:rsid w:val="00226A1A"/>
    <w:rsid w:val="00226D92"/>
    <w:rsid w:val="00227538"/>
    <w:rsid w:val="0022753A"/>
    <w:rsid w:val="0022784E"/>
    <w:rsid w:val="00227A67"/>
    <w:rsid w:val="00227CEB"/>
    <w:rsid w:val="00227F49"/>
    <w:rsid w:val="0023047B"/>
    <w:rsid w:val="0023064E"/>
    <w:rsid w:val="0023072F"/>
    <w:rsid w:val="0023073A"/>
    <w:rsid w:val="00230A96"/>
    <w:rsid w:val="002310E7"/>
    <w:rsid w:val="00231F63"/>
    <w:rsid w:val="00232273"/>
    <w:rsid w:val="002325D0"/>
    <w:rsid w:val="00232977"/>
    <w:rsid w:val="0023328C"/>
    <w:rsid w:val="002334F9"/>
    <w:rsid w:val="00233538"/>
    <w:rsid w:val="00233CC7"/>
    <w:rsid w:val="00233FF0"/>
    <w:rsid w:val="00234361"/>
    <w:rsid w:val="00234569"/>
    <w:rsid w:val="00235884"/>
    <w:rsid w:val="00236081"/>
    <w:rsid w:val="002366E4"/>
    <w:rsid w:val="00236D8B"/>
    <w:rsid w:val="00236ED0"/>
    <w:rsid w:val="00237369"/>
    <w:rsid w:val="002373A2"/>
    <w:rsid w:val="00237599"/>
    <w:rsid w:val="0023792E"/>
    <w:rsid w:val="00237A1C"/>
    <w:rsid w:val="00237A45"/>
    <w:rsid w:val="002401C4"/>
    <w:rsid w:val="00240471"/>
    <w:rsid w:val="00240F3C"/>
    <w:rsid w:val="00242152"/>
    <w:rsid w:val="0024217B"/>
    <w:rsid w:val="002422A9"/>
    <w:rsid w:val="002429D3"/>
    <w:rsid w:val="00242F49"/>
    <w:rsid w:val="00242F80"/>
    <w:rsid w:val="0024324F"/>
    <w:rsid w:val="002436C1"/>
    <w:rsid w:val="002437DE"/>
    <w:rsid w:val="00243B69"/>
    <w:rsid w:val="0024415A"/>
    <w:rsid w:val="002450CD"/>
    <w:rsid w:val="002455EA"/>
    <w:rsid w:val="00245669"/>
    <w:rsid w:val="00245BE4"/>
    <w:rsid w:val="002460FB"/>
    <w:rsid w:val="00247220"/>
    <w:rsid w:val="00247C23"/>
    <w:rsid w:val="00250B87"/>
    <w:rsid w:val="00250EF6"/>
    <w:rsid w:val="0025135D"/>
    <w:rsid w:val="002513D1"/>
    <w:rsid w:val="0025205A"/>
    <w:rsid w:val="0025207F"/>
    <w:rsid w:val="00252362"/>
    <w:rsid w:val="002536D9"/>
    <w:rsid w:val="00253F2E"/>
    <w:rsid w:val="0025411D"/>
    <w:rsid w:val="002542B0"/>
    <w:rsid w:val="00254A2E"/>
    <w:rsid w:val="00254AB2"/>
    <w:rsid w:val="00255325"/>
    <w:rsid w:val="00255AD9"/>
    <w:rsid w:val="00255BDA"/>
    <w:rsid w:val="002562DB"/>
    <w:rsid w:val="00256D5F"/>
    <w:rsid w:val="00256E4B"/>
    <w:rsid w:val="00257085"/>
    <w:rsid w:val="00257E31"/>
    <w:rsid w:val="00257F09"/>
    <w:rsid w:val="00260022"/>
    <w:rsid w:val="002600A5"/>
    <w:rsid w:val="002606E7"/>
    <w:rsid w:val="0026094A"/>
    <w:rsid w:val="0026124E"/>
    <w:rsid w:val="00261919"/>
    <w:rsid w:val="00261A24"/>
    <w:rsid w:val="00261DF2"/>
    <w:rsid w:val="0026300C"/>
    <w:rsid w:val="002635F6"/>
    <w:rsid w:val="00264633"/>
    <w:rsid w:val="00264CB8"/>
    <w:rsid w:val="00264F4B"/>
    <w:rsid w:val="00265E3F"/>
    <w:rsid w:val="0026611F"/>
    <w:rsid w:val="002666DB"/>
    <w:rsid w:val="00266A7E"/>
    <w:rsid w:val="00266C46"/>
    <w:rsid w:val="002671E8"/>
    <w:rsid w:val="00267369"/>
    <w:rsid w:val="00267E3F"/>
    <w:rsid w:val="00270237"/>
    <w:rsid w:val="00270597"/>
    <w:rsid w:val="00270602"/>
    <w:rsid w:val="002709BD"/>
    <w:rsid w:val="00270FAD"/>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735D"/>
    <w:rsid w:val="00277B20"/>
    <w:rsid w:val="00277BC3"/>
    <w:rsid w:val="0028039A"/>
    <w:rsid w:val="00280C6F"/>
    <w:rsid w:val="00281016"/>
    <w:rsid w:val="002813C7"/>
    <w:rsid w:val="00281936"/>
    <w:rsid w:val="00281DBD"/>
    <w:rsid w:val="002820A0"/>
    <w:rsid w:val="00282278"/>
    <w:rsid w:val="00282346"/>
    <w:rsid w:val="00282575"/>
    <w:rsid w:val="002829DB"/>
    <w:rsid w:val="00282F5B"/>
    <w:rsid w:val="00283057"/>
    <w:rsid w:val="00283388"/>
    <w:rsid w:val="00283B9C"/>
    <w:rsid w:val="00283EAB"/>
    <w:rsid w:val="00283EDE"/>
    <w:rsid w:val="002845C9"/>
    <w:rsid w:val="00284CA2"/>
    <w:rsid w:val="00284D9F"/>
    <w:rsid w:val="00284F63"/>
    <w:rsid w:val="002850CA"/>
    <w:rsid w:val="002851AA"/>
    <w:rsid w:val="002855C3"/>
    <w:rsid w:val="002855CF"/>
    <w:rsid w:val="00285B27"/>
    <w:rsid w:val="002862EE"/>
    <w:rsid w:val="002900F8"/>
    <w:rsid w:val="00291208"/>
    <w:rsid w:val="00291B4B"/>
    <w:rsid w:val="00291DD0"/>
    <w:rsid w:val="00291E53"/>
    <w:rsid w:val="00291EE3"/>
    <w:rsid w:val="00292021"/>
    <w:rsid w:val="002921C7"/>
    <w:rsid w:val="002921E9"/>
    <w:rsid w:val="002927FF"/>
    <w:rsid w:val="0029284A"/>
    <w:rsid w:val="0029285F"/>
    <w:rsid w:val="00292C24"/>
    <w:rsid w:val="00293D85"/>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D4B"/>
    <w:rsid w:val="00297F55"/>
    <w:rsid w:val="002A0153"/>
    <w:rsid w:val="002A0346"/>
    <w:rsid w:val="002A0515"/>
    <w:rsid w:val="002A0F3C"/>
    <w:rsid w:val="002A1427"/>
    <w:rsid w:val="002A1A2E"/>
    <w:rsid w:val="002A1A48"/>
    <w:rsid w:val="002A1C11"/>
    <w:rsid w:val="002A1C56"/>
    <w:rsid w:val="002A229C"/>
    <w:rsid w:val="002A23EB"/>
    <w:rsid w:val="002A25C2"/>
    <w:rsid w:val="002A291C"/>
    <w:rsid w:val="002A29B7"/>
    <w:rsid w:val="002A2CD8"/>
    <w:rsid w:val="002A2EB1"/>
    <w:rsid w:val="002A3240"/>
    <w:rsid w:val="002A357F"/>
    <w:rsid w:val="002A3A6D"/>
    <w:rsid w:val="002A3BAA"/>
    <w:rsid w:val="002A3E4C"/>
    <w:rsid w:val="002A3F66"/>
    <w:rsid w:val="002A409D"/>
    <w:rsid w:val="002A4195"/>
    <w:rsid w:val="002A434D"/>
    <w:rsid w:val="002A4383"/>
    <w:rsid w:val="002A4CD3"/>
    <w:rsid w:val="002A590B"/>
    <w:rsid w:val="002A5D72"/>
    <w:rsid w:val="002A5FC3"/>
    <w:rsid w:val="002A5FEA"/>
    <w:rsid w:val="002A6354"/>
    <w:rsid w:val="002A6641"/>
    <w:rsid w:val="002A6695"/>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3C8C"/>
    <w:rsid w:val="002B3CBD"/>
    <w:rsid w:val="002B3F40"/>
    <w:rsid w:val="002B404A"/>
    <w:rsid w:val="002B435A"/>
    <w:rsid w:val="002B46EF"/>
    <w:rsid w:val="002B50AE"/>
    <w:rsid w:val="002B601D"/>
    <w:rsid w:val="002B652F"/>
    <w:rsid w:val="002B668A"/>
    <w:rsid w:val="002B6878"/>
    <w:rsid w:val="002B6BE4"/>
    <w:rsid w:val="002B6EBC"/>
    <w:rsid w:val="002B6F45"/>
    <w:rsid w:val="002B74B5"/>
    <w:rsid w:val="002B7522"/>
    <w:rsid w:val="002B7700"/>
    <w:rsid w:val="002B79A4"/>
    <w:rsid w:val="002C04D4"/>
    <w:rsid w:val="002C1334"/>
    <w:rsid w:val="002C151D"/>
    <w:rsid w:val="002C1559"/>
    <w:rsid w:val="002C159B"/>
    <w:rsid w:val="002C22D0"/>
    <w:rsid w:val="002C24BC"/>
    <w:rsid w:val="002C2BC0"/>
    <w:rsid w:val="002C2E9C"/>
    <w:rsid w:val="002C2F29"/>
    <w:rsid w:val="002C3060"/>
    <w:rsid w:val="002C355C"/>
    <w:rsid w:val="002C3A97"/>
    <w:rsid w:val="002C3AB9"/>
    <w:rsid w:val="002C3DFA"/>
    <w:rsid w:val="002C41D5"/>
    <w:rsid w:val="002C4352"/>
    <w:rsid w:val="002C47CF"/>
    <w:rsid w:val="002C49FF"/>
    <w:rsid w:val="002C537C"/>
    <w:rsid w:val="002C5791"/>
    <w:rsid w:val="002C58B1"/>
    <w:rsid w:val="002C60D1"/>
    <w:rsid w:val="002C6DD9"/>
    <w:rsid w:val="002C6E92"/>
    <w:rsid w:val="002C79BB"/>
    <w:rsid w:val="002D012B"/>
    <w:rsid w:val="002D04C1"/>
    <w:rsid w:val="002D074D"/>
    <w:rsid w:val="002D0D0E"/>
    <w:rsid w:val="002D0F55"/>
    <w:rsid w:val="002D0F97"/>
    <w:rsid w:val="002D1943"/>
    <w:rsid w:val="002D1A73"/>
    <w:rsid w:val="002D1B88"/>
    <w:rsid w:val="002D24AA"/>
    <w:rsid w:val="002D2871"/>
    <w:rsid w:val="002D2937"/>
    <w:rsid w:val="002D2F39"/>
    <w:rsid w:val="002D3151"/>
    <w:rsid w:val="002D35FE"/>
    <w:rsid w:val="002D3700"/>
    <w:rsid w:val="002D3C97"/>
    <w:rsid w:val="002D3F74"/>
    <w:rsid w:val="002D41CF"/>
    <w:rsid w:val="002D4F5E"/>
    <w:rsid w:val="002D563C"/>
    <w:rsid w:val="002D6445"/>
    <w:rsid w:val="002D65ED"/>
    <w:rsid w:val="002D67F9"/>
    <w:rsid w:val="002D694D"/>
    <w:rsid w:val="002D6FBA"/>
    <w:rsid w:val="002D704B"/>
    <w:rsid w:val="002D7650"/>
    <w:rsid w:val="002D7DB7"/>
    <w:rsid w:val="002D7DEC"/>
    <w:rsid w:val="002E02FF"/>
    <w:rsid w:val="002E0509"/>
    <w:rsid w:val="002E0C5D"/>
    <w:rsid w:val="002E1545"/>
    <w:rsid w:val="002E1E46"/>
    <w:rsid w:val="002E28A5"/>
    <w:rsid w:val="002E2BA7"/>
    <w:rsid w:val="002E35A7"/>
    <w:rsid w:val="002E3857"/>
    <w:rsid w:val="002E3B09"/>
    <w:rsid w:val="002E3F29"/>
    <w:rsid w:val="002E4952"/>
    <w:rsid w:val="002E51A2"/>
    <w:rsid w:val="002E5631"/>
    <w:rsid w:val="002E5CDA"/>
    <w:rsid w:val="002E5EFF"/>
    <w:rsid w:val="002E60C7"/>
    <w:rsid w:val="002E622D"/>
    <w:rsid w:val="002E6641"/>
    <w:rsid w:val="002E66A6"/>
    <w:rsid w:val="002E68E5"/>
    <w:rsid w:val="002E6A02"/>
    <w:rsid w:val="002E6B49"/>
    <w:rsid w:val="002E7189"/>
    <w:rsid w:val="002E7600"/>
    <w:rsid w:val="002E7815"/>
    <w:rsid w:val="002E7BFF"/>
    <w:rsid w:val="002F0152"/>
    <w:rsid w:val="002F0DC1"/>
    <w:rsid w:val="002F13B1"/>
    <w:rsid w:val="002F1556"/>
    <w:rsid w:val="002F1700"/>
    <w:rsid w:val="002F184D"/>
    <w:rsid w:val="002F18FD"/>
    <w:rsid w:val="002F1CA7"/>
    <w:rsid w:val="002F22D6"/>
    <w:rsid w:val="002F2459"/>
    <w:rsid w:val="002F2F23"/>
    <w:rsid w:val="002F2F49"/>
    <w:rsid w:val="002F3188"/>
    <w:rsid w:val="002F3B14"/>
    <w:rsid w:val="002F3EF5"/>
    <w:rsid w:val="002F404C"/>
    <w:rsid w:val="002F414F"/>
    <w:rsid w:val="002F4AD0"/>
    <w:rsid w:val="002F4B8C"/>
    <w:rsid w:val="002F4C9D"/>
    <w:rsid w:val="002F4F33"/>
    <w:rsid w:val="002F594E"/>
    <w:rsid w:val="002F595D"/>
    <w:rsid w:val="002F59F8"/>
    <w:rsid w:val="002F5F22"/>
    <w:rsid w:val="002F63ED"/>
    <w:rsid w:val="002F6BB4"/>
    <w:rsid w:val="002F6F47"/>
    <w:rsid w:val="002F728D"/>
    <w:rsid w:val="002F76B0"/>
    <w:rsid w:val="002F7760"/>
    <w:rsid w:val="002F7C05"/>
    <w:rsid w:val="00300E3C"/>
    <w:rsid w:val="00300EF3"/>
    <w:rsid w:val="00301345"/>
    <w:rsid w:val="00301677"/>
    <w:rsid w:val="003017D1"/>
    <w:rsid w:val="003019C7"/>
    <w:rsid w:val="00301C50"/>
    <w:rsid w:val="00301C76"/>
    <w:rsid w:val="0030204F"/>
    <w:rsid w:val="003024A3"/>
    <w:rsid w:val="003026D6"/>
    <w:rsid w:val="00302C96"/>
    <w:rsid w:val="003033DF"/>
    <w:rsid w:val="00303714"/>
    <w:rsid w:val="00303A91"/>
    <w:rsid w:val="00303B26"/>
    <w:rsid w:val="003045D2"/>
    <w:rsid w:val="00305451"/>
    <w:rsid w:val="003056BC"/>
    <w:rsid w:val="00305D84"/>
    <w:rsid w:val="00306111"/>
    <w:rsid w:val="003068C2"/>
    <w:rsid w:val="0030690C"/>
    <w:rsid w:val="00306B9C"/>
    <w:rsid w:val="00306D9E"/>
    <w:rsid w:val="00306DD4"/>
    <w:rsid w:val="00306E78"/>
    <w:rsid w:val="00306ED4"/>
    <w:rsid w:val="00307FCB"/>
    <w:rsid w:val="0031004A"/>
    <w:rsid w:val="003104F3"/>
    <w:rsid w:val="00310B41"/>
    <w:rsid w:val="00311181"/>
    <w:rsid w:val="0031202A"/>
    <w:rsid w:val="00312034"/>
    <w:rsid w:val="00312401"/>
    <w:rsid w:val="00312B1A"/>
    <w:rsid w:val="00312C58"/>
    <w:rsid w:val="00312FA3"/>
    <w:rsid w:val="00313643"/>
    <w:rsid w:val="00313C0B"/>
    <w:rsid w:val="00314096"/>
    <w:rsid w:val="003143FB"/>
    <w:rsid w:val="0031476B"/>
    <w:rsid w:val="0031483F"/>
    <w:rsid w:val="0031491B"/>
    <w:rsid w:val="00315CA4"/>
    <w:rsid w:val="00316244"/>
    <w:rsid w:val="0031626A"/>
    <w:rsid w:val="003164EA"/>
    <w:rsid w:val="00317447"/>
    <w:rsid w:val="00317C80"/>
    <w:rsid w:val="00320AB2"/>
    <w:rsid w:val="00320E74"/>
    <w:rsid w:val="00321147"/>
    <w:rsid w:val="00321EEF"/>
    <w:rsid w:val="00321F9C"/>
    <w:rsid w:val="003226F9"/>
    <w:rsid w:val="00322815"/>
    <w:rsid w:val="003231EF"/>
    <w:rsid w:val="00323872"/>
    <w:rsid w:val="00323B38"/>
    <w:rsid w:val="00323C1C"/>
    <w:rsid w:val="00324755"/>
    <w:rsid w:val="003247AF"/>
    <w:rsid w:val="003249F0"/>
    <w:rsid w:val="00324D19"/>
    <w:rsid w:val="0032501D"/>
    <w:rsid w:val="003253BE"/>
    <w:rsid w:val="0032558C"/>
    <w:rsid w:val="0032558E"/>
    <w:rsid w:val="0032580C"/>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752"/>
    <w:rsid w:val="0033197E"/>
    <w:rsid w:val="00331E23"/>
    <w:rsid w:val="00331FC9"/>
    <w:rsid w:val="003320DD"/>
    <w:rsid w:val="00333628"/>
    <w:rsid w:val="0033387D"/>
    <w:rsid w:val="00333E87"/>
    <w:rsid w:val="00333F01"/>
    <w:rsid w:val="00334465"/>
    <w:rsid w:val="003348E4"/>
    <w:rsid w:val="00334E73"/>
    <w:rsid w:val="00334F3D"/>
    <w:rsid w:val="0033519B"/>
    <w:rsid w:val="00335261"/>
    <w:rsid w:val="003355AF"/>
    <w:rsid w:val="003357F5"/>
    <w:rsid w:val="0033638B"/>
    <w:rsid w:val="00336993"/>
    <w:rsid w:val="003369F5"/>
    <w:rsid w:val="00336C24"/>
    <w:rsid w:val="00336E6C"/>
    <w:rsid w:val="003371DB"/>
    <w:rsid w:val="00337A39"/>
    <w:rsid w:val="00337BD9"/>
    <w:rsid w:val="003405F0"/>
    <w:rsid w:val="00340F2B"/>
    <w:rsid w:val="00341177"/>
    <w:rsid w:val="00341C4D"/>
    <w:rsid w:val="00341D94"/>
    <w:rsid w:val="0034223E"/>
    <w:rsid w:val="003422B6"/>
    <w:rsid w:val="00342675"/>
    <w:rsid w:val="00342B0D"/>
    <w:rsid w:val="00342D34"/>
    <w:rsid w:val="00343C24"/>
    <w:rsid w:val="00343F79"/>
    <w:rsid w:val="003441F8"/>
    <w:rsid w:val="003447CC"/>
    <w:rsid w:val="00344BFC"/>
    <w:rsid w:val="00344D91"/>
    <w:rsid w:val="00344F32"/>
    <w:rsid w:val="003455BF"/>
    <w:rsid w:val="00345BC0"/>
    <w:rsid w:val="0034643E"/>
    <w:rsid w:val="0034657E"/>
    <w:rsid w:val="00346632"/>
    <w:rsid w:val="00346BD7"/>
    <w:rsid w:val="00346C2F"/>
    <w:rsid w:val="0034741C"/>
    <w:rsid w:val="003479C3"/>
    <w:rsid w:val="003500E4"/>
    <w:rsid w:val="0035016E"/>
    <w:rsid w:val="0035068E"/>
    <w:rsid w:val="003506BE"/>
    <w:rsid w:val="00350B7F"/>
    <w:rsid w:val="00350DF3"/>
    <w:rsid w:val="0035129A"/>
    <w:rsid w:val="0035143F"/>
    <w:rsid w:val="0035195B"/>
    <w:rsid w:val="00351BF1"/>
    <w:rsid w:val="00352301"/>
    <w:rsid w:val="0035232C"/>
    <w:rsid w:val="00352776"/>
    <w:rsid w:val="00352A43"/>
    <w:rsid w:val="00352D60"/>
    <w:rsid w:val="0035336A"/>
    <w:rsid w:val="003533A1"/>
    <w:rsid w:val="00353478"/>
    <w:rsid w:val="003535DB"/>
    <w:rsid w:val="00353CB5"/>
    <w:rsid w:val="00353E1E"/>
    <w:rsid w:val="0035487A"/>
    <w:rsid w:val="00355F82"/>
    <w:rsid w:val="003566D2"/>
    <w:rsid w:val="00356AB7"/>
    <w:rsid w:val="003573E0"/>
    <w:rsid w:val="00357782"/>
    <w:rsid w:val="003578DC"/>
    <w:rsid w:val="00357F3A"/>
    <w:rsid w:val="0036036B"/>
    <w:rsid w:val="0036060F"/>
    <w:rsid w:val="00360A57"/>
    <w:rsid w:val="00360B78"/>
    <w:rsid w:val="00360BCC"/>
    <w:rsid w:val="00360F63"/>
    <w:rsid w:val="00361081"/>
    <w:rsid w:val="003611AC"/>
    <w:rsid w:val="003613E3"/>
    <w:rsid w:val="003617E5"/>
    <w:rsid w:val="003618D6"/>
    <w:rsid w:val="00361E5B"/>
    <w:rsid w:val="00361EA2"/>
    <w:rsid w:val="003620B4"/>
    <w:rsid w:val="003626B5"/>
    <w:rsid w:val="00362C5A"/>
    <w:rsid w:val="003630F0"/>
    <w:rsid w:val="00363105"/>
    <w:rsid w:val="003633DE"/>
    <w:rsid w:val="003635AA"/>
    <w:rsid w:val="003637D8"/>
    <w:rsid w:val="00363C16"/>
    <w:rsid w:val="003641F7"/>
    <w:rsid w:val="00364225"/>
    <w:rsid w:val="003649C8"/>
    <w:rsid w:val="0036513B"/>
    <w:rsid w:val="003656EB"/>
    <w:rsid w:val="00365731"/>
    <w:rsid w:val="00365A29"/>
    <w:rsid w:val="00366668"/>
    <w:rsid w:val="00366C0A"/>
    <w:rsid w:val="00367103"/>
    <w:rsid w:val="00367568"/>
    <w:rsid w:val="00367AAD"/>
    <w:rsid w:val="00367CDD"/>
    <w:rsid w:val="00367E09"/>
    <w:rsid w:val="00367F60"/>
    <w:rsid w:val="00367F61"/>
    <w:rsid w:val="00370386"/>
    <w:rsid w:val="00370557"/>
    <w:rsid w:val="00370ADE"/>
    <w:rsid w:val="00370CCF"/>
    <w:rsid w:val="00370DBC"/>
    <w:rsid w:val="00370FAB"/>
    <w:rsid w:val="0037106F"/>
    <w:rsid w:val="00371723"/>
    <w:rsid w:val="0037178E"/>
    <w:rsid w:val="00371B46"/>
    <w:rsid w:val="00371EBE"/>
    <w:rsid w:val="003720AE"/>
    <w:rsid w:val="0037241F"/>
    <w:rsid w:val="00372772"/>
    <w:rsid w:val="00373925"/>
    <w:rsid w:val="0037397B"/>
    <w:rsid w:val="00373A63"/>
    <w:rsid w:val="00373AD0"/>
    <w:rsid w:val="00373DF0"/>
    <w:rsid w:val="0037442E"/>
    <w:rsid w:val="0037456A"/>
    <w:rsid w:val="00374694"/>
    <w:rsid w:val="003746BB"/>
    <w:rsid w:val="00374713"/>
    <w:rsid w:val="003747FD"/>
    <w:rsid w:val="00374FD2"/>
    <w:rsid w:val="0037644C"/>
    <w:rsid w:val="003766E3"/>
    <w:rsid w:val="0037774A"/>
    <w:rsid w:val="003777BA"/>
    <w:rsid w:val="003801DE"/>
    <w:rsid w:val="00380620"/>
    <w:rsid w:val="00380826"/>
    <w:rsid w:val="0038090E"/>
    <w:rsid w:val="00380BF7"/>
    <w:rsid w:val="00380C05"/>
    <w:rsid w:val="00380DCC"/>
    <w:rsid w:val="00380FC5"/>
    <w:rsid w:val="0038139C"/>
    <w:rsid w:val="0038141E"/>
    <w:rsid w:val="00381649"/>
    <w:rsid w:val="00381912"/>
    <w:rsid w:val="003824BC"/>
    <w:rsid w:val="00382555"/>
    <w:rsid w:val="003825BE"/>
    <w:rsid w:val="003826D9"/>
    <w:rsid w:val="00382CAD"/>
    <w:rsid w:val="00383BD1"/>
    <w:rsid w:val="00384ED2"/>
    <w:rsid w:val="00385564"/>
    <w:rsid w:val="00386540"/>
    <w:rsid w:val="003874D1"/>
    <w:rsid w:val="00387B4B"/>
    <w:rsid w:val="00387D15"/>
    <w:rsid w:val="003901DE"/>
    <w:rsid w:val="00390454"/>
    <w:rsid w:val="0039086F"/>
    <w:rsid w:val="003915DA"/>
    <w:rsid w:val="0039183C"/>
    <w:rsid w:val="00391B48"/>
    <w:rsid w:val="00391F49"/>
    <w:rsid w:val="00391F4C"/>
    <w:rsid w:val="00392C51"/>
    <w:rsid w:val="00392C90"/>
    <w:rsid w:val="00392CF9"/>
    <w:rsid w:val="00392DEE"/>
    <w:rsid w:val="003931F7"/>
    <w:rsid w:val="0039341D"/>
    <w:rsid w:val="00393BA1"/>
    <w:rsid w:val="003941DC"/>
    <w:rsid w:val="0039478A"/>
    <w:rsid w:val="00394818"/>
    <w:rsid w:val="00394945"/>
    <w:rsid w:val="00394A46"/>
    <w:rsid w:val="0039614D"/>
    <w:rsid w:val="003962A8"/>
    <w:rsid w:val="003967EC"/>
    <w:rsid w:val="00396C98"/>
    <w:rsid w:val="00397665"/>
    <w:rsid w:val="003A006F"/>
    <w:rsid w:val="003A0680"/>
    <w:rsid w:val="003A13AE"/>
    <w:rsid w:val="003A2BCB"/>
    <w:rsid w:val="003A2F4D"/>
    <w:rsid w:val="003A3050"/>
    <w:rsid w:val="003A34F1"/>
    <w:rsid w:val="003A35FC"/>
    <w:rsid w:val="003A3605"/>
    <w:rsid w:val="003A3EF3"/>
    <w:rsid w:val="003A473E"/>
    <w:rsid w:val="003A4827"/>
    <w:rsid w:val="003A499F"/>
    <w:rsid w:val="003A4C29"/>
    <w:rsid w:val="003A4FBA"/>
    <w:rsid w:val="003A5040"/>
    <w:rsid w:val="003A51CF"/>
    <w:rsid w:val="003A6238"/>
    <w:rsid w:val="003A6826"/>
    <w:rsid w:val="003A68FD"/>
    <w:rsid w:val="003A6942"/>
    <w:rsid w:val="003A6C85"/>
    <w:rsid w:val="003A6F93"/>
    <w:rsid w:val="003A721F"/>
    <w:rsid w:val="003A72DD"/>
    <w:rsid w:val="003A77A3"/>
    <w:rsid w:val="003A7F37"/>
    <w:rsid w:val="003B014C"/>
    <w:rsid w:val="003B028E"/>
    <w:rsid w:val="003B0914"/>
    <w:rsid w:val="003B1416"/>
    <w:rsid w:val="003B2F26"/>
    <w:rsid w:val="003B3490"/>
    <w:rsid w:val="003B3D0E"/>
    <w:rsid w:val="003B42A8"/>
    <w:rsid w:val="003B439F"/>
    <w:rsid w:val="003B46BE"/>
    <w:rsid w:val="003B507D"/>
    <w:rsid w:val="003B5A30"/>
    <w:rsid w:val="003B5E14"/>
    <w:rsid w:val="003B6531"/>
    <w:rsid w:val="003B655A"/>
    <w:rsid w:val="003B6F84"/>
    <w:rsid w:val="003B7115"/>
    <w:rsid w:val="003B77FB"/>
    <w:rsid w:val="003B7B77"/>
    <w:rsid w:val="003B7CF2"/>
    <w:rsid w:val="003C0322"/>
    <w:rsid w:val="003C06F1"/>
    <w:rsid w:val="003C0BA9"/>
    <w:rsid w:val="003C135D"/>
    <w:rsid w:val="003C1BA6"/>
    <w:rsid w:val="003C1D9F"/>
    <w:rsid w:val="003C26C1"/>
    <w:rsid w:val="003C2A95"/>
    <w:rsid w:val="003C33B1"/>
    <w:rsid w:val="003C3BB4"/>
    <w:rsid w:val="003C3EB1"/>
    <w:rsid w:val="003C4218"/>
    <w:rsid w:val="003C42DC"/>
    <w:rsid w:val="003C4426"/>
    <w:rsid w:val="003C4573"/>
    <w:rsid w:val="003C4ADA"/>
    <w:rsid w:val="003C4D01"/>
    <w:rsid w:val="003C4DA2"/>
    <w:rsid w:val="003C5060"/>
    <w:rsid w:val="003C5C2B"/>
    <w:rsid w:val="003C5DA0"/>
    <w:rsid w:val="003C5E17"/>
    <w:rsid w:val="003C5F5E"/>
    <w:rsid w:val="003C6EC8"/>
    <w:rsid w:val="003C7166"/>
    <w:rsid w:val="003D079A"/>
    <w:rsid w:val="003D0963"/>
    <w:rsid w:val="003D18E6"/>
    <w:rsid w:val="003D1A11"/>
    <w:rsid w:val="003D1D6F"/>
    <w:rsid w:val="003D2529"/>
    <w:rsid w:val="003D25C9"/>
    <w:rsid w:val="003D2894"/>
    <w:rsid w:val="003D2DEE"/>
    <w:rsid w:val="003D2EBE"/>
    <w:rsid w:val="003D3178"/>
    <w:rsid w:val="003D4159"/>
    <w:rsid w:val="003D433B"/>
    <w:rsid w:val="003D4C5F"/>
    <w:rsid w:val="003D4F68"/>
    <w:rsid w:val="003D5374"/>
    <w:rsid w:val="003D5DC8"/>
    <w:rsid w:val="003D616A"/>
    <w:rsid w:val="003D6A1A"/>
    <w:rsid w:val="003D6CAC"/>
    <w:rsid w:val="003D716D"/>
    <w:rsid w:val="003D7C32"/>
    <w:rsid w:val="003D7D46"/>
    <w:rsid w:val="003E05E7"/>
    <w:rsid w:val="003E081B"/>
    <w:rsid w:val="003E09B9"/>
    <w:rsid w:val="003E1129"/>
    <w:rsid w:val="003E13F9"/>
    <w:rsid w:val="003E209A"/>
    <w:rsid w:val="003E20B2"/>
    <w:rsid w:val="003E20D6"/>
    <w:rsid w:val="003E21C0"/>
    <w:rsid w:val="003E2205"/>
    <w:rsid w:val="003E2858"/>
    <w:rsid w:val="003E336E"/>
    <w:rsid w:val="003E3BD5"/>
    <w:rsid w:val="003E3C73"/>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F82"/>
    <w:rsid w:val="003F019D"/>
    <w:rsid w:val="003F027D"/>
    <w:rsid w:val="003F071C"/>
    <w:rsid w:val="003F07FB"/>
    <w:rsid w:val="003F0CF5"/>
    <w:rsid w:val="003F0D18"/>
    <w:rsid w:val="003F0E27"/>
    <w:rsid w:val="003F12DB"/>
    <w:rsid w:val="003F150C"/>
    <w:rsid w:val="003F2202"/>
    <w:rsid w:val="003F237A"/>
    <w:rsid w:val="003F25EF"/>
    <w:rsid w:val="003F265F"/>
    <w:rsid w:val="003F273D"/>
    <w:rsid w:val="003F2A76"/>
    <w:rsid w:val="003F3143"/>
    <w:rsid w:val="003F31DF"/>
    <w:rsid w:val="003F3803"/>
    <w:rsid w:val="003F39E4"/>
    <w:rsid w:val="003F3A8D"/>
    <w:rsid w:val="003F3AB8"/>
    <w:rsid w:val="003F3D95"/>
    <w:rsid w:val="003F3DD4"/>
    <w:rsid w:val="003F4724"/>
    <w:rsid w:val="003F4D1E"/>
    <w:rsid w:val="003F5430"/>
    <w:rsid w:val="003F55F4"/>
    <w:rsid w:val="003F566B"/>
    <w:rsid w:val="003F589A"/>
    <w:rsid w:val="003F5DED"/>
    <w:rsid w:val="003F5F0F"/>
    <w:rsid w:val="003F6221"/>
    <w:rsid w:val="003F66C2"/>
    <w:rsid w:val="003F6FBA"/>
    <w:rsid w:val="003F7672"/>
    <w:rsid w:val="003F7889"/>
    <w:rsid w:val="003F7CE5"/>
    <w:rsid w:val="003F7CEF"/>
    <w:rsid w:val="003F7FE4"/>
    <w:rsid w:val="00400736"/>
    <w:rsid w:val="0040089B"/>
    <w:rsid w:val="00400B7A"/>
    <w:rsid w:val="004013CD"/>
    <w:rsid w:val="0040185F"/>
    <w:rsid w:val="004018D1"/>
    <w:rsid w:val="00401A48"/>
    <w:rsid w:val="00401B83"/>
    <w:rsid w:val="00401B94"/>
    <w:rsid w:val="004022CE"/>
    <w:rsid w:val="004028BA"/>
    <w:rsid w:val="00402FC6"/>
    <w:rsid w:val="004035A7"/>
    <w:rsid w:val="004039C5"/>
    <w:rsid w:val="00403B22"/>
    <w:rsid w:val="00403D3E"/>
    <w:rsid w:val="00403DEA"/>
    <w:rsid w:val="00403E5A"/>
    <w:rsid w:val="00404177"/>
    <w:rsid w:val="004044F1"/>
    <w:rsid w:val="004045C3"/>
    <w:rsid w:val="00404EE3"/>
    <w:rsid w:val="00405007"/>
    <w:rsid w:val="00405520"/>
    <w:rsid w:val="00405645"/>
    <w:rsid w:val="0040572B"/>
    <w:rsid w:val="00405882"/>
    <w:rsid w:val="00405D03"/>
    <w:rsid w:val="004060B3"/>
    <w:rsid w:val="00406201"/>
    <w:rsid w:val="00406AA6"/>
    <w:rsid w:val="00406C09"/>
    <w:rsid w:val="004074B9"/>
    <w:rsid w:val="004104FC"/>
    <w:rsid w:val="004107C1"/>
    <w:rsid w:val="004107D8"/>
    <w:rsid w:val="0041127B"/>
    <w:rsid w:val="0041158D"/>
    <w:rsid w:val="00411AB2"/>
    <w:rsid w:val="00411EF1"/>
    <w:rsid w:val="00411F1F"/>
    <w:rsid w:val="004122E3"/>
    <w:rsid w:val="00413ECE"/>
    <w:rsid w:val="004149CB"/>
    <w:rsid w:val="00414C4C"/>
    <w:rsid w:val="00414CEB"/>
    <w:rsid w:val="0041581D"/>
    <w:rsid w:val="004158AA"/>
    <w:rsid w:val="0041599F"/>
    <w:rsid w:val="00415E37"/>
    <w:rsid w:val="00415F5E"/>
    <w:rsid w:val="00415FC0"/>
    <w:rsid w:val="00416056"/>
    <w:rsid w:val="00416080"/>
    <w:rsid w:val="00416983"/>
    <w:rsid w:val="00417007"/>
    <w:rsid w:val="00417132"/>
    <w:rsid w:val="00417902"/>
    <w:rsid w:val="00417FE3"/>
    <w:rsid w:val="004202B5"/>
    <w:rsid w:val="0042068F"/>
    <w:rsid w:val="00420CEA"/>
    <w:rsid w:val="00420F31"/>
    <w:rsid w:val="004211B1"/>
    <w:rsid w:val="0042187D"/>
    <w:rsid w:val="00421A31"/>
    <w:rsid w:val="004224B4"/>
    <w:rsid w:val="00422787"/>
    <w:rsid w:val="00422F93"/>
    <w:rsid w:val="004232ED"/>
    <w:rsid w:val="004237C9"/>
    <w:rsid w:val="0042424E"/>
    <w:rsid w:val="0042538D"/>
    <w:rsid w:val="00425A1A"/>
    <w:rsid w:val="00425BCF"/>
    <w:rsid w:val="004262AA"/>
    <w:rsid w:val="00426747"/>
    <w:rsid w:val="004269C2"/>
    <w:rsid w:val="004269D3"/>
    <w:rsid w:val="00426AF7"/>
    <w:rsid w:val="00426BE5"/>
    <w:rsid w:val="00426E29"/>
    <w:rsid w:val="00427131"/>
    <w:rsid w:val="0042723F"/>
    <w:rsid w:val="00427403"/>
    <w:rsid w:val="004278AB"/>
    <w:rsid w:val="00427A28"/>
    <w:rsid w:val="00427ECC"/>
    <w:rsid w:val="004300B4"/>
    <w:rsid w:val="0043033B"/>
    <w:rsid w:val="004303CC"/>
    <w:rsid w:val="004304B2"/>
    <w:rsid w:val="00430595"/>
    <w:rsid w:val="00430721"/>
    <w:rsid w:val="0043079D"/>
    <w:rsid w:val="00431192"/>
    <w:rsid w:val="00431744"/>
    <w:rsid w:val="00431AD6"/>
    <w:rsid w:val="00431B48"/>
    <w:rsid w:val="00431D0E"/>
    <w:rsid w:val="0043265C"/>
    <w:rsid w:val="00432F99"/>
    <w:rsid w:val="004337C9"/>
    <w:rsid w:val="00433A0E"/>
    <w:rsid w:val="00433A3E"/>
    <w:rsid w:val="00433DEB"/>
    <w:rsid w:val="0043413D"/>
    <w:rsid w:val="0043442C"/>
    <w:rsid w:val="0043486A"/>
    <w:rsid w:val="00434DE9"/>
    <w:rsid w:val="004353CD"/>
    <w:rsid w:val="00435495"/>
    <w:rsid w:val="0043595A"/>
    <w:rsid w:val="00435A7F"/>
    <w:rsid w:val="00435C91"/>
    <w:rsid w:val="004362A2"/>
    <w:rsid w:val="0043677C"/>
    <w:rsid w:val="004368AA"/>
    <w:rsid w:val="00436BCA"/>
    <w:rsid w:val="004371DE"/>
    <w:rsid w:val="00437528"/>
    <w:rsid w:val="00437581"/>
    <w:rsid w:val="00437B06"/>
    <w:rsid w:val="0044015A"/>
    <w:rsid w:val="00440380"/>
    <w:rsid w:val="004403AA"/>
    <w:rsid w:val="00440AE8"/>
    <w:rsid w:val="004420DF"/>
    <w:rsid w:val="004427DB"/>
    <w:rsid w:val="00442809"/>
    <w:rsid w:val="00442BE4"/>
    <w:rsid w:val="00442CEF"/>
    <w:rsid w:val="00442D3C"/>
    <w:rsid w:val="004430FA"/>
    <w:rsid w:val="00443159"/>
    <w:rsid w:val="004433BD"/>
    <w:rsid w:val="0044355D"/>
    <w:rsid w:val="00443C87"/>
    <w:rsid w:val="00443FB2"/>
    <w:rsid w:val="004443D2"/>
    <w:rsid w:val="004447B5"/>
    <w:rsid w:val="004449F8"/>
    <w:rsid w:val="004456C3"/>
    <w:rsid w:val="004465D0"/>
    <w:rsid w:val="00446790"/>
    <w:rsid w:val="00446B03"/>
    <w:rsid w:val="00447AD1"/>
    <w:rsid w:val="00447DDF"/>
    <w:rsid w:val="004502B2"/>
    <w:rsid w:val="0045068C"/>
    <w:rsid w:val="004508DD"/>
    <w:rsid w:val="00450CAB"/>
    <w:rsid w:val="00450F85"/>
    <w:rsid w:val="004517AF"/>
    <w:rsid w:val="00451FF2"/>
    <w:rsid w:val="004522B9"/>
    <w:rsid w:val="00453B76"/>
    <w:rsid w:val="00453F07"/>
    <w:rsid w:val="00454109"/>
    <w:rsid w:val="00454181"/>
    <w:rsid w:val="0045434F"/>
    <w:rsid w:val="0045438C"/>
    <w:rsid w:val="00454477"/>
    <w:rsid w:val="00454C5A"/>
    <w:rsid w:val="00455701"/>
    <w:rsid w:val="004559F9"/>
    <w:rsid w:val="00455C80"/>
    <w:rsid w:val="0045611C"/>
    <w:rsid w:val="004563DD"/>
    <w:rsid w:val="00456CDF"/>
    <w:rsid w:val="00456F6D"/>
    <w:rsid w:val="00457458"/>
    <w:rsid w:val="00457741"/>
    <w:rsid w:val="00457F73"/>
    <w:rsid w:val="00460B9F"/>
    <w:rsid w:val="00460DE4"/>
    <w:rsid w:val="0046107F"/>
    <w:rsid w:val="0046115B"/>
    <w:rsid w:val="00461240"/>
    <w:rsid w:val="00461274"/>
    <w:rsid w:val="004614B2"/>
    <w:rsid w:val="004614B4"/>
    <w:rsid w:val="0046193D"/>
    <w:rsid w:val="004626ED"/>
    <w:rsid w:val="004654B1"/>
    <w:rsid w:val="0046557B"/>
    <w:rsid w:val="0046557C"/>
    <w:rsid w:val="00465B3C"/>
    <w:rsid w:val="00465E83"/>
    <w:rsid w:val="00465EAF"/>
    <w:rsid w:val="00466114"/>
    <w:rsid w:val="004661B2"/>
    <w:rsid w:val="004666EB"/>
    <w:rsid w:val="00466845"/>
    <w:rsid w:val="0046684E"/>
    <w:rsid w:val="0046692F"/>
    <w:rsid w:val="0046757E"/>
    <w:rsid w:val="0046765F"/>
    <w:rsid w:val="00467BAF"/>
    <w:rsid w:val="00470338"/>
    <w:rsid w:val="0047033E"/>
    <w:rsid w:val="00470EFE"/>
    <w:rsid w:val="00471F10"/>
    <w:rsid w:val="00472568"/>
    <w:rsid w:val="00472BA5"/>
    <w:rsid w:val="00472C70"/>
    <w:rsid w:val="00473000"/>
    <w:rsid w:val="004730EF"/>
    <w:rsid w:val="004736B1"/>
    <w:rsid w:val="004738F5"/>
    <w:rsid w:val="004740F2"/>
    <w:rsid w:val="0047417D"/>
    <w:rsid w:val="00474E77"/>
    <w:rsid w:val="00475708"/>
    <w:rsid w:val="0047581F"/>
    <w:rsid w:val="00475BDF"/>
    <w:rsid w:val="004766B7"/>
    <w:rsid w:val="004767F5"/>
    <w:rsid w:val="00476C8F"/>
    <w:rsid w:val="00477416"/>
    <w:rsid w:val="00477FAB"/>
    <w:rsid w:val="00480AFC"/>
    <w:rsid w:val="00480D1E"/>
    <w:rsid w:val="00481D33"/>
    <w:rsid w:val="00482295"/>
    <w:rsid w:val="004822A0"/>
    <w:rsid w:val="004822E9"/>
    <w:rsid w:val="0048269D"/>
    <w:rsid w:val="00482D74"/>
    <w:rsid w:val="004844E5"/>
    <w:rsid w:val="00484659"/>
    <w:rsid w:val="00484678"/>
    <w:rsid w:val="004848D8"/>
    <w:rsid w:val="00484E04"/>
    <w:rsid w:val="004855BE"/>
    <w:rsid w:val="00485878"/>
    <w:rsid w:val="00485A57"/>
    <w:rsid w:val="00485E5B"/>
    <w:rsid w:val="00485E70"/>
    <w:rsid w:val="004860F3"/>
    <w:rsid w:val="00486587"/>
    <w:rsid w:val="004867BC"/>
    <w:rsid w:val="00486A41"/>
    <w:rsid w:val="00486AA3"/>
    <w:rsid w:val="00486C68"/>
    <w:rsid w:val="00486D74"/>
    <w:rsid w:val="00486DEC"/>
    <w:rsid w:val="00486E69"/>
    <w:rsid w:val="004871B0"/>
    <w:rsid w:val="00487564"/>
    <w:rsid w:val="00487899"/>
    <w:rsid w:val="00487B4C"/>
    <w:rsid w:val="004902B4"/>
    <w:rsid w:val="004905F3"/>
    <w:rsid w:val="00490985"/>
    <w:rsid w:val="00490B10"/>
    <w:rsid w:val="00490B67"/>
    <w:rsid w:val="00490E53"/>
    <w:rsid w:val="00491110"/>
    <w:rsid w:val="00491182"/>
    <w:rsid w:val="00491305"/>
    <w:rsid w:val="0049147B"/>
    <w:rsid w:val="00491668"/>
    <w:rsid w:val="00491C14"/>
    <w:rsid w:val="0049261B"/>
    <w:rsid w:val="004927AB"/>
    <w:rsid w:val="004929E8"/>
    <w:rsid w:val="00492F2D"/>
    <w:rsid w:val="00492FD6"/>
    <w:rsid w:val="004934B8"/>
    <w:rsid w:val="004936E8"/>
    <w:rsid w:val="00493B80"/>
    <w:rsid w:val="0049401A"/>
    <w:rsid w:val="00494332"/>
    <w:rsid w:val="00494BE0"/>
    <w:rsid w:val="004958F6"/>
    <w:rsid w:val="00495AB3"/>
    <w:rsid w:val="00495EE8"/>
    <w:rsid w:val="004968C1"/>
    <w:rsid w:val="00496A8D"/>
    <w:rsid w:val="00496CA3"/>
    <w:rsid w:val="00497246"/>
    <w:rsid w:val="004974D9"/>
    <w:rsid w:val="00497794"/>
    <w:rsid w:val="004977C3"/>
    <w:rsid w:val="004A09C8"/>
    <w:rsid w:val="004A11F0"/>
    <w:rsid w:val="004A1251"/>
    <w:rsid w:val="004A17BB"/>
    <w:rsid w:val="004A1AD7"/>
    <w:rsid w:val="004A1B5F"/>
    <w:rsid w:val="004A1FB2"/>
    <w:rsid w:val="004A22B8"/>
    <w:rsid w:val="004A2FA9"/>
    <w:rsid w:val="004A341F"/>
    <w:rsid w:val="004A3531"/>
    <w:rsid w:val="004A36CE"/>
    <w:rsid w:val="004A3CFE"/>
    <w:rsid w:val="004A4621"/>
    <w:rsid w:val="004A4BDE"/>
    <w:rsid w:val="004A4D66"/>
    <w:rsid w:val="004A519F"/>
    <w:rsid w:val="004A5295"/>
    <w:rsid w:val="004A52A8"/>
    <w:rsid w:val="004A5500"/>
    <w:rsid w:val="004A5C1E"/>
    <w:rsid w:val="004A5C3C"/>
    <w:rsid w:val="004A5DC5"/>
    <w:rsid w:val="004A63A9"/>
    <w:rsid w:val="004A63FA"/>
    <w:rsid w:val="004A6B1E"/>
    <w:rsid w:val="004A6BE8"/>
    <w:rsid w:val="004A7631"/>
    <w:rsid w:val="004A77D6"/>
    <w:rsid w:val="004A7952"/>
    <w:rsid w:val="004A7DE3"/>
    <w:rsid w:val="004B0148"/>
    <w:rsid w:val="004B052B"/>
    <w:rsid w:val="004B0AA1"/>
    <w:rsid w:val="004B0ABB"/>
    <w:rsid w:val="004B0C11"/>
    <w:rsid w:val="004B19BE"/>
    <w:rsid w:val="004B1A72"/>
    <w:rsid w:val="004B1A7A"/>
    <w:rsid w:val="004B1C77"/>
    <w:rsid w:val="004B20FA"/>
    <w:rsid w:val="004B2387"/>
    <w:rsid w:val="004B2D91"/>
    <w:rsid w:val="004B3053"/>
    <w:rsid w:val="004B3247"/>
    <w:rsid w:val="004B32E0"/>
    <w:rsid w:val="004B3BDB"/>
    <w:rsid w:val="004B3F1A"/>
    <w:rsid w:val="004B40BF"/>
    <w:rsid w:val="004B4533"/>
    <w:rsid w:val="004B4569"/>
    <w:rsid w:val="004B4863"/>
    <w:rsid w:val="004B4D7D"/>
    <w:rsid w:val="004B603D"/>
    <w:rsid w:val="004B685E"/>
    <w:rsid w:val="004B69F5"/>
    <w:rsid w:val="004B6A26"/>
    <w:rsid w:val="004B6E5D"/>
    <w:rsid w:val="004B7264"/>
    <w:rsid w:val="004B73A6"/>
    <w:rsid w:val="004B7474"/>
    <w:rsid w:val="004B74D9"/>
    <w:rsid w:val="004B7E94"/>
    <w:rsid w:val="004B7FAD"/>
    <w:rsid w:val="004C00E1"/>
    <w:rsid w:val="004C0AA7"/>
    <w:rsid w:val="004C0BC5"/>
    <w:rsid w:val="004C0D96"/>
    <w:rsid w:val="004C1234"/>
    <w:rsid w:val="004C13CF"/>
    <w:rsid w:val="004C18E3"/>
    <w:rsid w:val="004C1D11"/>
    <w:rsid w:val="004C2184"/>
    <w:rsid w:val="004C236A"/>
    <w:rsid w:val="004C2598"/>
    <w:rsid w:val="004C2DD9"/>
    <w:rsid w:val="004C2F45"/>
    <w:rsid w:val="004C3E60"/>
    <w:rsid w:val="004C4130"/>
    <w:rsid w:val="004C42BE"/>
    <w:rsid w:val="004C4AF6"/>
    <w:rsid w:val="004C50E1"/>
    <w:rsid w:val="004C528A"/>
    <w:rsid w:val="004C6075"/>
    <w:rsid w:val="004C6742"/>
    <w:rsid w:val="004C6A4A"/>
    <w:rsid w:val="004C6BCC"/>
    <w:rsid w:val="004C6C7F"/>
    <w:rsid w:val="004C702A"/>
    <w:rsid w:val="004C7147"/>
    <w:rsid w:val="004C770B"/>
    <w:rsid w:val="004C7817"/>
    <w:rsid w:val="004C7C30"/>
    <w:rsid w:val="004C7FFD"/>
    <w:rsid w:val="004D02FB"/>
    <w:rsid w:val="004D0A75"/>
    <w:rsid w:val="004D135D"/>
    <w:rsid w:val="004D143F"/>
    <w:rsid w:val="004D246B"/>
    <w:rsid w:val="004D248F"/>
    <w:rsid w:val="004D2C1A"/>
    <w:rsid w:val="004D2C5E"/>
    <w:rsid w:val="004D2CB6"/>
    <w:rsid w:val="004D3BAA"/>
    <w:rsid w:val="004D4293"/>
    <w:rsid w:val="004D5719"/>
    <w:rsid w:val="004D5893"/>
    <w:rsid w:val="004D6739"/>
    <w:rsid w:val="004D6CF9"/>
    <w:rsid w:val="004D6EC1"/>
    <w:rsid w:val="004D6F6F"/>
    <w:rsid w:val="004D7370"/>
    <w:rsid w:val="004D7479"/>
    <w:rsid w:val="004D7541"/>
    <w:rsid w:val="004D7BAF"/>
    <w:rsid w:val="004D7D6E"/>
    <w:rsid w:val="004D7D80"/>
    <w:rsid w:val="004D7E8D"/>
    <w:rsid w:val="004E0480"/>
    <w:rsid w:val="004E0ECA"/>
    <w:rsid w:val="004E10C9"/>
    <w:rsid w:val="004E16EE"/>
    <w:rsid w:val="004E1948"/>
    <w:rsid w:val="004E1A3B"/>
    <w:rsid w:val="004E1AE9"/>
    <w:rsid w:val="004E1D13"/>
    <w:rsid w:val="004E1E85"/>
    <w:rsid w:val="004E217E"/>
    <w:rsid w:val="004E219E"/>
    <w:rsid w:val="004E226B"/>
    <w:rsid w:val="004E22CD"/>
    <w:rsid w:val="004E238F"/>
    <w:rsid w:val="004E2929"/>
    <w:rsid w:val="004E2DDF"/>
    <w:rsid w:val="004E3223"/>
    <w:rsid w:val="004E3274"/>
    <w:rsid w:val="004E3916"/>
    <w:rsid w:val="004E41A4"/>
    <w:rsid w:val="004E4538"/>
    <w:rsid w:val="004E56E0"/>
    <w:rsid w:val="004E5A20"/>
    <w:rsid w:val="004E5D42"/>
    <w:rsid w:val="004E6399"/>
    <w:rsid w:val="004E6A41"/>
    <w:rsid w:val="004E6EAF"/>
    <w:rsid w:val="004E6F3F"/>
    <w:rsid w:val="004E7160"/>
    <w:rsid w:val="004E73E0"/>
    <w:rsid w:val="004E7444"/>
    <w:rsid w:val="004E7BE3"/>
    <w:rsid w:val="004E7CB4"/>
    <w:rsid w:val="004E7CF2"/>
    <w:rsid w:val="004E7DC1"/>
    <w:rsid w:val="004F04D0"/>
    <w:rsid w:val="004F0865"/>
    <w:rsid w:val="004F0A00"/>
    <w:rsid w:val="004F204E"/>
    <w:rsid w:val="004F234D"/>
    <w:rsid w:val="004F25D5"/>
    <w:rsid w:val="004F2EED"/>
    <w:rsid w:val="004F2F78"/>
    <w:rsid w:val="004F31E5"/>
    <w:rsid w:val="004F3423"/>
    <w:rsid w:val="004F355B"/>
    <w:rsid w:val="004F3E03"/>
    <w:rsid w:val="004F3F93"/>
    <w:rsid w:val="004F43CD"/>
    <w:rsid w:val="004F44C1"/>
    <w:rsid w:val="004F45F5"/>
    <w:rsid w:val="004F4B4C"/>
    <w:rsid w:val="004F504B"/>
    <w:rsid w:val="004F5424"/>
    <w:rsid w:val="004F57FE"/>
    <w:rsid w:val="004F5AF0"/>
    <w:rsid w:val="004F5E8D"/>
    <w:rsid w:val="004F66BD"/>
    <w:rsid w:val="004F6C91"/>
    <w:rsid w:val="004F7A43"/>
    <w:rsid w:val="004F7E08"/>
    <w:rsid w:val="00500238"/>
    <w:rsid w:val="005007A6"/>
    <w:rsid w:val="0050086D"/>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35D"/>
    <w:rsid w:val="00504865"/>
    <w:rsid w:val="00504F24"/>
    <w:rsid w:val="005058C6"/>
    <w:rsid w:val="00505F8A"/>
    <w:rsid w:val="005060D9"/>
    <w:rsid w:val="00506A30"/>
    <w:rsid w:val="00506EE2"/>
    <w:rsid w:val="00507067"/>
    <w:rsid w:val="005078A5"/>
    <w:rsid w:val="00510464"/>
    <w:rsid w:val="00510EC1"/>
    <w:rsid w:val="00511213"/>
    <w:rsid w:val="005119F8"/>
    <w:rsid w:val="00511BD1"/>
    <w:rsid w:val="0051221B"/>
    <w:rsid w:val="00512384"/>
    <w:rsid w:val="005123B0"/>
    <w:rsid w:val="00513322"/>
    <w:rsid w:val="00513439"/>
    <w:rsid w:val="005135A3"/>
    <w:rsid w:val="00513630"/>
    <w:rsid w:val="00513707"/>
    <w:rsid w:val="0051375A"/>
    <w:rsid w:val="00513AA0"/>
    <w:rsid w:val="00513B8E"/>
    <w:rsid w:val="00513C25"/>
    <w:rsid w:val="005147AA"/>
    <w:rsid w:val="00514AFA"/>
    <w:rsid w:val="00514FED"/>
    <w:rsid w:val="00515427"/>
    <w:rsid w:val="00515606"/>
    <w:rsid w:val="0051563A"/>
    <w:rsid w:val="00515711"/>
    <w:rsid w:val="00515B3B"/>
    <w:rsid w:val="00515B67"/>
    <w:rsid w:val="00516149"/>
    <w:rsid w:val="0051656F"/>
    <w:rsid w:val="00516DAF"/>
    <w:rsid w:val="00517084"/>
    <w:rsid w:val="00517FF0"/>
    <w:rsid w:val="0052028A"/>
    <w:rsid w:val="00520AED"/>
    <w:rsid w:val="00520D6D"/>
    <w:rsid w:val="00520E11"/>
    <w:rsid w:val="005216D7"/>
    <w:rsid w:val="00521858"/>
    <w:rsid w:val="00521BD6"/>
    <w:rsid w:val="00521C17"/>
    <w:rsid w:val="00521D24"/>
    <w:rsid w:val="0052252E"/>
    <w:rsid w:val="00522829"/>
    <w:rsid w:val="00523150"/>
    <w:rsid w:val="00523C53"/>
    <w:rsid w:val="005241D0"/>
    <w:rsid w:val="00524534"/>
    <w:rsid w:val="00524EDB"/>
    <w:rsid w:val="005250CD"/>
    <w:rsid w:val="0052529A"/>
    <w:rsid w:val="00525677"/>
    <w:rsid w:val="00525DAE"/>
    <w:rsid w:val="00525F63"/>
    <w:rsid w:val="00525FE1"/>
    <w:rsid w:val="0052653C"/>
    <w:rsid w:val="00526686"/>
    <w:rsid w:val="005269AC"/>
    <w:rsid w:val="00526FB5"/>
    <w:rsid w:val="005273BA"/>
    <w:rsid w:val="005276FF"/>
    <w:rsid w:val="005303B0"/>
    <w:rsid w:val="005305FC"/>
    <w:rsid w:val="00530B64"/>
    <w:rsid w:val="00530E34"/>
    <w:rsid w:val="00531581"/>
    <w:rsid w:val="00531ECB"/>
    <w:rsid w:val="00532555"/>
    <w:rsid w:val="00532590"/>
    <w:rsid w:val="005336F5"/>
    <w:rsid w:val="005338F5"/>
    <w:rsid w:val="0053396B"/>
    <w:rsid w:val="005339BD"/>
    <w:rsid w:val="00533B19"/>
    <w:rsid w:val="005341CA"/>
    <w:rsid w:val="005341D8"/>
    <w:rsid w:val="005343DC"/>
    <w:rsid w:val="00534469"/>
    <w:rsid w:val="00534A74"/>
    <w:rsid w:val="00535237"/>
    <w:rsid w:val="005359FD"/>
    <w:rsid w:val="00535FAB"/>
    <w:rsid w:val="00536170"/>
    <w:rsid w:val="005368C8"/>
    <w:rsid w:val="00536CAC"/>
    <w:rsid w:val="00536CD5"/>
    <w:rsid w:val="00536E4B"/>
    <w:rsid w:val="00536E4D"/>
    <w:rsid w:val="005372E4"/>
    <w:rsid w:val="0053796C"/>
    <w:rsid w:val="00537CC0"/>
    <w:rsid w:val="00540CA3"/>
    <w:rsid w:val="00541283"/>
    <w:rsid w:val="00541743"/>
    <w:rsid w:val="00541AC4"/>
    <w:rsid w:val="00541C62"/>
    <w:rsid w:val="00541D29"/>
    <w:rsid w:val="00542509"/>
    <w:rsid w:val="005427B7"/>
    <w:rsid w:val="00543132"/>
    <w:rsid w:val="00544538"/>
    <w:rsid w:val="005449A9"/>
    <w:rsid w:val="005449C6"/>
    <w:rsid w:val="00544DCE"/>
    <w:rsid w:val="00544FBD"/>
    <w:rsid w:val="00545049"/>
    <w:rsid w:val="005456D9"/>
    <w:rsid w:val="00545713"/>
    <w:rsid w:val="005459F9"/>
    <w:rsid w:val="00545E9D"/>
    <w:rsid w:val="005464F3"/>
    <w:rsid w:val="00546A89"/>
    <w:rsid w:val="00546FA4"/>
    <w:rsid w:val="00546FED"/>
    <w:rsid w:val="0054707E"/>
    <w:rsid w:val="00547B18"/>
    <w:rsid w:val="00550004"/>
    <w:rsid w:val="00550056"/>
    <w:rsid w:val="00550147"/>
    <w:rsid w:val="00550329"/>
    <w:rsid w:val="00550467"/>
    <w:rsid w:val="005505B7"/>
    <w:rsid w:val="0055086E"/>
    <w:rsid w:val="00550D05"/>
    <w:rsid w:val="00551098"/>
    <w:rsid w:val="0055110E"/>
    <w:rsid w:val="00551560"/>
    <w:rsid w:val="00551653"/>
    <w:rsid w:val="0055178B"/>
    <w:rsid w:val="00551A2E"/>
    <w:rsid w:val="0055204C"/>
    <w:rsid w:val="0055232B"/>
    <w:rsid w:val="00552B9C"/>
    <w:rsid w:val="00552BF9"/>
    <w:rsid w:val="00553D8D"/>
    <w:rsid w:val="00554353"/>
    <w:rsid w:val="005545B2"/>
    <w:rsid w:val="0055460C"/>
    <w:rsid w:val="00554747"/>
    <w:rsid w:val="00554D73"/>
    <w:rsid w:val="005557E3"/>
    <w:rsid w:val="00555BEA"/>
    <w:rsid w:val="005560C7"/>
    <w:rsid w:val="00556A0E"/>
    <w:rsid w:val="0055702D"/>
    <w:rsid w:val="00557487"/>
    <w:rsid w:val="005577B3"/>
    <w:rsid w:val="005577CD"/>
    <w:rsid w:val="005579EC"/>
    <w:rsid w:val="00557F53"/>
    <w:rsid w:val="0056013E"/>
    <w:rsid w:val="005606EA"/>
    <w:rsid w:val="00561E7E"/>
    <w:rsid w:val="005623D5"/>
    <w:rsid w:val="00562481"/>
    <w:rsid w:val="005627AE"/>
    <w:rsid w:val="00562E6A"/>
    <w:rsid w:val="0056323F"/>
    <w:rsid w:val="00563498"/>
    <w:rsid w:val="0056389D"/>
    <w:rsid w:val="00563A8E"/>
    <w:rsid w:val="00563DAD"/>
    <w:rsid w:val="00563DE8"/>
    <w:rsid w:val="00563F57"/>
    <w:rsid w:val="005646E1"/>
    <w:rsid w:val="00564831"/>
    <w:rsid w:val="005648D9"/>
    <w:rsid w:val="00564A23"/>
    <w:rsid w:val="0056508D"/>
    <w:rsid w:val="00565971"/>
    <w:rsid w:val="00565B86"/>
    <w:rsid w:val="00565D61"/>
    <w:rsid w:val="00566232"/>
    <w:rsid w:val="0056686F"/>
    <w:rsid w:val="00566C34"/>
    <w:rsid w:val="00566C6B"/>
    <w:rsid w:val="005673AA"/>
    <w:rsid w:val="00567DB0"/>
    <w:rsid w:val="00567E3E"/>
    <w:rsid w:val="0057010E"/>
    <w:rsid w:val="00570180"/>
    <w:rsid w:val="005702F5"/>
    <w:rsid w:val="00570CB9"/>
    <w:rsid w:val="00571114"/>
    <w:rsid w:val="0057113B"/>
    <w:rsid w:val="0057140A"/>
    <w:rsid w:val="0057172F"/>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5484"/>
    <w:rsid w:val="00575CFA"/>
    <w:rsid w:val="00576111"/>
    <w:rsid w:val="0057636B"/>
    <w:rsid w:val="00576B33"/>
    <w:rsid w:val="00576D79"/>
    <w:rsid w:val="00576E44"/>
    <w:rsid w:val="005772B4"/>
    <w:rsid w:val="0057752D"/>
    <w:rsid w:val="005777FB"/>
    <w:rsid w:val="005778E0"/>
    <w:rsid w:val="00577EC4"/>
    <w:rsid w:val="00580170"/>
    <w:rsid w:val="0058023D"/>
    <w:rsid w:val="00580A48"/>
    <w:rsid w:val="00580E4E"/>
    <w:rsid w:val="00581212"/>
    <w:rsid w:val="00581520"/>
    <w:rsid w:val="00581530"/>
    <w:rsid w:val="00581C01"/>
    <w:rsid w:val="00581FE4"/>
    <w:rsid w:val="005822F6"/>
    <w:rsid w:val="0058263F"/>
    <w:rsid w:val="005829F3"/>
    <w:rsid w:val="00582AD5"/>
    <w:rsid w:val="00582BBE"/>
    <w:rsid w:val="00582D9A"/>
    <w:rsid w:val="005833C6"/>
    <w:rsid w:val="005836EC"/>
    <w:rsid w:val="00583AF2"/>
    <w:rsid w:val="00583BA8"/>
    <w:rsid w:val="0058408C"/>
    <w:rsid w:val="005841AD"/>
    <w:rsid w:val="00584485"/>
    <w:rsid w:val="005846BC"/>
    <w:rsid w:val="00584CB9"/>
    <w:rsid w:val="00584F4C"/>
    <w:rsid w:val="0058504C"/>
    <w:rsid w:val="00585AA0"/>
    <w:rsid w:val="005861B6"/>
    <w:rsid w:val="00586250"/>
    <w:rsid w:val="005865CE"/>
    <w:rsid w:val="00586924"/>
    <w:rsid w:val="005873BB"/>
    <w:rsid w:val="00587A29"/>
    <w:rsid w:val="00587D87"/>
    <w:rsid w:val="005903CD"/>
    <w:rsid w:val="0059096D"/>
    <w:rsid w:val="00590BE2"/>
    <w:rsid w:val="00590E65"/>
    <w:rsid w:val="005913CD"/>
    <w:rsid w:val="005917B6"/>
    <w:rsid w:val="005917D0"/>
    <w:rsid w:val="00591FF2"/>
    <w:rsid w:val="00592732"/>
    <w:rsid w:val="00592A05"/>
    <w:rsid w:val="00592B97"/>
    <w:rsid w:val="00593BD2"/>
    <w:rsid w:val="00593CAE"/>
    <w:rsid w:val="00593F95"/>
    <w:rsid w:val="00593FF1"/>
    <w:rsid w:val="00594008"/>
    <w:rsid w:val="0059475F"/>
    <w:rsid w:val="00594CD7"/>
    <w:rsid w:val="00594ECB"/>
    <w:rsid w:val="00595791"/>
    <w:rsid w:val="005958AE"/>
    <w:rsid w:val="00595A4F"/>
    <w:rsid w:val="00595ED6"/>
    <w:rsid w:val="00596052"/>
    <w:rsid w:val="005960DA"/>
    <w:rsid w:val="005965A9"/>
    <w:rsid w:val="00597283"/>
    <w:rsid w:val="00597448"/>
    <w:rsid w:val="00597804"/>
    <w:rsid w:val="00597BE4"/>
    <w:rsid w:val="005A019E"/>
    <w:rsid w:val="005A09C2"/>
    <w:rsid w:val="005A1399"/>
    <w:rsid w:val="005A1418"/>
    <w:rsid w:val="005A1514"/>
    <w:rsid w:val="005A1A34"/>
    <w:rsid w:val="005A1D50"/>
    <w:rsid w:val="005A21EE"/>
    <w:rsid w:val="005A2F41"/>
    <w:rsid w:val="005A30B8"/>
    <w:rsid w:val="005A33CB"/>
    <w:rsid w:val="005A350C"/>
    <w:rsid w:val="005A3693"/>
    <w:rsid w:val="005A3D56"/>
    <w:rsid w:val="005A3DD0"/>
    <w:rsid w:val="005A47D5"/>
    <w:rsid w:val="005A52E6"/>
    <w:rsid w:val="005A52F3"/>
    <w:rsid w:val="005A5783"/>
    <w:rsid w:val="005A59EF"/>
    <w:rsid w:val="005A6108"/>
    <w:rsid w:val="005A63E5"/>
    <w:rsid w:val="005A6F78"/>
    <w:rsid w:val="005A7376"/>
    <w:rsid w:val="005A7820"/>
    <w:rsid w:val="005A7879"/>
    <w:rsid w:val="005A788F"/>
    <w:rsid w:val="005A7E7F"/>
    <w:rsid w:val="005B02DF"/>
    <w:rsid w:val="005B0437"/>
    <w:rsid w:val="005B05B3"/>
    <w:rsid w:val="005B05F5"/>
    <w:rsid w:val="005B0677"/>
    <w:rsid w:val="005B0B49"/>
    <w:rsid w:val="005B0F39"/>
    <w:rsid w:val="005B1AB9"/>
    <w:rsid w:val="005B1BEA"/>
    <w:rsid w:val="005B1CC5"/>
    <w:rsid w:val="005B1DA5"/>
    <w:rsid w:val="005B202F"/>
    <w:rsid w:val="005B21DA"/>
    <w:rsid w:val="005B260E"/>
    <w:rsid w:val="005B2972"/>
    <w:rsid w:val="005B2EA8"/>
    <w:rsid w:val="005B34C2"/>
    <w:rsid w:val="005B380E"/>
    <w:rsid w:val="005B3C3E"/>
    <w:rsid w:val="005B3D32"/>
    <w:rsid w:val="005B51AC"/>
    <w:rsid w:val="005B5335"/>
    <w:rsid w:val="005B5853"/>
    <w:rsid w:val="005B5A1E"/>
    <w:rsid w:val="005B5EEC"/>
    <w:rsid w:val="005B647D"/>
    <w:rsid w:val="005B6B38"/>
    <w:rsid w:val="005B6EEC"/>
    <w:rsid w:val="005B6EF1"/>
    <w:rsid w:val="005B6F05"/>
    <w:rsid w:val="005B7F43"/>
    <w:rsid w:val="005C02D9"/>
    <w:rsid w:val="005C0D70"/>
    <w:rsid w:val="005C1182"/>
    <w:rsid w:val="005C11E1"/>
    <w:rsid w:val="005C1467"/>
    <w:rsid w:val="005C1502"/>
    <w:rsid w:val="005C1746"/>
    <w:rsid w:val="005C1F6A"/>
    <w:rsid w:val="005C2F03"/>
    <w:rsid w:val="005C2F77"/>
    <w:rsid w:val="005C3412"/>
    <w:rsid w:val="005C3717"/>
    <w:rsid w:val="005C38A2"/>
    <w:rsid w:val="005C4361"/>
    <w:rsid w:val="005C45E4"/>
    <w:rsid w:val="005C4B7F"/>
    <w:rsid w:val="005C4FBE"/>
    <w:rsid w:val="005C50FA"/>
    <w:rsid w:val="005C523C"/>
    <w:rsid w:val="005C52C4"/>
    <w:rsid w:val="005C5337"/>
    <w:rsid w:val="005C5A2E"/>
    <w:rsid w:val="005C6045"/>
    <w:rsid w:val="005C608E"/>
    <w:rsid w:val="005C6300"/>
    <w:rsid w:val="005C63FF"/>
    <w:rsid w:val="005C6499"/>
    <w:rsid w:val="005C661A"/>
    <w:rsid w:val="005C6C92"/>
    <w:rsid w:val="005C6E7D"/>
    <w:rsid w:val="005C74C0"/>
    <w:rsid w:val="005C7E2E"/>
    <w:rsid w:val="005D00E2"/>
    <w:rsid w:val="005D0170"/>
    <w:rsid w:val="005D0566"/>
    <w:rsid w:val="005D0B0A"/>
    <w:rsid w:val="005D187A"/>
    <w:rsid w:val="005D1ACA"/>
    <w:rsid w:val="005D2272"/>
    <w:rsid w:val="005D33E5"/>
    <w:rsid w:val="005D3557"/>
    <w:rsid w:val="005D3C95"/>
    <w:rsid w:val="005D451F"/>
    <w:rsid w:val="005D4AF6"/>
    <w:rsid w:val="005D4D9E"/>
    <w:rsid w:val="005D5072"/>
    <w:rsid w:val="005D516B"/>
    <w:rsid w:val="005D58C3"/>
    <w:rsid w:val="005D73D5"/>
    <w:rsid w:val="005D7678"/>
    <w:rsid w:val="005D76C8"/>
    <w:rsid w:val="005D76E3"/>
    <w:rsid w:val="005E0F99"/>
    <w:rsid w:val="005E17A3"/>
    <w:rsid w:val="005E1B51"/>
    <w:rsid w:val="005E25A6"/>
    <w:rsid w:val="005E270C"/>
    <w:rsid w:val="005E276A"/>
    <w:rsid w:val="005E2BE7"/>
    <w:rsid w:val="005E3036"/>
    <w:rsid w:val="005E333D"/>
    <w:rsid w:val="005E334F"/>
    <w:rsid w:val="005E3557"/>
    <w:rsid w:val="005E3630"/>
    <w:rsid w:val="005E3B74"/>
    <w:rsid w:val="005E3BFB"/>
    <w:rsid w:val="005E41B1"/>
    <w:rsid w:val="005E435B"/>
    <w:rsid w:val="005E47DD"/>
    <w:rsid w:val="005E4942"/>
    <w:rsid w:val="005E4948"/>
    <w:rsid w:val="005E5DE3"/>
    <w:rsid w:val="005E5F36"/>
    <w:rsid w:val="005E6744"/>
    <w:rsid w:val="005E6815"/>
    <w:rsid w:val="005E6F6E"/>
    <w:rsid w:val="005E7604"/>
    <w:rsid w:val="005F0324"/>
    <w:rsid w:val="005F0747"/>
    <w:rsid w:val="005F07F5"/>
    <w:rsid w:val="005F0C58"/>
    <w:rsid w:val="005F0F49"/>
    <w:rsid w:val="005F10E6"/>
    <w:rsid w:val="005F1651"/>
    <w:rsid w:val="005F1B67"/>
    <w:rsid w:val="005F1DF7"/>
    <w:rsid w:val="005F23DE"/>
    <w:rsid w:val="005F2E83"/>
    <w:rsid w:val="005F33FB"/>
    <w:rsid w:val="005F3E68"/>
    <w:rsid w:val="005F431A"/>
    <w:rsid w:val="005F4458"/>
    <w:rsid w:val="005F4532"/>
    <w:rsid w:val="005F472D"/>
    <w:rsid w:val="005F4815"/>
    <w:rsid w:val="005F4DAF"/>
    <w:rsid w:val="005F5141"/>
    <w:rsid w:val="005F51F2"/>
    <w:rsid w:val="005F5F0B"/>
    <w:rsid w:val="005F6230"/>
    <w:rsid w:val="005F668D"/>
    <w:rsid w:val="005F676F"/>
    <w:rsid w:val="005F6BE6"/>
    <w:rsid w:val="005F70AD"/>
    <w:rsid w:val="005F71E3"/>
    <w:rsid w:val="005F730C"/>
    <w:rsid w:val="005F7584"/>
    <w:rsid w:val="005F77A1"/>
    <w:rsid w:val="005F77E4"/>
    <w:rsid w:val="005F784F"/>
    <w:rsid w:val="005F78BA"/>
    <w:rsid w:val="00600146"/>
    <w:rsid w:val="00600379"/>
    <w:rsid w:val="006003DE"/>
    <w:rsid w:val="00600EC1"/>
    <w:rsid w:val="006015FF"/>
    <w:rsid w:val="00602183"/>
    <w:rsid w:val="006023EB"/>
    <w:rsid w:val="00602528"/>
    <w:rsid w:val="00603A3B"/>
    <w:rsid w:val="00603B58"/>
    <w:rsid w:val="00604086"/>
    <w:rsid w:val="00604087"/>
    <w:rsid w:val="00604544"/>
    <w:rsid w:val="00604BFB"/>
    <w:rsid w:val="00604C74"/>
    <w:rsid w:val="00605191"/>
    <w:rsid w:val="00605227"/>
    <w:rsid w:val="0060562E"/>
    <w:rsid w:val="00605B49"/>
    <w:rsid w:val="006064D4"/>
    <w:rsid w:val="006066EE"/>
    <w:rsid w:val="00606B28"/>
    <w:rsid w:val="00606EFA"/>
    <w:rsid w:val="006072E6"/>
    <w:rsid w:val="00607679"/>
    <w:rsid w:val="006079C8"/>
    <w:rsid w:val="00607A44"/>
    <w:rsid w:val="00607A7B"/>
    <w:rsid w:val="00607A85"/>
    <w:rsid w:val="00607CE3"/>
    <w:rsid w:val="006103F3"/>
    <w:rsid w:val="006107D3"/>
    <w:rsid w:val="00610E58"/>
    <w:rsid w:val="00611124"/>
    <w:rsid w:val="00611D0D"/>
    <w:rsid w:val="00612105"/>
    <w:rsid w:val="006125BB"/>
    <w:rsid w:val="00612725"/>
    <w:rsid w:val="00612E08"/>
    <w:rsid w:val="00612F11"/>
    <w:rsid w:val="0061308B"/>
    <w:rsid w:val="00613AE5"/>
    <w:rsid w:val="00614B3A"/>
    <w:rsid w:val="00614E2C"/>
    <w:rsid w:val="00615320"/>
    <w:rsid w:val="006161D7"/>
    <w:rsid w:val="006165DE"/>
    <w:rsid w:val="00616DC1"/>
    <w:rsid w:val="00616E2B"/>
    <w:rsid w:val="0061700A"/>
    <w:rsid w:val="0061718B"/>
    <w:rsid w:val="00617294"/>
    <w:rsid w:val="006175A0"/>
    <w:rsid w:val="00617828"/>
    <w:rsid w:val="00617A55"/>
    <w:rsid w:val="00620149"/>
    <w:rsid w:val="006201C7"/>
    <w:rsid w:val="006204DC"/>
    <w:rsid w:val="0062163E"/>
    <w:rsid w:val="0062180A"/>
    <w:rsid w:val="00622415"/>
    <w:rsid w:val="0062246F"/>
    <w:rsid w:val="00622567"/>
    <w:rsid w:val="00622D25"/>
    <w:rsid w:val="00622D41"/>
    <w:rsid w:val="00622E72"/>
    <w:rsid w:val="00623287"/>
    <w:rsid w:val="00623845"/>
    <w:rsid w:val="00623852"/>
    <w:rsid w:val="006248B4"/>
    <w:rsid w:val="006249DA"/>
    <w:rsid w:val="00625005"/>
    <w:rsid w:val="006256F9"/>
    <w:rsid w:val="00625DDF"/>
    <w:rsid w:val="00626072"/>
    <w:rsid w:val="006267A6"/>
    <w:rsid w:val="00626D9F"/>
    <w:rsid w:val="00626E9E"/>
    <w:rsid w:val="00626F26"/>
    <w:rsid w:val="00627011"/>
    <w:rsid w:val="00627130"/>
    <w:rsid w:val="00627181"/>
    <w:rsid w:val="00627392"/>
    <w:rsid w:val="006273F6"/>
    <w:rsid w:val="00627579"/>
    <w:rsid w:val="00627709"/>
    <w:rsid w:val="00627CD7"/>
    <w:rsid w:val="006300AD"/>
    <w:rsid w:val="00630421"/>
    <w:rsid w:val="00631076"/>
    <w:rsid w:val="00631C42"/>
    <w:rsid w:val="00631DE8"/>
    <w:rsid w:val="006324AB"/>
    <w:rsid w:val="00632644"/>
    <w:rsid w:val="00633C56"/>
    <w:rsid w:val="00634BCB"/>
    <w:rsid w:val="00635096"/>
    <w:rsid w:val="00635303"/>
    <w:rsid w:val="00635505"/>
    <w:rsid w:val="0063561F"/>
    <w:rsid w:val="0063583F"/>
    <w:rsid w:val="006363A7"/>
    <w:rsid w:val="006367C4"/>
    <w:rsid w:val="0063695F"/>
    <w:rsid w:val="00636DE3"/>
    <w:rsid w:val="00636F58"/>
    <w:rsid w:val="00637011"/>
    <w:rsid w:val="006371B3"/>
    <w:rsid w:val="006375DB"/>
    <w:rsid w:val="006378D3"/>
    <w:rsid w:val="006379AE"/>
    <w:rsid w:val="0064003F"/>
    <w:rsid w:val="006404E7"/>
    <w:rsid w:val="006405A1"/>
    <w:rsid w:val="00640B38"/>
    <w:rsid w:val="0064135A"/>
    <w:rsid w:val="00641581"/>
    <w:rsid w:val="00641640"/>
    <w:rsid w:val="00641B26"/>
    <w:rsid w:val="006421B4"/>
    <w:rsid w:val="00642B16"/>
    <w:rsid w:val="00642BD7"/>
    <w:rsid w:val="0064337B"/>
    <w:rsid w:val="006433F4"/>
    <w:rsid w:val="006434FC"/>
    <w:rsid w:val="00643804"/>
    <w:rsid w:val="006438CB"/>
    <w:rsid w:val="00643B67"/>
    <w:rsid w:val="00644734"/>
    <w:rsid w:val="00644906"/>
    <w:rsid w:val="00644C72"/>
    <w:rsid w:val="006450FC"/>
    <w:rsid w:val="0064519E"/>
    <w:rsid w:val="006451CF"/>
    <w:rsid w:val="00645B88"/>
    <w:rsid w:val="006463C9"/>
    <w:rsid w:val="00646BFE"/>
    <w:rsid w:val="00647EB2"/>
    <w:rsid w:val="006500CC"/>
    <w:rsid w:val="00650A67"/>
    <w:rsid w:val="00650DF8"/>
    <w:rsid w:val="00650FE0"/>
    <w:rsid w:val="0065120D"/>
    <w:rsid w:val="00651566"/>
    <w:rsid w:val="006517B7"/>
    <w:rsid w:val="006518C6"/>
    <w:rsid w:val="00651E4F"/>
    <w:rsid w:val="006522C6"/>
    <w:rsid w:val="00652A4C"/>
    <w:rsid w:val="00653A3A"/>
    <w:rsid w:val="00653FBB"/>
    <w:rsid w:val="006541D5"/>
    <w:rsid w:val="006543F3"/>
    <w:rsid w:val="00654892"/>
    <w:rsid w:val="00654CFA"/>
    <w:rsid w:val="00655505"/>
    <w:rsid w:val="00655849"/>
    <w:rsid w:val="00655CC6"/>
    <w:rsid w:val="00656041"/>
    <w:rsid w:val="006560AD"/>
    <w:rsid w:val="006576BB"/>
    <w:rsid w:val="006576CB"/>
    <w:rsid w:val="0065778E"/>
    <w:rsid w:val="006579D0"/>
    <w:rsid w:val="00657B85"/>
    <w:rsid w:val="00657B8A"/>
    <w:rsid w:val="00657E3E"/>
    <w:rsid w:val="00660854"/>
    <w:rsid w:val="0066092A"/>
    <w:rsid w:val="00661026"/>
    <w:rsid w:val="006614DF"/>
    <w:rsid w:val="0066197D"/>
    <w:rsid w:val="00661A9A"/>
    <w:rsid w:val="00661D2B"/>
    <w:rsid w:val="006624C6"/>
    <w:rsid w:val="00662888"/>
    <w:rsid w:val="00662C78"/>
    <w:rsid w:val="00662E12"/>
    <w:rsid w:val="00663491"/>
    <w:rsid w:val="00663578"/>
    <w:rsid w:val="00663C1B"/>
    <w:rsid w:val="00663E18"/>
    <w:rsid w:val="006645C2"/>
    <w:rsid w:val="00664839"/>
    <w:rsid w:val="0066507D"/>
    <w:rsid w:val="006652D0"/>
    <w:rsid w:val="006659D5"/>
    <w:rsid w:val="00665FC9"/>
    <w:rsid w:val="00666236"/>
    <w:rsid w:val="0066653E"/>
    <w:rsid w:val="0066738D"/>
    <w:rsid w:val="006679D7"/>
    <w:rsid w:val="0067004D"/>
    <w:rsid w:val="006702DC"/>
    <w:rsid w:val="00670507"/>
    <w:rsid w:val="00670E79"/>
    <w:rsid w:val="00670F67"/>
    <w:rsid w:val="0067128E"/>
    <w:rsid w:val="00671B1E"/>
    <w:rsid w:val="00671B73"/>
    <w:rsid w:val="00672034"/>
    <w:rsid w:val="006735C3"/>
    <w:rsid w:val="00673A9D"/>
    <w:rsid w:val="00673FF8"/>
    <w:rsid w:val="00674B54"/>
    <w:rsid w:val="00674CD3"/>
    <w:rsid w:val="00674D6B"/>
    <w:rsid w:val="00674FD4"/>
    <w:rsid w:val="00675184"/>
    <w:rsid w:val="006751F1"/>
    <w:rsid w:val="0067524A"/>
    <w:rsid w:val="006759D6"/>
    <w:rsid w:val="00675E6D"/>
    <w:rsid w:val="00676048"/>
    <w:rsid w:val="00676890"/>
    <w:rsid w:val="00676C3C"/>
    <w:rsid w:val="00677775"/>
    <w:rsid w:val="00677B72"/>
    <w:rsid w:val="00677BA6"/>
    <w:rsid w:val="00677FD1"/>
    <w:rsid w:val="00680927"/>
    <w:rsid w:val="00680C4B"/>
    <w:rsid w:val="00680FD9"/>
    <w:rsid w:val="00681ACA"/>
    <w:rsid w:val="0068207D"/>
    <w:rsid w:val="00683134"/>
    <w:rsid w:val="0068324E"/>
    <w:rsid w:val="00683262"/>
    <w:rsid w:val="00683B25"/>
    <w:rsid w:val="00683DF7"/>
    <w:rsid w:val="0068487E"/>
    <w:rsid w:val="00684BD7"/>
    <w:rsid w:val="00684D59"/>
    <w:rsid w:val="00684FCD"/>
    <w:rsid w:val="00686041"/>
    <w:rsid w:val="0068666A"/>
    <w:rsid w:val="006869E6"/>
    <w:rsid w:val="00686B5C"/>
    <w:rsid w:val="00686DE3"/>
    <w:rsid w:val="00686F9D"/>
    <w:rsid w:val="00687372"/>
    <w:rsid w:val="006873C0"/>
    <w:rsid w:val="006877D5"/>
    <w:rsid w:val="00687BEE"/>
    <w:rsid w:val="0069106B"/>
    <w:rsid w:val="00691282"/>
    <w:rsid w:val="0069162B"/>
    <w:rsid w:val="006916D0"/>
    <w:rsid w:val="00691730"/>
    <w:rsid w:val="00691EA1"/>
    <w:rsid w:val="00692295"/>
    <w:rsid w:val="00692415"/>
    <w:rsid w:val="006929CC"/>
    <w:rsid w:val="00692B17"/>
    <w:rsid w:val="00692C67"/>
    <w:rsid w:val="00693903"/>
    <w:rsid w:val="00693A68"/>
    <w:rsid w:val="00693C79"/>
    <w:rsid w:val="00693E3D"/>
    <w:rsid w:val="00694232"/>
    <w:rsid w:val="0069494F"/>
    <w:rsid w:val="0069509F"/>
    <w:rsid w:val="00695C15"/>
    <w:rsid w:val="0069657D"/>
    <w:rsid w:val="00696B3D"/>
    <w:rsid w:val="00696DA1"/>
    <w:rsid w:val="00697260"/>
    <w:rsid w:val="00697A66"/>
    <w:rsid w:val="006A0116"/>
    <w:rsid w:val="006A0A14"/>
    <w:rsid w:val="006A0BBB"/>
    <w:rsid w:val="006A0C41"/>
    <w:rsid w:val="006A14F2"/>
    <w:rsid w:val="006A16B8"/>
    <w:rsid w:val="006A1F28"/>
    <w:rsid w:val="006A2335"/>
    <w:rsid w:val="006A2748"/>
    <w:rsid w:val="006A2771"/>
    <w:rsid w:val="006A27FD"/>
    <w:rsid w:val="006A289B"/>
    <w:rsid w:val="006A295A"/>
    <w:rsid w:val="006A33CD"/>
    <w:rsid w:val="006A3961"/>
    <w:rsid w:val="006A4269"/>
    <w:rsid w:val="006A42ED"/>
    <w:rsid w:val="006A54C7"/>
    <w:rsid w:val="006A582D"/>
    <w:rsid w:val="006A582E"/>
    <w:rsid w:val="006A5E28"/>
    <w:rsid w:val="006A655B"/>
    <w:rsid w:val="006A67B9"/>
    <w:rsid w:val="006A6812"/>
    <w:rsid w:val="006A6959"/>
    <w:rsid w:val="006A6C70"/>
    <w:rsid w:val="006A6D2C"/>
    <w:rsid w:val="006A70C8"/>
    <w:rsid w:val="006A7250"/>
    <w:rsid w:val="006B0608"/>
    <w:rsid w:val="006B0D03"/>
    <w:rsid w:val="006B105C"/>
    <w:rsid w:val="006B10A3"/>
    <w:rsid w:val="006B10C3"/>
    <w:rsid w:val="006B1559"/>
    <w:rsid w:val="006B18A5"/>
    <w:rsid w:val="006B19D9"/>
    <w:rsid w:val="006B1AB6"/>
    <w:rsid w:val="006B1BFE"/>
    <w:rsid w:val="006B1F09"/>
    <w:rsid w:val="006B1FC6"/>
    <w:rsid w:val="006B2C7B"/>
    <w:rsid w:val="006B2D6C"/>
    <w:rsid w:val="006B3891"/>
    <w:rsid w:val="006B3CBF"/>
    <w:rsid w:val="006B43AA"/>
    <w:rsid w:val="006B4BB6"/>
    <w:rsid w:val="006B506A"/>
    <w:rsid w:val="006B51A5"/>
    <w:rsid w:val="006B5FA6"/>
    <w:rsid w:val="006B6278"/>
    <w:rsid w:val="006B65FB"/>
    <w:rsid w:val="006B662D"/>
    <w:rsid w:val="006B66E4"/>
    <w:rsid w:val="006B6842"/>
    <w:rsid w:val="006B6BCF"/>
    <w:rsid w:val="006B6BF0"/>
    <w:rsid w:val="006B71B6"/>
    <w:rsid w:val="006B7738"/>
    <w:rsid w:val="006B7865"/>
    <w:rsid w:val="006B7DEE"/>
    <w:rsid w:val="006B7F9B"/>
    <w:rsid w:val="006C056E"/>
    <w:rsid w:val="006C09C6"/>
    <w:rsid w:val="006C0C3C"/>
    <w:rsid w:val="006C0FCE"/>
    <w:rsid w:val="006C1183"/>
    <w:rsid w:val="006C11F9"/>
    <w:rsid w:val="006C2200"/>
    <w:rsid w:val="006C2203"/>
    <w:rsid w:val="006C25D4"/>
    <w:rsid w:val="006C26AE"/>
    <w:rsid w:val="006C329C"/>
    <w:rsid w:val="006C3446"/>
    <w:rsid w:val="006C349C"/>
    <w:rsid w:val="006C3D25"/>
    <w:rsid w:val="006C4061"/>
    <w:rsid w:val="006C42E6"/>
    <w:rsid w:val="006C4A8C"/>
    <w:rsid w:val="006C4B22"/>
    <w:rsid w:val="006C4F6A"/>
    <w:rsid w:val="006C5150"/>
    <w:rsid w:val="006C69D0"/>
    <w:rsid w:val="006C6AA9"/>
    <w:rsid w:val="006C7034"/>
    <w:rsid w:val="006C7739"/>
    <w:rsid w:val="006C7955"/>
    <w:rsid w:val="006C7B62"/>
    <w:rsid w:val="006D0008"/>
    <w:rsid w:val="006D026B"/>
    <w:rsid w:val="006D03A5"/>
    <w:rsid w:val="006D091C"/>
    <w:rsid w:val="006D1E25"/>
    <w:rsid w:val="006D1F98"/>
    <w:rsid w:val="006D238A"/>
    <w:rsid w:val="006D2500"/>
    <w:rsid w:val="006D3214"/>
    <w:rsid w:val="006D3501"/>
    <w:rsid w:val="006D40A4"/>
    <w:rsid w:val="006D541B"/>
    <w:rsid w:val="006D55DD"/>
    <w:rsid w:val="006D581A"/>
    <w:rsid w:val="006D5E35"/>
    <w:rsid w:val="006D60C5"/>
    <w:rsid w:val="006D61C8"/>
    <w:rsid w:val="006D6367"/>
    <w:rsid w:val="006D64E0"/>
    <w:rsid w:val="006D7A29"/>
    <w:rsid w:val="006D7F74"/>
    <w:rsid w:val="006E0791"/>
    <w:rsid w:val="006E10AA"/>
    <w:rsid w:val="006E16DE"/>
    <w:rsid w:val="006E1DD9"/>
    <w:rsid w:val="006E2206"/>
    <w:rsid w:val="006E260F"/>
    <w:rsid w:val="006E2AAF"/>
    <w:rsid w:val="006E2C7B"/>
    <w:rsid w:val="006E3B9F"/>
    <w:rsid w:val="006E3F6F"/>
    <w:rsid w:val="006E403F"/>
    <w:rsid w:val="006E5629"/>
    <w:rsid w:val="006E566B"/>
    <w:rsid w:val="006E5B5A"/>
    <w:rsid w:val="006E5BA3"/>
    <w:rsid w:val="006E5FB3"/>
    <w:rsid w:val="006E61A6"/>
    <w:rsid w:val="006E6574"/>
    <w:rsid w:val="006E735F"/>
    <w:rsid w:val="006E78EE"/>
    <w:rsid w:val="006E7E8D"/>
    <w:rsid w:val="006F032D"/>
    <w:rsid w:val="006F06A1"/>
    <w:rsid w:val="006F154D"/>
    <w:rsid w:val="006F166B"/>
    <w:rsid w:val="006F18AD"/>
    <w:rsid w:val="006F1C18"/>
    <w:rsid w:val="006F1E7F"/>
    <w:rsid w:val="006F1EFD"/>
    <w:rsid w:val="006F24E5"/>
    <w:rsid w:val="006F257A"/>
    <w:rsid w:val="006F269A"/>
    <w:rsid w:val="006F2CA0"/>
    <w:rsid w:val="006F2E7A"/>
    <w:rsid w:val="006F3098"/>
    <w:rsid w:val="006F33D5"/>
    <w:rsid w:val="006F33F3"/>
    <w:rsid w:val="006F3584"/>
    <w:rsid w:val="006F39E1"/>
    <w:rsid w:val="006F4E52"/>
    <w:rsid w:val="006F4F4C"/>
    <w:rsid w:val="006F4FE1"/>
    <w:rsid w:val="006F5550"/>
    <w:rsid w:val="006F66A9"/>
    <w:rsid w:val="006F6A2B"/>
    <w:rsid w:val="006F6F76"/>
    <w:rsid w:val="006F7250"/>
    <w:rsid w:val="006F7410"/>
    <w:rsid w:val="006F7511"/>
    <w:rsid w:val="00700663"/>
    <w:rsid w:val="0070071F"/>
    <w:rsid w:val="00700790"/>
    <w:rsid w:val="007007BD"/>
    <w:rsid w:val="00700ABD"/>
    <w:rsid w:val="0070142A"/>
    <w:rsid w:val="00701524"/>
    <w:rsid w:val="00702801"/>
    <w:rsid w:val="00702AF7"/>
    <w:rsid w:val="0070304E"/>
    <w:rsid w:val="00703395"/>
    <w:rsid w:val="00703501"/>
    <w:rsid w:val="0070469F"/>
    <w:rsid w:val="0070507A"/>
    <w:rsid w:val="007051A4"/>
    <w:rsid w:val="00705744"/>
    <w:rsid w:val="00706096"/>
    <w:rsid w:val="00706159"/>
    <w:rsid w:val="007064A8"/>
    <w:rsid w:val="007064B2"/>
    <w:rsid w:val="007068AB"/>
    <w:rsid w:val="007074FD"/>
    <w:rsid w:val="0070755C"/>
    <w:rsid w:val="007076BB"/>
    <w:rsid w:val="00710038"/>
    <w:rsid w:val="00710041"/>
    <w:rsid w:val="00710652"/>
    <w:rsid w:val="00710718"/>
    <w:rsid w:val="007109D0"/>
    <w:rsid w:val="0071114A"/>
    <w:rsid w:val="007116E6"/>
    <w:rsid w:val="00711733"/>
    <w:rsid w:val="007127DF"/>
    <w:rsid w:val="00712FC1"/>
    <w:rsid w:val="0071301B"/>
    <w:rsid w:val="007136F0"/>
    <w:rsid w:val="007141E6"/>
    <w:rsid w:val="007143E6"/>
    <w:rsid w:val="00714524"/>
    <w:rsid w:val="007147B0"/>
    <w:rsid w:val="00714BF7"/>
    <w:rsid w:val="00714DC1"/>
    <w:rsid w:val="007152E8"/>
    <w:rsid w:val="007155A9"/>
    <w:rsid w:val="00715B83"/>
    <w:rsid w:val="007163B9"/>
    <w:rsid w:val="00716447"/>
    <w:rsid w:val="007165AC"/>
    <w:rsid w:val="0071675B"/>
    <w:rsid w:val="00716B63"/>
    <w:rsid w:val="00716DBF"/>
    <w:rsid w:val="00716EA5"/>
    <w:rsid w:val="007171A3"/>
    <w:rsid w:val="0071736D"/>
    <w:rsid w:val="00717481"/>
    <w:rsid w:val="00717BC0"/>
    <w:rsid w:val="007200C7"/>
    <w:rsid w:val="0072015D"/>
    <w:rsid w:val="00720494"/>
    <w:rsid w:val="00720E60"/>
    <w:rsid w:val="00720F7B"/>
    <w:rsid w:val="00721747"/>
    <w:rsid w:val="00722486"/>
    <w:rsid w:val="007228D1"/>
    <w:rsid w:val="00722AC1"/>
    <w:rsid w:val="00723979"/>
    <w:rsid w:val="00724300"/>
    <w:rsid w:val="00724407"/>
    <w:rsid w:val="007248EE"/>
    <w:rsid w:val="00724A6F"/>
    <w:rsid w:val="00724AE9"/>
    <w:rsid w:val="0072518F"/>
    <w:rsid w:val="007257E0"/>
    <w:rsid w:val="00725B73"/>
    <w:rsid w:val="00725D94"/>
    <w:rsid w:val="00726148"/>
    <w:rsid w:val="007261E6"/>
    <w:rsid w:val="00726D0A"/>
    <w:rsid w:val="0072715D"/>
    <w:rsid w:val="00727A37"/>
    <w:rsid w:val="00727A59"/>
    <w:rsid w:val="00727A74"/>
    <w:rsid w:val="00727BB9"/>
    <w:rsid w:val="00727BF9"/>
    <w:rsid w:val="00727D78"/>
    <w:rsid w:val="00730491"/>
    <w:rsid w:val="00730832"/>
    <w:rsid w:val="007308EE"/>
    <w:rsid w:val="00730B4F"/>
    <w:rsid w:val="00730DB7"/>
    <w:rsid w:val="00730F03"/>
    <w:rsid w:val="00730F42"/>
    <w:rsid w:val="00731007"/>
    <w:rsid w:val="007319BC"/>
    <w:rsid w:val="00731A2F"/>
    <w:rsid w:val="00731F42"/>
    <w:rsid w:val="0073303D"/>
    <w:rsid w:val="00733383"/>
    <w:rsid w:val="00733745"/>
    <w:rsid w:val="00734191"/>
    <w:rsid w:val="007346AA"/>
    <w:rsid w:val="00734801"/>
    <w:rsid w:val="00734E00"/>
    <w:rsid w:val="00735378"/>
    <w:rsid w:val="00735726"/>
    <w:rsid w:val="007359B3"/>
    <w:rsid w:val="00735CB8"/>
    <w:rsid w:val="00735F1C"/>
    <w:rsid w:val="00736116"/>
    <w:rsid w:val="007368ED"/>
    <w:rsid w:val="00737505"/>
    <w:rsid w:val="00740C09"/>
    <w:rsid w:val="00741830"/>
    <w:rsid w:val="0074183D"/>
    <w:rsid w:val="007419A5"/>
    <w:rsid w:val="00742331"/>
    <w:rsid w:val="00742668"/>
    <w:rsid w:val="00742C4B"/>
    <w:rsid w:val="00742CC1"/>
    <w:rsid w:val="00742DE2"/>
    <w:rsid w:val="00743375"/>
    <w:rsid w:val="00743BE2"/>
    <w:rsid w:val="00744210"/>
    <w:rsid w:val="00744687"/>
    <w:rsid w:val="0074477F"/>
    <w:rsid w:val="00744989"/>
    <w:rsid w:val="00744E34"/>
    <w:rsid w:val="00745888"/>
    <w:rsid w:val="00745B23"/>
    <w:rsid w:val="0074601D"/>
    <w:rsid w:val="00746194"/>
    <w:rsid w:val="00747528"/>
    <w:rsid w:val="00747738"/>
    <w:rsid w:val="00747AE8"/>
    <w:rsid w:val="00747EB9"/>
    <w:rsid w:val="007501BA"/>
    <w:rsid w:val="0075025C"/>
    <w:rsid w:val="00750391"/>
    <w:rsid w:val="007506A7"/>
    <w:rsid w:val="00750AD6"/>
    <w:rsid w:val="00750ED6"/>
    <w:rsid w:val="007521DE"/>
    <w:rsid w:val="007538BD"/>
    <w:rsid w:val="00753A3E"/>
    <w:rsid w:val="007543C4"/>
    <w:rsid w:val="00754E08"/>
    <w:rsid w:val="00755668"/>
    <w:rsid w:val="00755801"/>
    <w:rsid w:val="00755B1F"/>
    <w:rsid w:val="00755F9C"/>
    <w:rsid w:val="00757B82"/>
    <w:rsid w:val="00757CCA"/>
    <w:rsid w:val="007602A1"/>
    <w:rsid w:val="007606F9"/>
    <w:rsid w:val="00760846"/>
    <w:rsid w:val="00760CC4"/>
    <w:rsid w:val="00760D45"/>
    <w:rsid w:val="0076147E"/>
    <w:rsid w:val="007614F6"/>
    <w:rsid w:val="0076159C"/>
    <w:rsid w:val="007618DB"/>
    <w:rsid w:val="00761997"/>
    <w:rsid w:val="00761B4A"/>
    <w:rsid w:val="00761F26"/>
    <w:rsid w:val="007626C2"/>
    <w:rsid w:val="007629E5"/>
    <w:rsid w:val="00763A8E"/>
    <w:rsid w:val="00763E10"/>
    <w:rsid w:val="00764642"/>
    <w:rsid w:val="00764B37"/>
    <w:rsid w:val="00764C22"/>
    <w:rsid w:val="007652A6"/>
    <w:rsid w:val="0076535B"/>
    <w:rsid w:val="00765847"/>
    <w:rsid w:val="0076592B"/>
    <w:rsid w:val="007659FE"/>
    <w:rsid w:val="00766280"/>
    <w:rsid w:val="00766318"/>
    <w:rsid w:val="007664A8"/>
    <w:rsid w:val="00766FED"/>
    <w:rsid w:val="00770C02"/>
    <w:rsid w:val="0077101D"/>
    <w:rsid w:val="007714C1"/>
    <w:rsid w:val="00771832"/>
    <w:rsid w:val="00771A89"/>
    <w:rsid w:val="007732FA"/>
    <w:rsid w:val="007734EF"/>
    <w:rsid w:val="00774252"/>
    <w:rsid w:val="0077454C"/>
    <w:rsid w:val="00774E0B"/>
    <w:rsid w:val="00774E52"/>
    <w:rsid w:val="007750D3"/>
    <w:rsid w:val="00775127"/>
    <w:rsid w:val="007759A5"/>
    <w:rsid w:val="00775DCA"/>
    <w:rsid w:val="00776179"/>
    <w:rsid w:val="007763A0"/>
    <w:rsid w:val="007767CE"/>
    <w:rsid w:val="00776FA9"/>
    <w:rsid w:val="00777364"/>
    <w:rsid w:val="007777C4"/>
    <w:rsid w:val="00777B0A"/>
    <w:rsid w:val="00777FB7"/>
    <w:rsid w:val="00780BD0"/>
    <w:rsid w:val="00781040"/>
    <w:rsid w:val="00781FDF"/>
    <w:rsid w:val="0078201A"/>
    <w:rsid w:val="00782082"/>
    <w:rsid w:val="00782A60"/>
    <w:rsid w:val="00782BA7"/>
    <w:rsid w:val="00782EA7"/>
    <w:rsid w:val="00783491"/>
    <w:rsid w:val="00783ADB"/>
    <w:rsid w:val="00783B02"/>
    <w:rsid w:val="00784397"/>
    <w:rsid w:val="00784586"/>
    <w:rsid w:val="00784CBC"/>
    <w:rsid w:val="00785095"/>
    <w:rsid w:val="0078534A"/>
    <w:rsid w:val="00785585"/>
    <w:rsid w:val="00785604"/>
    <w:rsid w:val="007867AE"/>
    <w:rsid w:val="00787A23"/>
    <w:rsid w:val="00787BFF"/>
    <w:rsid w:val="0079006F"/>
    <w:rsid w:val="007903C6"/>
    <w:rsid w:val="00790C9D"/>
    <w:rsid w:val="00791628"/>
    <w:rsid w:val="00791DB6"/>
    <w:rsid w:val="00792912"/>
    <w:rsid w:val="00792A3D"/>
    <w:rsid w:val="007931DE"/>
    <w:rsid w:val="00793EE4"/>
    <w:rsid w:val="0079403F"/>
    <w:rsid w:val="00794216"/>
    <w:rsid w:val="00794718"/>
    <w:rsid w:val="00794817"/>
    <w:rsid w:val="00795410"/>
    <w:rsid w:val="00795434"/>
    <w:rsid w:val="00795838"/>
    <w:rsid w:val="00795B30"/>
    <w:rsid w:val="00795C4D"/>
    <w:rsid w:val="00795C51"/>
    <w:rsid w:val="00795FD8"/>
    <w:rsid w:val="00796109"/>
    <w:rsid w:val="00796222"/>
    <w:rsid w:val="0079626F"/>
    <w:rsid w:val="00796374"/>
    <w:rsid w:val="007963F2"/>
    <w:rsid w:val="00796A9F"/>
    <w:rsid w:val="00796B93"/>
    <w:rsid w:val="00797044"/>
    <w:rsid w:val="007976FC"/>
    <w:rsid w:val="0079784F"/>
    <w:rsid w:val="00797986"/>
    <w:rsid w:val="00797D15"/>
    <w:rsid w:val="007A0203"/>
    <w:rsid w:val="007A0412"/>
    <w:rsid w:val="007A080E"/>
    <w:rsid w:val="007A1F4B"/>
    <w:rsid w:val="007A20BE"/>
    <w:rsid w:val="007A226C"/>
    <w:rsid w:val="007A23C4"/>
    <w:rsid w:val="007A2998"/>
    <w:rsid w:val="007A2BB2"/>
    <w:rsid w:val="007A3A38"/>
    <w:rsid w:val="007A3A94"/>
    <w:rsid w:val="007A4C3A"/>
    <w:rsid w:val="007A4FFC"/>
    <w:rsid w:val="007A510C"/>
    <w:rsid w:val="007A58D8"/>
    <w:rsid w:val="007A5AEE"/>
    <w:rsid w:val="007A5F17"/>
    <w:rsid w:val="007A6516"/>
    <w:rsid w:val="007A65DF"/>
    <w:rsid w:val="007A66F6"/>
    <w:rsid w:val="007A687C"/>
    <w:rsid w:val="007A6D88"/>
    <w:rsid w:val="007A724F"/>
    <w:rsid w:val="007A7679"/>
    <w:rsid w:val="007A7BD5"/>
    <w:rsid w:val="007A7E3E"/>
    <w:rsid w:val="007B0889"/>
    <w:rsid w:val="007B0A7C"/>
    <w:rsid w:val="007B0ABB"/>
    <w:rsid w:val="007B0B01"/>
    <w:rsid w:val="007B0DE0"/>
    <w:rsid w:val="007B1376"/>
    <w:rsid w:val="007B1558"/>
    <w:rsid w:val="007B1B06"/>
    <w:rsid w:val="007B227F"/>
    <w:rsid w:val="007B2534"/>
    <w:rsid w:val="007B3435"/>
    <w:rsid w:val="007B36F2"/>
    <w:rsid w:val="007B3BFF"/>
    <w:rsid w:val="007B3DF1"/>
    <w:rsid w:val="007B44B8"/>
    <w:rsid w:val="007B45C1"/>
    <w:rsid w:val="007B4664"/>
    <w:rsid w:val="007B4831"/>
    <w:rsid w:val="007B4990"/>
    <w:rsid w:val="007B5376"/>
    <w:rsid w:val="007B5587"/>
    <w:rsid w:val="007B55B9"/>
    <w:rsid w:val="007B585A"/>
    <w:rsid w:val="007B5A6D"/>
    <w:rsid w:val="007B5C7D"/>
    <w:rsid w:val="007B63FF"/>
    <w:rsid w:val="007B6786"/>
    <w:rsid w:val="007B6821"/>
    <w:rsid w:val="007B699E"/>
    <w:rsid w:val="007B6A27"/>
    <w:rsid w:val="007B70C9"/>
    <w:rsid w:val="007B7221"/>
    <w:rsid w:val="007B7529"/>
    <w:rsid w:val="007B76E7"/>
    <w:rsid w:val="007C013F"/>
    <w:rsid w:val="007C015D"/>
    <w:rsid w:val="007C0726"/>
    <w:rsid w:val="007C1B87"/>
    <w:rsid w:val="007C1C44"/>
    <w:rsid w:val="007C2126"/>
    <w:rsid w:val="007C238E"/>
    <w:rsid w:val="007C2646"/>
    <w:rsid w:val="007C27D7"/>
    <w:rsid w:val="007C2EC3"/>
    <w:rsid w:val="007C3029"/>
    <w:rsid w:val="007C3384"/>
    <w:rsid w:val="007C3A16"/>
    <w:rsid w:val="007C3A9E"/>
    <w:rsid w:val="007C4043"/>
    <w:rsid w:val="007C4065"/>
    <w:rsid w:val="007C448C"/>
    <w:rsid w:val="007C4639"/>
    <w:rsid w:val="007C4BBE"/>
    <w:rsid w:val="007C59C2"/>
    <w:rsid w:val="007C5AF2"/>
    <w:rsid w:val="007C5BE7"/>
    <w:rsid w:val="007C5D77"/>
    <w:rsid w:val="007C62BE"/>
    <w:rsid w:val="007C63DA"/>
    <w:rsid w:val="007C6EE5"/>
    <w:rsid w:val="007C6F5A"/>
    <w:rsid w:val="007C6FF4"/>
    <w:rsid w:val="007C71B9"/>
    <w:rsid w:val="007C78C8"/>
    <w:rsid w:val="007C7FA7"/>
    <w:rsid w:val="007C7FE9"/>
    <w:rsid w:val="007D05A6"/>
    <w:rsid w:val="007D06D3"/>
    <w:rsid w:val="007D115A"/>
    <w:rsid w:val="007D1257"/>
    <w:rsid w:val="007D283F"/>
    <w:rsid w:val="007D3384"/>
    <w:rsid w:val="007D3707"/>
    <w:rsid w:val="007D38DD"/>
    <w:rsid w:val="007D3A93"/>
    <w:rsid w:val="007D3C82"/>
    <w:rsid w:val="007D3D4C"/>
    <w:rsid w:val="007D41CC"/>
    <w:rsid w:val="007D4371"/>
    <w:rsid w:val="007D447A"/>
    <w:rsid w:val="007D4571"/>
    <w:rsid w:val="007D45FB"/>
    <w:rsid w:val="007D462F"/>
    <w:rsid w:val="007D46A0"/>
    <w:rsid w:val="007D4881"/>
    <w:rsid w:val="007D48BD"/>
    <w:rsid w:val="007D4DC6"/>
    <w:rsid w:val="007D4F51"/>
    <w:rsid w:val="007D5743"/>
    <w:rsid w:val="007D610B"/>
    <w:rsid w:val="007D621F"/>
    <w:rsid w:val="007D6248"/>
    <w:rsid w:val="007D69A0"/>
    <w:rsid w:val="007D69FF"/>
    <w:rsid w:val="007D73B0"/>
    <w:rsid w:val="007D7952"/>
    <w:rsid w:val="007D7D13"/>
    <w:rsid w:val="007E0835"/>
    <w:rsid w:val="007E09F0"/>
    <w:rsid w:val="007E0B89"/>
    <w:rsid w:val="007E0E20"/>
    <w:rsid w:val="007E1454"/>
    <w:rsid w:val="007E22C2"/>
    <w:rsid w:val="007E2ADF"/>
    <w:rsid w:val="007E33ED"/>
    <w:rsid w:val="007E353A"/>
    <w:rsid w:val="007E3623"/>
    <w:rsid w:val="007E3993"/>
    <w:rsid w:val="007E3B8C"/>
    <w:rsid w:val="007E3E9F"/>
    <w:rsid w:val="007E3EB4"/>
    <w:rsid w:val="007E45A8"/>
    <w:rsid w:val="007E4B1B"/>
    <w:rsid w:val="007E4E18"/>
    <w:rsid w:val="007E53C3"/>
    <w:rsid w:val="007E56CD"/>
    <w:rsid w:val="007E5755"/>
    <w:rsid w:val="007E5990"/>
    <w:rsid w:val="007E62EE"/>
    <w:rsid w:val="007E6A4F"/>
    <w:rsid w:val="007E793C"/>
    <w:rsid w:val="007E7A41"/>
    <w:rsid w:val="007E7CC4"/>
    <w:rsid w:val="007E7D52"/>
    <w:rsid w:val="007E7D7A"/>
    <w:rsid w:val="007E7E66"/>
    <w:rsid w:val="007F00A1"/>
    <w:rsid w:val="007F07C5"/>
    <w:rsid w:val="007F0903"/>
    <w:rsid w:val="007F0930"/>
    <w:rsid w:val="007F0E6A"/>
    <w:rsid w:val="007F22A7"/>
    <w:rsid w:val="007F2434"/>
    <w:rsid w:val="007F2B53"/>
    <w:rsid w:val="007F2B91"/>
    <w:rsid w:val="007F2F5A"/>
    <w:rsid w:val="007F40B7"/>
    <w:rsid w:val="007F4EA3"/>
    <w:rsid w:val="007F4EFB"/>
    <w:rsid w:val="007F5590"/>
    <w:rsid w:val="007F55CB"/>
    <w:rsid w:val="007F5632"/>
    <w:rsid w:val="007F5806"/>
    <w:rsid w:val="007F5D34"/>
    <w:rsid w:val="007F5EDD"/>
    <w:rsid w:val="007F5F90"/>
    <w:rsid w:val="007F61D0"/>
    <w:rsid w:val="007F6E4E"/>
    <w:rsid w:val="007F75E9"/>
    <w:rsid w:val="007F7BDA"/>
    <w:rsid w:val="00800613"/>
    <w:rsid w:val="00800747"/>
    <w:rsid w:val="0080116C"/>
    <w:rsid w:val="00801416"/>
    <w:rsid w:val="00801AEC"/>
    <w:rsid w:val="00801F1E"/>
    <w:rsid w:val="008023E5"/>
    <w:rsid w:val="008023F2"/>
    <w:rsid w:val="00802401"/>
    <w:rsid w:val="0080277A"/>
    <w:rsid w:val="00802D01"/>
    <w:rsid w:val="00803082"/>
    <w:rsid w:val="0080323A"/>
    <w:rsid w:val="008034DC"/>
    <w:rsid w:val="00803C0C"/>
    <w:rsid w:val="008041B1"/>
    <w:rsid w:val="008042E8"/>
    <w:rsid w:val="0080505F"/>
    <w:rsid w:val="00805087"/>
    <w:rsid w:val="00805A45"/>
    <w:rsid w:val="008061DC"/>
    <w:rsid w:val="00806226"/>
    <w:rsid w:val="0080646F"/>
    <w:rsid w:val="00806719"/>
    <w:rsid w:val="008067BC"/>
    <w:rsid w:val="00807049"/>
    <w:rsid w:val="008072FA"/>
    <w:rsid w:val="00807444"/>
    <w:rsid w:val="00807470"/>
    <w:rsid w:val="00807B06"/>
    <w:rsid w:val="00807D59"/>
    <w:rsid w:val="0081009F"/>
    <w:rsid w:val="00810228"/>
    <w:rsid w:val="00810279"/>
    <w:rsid w:val="008103A5"/>
    <w:rsid w:val="00810518"/>
    <w:rsid w:val="008105B6"/>
    <w:rsid w:val="0081064D"/>
    <w:rsid w:val="00810979"/>
    <w:rsid w:val="00810D13"/>
    <w:rsid w:val="00810D68"/>
    <w:rsid w:val="00811016"/>
    <w:rsid w:val="00811CBB"/>
    <w:rsid w:val="0081253C"/>
    <w:rsid w:val="008126C6"/>
    <w:rsid w:val="008127D8"/>
    <w:rsid w:val="00812968"/>
    <w:rsid w:val="00812AB8"/>
    <w:rsid w:val="0081311D"/>
    <w:rsid w:val="00813181"/>
    <w:rsid w:val="0081367A"/>
    <w:rsid w:val="008136DE"/>
    <w:rsid w:val="0081399B"/>
    <w:rsid w:val="00813A50"/>
    <w:rsid w:val="00813EB6"/>
    <w:rsid w:val="00813F8F"/>
    <w:rsid w:val="00814109"/>
    <w:rsid w:val="008147D2"/>
    <w:rsid w:val="00814FE0"/>
    <w:rsid w:val="00815357"/>
    <w:rsid w:val="008154E0"/>
    <w:rsid w:val="0081674A"/>
    <w:rsid w:val="008168E7"/>
    <w:rsid w:val="00816E01"/>
    <w:rsid w:val="008171D5"/>
    <w:rsid w:val="00817551"/>
    <w:rsid w:val="008201B4"/>
    <w:rsid w:val="0082052D"/>
    <w:rsid w:val="00820698"/>
    <w:rsid w:val="0082093F"/>
    <w:rsid w:val="008209B5"/>
    <w:rsid w:val="00820A07"/>
    <w:rsid w:val="00820A81"/>
    <w:rsid w:val="00820B35"/>
    <w:rsid w:val="00820ECD"/>
    <w:rsid w:val="0082103D"/>
    <w:rsid w:val="00821A8D"/>
    <w:rsid w:val="00821ADD"/>
    <w:rsid w:val="00821B31"/>
    <w:rsid w:val="00821BB5"/>
    <w:rsid w:val="008221E8"/>
    <w:rsid w:val="00822289"/>
    <w:rsid w:val="00822549"/>
    <w:rsid w:val="0082269C"/>
    <w:rsid w:val="00822942"/>
    <w:rsid w:val="008230D5"/>
    <w:rsid w:val="00823295"/>
    <w:rsid w:val="008242CB"/>
    <w:rsid w:val="00824608"/>
    <w:rsid w:val="00824CD4"/>
    <w:rsid w:val="00825167"/>
    <w:rsid w:val="00825314"/>
    <w:rsid w:val="00825567"/>
    <w:rsid w:val="008259B2"/>
    <w:rsid w:val="00825A69"/>
    <w:rsid w:val="00826404"/>
    <w:rsid w:val="00826417"/>
    <w:rsid w:val="00826440"/>
    <w:rsid w:val="00826744"/>
    <w:rsid w:val="008267C1"/>
    <w:rsid w:val="00826BC5"/>
    <w:rsid w:val="008275C4"/>
    <w:rsid w:val="00827FCD"/>
    <w:rsid w:val="0083008C"/>
    <w:rsid w:val="00830421"/>
    <w:rsid w:val="008309E7"/>
    <w:rsid w:val="00830C99"/>
    <w:rsid w:val="00830D22"/>
    <w:rsid w:val="0083118C"/>
    <w:rsid w:val="008319B3"/>
    <w:rsid w:val="00832835"/>
    <w:rsid w:val="00832AED"/>
    <w:rsid w:val="00832C8E"/>
    <w:rsid w:val="00833118"/>
    <w:rsid w:val="00833193"/>
    <w:rsid w:val="00833256"/>
    <w:rsid w:val="00833ABA"/>
    <w:rsid w:val="008341F0"/>
    <w:rsid w:val="00834A2D"/>
    <w:rsid w:val="00834AEF"/>
    <w:rsid w:val="00835ADF"/>
    <w:rsid w:val="00835D65"/>
    <w:rsid w:val="00836400"/>
    <w:rsid w:val="00836B3D"/>
    <w:rsid w:val="00836C68"/>
    <w:rsid w:val="00836D0B"/>
    <w:rsid w:val="00836EF8"/>
    <w:rsid w:val="00836FF9"/>
    <w:rsid w:val="00837AC9"/>
    <w:rsid w:val="00837B49"/>
    <w:rsid w:val="00837D21"/>
    <w:rsid w:val="00840291"/>
    <w:rsid w:val="008402BF"/>
    <w:rsid w:val="00840498"/>
    <w:rsid w:val="00840523"/>
    <w:rsid w:val="0084099C"/>
    <w:rsid w:val="00841109"/>
    <w:rsid w:val="0084117D"/>
    <w:rsid w:val="0084158F"/>
    <w:rsid w:val="008421B0"/>
    <w:rsid w:val="00842370"/>
    <w:rsid w:val="00842934"/>
    <w:rsid w:val="00842D55"/>
    <w:rsid w:val="00843109"/>
    <w:rsid w:val="00843206"/>
    <w:rsid w:val="008432C8"/>
    <w:rsid w:val="008435D4"/>
    <w:rsid w:val="0084362D"/>
    <w:rsid w:val="00843788"/>
    <w:rsid w:val="00843918"/>
    <w:rsid w:val="00843FD3"/>
    <w:rsid w:val="00843FD7"/>
    <w:rsid w:val="008446E6"/>
    <w:rsid w:val="00844943"/>
    <w:rsid w:val="008449D9"/>
    <w:rsid w:val="00844E5E"/>
    <w:rsid w:val="00845608"/>
    <w:rsid w:val="008459E2"/>
    <w:rsid w:val="00845D34"/>
    <w:rsid w:val="00845E2F"/>
    <w:rsid w:val="0084670D"/>
    <w:rsid w:val="00846950"/>
    <w:rsid w:val="00846AB3"/>
    <w:rsid w:val="00847335"/>
    <w:rsid w:val="0084737B"/>
    <w:rsid w:val="0084755C"/>
    <w:rsid w:val="00847588"/>
    <w:rsid w:val="00847601"/>
    <w:rsid w:val="00847D70"/>
    <w:rsid w:val="00847EEE"/>
    <w:rsid w:val="008504E5"/>
    <w:rsid w:val="0085056C"/>
    <w:rsid w:val="008508F1"/>
    <w:rsid w:val="00851936"/>
    <w:rsid w:val="00851A3F"/>
    <w:rsid w:val="00852070"/>
    <w:rsid w:val="00852672"/>
    <w:rsid w:val="00853139"/>
    <w:rsid w:val="00853C59"/>
    <w:rsid w:val="00854037"/>
    <w:rsid w:val="00854065"/>
    <w:rsid w:val="008542AA"/>
    <w:rsid w:val="0085433D"/>
    <w:rsid w:val="008546B0"/>
    <w:rsid w:val="00854994"/>
    <w:rsid w:val="00854999"/>
    <w:rsid w:val="00854E4B"/>
    <w:rsid w:val="008553F1"/>
    <w:rsid w:val="0085563C"/>
    <w:rsid w:val="008558B3"/>
    <w:rsid w:val="00855A32"/>
    <w:rsid w:val="00855C5D"/>
    <w:rsid w:val="00855C61"/>
    <w:rsid w:val="0085601B"/>
    <w:rsid w:val="00856A85"/>
    <w:rsid w:val="00856AAC"/>
    <w:rsid w:val="00856F5A"/>
    <w:rsid w:val="0085776F"/>
    <w:rsid w:val="00857BFA"/>
    <w:rsid w:val="00857C66"/>
    <w:rsid w:val="00857FCD"/>
    <w:rsid w:val="00860742"/>
    <w:rsid w:val="008607BE"/>
    <w:rsid w:val="00860B93"/>
    <w:rsid w:val="00860DEB"/>
    <w:rsid w:val="00860EF6"/>
    <w:rsid w:val="008610F0"/>
    <w:rsid w:val="00861BCC"/>
    <w:rsid w:val="00861ED4"/>
    <w:rsid w:val="008624BA"/>
    <w:rsid w:val="00863230"/>
    <w:rsid w:val="0086494E"/>
    <w:rsid w:val="00864E2F"/>
    <w:rsid w:val="008651A3"/>
    <w:rsid w:val="00865978"/>
    <w:rsid w:val="00865981"/>
    <w:rsid w:val="00865A84"/>
    <w:rsid w:val="008669A4"/>
    <w:rsid w:val="00866B3C"/>
    <w:rsid w:val="008672AC"/>
    <w:rsid w:val="00867423"/>
    <w:rsid w:val="00867ACD"/>
    <w:rsid w:val="00867E0D"/>
    <w:rsid w:val="00870067"/>
    <w:rsid w:val="008708C8"/>
    <w:rsid w:val="00870A00"/>
    <w:rsid w:val="00870FB5"/>
    <w:rsid w:val="0087153F"/>
    <w:rsid w:val="008715EF"/>
    <w:rsid w:val="008719FB"/>
    <w:rsid w:val="00871A31"/>
    <w:rsid w:val="008725D4"/>
    <w:rsid w:val="00872AB8"/>
    <w:rsid w:val="00872B73"/>
    <w:rsid w:val="00872B9C"/>
    <w:rsid w:val="00872EF5"/>
    <w:rsid w:val="008737CB"/>
    <w:rsid w:val="008738E5"/>
    <w:rsid w:val="00873DC0"/>
    <w:rsid w:val="00873F37"/>
    <w:rsid w:val="0087423F"/>
    <w:rsid w:val="0087479E"/>
    <w:rsid w:val="0087536B"/>
    <w:rsid w:val="00875460"/>
    <w:rsid w:val="00876684"/>
    <w:rsid w:val="00876AEE"/>
    <w:rsid w:val="008772A6"/>
    <w:rsid w:val="00877A9E"/>
    <w:rsid w:val="00877D0D"/>
    <w:rsid w:val="00877DEA"/>
    <w:rsid w:val="00877E1B"/>
    <w:rsid w:val="00880530"/>
    <w:rsid w:val="00880781"/>
    <w:rsid w:val="00880D38"/>
    <w:rsid w:val="00881199"/>
    <w:rsid w:val="008814C7"/>
    <w:rsid w:val="008824E7"/>
    <w:rsid w:val="00882B16"/>
    <w:rsid w:val="00882CAB"/>
    <w:rsid w:val="00882DF9"/>
    <w:rsid w:val="008837A4"/>
    <w:rsid w:val="008838FA"/>
    <w:rsid w:val="00883E43"/>
    <w:rsid w:val="008842CF"/>
    <w:rsid w:val="00884793"/>
    <w:rsid w:val="0088491C"/>
    <w:rsid w:val="008849F3"/>
    <w:rsid w:val="00884E3A"/>
    <w:rsid w:val="00885187"/>
    <w:rsid w:val="008856FD"/>
    <w:rsid w:val="00885919"/>
    <w:rsid w:val="008859D2"/>
    <w:rsid w:val="00885D3A"/>
    <w:rsid w:val="008862CC"/>
    <w:rsid w:val="00886581"/>
    <w:rsid w:val="00886AD9"/>
    <w:rsid w:val="0088715F"/>
    <w:rsid w:val="008876D1"/>
    <w:rsid w:val="008877EA"/>
    <w:rsid w:val="00887ADF"/>
    <w:rsid w:val="00887AF2"/>
    <w:rsid w:val="00887F45"/>
    <w:rsid w:val="00890864"/>
    <w:rsid w:val="00890FB9"/>
    <w:rsid w:val="008915E6"/>
    <w:rsid w:val="00891B1F"/>
    <w:rsid w:val="00891BB5"/>
    <w:rsid w:val="0089253E"/>
    <w:rsid w:val="00892A1F"/>
    <w:rsid w:val="00892C1E"/>
    <w:rsid w:val="00892F7D"/>
    <w:rsid w:val="008935A3"/>
    <w:rsid w:val="00893613"/>
    <w:rsid w:val="00893AB4"/>
    <w:rsid w:val="00893B38"/>
    <w:rsid w:val="00893C34"/>
    <w:rsid w:val="0089400A"/>
    <w:rsid w:val="00894534"/>
    <w:rsid w:val="00895559"/>
    <w:rsid w:val="008957BE"/>
    <w:rsid w:val="008957D4"/>
    <w:rsid w:val="00895F31"/>
    <w:rsid w:val="008963F5"/>
    <w:rsid w:val="008966E7"/>
    <w:rsid w:val="00896851"/>
    <w:rsid w:val="00896A63"/>
    <w:rsid w:val="00896BAC"/>
    <w:rsid w:val="00897CD0"/>
    <w:rsid w:val="00897E55"/>
    <w:rsid w:val="008A0071"/>
    <w:rsid w:val="008A0620"/>
    <w:rsid w:val="008A09F6"/>
    <w:rsid w:val="008A1204"/>
    <w:rsid w:val="008A14F6"/>
    <w:rsid w:val="008A1924"/>
    <w:rsid w:val="008A26B9"/>
    <w:rsid w:val="008A2970"/>
    <w:rsid w:val="008A3331"/>
    <w:rsid w:val="008A3406"/>
    <w:rsid w:val="008A360A"/>
    <w:rsid w:val="008A39B0"/>
    <w:rsid w:val="008A3A85"/>
    <w:rsid w:val="008A3B3D"/>
    <w:rsid w:val="008A3BEC"/>
    <w:rsid w:val="008A3C4A"/>
    <w:rsid w:val="008A3FCC"/>
    <w:rsid w:val="008A420D"/>
    <w:rsid w:val="008A4E03"/>
    <w:rsid w:val="008A541D"/>
    <w:rsid w:val="008A5544"/>
    <w:rsid w:val="008A5CB1"/>
    <w:rsid w:val="008A5DCB"/>
    <w:rsid w:val="008A6027"/>
    <w:rsid w:val="008A6936"/>
    <w:rsid w:val="008A77AB"/>
    <w:rsid w:val="008A77FF"/>
    <w:rsid w:val="008A7C3C"/>
    <w:rsid w:val="008A7C7C"/>
    <w:rsid w:val="008B0EFC"/>
    <w:rsid w:val="008B1447"/>
    <w:rsid w:val="008B161A"/>
    <w:rsid w:val="008B2079"/>
    <w:rsid w:val="008B2D9C"/>
    <w:rsid w:val="008B2E14"/>
    <w:rsid w:val="008B2EEB"/>
    <w:rsid w:val="008B2F1E"/>
    <w:rsid w:val="008B3070"/>
    <w:rsid w:val="008B3124"/>
    <w:rsid w:val="008B3DEB"/>
    <w:rsid w:val="008B3E2D"/>
    <w:rsid w:val="008B469A"/>
    <w:rsid w:val="008B4C55"/>
    <w:rsid w:val="008B4F47"/>
    <w:rsid w:val="008B57C1"/>
    <w:rsid w:val="008B59E0"/>
    <w:rsid w:val="008B5D62"/>
    <w:rsid w:val="008B5E00"/>
    <w:rsid w:val="008B5FD0"/>
    <w:rsid w:val="008B6F62"/>
    <w:rsid w:val="008B712F"/>
    <w:rsid w:val="008B782B"/>
    <w:rsid w:val="008B78E0"/>
    <w:rsid w:val="008C0238"/>
    <w:rsid w:val="008C0417"/>
    <w:rsid w:val="008C0CAC"/>
    <w:rsid w:val="008C0EAD"/>
    <w:rsid w:val="008C1538"/>
    <w:rsid w:val="008C1ACF"/>
    <w:rsid w:val="008C1DDC"/>
    <w:rsid w:val="008C29EA"/>
    <w:rsid w:val="008C3245"/>
    <w:rsid w:val="008C352E"/>
    <w:rsid w:val="008C3673"/>
    <w:rsid w:val="008C3B37"/>
    <w:rsid w:val="008C3C1F"/>
    <w:rsid w:val="008C4230"/>
    <w:rsid w:val="008C43F8"/>
    <w:rsid w:val="008C4670"/>
    <w:rsid w:val="008C4A09"/>
    <w:rsid w:val="008C4D5D"/>
    <w:rsid w:val="008C5982"/>
    <w:rsid w:val="008C5A79"/>
    <w:rsid w:val="008C5F17"/>
    <w:rsid w:val="008C5FAB"/>
    <w:rsid w:val="008C6030"/>
    <w:rsid w:val="008C7549"/>
    <w:rsid w:val="008C790B"/>
    <w:rsid w:val="008D0BB5"/>
    <w:rsid w:val="008D16C2"/>
    <w:rsid w:val="008D17B2"/>
    <w:rsid w:val="008D1A4D"/>
    <w:rsid w:val="008D22EA"/>
    <w:rsid w:val="008D24EF"/>
    <w:rsid w:val="008D2734"/>
    <w:rsid w:val="008D2F1C"/>
    <w:rsid w:val="008D3191"/>
    <w:rsid w:val="008D3818"/>
    <w:rsid w:val="008D3BD3"/>
    <w:rsid w:val="008D4017"/>
    <w:rsid w:val="008D4285"/>
    <w:rsid w:val="008D4540"/>
    <w:rsid w:val="008D4EA1"/>
    <w:rsid w:val="008D5082"/>
    <w:rsid w:val="008D59D4"/>
    <w:rsid w:val="008D5F0D"/>
    <w:rsid w:val="008D67F2"/>
    <w:rsid w:val="008D6A49"/>
    <w:rsid w:val="008D6CE5"/>
    <w:rsid w:val="008D76BB"/>
    <w:rsid w:val="008D77FB"/>
    <w:rsid w:val="008D7D9D"/>
    <w:rsid w:val="008E0783"/>
    <w:rsid w:val="008E0A10"/>
    <w:rsid w:val="008E0A83"/>
    <w:rsid w:val="008E0E36"/>
    <w:rsid w:val="008E1222"/>
    <w:rsid w:val="008E18C7"/>
    <w:rsid w:val="008E18E6"/>
    <w:rsid w:val="008E1A9D"/>
    <w:rsid w:val="008E1ABE"/>
    <w:rsid w:val="008E2173"/>
    <w:rsid w:val="008E2249"/>
    <w:rsid w:val="008E26E6"/>
    <w:rsid w:val="008E27A4"/>
    <w:rsid w:val="008E295D"/>
    <w:rsid w:val="008E2C90"/>
    <w:rsid w:val="008E2D58"/>
    <w:rsid w:val="008E301E"/>
    <w:rsid w:val="008E35CD"/>
    <w:rsid w:val="008E3FD5"/>
    <w:rsid w:val="008E40FE"/>
    <w:rsid w:val="008E4244"/>
    <w:rsid w:val="008E43A3"/>
    <w:rsid w:val="008E442C"/>
    <w:rsid w:val="008E46AB"/>
    <w:rsid w:val="008E4A38"/>
    <w:rsid w:val="008E4F57"/>
    <w:rsid w:val="008E549D"/>
    <w:rsid w:val="008E550A"/>
    <w:rsid w:val="008E666F"/>
    <w:rsid w:val="008E68EF"/>
    <w:rsid w:val="008E69CB"/>
    <w:rsid w:val="008E772F"/>
    <w:rsid w:val="008E77D4"/>
    <w:rsid w:val="008E7861"/>
    <w:rsid w:val="008E78D2"/>
    <w:rsid w:val="008E7DA1"/>
    <w:rsid w:val="008F025A"/>
    <w:rsid w:val="008F0291"/>
    <w:rsid w:val="008F031D"/>
    <w:rsid w:val="008F06F5"/>
    <w:rsid w:val="008F0ADA"/>
    <w:rsid w:val="008F0BAE"/>
    <w:rsid w:val="008F0E73"/>
    <w:rsid w:val="008F11F9"/>
    <w:rsid w:val="008F1645"/>
    <w:rsid w:val="008F1C4B"/>
    <w:rsid w:val="008F2127"/>
    <w:rsid w:val="008F2219"/>
    <w:rsid w:val="008F2ADC"/>
    <w:rsid w:val="008F2DC7"/>
    <w:rsid w:val="008F2DD7"/>
    <w:rsid w:val="008F31BE"/>
    <w:rsid w:val="008F3866"/>
    <w:rsid w:val="008F3FA7"/>
    <w:rsid w:val="008F41EB"/>
    <w:rsid w:val="008F4264"/>
    <w:rsid w:val="008F44EA"/>
    <w:rsid w:val="008F4581"/>
    <w:rsid w:val="008F4653"/>
    <w:rsid w:val="008F4D2F"/>
    <w:rsid w:val="008F573A"/>
    <w:rsid w:val="008F59DD"/>
    <w:rsid w:val="008F5BFF"/>
    <w:rsid w:val="008F6034"/>
    <w:rsid w:val="008F6328"/>
    <w:rsid w:val="008F63C0"/>
    <w:rsid w:val="008F6449"/>
    <w:rsid w:val="008F6472"/>
    <w:rsid w:val="008F6591"/>
    <w:rsid w:val="008F65F8"/>
    <w:rsid w:val="008F6EF1"/>
    <w:rsid w:val="008F72F7"/>
    <w:rsid w:val="008F749F"/>
    <w:rsid w:val="008F7CE3"/>
    <w:rsid w:val="00900384"/>
    <w:rsid w:val="00900BA7"/>
    <w:rsid w:val="00900C0E"/>
    <w:rsid w:val="00900D77"/>
    <w:rsid w:val="00901BE2"/>
    <w:rsid w:val="00902396"/>
    <w:rsid w:val="0090295D"/>
    <w:rsid w:val="00902D47"/>
    <w:rsid w:val="00902F49"/>
    <w:rsid w:val="00903257"/>
    <w:rsid w:val="0090355F"/>
    <w:rsid w:val="00903695"/>
    <w:rsid w:val="009038E5"/>
    <w:rsid w:val="00903C4F"/>
    <w:rsid w:val="00903E78"/>
    <w:rsid w:val="00903FA4"/>
    <w:rsid w:val="00904036"/>
    <w:rsid w:val="0090452E"/>
    <w:rsid w:val="00904860"/>
    <w:rsid w:val="009049E3"/>
    <w:rsid w:val="009050A2"/>
    <w:rsid w:val="0090510A"/>
    <w:rsid w:val="0090526F"/>
    <w:rsid w:val="009058ED"/>
    <w:rsid w:val="00905B43"/>
    <w:rsid w:val="00906A01"/>
    <w:rsid w:val="00906C18"/>
    <w:rsid w:val="00907163"/>
    <w:rsid w:val="009072C7"/>
    <w:rsid w:val="0090759A"/>
    <w:rsid w:val="0090788C"/>
    <w:rsid w:val="00907A06"/>
    <w:rsid w:val="009105EB"/>
    <w:rsid w:val="009105FD"/>
    <w:rsid w:val="00910C1B"/>
    <w:rsid w:val="00910C34"/>
    <w:rsid w:val="0091100B"/>
    <w:rsid w:val="00911790"/>
    <w:rsid w:val="00911BE7"/>
    <w:rsid w:val="00912723"/>
    <w:rsid w:val="009128D6"/>
    <w:rsid w:val="00912FBA"/>
    <w:rsid w:val="00913284"/>
    <w:rsid w:val="00913399"/>
    <w:rsid w:val="00913C94"/>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BBA"/>
    <w:rsid w:val="00916D1F"/>
    <w:rsid w:val="00916FB7"/>
    <w:rsid w:val="00917067"/>
    <w:rsid w:val="009175C7"/>
    <w:rsid w:val="00917EF2"/>
    <w:rsid w:val="00917F58"/>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A5"/>
    <w:rsid w:val="009239EA"/>
    <w:rsid w:val="00923B6B"/>
    <w:rsid w:val="00924007"/>
    <w:rsid w:val="00924042"/>
    <w:rsid w:val="0092432C"/>
    <w:rsid w:val="00925049"/>
    <w:rsid w:val="009255AE"/>
    <w:rsid w:val="00926A16"/>
    <w:rsid w:val="009271FC"/>
    <w:rsid w:val="00927375"/>
    <w:rsid w:val="009278AF"/>
    <w:rsid w:val="00927919"/>
    <w:rsid w:val="00930C92"/>
    <w:rsid w:val="009312EF"/>
    <w:rsid w:val="009313B1"/>
    <w:rsid w:val="009313FE"/>
    <w:rsid w:val="00931837"/>
    <w:rsid w:val="00932944"/>
    <w:rsid w:val="00932BA7"/>
    <w:rsid w:val="009333AA"/>
    <w:rsid w:val="00934B92"/>
    <w:rsid w:val="00934D79"/>
    <w:rsid w:val="00935188"/>
    <w:rsid w:val="00935343"/>
    <w:rsid w:val="00935363"/>
    <w:rsid w:val="00935488"/>
    <w:rsid w:val="0093549F"/>
    <w:rsid w:val="00935618"/>
    <w:rsid w:val="00935637"/>
    <w:rsid w:val="0093577F"/>
    <w:rsid w:val="0093592D"/>
    <w:rsid w:val="00935B67"/>
    <w:rsid w:val="00935D12"/>
    <w:rsid w:val="0093602D"/>
    <w:rsid w:val="009368DD"/>
    <w:rsid w:val="00936920"/>
    <w:rsid w:val="00936A55"/>
    <w:rsid w:val="00936AE7"/>
    <w:rsid w:val="00936C0E"/>
    <w:rsid w:val="00936ED7"/>
    <w:rsid w:val="0093749C"/>
    <w:rsid w:val="00937F2E"/>
    <w:rsid w:val="0094013C"/>
    <w:rsid w:val="009403DB"/>
    <w:rsid w:val="009404A4"/>
    <w:rsid w:val="0094062A"/>
    <w:rsid w:val="00940A1B"/>
    <w:rsid w:val="00940C72"/>
    <w:rsid w:val="00940EAA"/>
    <w:rsid w:val="00940F4B"/>
    <w:rsid w:val="00941197"/>
    <w:rsid w:val="00941252"/>
    <w:rsid w:val="00941631"/>
    <w:rsid w:val="0094172C"/>
    <w:rsid w:val="00941AF2"/>
    <w:rsid w:val="009420D1"/>
    <w:rsid w:val="00942A19"/>
    <w:rsid w:val="00942C0E"/>
    <w:rsid w:val="00942F38"/>
    <w:rsid w:val="00943071"/>
    <w:rsid w:val="00943F66"/>
    <w:rsid w:val="00944B0A"/>
    <w:rsid w:val="00945045"/>
    <w:rsid w:val="009454BB"/>
    <w:rsid w:val="00945699"/>
    <w:rsid w:val="009456A4"/>
    <w:rsid w:val="00945F30"/>
    <w:rsid w:val="00946480"/>
    <w:rsid w:val="009464FC"/>
    <w:rsid w:val="009469F4"/>
    <w:rsid w:val="00946D45"/>
    <w:rsid w:val="00946E7A"/>
    <w:rsid w:val="00947950"/>
    <w:rsid w:val="009501BA"/>
    <w:rsid w:val="00950AE4"/>
    <w:rsid w:val="00950E73"/>
    <w:rsid w:val="00950EB1"/>
    <w:rsid w:val="00951192"/>
    <w:rsid w:val="0095127F"/>
    <w:rsid w:val="009512DD"/>
    <w:rsid w:val="00951537"/>
    <w:rsid w:val="00951ACA"/>
    <w:rsid w:val="00952285"/>
    <w:rsid w:val="00952C41"/>
    <w:rsid w:val="009532E2"/>
    <w:rsid w:val="00953614"/>
    <w:rsid w:val="0095425E"/>
    <w:rsid w:val="009543DE"/>
    <w:rsid w:val="00954441"/>
    <w:rsid w:val="009557AA"/>
    <w:rsid w:val="00955807"/>
    <w:rsid w:val="009562EA"/>
    <w:rsid w:val="009568B4"/>
    <w:rsid w:val="00956DF4"/>
    <w:rsid w:val="00956ECE"/>
    <w:rsid w:val="0095708D"/>
    <w:rsid w:val="0095721B"/>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7D9"/>
    <w:rsid w:val="00961818"/>
    <w:rsid w:val="00961ED4"/>
    <w:rsid w:val="0096201C"/>
    <w:rsid w:val="009625DA"/>
    <w:rsid w:val="00962E26"/>
    <w:rsid w:val="009631B1"/>
    <w:rsid w:val="00963688"/>
    <w:rsid w:val="00963C62"/>
    <w:rsid w:val="00963D4F"/>
    <w:rsid w:val="0096407D"/>
    <w:rsid w:val="00965016"/>
    <w:rsid w:val="009651CF"/>
    <w:rsid w:val="0096630C"/>
    <w:rsid w:val="00966312"/>
    <w:rsid w:val="00966482"/>
    <w:rsid w:val="00966650"/>
    <w:rsid w:val="00966CF5"/>
    <w:rsid w:val="0096746F"/>
    <w:rsid w:val="009678C4"/>
    <w:rsid w:val="00967CB0"/>
    <w:rsid w:val="0097064A"/>
    <w:rsid w:val="00970C3C"/>
    <w:rsid w:val="009713EB"/>
    <w:rsid w:val="009717CE"/>
    <w:rsid w:val="00971AA9"/>
    <w:rsid w:val="00971F25"/>
    <w:rsid w:val="0097222A"/>
    <w:rsid w:val="00972CA1"/>
    <w:rsid w:val="00973028"/>
    <w:rsid w:val="0097302F"/>
    <w:rsid w:val="009733FC"/>
    <w:rsid w:val="00973444"/>
    <w:rsid w:val="009740A5"/>
    <w:rsid w:val="0097464F"/>
    <w:rsid w:val="00974758"/>
    <w:rsid w:val="0097522B"/>
    <w:rsid w:val="009758D1"/>
    <w:rsid w:val="009762A9"/>
    <w:rsid w:val="0097638D"/>
    <w:rsid w:val="00976DE4"/>
    <w:rsid w:val="00977162"/>
    <w:rsid w:val="009773DE"/>
    <w:rsid w:val="009776D1"/>
    <w:rsid w:val="0097773E"/>
    <w:rsid w:val="009779EF"/>
    <w:rsid w:val="00977F18"/>
    <w:rsid w:val="009805C6"/>
    <w:rsid w:val="00981433"/>
    <w:rsid w:val="0098193D"/>
    <w:rsid w:val="00982479"/>
    <w:rsid w:val="009829A4"/>
    <w:rsid w:val="00982B6E"/>
    <w:rsid w:val="00982D59"/>
    <w:rsid w:val="0098352A"/>
    <w:rsid w:val="00983545"/>
    <w:rsid w:val="00983B5B"/>
    <w:rsid w:val="00984143"/>
    <w:rsid w:val="00984243"/>
    <w:rsid w:val="009843AB"/>
    <w:rsid w:val="00985428"/>
    <w:rsid w:val="00985611"/>
    <w:rsid w:val="00985821"/>
    <w:rsid w:val="0098598A"/>
    <w:rsid w:val="00985BD9"/>
    <w:rsid w:val="00985D0F"/>
    <w:rsid w:val="009863D9"/>
    <w:rsid w:val="00986A58"/>
    <w:rsid w:val="00986A6B"/>
    <w:rsid w:val="00986C9B"/>
    <w:rsid w:val="0098727F"/>
    <w:rsid w:val="00987626"/>
    <w:rsid w:val="009876D6"/>
    <w:rsid w:val="00987843"/>
    <w:rsid w:val="009879DC"/>
    <w:rsid w:val="009904F2"/>
    <w:rsid w:val="009907F1"/>
    <w:rsid w:val="00990BD3"/>
    <w:rsid w:val="00990E52"/>
    <w:rsid w:val="00991114"/>
    <w:rsid w:val="0099130F"/>
    <w:rsid w:val="0099177F"/>
    <w:rsid w:val="0099182A"/>
    <w:rsid w:val="009919CB"/>
    <w:rsid w:val="00992EA5"/>
    <w:rsid w:val="00992F90"/>
    <w:rsid w:val="0099362A"/>
    <w:rsid w:val="00993B1C"/>
    <w:rsid w:val="00993D26"/>
    <w:rsid w:val="00993ECF"/>
    <w:rsid w:val="009946BB"/>
    <w:rsid w:val="00994BB1"/>
    <w:rsid w:val="00994E9D"/>
    <w:rsid w:val="00995535"/>
    <w:rsid w:val="00995AE9"/>
    <w:rsid w:val="00996726"/>
    <w:rsid w:val="00996EF5"/>
    <w:rsid w:val="0099739B"/>
    <w:rsid w:val="009A01A1"/>
    <w:rsid w:val="009A0C05"/>
    <w:rsid w:val="009A10D0"/>
    <w:rsid w:val="009A1122"/>
    <w:rsid w:val="009A1243"/>
    <w:rsid w:val="009A1DF0"/>
    <w:rsid w:val="009A1E1C"/>
    <w:rsid w:val="009A2328"/>
    <w:rsid w:val="009A2940"/>
    <w:rsid w:val="009A2F20"/>
    <w:rsid w:val="009A30EB"/>
    <w:rsid w:val="009A3790"/>
    <w:rsid w:val="009A3C99"/>
    <w:rsid w:val="009A3CDE"/>
    <w:rsid w:val="009A4738"/>
    <w:rsid w:val="009A4B16"/>
    <w:rsid w:val="009A4D68"/>
    <w:rsid w:val="009A52DC"/>
    <w:rsid w:val="009A53B3"/>
    <w:rsid w:val="009A54D4"/>
    <w:rsid w:val="009A5A00"/>
    <w:rsid w:val="009A5AAE"/>
    <w:rsid w:val="009A5BB8"/>
    <w:rsid w:val="009A62DB"/>
    <w:rsid w:val="009A6414"/>
    <w:rsid w:val="009A66A9"/>
    <w:rsid w:val="009A70DE"/>
    <w:rsid w:val="009A7834"/>
    <w:rsid w:val="009A7854"/>
    <w:rsid w:val="009A78FB"/>
    <w:rsid w:val="009B015B"/>
    <w:rsid w:val="009B0FB0"/>
    <w:rsid w:val="009B1029"/>
    <w:rsid w:val="009B166A"/>
    <w:rsid w:val="009B1A15"/>
    <w:rsid w:val="009B24D5"/>
    <w:rsid w:val="009B26FB"/>
    <w:rsid w:val="009B2B0D"/>
    <w:rsid w:val="009B2F6E"/>
    <w:rsid w:val="009B32AD"/>
    <w:rsid w:val="009B33EC"/>
    <w:rsid w:val="009B3516"/>
    <w:rsid w:val="009B3720"/>
    <w:rsid w:val="009B3A4B"/>
    <w:rsid w:val="009B3B9C"/>
    <w:rsid w:val="009B3E56"/>
    <w:rsid w:val="009B3FD1"/>
    <w:rsid w:val="009B44B5"/>
    <w:rsid w:val="009B484B"/>
    <w:rsid w:val="009B5DC9"/>
    <w:rsid w:val="009B60B6"/>
    <w:rsid w:val="009B690E"/>
    <w:rsid w:val="009B6E1C"/>
    <w:rsid w:val="009B7452"/>
    <w:rsid w:val="009B7F9D"/>
    <w:rsid w:val="009C029C"/>
    <w:rsid w:val="009C07BA"/>
    <w:rsid w:val="009C0DDC"/>
    <w:rsid w:val="009C1390"/>
    <w:rsid w:val="009C1968"/>
    <w:rsid w:val="009C19E4"/>
    <w:rsid w:val="009C19F1"/>
    <w:rsid w:val="009C1C46"/>
    <w:rsid w:val="009C1E25"/>
    <w:rsid w:val="009C1F24"/>
    <w:rsid w:val="009C1FB2"/>
    <w:rsid w:val="009C26AA"/>
    <w:rsid w:val="009C28C8"/>
    <w:rsid w:val="009C2BA6"/>
    <w:rsid w:val="009C32D6"/>
    <w:rsid w:val="009C3812"/>
    <w:rsid w:val="009C3B34"/>
    <w:rsid w:val="009C3C6B"/>
    <w:rsid w:val="009C3F36"/>
    <w:rsid w:val="009C3FCE"/>
    <w:rsid w:val="009C415C"/>
    <w:rsid w:val="009C470B"/>
    <w:rsid w:val="009C5D87"/>
    <w:rsid w:val="009C6402"/>
    <w:rsid w:val="009C6E63"/>
    <w:rsid w:val="009C6F2D"/>
    <w:rsid w:val="009C700E"/>
    <w:rsid w:val="009C7620"/>
    <w:rsid w:val="009C7B34"/>
    <w:rsid w:val="009C7F9B"/>
    <w:rsid w:val="009C7FD8"/>
    <w:rsid w:val="009D00C5"/>
    <w:rsid w:val="009D00F7"/>
    <w:rsid w:val="009D1315"/>
    <w:rsid w:val="009D142C"/>
    <w:rsid w:val="009D1F46"/>
    <w:rsid w:val="009D2192"/>
    <w:rsid w:val="009D2843"/>
    <w:rsid w:val="009D30AB"/>
    <w:rsid w:val="009D323A"/>
    <w:rsid w:val="009D3722"/>
    <w:rsid w:val="009D382C"/>
    <w:rsid w:val="009D43CE"/>
    <w:rsid w:val="009D43EF"/>
    <w:rsid w:val="009D48C5"/>
    <w:rsid w:val="009D4BFC"/>
    <w:rsid w:val="009D4CA8"/>
    <w:rsid w:val="009D537E"/>
    <w:rsid w:val="009D5782"/>
    <w:rsid w:val="009D5C56"/>
    <w:rsid w:val="009D5FFA"/>
    <w:rsid w:val="009D6433"/>
    <w:rsid w:val="009D64EA"/>
    <w:rsid w:val="009D66C7"/>
    <w:rsid w:val="009D67E5"/>
    <w:rsid w:val="009D687C"/>
    <w:rsid w:val="009D6A81"/>
    <w:rsid w:val="009D7214"/>
    <w:rsid w:val="009D7D69"/>
    <w:rsid w:val="009D7F4E"/>
    <w:rsid w:val="009E0442"/>
    <w:rsid w:val="009E0453"/>
    <w:rsid w:val="009E04C6"/>
    <w:rsid w:val="009E0CF8"/>
    <w:rsid w:val="009E19F7"/>
    <w:rsid w:val="009E1B0A"/>
    <w:rsid w:val="009E1CC4"/>
    <w:rsid w:val="009E1D13"/>
    <w:rsid w:val="009E2025"/>
    <w:rsid w:val="009E2544"/>
    <w:rsid w:val="009E298C"/>
    <w:rsid w:val="009E2C84"/>
    <w:rsid w:val="009E2F90"/>
    <w:rsid w:val="009E33C4"/>
    <w:rsid w:val="009E3AF4"/>
    <w:rsid w:val="009E3CFA"/>
    <w:rsid w:val="009E3FDE"/>
    <w:rsid w:val="009E40B9"/>
    <w:rsid w:val="009E535E"/>
    <w:rsid w:val="009E56D7"/>
    <w:rsid w:val="009E57FD"/>
    <w:rsid w:val="009E5D0D"/>
    <w:rsid w:val="009E5DC6"/>
    <w:rsid w:val="009E5E8A"/>
    <w:rsid w:val="009E634A"/>
    <w:rsid w:val="009E6C56"/>
    <w:rsid w:val="009E6D63"/>
    <w:rsid w:val="009E7025"/>
    <w:rsid w:val="009E728C"/>
    <w:rsid w:val="009E7408"/>
    <w:rsid w:val="009E79E5"/>
    <w:rsid w:val="009E7AFF"/>
    <w:rsid w:val="009E7C82"/>
    <w:rsid w:val="009E7EA6"/>
    <w:rsid w:val="009F06C9"/>
    <w:rsid w:val="009F0F2A"/>
    <w:rsid w:val="009F10A1"/>
    <w:rsid w:val="009F1386"/>
    <w:rsid w:val="009F18E0"/>
    <w:rsid w:val="009F1A41"/>
    <w:rsid w:val="009F1D0B"/>
    <w:rsid w:val="009F1D54"/>
    <w:rsid w:val="009F2B33"/>
    <w:rsid w:val="009F2D05"/>
    <w:rsid w:val="009F2F4E"/>
    <w:rsid w:val="009F3072"/>
    <w:rsid w:val="009F3199"/>
    <w:rsid w:val="009F3A31"/>
    <w:rsid w:val="009F3C99"/>
    <w:rsid w:val="009F3D94"/>
    <w:rsid w:val="009F4895"/>
    <w:rsid w:val="009F491C"/>
    <w:rsid w:val="009F4B0B"/>
    <w:rsid w:val="009F4D1E"/>
    <w:rsid w:val="009F4EDD"/>
    <w:rsid w:val="009F57AB"/>
    <w:rsid w:val="009F5CBB"/>
    <w:rsid w:val="009F5FDA"/>
    <w:rsid w:val="009F6B4C"/>
    <w:rsid w:val="009F6FD2"/>
    <w:rsid w:val="009F7224"/>
    <w:rsid w:val="009F7A1A"/>
    <w:rsid w:val="009F7CDC"/>
    <w:rsid w:val="009F7EA2"/>
    <w:rsid w:val="009F7F70"/>
    <w:rsid w:val="00A00546"/>
    <w:rsid w:val="00A006E0"/>
    <w:rsid w:val="00A007C4"/>
    <w:rsid w:val="00A009A9"/>
    <w:rsid w:val="00A00A0C"/>
    <w:rsid w:val="00A00F74"/>
    <w:rsid w:val="00A011B4"/>
    <w:rsid w:val="00A012AF"/>
    <w:rsid w:val="00A01E64"/>
    <w:rsid w:val="00A02A8B"/>
    <w:rsid w:val="00A03433"/>
    <w:rsid w:val="00A034EA"/>
    <w:rsid w:val="00A03F47"/>
    <w:rsid w:val="00A0465F"/>
    <w:rsid w:val="00A0488C"/>
    <w:rsid w:val="00A04E82"/>
    <w:rsid w:val="00A0504D"/>
    <w:rsid w:val="00A05433"/>
    <w:rsid w:val="00A05B36"/>
    <w:rsid w:val="00A05E44"/>
    <w:rsid w:val="00A06282"/>
    <w:rsid w:val="00A062A0"/>
    <w:rsid w:val="00A06546"/>
    <w:rsid w:val="00A06577"/>
    <w:rsid w:val="00A068FB"/>
    <w:rsid w:val="00A06EF3"/>
    <w:rsid w:val="00A0704D"/>
    <w:rsid w:val="00A07221"/>
    <w:rsid w:val="00A0732F"/>
    <w:rsid w:val="00A077B1"/>
    <w:rsid w:val="00A0780B"/>
    <w:rsid w:val="00A1021B"/>
    <w:rsid w:val="00A10599"/>
    <w:rsid w:val="00A10F47"/>
    <w:rsid w:val="00A112F1"/>
    <w:rsid w:val="00A11530"/>
    <w:rsid w:val="00A11BFC"/>
    <w:rsid w:val="00A12268"/>
    <w:rsid w:val="00A1258F"/>
    <w:rsid w:val="00A129BB"/>
    <w:rsid w:val="00A12D58"/>
    <w:rsid w:val="00A138DC"/>
    <w:rsid w:val="00A13EEC"/>
    <w:rsid w:val="00A13F3B"/>
    <w:rsid w:val="00A13F97"/>
    <w:rsid w:val="00A14379"/>
    <w:rsid w:val="00A1438A"/>
    <w:rsid w:val="00A149CA"/>
    <w:rsid w:val="00A14C81"/>
    <w:rsid w:val="00A15016"/>
    <w:rsid w:val="00A15CB0"/>
    <w:rsid w:val="00A16AC7"/>
    <w:rsid w:val="00A16D32"/>
    <w:rsid w:val="00A16E7A"/>
    <w:rsid w:val="00A171C4"/>
    <w:rsid w:val="00A173F8"/>
    <w:rsid w:val="00A17634"/>
    <w:rsid w:val="00A17CBE"/>
    <w:rsid w:val="00A20152"/>
    <w:rsid w:val="00A20F41"/>
    <w:rsid w:val="00A21FA8"/>
    <w:rsid w:val="00A22162"/>
    <w:rsid w:val="00A22379"/>
    <w:rsid w:val="00A22418"/>
    <w:rsid w:val="00A22886"/>
    <w:rsid w:val="00A231C2"/>
    <w:rsid w:val="00A23CCF"/>
    <w:rsid w:val="00A24204"/>
    <w:rsid w:val="00A24354"/>
    <w:rsid w:val="00A245F5"/>
    <w:rsid w:val="00A24C51"/>
    <w:rsid w:val="00A251E2"/>
    <w:rsid w:val="00A25B82"/>
    <w:rsid w:val="00A25C1E"/>
    <w:rsid w:val="00A25DFB"/>
    <w:rsid w:val="00A26063"/>
    <w:rsid w:val="00A2647D"/>
    <w:rsid w:val="00A26ADF"/>
    <w:rsid w:val="00A27299"/>
    <w:rsid w:val="00A279D1"/>
    <w:rsid w:val="00A279EC"/>
    <w:rsid w:val="00A3027A"/>
    <w:rsid w:val="00A304F1"/>
    <w:rsid w:val="00A307E4"/>
    <w:rsid w:val="00A30B35"/>
    <w:rsid w:val="00A30F4C"/>
    <w:rsid w:val="00A31A23"/>
    <w:rsid w:val="00A31A8E"/>
    <w:rsid w:val="00A31D9F"/>
    <w:rsid w:val="00A31FFB"/>
    <w:rsid w:val="00A325D0"/>
    <w:rsid w:val="00A32977"/>
    <w:rsid w:val="00A32C00"/>
    <w:rsid w:val="00A32CBA"/>
    <w:rsid w:val="00A32E70"/>
    <w:rsid w:val="00A337BE"/>
    <w:rsid w:val="00A33CA3"/>
    <w:rsid w:val="00A33E94"/>
    <w:rsid w:val="00A347FA"/>
    <w:rsid w:val="00A34831"/>
    <w:rsid w:val="00A35380"/>
    <w:rsid w:val="00A35644"/>
    <w:rsid w:val="00A35B44"/>
    <w:rsid w:val="00A361BD"/>
    <w:rsid w:val="00A3648B"/>
    <w:rsid w:val="00A366EA"/>
    <w:rsid w:val="00A36832"/>
    <w:rsid w:val="00A36938"/>
    <w:rsid w:val="00A3699B"/>
    <w:rsid w:val="00A36E31"/>
    <w:rsid w:val="00A36FAF"/>
    <w:rsid w:val="00A370B9"/>
    <w:rsid w:val="00A3722E"/>
    <w:rsid w:val="00A37897"/>
    <w:rsid w:val="00A4046C"/>
    <w:rsid w:val="00A407FA"/>
    <w:rsid w:val="00A4083E"/>
    <w:rsid w:val="00A40ADB"/>
    <w:rsid w:val="00A417A6"/>
    <w:rsid w:val="00A41C63"/>
    <w:rsid w:val="00A41D40"/>
    <w:rsid w:val="00A41DF7"/>
    <w:rsid w:val="00A420BA"/>
    <w:rsid w:val="00A420F9"/>
    <w:rsid w:val="00A42214"/>
    <w:rsid w:val="00A42A0F"/>
    <w:rsid w:val="00A42EB4"/>
    <w:rsid w:val="00A43362"/>
    <w:rsid w:val="00A43650"/>
    <w:rsid w:val="00A43E6D"/>
    <w:rsid w:val="00A44393"/>
    <w:rsid w:val="00A4454F"/>
    <w:rsid w:val="00A446F7"/>
    <w:rsid w:val="00A44AEB"/>
    <w:rsid w:val="00A4557C"/>
    <w:rsid w:val="00A45739"/>
    <w:rsid w:val="00A45907"/>
    <w:rsid w:val="00A45FC4"/>
    <w:rsid w:val="00A46106"/>
    <w:rsid w:val="00A461D2"/>
    <w:rsid w:val="00A46567"/>
    <w:rsid w:val="00A4686B"/>
    <w:rsid w:val="00A47628"/>
    <w:rsid w:val="00A47795"/>
    <w:rsid w:val="00A4788B"/>
    <w:rsid w:val="00A47D1A"/>
    <w:rsid w:val="00A47D5E"/>
    <w:rsid w:val="00A50328"/>
    <w:rsid w:val="00A503C6"/>
    <w:rsid w:val="00A50554"/>
    <w:rsid w:val="00A50621"/>
    <w:rsid w:val="00A50D76"/>
    <w:rsid w:val="00A51487"/>
    <w:rsid w:val="00A51513"/>
    <w:rsid w:val="00A519CD"/>
    <w:rsid w:val="00A52ED9"/>
    <w:rsid w:val="00A52F78"/>
    <w:rsid w:val="00A53339"/>
    <w:rsid w:val="00A53C18"/>
    <w:rsid w:val="00A5401C"/>
    <w:rsid w:val="00A54AFE"/>
    <w:rsid w:val="00A54B85"/>
    <w:rsid w:val="00A55330"/>
    <w:rsid w:val="00A555E6"/>
    <w:rsid w:val="00A55977"/>
    <w:rsid w:val="00A55DB6"/>
    <w:rsid w:val="00A56AD8"/>
    <w:rsid w:val="00A56C45"/>
    <w:rsid w:val="00A56DBB"/>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C13"/>
    <w:rsid w:val="00A63E5A"/>
    <w:rsid w:val="00A643D1"/>
    <w:rsid w:val="00A64A30"/>
    <w:rsid w:val="00A64FC5"/>
    <w:rsid w:val="00A6515D"/>
    <w:rsid w:val="00A6653B"/>
    <w:rsid w:val="00A6685C"/>
    <w:rsid w:val="00A66914"/>
    <w:rsid w:val="00A66977"/>
    <w:rsid w:val="00A66ADF"/>
    <w:rsid w:val="00A6765F"/>
    <w:rsid w:val="00A70918"/>
    <w:rsid w:val="00A70984"/>
    <w:rsid w:val="00A70B30"/>
    <w:rsid w:val="00A71135"/>
    <w:rsid w:val="00A7116E"/>
    <w:rsid w:val="00A71AF4"/>
    <w:rsid w:val="00A72602"/>
    <w:rsid w:val="00A72EDC"/>
    <w:rsid w:val="00A73216"/>
    <w:rsid w:val="00A739E6"/>
    <w:rsid w:val="00A73BDE"/>
    <w:rsid w:val="00A73CB9"/>
    <w:rsid w:val="00A73FC5"/>
    <w:rsid w:val="00A74399"/>
    <w:rsid w:val="00A74B7A"/>
    <w:rsid w:val="00A74E0F"/>
    <w:rsid w:val="00A75B77"/>
    <w:rsid w:val="00A766E4"/>
    <w:rsid w:val="00A76892"/>
    <w:rsid w:val="00A76965"/>
    <w:rsid w:val="00A76A44"/>
    <w:rsid w:val="00A76C3C"/>
    <w:rsid w:val="00A771DC"/>
    <w:rsid w:val="00A77295"/>
    <w:rsid w:val="00A77961"/>
    <w:rsid w:val="00A77BC5"/>
    <w:rsid w:val="00A80276"/>
    <w:rsid w:val="00A802E6"/>
    <w:rsid w:val="00A804E6"/>
    <w:rsid w:val="00A804F8"/>
    <w:rsid w:val="00A80527"/>
    <w:rsid w:val="00A80675"/>
    <w:rsid w:val="00A80B21"/>
    <w:rsid w:val="00A817C9"/>
    <w:rsid w:val="00A817FD"/>
    <w:rsid w:val="00A81961"/>
    <w:rsid w:val="00A82657"/>
    <w:rsid w:val="00A82836"/>
    <w:rsid w:val="00A82955"/>
    <w:rsid w:val="00A82D45"/>
    <w:rsid w:val="00A82F61"/>
    <w:rsid w:val="00A838D3"/>
    <w:rsid w:val="00A83E6F"/>
    <w:rsid w:val="00A83EE8"/>
    <w:rsid w:val="00A84400"/>
    <w:rsid w:val="00A8463C"/>
    <w:rsid w:val="00A8493A"/>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6E23"/>
    <w:rsid w:val="00A8703B"/>
    <w:rsid w:val="00A87B86"/>
    <w:rsid w:val="00A87D7E"/>
    <w:rsid w:val="00A90058"/>
    <w:rsid w:val="00A9009B"/>
    <w:rsid w:val="00A904F1"/>
    <w:rsid w:val="00A90BE1"/>
    <w:rsid w:val="00A9110D"/>
    <w:rsid w:val="00A9124E"/>
    <w:rsid w:val="00A912A8"/>
    <w:rsid w:val="00A912F3"/>
    <w:rsid w:val="00A91A2D"/>
    <w:rsid w:val="00A920B2"/>
    <w:rsid w:val="00A9298B"/>
    <w:rsid w:val="00A92A99"/>
    <w:rsid w:val="00A92C11"/>
    <w:rsid w:val="00A93017"/>
    <w:rsid w:val="00A93561"/>
    <w:rsid w:val="00A94017"/>
    <w:rsid w:val="00A94563"/>
    <w:rsid w:val="00A94A22"/>
    <w:rsid w:val="00A94FC8"/>
    <w:rsid w:val="00A950CE"/>
    <w:rsid w:val="00A954E4"/>
    <w:rsid w:val="00A95A14"/>
    <w:rsid w:val="00A95A5B"/>
    <w:rsid w:val="00A95D30"/>
    <w:rsid w:val="00A9615B"/>
    <w:rsid w:val="00A96189"/>
    <w:rsid w:val="00A965F9"/>
    <w:rsid w:val="00A966C0"/>
    <w:rsid w:val="00A96C0E"/>
    <w:rsid w:val="00A97DB8"/>
    <w:rsid w:val="00AA01BB"/>
    <w:rsid w:val="00AA0CD9"/>
    <w:rsid w:val="00AA1327"/>
    <w:rsid w:val="00AA14D6"/>
    <w:rsid w:val="00AA155C"/>
    <w:rsid w:val="00AA1A24"/>
    <w:rsid w:val="00AA1A8B"/>
    <w:rsid w:val="00AA1BB4"/>
    <w:rsid w:val="00AA2491"/>
    <w:rsid w:val="00AA2617"/>
    <w:rsid w:val="00AA2875"/>
    <w:rsid w:val="00AA2F9F"/>
    <w:rsid w:val="00AA30B6"/>
    <w:rsid w:val="00AA341A"/>
    <w:rsid w:val="00AA3423"/>
    <w:rsid w:val="00AA372C"/>
    <w:rsid w:val="00AA4468"/>
    <w:rsid w:val="00AA49DB"/>
    <w:rsid w:val="00AA4BFD"/>
    <w:rsid w:val="00AA559E"/>
    <w:rsid w:val="00AA5CAB"/>
    <w:rsid w:val="00AA5D36"/>
    <w:rsid w:val="00AA641A"/>
    <w:rsid w:val="00AA6CE3"/>
    <w:rsid w:val="00AA7249"/>
    <w:rsid w:val="00AA74AA"/>
    <w:rsid w:val="00AA74B0"/>
    <w:rsid w:val="00AA799E"/>
    <w:rsid w:val="00AA7C4E"/>
    <w:rsid w:val="00AA7CCD"/>
    <w:rsid w:val="00AB028E"/>
    <w:rsid w:val="00AB047A"/>
    <w:rsid w:val="00AB055F"/>
    <w:rsid w:val="00AB062C"/>
    <w:rsid w:val="00AB06B2"/>
    <w:rsid w:val="00AB0D6F"/>
    <w:rsid w:val="00AB13F5"/>
    <w:rsid w:val="00AB16D8"/>
    <w:rsid w:val="00AB187B"/>
    <w:rsid w:val="00AB1F37"/>
    <w:rsid w:val="00AB2188"/>
    <w:rsid w:val="00AB2388"/>
    <w:rsid w:val="00AB29A7"/>
    <w:rsid w:val="00AB2B6A"/>
    <w:rsid w:val="00AB2EC2"/>
    <w:rsid w:val="00AB2F76"/>
    <w:rsid w:val="00AB3493"/>
    <w:rsid w:val="00AB38CA"/>
    <w:rsid w:val="00AB3B2A"/>
    <w:rsid w:val="00AB46BC"/>
    <w:rsid w:val="00AB491F"/>
    <w:rsid w:val="00AB4BDF"/>
    <w:rsid w:val="00AB5196"/>
    <w:rsid w:val="00AB5430"/>
    <w:rsid w:val="00AB543E"/>
    <w:rsid w:val="00AB5C0F"/>
    <w:rsid w:val="00AB5F86"/>
    <w:rsid w:val="00AB64F9"/>
    <w:rsid w:val="00AB6DD0"/>
    <w:rsid w:val="00AB6F0F"/>
    <w:rsid w:val="00AB6F7F"/>
    <w:rsid w:val="00AB725B"/>
    <w:rsid w:val="00AB75DE"/>
    <w:rsid w:val="00AB799B"/>
    <w:rsid w:val="00AB7E41"/>
    <w:rsid w:val="00AC040D"/>
    <w:rsid w:val="00AC0492"/>
    <w:rsid w:val="00AC0610"/>
    <w:rsid w:val="00AC099F"/>
    <w:rsid w:val="00AC0B35"/>
    <w:rsid w:val="00AC17A3"/>
    <w:rsid w:val="00AC17C0"/>
    <w:rsid w:val="00AC1964"/>
    <w:rsid w:val="00AC3983"/>
    <w:rsid w:val="00AC4494"/>
    <w:rsid w:val="00AC4DF0"/>
    <w:rsid w:val="00AC5FAA"/>
    <w:rsid w:val="00AC67BE"/>
    <w:rsid w:val="00AC7084"/>
    <w:rsid w:val="00AC7399"/>
    <w:rsid w:val="00AC7841"/>
    <w:rsid w:val="00AC7D4E"/>
    <w:rsid w:val="00AD0D35"/>
    <w:rsid w:val="00AD139C"/>
    <w:rsid w:val="00AD15B3"/>
    <w:rsid w:val="00AD1C1B"/>
    <w:rsid w:val="00AD1D90"/>
    <w:rsid w:val="00AD1DFC"/>
    <w:rsid w:val="00AD2BE3"/>
    <w:rsid w:val="00AD3498"/>
    <w:rsid w:val="00AD35A8"/>
    <w:rsid w:val="00AD3840"/>
    <w:rsid w:val="00AD3879"/>
    <w:rsid w:val="00AD40D7"/>
    <w:rsid w:val="00AD4EE8"/>
    <w:rsid w:val="00AD56B8"/>
    <w:rsid w:val="00AD632D"/>
    <w:rsid w:val="00AD656A"/>
    <w:rsid w:val="00AD6A7D"/>
    <w:rsid w:val="00AD7511"/>
    <w:rsid w:val="00AD7B90"/>
    <w:rsid w:val="00AD7FC7"/>
    <w:rsid w:val="00AE022A"/>
    <w:rsid w:val="00AE03F6"/>
    <w:rsid w:val="00AE03FE"/>
    <w:rsid w:val="00AE0639"/>
    <w:rsid w:val="00AE0C64"/>
    <w:rsid w:val="00AE16C8"/>
    <w:rsid w:val="00AE1CAE"/>
    <w:rsid w:val="00AE1DC4"/>
    <w:rsid w:val="00AE1E1D"/>
    <w:rsid w:val="00AE1EDF"/>
    <w:rsid w:val="00AE1F90"/>
    <w:rsid w:val="00AE2BBE"/>
    <w:rsid w:val="00AE3DA7"/>
    <w:rsid w:val="00AE4705"/>
    <w:rsid w:val="00AE47E7"/>
    <w:rsid w:val="00AE47FD"/>
    <w:rsid w:val="00AE4B26"/>
    <w:rsid w:val="00AE4DF8"/>
    <w:rsid w:val="00AE4ED7"/>
    <w:rsid w:val="00AE503F"/>
    <w:rsid w:val="00AE5554"/>
    <w:rsid w:val="00AE5635"/>
    <w:rsid w:val="00AE5906"/>
    <w:rsid w:val="00AE594C"/>
    <w:rsid w:val="00AE5F28"/>
    <w:rsid w:val="00AE66D7"/>
    <w:rsid w:val="00AE6830"/>
    <w:rsid w:val="00AE6CDD"/>
    <w:rsid w:val="00AE7153"/>
    <w:rsid w:val="00AE73A8"/>
    <w:rsid w:val="00AE74E9"/>
    <w:rsid w:val="00AE7CAF"/>
    <w:rsid w:val="00AF0269"/>
    <w:rsid w:val="00AF077A"/>
    <w:rsid w:val="00AF087D"/>
    <w:rsid w:val="00AF0AFA"/>
    <w:rsid w:val="00AF0C1B"/>
    <w:rsid w:val="00AF0E2E"/>
    <w:rsid w:val="00AF12CC"/>
    <w:rsid w:val="00AF193B"/>
    <w:rsid w:val="00AF1DF6"/>
    <w:rsid w:val="00AF247F"/>
    <w:rsid w:val="00AF27DA"/>
    <w:rsid w:val="00AF2849"/>
    <w:rsid w:val="00AF2B03"/>
    <w:rsid w:val="00AF3348"/>
    <w:rsid w:val="00AF342B"/>
    <w:rsid w:val="00AF3443"/>
    <w:rsid w:val="00AF3A3D"/>
    <w:rsid w:val="00AF3D6E"/>
    <w:rsid w:val="00AF40EA"/>
    <w:rsid w:val="00AF426C"/>
    <w:rsid w:val="00AF43AA"/>
    <w:rsid w:val="00AF460F"/>
    <w:rsid w:val="00AF4868"/>
    <w:rsid w:val="00AF4E3E"/>
    <w:rsid w:val="00AF558B"/>
    <w:rsid w:val="00AF5891"/>
    <w:rsid w:val="00AF5895"/>
    <w:rsid w:val="00AF5909"/>
    <w:rsid w:val="00AF5CB8"/>
    <w:rsid w:val="00AF6231"/>
    <w:rsid w:val="00AF6429"/>
    <w:rsid w:val="00AF65AE"/>
    <w:rsid w:val="00AF6863"/>
    <w:rsid w:val="00AF695A"/>
    <w:rsid w:val="00AF77F8"/>
    <w:rsid w:val="00AF79F8"/>
    <w:rsid w:val="00AF7BE5"/>
    <w:rsid w:val="00B0058A"/>
    <w:rsid w:val="00B00AFB"/>
    <w:rsid w:val="00B013BA"/>
    <w:rsid w:val="00B017F5"/>
    <w:rsid w:val="00B02044"/>
    <w:rsid w:val="00B0234C"/>
    <w:rsid w:val="00B02355"/>
    <w:rsid w:val="00B0331D"/>
    <w:rsid w:val="00B0338D"/>
    <w:rsid w:val="00B0350F"/>
    <w:rsid w:val="00B035A8"/>
    <w:rsid w:val="00B037FE"/>
    <w:rsid w:val="00B038B0"/>
    <w:rsid w:val="00B03900"/>
    <w:rsid w:val="00B045FE"/>
    <w:rsid w:val="00B051F9"/>
    <w:rsid w:val="00B05792"/>
    <w:rsid w:val="00B05961"/>
    <w:rsid w:val="00B061A9"/>
    <w:rsid w:val="00B062CD"/>
    <w:rsid w:val="00B06DD8"/>
    <w:rsid w:val="00B076F3"/>
    <w:rsid w:val="00B07909"/>
    <w:rsid w:val="00B07A1F"/>
    <w:rsid w:val="00B07B18"/>
    <w:rsid w:val="00B10B1D"/>
    <w:rsid w:val="00B10F81"/>
    <w:rsid w:val="00B11C79"/>
    <w:rsid w:val="00B124E0"/>
    <w:rsid w:val="00B12AEB"/>
    <w:rsid w:val="00B12F86"/>
    <w:rsid w:val="00B130C6"/>
    <w:rsid w:val="00B133FC"/>
    <w:rsid w:val="00B13B1C"/>
    <w:rsid w:val="00B14430"/>
    <w:rsid w:val="00B14515"/>
    <w:rsid w:val="00B14A7C"/>
    <w:rsid w:val="00B14FD7"/>
    <w:rsid w:val="00B153F4"/>
    <w:rsid w:val="00B15DE0"/>
    <w:rsid w:val="00B15FC8"/>
    <w:rsid w:val="00B16AF9"/>
    <w:rsid w:val="00B16CE0"/>
    <w:rsid w:val="00B17598"/>
    <w:rsid w:val="00B17683"/>
    <w:rsid w:val="00B177D7"/>
    <w:rsid w:val="00B20043"/>
    <w:rsid w:val="00B2180F"/>
    <w:rsid w:val="00B21DA6"/>
    <w:rsid w:val="00B223BB"/>
    <w:rsid w:val="00B22ED2"/>
    <w:rsid w:val="00B239E8"/>
    <w:rsid w:val="00B23AD0"/>
    <w:rsid w:val="00B23EDF"/>
    <w:rsid w:val="00B24335"/>
    <w:rsid w:val="00B2450C"/>
    <w:rsid w:val="00B24E65"/>
    <w:rsid w:val="00B25463"/>
    <w:rsid w:val="00B254C4"/>
    <w:rsid w:val="00B25918"/>
    <w:rsid w:val="00B25AC9"/>
    <w:rsid w:val="00B25BEB"/>
    <w:rsid w:val="00B25EE7"/>
    <w:rsid w:val="00B26024"/>
    <w:rsid w:val="00B26EC4"/>
    <w:rsid w:val="00B2705C"/>
    <w:rsid w:val="00B27962"/>
    <w:rsid w:val="00B279FC"/>
    <w:rsid w:val="00B303C8"/>
    <w:rsid w:val="00B303DD"/>
    <w:rsid w:val="00B30825"/>
    <w:rsid w:val="00B312F6"/>
    <w:rsid w:val="00B3135E"/>
    <w:rsid w:val="00B3147B"/>
    <w:rsid w:val="00B31B0B"/>
    <w:rsid w:val="00B323A4"/>
    <w:rsid w:val="00B32508"/>
    <w:rsid w:val="00B32E3B"/>
    <w:rsid w:val="00B32EAA"/>
    <w:rsid w:val="00B33538"/>
    <w:rsid w:val="00B33D05"/>
    <w:rsid w:val="00B33DDD"/>
    <w:rsid w:val="00B3452A"/>
    <w:rsid w:val="00B3527C"/>
    <w:rsid w:val="00B353D3"/>
    <w:rsid w:val="00B35A30"/>
    <w:rsid w:val="00B35CD3"/>
    <w:rsid w:val="00B35DE5"/>
    <w:rsid w:val="00B35E18"/>
    <w:rsid w:val="00B35E74"/>
    <w:rsid w:val="00B3675F"/>
    <w:rsid w:val="00B367F3"/>
    <w:rsid w:val="00B36B6F"/>
    <w:rsid w:val="00B36D8B"/>
    <w:rsid w:val="00B378D2"/>
    <w:rsid w:val="00B40571"/>
    <w:rsid w:val="00B40891"/>
    <w:rsid w:val="00B40F4B"/>
    <w:rsid w:val="00B4112C"/>
    <w:rsid w:val="00B4130A"/>
    <w:rsid w:val="00B41522"/>
    <w:rsid w:val="00B416B3"/>
    <w:rsid w:val="00B41700"/>
    <w:rsid w:val="00B41D93"/>
    <w:rsid w:val="00B42CBD"/>
    <w:rsid w:val="00B42E1D"/>
    <w:rsid w:val="00B43299"/>
    <w:rsid w:val="00B4330E"/>
    <w:rsid w:val="00B43FE6"/>
    <w:rsid w:val="00B44D14"/>
    <w:rsid w:val="00B44E28"/>
    <w:rsid w:val="00B44FF1"/>
    <w:rsid w:val="00B45090"/>
    <w:rsid w:val="00B453D7"/>
    <w:rsid w:val="00B459AC"/>
    <w:rsid w:val="00B45FEB"/>
    <w:rsid w:val="00B46160"/>
    <w:rsid w:val="00B4656C"/>
    <w:rsid w:val="00B4694C"/>
    <w:rsid w:val="00B47E1D"/>
    <w:rsid w:val="00B50176"/>
    <w:rsid w:val="00B50413"/>
    <w:rsid w:val="00B50548"/>
    <w:rsid w:val="00B506D7"/>
    <w:rsid w:val="00B50A43"/>
    <w:rsid w:val="00B50E35"/>
    <w:rsid w:val="00B511AC"/>
    <w:rsid w:val="00B5196A"/>
    <w:rsid w:val="00B51C87"/>
    <w:rsid w:val="00B5233E"/>
    <w:rsid w:val="00B523D7"/>
    <w:rsid w:val="00B52874"/>
    <w:rsid w:val="00B52A8F"/>
    <w:rsid w:val="00B531CA"/>
    <w:rsid w:val="00B5325C"/>
    <w:rsid w:val="00B5391A"/>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451"/>
    <w:rsid w:val="00B56A78"/>
    <w:rsid w:val="00B56B69"/>
    <w:rsid w:val="00B572E8"/>
    <w:rsid w:val="00B57483"/>
    <w:rsid w:val="00B579A6"/>
    <w:rsid w:val="00B57D90"/>
    <w:rsid w:val="00B60240"/>
    <w:rsid w:val="00B60410"/>
    <w:rsid w:val="00B60ABC"/>
    <w:rsid w:val="00B60DE6"/>
    <w:rsid w:val="00B61143"/>
    <w:rsid w:val="00B61323"/>
    <w:rsid w:val="00B61446"/>
    <w:rsid w:val="00B615D5"/>
    <w:rsid w:val="00B6185F"/>
    <w:rsid w:val="00B619F8"/>
    <w:rsid w:val="00B62136"/>
    <w:rsid w:val="00B62C1C"/>
    <w:rsid w:val="00B63BB8"/>
    <w:rsid w:val="00B63EA6"/>
    <w:rsid w:val="00B64229"/>
    <w:rsid w:val="00B64672"/>
    <w:rsid w:val="00B6472A"/>
    <w:rsid w:val="00B65021"/>
    <w:rsid w:val="00B654C2"/>
    <w:rsid w:val="00B65CAD"/>
    <w:rsid w:val="00B65D5D"/>
    <w:rsid w:val="00B6641C"/>
    <w:rsid w:val="00B66A0D"/>
    <w:rsid w:val="00B66D72"/>
    <w:rsid w:val="00B67478"/>
    <w:rsid w:val="00B67890"/>
    <w:rsid w:val="00B678AC"/>
    <w:rsid w:val="00B67B81"/>
    <w:rsid w:val="00B701DC"/>
    <w:rsid w:val="00B70544"/>
    <w:rsid w:val="00B70B1F"/>
    <w:rsid w:val="00B70CBE"/>
    <w:rsid w:val="00B7188F"/>
    <w:rsid w:val="00B718D1"/>
    <w:rsid w:val="00B71F5D"/>
    <w:rsid w:val="00B721A1"/>
    <w:rsid w:val="00B722A1"/>
    <w:rsid w:val="00B72535"/>
    <w:rsid w:val="00B72637"/>
    <w:rsid w:val="00B72750"/>
    <w:rsid w:val="00B727A3"/>
    <w:rsid w:val="00B72C4B"/>
    <w:rsid w:val="00B7317A"/>
    <w:rsid w:val="00B73BFD"/>
    <w:rsid w:val="00B74E5C"/>
    <w:rsid w:val="00B7550F"/>
    <w:rsid w:val="00B758D2"/>
    <w:rsid w:val="00B75BBE"/>
    <w:rsid w:val="00B7635E"/>
    <w:rsid w:val="00B7697D"/>
    <w:rsid w:val="00B76A2E"/>
    <w:rsid w:val="00B77226"/>
    <w:rsid w:val="00B775CE"/>
    <w:rsid w:val="00B77932"/>
    <w:rsid w:val="00B80038"/>
    <w:rsid w:val="00B803DB"/>
    <w:rsid w:val="00B80617"/>
    <w:rsid w:val="00B80643"/>
    <w:rsid w:val="00B80656"/>
    <w:rsid w:val="00B80A49"/>
    <w:rsid w:val="00B80BFC"/>
    <w:rsid w:val="00B81C5B"/>
    <w:rsid w:val="00B81CE1"/>
    <w:rsid w:val="00B82227"/>
    <w:rsid w:val="00B822F5"/>
    <w:rsid w:val="00B827A7"/>
    <w:rsid w:val="00B82808"/>
    <w:rsid w:val="00B8358C"/>
    <w:rsid w:val="00B83764"/>
    <w:rsid w:val="00B83782"/>
    <w:rsid w:val="00B83964"/>
    <w:rsid w:val="00B83A84"/>
    <w:rsid w:val="00B83DD1"/>
    <w:rsid w:val="00B83F04"/>
    <w:rsid w:val="00B84373"/>
    <w:rsid w:val="00B847BA"/>
    <w:rsid w:val="00B84F51"/>
    <w:rsid w:val="00B8510F"/>
    <w:rsid w:val="00B851DC"/>
    <w:rsid w:val="00B85A1D"/>
    <w:rsid w:val="00B8651F"/>
    <w:rsid w:val="00B865E2"/>
    <w:rsid w:val="00B86A33"/>
    <w:rsid w:val="00B86C39"/>
    <w:rsid w:val="00B86E84"/>
    <w:rsid w:val="00B86FC3"/>
    <w:rsid w:val="00B870E8"/>
    <w:rsid w:val="00B87BA4"/>
    <w:rsid w:val="00B87CBA"/>
    <w:rsid w:val="00B87DAA"/>
    <w:rsid w:val="00B87F60"/>
    <w:rsid w:val="00B90324"/>
    <w:rsid w:val="00B90DB4"/>
    <w:rsid w:val="00B90E39"/>
    <w:rsid w:val="00B917C1"/>
    <w:rsid w:val="00B9195F"/>
    <w:rsid w:val="00B91BF4"/>
    <w:rsid w:val="00B921CF"/>
    <w:rsid w:val="00B923E9"/>
    <w:rsid w:val="00B924DB"/>
    <w:rsid w:val="00B924EA"/>
    <w:rsid w:val="00B92691"/>
    <w:rsid w:val="00B940BD"/>
    <w:rsid w:val="00B9415C"/>
    <w:rsid w:val="00B941BA"/>
    <w:rsid w:val="00B94387"/>
    <w:rsid w:val="00B9480B"/>
    <w:rsid w:val="00B94AFE"/>
    <w:rsid w:val="00B94BC8"/>
    <w:rsid w:val="00B94D3A"/>
    <w:rsid w:val="00B9582A"/>
    <w:rsid w:val="00B958B1"/>
    <w:rsid w:val="00B959D4"/>
    <w:rsid w:val="00B95B8C"/>
    <w:rsid w:val="00B95C32"/>
    <w:rsid w:val="00B95D49"/>
    <w:rsid w:val="00B963EB"/>
    <w:rsid w:val="00B97A92"/>
    <w:rsid w:val="00B97C1F"/>
    <w:rsid w:val="00B97E48"/>
    <w:rsid w:val="00B97FF4"/>
    <w:rsid w:val="00BA04AA"/>
    <w:rsid w:val="00BA0BAD"/>
    <w:rsid w:val="00BA0E9C"/>
    <w:rsid w:val="00BA125E"/>
    <w:rsid w:val="00BA1711"/>
    <w:rsid w:val="00BA1765"/>
    <w:rsid w:val="00BA17FE"/>
    <w:rsid w:val="00BA1DD3"/>
    <w:rsid w:val="00BA21A4"/>
    <w:rsid w:val="00BA21B0"/>
    <w:rsid w:val="00BA2679"/>
    <w:rsid w:val="00BA2FF7"/>
    <w:rsid w:val="00BA31F1"/>
    <w:rsid w:val="00BA32E3"/>
    <w:rsid w:val="00BA34D4"/>
    <w:rsid w:val="00BA35B4"/>
    <w:rsid w:val="00BA3700"/>
    <w:rsid w:val="00BA41AA"/>
    <w:rsid w:val="00BA4D29"/>
    <w:rsid w:val="00BA4FEB"/>
    <w:rsid w:val="00BA500C"/>
    <w:rsid w:val="00BA54B7"/>
    <w:rsid w:val="00BA5915"/>
    <w:rsid w:val="00BA5D15"/>
    <w:rsid w:val="00BA5DFB"/>
    <w:rsid w:val="00BA609F"/>
    <w:rsid w:val="00BA6E28"/>
    <w:rsid w:val="00BA711F"/>
    <w:rsid w:val="00BA719B"/>
    <w:rsid w:val="00BA7954"/>
    <w:rsid w:val="00BA7A10"/>
    <w:rsid w:val="00BA7E0C"/>
    <w:rsid w:val="00BB023F"/>
    <w:rsid w:val="00BB0D0A"/>
    <w:rsid w:val="00BB157A"/>
    <w:rsid w:val="00BB1D8E"/>
    <w:rsid w:val="00BB1DFF"/>
    <w:rsid w:val="00BB1F7D"/>
    <w:rsid w:val="00BB21D0"/>
    <w:rsid w:val="00BB253F"/>
    <w:rsid w:val="00BB2C97"/>
    <w:rsid w:val="00BB2D25"/>
    <w:rsid w:val="00BB2E97"/>
    <w:rsid w:val="00BB3305"/>
    <w:rsid w:val="00BB34EC"/>
    <w:rsid w:val="00BB3711"/>
    <w:rsid w:val="00BB398D"/>
    <w:rsid w:val="00BB3A15"/>
    <w:rsid w:val="00BB3D46"/>
    <w:rsid w:val="00BB3E20"/>
    <w:rsid w:val="00BB3F76"/>
    <w:rsid w:val="00BB3FB7"/>
    <w:rsid w:val="00BB4012"/>
    <w:rsid w:val="00BB4996"/>
    <w:rsid w:val="00BB4D9D"/>
    <w:rsid w:val="00BB5002"/>
    <w:rsid w:val="00BB53B9"/>
    <w:rsid w:val="00BB5614"/>
    <w:rsid w:val="00BB5639"/>
    <w:rsid w:val="00BB5902"/>
    <w:rsid w:val="00BB608B"/>
    <w:rsid w:val="00BB639F"/>
    <w:rsid w:val="00BB6B51"/>
    <w:rsid w:val="00BB6E31"/>
    <w:rsid w:val="00BB7A08"/>
    <w:rsid w:val="00BB7BC9"/>
    <w:rsid w:val="00BC08F5"/>
    <w:rsid w:val="00BC0D27"/>
    <w:rsid w:val="00BC0F44"/>
    <w:rsid w:val="00BC1835"/>
    <w:rsid w:val="00BC1A54"/>
    <w:rsid w:val="00BC24E2"/>
    <w:rsid w:val="00BC26E8"/>
    <w:rsid w:val="00BC29CE"/>
    <w:rsid w:val="00BC2FD6"/>
    <w:rsid w:val="00BC310B"/>
    <w:rsid w:val="00BC38DC"/>
    <w:rsid w:val="00BC3B6B"/>
    <w:rsid w:val="00BC5A2D"/>
    <w:rsid w:val="00BC5D85"/>
    <w:rsid w:val="00BC60C9"/>
    <w:rsid w:val="00BC6E0B"/>
    <w:rsid w:val="00BC6E77"/>
    <w:rsid w:val="00BC7568"/>
    <w:rsid w:val="00BC763D"/>
    <w:rsid w:val="00BC7846"/>
    <w:rsid w:val="00BC7E7C"/>
    <w:rsid w:val="00BD003B"/>
    <w:rsid w:val="00BD01DF"/>
    <w:rsid w:val="00BD0223"/>
    <w:rsid w:val="00BD0288"/>
    <w:rsid w:val="00BD055A"/>
    <w:rsid w:val="00BD086B"/>
    <w:rsid w:val="00BD0885"/>
    <w:rsid w:val="00BD0C27"/>
    <w:rsid w:val="00BD0CD7"/>
    <w:rsid w:val="00BD0E38"/>
    <w:rsid w:val="00BD13F2"/>
    <w:rsid w:val="00BD1B86"/>
    <w:rsid w:val="00BD2164"/>
    <w:rsid w:val="00BD299C"/>
    <w:rsid w:val="00BD2E93"/>
    <w:rsid w:val="00BD2F6F"/>
    <w:rsid w:val="00BD3A40"/>
    <w:rsid w:val="00BD53A7"/>
    <w:rsid w:val="00BD53D9"/>
    <w:rsid w:val="00BD5439"/>
    <w:rsid w:val="00BD5756"/>
    <w:rsid w:val="00BD5767"/>
    <w:rsid w:val="00BD57A5"/>
    <w:rsid w:val="00BD693B"/>
    <w:rsid w:val="00BD6A23"/>
    <w:rsid w:val="00BD702F"/>
    <w:rsid w:val="00BD786C"/>
    <w:rsid w:val="00BD7D46"/>
    <w:rsid w:val="00BD7FC9"/>
    <w:rsid w:val="00BE06C9"/>
    <w:rsid w:val="00BE0EC2"/>
    <w:rsid w:val="00BE13BF"/>
    <w:rsid w:val="00BE1849"/>
    <w:rsid w:val="00BE1CB1"/>
    <w:rsid w:val="00BE1EA9"/>
    <w:rsid w:val="00BE237B"/>
    <w:rsid w:val="00BE2A43"/>
    <w:rsid w:val="00BE2C32"/>
    <w:rsid w:val="00BE4914"/>
    <w:rsid w:val="00BE4928"/>
    <w:rsid w:val="00BE4B43"/>
    <w:rsid w:val="00BE59F2"/>
    <w:rsid w:val="00BE5D52"/>
    <w:rsid w:val="00BE6106"/>
    <w:rsid w:val="00BE642D"/>
    <w:rsid w:val="00BE669E"/>
    <w:rsid w:val="00BE6CD9"/>
    <w:rsid w:val="00BE75D5"/>
    <w:rsid w:val="00BF06F4"/>
    <w:rsid w:val="00BF0C2D"/>
    <w:rsid w:val="00BF1429"/>
    <w:rsid w:val="00BF1616"/>
    <w:rsid w:val="00BF199A"/>
    <w:rsid w:val="00BF237C"/>
    <w:rsid w:val="00BF24F5"/>
    <w:rsid w:val="00BF2E5A"/>
    <w:rsid w:val="00BF352D"/>
    <w:rsid w:val="00BF3606"/>
    <w:rsid w:val="00BF3799"/>
    <w:rsid w:val="00BF3854"/>
    <w:rsid w:val="00BF3E51"/>
    <w:rsid w:val="00BF3E89"/>
    <w:rsid w:val="00BF4006"/>
    <w:rsid w:val="00BF48A6"/>
    <w:rsid w:val="00BF4975"/>
    <w:rsid w:val="00BF4E65"/>
    <w:rsid w:val="00BF500D"/>
    <w:rsid w:val="00BF5184"/>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CC2"/>
    <w:rsid w:val="00C0108B"/>
    <w:rsid w:val="00C0196D"/>
    <w:rsid w:val="00C020FE"/>
    <w:rsid w:val="00C02822"/>
    <w:rsid w:val="00C029BE"/>
    <w:rsid w:val="00C02BCD"/>
    <w:rsid w:val="00C02DAA"/>
    <w:rsid w:val="00C0453D"/>
    <w:rsid w:val="00C046A1"/>
    <w:rsid w:val="00C048C0"/>
    <w:rsid w:val="00C04A35"/>
    <w:rsid w:val="00C05055"/>
    <w:rsid w:val="00C05131"/>
    <w:rsid w:val="00C0539C"/>
    <w:rsid w:val="00C055F0"/>
    <w:rsid w:val="00C05684"/>
    <w:rsid w:val="00C06278"/>
    <w:rsid w:val="00C06CB8"/>
    <w:rsid w:val="00C102B2"/>
    <w:rsid w:val="00C10517"/>
    <w:rsid w:val="00C106A0"/>
    <w:rsid w:val="00C1071E"/>
    <w:rsid w:val="00C1073C"/>
    <w:rsid w:val="00C108FA"/>
    <w:rsid w:val="00C10A4C"/>
    <w:rsid w:val="00C10D11"/>
    <w:rsid w:val="00C1100B"/>
    <w:rsid w:val="00C11534"/>
    <w:rsid w:val="00C1161B"/>
    <w:rsid w:val="00C11C09"/>
    <w:rsid w:val="00C11F9A"/>
    <w:rsid w:val="00C12907"/>
    <w:rsid w:val="00C129A0"/>
    <w:rsid w:val="00C1325F"/>
    <w:rsid w:val="00C133F9"/>
    <w:rsid w:val="00C1340C"/>
    <w:rsid w:val="00C13C87"/>
    <w:rsid w:val="00C13D35"/>
    <w:rsid w:val="00C13E4B"/>
    <w:rsid w:val="00C141CB"/>
    <w:rsid w:val="00C1498A"/>
    <w:rsid w:val="00C15214"/>
    <w:rsid w:val="00C15318"/>
    <w:rsid w:val="00C161F1"/>
    <w:rsid w:val="00C1642B"/>
    <w:rsid w:val="00C16B5D"/>
    <w:rsid w:val="00C17252"/>
    <w:rsid w:val="00C1754C"/>
    <w:rsid w:val="00C177BE"/>
    <w:rsid w:val="00C1792F"/>
    <w:rsid w:val="00C179B5"/>
    <w:rsid w:val="00C200B8"/>
    <w:rsid w:val="00C205F5"/>
    <w:rsid w:val="00C2162E"/>
    <w:rsid w:val="00C21737"/>
    <w:rsid w:val="00C21B52"/>
    <w:rsid w:val="00C222ED"/>
    <w:rsid w:val="00C227AE"/>
    <w:rsid w:val="00C22AFB"/>
    <w:rsid w:val="00C22C26"/>
    <w:rsid w:val="00C230CE"/>
    <w:rsid w:val="00C23145"/>
    <w:rsid w:val="00C23397"/>
    <w:rsid w:val="00C233B5"/>
    <w:rsid w:val="00C2354D"/>
    <w:rsid w:val="00C2414E"/>
    <w:rsid w:val="00C24152"/>
    <w:rsid w:val="00C24256"/>
    <w:rsid w:val="00C24441"/>
    <w:rsid w:val="00C2476B"/>
    <w:rsid w:val="00C24956"/>
    <w:rsid w:val="00C24AA5"/>
    <w:rsid w:val="00C24D48"/>
    <w:rsid w:val="00C2579F"/>
    <w:rsid w:val="00C26059"/>
    <w:rsid w:val="00C26C4E"/>
    <w:rsid w:val="00C27169"/>
    <w:rsid w:val="00C27170"/>
    <w:rsid w:val="00C27D05"/>
    <w:rsid w:val="00C27FC4"/>
    <w:rsid w:val="00C301A0"/>
    <w:rsid w:val="00C3125E"/>
    <w:rsid w:val="00C316B4"/>
    <w:rsid w:val="00C31B0A"/>
    <w:rsid w:val="00C32159"/>
    <w:rsid w:val="00C32258"/>
    <w:rsid w:val="00C3238D"/>
    <w:rsid w:val="00C326B9"/>
    <w:rsid w:val="00C32EF5"/>
    <w:rsid w:val="00C32F90"/>
    <w:rsid w:val="00C3361F"/>
    <w:rsid w:val="00C3369A"/>
    <w:rsid w:val="00C33EDE"/>
    <w:rsid w:val="00C341FB"/>
    <w:rsid w:val="00C34757"/>
    <w:rsid w:val="00C347A0"/>
    <w:rsid w:val="00C351E7"/>
    <w:rsid w:val="00C3628C"/>
    <w:rsid w:val="00C3661C"/>
    <w:rsid w:val="00C36769"/>
    <w:rsid w:val="00C36787"/>
    <w:rsid w:val="00C369DC"/>
    <w:rsid w:val="00C36B2C"/>
    <w:rsid w:val="00C375BB"/>
    <w:rsid w:val="00C37A0A"/>
    <w:rsid w:val="00C37C02"/>
    <w:rsid w:val="00C37CEF"/>
    <w:rsid w:val="00C37FF6"/>
    <w:rsid w:val="00C4016C"/>
    <w:rsid w:val="00C401FF"/>
    <w:rsid w:val="00C40401"/>
    <w:rsid w:val="00C40CB6"/>
    <w:rsid w:val="00C41417"/>
    <w:rsid w:val="00C41453"/>
    <w:rsid w:val="00C41902"/>
    <w:rsid w:val="00C42059"/>
    <w:rsid w:val="00C4216F"/>
    <w:rsid w:val="00C4269F"/>
    <w:rsid w:val="00C428DF"/>
    <w:rsid w:val="00C42F0F"/>
    <w:rsid w:val="00C43044"/>
    <w:rsid w:val="00C4382A"/>
    <w:rsid w:val="00C43AFF"/>
    <w:rsid w:val="00C43DCF"/>
    <w:rsid w:val="00C43FD5"/>
    <w:rsid w:val="00C4432B"/>
    <w:rsid w:val="00C44FF4"/>
    <w:rsid w:val="00C4540A"/>
    <w:rsid w:val="00C45770"/>
    <w:rsid w:val="00C45C10"/>
    <w:rsid w:val="00C45C86"/>
    <w:rsid w:val="00C470ED"/>
    <w:rsid w:val="00C47983"/>
    <w:rsid w:val="00C47B9A"/>
    <w:rsid w:val="00C503A5"/>
    <w:rsid w:val="00C50486"/>
    <w:rsid w:val="00C50986"/>
    <w:rsid w:val="00C50C26"/>
    <w:rsid w:val="00C52A21"/>
    <w:rsid w:val="00C52EAD"/>
    <w:rsid w:val="00C52FDF"/>
    <w:rsid w:val="00C532EA"/>
    <w:rsid w:val="00C534A4"/>
    <w:rsid w:val="00C537D2"/>
    <w:rsid w:val="00C53990"/>
    <w:rsid w:val="00C53A95"/>
    <w:rsid w:val="00C53DE9"/>
    <w:rsid w:val="00C53FCB"/>
    <w:rsid w:val="00C54D51"/>
    <w:rsid w:val="00C565C6"/>
    <w:rsid w:val="00C5682C"/>
    <w:rsid w:val="00C56E05"/>
    <w:rsid w:val="00C57035"/>
    <w:rsid w:val="00C57804"/>
    <w:rsid w:val="00C578F3"/>
    <w:rsid w:val="00C57C5E"/>
    <w:rsid w:val="00C60839"/>
    <w:rsid w:val="00C609DD"/>
    <w:rsid w:val="00C60B8F"/>
    <w:rsid w:val="00C60EC2"/>
    <w:rsid w:val="00C61FB0"/>
    <w:rsid w:val="00C6270F"/>
    <w:rsid w:val="00C631EF"/>
    <w:rsid w:val="00C63298"/>
    <w:rsid w:val="00C637C5"/>
    <w:rsid w:val="00C6383D"/>
    <w:rsid w:val="00C639B8"/>
    <w:rsid w:val="00C639F6"/>
    <w:rsid w:val="00C63EED"/>
    <w:rsid w:val="00C63FF0"/>
    <w:rsid w:val="00C642AE"/>
    <w:rsid w:val="00C64DCF"/>
    <w:rsid w:val="00C650BA"/>
    <w:rsid w:val="00C65AF4"/>
    <w:rsid w:val="00C66029"/>
    <w:rsid w:val="00C6608C"/>
    <w:rsid w:val="00C66BC1"/>
    <w:rsid w:val="00C6733E"/>
    <w:rsid w:val="00C67726"/>
    <w:rsid w:val="00C67FDB"/>
    <w:rsid w:val="00C706B7"/>
    <w:rsid w:val="00C70ACA"/>
    <w:rsid w:val="00C710C3"/>
    <w:rsid w:val="00C71B8C"/>
    <w:rsid w:val="00C71D2A"/>
    <w:rsid w:val="00C71EF8"/>
    <w:rsid w:val="00C72B05"/>
    <w:rsid w:val="00C72B2F"/>
    <w:rsid w:val="00C72BE2"/>
    <w:rsid w:val="00C72BFF"/>
    <w:rsid w:val="00C72CDC"/>
    <w:rsid w:val="00C73211"/>
    <w:rsid w:val="00C738C7"/>
    <w:rsid w:val="00C73D0B"/>
    <w:rsid w:val="00C73D7D"/>
    <w:rsid w:val="00C7442E"/>
    <w:rsid w:val="00C7454B"/>
    <w:rsid w:val="00C74937"/>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83A"/>
    <w:rsid w:val="00C80B48"/>
    <w:rsid w:val="00C81102"/>
    <w:rsid w:val="00C8114B"/>
    <w:rsid w:val="00C81635"/>
    <w:rsid w:val="00C828F1"/>
    <w:rsid w:val="00C82900"/>
    <w:rsid w:val="00C82B9B"/>
    <w:rsid w:val="00C831D7"/>
    <w:rsid w:val="00C8327A"/>
    <w:rsid w:val="00C83E94"/>
    <w:rsid w:val="00C83EA7"/>
    <w:rsid w:val="00C842BD"/>
    <w:rsid w:val="00C84594"/>
    <w:rsid w:val="00C8556F"/>
    <w:rsid w:val="00C857F2"/>
    <w:rsid w:val="00C85CE5"/>
    <w:rsid w:val="00C86456"/>
    <w:rsid w:val="00C865DB"/>
    <w:rsid w:val="00C86AA6"/>
    <w:rsid w:val="00C8709A"/>
    <w:rsid w:val="00C8728D"/>
    <w:rsid w:val="00C873FD"/>
    <w:rsid w:val="00C87C53"/>
    <w:rsid w:val="00C9020F"/>
    <w:rsid w:val="00C905B6"/>
    <w:rsid w:val="00C90799"/>
    <w:rsid w:val="00C90BF7"/>
    <w:rsid w:val="00C90F77"/>
    <w:rsid w:val="00C91102"/>
    <w:rsid w:val="00C91407"/>
    <w:rsid w:val="00C91628"/>
    <w:rsid w:val="00C9186A"/>
    <w:rsid w:val="00C91B45"/>
    <w:rsid w:val="00C91E22"/>
    <w:rsid w:val="00C92206"/>
    <w:rsid w:val="00C929B3"/>
    <w:rsid w:val="00C92DAC"/>
    <w:rsid w:val="00C92F28"/>
    <w:rsid w:val="00C93234"/>
    <w:rsid w:val="00C940CD"/>
    <w:rsid w:val="00C94827"/>
    <w:rsid w:val="00C94C93"/>
    <w:rsid w:val="00C9544F"/>
    <w:rsid w:val="00C96011"/>
    <w:rsid w:val="00C9637D"/>
    <w:rsid w:val="00C965B9"/>
    <w:rsid w:val="00C9709D"/>
    <w:rsid w:val="00C977C8"/>
    <w:rsid w:val="00C979B2"/>
    <w:rsid w:val="00CA02EE"/>
    <w:rsid w:val="00CA08BF"/>
    <w:rsid w:val="00CA0956"/>
    <w:rsid w:val="00CA0A9E"/>
    <w:rsid w:val="00CA0B2F"/>
    <w:rsid w:val="00CA171E"/>
    <w:rsid w:val="00CA1C60"/>
    <w:rsid w:val="00CA1EED"/>
    <w:rsid w:val="00CA2162"/>
    <w:rsid w:val="00CA280D"/>
    <w:rsid w:val="00CA3045"/>
    <w:rsid w:val="00CA3246"/>
    <w:rsid w:val="00CA32D0"/>
    <w:rsid w:val="00CA3941"/>
    <w:rsid w:val="00CA3F16"/>
    <w:rsid w:val="00CA4281"/>
    <w:rsid w:val="00CA431F"/>
    <w:rsid w:val="00CA5562"/>
    <w:rsid w:val="00CA5642"/>
    <w:rsid w:val="00CA5659"/>
    <w:rsid w:val="00CA5BCC"/>
    <w:rsid w:val="00CA61EB"/>
    <w:rsid w:val="00CA62F5"/>
    <w:rsid w:val="00CA6D29"/>
    <w:rsid w:val="00CA7210"/>
    <w:rsid w:val="00CB004D"/>
    <w:rsid w:val="00CB006D"/>
    <w:rsid w:val="00CB033E"/>
    <w:rsid w:val="00CB04EF"/>
    <w:rsid w:val="00CB04F1"/>
    <w:rsid w:val="00CB12C0"/>
    <w:rsid w:val="00CB1511"/>
    <w:rsid w:val="00CB1711"/>
    <w:rsid w:val="00CB185A"/>
    <w:rsid w:val="00CB1BBA"/>
    <w:rsid w:val="00CB1BC1"/>
    <w:rsid w:val="00CB1DCE"/>
    <w:rsid w:val="00CB325B"/>
    <w:rsid w:val="00CB34A1"/>
    <w:rsid w:val="00CB3B3B"/>
    <w:rsid w:val="00CB3B71"/>
    <w:rsid w:val="00CB3E7B"/>
    <w:rsid w:val="00CB3F46"/>
    <w:rsid w:val="00CB4023"/>
    <w:rsid w:val="00CB439D"/>
    <w:rsid w:val="00CB46A4"/>
    <w:rsid w:val="00CB492A"/>
    <w:rsid w:val="00CB4A7C"/>
    <w:rsid w:val="00CB514B"/>
    <w:rsid w:val="00CB577C"/>
    <w:rsid w:val="00CB5A36"/>
    <w:rsid w:val="00CB6549"/>
    <w:rsid w:val="00CB718F"/>
    <w:rsid w:val="00CB73F0"/>
    <w:rsid w:val="00CB76BD"/>
    <w:rsid w:val="00CB7969"/>
    <w:rsid w:val="00CB79F5"/>
    <w:rsid w:val="00CB7A50"/>
    <w:rsid w:val="00CB7E2D"/>
    <w:rsid w:val="00CC08A7"/>
    <w:rsid w:val="00CC1259"/>
    <w:rsid w:val="00CC153C"/>
    <w:rsid w:val="00CC179A"/>
    <w:rsid w:val="00CC1F9D"/>
    <w:rsid w:val="00CC269A"/>
    <w:rsid w:val="00CC2738"/>
    <w:rsid w:val="00CC2766"/>
    <w:rsid w:val="00CC2BAC"/>
    <w:rsid w:val="00CC350D"/>
    <w:rsid w:val="00CC3E9B"/>
    <w:rsid w:val="00CC3EBD"/>
    <w:rsid w:val="00CC4669"/>
    <w:rsid w:val="00CC4C6D"/>
    <w:rsid w:val="00CC5203"/>
    <w:rsid w:val="00CC531A"/>
    <w:rsid w:val="00CC5555"/>
    <w:rsid w:val="00CC55D4"/>
    <w:rsid w:val="00CC57E3"/>
    <w:rsid w:val="00CC5A08"/>
    <w:rsid w:val="00CC5CA5"/>
    <w:rsid w:val="00CC5E01"/>
    <w:rsid w:val="00CC6FC9"/>
    <w:rsid w:val="00CC7236"/>
    <w:rsid w:val="00CC73D1"/>
    <w:rsid w:val="00CC7B78"/>
    <w:rsid w:val="00CD052D"/>
    <w:rsid w:val="00CD0DEE"/>
    <w:rsid w:val="00CD1752"/>
    <w:rsid w:val="00CD1BE3"/>
    <w:rsid w:val="00CD24E7"/>
    <w:rsid w:val="00CD2703"/>
    <w:rsid w:val="00CD2C14"/>
    <w:rsid w:val="00CD2E4A"/>
    <w:rsid w:val="00CD3246"/>
    <w:rsid w:val="00CD3524"/>
    <w:rsid w:val="00CD3AD3"/>
    <w:rsid w:val="00CD46EA"/>
    <w:rsid w:val="00CD51BA"/>
    <w:rsid w:val="00CD581F"/>
    <w:rsid w:val="00CD5987"/>
    <w:rsid w:val="00CD5E67"/>
    <w:rsid w:val="00CD66C2"/>
    <w:rsid w:val="00CD69D3"/>
    <w:rsid w:val="00CD69D4"/>
    <w:rsid w:val="00CD6A2C"/>
    <w:rsid w:val="00CD6E7B"/>
    <w:rsid w:val="00CD6F8C"/>
    <w:rsid w:val="00CD6FD9"/>
    <w:rsid w:val="00CD70E5"/>
    <w:rsid w:val="00CD7553"/>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E91"/>
    <w:rsid w:val="00CE4078"/>
    <w:rsid w:val="00CE43B7"/>
    <w:rsid w:val="00CE44AE"/>
    <w:rsid w:val="00CE4B3A"/>
    <w:rsid w:val="00CE5F47"/>
    <w:rsid w:val="00CE67FC"/>
    <w:rsid w:val="00CE69F8"/>
    <w:rsid w:val="00CE6CCE"/>
    <w:rsid w:val="00CE6D5A"/>
    <w:rsid w:val="00CE73EF"/>
    <w:rsid w:val="00CE75BC"/>
    <w:rsid w:val="00CE7D88"/>
    <w:rsid w:val="00CF00DD"/>
    <w:rsid w:val="00CF013F"/>
    <w:rsid w:val="00CF0440"/>
    <w:rsid w:val="00CF06A0"/>
    <w:rsid w:val="00CF0A63"/>
    <w:rsid w:val="00CF0A69"/>
    <w:rsid w:val="00CF0A88"/>
    <w:rsid w:val="00CF0E97"/>
    <w:rsid w:val="00CF121D"/>
    <w:rsid w:val="00CF1954"/>
    <w:rsid w:val="00CF1A05"/>
    <w:rsid w:val="00CF260C"/>
    <w:rsid w:val="00CF2627"/>
    <w:rsid w:val="00CF2685"/>
    <w:rsid w:val="00CF301C"/>
    <w:rsid w:val="00CF32DF"/>
    <w:rsid w:val="00CF34AC"/>
    <w:rsid w:val="00CF34F5"/>
    <w:rsid w:val="00CF3782"/>
    <w:rsid w:val="00CF3F85"/>
    <w:rsid w:val="00CF5431"/>
    <w:rsid w:val="00CF574A"/>
    <w:rsid w:val="00CF5804"/>
    <w:rsid w:val="00CF5BAF"/>
    <w:rsid w:val="00CF654C"/>
    <w:rsid w:val="00CF67D7"/>
    <w:rsid w:val="00CF6946"/>
    <w:rsid w:val="00CF6C26"/>
    <w:rsid w:val="00CF7333"/>
    <w:rsid w:val="00CF7553"/>
    <w:rsid w:val="00CF7592"/>
    <w:rsid w:val="00CF75FE"/>
    <w:rsid w:val="00CF7710"/>
    <w:rsid w:val="00CF78B4"/>
    <w:rsid w:val="00CF78BB"/>
    <w:rsid w:val="00D00165"/>
    <w:rsid w:val="00D005BB"/>
    <w:rsid w:val="00D007DD"/>
    <w:rsid w:val="00D00A3E"/>
    <w:rsid w:val="00D01004"/>
    <w:rsid w:val="00D0116A"/>
    <w:rsid w:val="00D012E6"/>
    <w:rsid w:val="00D0186C"/>
    <w:rsid w:val="00D01A64"/>
    <w:rsid w:val="00D01D3B"/>
    <w:rsid w:val="00D02344"/>
    <w:rsid w:val="00D02509"/>
    <w:rsid w:val="00D02618"/>
    <w:rsid w:val="00D0261D"/>
    <w:rsid w:val="00D02965"/>
    <w:rsid w:val="00D03A5E"/>
    <w:rsid w:val="00D03B2A"/>
    <w:rsid w:val="00D03D7B"/>
    <w:rsid w:val="00D03ECC"/>
    <w:rsid w:val="00D043B8"/>
    <w:rsid w:val="00D05186"/>
    <w:rsid w:val="00D054F0"/>
    <w:rsid w:val="00D05686"/>
    <w:rsid w:val="00D05C5A"/>
    <w:rsid w:val="00D05E49"/>
    <w:rsid w:val="00D07257"/>
    <w:rsid w:val="00D076CE"/>
    <w:rsid w:val="00D077B2"/>
    <w:rsid w:val="00D077BD"/>
    <w:rsid w:val="00D077D8"/>
    <w:rsid w:val="00D07B06"/>
    <w:rsid w:val="00D07C62"/>
    <w:rsid w:val="00D07F36"/>
    <w:rsid w:val="00D10518"/>
    <w:rsid w:val="00D10E59"/>
    <w:rsid w:val="00D11C05"/>
    <w:rsid w:val="00D11F93"/>
    <w:rsid w:val="00D12C18"/>
    <w:rsid w:val="00D12FF9"/>
    <w:rsid w:val="00D13212"/>
    <w:rsid w:val="00D1368A"/>
    <w:rsid w:val="00D13889"/>
    <w:rsid w:val="00D13BEF"/>
    <w:rsid w:val="00D141B1"/>
    <w:rsid w:val="00D143F1"/>
    <w:rsid w:val="00D14D28"/>
    <w:rsid w:val="00D14DB9"/>
    <w:rsid w:val="00D14F95"/>
    <w:rsid w:val="00D15396"/>
    <w:rsid w:val="00D1545B"/>
    <w:rsid w:val="00D15623"/>
    <w:rsid w:val="00D15835"/>
    <w:rsid w:val="00D16168"/>
    <w:rsid w:val="00D165E4"/>
    <w:rsid w:val="00D16B06"/>
    <w:rsid w:val="00D1753D"/>
    <w:rsid w:val="00D20A2A"/>
    <w:rsid w:val="00D20B06"/>
    <w:rsid w:val="00D20CC6"/>
    <w:rsid w:val="00D215AC"/>
    <w:rsid w:val="00D21883"/>
    <w:rsid w:val="00D218D4"/>
    <w:rsid w:val="00D21B56"/>
    <w:rsid w:val="00D21B79"/>
    <w:rsid w:val="00D21C1E"/>
    <w:rsid w:val="00D21DAC"/>
    <w:rsid w:val="00D226C7"/>
    <w:rsid w:val="00D226DF"/>
    <w:rsid w:val="00D227C5"/>
    <w:rsid w:val="00D22EC9"/>
    <w:rsid w:val="00D23674"/>
    <w:rsid w:val="00D23CB0"/>
    <w:rsid w:val="00D24690"/>
    <w:rsid w:val="00D24C87"/>
    <w:rsid w:val="00D24D13"/>
    <w:rsid w:val="00D24EDB"/>
    <w:rsid w:val="00D25165"/>
    <w:rsid w:val="00D252A3"/>
    <w:rsid w:val="00D261C3"/>
    <w:rsid w:val="00D2622A"/>
    <w:rsid w:val="00D2625E"/>
    <w:rsid w:val="00D263B5"/>
    <w:rsid w:val="00D2683D"/>
    <w:rsid w:val="00D27206"/>
    <w:rsid w:val="00D274EB"/>
    <w:rsid w:val="00D27802"/>
    <w:rsid w:val="00D278E7"/>
    <w:rsid w:val="00D30202"/>
    <w:rsid w:val="00D30488"/>
    <w:rsid w:val="00D3056D"/>
    <w:rsid w:val="00D30849"/>
    <w:rsid w:val="00D30D84"/>
    <w:rsid w:val="00D313BF"/>
    <w:rsid w:val="00D31AD1"/>
    <w:rsid w:val="00D31DC8"/>
    <w:rsid w:val="00D31E33"/>
    <w:rsid w:val="00D32B02"/>
    <w:rsid w:val="00D3340B"/>
    <w:rsid w:val="00D33429"/>
    <w:rsid w:val="00D33878"/>
    <w:rsid w:val="00D33CCE"/>
    <w:rsid w:val="00D33EB9"/>
    <w:rsid w:val="00D340D7"/>
    <w:rsid w:val="00D34D99"/>
    <w:rsid w:val="00D34DD3"/>
    <w:rsid w:val="00D3561C"/>
    <w:rsid w:val="00D356B9"/>
    <w:rsid w:val="00D35914"/>
    <w:rsid w:val="00D35B2E"/>
    <w:rsid w:val="00D35BBE"/>
    <w:rsid w:val="00D35CC1"/>
    <w:rsid w:val="00D35E6C"/>
    <w:rsid w:val="00D36404"/>
    <w:rsid w:val="00D36664"/>
    <w:rsid w:val="00D36751"/>
    <w:rsid w:val="00D369E3"/>
    <w:rsid w:val="00D36BF3"/>
    <w:rsid w:val="00D36DA2"/>
    <w:rsid w:val="00D36E9B"/>
    <w:rsid w:val="00D373E1"/>
    <w:rsid w:val="00D3751A"/>
    <w:rsid w:val="00D377D8"/>
    <w:rsid w:val="00D379EC"/>
    <w:rsid w:val="00D37D45"/>
    <w:rsid w:val="00D37E67"/>
    <w:rsid w:val="00D400F9"/>
    <w:rsid w:val="00D40435"/>
    <w:rsid w:val="00D408E2"/>
    <w:rsid w:val="00D40ED8"/>
    <w:rsid w:val="00D412EE"/>
    <w:rsid w:val="00D413E6"/>
    <w:rsid w:val="00D41509"/>
    <w:rsid w:val="00D417CE"/>
    <w:rsid w:val="00D419BA"/>
    <w:rsid w:val="00D41BAC"/>
    <w:rsid w:val="00D41C09"/>
    <w:rsid w:val="00D41EE0"/>
    <w:rsid w:val="00D41F78"/>
    <w:rsid w:val="00D425BB"/>
    <w:rsid w:val="00D427F1"/>
    <w:rsid w:val="00D42B8C"/>
    <w:rsid w:val="00D43010"/>
    <w:rsid w:val="00D43378"/>
    <w:rsid w:val="00D43674"/>
    <w:rsid w:val="00D43693"/>
    <w:rsid w:val="00D43829"/>
    <w:rsid w:val="00D4390D"/>
    <w:rsid w:val="00D43A3E"/>
    <w:rsid w:val="00D43C35"/>
    <w:rsid w:val="00D43F92"/>
    <w:rsid w:val="00D4453A"/>
    <w:rsid w:val="00D44D0B"/>
    <w:rsid w:val="00D44DF7"/>
    <w:rsid w:val="00D44F32"/>
    <w:rsid w:val="00D44FE6"/>
    <w:rsid w:val="00D45020"/>
    <w:rsid w:val="00D45CA3"/>
    <w:rsid w:val="00D4618B"/>
    <w:rsid w:val="00D4623C"/>
    <w:rsid w:val="00D46254"/>
    <w:rsid w:val="00D468BF"/>
    <w:rsid w:val="00D468EC"/>
    <w:rsid w:val="00D46FAE"/>
    <w:rsid w:val="00D4717E"/>
    <w:rsid w:val="00D47859"/>
    <w:rsid w:val="00D47F92"/>
    <w:rsid w:val="00D50671"/>
    <w:rsid w:val="00D50CC5"/>
    <w:rsid w:val="00D5109E"/>
    <w:rsid w:val="00D516AB"/>
    <w:rsid w:val="00D51B0D"/>
    <w:rsid w:val="00D51B4A"/>
    <w:rsid w:val="00D5260C"/>
    <w:rsid w:val="00D5270E"/>
    <w:rsid w:val="00D53271"/>
    <w:rsid w:val="00D5329C"/>
    <w:rsid w:val="00D534D7"/>
    <w:rsid w:val="00D53EE9"/>
    <w:rsid w:val="00D53F2D"/>
    <w:rsid w:val="00D54184"/>
    <w:rsid w:val="00D54889"/>
    <w:rsid w:val="00D54E52"/>
    <w:rsid w:val="00D54F0D"/>
    <w:rsid w:val="00D55B18"/>
    <w:rsid w:val="00D56332"/>
    <w:rsid w:val="00D565F2"/>
    <w:rsid w:val="00D5670E"/>
    <w:rsid w:val="00D5679A"/>
    <w:rsid w:val="00D567FD"/>
    <w:rsid w:val="00D56EE3"/>
    <w:rsid w:val="00D5753B"/>
    <w:rsid w:val="00D5760A"/>
    <w:rsid w:val="00D579F2"/>
    <w:rsid w:val="00D57A5C"/>
    <w:rsid w:val="00D607EE"/>
    <w:rsid w:val="00D608D0"/>
    <w:rsid w:val="00D61407"/>
    <w:rsid w:val="00D616D3"/>
    <w:rsid w:val="00D61BA9"/>
    <w:rsid w:val="00D620FB"/>
    <w:rsid w:val="00D62A70"/>
    <w:rsid w:val="00D62BCF"/>
    <w:rsid w:val="00D6312D"/>
    <w:rsid w:val="00D6472A"/>
    <w:rsid w:val="00D64E73"/>
    <w:rsid w:val="00D64F97"/>
    <w:rsid w:val="00D653C1"/>
    <w:rsid w:val="00D65471"/>
    <w:rsid w:val="00D654ED"/>
    <w:rsid w:val="00D66081"/>
    <w:rsid w:val="00D66185"/>
    <w:rsid w:val="00D666CD"/>
    <w:rsid w:val="00D66B68"/>
    <w:rsid w:val="00D66DB6"/>
    <w:rsid w:val="00D67095"/>
    <w:rsid w:val="00D67105"/>
    <w:rsid w:val="00D67329"/>
    <w:rsid w:val="00D67A0B"/>
    <w:rsid w:val="00D67AB4"/>
    <w:rsid w:val="00D67DE9"/>
    <w:rsid w:val="00D70968"/>
    <w:rsid w:val="00D70BB4"/>
    <w:rsid w:val="00D70F1D"/>
    <w:rsid w:val="00D717AB"/>
    <w:rsid w:val="00D718EA"/>
    <w:rsid w:val="00D71DA1"/>
    <w:rsid w:val="00D72356"/>
    <w:rsid w:val="00D723C3"/>
    <w:rsid w:val="00D72528"/>
    <w:rsid w:val="00D7346D"/>
    <w:rsid w:val="00D7355B"/>
    <w:rsid w:val="00D7362D"/>
    <w:rsid w:val="00D7394D"/>
    <w:rsid w:val="00D73A89"/>
    <w:rsid w:val="00D73CA3"/>
    <w:rsid w:val="00D74309"/>
    <w:rsid w:val="00D745D4"/>
    <w:rsid w:val="00D749CF"/>
    <w:rsid w:val="00D74B4B"/>
    <w:rsid w:val="00D75053"/>
    <w:rsid w:val="00D750E6"/>
    <w:rsid w:val="00D75261"/>
    <w:rsid w:val="00D766F5"/>
    <w:rsid w:val="00D76B98"/>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40DD"/>
    <w:rsid w:val="00D84156"/>
    <w:rsid w:val="00D8449C"/>
    <w:rsid w:val="00D8479A"/>
    <w:rsid w:val="00D8494A"/>
    <w:rsid w:val="00D84980"/>
    <w:rsid w:val="00D84AFC"/>
    <w:rsid w:val="00D84D23"/>
    <w:rsid w:val="00D8608A"/>
    <w:rsid w:val="00D86BB2"/>
    <w:rsid w:val="00D86FAE"/>
    <w:rsid w:val="00D874B5"/>
    <w:rsid w:val="00D87721"/>
    <w:rsid w:val="00D878DB"/>
    <w:rsid w:val="00D87DBE"/>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8A2"/>
    <w:rsid w:val="00D92DD9"/>
    <w:rsid w:val="00D92F8D"/>
    <w:rsid w:val="00D9349D"/>
    <w:rsid w:val="00D934D4"/>
    <w:rsid w:val="00D936AB"/>
    <w:rsid w:val="00D93EE7"/>
    <w:rsid w:val="00D947A4"/>
    <w:rsid w:val="00D94871"/>
    <w:rsid w:val="00D9487D"/>
    <w:rsid w:val="00D94BA4"/>
    <w:rsid w:val="00D958FA"/>
    <w:rsid w:val="00D95CF2"/>
    <w:rsid w:val="00D96149"/>
    <w:rsid w:val="00D967CA"/>
    <w:rsid w:val="00D96D4E"/>
    <w:rsid w:val="00D976A9"/>
    <w:rsid w:val="00D977E9"/>
    <w:rsid w:val="00D9781D"/>
    <w:rsid w:val="00DA0C5C"/>
    <w:rsid w:val="00DA0E98"/>
    <w:rsid w:val="00DA1308"/>
    <w:rsid w:val="00DA1367"/>
    <w:rsid w:val="00DA161F"/>
    <w:rsid w:val="00DA1EEE"/>
    <w:rsid w:val="00DA2A13"/>
    <w:rsid w:val="00DA340E"/>
    <w:rsid w:val="00DA349B"/>
    <w:rsid w:val="00DA3AE5"/>
    <w:rsid w:val="00DA442D"/>
    <w:rsid w:val="00DA4622"/>
    <w:rsid w:val="00DA46A9"/>
    <w:rsid w:val="00DA5843"/>
    <w:rsid w:val="00DA5A00"/>
    <w:rsid w:val="00DA5A11"/>
    <w:rsid w:val="00DA5FDF"/>
    <w:rsid w:val="00DA6305"/>
    <w:rsid w:val="00DA671A"/>
    <w:rsid w:val="00DA6751"/>
    <w:rsid w:val="00DA792F"/>
    <w:rsid w:val="00DA7AFF"/>
    <w:rsid w:val="00DB03EB"/>
    <w:rsid w:val="00DB07AD"/>
    <w:rsid w:val="00DB0B68"/>
    <w:rsid w:val="00DB0DDA"/>
    <w:rsid w:val="00DB0E78"/>
    <w:rsid w:val="00DB1068"/>
    <w:rsid w:val="00DB245E"/>
    <w:rsid w:val="00DB2999"/>
    <w:rsid w:val="00DB2F1D"/>
    <w:rsid w:val="00DB3604"/>
    <w:rsid w:val="00DB3960"/>
    <w:rsid w:val="00DB4317"/>
    <w:rsid w:val="00DB45A8"/>
    <w:rsid w:val="00DB46FE"/>
    <w:rsid w:val="00DB475D"/>
    <w:rsid w:val="00DB4892"/>
    <w:rsid w:val="00DB4B03"/>
    <w:rsid w:val="00DB4C9B"/>
    <w:rsid w:val="00DB53DE"/>
    <w:rsid w:val="00DB5CC5"/>
    <w:rsid w:val="00DB5F28"/>
    <w:rsid w:val="00DB6214"/>
    <w:rsid w:val="00DB63D5"/>
    <w:rsid w:val="00DB75D8"/>
    <w:rsid w:val="00DB7915"/>
    <w:rsid w:val="00DB7A8B"/>
    <w:rsid w:val="00DB7C0A"/>
    <w:rsid w:val="00DB7C23"/>
    <w:rsid w:val="00DB7F14"/>
    <w:rsid w:val="00DC00DD"/>
    <w:rsid w:val="00DC0599"/>
    <w:rsid w:val="00DC076C"/>
    <w:rsid w:val="00DC09B2"/>
    <w:rsid w:val="00DC0F8F"/>
    <w:rsid w:val="00DC0FB0"/>
    <w:rsid w:val="00DC1220"/>
    <w:rsid w:val="00DC2D95"/>
    <w:rsid w:val="00DC2ED4"/>
    <w:rsid w:val="00DC35D2"/>
    <w:rsid w:val="00DC3648"/>
    <w:rsid w:val="00DC4789"/>
    <w:rsid w:val="00DC4C92"/>
    <w:rsid w:val="00DC5128"/>
    <w:rsid w:val="00DC5EA8"/>
    <w:rsid w:val="00DC5FCC"/>
    <w:rsid w:val="00DC6B23"/>
    <w:rsid w:val="00DC716A"/>
    <w:rsid w:val="00DC75A4"/>
    <w:rsid w:val="00DC76C4"/>
    <w:rsid w:val="00DC7979"/>
    <w:rsid w:val="00DC7FB9"/>
    <w:rsid w:val="00DD06DA"/>
    <w:rsid w:val="00DD0761"/>
    <w:rsid w:val="00DD0ED2"/>
    <w:rsid w:val="00DD0F8F"/>
    <w:rsid w:val="00DD10B4"/>
    <w:rsid w:val="00DD1512"/>
    <w:rsid w:val="00DD1AE2"/>
    <w:rsid w:val="00DD1C93"/>
    <w:rsid w:val="00DD1D99"/>
    <w:rsid w:val="00DD278E"/>
    <w:rsid w:val="00DD2BE9"/>
    <w:rsid w:val="00DD3184"/>
    <w:rsid w:val="00DD3684"/>
    <w:rsid w:val="00DD36EB"/>
    <w:rsid w:val="00DD4577"/>
    <w:rsid w:val="00DD4632"/>
    <w:rsid w:val="00DD4647"/>
    <w:rsid w:val="00DD5956"/>
    <w:rsid w:val="00DD5CA0"/>
    <w:rsid w:val="00DD5DC7"/>
    <w:rsid w:val="00DD61E8"/>
    <w:rsid w:val="00DD62C1"/>
    <w:rsid w:val="00DD668C"/>
    <w:rsid w:val="00DD66E5"/>
    <w:rsid w:val="00DD747B"/>
    <w:rsid w:val="00DD76B9"/>
    <w:rsid w:val="00DE0017"/>
    <w:rsid w:val="00DE01BA"/>
    <w:rsid w:val="00DE021C"/>
    <w:rsid w:val="00DE0532"/>
    <w:rsid w:val="00DE0A6E"/>
    <w:rsid w:val="00DE0AAD"/>
    <w:rsid w:val="00DE0B29"/>
    <w:rsid w:val="00DE0F16"/>
    <w:rsid w:val="00DE1511"/>
    <w:rsid w:val="00DE17B3"/>
    <w:rsid w:val="00DE1980"/>
    <w:rsid w:val="00DE23E6"/>
    <w:rsid w:val="00DE2C70"/>
    <w:rsid w:val="00DE2D66"/>
    <w:rsid w:val="00DE3139"/>
    <w:rsid w:val="00DE3375"/>
    <w:rsid w:val="00DE3B49"/>
    <w:rsid w:val="00DE3C0D"/>
    <w:rsid w:val="00DE3C18"/>
    <w:rsid w:val="00DE47C5"/>
    <w:rsid w:val="00DE48FF"/>
    <w:rsid w:val="00DE51B8"/>
    <w:rsid w:val="00DE52AD"/>
    <w:rsid w:val="00DE53DA"/>
    <w:rsid w:val="00DE5674"/>
    <w:rsid w:val="00DE58C9"/>
    <w:rsid w:val="00DE5FC8"/>
    <w:rsid w:val="00DE67E2"/>
    <w:rsid w:val="00DE6977"/>
    <w:rsid w:val="00DE6FD3"/>
    <w:rsid w:val="00DE70F9"/>
    <w:rsid w:val="00DE714B"/>
    <w:rsid w:val="00DE71F5"/>
    <w:rsid w:val="00DE7284"/>
    <w:rsid w:val="00DE72CD"/>
    <w:rsid w:val="00DE7385"/>
    <w:rsid w:val="00DE76FA"/>
    <w:rsid w:val="00DE7D3F"/>
    <w:rsid w:val="00DE7E1A"/>
    <w:rsid w:val="00DF0095"/>
    <w:rsid w:val="00DF00D3"/>
    <w:rsid w:val="00DF1504"/>
    <w:rsid w:val="00DF1BFF"/>
    <w:rsid w:val="00DF20A6"/>
    <w:rsid w:val="00DF20CC"/>
    <w:rsid w:val="00DF24E8"/>
    <w:rsid w:val="00DF2DF6"/>
    <w:rsid w:val="00DF2F00"/>
    <w:rsid w:val="00DF40E0"/>
    <w:rsid w:val="00DF44E9"/>
    <w:rsid w:val="00DF4E10"/>
    <w:rsid w:val="00DF57F3"/>
    <w:rsid w:val="00DF5F60"/>
    <w:rsid w:val="00DF651B"/>
    <w:rsid w:val="00DF6805"/>
    <w:rsid w:val="00DF6889"/>
    <w:rsid w:val="00DF6928"/>
    <w:rsid w:val="00DF6B2F"/>
    <w:rsid w:val="00DF71A3"/>
    <w:rsid w:val="00DF7201"/>
    <w:rsid w:val="00DF77EC"/>
    <w:rsid w:val="00DF7C6E"/>
    <w:rsid w:val="00E0014A"/>
    <w:rsid w:val="00E00633"/>
    <w:rsid w:val="00E006F2"/>
    <w:rsid w:val="00E00A7C"/>
    <w:rsid w:val="00E0119E"/>
    <w:rsid w:val="00E0137F"/>
    <w:rsid w:val="00E01AB7"/>
    <w:rsid w:val="00E01FA3"/>
    <w:rsid w:val="00E02084"/>
    <w:rsid w:val="00E02418"/>
    <w:rsid w:val="00E02C8A"/>
    <w:rsid w:val="00E033F6"/>
    <w:rsid w:val="00E03BFE"/>
    <w:rsid w:val="00E03C67"/>
    <w:rsid w:val="00E03C8B"/>
    <w:rsid w:val="00E03D6E"/>
    <w:rsid w:val="00E040E7"/>
    <w:rsid w:val="00E04309"/>
    <w:rsid w:val="00E043DC"/>
    <w:rsid w:val="00E048CD"/>
    <w:rsid w:val="00E048D8"/>
    <w:rsid w:val="00E04982"/>
    <w:rsid w:val="00E04C3B"/>
    <w:rsid w:val="00E04E73"/>
    <w:rsid w:val="00E04EC2"/>
    <w:rsid w:val="00E05308"/>
    <w:rsid w:val="00E0531F"/>
    <w:rsid w:val="00E05AAF"/>
    <w:rsid w:val="00E05D6F"/>
    <w:rsid w:val="00E06209"/>
    <w:rsid w:val="00E0649A"/>
    <w:rsid w:val="00E067A4"/>
    <w:rsid w:val="00E06A98"/>
    <w:rsid w:val="00E06ADF"/>
    <w:rsid w:val="00E07B58"/>
    <w:rsid w:val="00E102BE"/>
    <w:rsid w:val="00E110B6"/>
    <w:rsid w:val="00E11C50"/>
    <w:rsid w:val="00E11E12"/>
    <w:rsid w:val="00E12736"/>
    <w:rsid w:val="00E1287F"/>
    <w:rsid w:val="00E12B6A"/>
    <w:rsid w:val="00E12BF5"/>
    <w:rsid w:val="00E12CA0"/>
    <w:rsid w:val="00E131A7"/>
    <w:rsid w:val="00E13540"/>
    <w:rsid w:val="00E1418E"/>
    <w:rsid w:val="00E14370"/>
    <w:rsid w:val="00E155DC"/>
    <w:rsid w:val="00E15AEA"/>
    <w:rsid w:val="00E15D27"/>
    <w:rsid w:val="00E15D2E"/>
    <w:rsid w:val="00E166EB"/>
    <w:rsid w:val="00E16BD8"/>
    <w:rsid w:val="00E171ED"/>
    <w:rsid w:val="00E17305"/>
    <w:rsid w:val="00E1757B"/>
    <w:rsid w:val="00E176A4"/>
    <w:rsid w:val="00E20255"/>
    <w:rsid w:val="00E204ED"/>
    <w:rsid w:val="00E20526"/>
    <w:rsid w:val="00E20963"/>
    <w:rsid w:val="00E209F6"/>
    <w:rsid w:val="00E2166B"/>
    <w:rsid w:val="00E22121"/>
    <w:rsid w:val="00E223E2"/>
    <w:rsid w:val="00E22EEE"/>
    <w:rsid w:val="00E24A4D"/>
    <w:rsid w:val="00E24F8C"/>
    <w:rsid w:val="00E25827"/>
    <w:rsid w:val="00E2582E"/>
    <w:rsid w:val="00E265D1"/>
    <w:rsid w:val="00E268F7"/>
    <w:rsid w:val="00E26C71"/>
    <w:rsid w:val="00E27822"/>
    <w:rsid w:val="00E27F85"/>
    <w:rsid w:val="00E307FF"/>
    <w:rsid w:val="00E308B6"/>
    <w:rsid w:val="00E3103E"/>
    <w:rsid w:val="00E31080"/>
    <w:rsid w:val="00E31152"/>
    <w:rsid w:val="00E31B04"/>
    <w:rsid w:val="00E31E39"/>
    <w:rsid w:val="00E31F49"/>
    <w:rsid w:val="00E3215D"/>
    <w:rsid w:val="00E3299C"/>
    <w:rsid w:val="00E329CC"/>
    <w:rsid w:val="00E32E99"/>
    <w:rsid w:val="00E33361"/>
    <w:rsid w:val="00E33B9E"/>
    <w:rsid w:val="00E33DD9"/>
    <w:rsid w:val="00E34559"/>
    <w:rsid w:val="00E348F7"/>
    <w:rsid w:val="00E34AB8"/>
    <w:rsid w:val="00E34EEC"/>
    <w:rsid w:val="00E3552E"/>
    <w:rsid w:val="00E363D1"/>
    <w:rsid w:val="00E368B2"/>
    <w:rsid w:val="00E36931"/>
    <w:rsid w:val="00E3699B"/>
    <w:rsid w:val="00E36A1E"/>
    <w:rsid w:val="00E372C0"/>
    <w:rsid w:val="00E375DF"/>
    <w:rsid w:val="00E3771F"/>
    <w:rsid w:val="00E37E08"/>
    <w:rsid w:val="00E406F8"/>
    <w:rsid w:val="00E4085A"/>
    <w:rsid w:val="00E4111F"/>
    <w:rsid w:val="00E411B1"/>
    <w:rsid w:val="00E4136C"/>
    <w:rsid w:val="00E41469"/>
    <w:rsid w:val="00E421C5"/>
    <w:rsid w:val="00E42565"/>
    <w:rsid w:val="00E42925"/>
    <w:rsid w:val="00E42E62"/>
    <w:rsid w:val="00E43A71"/>
    <w:rsid w:val="00E43DD4"/>
    <w:rsid w:val="00E43DF2"/>
    <w:rsid w:val="00E43EE1"/>
    <w:rsid w:val="00E44305"/>
    <w:rsid w:val="00E444F7"/>
    <w:rsid w:val="00E446A7"/>
    <w:rsid w:val="00E44F76"/>
    <w:rsid w:val="00E451F4"/>
    <w:rsid w:val="00E45C0F"/>
    <w:rsid w:val="00E45E30"/>
    <w:rsid w:val="00E46187"/>
    <w:rsid w:val="00E4678B"/>
    <w:rsid w:val="00E46A43"/>
    <w:rsid w:val="00E46AC7"/>
    <w:rsid w:val="00E46DD0"/>
    <w:rsid w:val="00E47952"/>
    <w:rsid w:val="00E47B69"/>
    <w:rsid w:val="00E47DE5"/>
    <w:rsid w:val="00E47FE6"/>
    <w:rsid w:val="00E5003B"/>
    <w:rsid w:val="00E50C0D"/>
    <w:rsid w:val="00E51285"/>
    <w:rsid w:val="00E51441"/>
    <w:rsid w:val="00E5165F"/>
    <w:rsid w:val="00E51808"/>
    <w:rsid w:val="00E51AC3"/>
    <w:rsid w:val="00E51FD6"/>
    <w:rsid w:val="00E52D71"/>
    <w:rsid w:val="00E535BE"/>
    <w:rsid w:val="00E54268"/>
    <w:rsid w:val="00E54B3E"/>
    <w:rsid w:val="00E54DD9"/>
    <w:rsid w:val="00E5520B"/>
    <w:rsid w:val="00E5603E"/>
    <w:rsid w:val="00E560D7"/>
    <w:rsid w:val="00E56748"/>
    <w:rsid w:val="00E56850"/>
    <w:rsid w:val="00E56A42"/>
    <w:rsid w:val="00E56E04"/>
    <w:rsid w:val="00E56F50"/>
    <w:rsid w:val="00E57399"/>
    <w:rsid w:val="00E5744A"/>
    <w:rsid w:val="00E57B17"/>
    <w:rsid w:val="00E57BF7"/>
    <w:rsid w:val="00E60236"/>
    <w:rsid w:val="00E606B4"/>
    <w:rsid w:val="00E61B2B"/>
    <w:rsid w:val="00E620D6"/>
    <w:rsid w:val="00E62172"/>
    <w:rsid w:val="00E6225E"/>
    <w:rsid w:val="00E622A0"/>
    <w:rsid w:val="00E628AB"/>
    <w:rsid w:val="00E62907"/>
    <w:rsid w:val="00E62921"/>
    <w:rsid w:val="00E62B8F"/>
    <w:rsid w:val="00E62F87"/>
    <w:rsid w:val="00E630FB"/>
    <w:rsid w:val="00E63151"/>
    <w:rsid w:val="00E63B67"/>
    <w:rsid w:val="00E63FA9"/>
    <w:rsid w:val="00E64AA0"/>
    <w:rsid w:val="00E64B9C"/>
    <w:rsid w:val="00E64E58"/>
    <w:rsid w:val="00E64FDC"/>
    <w:rsid w:val="00E65001"/>
    <w:rsid w:val="00E6516B"/>
    <w:rsid w:val="00E65472"/>
    <w:rsid w:val="00E655C9"/>
    <w:rsid w:val="00E65C0B"/>
    <w:rsid w:val="00E65EE5"/>
    <w:rsid w:val="00E65F9E"/>
    <w:rsid w:val="00E661A4"/>
    <w:rsid w:val="00E66891"/>
    <w:rsid w:val="00E672F9"/>
    <w:rsid w:val="00E6737E"/>
    <w:rsid w:val="00E67538"/>
    <w:rsid w:val="00E67C6D"/>
    <w:rsid w:val="00E70007"/>
    <w:rsid w:val="00E70085"/>
    <w:rsid w:val="00E70ABC"/>
    <w:rsid w:val="00E70BE9"/>
    <w:rsid w:val="00E70DF1"/>
    <w:rsid w:val="00E7116B"/>
    <w:rsid w:val="00E714BC"/>
    <w:rsid w:val="00E7179E"/>
    <w:rsid w:val="00E71BE9"/>
    <w:rsid w:val="00E721B1"/>
    <w:rsid w:val="00E7230D"/>
    <w:rsid w:val="00E725EE"/>
    <w:rsid w:val="00E7297A"/>
    <w:rsid w:val="00E72FE9"/>
    <w:rsid w:val="00E732D1"/>
    <w:rsid w:val="00E7330A"/>
    <w:rsid w:val="00E7386D"/>
    <w:rsid w:val="00E73882"/>
    <w:rsid w:val="00E74221"/>
    <w:rsid w:val="00E74670"/>
    <w:rsid w:val="00E7483D"/>
    <w:rsid w:val="00E757C7"/>
    <w:rsid w:val="00E759F4"/>
    <w:rsid w:val="00E75B44"/>
    <w:rsid w:val="00E75D55"/>
    <w:rsid w:val="00E7639B"/>
    <w:rsid w:val="00E765B0"/>
    <w:rsid w:val="00E76604"/>
    <w:rsid w:val="00E7795B"/>
    <w:rsid w:val="00E77E92"/>
    <w:rsid w:val="00E8018B"/>
    <w:rsid w:val="00E8030E"/>
    <w:rsid w:val="00E80E8F"/>
    <w:rsid w:val="00E81263"/>
    <w:rsid w:val="00E81501"/>
    <w:rsid w:val="00E82062"/>
    <w:rsid w:val="00E82160"/>
    <w:rsid w:val="00E829A0"/>
    <w:rsid w:val="00E82F56"/>
    <w:rsid w:val="00E830BF"/>
    <w:rsid w:val="00E83314"/>
    <w:rsid w:val="00E833E2"/>
    <w:rsid w:val="00E83438"/>
    <w:rsid w:val="00E8356D"/>
    <w:rsid w:val="00E839DF"/>
    <w:rsid w:val="00E83A07"/>
    <w:rsid w:val="00E83A7E"/>
    <w:rsid w:val="00E83C48"/>
    <w:rsid w:val="00E83E3E"/>
    <w:rsid w:val="00E843A8"/>
    <w:rsid w:val="00E8442B"/>
    <w:rsid w:val="00E845A9"/>
    <w:rsid w:val="00E849FD"/>
    <w:rsid w:val="00E84B4A"/>
    <w:rsid w:val="00E851FA"/>
    <w:rsid w:val="00E85219"/>
    <w:rsid w:val="00E8546A"/>
    <w:rsid w:val="00E8546F"/>
    <w:rsid w:val="00E854EB"/>
    <w:rsid w:val="00E854EF"/>
    <w:rsid w:val="00E85E89"/>
    <w:rsid w:val="00E860A7"/>
    <w:rsid w:val="00E8633E"/>
    <w:rsid w:val="00E86D41"/>
    <w:rsid w:val="00E871A4"/>
    <w:rsid w:val="00E871B3"/>
    <w:rsid w:val="00E871F8"/>
    <w:rsid w:val="00E87A0A"/>
    <w:rsid w:val="00E87D1B"/>
    <w:rsid w:val="00E90243"/>
    <w:rsid w:val="00E90C9E"/>
    <w:rsid w:val="00E913EB"/>
    <w:rsid w:val="00E91EF6"/>
    <w:rsid w:val="00E92737"/>
    <w:rsid w:val="00E92754"/>
    <w:rsid w:val="00E92807"/>
    <w:rsid w:val="00E92B43"/>
    <w:rsid w:val="00E92B87"/>
    <w:rsid w:val="00E92C1F"/>
    <w:rsid w:val="00E92E2D"/>
    <w:rsid w:val="00E938E5"/>
    <w:rsid w:val="00E94F82"/>
    <w:rsid w:val="00E956BC"/>
    <w:rsid w:val="00E957EE"/>
    <w:rsid w:val="00E95CE4"/>
    <w:rsid w:val="00E95D2B"/>
    <w:rsid w:val="00E97E08"/>
    <w:rsid w:val="00EA02A2"/>
    <w:rsid w:val="00EA036E"/>
    <w:rsid w:val="00EA061D"/>
    <w:rsid w:val="00EA0795"/>
    <w:rsid w:val="00EA0E2A"/>
    <w:rsid w:val="00EA0E73"/>
    <w:rsid w:val="00EA0FA2"/>
    <w:rsid w:val="00EA13F9"/>
    <w:rsid w:val="00EA1ACC"/>
    <w:rsid w:val="00EA1F74"/>
    <w:rsid w:val="00EA241D"/>
    <w:rsid w:val="00EA261B"/>
    <w:rsid w:val="00EA2641"/>
    <w:rsid w:val="00EA27D3"/>
    <w:rsid w:val="00EA2984"/>
    <w:rsid w:val="00EA2CCC"/>
    <w:rsid w:val="00EA345C"/>
    <w:rsid w:val="00EA358F"/>
    <w:rsid w:val="00EA41D6"/>
    <w:rsid w:val="00EA48EE"/>
    <w:rsid w:val="00EA4A39"/>
    <w:rsid w:val="00EA4CD5"/>
    <w:rsid w:val="00EA50F2"/>
    <w:rsid w:val="00EA5410"/>
    <w:rsid w:val="00EA5428"/>
    <w:rsid w:val="00EA5501"/>
    <w:rsid w:val="00EA5890"/>
    <w:rsid w:val="00EA599D"/>
    <w:rsid w:val="00EA59F7"/>
    <w:rsid w:val="00EA5B0B"/>
    <w:rsid w:val="00EA5B71"/>
    <w:rsid w:val="00EA5CD9"/>
    <w:rsid w:val="00EA5D7C"/>
    <w:rsid w:val="00EA65D8"/>
    <w:rsid w:val="00EA7BE1"/>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946"/>
    <w:rsid w:val="00EB3BAB"/>
    <w:rsid w:val="00EB4695"/>
    <w:rsid w:val="00EB4D02"/>
    <w:rsid w:val="00EB54F2"/>
    <w:rsid w:val="00EB5812"/>
    <w:rsid w:val="00EB595D"/>
    <w:rsid w:val="00EB6295"/>
    <w:rsid w:val="00EB693B"/>
    <w:rsid w:val="00EB6CA3"/>
    <w:rsid w:val="00EB6CD4"/>
    <w:rsid w:val="00EB7135"/>
    <w:rsid w:val="00EB719E"/>
    <w:rsid w:val="00EB7474"/>
    <w:rsid w:val="00EB7779"/>
    <w:rsid w:val="00EB7AAA"/>
    <w:rsid w:val="00EC0EEB"/>
    <w:rsid w:val="00EC0F9A"/>
    <w:rsid w:val="00EC114D"/>
    <w:rsid w:val="00EC150B"/>
    <w:rsid w:val="00EC167D"/>
    <w:rsid w:val="00EC1EAB"/>
    <w:rsid w:val="00EC214D"/>
    <w:rsid w:val="00EC24A6"/>
    <w:rsid w:val="00EC2B01"/>
    <w:rsid w:val="00EC2C90"/>
    <w:rsid w:val="00EC2EAE"/>
    <w:rsid w:val="00EC30FA"/>
    <w:rsid w:val="00EC341C"/>
    <w:rsid w:val="00EC43FC"/>
    <w:rsid w:val="00EC4452"/>
    <w:rsid w:val="00EC4461"/>
    <w:rsid w:val="00EC504C"/>
    <w:rsid w:val="00EC5BAC"/>
    <w:rsid w:val="00EC5D5F"/>
    <w:rsid w:val="00EC6244"/>
    <w:rsid w:val="00EC63E4"/>
    <w:rsid w:val="00EC68F4"/>
    <w:rsid w:val="00EC6A0B"/>
    <w:rsid w:val="00EC6EFF"/>
    <w:rsid w:val="00EC72E9"/>
    <w:rsid w:val="00EC746A"/>
    <w:rsid w:val="00EC7EF9"/>
    <w:rsid w:val="00ED0364"/>
    <w:rsid w:val="00ED07F0"/>
    <w:rsid w:val="00ED113D"/>
    <w:rsid w:val="00ED1831"/>
    <w:rsid w:val="00ED1D85"/>
    <w:rsid w:val="00ED232D"/>
    <w:rsid w:val="00ED2443"/>
    <w:rsid w:val="00ED2C4F"/>
    <w:rsid w:val="00ED2C6F"/>
    <w:rsid w:val="00ED2D4D"/>
    <w:rsid w:val="00ED305A"/>
    <w:rsid w:val="00ED374B"/>
    <w:rsid w:val="00ED37C0"/>
    <w:rsid w:val="00ED3811"/>
    <w:rsid w:val="00ED38A4"/>
    <w:rsid w:val="00ED3AB5"/>
    <w:rsid w:val="00ED477E"/>
    <w:rsid w:val="00ED4A3F"/>
    <w:rsid w:val="00ED4D88"/>
    <w:rsid w:val="00ED4EFB"/>
    <w:rsid w:val="00ED5334"/>
    <w:rsid w:val="00ED5D29"/>
    <w:rsid w:val="00ED622C"/>
    <w:rsid w:val="00ED62EE"/>
    <w:rsid w:val="00ED660F"/>
    <w:rsid w:val="00ED73FA"/>
    <w:rsid w:val="00ED7A2F"/>
    <w:rsid w:val="00ED7B38"/>
    <w:rsid w:val="00ED7EC8"/>
    <w:rsid w:val="00EE007E"/>
    <w:rsid w:val="00EE08C8"/>
    <w:rsid w:val="00EE08F2"/>
    <w:rsid w:val="00EE0E16"/>
    <w:rsid w:val="00EE0F4A"/>
    <w:rsid w:val="00EE14B4"/>
    <w:rsid w:val="00EE168C"/>
    <w:rsid w:val="00EE16EF"/>
    <w:rsid w:val="00EE1AE0"/>
    <w:rsid w:val="00EE1D1B"/>
    <w:rsid w:val="00EE1E99"/>
    <w:rsid w:val="00EE273D"/>
    <w:rsid w:val="00EE2B86"/>
    <w:rsid w:val="00EE2E1A"/>
    <w:rsid w:val="00EE320F"/>
    <w:rsid w:val="00EE3BEC"/>
    <w:rsid w:val="00EE412D"/>
    <w:rsid w:val="00EE4176"/>
    <w:rsid w:val="00EE447B"/>
    <w:rsid w:val="00EE471B"/>
    <w:rsid w:val="00EE4CFA"/>
    <w:rsid w:val="00EE4F92"/>
    <w:rsid w:val="00EE51F2"/>
    <w:rsid w:val="00EE5570"/>
    <w:rsid w:val="00EE5604"/>
    <w:rsid w:val="00EE5AAB"/>
    <w:rsid w:val="00EE65BD"/>
    <w:rsid w:val="00EE6F51"/>
    <w:rsid w:val="00EE7274"/>
    <w:rsid w:val="00EE72E3"/>
    <w:rsid w:val="00EE75AD"/>
    <w:rsid w:val="00EE761F"/>
    <w:rsid w:val="00EE7A37"/>
    <w:rsid w:val="00EE7F6B"/>
    <w:rsid w:val="00EF00E8"/>
    <w:rsid w:val="00EF0162"/>
    <w:rsid w:val="00EF064C"/>
    <w:rsid w:val="00EF0A5D"/>
    <w:rsid w:val="00EF1A32"/>
    <w:rsid w:val="00EF2903"/>
    <w:rsid w:val="00EF2999"/>
    <w:rsid w:val="00EF36DB"/>
    <w:rsid w:val="00EF37C9"/>
    <w:rsid w:val="00EF38D5"/>
    <w:rsid w:val="00EF3B18"/>
    <w:rsid w:val="00EF3E68"/>
    <w:rsid w:val="00EF3F49"/>
    <w:rsid w:val="00EF4336"/>
    <w:rsid w:val="00EF49A2"/>
    <w:rsid w:val="00EF53C7"/>
    <w:rsid w:val="00EF5650"/>
    <w:rsid w:val="00EF5AF1"/>
    <w:rsid w:val="00EF64AB"/>
    <w:rsid w:val="00EF706B"/>
    <w:rsid w:val="00EF73A3"/>
    <w:rsid w:val="00EF73DC"/>
    <w:rsid w:val="00EF761B"/>
    <w:rsid w:val="00EF7A6C"/>
    <w:rsid w:val="00EF7D05"/>
    <w:rsid w:val="00EF7E67"/>
    <w:rsid w:val="00F00188"/>
    <w:rsid w:val="00F00F15"/>
    <w:rsid w:val="00F013FF"/>
    <w:rsid w:val="00F01799"/>
    <w:rsid w:val="00F02284"/>
    <w:rsid w:val="00F02E10"/>
    <w:rsid w:val="00F0332B"/>
    <w:rsid w:val="00F03B6E"/>
    <w:rsid w:val="00F03E80"/>
    <w:rsid w:val="00F0434C"/>
    <w:rsid w:val="00F0439D"/>
    <w:rsid w:val="00F043A5"/>
    <w:rsid w:val="00F04DFE"/>
    <w:rsid w:val="00F054F3"/>
    <w:rsid w:val="00F056DD"/>
    <w:rsid w:val="00F058A2"/>
    <w:rsid w:val="00F058C7"/>
    <w:rsid w:val="00F0594B"/>
    <w:rsid w:val="00F05B99"/>
    <w:rsid w:val="00F05EAF"/>
    <w:rsid w:val="00F066AB"/>
    <w:rsid w:val="00F06944"/>
    <w:rsid w:val="00F077B0"/>
    <w:rsid w:val="00F07A76"/>
    <w:rsid w:val="00F10004"/>
    <w:rsid w:val="00F10615"/>
    <w:rsid w:val="00F1069E"/>
    <w:rsid w:val="00F110A3"/>
    <w:rsid w:val="00F11350"/>
    <w:rsid w:val="00F113AC"/>
    <w:rsid w:val="00F11B4D"/>
    <w:rsid w:val="00F11E08"/>
    <w:rsid w:val="00F12611"/>
    <w:rsid w:val="00F12B59"/>
    <w:rsid w:val="00F12D35"/>
    <w:rsid w:val="00F133A4"/>
    <w:rsid w:val="00F13AB0"/>
    <w:rsid w:val="00F13D21"/>
    <w:rsid w:val="00F14814"/>
    <w:rsid w:val="00F15042"/>
    <w:rsid w:val="00F150DB"/>
    <w:rsid w:val="00F15600"/>
    <w:rsid w:val="00F15749"/>
    <w:rsid w:val="00F16372"/>
    <w:rsid w:val="00F16CEC"/>
    <w:rsid w:val="00F16FD8"/>
    <w:rsid w:val="00F17055"/>
    <w:rsid w:val="00F1707E"/>
    <w:rsid w:val="00F17645"/>
    <w:rsid w:val="00F17C7F"/>
    <w:rsid w:val="00F201A9"/>
    <w:rsid w:val="00F20A06"/>
    <w:rsid w:val="00F20F9A"/>
    <w:rsid w:val="00F21495"/>
    <w:rsid w:val="00F214E8"/>
    <w:rsid w:val="00F21EF2"/>
    <w:rsid w:val="00F226E1"/>
    <w:rsid w:val="00F22B53"/>
    <w:rsid w:val="00F2310A"/>
    <w:rsid w:val="00F2375F"/>
    <w:rsid w:val="00F23809"/>
    <w:rsid w:val="00F23912"/>
    <w:rsid w:val="00F24461"/>
    <w:rsid w:val="00F244A4"/>
    <w:rsid w:val="00F24520"/>
    <w:rsid w:val="00F246B6"/>
    <w:rsid w:val="00F24A83"/>
    <w:rsid w:val="00F25190"/>
    <w:rsid w:val="00F25B81"/>
    <w:rsid w:val="00F2655B"/>
    <w:rsid w:val="00F26601"/>
    <w:rsid w:val="00F26A11"/>
    <w:rsid w:val="00F26D14"/>
    <w:rsid w:val="00F2710E"/>
    <w:rsid w:val="00F2737A"/>
    <w:rsid w:val="00F277A5"/>
    <w:rsid w:val="00F27830"/>
    <w:rsid w:val="00F300F7"/>
    <w:rsid w:val="00F30553"/>
    <w:rsid w:val="00F30939"/>
    <w:rsid w:val="00F30A36"/>
    <w:rsid w:val="00F30F8C"/>
    <w:rsid w:val="00F3177E"/>
    <w:rsid w:val="00F3189C"/>
    <w:rsid w:val="00F3206A"/>
    <w:rsid w:val="00F327CF"/>
    <w:rsid w:val="00F329DD"/>
    <w:rsid w:val="00F32DE2"/>
    <w:rsid w:val="00F332D5"/>
    <w:rsid w:val="00F33531"/>
    <w:rsid w:val="00F33CAF"/>
    <w:rsid w:val="00F340E2"/>
    <w:rsid w:val="00F34409"/>
    <w:rsid w:val="00F34869"/>
    <w:rsid w:val="00F34873"/>
    <w:rsid w:val="00F34895"/>
    <w:rsid w:val="00F34EA6"/>
    <w:rsid w:val="00F352D1"/>
    <w:rsid w:val="00F355E8"/>
    <w:rsid w:val="00F35773"/>
    <w:rsid w:val="00F358D6"/>
    <w:rsid w:val="00F36C0C"/>
    <w:rsid w:val="00F36D54"/>
    <w:rsid w:val="00F36EA2"/>
    <w:rsid w:val="00F37002"/>
    <w:rsid w:val="00F371B0"/>
    <w:rsid w:val="00F37FEF"/>
    <w:rsid w:val="00F4097B"/>
    <w:rsid w:val="00F40BCC"/>
    <w:rsid w:val="00F40BD8"/>
    <w:rsid w:val="00F4259B"/>
    <w:rsid w:val="00F42716"/>
    <w:rsid w:val="00F4282F"/>
    <w:rsid w:val="00F4293C"/>
    <w:rsid w:val="00F4315E"/>
    <w:rsid w:val="00F43420"/>
    <w:rsid w:val="00F43CAC"/>
    <w:rsid w:val="00F43D41"/>
    <w:rsid w:val="00F44234"/>
    <w:rsid w:val="00F45177"/>
    <w:rsid w:val="00F45202"/>
    <w:rsid w:val="00F4538A"/>
    <w:rsid w:val="00F45442"/>
    <w:rsid w:val="00F459F0"/>
    <w:rsid w:val="00F45C57"/>
    <w:rsid w:val="00F45C7C"/>
    <w:rsid w:val="00F461A5"/>
    <w:rsid w:val="00F463F9"/>
    <w:rsid w:val="00F472BD"/>
    <w:rsid w:val="00F47489"/>
    <w:rsid w:val="00F4758F"/>
    <w:rsid w:val="00F501B9"/>
    <w:rsid w:val="00F503F3"/>
    <w:rsid w:val="00F50469"/>
    <w:rsid w:val="00F505EE"/>
    <w:rsid w:val="00F50DBC"/>
    <w:rsid w:val="00F5177A"/>
    <w:rsid w:val="00F52150"/>
    <w:rsid w:val="00F522B6"/>
    <w:rsid w:val="00F53241"/>
    <w:rsid w:val="00F533E0"/>
    <w:rsid w:val="00F53693"/>
    <w:rsid w:val="00F5383A"/>
    <w:rsid w:val="00F53957"/>
    <w:rsid w:val="00F5522F"/>
    <w:rsid w:val="00F55279"/>
    <w:rsid w:val="00F553EC"/>
    <w:rsid w:val="00F558F1"/>
    <w:rsid w:val="00F55FA4"/>
    <w:rsid w:val="00F5676D"/>
    <w:rsid w:val="00F57292"/>
    <w:rsid w:val="00F57304"/>
    <w:rsid w:val="00F5740B"/>
    <w:rsid w:val="00F60D85"/>
    <w:rsid w:val="00F61231"/>
    <w:rsid w:val="00F61D16"/>
    <w:rsid w:val="00F61E2B"/>
    <w:rsid w:val="00F620FC"/>
    <w:rsid w:val="00F621EC"/>
    <w:rsid w:val="00F62FA2"/>
    <w:rsid w:val="00F636F5"/>
    <w:rsid w:val="00F64BB7"/>
    <w:rsid w:val="00F64E7A"/>
    <w:rsid w:val="00F65139"/>
    <w:rsid w:val="00F65677"/>
    <w:rsid w:val="00F66AAB"/>
    <w:rsid w:val="00F66DDC"/>
    <w:rsid w:val="00F672FE"/>
    <w:rsid w:val="00F67B93"/>
    <w:rsid w:val="00F67FAF"/>
    <w:rsid w:val="00F705FD"/>
    <w:rsid w:val="00F706A4"/>
    <w:rsid w:val="00F70C8C"/>
    <w:rsid w:val="00F714AD"/>
    <w:rsid w:val="00F71598"/>
    <w:rsid w:val="00F7172C"/>
    <w:rsid w:val="00F71D13"/>
    <w:rsid w:val="00F71E4A"/>
    <w:rsid w:val="00F722D9"/>
    <w:rsid w:val="00F729AF"/>
    <w:rsid w:val="00F729D2"/>
    <w:rsid w:val="00F72C28"/>
    <w:rsid w:val="00F730B4"/>
    <w:rsid w:val="00F737EA"/>
    <w:rsid w:val="00F7422B"/>
    <w:rsid w:val="00F74B6F"/>
    <w:rsid w:val="00F74E7A"/>
    <w:rsid w:val="00F75082"/>
    <w:rsid w:val="00F7517E"/>
    <w:rsid w:val="00F76235"/>
    <w:rsid w:val="00F7657E"/>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BDE"/>
    <w:rsid w:val="00F82EE9"/>
    <w:rsid w:val="00F83147"/>
    <w:rsid w:val="00F832F9"/>
    <w:rsid w:val="00F83E58"/>
    <w:rsid w:val="00F83EA4"/>
    <w:rsid w:val="00F84287"/>
    <w:rsid w:val="00F845B2"/>
    <w:rsid w:val="00F8466E"/>
    <w:rsid w:val="00F8477E"/>
    <w:rsid w:val="00F84B5D"/>
    <w:rsid w:val="00F84CB9"/>
    <w:rsid w:val="00F853B9"/>
    <w:rsid w:val="00F854C7"/>
    <w:rsid w:val="00F858F8"/>
    <w:rsid w:val="00F86134"/>
    <w:rsid w:val="00F8673E"/>
    <w:rsid w:val="00F868EF"/>
    <w:rsid w:val="00F86CC0"/>
    <w:rsid w:val="00F86DE8"/>
    <w:rsid w:val="00F86E5B"/>
    <w:rsid w:val="00F8715C"/>
    <w:rsid w:val="00F873AF"/>
    <w:rsid w:val="00F87558"/>
    <w:rsid w:val="00F875BC"/>
    <w:rsid w:val="00F876C7"/>
    <w:rsid w:val="00F900C0"/>
    <w:rsid w:val="00F90503"/>
    <w:rsid w:val="00F9054D"/>
    <w:rsid w:val="00F91972"/>
    <w:rsid w:val="00F91B56"/>
    <w:rsid w:val="00F91EF4"/>
    <w:rsid w:val="00F922D7"/>
    <w:rsid w:val="00F9265B"/>
    <w:rsid w:val="00F92794"/>
    <w:rsid w:val="00F92F14"/>
    <w:rsid w:val="00F9369D"/>
    <w:rsid w:val="00F93DBC"/>
    <w:rsid w:val="00F94189"/>
    <w:rsid w:val="00F946B3"/>
    <w:rsid w:val="00F94E22"/>
    <w:rsid w:val="00F94E95"/>
    <w:rsid w:val="00F94EE6"/>
    <w:rsid w:val="00F951EA"/>
    <w:rsid w:val="00F951FC"/>
    <w:rsid w:val="00F9555C"/>
    <w:rsid w:val="00F95806"/>
    <w:rsid w:val="00F95A33"/>
    <w:rsid w:val="00F96160"/>
    <w:rsid w:val="00F9632F"/>
    <w:rsid w:val="00F96946"/>
    <w:rsid w:val="00F96D9D"/>
    <w:rsid w:val="00F96FFE"/>
    <w:rsid w:val="00F97212"/>
    <w:rsid w:val="00F9740C"/>
    <w:rsid w:val="00F97725"/>
    <w:rsid w:val="00F97A80"/>
    <w:rsid w:val="00F97ED9"/>
    <w:rsid w:val="00FA0FAC"/>
    <w:rsid w:val="00FA1143"/>
    <w:rsid w:val="00FA2186"/>
    <w:rsid w:val="00FA21E2"/>
    <w:rsid w:val="00FA2986"/>
    <w:rsid w:val="00FA2A01"/>
    <w:rsid w:val="00FA32A4"/>
    <w:rsid w:val="00FA3AD8"/>
    <w:rsid w:val="00FA3AFC"/>
    <w:rsid w:val="00FA41F1"/>
    <w:rsid w:val="00FA43A8"/>
    <w:rsid w:val="00FA4853"/>
    <w:rsid w:val="00FA4B13"/>
    <w:rsid w:val="00FA5645"/>
    <w:rsid w:val="00FA57F9"/>
    <w:rsid w:val="00FA6B2D"/>
    <w:rsid w:val="00FA76A7"/>
    <w:rsid w:val="00FA7746"/>
    <w:rsid w:val="00FB02F0"/>
    <w:rsid w:val="00FB0728"/>
    <w:rsid w:val="00FB13A4"/>
    <w:rsid w:val="00FB14B8"/>
    <w:rsid w:val="00FB1B8E"/>
    <w:rsid w:val="00FB1C9D"/>
    <w:rsid w:val="00FB1FD0"/>
    <w:rsid w:val="00FB1FDC"/>
    <w:rsid w:val="00FB24B5"/>
    <w:rsid w:val="00FB24BA"/>
    <w:rsid w:val="00FB2817"/>
    <w:rsid w:val="00FB35DF"/>
    <w:rsid w:val="00FB3DFE"/>
    <w:rsid w:val="00FB3FFE"/>
    <w:rsid w:val="00FB426B"/>
    <w:rsid w:val="00FB451F"/>
    <w:rsid w:val="00FB480D"/>
    <w:rsid w:val="00FB48E1"/>
    <w:rsid w:val="00FB524B"/>
    <w:rsid w:val="00FB53C7"/>
    <w:rsid w:val="00FB57DD"/>
    <w:rsid w:val="00FB5962"/>
    <w:rsid w:val="00FB5981"/>
    <w:rsid w:val="00FB6258"/>
    <w:rsid w:val="00FB6759"/>
    <w:rsid w:val="00FB676E"/>
    <w:rsid w:val="00FB67CE"/>
    <w:rsid w:val="00FB698F"/>
    <w:rsid w:val="00FB6CE3"/>
    <w:rsid w:val="00FB6CF9"/>
    <w:rsid w:val="00FB7A40"/>
    <w:rsid w:val="00FB7BD7"/>
    <w:rsid w:val="00FC036A"/>
    <w:rsid w:val="00FC05F4"/>
    <w:rsid w:val="00FC0C36"/>
    <w:rsid w:val="00FC120A"/>
    <w:rsid w:val="00FC1BCF"/>
    <w:rsid w:val="00FC2066"/>
    <w:rsid w:val="00FC22A8"/>
    <w:rsid w:val="00FC2745"/>
    <w:rsid w:val="00FC30F1"/>
    <w:rsid w:val="00FC3578"/>
    <w:rsid w:val="00FC35BA"/>
    <w:rsid w:val="00FC3691"/>
    <w:rsid w:val="00FC38EB"/>
    <w:rsid w:val="00FC3B04"/>
    <w:rsid w:val="00FC3DCA"/>
    <w:rsid w:val="00FC3F33"/>
    <w:rsid w:val="00FC3F89"/>
    <w:rsid w:val="00FC41B0"/>
    <w:rsid w:val="00FC42D6"/>
    <w:rsid w:val="00FC45FF"/>
    <w:rsid w:val="00FC47F5"/>
    <w:rsid w:val="00FC49A8"/>
    <w:rsid w:val="00FC5496"/>
    <w:rsid w:val="00FC5512"/>
    <w:rsid w:val="00FC60E6"/>
    <w:rsid w:val="00FC6C19"/>
    <w:rsid w:val="00FC6CCB"/>
    <w:rsid w:val="00FC6CD4"/>
    <w:rsid w:val="00FC74A1"/>
    <w:rsid w:val="00FC7618"/>
    <w:rsid w:val="00FC7AE2"/>
    <w:rsid w:val="00FC7D69"/>
    <w:rsid w:val="00FC7D74"/>
    <w:rsid w:val="00FD0442"/>
    <w:rsid w:val="00FD22D5"/>
    <w:rsid w:val="00FD29B4"/>
    <w:rsid w:val="00FD2AD2"/>
    <w:rsid w:val="00FD2F73"/>
    <w:rsid w:val="00FD30C5"/>
    <w:rsid w:val="00FD30F1"/>
    <w:rsid w:val="00FD3211"/>
    <w:rsid w:val="00FD46E0"/>
    <w:rsid w:val="00FD4A16"/>
    <w:rsid w:val="00FD4C96"/>
    <w:rsid w:val="00FD61F8"/>
    <w:rsid w:val="00FD6386"/>
    <w:rsid w:val="00FD6504"/>
    <w:rsid w:val="00FD68F7"/>
    <w:rsid w:val="00FD772E"/>
    <w:rsid w:val="00FD7A05"/>
    <w:rsid w:val="00FD7AC7"/>
    <w:rsid w:val="00FD7B31"/>
    <w:rsid w:val="00FD7CE8"/>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BE4"/>
    <w:rsid w:val="00FE3FF3"/>
    <w:rsid w:val="00FE41F5"/>
    <w:rsid w:val="00FE452A"/>
    <w:rsid w:val="00FE4547"/>
    <w:rsid w:val="00FE461A"/>
    <w:rsid w:val="00FE4A89"/>
    <w:rsid w:val="00FE4D7B"/>
    <w:rsid w:val="00FE50D6"/>
    <w:rsid w:val="00FE5C13"/>
    <w:rsid w:val="00FE6393"/>
    <w:rsid w:val="00FE643C"/>
    <w:rsid w:val="00FE66D9"/>
    <w:rsid w:val="00FE6BD0"/>
    <w:rsid w:val="00FE74D3"/>
    <w:rsid w:val="00FE7CBB"/>
    <w:rsid w:val="00FE7D80"/>
    <w:rsid w:val="00FF05B0"/>
    <w:rsid w:val="00FF07A8"/>
    <w:rsid w:val="00FF09C6"/>
    <w:rsid w:val="00FF1247"/>
    <w:rsid w:val="00FF1946"/>
    <w:rsid w:val="00FF1E34"/>
    <w:rsid w:val="00FF1FCA"/>
    <w:rsid w:val="00FF20E9"/>
    <w:rsid w:val="00FF2855"/>
    <w:rsid w:val="00FF3820"/>
    <w:rsid w:val="00FF40C2"/>
    <w:rsid w:val="00FF40D9"/>
    <w:rsid w:val="00FF4769"/>
    <w:rsid w:val="00FF4C75"/>
    <w:rsid w:val="00FF4EF4"/>
    <w:rsid w:val="00FF5208"/>
    <w:rsid w:val="00FF54D7"/>
    <w:rsid w:val="00FF591D"/>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4E861"/>
  <w15:chartTrackingRefBased/>
  <w15:docId w15:val="{323816BF-946D-4598-AA47-14051E1EC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20FE"/>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C020FE"/>
    <w:pPr>
      <w:keepNext/>
      <w:keepLines/>
      <w:numPr>
        <w:numId w:val="37"/>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020FE"/>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020FE"/>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020FE"/>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020FE"/>
    <w:pPr>
      <w:keepNext/>
      <w:numPr>
        <w:numId w:val="18"/>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020FE"/>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020FE"/>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020FE"/>
    <w:pPr>
      <w:ind w:left="993"/>
      <w:outlineLvl w:val="7"/>
    </w:pPr>
    <w:rPr>
      <w:color w:val="321547"/>
      <w:szCs w:val="22"/>
      <w:u w:val="dotDotDash"/>
    </w:rPr>
  </w:style>
  <w:style w:type="paragraph" w:styleId="Ttulo9">
    <w:name w:val="heading 9"/>
    <w:basedOn w:val="Ttulo8"/>
    <w:next w:val="Normal"/>
    <w:link w:val="Ttulo9Car"/>
    <w:uiPriority w:val="9"/>
    <w:unhideWhenUsed/>
    <w:qFormat/>
    <w:rsid w:val="00C020FE"/>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C020FE"/>
    <w:rPr>
      <w:color w:val="0563C1" w:themeColor="hyperlink"/>
      <w:u w:val="single"/>
    </w:rPr>
  </w:style>
  <w:style w:type="paragraph" w:styleId="Textonotapie">
    <w:name w:val="footnote text"/>
    <w:aliases w:val="Nota a pie de página"/>
    <w:basedOn w:val="Normal"/>
    <w:link w:val="TextonotapieCar"/>
    <w:uiPriority w:val="99"/>
    <w:unhideWhenUsed/>
    <w:qFormat/>
    <w:rsid w:val="00C020FE"/>
    <w:pPr>
      <w:keepLines/>
      <w:spacing w:after="40" w:line="240" w:lineRule="auto"/>
    </w:pPr>
    <w:rPr>
      <w:sz w:val="16"/>
      <w:szCs w:val="20"/>
    </w:rPr>
  </w:style>
  <w:style w:type="character" w:styleId="Refdenotaalpie">
    <w:name w:val="footnote reference"/>
    <w:basedOn w:val="Fuentedeprrafopredeter"/>
    <w:uiPriority w:val="99"/>
    <w:unhideWhenUsed/>
    <w:rsid w:val="00C020FE"/>
    <w:rPr>
      <w:vertAlign w:val="superscript"/>
    </w:rPr>
  </w:style>
  <w:style w:type="table" w:styleId="Tablaconcuadrcula">
    <w:name w:val="Table Grid"/>
    <w:basedOn w:val="Tablanormal"/>
    <w:uiPriority w:val="39"/>
    <w:rsid w:val="00C020F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C020FE"/>
    <w:rPr>
      <w:rFonts w:ascii="Segoe UI" w:hAnsi="Segoe UI" w:cs="Segoe UI"/>
      <w:sz w:val="18"/>
      <w:szCs w:val="18"/>
    </w:rPr>
  </w:style>
  <w:style w:type="paragraph" w:styleId="Encabezado">
    <w:name w:val="header"/>
    <w:basedOn w:val="Normal"/>
    <w:link w:val="EncabezadoCar"/>
    <w:uiPriority w:val="99"/>
    <w:unhideWhenUsed/>
    <w:rsid w:val="00C020FE"/>
    <w:pPr>
      <w:tabs>
        <w:tab w:val="center" w:pos="4252"/>
        <w:tab w:val="right" w:pos="8504"/>
      </w:tabs>
    </w:pPr>
  </w:style>
  <w:style w:type="character" w:customStyle="1" w:styleId="EncabezadoCar">
    <w:name w:val="Encabezado Car"/>
    <w:basedOn w:val="Fuentedeprrafopredeter"/>
    <w:link w:val="Encabezado"/>
    <w:uiPriority w:val="99"/>
    <w:rsid w:val="00C020FE"/>
    <w:rPr>
      <w:rFonts w:ascii="Palatino Linotype" w:eastAsiaTheme="minorHAnsi" w:hAnsi="Palatino Linotype" w:cstheme="minorBidi"/>
      <w:sz w:val="22"/>
      <w:szCs w:val="22"/>
      <w:lang w:eastAsia="en-US"/>
    </w:rPr>
  </w:style>
  <w:style w:type="paragraph" w:styleId="Prrafodelista">
    <w:name w:val="List Paragraph"/>
    <w:basedOn w:val="Normal"/>
    <w:uiPriority w:val="34"/>
    <w:rsid w:val="00C020FE"/>
    <w:pPr>
      <w:ind w:left="720"/>
      <w:contextualSpacing/>
    </w:pPr>
  </w:style>
  <w:style w:type="character" w:customStyle="1" w:styleId="TextonotapieCar">
    <w:name w:val="Texto nota pie Car"/>
    <w:aliases w:val="Nota a pie de página Car"/>
    <w:basedOn w:val="Fuentedeprrafopredeter"/>
    <w:link w:val="Textonotapie"/>
    <w:uiPriority w:val="99"/>
    <w:rsid w:val="00C020FE"/>
    <w:rPr>
      <w:rFonts w:ascii="Palatino Linotype" w:eastAsiaTheme="minorHAnsi" w:hAnsi="Palatino Linotype" w:cstheme="minorBidi"/>
      <w:sz w:val="16"/>
      <w:lang w:eastAsia="en-US"/>
    </w:rPr>
  </w:style>
  <w:style w:type="paragraph" w:styleId="Revisin">
    <w:name w:val="Revision"/>
    <w:hidden/>
    <w:uiPriority w:val="99"/>
    <w:semiHidden/>
    <w:rsid w:val="000676EF"/>
    <w:rPr>
      <w:sz w:val="24"/>
      <w:szCs w:val="24"/>
    </w:rPr>
  </w:style>
  <w:style w:type="character" w:customStyle="1" w:styleId="Ttulo1Car">
    <w:name w:val="Título 1 Car"/>
    <w:basedOn w:val="Fuentedeprrafopredeter"/>
    <w:link w:val="Ttulo1"/>
    <w:uiPriority w:val="9"/>
    <w:rsid w:val="00C020FE"/>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C020FE"/>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C020FE"/>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C020FE"/>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C020FE"/>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C020FE"/>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C020FE"/>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C020FE"/>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C020FE"/>
    <w:rPr>
      <w:rFonts w:ascii="Palatino Linotype" w:eastAsiaTheme="majorEastAsia" w:hAnsi="Palatino Linotype" w:cstheme="majorBidi"/>
      <w:i/>
      <w:color w:val="240F33"/>
      <w:spacing w:val="-4"/>
      <w:w w:val="99"/>
      <w:sz w:val="21"/>
      <w:szCs w:val="21"/>
      <w:u w:val="dotted"/>
      <w:lang w:eastAsia="en-US"/>
    </w:rPr>
  </w:style>
  <w:style w:type="character" w:customStyle="1" w:styleId="HeaderChar">
    <w:name w:val="Header Char"/>
    <w:basedOn w:val="Fuentedeprrafopredeter"/>
    <w:uiPriority w:val="99"/>
    <w:rsid w:val="00C020FE"/>
    <w:rPr>
      <w:rFonts w:ascii="Garamond" w:hAnsi="Garamond"/>
      <w:lang w:val="es-ES"/>
    </w:rPr>
  </w:style>
  <w:style w:type="character" w:customStyle="1" w:styleId="FooterChar">
    <w:name w:val="Footer Char"/>
    <w:basedOn w:val="Fuentedeprrafopredeter"/>
    <w:uiPriority w:val="99"/>
    <w:rsid w:val="00C020FE"/>
    <w:rPr>
      <w:rFonts w:ascii="Garamond" w:hAnsi="Garamond"/>
      <w:lang w:val="es-ES"/>
    </w:rPr>
  </w:style>
  <w:style w:type="character" w:styleId="Textodelmarcadordeposicin">
    <w:name w:val="Placeholder Text"/>
    <w:basedOn w:val="Fuentedeprrafopredeter"/>
    <w:uiPriority w:val="99"/>
    <w:semiHidden/>
    <w:rsid w:val="00C020FE"/>
    <w:rPr>
      <w:color w:val="808080"/>
    </w:rPr>
  </w:style>
  <w:style w:type="paragraph" w:styleId="Ttulo">
    <w:name w:val="Title"/>
    <w:basedOn w:val="Normal"/>
    <w:next w:val="Normal"/>
    <w:link w:val="TtuloCar"/>
    <w:uiPriority w:val="10"/>
    <w:qFormat/>
    <w:rsid w:val="00C020FE"/>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C020FE"/>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C020FE"/>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020FE"/>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020FE"/>
    <w:pPr>
      <w:numPr>
        <w:ilvl w:val="1"/>
        <w:numId w:val="15"/>
      </w:numPr>
      <w:spacing w:after="100"/>
      <w:ind w:left="1049" w:hanging="198"/>
      <w:contextualSpacing/>
    </w:pPr>
  </w:style>
  <w:style w:type="character" w:customStyle="1" w:styleId="Heading2Char">
    <w:name w:val="Heading 2 Char"/>
    <w:basedOn w:val="Fuentedeprrafopredeter"/>
    <w:uiPriority w:val="9"/>
    <w:rsid w:val="00C020FE"/>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020FE"/>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C020FE"/>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020FE"/>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C020FE"/>
    <w:rPr>
      <w:rFonts w:ascii="Garamond" w:hAnsi="Garamond"/>
      <w:i/>
      <w:iCs/>
      <w:color w:val="5F2987"/>
      <w:u w:val="single"/>
      <w:lang w:val="es-ES"/>
    </w:rPr>
  </w:style>
  <w:style w:type="paragraph" w:styleId="TDC3">
    <w:name w:val="toc 3"/>
    <w:basedOn w:val="Normal"/>
    <w:next w:val="FinTDC"/>
    <w:autoRedefine/>
    <w:uiPriority w:val="39"/>
    <w:unhideWhenUsed/>
    <w:rsid w:val="00C020FE"/>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C020FE"/>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020FE"/>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C020FE"/>
    <w:rPr>
      <w:color w:val="7F7F7F" w:themeColor="text1" w:themeTint="80"/>
      <w:sz w:val="16"/>
    </w:rPr>
  </w:style>
  <w:style w:type="character" w:customStyle="1" w:styleId="NocantarChar">
    <w:name w:val="No cantar Char"/>
    <w:basedOn w:val="Fuentedeprrafopredeter"/>
    <w:link w:val="Nocantar"/>
    <w:rsid w:val="00C020FE"/>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C020FE"/>
    <w:pPr>
      <w:numPr>
        <w:numId w:val="0"/>
      </w:numPr>
      <w:ind w:firstLine="142"/>
    </w:pPr>
  </w:style>
  <w:style w:type="character" w:customStyle="1" w:styleId="IntroduccinyconclusinChar">
    <w:name w:val="Introducción y conclusión Char"/>
    <w:basedOn w:val="Ttulo1Car"/>
    <w:link w:val="Introduccinyconclusin"/>
    <w:rsid w:val="00C020FE"/>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C020FE"/>
    <w:pPr>
      <w:numPr>
        <w:numId w:val="21"/>
      </w:numPr>
    </w:pPr>
  </w:style>
  <w:style w:type="paragraph" w:customStyle="1" w:styleId="Nivel1">
    <w:name w:val="Nivel 1"/>
    <w:basedOn w:val="Normal"/>
    <w:qFormat/>
    <w:rsid w:val="00C020FE"/>
    <w:pPr>
      <w:numPr>
        <w:numId w:val="15"/>
      </w:numPr>
      <w:spacing w:before="100" w:after="100"/>
      <w:ind w:left="623" w:hanging="198"/>
    </w:pPr>
  </w:style>
  <w:style w:type="paragraph" w:customStyle="1" w:styleId="Nivel3">
    <w:name w:val="Nivel 3"/>
    <w:basedOn w:val="Nivel2"/>
    <w:link w:val="Nivel3Car"/>
    <w:qFormat/>
    <w:rsid w:val="00C020FE"/>
    <w:pPr>
      <w:numPr>
        <w:ilvl w:val="2"/>
      </w:numPr>
      <w:spacing w:after="0"/>
      <w:ind w:left="1474" w:hanging="198"/>
    </w:pPr>
  </w:style>
  <w:style w:type="paragraph" w:customStyle="1" w:styleId="Letra">
    <w:name w:val="Letra"/>
    <w:basedOn w:val="Nivel1"/>
    <w:qFormat/>
    <w:rsid w:val="00C020FE"/>
    <w:pPr>
      <w:numPr>
        <w:numId w:val="23"/>
      </w:numPr>
      <w:spacing w:before="0" w:after="40"/>
      <w:ind w:left="936" w:hanging="227"/>
    </w:pPr>
  </w:style>
  <w:style w:type="paragraph" w:customStyle="1" w:styleId="Nmero">
    <w:name w:val="Número"/>
    <w:basedOn w:val="Normal"/>
    <w:qFormat/>
    <w:rsid w:val="00C020FE"/>
    <w:pPr>
      <w:numPr>
        <w:numId w:val="24"/>
      </w:numPr>
      <w:spacing w:after="40"/>
      <w:ind w:left="936" w:hanging="227"/>
    </w:pPr>
  </w:style>
  <w:style w:type="character" w:customStyle="1" w:styleId="BalloonTextChar">
    <w:name w:val="Balloon Text Char"/>
    <w:basedOn w:val="Fuentedeprrafopredeter"/>
    <w:uiPriority w:val="99"/>
    <w:semiHidden/>
    <w:rsid w:val="00C020FE"/>
    <w:rPr>
      <w:rFonts w:ascii="Segoe UI" w:hAnsi="Segoe UI" w:cs="Segoe UI"/>
      <w:sz w:val="18"/>
      <w:szCs w:val="18"/>
      <w:lang w:val="es-ES"/>
    </w:rPr>
  </w:style>
  <w:style w:type="paragraph" w:customStyle="1" w:styleId="Notaalopositor">
    <w:name w:val="Nota al opositor"/>
    <w:basedOn w:val="Normal"/>
    <w:link w:val="NotaalopositorChar"/>
    <w:qFormat/>
    <w:rsid w:val="00C020FE"/>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020FE"/>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C020FE"/>
    <w:rPr>
      <w:rFonts w:ascii="Garamond" w:hAnsi="Garamond"/>
      <w:sz w:val="16"/>
      <w:szCs w:val="20"/>
      <w:lang w:val="es-ES"/>
    </w:rPr>
  </w:style>
  <w:style w:type="character" w:customStyle="1" w:styleId="Heading6Char">
    <w:name w:val="Heading 6 Char"/>
    <w:basedOn w:val="Fuentedeprrafopredeter"/>
    <w:uiPriority w:val="9"/>
    <w:semiHidden/>
    <w:rsid w:val="00C020FE"/>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020FE"/>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C020FE"/>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C020FE"/>
    <w:rPr>
      <w:rFonts w:ascii="Garamond" w:eastAsiaTheme="minorEastAsia" w:hAnsi="Garamond"/>
      <w:smallCaps/>
      <w:color w:val="5A5A5A" w:themeColor="text1" w:themeTint="A5"/>
      <w:lang w:val="es-ES"/>
    </w:rPr>
  </w:style>
  <w:style w:type="paragraph" w:customStyle="1" w:styleId="Nivel1SM">
    <w:name w:val="Nivel 1 SM"/>
    <w:basedOn w:val="Nivel1"/>
    <w:qFormat/>
    <w:rsid w:val="00C020FE"/>
    <w:pPr>
      <w:ind w:left="0"/>
    </w:pPr>
  </w:style>
  <w:style w:type="paragraph" w:customStyle="1" w:styleId="Nivel2SM">
    <w:name w:val="Nivel 2 SM"/>
    <w:basedOn w:val="Nivel2"/>
    <w:qFormat/>
    <w:rsid w:val="00C020FE"/>
    <w:pPr>
      <w:ind w:left="567"/>
    </w:pPr>
  </w:style>
  <w:style w:type="paragraph" w:customStyle="1" w:styleId="Nivel3SM">
    <w:name w:val="Nivel 3 SM"/>
    <w:basedOn w:val="Nivel3"/>
    <w:qFormat/>
    <w:rsid w:val="00C020FE"/>
    <w:pPr>
      <w:ind w:left="963"/>
    </w:pPr>
  </w:style>
  <w:style w:type="paragraph" w:styleId="Encabezadodelista">
    <w:name w:val="toa heading"/>
    <w:basedOn w:val="Normal"/>
    <w:next w:val="Normal"/>
    <w:uiPriority w:val="99"/>
    <w:unhideWhenUsed/>
    <w:rsid w:val="00C020FE"/>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020FE"/>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020FE"/>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020FE"/>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C020FE"/>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C020FE"/>
    <w:rPr>
      <w:color w:val="605E5C"/>
      <w:shd w:val="clear" w:color="auto" w:fill="E1DFDD"/>
    </w:rPr>
  </w:style>
  <w:style w:type="paragraph" w:styleId="TDC5">
    <w:name w:val="toc 5"/>
    <w:basedOn w:val="Normal"/>
    <w:next w:val="FinTDC"/>
    <w:autoRedefine/>
    <w:uiPriority w:val="39"/>
    <w:unhideWhenUsed/>
    <w:rsid w:val="00C020FE"/>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020FE"/>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020FE"/>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020FE"/>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C020FE"/>
    <w:pPr>
      <w:spacing w:line="240" w:lineRule="auto"/>
      <w:ind w:left="567" w:hanging="567"/>
    </w:pPr>
  </w:style>
  <w:style w:type="paragraph" w:customStyle="1" w:styleId="Ttuloimagen">
    <w:name w:val="Título imagen"/>
    <w:basedOn w:val="PiedeImagen"/>
    <w:next w:val="Imagen"/>
    <w:link w:val="TtuloimagenCar"/>
    <w:qFormat/>
    <w:rsid w:val="00C020FE"/>
    <w:pPr>
      <w:keepNext/>
      <w:spacing w:after="0"/>
    </w:pPr>
    <w:rPr>
      <w:i w:val="0"/>
      <w:smallCaps/>
      <w:sz w:val="20"/>
    </w:rPr>
  </w:style>
  <w:style w:type="character" w:customStyle="1" w:styleId="TtuloimagenCar">
    <w:name w:val="Título imagen Car"/>
    <w:basedOn w:val="ImagenCar"/>
    <w:link w:val="Ttuloimagen"/>
    <w:rsid w:val="00C020FE"/>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C020FE"/>
    <w:pPr>
      <w:ind w:left="1100"/>
    </w:pPr>
  </w:style>
  <w:style w:type="paragraph" w:styleId="Sinespaciado">
    <w:name w:val="No Spacing"/>
    <w:link w:val="SinespaciadoCar"/>
    <w:uiPriority w:val="1"/>
    <w:qFormat/>
    <w:rsid w:val="00C020FE"/>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C020FE"/>
    <w:rPr>
      <w:rFonts w:asciiTheme="minorHAnsi" w:eastAsiaTheme="minorEastAsia" w:hAnsiTheme="minorHAnsi" w:cstheme="minorBidi"/>
      <w:sz w:val="22"/>
      <w:szCs w:val="22"/>
    </w:rPr>
  </w:style>
  <w:style w:type="paragraph" w:customStyle="1" w:styleId="Nmeroromano">
    <w:name w:val="Número romano"/>
    <w:basedOn w:val="Prrafodelista"/>
    <w:qFormat/>
    <w:rsid w:val="00C020FE"/>
    <w:pPr>
      <w:numPr>
        <w:numId w:val="42"/>
      </w:numPr>
      <w:spacing w:after="100"/>
      <w:ind w:left="567" w:hanging="113"/>
    </w:pPr>
  </w:style>
  <w:style w:type="paragraph" w:customStyle="1" w:styleId="Saltodettulos">
    <w:name w:val="Salto de títulos"/>
    <w:basedOn w:val="Normal"/>
    <w:rsid w:val="00C020FE"/>
    <w:pPr>
      <w:spacing w:after="0" w:line="240" w:lineRule="auto"/>
    </w:pPr>
    <w:rPr>
      <w:color w:val="FFFFFF"/>
      <w:sz w:val="2"/>
    </w:rPr>
  </w:style>
  <w:style w:type="paragraph" w:styleId="TDC7">
    <w:name w:val="toc 7"/>
    <w:basedOn w:val="Normal"/>
    <w:next w:val="FinTDC"/>
    <w:autoRedefine/>
    <w:uiPriority w:val="39"/>
    <w:unhideWhenUsed/>
    <w:rsid w:val="00C020FE"/>
    <w:pPr>
      <w:spacing w:after="0" w:line="20" w:lineRule="atLeast"/>
      <w:ind w:left="1418"/>
      <w:jc w:val="left"/>
    </w:pPr>
    <w:rPr>
      <w:i/>
      <w:color w:val="5F2987"/>
      <w:sz w:val="12"/>
    </w:rPr>
  </w:style>
  <w:style w:type="paragraph" w:customStyle="1" w:styleId="FinTDC">
    <w:name w:val="FinTDC"/>
    <w:basedOn w:val="Nivel1"/>
    <w:qFormat/>
    <w:rsid w:val="00C020FE"/>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C020FE"/>
    <w:pPr>
      <w:spacing w:after="0" w:line="240" w:lineRule="auto"/>
      <w:jc w:val="left"/>
    </w:pPr>
    <w:rPr>
      <w:sz w:val="15"/>
    </w:rPr>
  </w:style>
  <w:style w:type="paragraph" w:styleId="TDC9">
    <w:name w:val="toc 9"/>
    <w:basedOn w:val="TDC8"/>
    <w:next w:val="FinTDC"/>
    <w:autoRedefine/>
    <w:uiPriority w:val="39"/>
    <w:unhideWhenUsed/>
    <w:rsid w:val="00C020FE"/>
    <w:pPr>
      <w:ind w:left="1760"/>
    </w:pPr>
  </w:style>
  <w:style w:type="paragraph" w:customStyle="1" w:styleId="Apartado0">
    <w:name w:val="Apartado 0"/>
    <w:basedOn w:val="Ttulo1"/>
    <w:next w:val="Normal"/>
    <w:link w:val="Apartado0Car"/>
    <w:qFormat/>
    <w:rsid w:val="00C020FE"/>
    <w:pPr>
      <w:numPr>
        <w:numId w:val="41"/>
      </w:numPr>
      <w:ind w:left="357" w:hanging="357"/>
    </w:pPr>
  </w:style>
  <w:style w:type="character" w:customStyle="1" w:styleId="Apartado0Car">
    <w:name w:val="Apartado 0 Car"/>
    <w:basedOn w:val="Ttulo1Car"/>
    <w:link w:val="Apartado0"/>
    <w:rsid w:val="00C020FE"/>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C020FE"/>
    <w:pPr>
      <w:numPr>
        <w:ilvl w:val="3"/>
      </w:numPr>
      <w:ind w:left="1899" w:hanging="198"/>
    </w:pPr>
  </w:style>
  <w:style w:type="paragraph" w:customStyle="1" w:styleId="Nivel5">
    <w:name w:val="Nivel 5"/>
    <w:basedOn w:val="Nivel4"/>
    <w:link w:val="Nivel5Car"/>
    <w:qFormat/>
    <w:rsid w:val="00C020FE"/>
    <w:pPr>
      <w:numPr>
        <w:ilvl w:val="4"/>
      </w:numPr>
      <w:ind w:left="2155" w:hanging="170"/>
    </w:pPr>
  </w:style>
  <w:style w:type="character" w:customStyle="1" w:styleId="Nivel2Car">
    <w:name w:val="Nivel 2 Car"/>
    <w:basedOn w:val="Fuentedeprrafopredeter"/>
    <w:link w:val="Nivel2"/>
    <w:rsid w:val="00C020FE"/>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C020FE"/>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C020FE"/>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C020FE"/>
    <w:pPr>
      <w:numPr>
        <w:ilvl w:val="5"/>
      </w:numPr>
      <w:ind w:left="2438" w:hanging="227"/>
    </w:pPr>
  </w:style>
  <w:style w:type="character" w:customStyle="1" w:styleId="Nivel5Car">
    <w:name w:val="Nivel 5 Car"/>
    <w:basedOn w:val="Nivel4Car"/>
    <w:link w:val="Nivel5"/>
    <w:rsid w:val="00C020FE"/>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C020FE"/>
    <w:pPr>
      <w:numPr>
        <w:ilvl w:val="6"/>
      </w:numPr>
      <w:ind w:left="2722" w:hanging="170"/>
    </w:pPr>
  </w:style>
  <w:style w:type="character" w:customStyle="1" w:styleId="Nivel6Car">
    <w:name w:val="Nivel 6 Car"/>
    <w:basedOn w:val="Nivel5Car"/>
    <w:link w:val="Nivel6"/>
    <w:rsid w:val="00C020FE"/>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C020FE"/>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C020FE"/>
    <w:pPr>
      <w:spacing w:after="200" w:line="240" w:lineRule="auto"/>
    </w:pPr>
    <w:rPr>
      <w:i/>
      <w:iCs/>
      <w:color w:val="44546A" w:themeColor="text2"/>
      <w:sz w:val="18"/>
      <w:szCs w:val="18"/>
    </w:rPr>
  </w:style>
  <w:style w:type="paragraph" w:customStyle="1" w:styleId="Ttulo10">
    <w:name w:val="Título 10"/>
    <w:basedOn w:val="Ttulo9"/>
    <w:link w:val="Ttulo10Car"/>
    <w:qFormat/>
    <w:rsid w:val="00C020FE"/>
    <w:pPr>
      <w:ind w:left="1276"/>
    </w:pPr>
    <w:rPr>
      <w:w w:val="97"/>
    </w:rPr>
  </w:style>
  <w:style w:type="character" w:customStyle="1" w:styleId="Ttulo10Car">
    <w:name w:val="Título 10 Car"/>
    <w:basedOn w:val="Ttulo9Car"/>
    <w:link w:val="Ttulo10"/>
    <w:rsid w:val="00C020FE"/>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C020FE"/>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020FE"/>
    <w:pPr>
      <w:numPr>
        <w:ilvl w:val="7"/>
      </w:numPr>
      <w:ind w:left="3005" w:hanging="170"/>
    </w:pPr>
  </w:style>
  <w:style w:type="character" w:customStyle="1" w:styleId="Nivel8Car">
    <w:name w:val="Nivel 8 Car"/>
    <w:basedOn w:val="Nivel7Car"/>
    <w:link w:val="Nivel8"/>
    <w:rsid w:val="00C020FE"/>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C020FE"/>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020FE"/>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C020FE"/>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C020FE"/>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C020FE"/>
    <w:rPr>
      <w:vertAlign w:val="superscript"/>
    </w:rPr>
  </w:style>
  <w:style w:type="character" w:customStyle="1" w:styleId="PiedepginaCar">
    <w:name w:val="Pie de página Car"/>
    <w:basedOn w:val="Fuentedeprrafopredeter"/>
    <w:link w:val="Piedepgina"/>
    <w:uiPriority w:val="99"/>
    <w:rsid w:val="000676EF"/>
    <w:rPr>
      <w:rFonts w:ascii="Palatino Linotype" w:eastAsiaTheme="minorHAnsi" w:hAnsi="Palatino Linotype" w:cstheme="minorBidi"/>
      <w:sz w:val="22"/>
      <w:szCs w:val="22"/>
      <w:lang w:eastAsia="en-US"/>
    </w:rPr>
  </w:style>
  <w:style w:type="character" w:styleId="Hipervnculovisitado">
    <w:name w:val="FollowedHyperlink"/>
    <w:basedOn w:val="Fuentedeprrafopredeter"/>
    <w:rsid w:val="000676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057372">
      <w:bodyDiv w:val="1"/>
      <w:marLeft w:val="0"/>
      <w:marRight w:val="0"/>
      <w:marTop w:val="0"/>
      <w:marBottom w:val="0"/>
      <w:divBdr>
        <w:top w:val="none" w:sz="0" w:space="0" w:color="auto"/>
        <w:left w:val="none" w:sz="0" w:space="0" w:color="auto"/>
        <w:bottom w:val="none" w:sz="0" w:space="0" w:color="auto"/>
        <w:right w:val="none" w:sz="0" w:space="0" w:color="auto"/>
      </w:divBdr>
    </w:div>
    <w:div w:id="337082509">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01791158">
      <w:bodyDiv w:val="1"/>
      <w:marLeft w:val="0"/>
      <w:marRight w:val="0"/>
      <w:marTop w:val="0"/>
      <w:marBottom w:val="0"/>
      <w:divBdr>
        <w:top w:val="none" w:sz="0" w:space="0" w:color="auto"/>
        <w:left w:val="none" w:sz="0" w:space="0" w:color="auto"/>
        <w:bottom w:val="none" w:sz="0" w:space="0" w:color="auto"/>
        <w:right w:val="none" w:sz="0" w:space="0" w:color="auto"/>
      </w:divBdr>
    </w:div>
    <w:div w:id="1038117595">
      <w:bodyDiv w:val="1"/>
      <w:marLeft w:val="0"/>
      <w:marRight w:val="0"/>
      <w:marTop w:val="0"/>
      <w:marBottom w:val="0"/>
      <w:divBdr>
        <w:top w:val="none" w:sz="0" w:space="0" w:color="auto"/>
        <w:left w:val="none" w:sz="0" w:space="0" w:color="auto"/>
        <w:bottom w:val="none" w:sz="0" w:space="0" w:color="auto"/>
        <w:right w:val="none" w:sz="0" w:space="0" w:color="auto"/>
      </w:divBdr>
    </w:div>
    <w:div w:id="1094133430">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92527">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2.wdp"/><Relationship Id="rId26" Type="http://schemas.microsoft.com/office/2007/relationships/hdphoto" Target="media/hdphoto6.wdp"/><Relationship Id="rId39" Type="http://schemas.microsoft.com/office/2007/relationships/hdphoto" Target="media/hdphoto7.wdp"/><Relationship Id="rId21" Type="http://schemas.openxmlformats.org/officeDocument/2006/relationships/image" Target="media/image11.png"/><Relationship Id="rId34" Type="http://schemas.openxmlformats.org/officeDocument/2006/relationships/image" Target="media/image21.png"/><Relationship Id="rId42" Type="http://schemas.openxmlformats.org/officeDocument/2006/relationships/image" Target="media/image28.jpeg"/><Relationship Id="rId47" Type="http://schemas.openxmlformats.org/officeDocument/2006/relationships/image" Target="media/image33.png"/><Relationship Id="rId50" Type="http://schemas.openxmlformats.org/officeDocument/2006/relationships/footer" Target="footer1.xml"/><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6.png"/><Relationship Id="rId11" Type="http://schemas.openxmlformats.org/officeDocument/2006/relationships/image" Target="media/image4.png"/><Relationship Id="rId24" Type="http://schemas.microsoft.com/office/2007/relationships/hdphoto" Target="media/hdphoto5.wdp"/><Relationship Id="rId32" Type="http://schemas.openxmlformats.org/officeDocument/2006/relationships/image" Target="media/image19.png"/><Relationship Id="rId37" Type="http://schemas.openxmlformats.org/officeDocument/2006/relationships/image" Target="media/image25.jpg"/><Relationship Id="rId40" Type="http://schemas.openxmlformats.org/officeDocument/2006/relationships/image" Target="media/image27.png"/><Relationship Id="rId45" Type="http://schemas.microsoft.com/office/2007/relationships/hdphoto" Target="media/hdphoto8.wdp"/><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jpg"/><Relationship Id="rId19" Type="http://schemas.openxmlformats.org/officeDocument/2006/relationships/image" Target="media/image10.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microsoft.com/office/2007/relationships/hdphoto" Target="media/hdphoto4.wdp"/><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jpeg"/><Relationship Id="rId48" Type="http://schemas.openxmlformats.org/officeDocument/2006/relationships/header" Target="header1.xml"/><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footer" Target="footer2.xm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6.png"/><Relationship Id="rId46" Type="http://schemas.openxmlformats.org/officeDocument/2006/relationships/image" Target="media/image32.png"/><Relationship Id="rId20" Type="http://schemas.microsoft.com/office/2007/relationships/hdphoto" Target="media/hdphoto3.wdp"/><Relationship Id="rId41" Type="http://schemas.openxmlformats.org/officeDocument/2006/relationships/hyperlink" Target="https://www.funcas.es/wp-content/uploads/Migracion/Articulos/FUNCAS_PEE/154art10.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3.jpg"/><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DoLc5CCqd3g" TargetMode="External"/><Relationship Id="rId7" Type="http://schemas.openxmlformats.org/officeDocument/2006/relationships/image" Target="media/image30.png"/><Relationship Id="rId2" Type="http://schemas.openxmlformats.org/officeDocument/2006/relationships/image" Target="media/image24.png"/><Relationship Id="rId1" Type="http://schemas.openxmlformats.org/officeDocument/2006/relationships/hyperlink" Target="https://www.ft.com/content/87efe5a9-4cb6-493b-a31a-f9efd5ddd242" TargetMode="External"/><Relationship Id="rId6" Type="http://schemas.openxmlformats.org/officeDocument/2006/relationships/hyperlink" Target="https://doi.org/10.5477/cis/reis.172.101" TargetMode="External"/><Relationship Id="rId5" Type="http://schemas.openxmlformats.org/officeDocument/2006/relationships/hyperlink" Target="https://www.funcas.es/wp-content/uploads/Migracion/Articulos/FUNCAS_PEE/154art10.pdf" TargetMode="External"/><Relationship Id="rId4" Type="http://schemas.openxmlformats.org/officeDocument/2006/relationships/hyperlink" Target="https://onlinelibrary.wiley.com/doi/epdf/10.1111/j.1540-6261.1977.tb03267.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8DC554F6914391B56650E243F6657D"/>
        <w:category>
          <w:name w:val="General"/>
          <w:gallery w:val="placeholder"/>
        </w:category>
        <w:types>
          <w:type w:val="bbPlcHdr"/>
        </w:types>
        <w:behaviors>
          <w:behavior w:val="content"/>
        </w:behaviors>
        <w:guid w:val="{D5333DAB-5819-4587-86A2-14157F6148D1}"/>
      </w:docPartPr>
      <w:docPartBody>
        <w:p w:rsidR="00EE7E77" w:rsidRDefault="002E6075" w:rsidP="002E6075">
          <w:pPr>
            <w:pStyle w:val="338DC554F6914391B56650E243F6657D"/>
          </w:pPr>
          <w:r w:rsidRPr="00722470">
            <w:rPr>
              <w:rStyle w:val="Textodelmarcadordeposicin"/>
            </w:rPr>
            <w:t>[Título]</w:t>
          </w:r>
        </w:p>
      </w:docPartBody>
    </w:docPart>
    <w:docPart>
      <w:docPartPr>
        <w:name w:val="6FA0EA368EED4FDD93EF72F658AEB97D"/>
        <w:category>
          <w:name w:val="General"/>
          <w:gallery w:val="placeholder"/>
        </w:category>
        <w:types>
          <w:type w:val="bbPlcHdr"/>
        </w:types>
        <w:behaviors>
          <w:behavior w:val="content"/>
        </w:behaviors>
        <w:guid w:val="{35B0A737-6859-496A-87C4-582067BCAB23}"/>
      </w:docPartPr>
      <w:docPartBody>
        <w:p w:rsidR="00EE7E77" w:rsidRDefault="002E6075" w:rsidP="002E6075">
          <w:pPr>
            <w:pStyle w:val="6FA0EA368EED4FDD93EF72F658AEB97D"/>
          </w:pPr>
          <w:r w:rsidRPr="001B5103">
            <w:rPr>
              <w:rStyle w:val="Textodelmarcadordeposicin"/>
            </w:rPr>
            <w:t>[Title]</w:t>
          </w:r>
        </w:p>
      </w:docPartBody>
    </w:docPart>
    <w:docPart>
      <w:docPartPr>
        <w:name w:val="6AD80325C59C4F11A0A348C6B9448365"/>
        <w:category>
          <w:name w:val="General"/>
          <w:gallery w:val="placeholder"/>
        </w:category>
        <w:types>
          <w:type w:val="bbPlcHdr"/>
        </w:types>
        <w:behaviors>
          <w:behavior w:val="content"/>
        </w:behaviors>
        <w:guid w:val="{BA792CDE-475F-4878-B1CD-CA1B82DA4453}"/>
      </w:docPartPr>
      <w:docPartBody>
        <w:p w:rsidR="00EE7E77" w:rsidRDefault="002E6075" w:rsidP="002E6075">
          <w:pPr>
            <w:pStyle w:val="6AD80325C59C4F11A0A348C6B9448365"/>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075"/>
    <w:rsid w:val="002630AD"/>
    <w:rsid w:val="002B5141"/>
    <w:rsid w:val="002E6075"/>
    <w:rsid w:val="00360AA6"/>
    <w:rsid w:val="004E10C9"/>
    <w:rsid w:val="00873647"/>
    <w:rsid w:val="00943D68"/>
    <w:rsid w:val="00B82D9A"/>
    <w:rsid w:val="00C7161C"/>
    <w:rsid w:val="00DA0641"/>
    <w:rsid w:val="00E22C4A"/>
    <w:rsid w:val="00EC2F8A"/>
    <w:rsid w:val="00EE7E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E6075"/>
    <w:rPr>
      <w:color w:val="808080"/>
    </w:rPr>
  </w:style>
  <w:style w:type="paragraph" w:customStyle="1" w:styleId="338DC554F6914391B56650E243F6657D">
    <w:name w:val="338DC554F6914391B56650E243F6657D"/>
    <w:rsid w:val="002E6075"/>
  </w:style>
  <w:style w:type="paragraph" w:customStyle="1" w:styleId="6FA0EA368EED4FDD93EF72F658AEB97D">
    <w:name w:val="6FA0EA368EED4FDD93EF72F658AEB97D"/>
    <w:rsid w:val="002E6075"/>
  </w:style>
  <w:style w:type="paragraph" w:customStyle="1" w:styleId="6AD80325C59C4F11A0A348C6B9448365">
    <w:name w:val="6AD80325C59C4F11A0A348C6B9448365"/>
    <w:rsid w:val="002E60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511BC-C877-4082-B5D2-07C856CB4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720</TotalTime>
  <Pages>31</Pages>
  <Words>8824</Words>
  <Characters>48536</Characters>
  <Application>Microsoft Office Word</Application>
  <DocSecurity>0</DocSecurity>
  <Lines>404</Lines>
  <Paragraphs>114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4.B.11</vt:lpstr>
      <vt:lpstr>TEORÍA NEOCLASICA DE LA DEMANDA DEL CONSUMIDOR</vt:lpstr>
    </vt:vector>
  </TitlesOfParts>
  <Company/>
  <LinksUpToDate>false</LinksUpToDate>
  <CharactersWithSpaces>57246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4.B.11</dc:title>
  <dc:subject>Imposición y oferta. Efectos incentivo de los impuestos.</dc:subject>
  <dc:creator>Víctor Gutiérrez Marcos</dc:creator>
  <cp:keywords/>
  <cp:lastModifiedBy>Víctor Gutiérrez Marcos</cp:lastModifiedBy>
  <dcterms:created xsi:type="dcterms:W3CDTF">2023-09-29T14:44:00Z</dcterms:created>
  <dcterms:modified xsi:type="dcterms:W3CDTF">2026-01-15T23:34:00Z</dcterms:modified>
</cp:coreProperties>
</file>