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7518E" w14:textId="3E290C82" w:rsidR="00397A0B" w:rsidRPr="00E3724A" w:rsidRDefault="00000000" w:rsidP="00397A0B">
      <w:pPr>
        <w:pStyle w:val="Ttulo"/>
      </w:pPr>
      <w:sdt>
        <w:sdtPr>
          <w:rPr>
            <w:i/>
            <w:u w:val="single"/>
          </w:rPr>
          <w:alias w:val="Title"/>
          <w:tag w:val=""/>
          <w:id w:val="-780801520"/>
          <w:placeholder>
            <w:docPart w:val="345369B27EB749D39113603E59B52DC9"/>
          </w:placeholder>
          <w:dataBinding w:prefixMappings="xmlns:ns0='http://purl.org/dc/elements/1.1/' xmlns:ns1='http://schemas.openxmlformats.org/package/2006/metadata/core-properties' " w:xpath="/ns1:coreProperties[1]/ns0:title[1]" w:storeItemID="{6C3C8BC8-F283-45AE-878A-BAB7291924A1}"/>
          <w:text/>
        </w:sdtPr>
        <w:sdtContent>
          <w:r w:rsidR="00397A0B">
            <w:rPr>
              <w:i/>
              <w:u w:val="single"/>
            </w:rPr>
            <w:t>4.B.5</w:t>
          </w:r>
        </w:sdtContent>
      </w:sdt>
      <w:r w:rsidR="00397A0B">
        <w:t xml:space="preserve"> :</w:t>
      </w:r>
      <w:r w:rsidR="00397A0B" w:rsidRPr="004C0C34">
        <w:t xml:space="preserve"> </w:t>
      </w:r>
      <w:sdt>
        <w:sdtPr>
          <w:rPr>
            <w:spacing w:val="-6"/>
          </w:rPr>
          <w:alias w:val="Subject"/>
          <w:tag w:val=""/>
          <w:id w:val="-1903059896"/>
          <w:placeholder>
            <w:docPart w:val="A57577404DDF4F91B46D301BD1B522EC"/>
          </w:placeholder>
          <w:dataBinding w:prefixMappings="xmlns:ns0='http://purl.org/dc/elements/1.1/' xmlns:ns1='http://schemas.openxmlformats.org/package/2006/metadata/core-properties' " w:xpath="/ns1:coreProperties[1]/ns0:subject[1]" w:storeItemID="{6C3C8BC8-F283-45AE-878A-BAB7291924A1}"/>
          <w:text/>
        </w:sdtPr>
        <w:sdtContent>
          <w:r w:rsidR="00397A0B">
            <w:rPr>
              <w:spacing w:val="-6"/>
            </w:rPr>
            <w:t>El presupuesto como elemento compensador de la actividad económica. Efectos discrecionales y automáticos del presupuesto. La medición del efecto macroeconómico del presupuesto</w:t>
          </w:r>
          <w:r w:rsidR="00663156">
            <w:rPr>
              <w:spacing w:val="-6"/>
            </w:rPr>
            <w:t>.</w:t>
          </w:r>
        </w:sdtContent>
      </w:sdt>
    </w:p>
    <w:p w14:paraId="59BDC35A" w14:textId="17A2CB8D" w:rsidR="00283388" w:rsidRDefault="00CE1217" w:rsidP="00296791">
      <w:pPr>
        <w:pStyle w:val="Introduccinyconclusin"/>
      </w:pPr>
      <w:r>
        <w:t>INTRODUCCION</w:t>
      </w:r>
    </w:p>
    <w:p w14:paraId="3A8E7D1D" w14:textId="77777777" w:rsidR="00B93977" w:rsidRDefault="00B93977" w:rsidP="00B93977">
      <w:pPr>
        <w:pStyle w:val="Nivel1"/>
        <w:keepNext/>
        <w:spacing w:before="0" w:after="0"/>
      </w:pPr>
      <w:r>
        <w:rPr>
          <w:b/>
          <w:bCs/>
          <w:i/>
          <w:iCs/>
        </w:rPr>
        <w:t>Enganche</w:t>
      </w:r>
      <w:r>
        <w:t>:</w:t>
      </w:r>
    </w:p>
    <w:p w14:paraId="0762A0EC" w14:textId="77777777" w:rsidR="00B93977" w:rsidRPr="008D01A5" w:rsidRDefault="00B93977" w:rsidP="00B93977">
      <w:pPr>
        <w:pStyle w:val="Nivel2"/>
        <w:keepNext/>
        <w:spacing w:after="0"/>
        <w:rPr>
          <w:rStyle w:val="Hipervnculo"/>
          <w:color w:val="auto"/>
        </w:rPr>
      </w:pPr>
      <w:bookmarkStart w:id="0"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6DC439F9" w14:textId="77777777" w:rsidR="00B93977" w:rsidRPr="008D01A5" w:rsidRDefault="00B93977" w:rsidP="00B93977">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1" w:name="_Hlk99365893"/>
      <w:r w:rsidRPr="008D01A5">
        <w:rPr>
          <w:rStyle w:val="Refdenotaalpie"/>
        </w:rPr>
        <w:footnoteReference w:id="2"/>
      </w:r>
      <w:bookmarkEnd w:id="1"/>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0"/>
    <w:p w14:paraId="1BF10729" w14:textId="77777777" w:rsidR="00B93977" w:rsidRPr="00492C10" w:rsidRDefault="00B93977" w:rsidP="00B93977">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08AC738F" w14:textId="77777777" w:rsidR="00B93977" w:rsidRPr="002A08C4" w:rsidRDefault="00B93977" w:rsidP="00B93977">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w:t>
      </w:r>
      <w:proofErr w:type="gramStart"/>
      <w:r w:rsidRPr="002A08C4">
        <w:rPr>
          <w:spacing w:val="-2"/>
        </w:rPr>
        <w:t>del mismo</w:t>
      </w:r>
      <w:proofErr w:type="gramEnd"/>
      <w:r w:rsidRPr="002A08C4">
        <w:rPr>
          <w:spacing w:val="-2"/>
        </w:rPr>
        <w:t>.</w:t>
      </w:r>
    </w:p>
    <w:p w14:paraId="5AD9E93F" w14:textId="77777777" w:rsidR="00B93977" w:rsidRDefault="00B93977" w:rsidP="00B93977">
      <w:pPr>
        <w:pStyle w:val="Nivel2"/>
        <w:keepNext/>
        <w:spacing w:after="0"/>
      </w:pPr>
      <w:r>
        <w:t xml:space="preserve">La </w:t>
      </w:r>
      <w:r>
        <w:rPr>
          <w:b/>
          <w:bCs/>
        </w:rPr>
        <w:t>economía del bienestar</w:t>
      </w:r>
      <w:r>
        <w:t xml:space="preserve"> está ligada a este enfoque normativo.</w:t>
      </w:r>
    </w:p>
    <w:p w14:paraId="74D60DD8" w14:textId="77777777" w:rsidR="00B93977" w:rsidRDefault="00B93977" w:rsidP="00B93977">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52DE1041" w14:textId="77777777" w:rsidR="00B93977" w:rsidRDefault="00B93977" w:rsidP="00B93977">
      <w:pPr>
        <w:pStyle w:val="Letra"/>
        <w:spacing w:after="0"/>
        <w:ind w:left="1843"/>
      </w:pPr>
      <w:r w:rsidRPr="00F30DE3">
        <w:rPr>
          <w:i/>
        </w:rPr>
        <w:t>Proporcionar</w:t>
      </w:r>
      <w:r>
        <w:t xml:space="preserve"> </w:t>
      </w:r>
      <w:r w:rsidRPr="00AB25E7">
        <w:rPr>
          <w:i/>
        </w:rPr>
        <w:t>instrumentos para valorar</w:t>
      </w:r>
      <w:r w:rsidRPr="00F30DE3">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2C225FF6" w14:textId="77777777" w:rsidR="00B93977" w:rsidRDefault="00B93977" w:rsidP="00B93977">
      <w:pPr>
        <w:pStyle w:val="Letra"/>
        <w:spacing w:after="0"/>
        <w:ind w:left="1843"/>
      </w:pPr>
      <w:r w:rsidRPr="00F30DE3">
        <w:rPr>
          <w:i/>
          <w:iCs/>
        </w:rPr>
        <w:t>Proporcionar normas de política económica</w:t>
      </w:r>
      <w:r>
        <w:rPr>
          <w:i/>
        </w:rPr>
        <w:t xml:space="preserve"> </w:t>
      </w:r>
      <w:r>
        <w:rPr>
          <w:iCs/>
        </w:rPr>
        <w:t>que permitan</w:t>
      </w:r>
      <w:r w:rsidRPr="00AB25E7">
        <w:t xml:space="preserve"> maximizar</w:t>
      </w:r>
      <w:r>
        <w:t xml:space="preserve"> el bienestar social (alcanzar el estado o estados realizables socialmente más preferidos).</w:t>
      </w:r>
    </w:p>
    <w:p w14:paraId="3DC82BBF" w14:textId="77777777" w:rsidR="00B93977" w:rsidRDefault="00B93977" w:rsidP="00B93977">
      <w:pPr>
        <w:pStyle w:val="Nivel1"/>
        <w:keepNext/>
        <w:spacing w:after="0"/>
      </w:pPr>
      <w:r>
        <w:rPr>
          <w:b/>
          <w:bCs/>
          <w:i/>
          <w:iCs/>
        </w:rPr>
        <w:t>Relevancia</w:t>
      </w:r>
      <w:bookmarkStart w:id="2" w:name="_Hlk145917891"/>
      <w:r>
        <w:t>:</w:t>
      </w:r>
      <w:bookmarkEnd w:id="2"/>
    </w:p>
    <w:p w14:paraId="39B677EC" w14:textId="77777777" w:rsidR="00F4085A" w:rsidRPr="009477A5" w:rsidRDefault="00F4085A" w:rsidP="00F4085A">
      <w:pPr>
        <w:pStyle w:val="Nivel2"/>
      </w:pPr>
      <w:r w:rsidRPr="00FE0B31">
        <w:rPr>
          <w:lang w:eastAsia="zh-CN" w:bidi="hi-IN"/>
        </w:rPr>
        <w:t xml:space="preserve">La rama de la teoría económica que estudia </w:t>
      </w:r>
      <w:r w:rsidRPr="009477A5">
        <w:rPr>
          <w:lang w:eastAsia="zh-CN" w:bidi="hi-IN"/>
        </w:rPr>
        <w:t>la intervención del Estado en la economía</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y la </w:t>
      </w:r>
      <w:r w:rsidRPr="009477A5">
        <w:rPr>
          <w:lang w:eastAsia="zh-CN" w:bidi="hi-IN"/>
        </w:rPr>
        <w:t>toma de decisiones del sector público</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43430DE3" w14:textId="2904CE1D" w:rsidR="00B93977" w:rsidRDefault="00B93977" w:rsidP="00B93977">
      <w:pPr>
        <w:pStyle w:val="Nivel2"/>
        <w:keepNext/>
        <w:spacing w:after="0"/>
      </w:pPr>
      <w:r w:rsidRPr="00516674">
        <w:t>La comparación de diferentes alternativas es algo vital, ya que nos permite</w:t>
      </w:r>
      <w:r>
        <w:t>:</w:t>
      </w:r>
    </w:p>
    <w:p w14:paraId="7E788C96" w14:textId="77777777" w:rsidR="00B93977" w:rsidRPr="002A08C4" w:rsidRDefault="00B93977" w:rsidP="00B93977">
      <w:pPr>
        <w:pStyle w:val="Nivel3"/>
        <w:rPr>
          <w:spacing w:val="-1"/>
        </w:rPr>
      </w:pPr>
      <w:r w:rsidRPr="002A08C4">
        <w:rPr>
          <w:spacing w:val="-1"/>
        </w:rPr>
        <w:t>Por un lado, valorar si el resultado al que conduce un sistema económico es apropiado o mejorable.</w:t>
      </w:r>
    </w:p>
    <w:p w14:paraId="71B64F80" w14:textId="77777777" w:rsidR="00B93977" w:rsidRPr="002A08C4" w:rsidRDefault="00B93977" w:rsidP="00B93977">
      <w:pPr>
        <w:pStyle w:val="Nivel3"/>
        <w:rPr>
          <w:spacing w:val="-5"/>
        </w:rPr>
      </w:pPr>
      <w:r w:rsidRPr="002A08C4">
        <w:rPr>
          <w:spacing w:val="-5"/>
        </w:rPr>
        <w:t>Por otro lado, valorar si una política económica que cambie la situación inicial es deseable.</w:t>
      </w:r>
    </w:p>
    <w:p w14:paraId="7A14C8D3" w14:textId="77777777" w:rsidR="00B93977" w:rsidRDefault="00B93977" w:rsidP="00B93977">
      <w:pPr>
        <w:pStyle w:val="Nivel2"/>
        <w:keepNext/>
        <w:spacing w:after="0"/>
      </w:pPr>
      <w:r>
        <w:lastRenderedPageBreak/>
        <w:t xml:space="preserve">Como afirmó </w:t>
      </w:r>
      <w:r>
        <w:rPr>
          <w:smallCaps/>
        </w:rPr>
        <w:t>Atkinson</w:t>
      </w:r>
      <w:r>
        <w:t>, el gran teórico de la desigualdad del siglo XX, la ciencia económica no existe sólo para describir el comportamiento humano y satisfacer la curiosidad y la vanidad de los economistas, sino para emitir recomendaciones y diseñar y valorar políticas que contribuyan a mejorar la vida de los ciudadanos</w:t>
      </w:r>
      <w:r>
        <w:rPr>
          <w:rStyle w:val="Refdenotaalpie"/>
        </w:rPr>
        <w:footnoteReference w:id="5"/>
      </w:r>
      <w:r>
        <w:t>.</w:t>
      </w:r>
    </w:p>
    <w:p w14:paraId="0A693314" w14:textId="77777777" w:rsidR="00B93977" w:rsidRDefault="00B93977" w:rsidP="00B93977">
      <w:pPr>
        <w:pStyle w:val="Nivel3"/>
      </w:pPr>
      <w:r>
        <w:t xml:space="preserve">Por ello, la economía del bienestar forma parte del “corazón” de la ciencia económica y como tal, debe ocupar un lugar preeminente en la formación de un economista y más aún de un </w:t>
      </w:r>
      <w:proofErr w:type="spellStart"/>
      <w:r>
        <w:rPr>
          <w:i/>
          <w:iCs/>
        </w:rPr>
        <w:t>policy-maker</w:t>
      </w:r>
      <w:proofErr w:type="spellEnd"/>
      <w:r>
        <w:t>.</w:t>
      </w:r>
    </w:p>
    <w:p w14:paraId="49EEABB5" w14:textId="77777777" w:rsidR="00397A0B" w:rsidRDefault="00397A0B" w:rsidP="00397A0B">
      <w:pPr>
        <w:pStyle w:val="Nivel1"/>
        <w:keepNext/>
        <w:spacing w:after="0"/>
      </w:pPr>
      <w:r>
        <w:rPr>
          <w:b/>
          <w:bCs/>
          <w:i/>
          <w:iCs/>
        </w:rPr>
        <w:t>Contextualización</w:t>
      </w:r>
      <w:r>
        <w:t>:</w:t>
      </w:r>
    </w:p>
    <w:p w14:paraId="643E1A50" w14:textId="77777777" w:rsidR="00397A0B" w:rsidRDefault="00397A0B" w:rsidP="00397A0B">
      <w:pPr>
        <w:pStyle w:val="Nivel2"/>
        <w:keepNext/>
        <w:spacing w:after="0"/>
      </w:pPr>
      <w:r w:rsidRPr="00FE0B31">
        <w:rPr>
          <w:rFonts w:eastAsia="SimSun"/>
          <w:kern w:val="3"/>
          <w:lang w:eastAsia="zh-CN" w:bidi="hi-IN"/>
        </w:rPr>
        <w:t>Frente al laissez faire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w:t>
      </w:r>
      <w:r>
        <w:t xml:space="preserve">Para </w:t>
      </w:r>
      <w:r w:rsidRPr="006B58CD">
        <w:rPr>
          <w:smallCaps/>
        </w:rPr>
        <w:t>Musgrave</w:t>
      </w:r>
      <w:r>
        <w:t xml:space="preserve">, la intervención </w:t>
      </w:r>
      <w:r w:rsidRPr="0030527F">
        <w:rPr>
          <w:u w:val="single"/>
        </w:rPr>
        <w:t>se justifica</w:t>
      </w:r>
      <w:r>
        <w:t xml:space="preserve"> en base a tres motivos principales que originan a su vez las </w:t>
      </w:r>
      <w:r w:rsidRPr="00487BD2">
        <w:rPr>
          <w:b/>
          <w:bCs/>
        </w:rPr>
        <w:t>3 principales funciones del sector público</w:t>
      </w:r>
      <w:r>
        <w:t>:</w:t>
      </w:r>
    </w:p>
    <w:p w14:paraId="3D846DEB" w14:textId="77777777" w:rsidR="00397A0B" w:rsidRDefault="00397A0B" w:rsidP="00397A0B">
      <w:pPr>
        <w:pStyle w:val="Prrafodelista"/>
        <w:keepNext/>
        <w:numPr>
          <w:ilvl w:val="0"/>
          <w:numId w:val="47"/>
        </w:numPr>
        <w:spacing w:after="0"/>
        <w:ind w:left="1702" w:hanging="284"/>
      </w:pPr>
      <w:r w:rsidRPr="00A31374">
        <w:rPr>
          <w:i/>
          <w:iCs/>
          <w:u w:val="single"/>
        </w:rPr>
        <w:t>Motivos de eficiencia</w:t>
      </w:r>
      <w:r>
        <w:t>: P</w:t>
      </w:r>
      <w:r w:rsidRPr="00FE0B31">
        <w:t xml:space="preserve">ara corregir fallos de mercado como la existencia de externalidades, bienes públicos, </w:t>
      </w:r>
      <w:proofErr w:type="gramStart"/>
      <w:r w:rsidRPr="00FE0B31">
        <w:t>información imperfecta o competencia imperfecta</w:t>
      </w:r>
      <w:proofErr w:type="gramEnd"/>
      <w:r>
        <w:t xml:space="preserve">. Es decir, en ejercicio de la </w:t>
      </w:r>
      <w:r>
        <w:rPr>
          <w:i/>
          <w:iCs/>
        </w:rPr>
        <w:t>función asignativa</w:t>
      </w:r>
      <w:r>
        <w:t>.</w:t>
      </w:r>
    </w:p>
    <w:p w14:paraId="1C7997B5" w14:textId="77777777" w:rsidR="00397A0B" w:rsidRPr="00FE0B31" w:rsidRDefault="00397A0B" w:rsidP="00397A0B">
      <w:pPr>
        <w:pStyle w:val="Prrafodelista"/>
        <w:keepNext/>
        <w:numPr>
          <w:ilvl w:val="0"/>
          <w:numId w:val="47"/>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7FBDAB3B" w14:textId="77777777" w:rsidR="00397A0B" w:rsidRDefault="00397A0B" w:rsidP="00397A0B">
      <w:pPr>
        <w:pStyle w:val="Prrafodelista"/>
        <w:keepNext/>
        <w:numPr>
          <w:ilvl w:val="0"/>
          <w:numId w:val="47"/>
        </w:numPr>
        <w:spacing w:after="0"/>
        <w:ind w:left="1702" w:hanging="284"/>
      </w:pPr>
      <w:r w:rsidRPr="005317AA">
        <w:rPr>
          <w:i/>
          <w:iCs/>
          <w:u w:val="single"/>
        </w:rPr>
        <w:t>Motivos de estabilización</w:t>
      </w:r>
      <w:r w:rsidRPr="005317AA">
        <w:t>:</w:t>
      </w:r>
      <w:r>
        <w:t xml:space="preserve"> P</w:t>
      </w:r>
      <w:r w:rsidRPr="00FE0B31">
        <w:t>ara conseguir una senda de crecimiento estable y reducir las fluctuaciones cíclicas de la economía.</w:t>
      </w:r>
      <w:r>
        <w:t xml:space="preserve"> Es decir, en ejercicio de la función estabilizadora.</w:t>
      </w:r>
    </w:p>
    <w:p w14:paraId="2A5EE448" w14:textId="77777777" w:rsidR="00397A0B" w:rsidRDefault="00397A0B" w:rsidP="00397A0B">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15685CB9" w14:textId="77777777" w:rsidR="00397A0B" w:rsidRDefault="00397A0B" w:rsidP="00397A0B">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5FB9F262" w14:textId="77777777" w:rsidR="00397A0B" w:rsidRDefault="00397A0B" w:rsidP="00397A0B">
      <w:pPr>
        <w:pStyle w:val="Nivel2"/>
        <w:keepNext/>
        <w:spacing w:after="0"/>
      </w:pPr>
      <w:r>
        <w:t>Para conseguir sus objetivos de eficiencia, equidad y estabilización el sector público actúa básicamente de 2 formas:</w:t>
      </w:r>
    </w:p>
    <w:p w14:paraId="7B9476E2" w14:textId="77777777" w:rsidR="00397A0B" w:rsidRDefault="00397A0B" w:rsidP="00397A0B">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09A1C1C7" w14:textId="77777777" w:rsidR="00397A0B" w:rsidRPr="001742A5" w:rsidRDefault="00397A0B" w:rsidP="00397A0B">
      <w:pPr>
        <w:pStyle w:val="Nivel3"/>
        <w:keepNext/>
      </w:pPr>
      <w:r w:rsidRPr="000A6812">
        <w:rPr>
          <w:i/>
          <w:iCs/>
        </w:rPr>
        <w:t>Actividades financieras</w:t>
      </w:r>
      <w:r>
        <w:t>:</w:t>
      </w:r>
    </w:p>
    <w:p w14:paraId="1D93A492" w14:textId="77777777" w:rsidR="00397A0B" w:rsidRDefault="00397A0B" w:rsidP="00397A0B">
      <w:pPr>
        <w:pStyle w:val="Nivel4"/>
      </w:pPr>
      <w:r>
        <w:t>La realización de gastos asociados a las funciones del sector público.</w:t>
      </w:r>
    </w:p>
    <w:p w14:paraId="441D2E22" w14:textId="77777777" w:rsidR="00397A0B" w:rsidRDefault="00397A0B" w:rsidP="00397A0B">
      <w:pPr>
        <w:pStyle w:val="Nivel4"/>
      </w:pPr>
      <w:r>
        <w:t>La obtención de los ingresos necesarios para hacer frente a esos gastos.</w:t>
      </w:r>
    </w:p>
    <w:p w14:paraId="74BFD650" w14:textId="77777777" w:rsidR="00397A0B" w:rsidRDefault="00397A0B" w:rsidP="00397A0B">
      <w:pPr>
        <w:pStyle w:val="Nivel1"/>
        <w:keepNext/>
        <w:spacing w:after="0"/>
      </w:pPr>
      <w:r>
        <w:rPr>
          <w:b/>
          <w:bCs/>
          <w:i/>
          <w:iCs/>
        </w:rPr>
        <w:t>Problemática</w:t>
      </w:r>
      <w:r>
        <w:t>:</w:t>
      </w:r>
    </w:p>
    <w:p w14:paraId="7E8DA562" w14:textId="071BD3DE" w:rsidR="00397A0B" w:rsidRDefault="00397A0B" w:rsidP="00397A0B">
      <w:pPr>
        <w:pStyle w:val="Nivel2"/>
      </w:pPr>
      <w:r>
        <w:t>El objetivo de est</w:t>
      </w:r>
      <w:r w:rsidR="00AE590B">
        <w:t>a</w:t>
      </w:r>
      <w:r>
        <w:t xml:space="preserve"> </w:t>
      </w:r>
      <w:r w:rsidR="00AE590B">
        <w:t>exposición</w:t>
      </w:r>
      <w:r>
        <w:t xml:space="preserve"> ser</w:t>
      </w:r>
      <w:r w:rsidRPr="002C1D39">
        <w:t xml:space="preserve">á analizar </w:t>
      </w:r>
      <w:r>
        <w:t>la función de estabilización algo más en profundidad.</w:t>
      </w:r>
      <w:r w:rsidR="00AE590B">
        <w:t xml:space="preserve"> Estudiaremos hasta qué punto tiene el sector público capacidad para afectar a la economía y si esa capacidad debe utilizarse con fines de política económica, es decir, con el objetivo de reducir las fluctuaciones cíclicas de la economía.</w:t>
      </w:r>
    </w:p>
    <w:p w14:paraId="1B0E9737" w14:textId="77777777" w:rsidR="00397A0B" w:rsidRDefault="00397A0B" w:rsidP="00397A0B">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397A0B" w14:paraId="722620E4" w14:textId="77777777" w:rsidTr="00D867E9">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1E2F23BC" w14:textId="3BC8B8C0" w:rsidR="00397A0B" w:rsidRPr="00835146" w:rsidRDefault="00397A0B" w:rsidP="00397A0B">
      <w:pPr>
        <w:rPr>
          <w:sz w:val="2"/>
          <w:szCs w:val="2"/>
        </w:rPr>
      </w:pPr>
      <w:r w:rsidRPr="00835146">
        <w:rPr>
          <w:sz w:val="2"/>
          <w:szCs w:val="2"/>
        </w:rPr>
        <w:br w:type="page"/>
      </w:r>
    </w:p>
    <w:p w14:paraId="2A6F0AA3" w14:textId="5B06A8DE" w:rsidR="00830096" w:rsidRDefault="00830096" w:rsidP="00830096">
      <w:pPr>
        <w:pStyle w:val="Apartado0"/>
      </w:pPr>
      <w:bookmarkStart w:id="3" w:name="_Toc151221213"/>
      <w:r>
        <w:lastRenderedPageBreak/>
        <w:t>DESEABILIDAD DE LA INTERVENCIÓN DEL SECTOR PÚBLICO</w:t>
      </w:r>
      <w:r w:rsidR="00781E0B">
        <w:br/>
      </w:r>
      <w:r>
        <w:t>PARA ESTABILIZAR EL CICLO ECONÓMICO</w:t>
      </w:r>
      <w:bookmarkEnd w:id="3"/>
    </w:p>
    <w:p w14:paraId="5FEBF313" w14:textId="49466EF9" w:rsidR="00830096" w:rsidRPr="00C904BD" w:rsidRDefault="00830096" w:rsidP="00830096">
      <w:pPr>
        <w:pStyle w:val="Nivel1SM"/>
        <w:keepNext/>
        <w:spacing w:before="0" w:after="0"/>
      </w:pPr>
      <w:r w:rsidRPr="00C904BD">
        <w:t xml:space="preserve">Cuando analizamos el comportamiento dinámico de una economía nos encontramos con </w:t>
      </w:r>
      <w:r>
        <w:t>2 </w:t>
      </w:r>
      <w:r w:rsidRPr="00C904BD">
        <w:t>hechos estilizados:</w:t>
      </w:r>
    </w:p>
    <w:p w14:paraId="79D9110A" w14:textId="299CA262" w:rsidR="00830096" w:rsidRPr="00C904BD" w:rsidRDefault="00781E0B" w:rsidP="00F83325">
      <w:pPr>
        <w:pStyle w:val="Prrafodelista"/>
        <w:keepNext/>
        <w:numPr>
          <w:ilvl w:val="0"/>
          <w:numId w:val="71"/>
        </w:numPr>
        <w:spacing w:after="0"/>
        <w:ind w:left="567" w:hanging="113"/>
      </w:pPr>
      <w:r>
        <w:t>Podemos</w:t>
      </w:r>
      <w:r w:rsidRPr="00C904BD">
        <w:t xml:space="preserve"> identificar una </w:t>
      </w:r>
      <w:r w:rsidRPr="00F83325">
        <w:rPr>
          <w:i/>
          <w:iCs/>
        </w:rPr>
        <w:t>senda tendencial del crecimiento a largo plazo</w:t>
      </w:r>
      <w:r w:rsidRPr="00C904BD">
        <w:t xml:space="preserve"> (i.e. la senda en la que el output gap es nulo).</w:t>
      </w:r>
    </w:p>
    <w:p w14:paraId="176FB77A" w14:textId="0E136160" w:rsidR="00830096" w:rsidRPr="00C904BD" w:rsidRDefault="00781E0B" w:rsidP="00F83325">
      <w:pPr>
        <w:pStyle w:val="Prrafodelista"/>
        <w:keepNext/>
        <w:numPr>
          <w:ilvl w:val="0"/>
          <w:numId w:val="71"/>
        </w:numPr>
        <w:spacing w:after="0"/>
        <w:ind w:left="567" w:hanging="113"/>
      </w:pPr>
      <w:r w:rsidRPr="00C904BD">
        <w:t xml:space="preserve">El </w:t>
      </w:r>
      <w:r w:rsidRPr="00F83325">
        <w:rPr>
          <w:i/>
          <w:iCs/>
        </w:rPr>
        <w:t>crecimiento del output no sigue una senda estable</w:t>
      </w:r>
      <w:r w:rsidRPr="00C904BD">
        <w:t xml:space="preserve"> sino que, en su lugar, parece seguir un proceso recurrente expansión/auge – recesión – recuperación.</w:t>
      </w:r>
    </w:p>
    <w:p w14:paraId="55682B28" w14:textId="3EA6E928" w:rsidR="00172D53" w:rsidRDefault="00830096" w:rsidP="00172D53">
      <w:pPr>
        <w:pStyle w:val="Nivel3SM"/>
      </w:pPr>
      <w:r w:rsidRPr="00C904BD">
        <w:t xml:space="preserve">Así, podemos definir el </w:t>
      </w:r>
      <w:r w:rsidRPr="00172D53">
        <w:rPr>
          <w:b/>
          <w:bCs/>
        </w:rPr>
        <w:t>ciclo</w:t>
      </w:r>
      <w:r w:rsidRPr="00C904BD">
        <w:t xml:space="preserve"> como esos procesos recurrentes de expansión y contracción de la actividad económica agregada respecto de su tendencia a largo plazo</w:t>
      </w:r>
      <w:r w:rsidR="00172D53">
        <w:t xml:space="preserve"> </w:t>
      </w:r>
      <w:r w:rsidR="00172D53" w:rsidRPr="00BE5920">
        <w:rPr>
          <w:color w:val="767171" w:themeColor="background2" w:themeShade="80"/>
          <w:sz w:val="19"/>
          <w:szCs w:val="19"/>
        </w:rPr>
        <w:t>[ver tema 3.A.41]</w:t>
      </w:r>
      <w:r w:rsidR="00172D53">
        <w:rPr>
          <w:rStyle w:val="Refdenotaalpie"/>
        </w:rPr>
        <w:footnoteReference w:id="6"/>
      </w:r>
      <w:r w:rsidRPr="00C904BD">
        <w:t>.</w:t>
      </w:r>
    </w:p>
    <w:p w14:paraId="759701E5" w14:textId="2BDC273B" w:rsidR="00F83325" w:rsidRDefault="00830096" w:rsidP="00830096">
      <w:pPr>
        <w:pStyle w:val="Nivel1SM"/>
        <w:keepNext/>
        <w:spacing w:after="0"/>
      </w:pPr>
      <w:r w:rsidRPr="00C904BD">
        <w:t xml:space="preserve">El objetivo fundamental de una </w:t>
      </w:r>
      <w:r w:rsidR="00172D53">
        <w:t>e</w:t>
      </w:r>
      <w:r w:rsidRPr="00C904BD">
        <w:t>conomía consiste en</w:t>
      </w:r>
      <w:r w:rsidR="00F83325">
        <w:t>:</w:t>
      </w:r>
    </w:p>
    <w:p w14:paraId="4D5C5AF8" w14:textId="77777777" w:rsidR="00F83325" w:rsidRDefault="00F83325" w:rsidP="00F83325">
      <w:pPr>
        <w:pStyle w:val="Prrafodelista"/>
        <w:keepNext/>
        <w:numPr>
          <w:ilvl w:val="0"/>
          <w:numId w:val="72"/>
        </w:numPr>
        <w:spacing w:after="0"/>
        <w:ind w:left="567" w:hanging="113"/>
      </w:pPr>
      <w:r>
        <w:t>M</w:t>
      </w:r>
      <w:r w:rsidR="00830096" w:rsidRPr="00C904BD">
        <w:t>aximizar su tasa de crecimiento</w:t>
      </w:r>
      <w:r>
        <w:t>;</w:t>
      </w:r>
    </w:p>
    <w:p w14:paraId="7BD8DB3D" w14:textId="7E03FDFD" w:rsidR="00830096" w:rsidRPr="00C904BD" w:rsidRDefault="00F83325" w:rsidP="00F83325">
      <w:pPr>
        <w:pStyle w:val="Prrafodelista"/>
        <w:keepNext/>
        <w:numPr>
          <w:ilvl w:val="0"/>
          <w:numId w:val="72"/>
        </w:numPr>
        <w:spacing w:after="0"/>
        <w:ind w:left="567" w:hanging="113"/>
      </w:pPr>
      <w:r>
        <w:t>A</w:t>
      </w:r>
      <w:r w:rsidR="00830096" w:rsidRPr="00C904BD">
        <w:t xml:space="preserve"> la vez que se minimizan las fluctuaciones cíclicas, ya que estas:</w:t>
      </w:r>
    </w:p>
    <w:p w14:paraId="0BD85D62" w14:textId="77777777" w:rsidR="008336D3" w:rsidRDefault="008336D3" w:rsidP="008336D3">
      <w:pPr>
        <w:pStyle w:val="Nivel3SM"/>
      </w:pPr>
      <w:r w:rsidRPr="00C904BD">
        <w:t>Obligan a los agentes a incurrir en costes de ajuste.</w:t>
      </w:r>
    </w:p>
    <w:p w14:paraId="774E4A15" w14:textId="77777777" w:rsidR="00830096" w:rsidRPr="00C904BD" w:rsidRDefault="00830096" w:rsidP="00F83325">
      <w:pPr>
        <w:pStyle w:val="Nivel3SM"/>
      </w:pPr>
      <w:r w:rsidRPr="00C904BD">
        <w:t>Desestabilizan el empleo.</w:t>
      </w:r>
    </w:p>
    <w:p w14:paraId="75F7F8C3" w14:textId="77777777" w:rsidR="008336D3" w:rsidRPr="00C904BD" w:rsidRDefault="008336D3" w:rsidP="008336D3">
      <w:pPr>
        <w:pStyle w:val="Nivel3SM"/>
      </w:pPr>
      <w:r w:rsidRPr="00C904BD">
        <w:t>Reducen la fiabilidad de las expectativas de los agentes.</w:t>
      </w:r>
    </w:p>
    <w:p w14:paraId="35947356" w14:textId="4270F617" w:rsidR="00BE5920" w:rsidRDefault="00830096" w:rsidP="00BE5920">
      <w:pPr>
        <w:pStyle w:val="Nivel1SM"/>
        <w:keepNext/>
        <w:spacing w:after="0"/>
      </w:pPr>
      <w:r w:rsidRPr="00C904BD">
        <w:t xml:space="preserve">No obstante, </w:t>
      </w:r>
      <w:r>
        <w:t xml:space="preserve">en la actualidad </w:t>
      </w:r>
      <w:r w:rsidRPr="00C904BD">
        <w:t xml:space="preserve">no existe consenso entre los autores respecto a la deseabilidad de la intervención del </w:t>
      </w:r>
      <w:r w:rsidR="007C1762">
        <w:t>sector público</w:t>
      </w:r>
      <w:r w:rsidRPr="00C904BD">
        <w:t xml:space="preserve"> para estabilizar el ciclo económico.</w:t>
      </w:r>
    </w:p>
    <w:p w14:paraId="01860C07" w14:textId="2A87C4C5" w:rsidR="00830096" w:rsidRPr="00C904BD" w:rsidRDefault="00830096" w:rsidP="00BE5920">
      <w:pPr>
        <w:pStyle w:val="Nivel2SM"/>
      </w:pPr>
      <w:r w:rsidRPr="00C904BD">
        <w:t>Así, los autores de la NMC consideran los ciclos como el resultado de la respuesta óptima de agentes racionales ante variaciones en las condiciones económicas, por lo que consideran las políticas estabilizadoras como totalmente inefectivas.</w:t>
      </w:r>
    </w:p>
    <w:p w14:paraId="3673A013" w14:textId="77777777" w:rsidR="00BE5920" w:rsidRDefault="00830096" w:rsidP="00BE5920">
      <w:pPr>
        <w:pStyle w:val="Nivel2SM"/>
        <w:keepNext/>
        <w:spacing w:after="0"/>
      </w:pPr>
      <w:r w:rsidRPr="00C904BD">
        <w:t>Los autores de la NEK, pese a su heterogeneidad, matizan mayoritariamente las conclusiones anteriores y abogan por el uso de estabilizadores automáticos.</w:t>
      </w:r>
    </w:p>
    <w:p w14:paraId="0E882025" w14:textId="10CEB9DE" w:rsidR="00830096" w:rsidRPr="00C904BD" w:rsidRDefault="00830096" w:rsidP="00BE5920">
      <w:pPr>
        <w:pStyle w:val="Nivel3SM"/>
      </w:pPr>
      <w:r w:rsidRPr="00C904BD">
        <w:t>En este sentido, la principal diferencia de la N</w:t>
      </w:r>
      <w:r w:rsidR="00BE5920">
        <w:t>MC</w:t>
      </w:r>
      <w:r w:rsidRPr="00C904BD">
        <w:t xml:space="preserve"> respecto a la N</w:t>
      </w:r>
      <w:r w:rsidR="00BE5920">
        <w:t>EK</w:t>
      </w:r>
      <w:r w:rsidRPr="00C904BD">
        <w:t xml:space="preserve"> es que </w:t>
      </w:r>
      <w:r w:rsidR="00BE5920">
        <w:t>éstos últimos</w:t>
      </w:r>
      <w:r w:rsidRPr="00C904BD">
        <w:t xml:space="preserve"> consideran la existencia de fallos de mercado (de </w:t>
      </w:r>
      <w:proofErr w:type="gramStart"/>
      <w:r w:rsidRPr="00C904BD">
        <w:t>hecho</w:t>
      </w:r>
      <w:proofErr w:type="gramEnd"/>
      <w:r w:rsidRPr="00C904BD">
        <w:t xml:space="preserve"> usan la competencia monopolística como modelo base), lo que </w:t>
      </w:r>
      <w:proofErr w:type="gramStart"/>
      <w:r w:rsidRPr="00C904BD">
        <w:t>les</w:t>
      </w:r>
      <w:proofErr w:type="gramEnd"/>
      <w:r w:rsidRPr="00C904BD">
        <w:t xml:space="preserve"> lleva a negar el vaciado continuo de los mercados (una de las bases teóricas de la NMC).</w:t>
      </w:r>
    </w:p>
    <w:p w14:paraId="1745D661" w14:textId="6348327B" w:rsidR="00830096" w:rsidRPr="00C904BD" w:rsidRDefault="00830096" w:rsidP="00BE5920">
      <w:pPr>
        <w:pStyle w:val="Nivel1SM"/>
        <w:keepNext/>
        <w:spacing w:after="0"/>
        <w:rPr>
          <w:rFonts w:eastAsiaTheme="minorEastAsia"/>
        </w:rPr>
      </w:pPr>
      <w:r w:rsidRPr="00C904BD">
        <w:t xml:space="preserve">Así, los autores de la NEK parten de la no optimalidad de los ciclos económicos, debida a la existencia de rigideces nominales. De acuerdo con la NEK, el origen de los ciclos se encuentra en las perturbaciones de DA, tanto de tipo real como nominal, y el mecanismo de propagación es la existencia de rigideces nominales en la economía. </w:t>
      </w:r>
      <w:r w:rsidRPr="00C904BD">
        <w:rPr>
          <w:rFonts w:eastAsiaTheme="minorEastAsia"/>
        </w:rPr>
        <w:t xml:space="preserve">Estas rigideces nominales son el resultado de la </w:t>
      </w:r>
      <w:r w:rsidRPr="00C904BD">
        <w:rPr>
          <w:rFonts w:eastAsiaTheme="minorEastAsia"/>
        </w:rPr>
        <w:lastRenderedPageBreak/>
        <w:t xml:space="preserve">combinación de </w:t>
      </w:r>
      <w:r w:rsidRPr="00BE5920">
        <w:rPr>
          <w:rFonts w:eastAsiaTheme="minorEastAsia"/>
          <w:i/>
          <w:iCs/>
        </w:rPr>
        <w:t>fricciones nominales</w:t>
      </w:r>
      <w:r w:rsidRPr="00C904BD">
        <w:rPr>
          <w:rFonts w:eastAsiaTheme="minorEastAsia"/>
        </w:rPr>
        <w:t xml:space="preserve"> y de </w:t>
      </w:r>
      <w:r w:rsidRPr="00BE5920">
        <w:rPr>
          <w:rFonts w:eastAsiaTheme="minorEastAsia"/>
          <w:i/>
          <w:iCs/>
        </w:rPr>
        <w:t>rigideces reales</w:t>
      </w:r>
      <w:r w:rsidRPr="00C904BD">
        <w:rPr>
          <w:rFonts w:eastAsiaTheme="minorEastAsia"/>
        </w:rPr>
        <w:t xml:space="preserve"> que se explican microeconómicamente por la NEK a través de diversos modelos</w:t>
      </w:r>
      <w:r w:rsidR="00FD5CBA">
        <w:rPr>
          <w:rStyle w:val="Refdenotaalpie"/>
          <w:rFonts w:eastAsiaTheme="minorEastAsia"/>
        </w:rPr>
        <w:footnoteReference w:id="7"/>
      </w:r>
      <w:r w:rsidRPr="00C904BD">
        <w:rPr>
          <w:rFonts w:eastAsiaTheme="minorEastAsia"/>
        </w:rPr>
        <w:t>.</w:t>
      </w:r>
    </w:p>
    <w:p w14:paraId="6D3E0949" w14:textId="1E942472" w:rsidR="00830096" w:rsidRPr="001E0101" w:rsidRDefault="00830096" w:rsidP="00BE5920">
      <w:pPr>
        <w:pStyle w:val="Nivel2SM"/>
        <w:keepNext/>
        <w:spacing w:after="0"/>
      </w:pPr>
      <w:r w:rsidRPr="001E0101">
        <w:t xml:space="preserve">Por </w:t>
      </w:r>
      <w:r w:rsidRPr="00BE5920">
        <w:rPr>
          <w:i/>
          <w:iCs/>
          <w:u w:val="single"/>
        </w:rPr>
        <w:t>fricciones nominales</w:t>
      </w:r>
      <w:r w:rsidRPr="001E0101">
        <w:t xml:space="preserve"> entendemos todos aquellos elementos que dificultan el ajuste instantáneo de los precios. Entre ellos podemos destacar:</w:t>
      </w:r>
    </w:p>
    <w:p w14:paraId="7FF726FF" w14:textId="4DA42CA9" w:rsidR="00830096" w:rsidRPr="001E0101" w:rsidRDefault="00830096" w:rsidP="00BE5920">
      <w:pPr>
        <w:pStyle w:val="Nivel3SM"/>
      </w:pPr>
      <w:r w:rsidRPr="001E0101">
        <w:t xml:space="preserve">El </w:t>
      </w:r>
      <w:r w:rsidRPr="00FD5CBA">
        <w:rPr>
          <w:i/>
          <w:iCs/>
        </w:rPr>
        <w:t xml:space="preserve">comportamiento </w:t>
      </w:r>
      <w:proofErr w:type="spellStart"/>
      <w:r w:rsidRPr="00FD5CBA">
        <w:rPr>
          <w:i/>
          <w:iCs/>
        </w:rPr>
        <w:t>cuasirracional</w:t>
      </w:r>
      <w:proofErr w:type="spellEnd"/>
      <w:r w:rsidRPr="00C904BD">
        <w:rPr>
          <w:vertAlign w:val="superscript"/>
        </w:rPr>
        <w:footnoteReference w:id="8"/>
      </w:r>
      <w:r w:rsidRPr="001E0101">
        <w:t xml:space="preserve">, introducido por </w:t>
      </w:r>
      <w:r w:rsidRPr="00830096">
        <w:rPr>
          <w:smallCaps/>
        </w:rPr>
        <w:t>Akerlof</w:t>
      </w:r>
      <w:r w:rsidRPr="001E0101">
        <w:t xml:space="preserve"> y </w:t>
      </w:r>
      <w:r w:rsidRPr="00830096">
        <w:rPr>
          <w:smallCaps/>
        </w:rPr>
        <w:t>Yellen</w:t>
      </w:r>
      <w:r w:rsidRPr="001E0101">
        <w:t>.</w:t>
      </w:r>
    </w:p>
    <w:p w14:paraId="479FF567" w14:textId="7CAE0BC6" w:rsidR="00830096" w:rsidRPr="001E0101" w:rsidRDefault="00830096" w:rsidP="00BE5920">
      <w:pPr>
        <w:pStyle w:val="Nivel3SM"/>
        <w:rPr>
          <w:rFonts w:eastAsiaTheme="minorEastAsia"/>
        </w:rPr>
      </w:pPr>
      <w:r w:rsidRPr="001E0101">
        <w:t xml:space="preserve">La existencia de </w:t>
      </w:r>
      <w:r w:rsidR="00FD5CBA" w:rsidRPr="00FD5CBA">
        <w:rPr>
          <w:i/>
          <w:iCs/>
        </w:rPr>
        <w:t>c</w:t>
      </w:r>
      <w:r w:rsidRPr="00FD5CBA">
        <w:rPr>
          <w:i/>
          <w:iCs/>
        </w:rPr>
        <w:t xml:space="preserve">ostes de </w:t>
      </w:r>
      <w:r w:rsidR="00FD5CBA" w:rsidRPr="00FD5CBA">
        <w:rPr>
          <w:i/>
          <w:iCs/>
        </w:rPr>
        <w:t>m</w:t>
      </w:r>
      <w:r w:rsidRPr="00FD5CBA">
        <w:rPr>
          <w:i/>
          <w:iCs/>
        </w:rPr>
        <w:t>enú</w:t>
      </w:r>
      <w:r w:rsidRPr="00C904BD">
        <w:rPr>
          <w:vertAlign w:val="superscript"/>
        </w:rPr>
        <w:footnoteReference w:id="9"/>
      </w:r>
      <w:r w:rsidRPr="001E0101">
        <w:t xml:space="preserve">, concepto introducido por </w:t>
      </w:r>
      <w:r w:rsidRPr="00830096">
        <w:rPr>
          <w:smallCaps/>
        </w:rPr>
        <w:t>Mankiw</w:t>
      </w:r>
      <w:r w:rsidRPr="001E0101">
        <w:t>.</w:t>
      </w:r>
    </w:p>
    <w:p w14:paraId="5E96587E" w14:textId="20DF229C" w:rsidR="00830096" w:rsidRPr="001E0101" w:rsidRDefault="00830096" w:rsidP="00BE5920">
      <w:pPr>
        <w:pStyle w:val="Nivel3SM"/>
        <w:rPr>
          <w:rFonts w:eastAsiaTheme="minorEastAsia"/>
        </w:rPr>
      </w:pPr>
      <w:r w:rsidRPr="001E0101">
        <w:t xml:space="preserve">Las </w:t>
      </w:r>
      <w:r w:rsidRPr="00FD5CBA">
        <w:rPr>
          <w:i/>
          <w:iCs/>
        </w:rPr>
        <w:t>externalidades de demanda</w:t>
      </w:r>
      <w:r w:rsidRPr="001E0101">
        <w:t xml:space="preserve"> derivadas de las rigideces nominales de precios, e introducidas por </w:t>
      </w:r>
      <w:r w:rsidRPr="00517EC5">
        <w:rPr>
          <w:smallCaps/>
        </w:rPr>
        <w:t>Blanchard</w:t>
      </w:r>
      <w:r w:rsidRPr="001E0101">
        <w:t xml:space="preserve"> y </w:t>
      </w:r>
      <w:r w:rsidRPr="00517EC5">
        <w:rPr>
          <w:smallCaps/>
        </w:rPr>
        <w:t>Kiyotaki</w:t>
      </w:r>
      <w:r w:rsidRPr="001E0101">
        <w:t>.</w:t>
      </w:r>
    </w:p>
    <w:p w14:paraId="48CDBF14" w14:textId="77777777" w:rsidR="00830096" w:rsidRPr="001E0101" w:rsidRDefault="00830096" w:rsidP="00D07336">
      <w:pPr>
        <w:pStyle w:val="Nivel2SM"/>
        <w:keepNext/>
        <w:spacing w:after="0"/>
      </w:pPr>
      <w:r w:rsidRPr="001E0101">
        <w:t>En cualquier caso, existe consenso entre los autores de la NEK en que estas fricciones son insuficientes por sí solas para evitar el ajuste de precios</w:t>
      </w:r>
      <w:r w:rsidRPr="00C904BD">
        <w:rPr>
          <w:vertAlign w:val="superscript"/>
        </w:rPr>
        <w:footnoteReference w:id="10"/>
      </w:r>
      <w:r w:rsidRPr="001E0101">
        <w:t xml:space="preserve">. Así, será necesario que dichas fricciones nominales se combinen con </w:t>
      </w:r>
      <w:r w:rsidRPr="00D07336">
        <w:rPr>
          <w:i/>
          <w:iCs/>
          <w:u w:val="single"/>
        </w:rPr>
        <w:t>rigideces reales</w:t>
      </w:r>
      <w:r w:rsidRPr="001E0101">
        <w:t xml:space="preserve"> en los mercados de bienes, trabajo y crédito, que hacen que el ajuste de </w:t>
      </w:r>
      <w:proofErr w:type="gramStart"/>
      <w:r w:rsidRPr="001E0101">
        <w:t>los mismos</w:t>
      </w:r>
      <w:proofErr w:type="gramEnd"/>
      <w:r w:rsidRPr="001E0101">
        <w:t xml:space="preserve"> sea lento. Estas rigideces reales se explican:</w:t>
      </w:r>
    </w:p>
    <w:p w14:paraId="18282BEC" w14:textId="257824EC" w:rsidR="00830096" w:rsidRPr="001E0101" w:rsidRDefault="00830096" w:rsidP="00D07336">
      <w:pPr>
        <w:pStyle w:val="Nivel3SM"/>
        <w:keepNext/>
      </w:pPr>
      <w:r w:rsidRPr="001E0101">
        <w:t>En el caso del mercado de bienes, por la existencia de mercados de competencia imperfecta…</w:t>
      </w:r>
    </w:p>
    <w:p w14:paraId="5829C56A" w14:textId="735DBCF6" w:rsidR="00830096" w:rsidRPr="001E0101" w:rsidRDefault="00830096" w:rsidP="00D07336">
      <w:pPr>
        <w:pStyle w:val="Nivel4"/>
        <w:ind w:left="1474"/>
      </w:pPr>
      <w:r w:rsidRPr="001E0101">
        <w:t>…donde existen empresas que operan con exceso de capacidad; o en los que existen economías dinámicas de aglomeración. Todo ello permite que no aparezcan rendimientos decrecientes de escala.</w:t>
      </w:r>
    </w:p>
    <w:p w14:paraId="558754B0" w14:textId="77777777" w:rsidR="00830096" w:rsidRPr="001E0101" w:rsidRDefault="00830096" w:rsidP="00D07336">
      <w:pPr>
        <w:pStyle w:val="Nivel4"/>
        <w:ind w:left="1474"/>
      </w:pPr>
      <w:r w:rsidRPr="001E0101">
        <w:t xml:space="preserve">…en los que las empresas cargan un </w:t>
      </w:r>
      <w:proofErr w:type="spellStart"/>
      <w:r w:rsidRPr="001E0101">
        <w:t>mark</w:t>
      </w:r>
      <w:proofErr w:type="spellEnd"/>
      <w:r w:rsidRPr="001E0101">
        <w:t xml:space="preserve">-up </w:t>
      </w:r>
      <w:proofErr w:type="spellStart"/>
      <w:r w:rsidRPr="001E0101">
        <w:t>contracíclico</w:t>
      </w:r>
      <w:proofErr w:type="spellEnd"/>
      <w:r w:rsidRPr="001E0101">
        <w:t xml:space="preserve"> para evitar la entrada de nuevos competidores. Así, disminuyen el </w:t>
      </w:r>
      <w:proofErr w:type="spellStart"/>
      <w:r w:rsidRPr="001E0101">
        <w:t>mark</w:t>
      </w:r>
      <w:proofErr w:type="spellEnd"/>
      <w:r w:rsidRPr="001E0101">
        <w:t>-up en épocas de auge y lo aumentan en las fases bajistas del ciclo aprovechando la menor competencia.</w:t>
      </w:r>
    </w:p>
    <w:p w14:paraId="43C8D454" w14:textId="77777777" w:rsidR="00830096" w:rsidRPr="001E0101" w:rsidRDefault="00830096" w:rsidP="00D07336">
      <w:pPr>
        <w:pStyle w:val="Nivel3SM"/>
      </w:pPr>
      <w:r w:rsidRPr="001E0101">
        <w:t>En el caso del mercado de trabajo, a través del modelo de I&amp;O (</w:t>
      </w:r>
      <w:r w:rsidRPr="00D07336">
        <w:rPr>
          <w:smallCaps/>
        </w:rPr>
        <w:t>Lindbeck</w:t>
      </w:r>
      <w:r w:rsidRPr="001E0101">
        <w:t xml:space="preserve">, </w:t>
      </w:r>
      <w:proofErr w:type="spellStart"/>
      <w:r w:rsidRPr="00D07336">
        <w:rPr>
          <w:smallCaps/>
        </w:rPr>
        <w:t>Snower</w:t>
      </w:r>
      <w:proofErr w:type="spellEnd"/>
      <w:r w:rsidRPr="001E0101">
        <w:t xml:space="preserve">, </w:t>
      </w:r>
      <w:r w:rsidRPr="00D07336">
        <w:rPr>
          <w:smallCaps/>
        </w:rPr>
        <w:t>Blanchard</w:t>
      </w:r>
      <w:r w:rsidRPr="001E0101">
        <w:t xml:space="preserve"> y </w:t>
      </w:r>
      <w:r w:rsidRPr="00D07336">
        <w:rPr>
          <w:smallCaps/>
        </w:rPr>
        <w:t>Summers</w:t>
      </w:r>
      <w:r w:rsidRPr="001E0101">
        <w:t>), salarios de eficiencia (</w:t>
      </w:r>
      <w:r w:rsidRPr="00D07336">
        <w:rPr>
          <w:smallCaps/>
        </w:rPr>
        <w:t>Shapiro</w:t>
      </w:r>
      <w:r w:rsidRPr="001E0101">
        <w:t xml:space="preserve"> y </w:t>
      </w:r>
      <w:r w:rsidRPr="00D07336">
        <w:rPr>
          <w:smallCaps/>
        </w:rPr>
        <w:t>Stiglitz</w:t>
      </w:r>
      <w:r w:rsidRPr="001E0101">
        <w:t>) y contratos implícitos (</w:t>
      </w:r>
      <w:proofErr w:type="spellStart"/>
      <w:r w:rsidRPr="00D07336">
        <w:rPr>
          <w:smallCaps/>
        </w:rPr>
        <w:t>Azariadis</w:t>
      </w:r>
      <w:proofErr w:type="spellEnd"/>
      <w:r w:rsidRPr="001E0101">
        <w:t xml:space="preserve">, </w:t>
      </w:r>
      <w:r w:rsidRPr="00D07336">
        <w:rPr>
          <w:smallCaps/>
        </w:rPr>
        <w:t>Bailey</w:t>
      </w:r>
      <w:r w:rsidRPr="001E0101">
        <w:t xml:space="preserve"> y </w:t>
      </w:r>
      <w:r w:rsidRPr="00D07336">
        <w:rPr>
          <w:smallCaps/>
        </w:rPr>
        <w:t>Gordon</w:t>
      </w:r>
      <w:r w:rsidRPr="001E0101">
        <w:t>).</w:t>
      </w:r>
    </w:p>
    <w:p w14:paraId="0A86860B" w14:textId="77777777" w:rsidR="00830096" w:rsidRPr="001E0101" w:rsidRDefault="00830096" w:rsidP="00D07336">
      <w:pPr>
        <w:pStyle w:val="Nivel3SM"/>
      </w:pPr>
      <w:r w:rsidRPr="001E0101">
        <w:t>En el caso del mercado de crédito, a través del modelo de racionamiento de crédito (</w:t>
      </w:r>
      <w:r w:rsidRPr="00D07336">
        <w:rPr>
          <w:smallCaps/>
        </w:rPr>
        <w:t>Stiglitz</w:t>
      </w:r>
      <w:r w:rsidRPr="001E0101">
        <w:t xml:space="preserve"> y </w:t>
      </w:r>
      <w:r w:rsidRPr="00D07336">
        <w:rPr>
          <w:smallCaps/>
        </w:rPr>
        <w:t>Weiss</w:t>
      </w:r>
      <w:r w:rsidRPr="001E0101">
        <w:t>) y del modelo de Riesgo Moral (</w:t>
      </w:r>
      <w:proofErr w:type="spellStart"/>
      <w:r w:rsidRPr="00D07336">
        <w:rPr>
          <w:smallCaps/>
        </w:rPr>
        <w:t>Bernanke</w:t>
      </w:r>
      <w:proofErr w:type="spellEnd"/>
      <w:r w:rsidRPr="001E0101">
        <w:t xml:space="preserve"> y </w:t>
      </w:r>
      <w:r w:rsidRPr="00D07336">
        <w:rPr>
          <w:smallCaps/>
        </w:rPr>
        <w:t>Gertler</w:t>
      </w:r>
      <w:r w:rsidRPr="001E0101">
        <w:t>).</w:t>
      </w:r>
    </w:p>
    <w:p w14:paraId="65D0FA35" w14:textId="2DF6B929" w:rsidR="00830096" w:rsidRPr="00C904BD" w:rsidRDefault="00830096" w:rsidP="00830096">
      <w:pPr>
        <w:pStyle w:val="Nivel1SM"/>
      </w:pPr>
      <w:r w:rsidRPr="00C904BD">
        <w:t xml:space="preserve">Las rigideces del </w:t>
      </w:r>
      <w:r w:rsidR="00D07336">
        <w:t>salario</w:t>
      </w:r>
      <w:r w:rsidRPr="00C904BD">
        <w:t xml:space="preserve"> y del ti</w:t>
      </w:r>
      <w:r w:rsidR="00D07336">
        <w:t>po de interés</w:t>
      </w:r>
      <w:r w:rsidRPr="00C904BD">
        <w:t xml:space="preserve"> en el mercado de trabajo y en el mercado de crédito hacen que los ajustes se produzcan fundamentalmente vía cantidades, y lo mismo ocurre en el mercado de bienes, de forma que los ciclos no son óptimos.</w:t>
      </w:r>
    </w:p>
    <w:p w14:paraId="1D1BB586" w14:textId="7A666172" w:rsidR="00830096" w:rsidRPr="00C904BD" w:rsidRDefault="00830096" w:rsidP="00830096">
      <w:pPr>
        <w:pStyle w:val="Nivel1SM"/>
      </w:pPr>
      <w:r w:rsidRPr="00C904BD">
        <w:t>Además, a l</w:t>
      </w:r>
      <w:r w:rsidR="00D07336">
        <w:t xml:space="preserve">argo </w:t>
      </w:r>
      <w:r w:rsidRPr="00C904BD">
        <w:t>p</w:t>
      </w:r>
      <w:r w:rsidR="00D07336">
        <w:t>lazo</w:t>
      </w:r>
      <w:r w:rsidRPr="00C904BD">
        <w:t xml:space="preserve"> se puede producir una caída del crecimiento potencial por la histéresis en el mercado de L, que da lugar a un aumento de la NAIRU, tal y como muestran autores como </w:t>
      </w:r>
      <w:proofErr w:type="spellStart"/>
      <w:r w:rsidRPr="00D07336">
        <w:rPr>
          <w:smallCaps/>
        </w:rPr>
        <w:t>Pissarides</w:t>
      </w:r>
      <w:proofErr w:type="spellEnd"/>
      <w:r w:rsidRPr="00C904BD">
        <w:t xml:space="preserve"> o los propios </w:t>
      </w:r>
      <w:r w:rsidRPr="00D07336">
        <w:rPr>
          <w:smallCaps/>
        </w:rPr>
        <w:t>Lindbeck</w:t>
      </w:r>
      <w:r w:rsidRPr="00C904BD">
        <w:t xml:space="preserve"> y </w:t>
      </w:r>
      <w:proofErr w:type="spellStart"/>
      <w:r w:rsidRPr="00D07336">
        <w:rPr>
          <w:smallCaps/>
        </w:rPr>
        <w:t>Snower</w:t>
      </w:r>
      <w:proofErr w:type="spellEnd"/>
      <w:r w:rsidRPr="00C904BD">
        <w:t>.</w:t>
      </w:r>
    </w:p>
    <w:p w14:paraId="3BE9F7A4" w14:textId="1401B740" w:rsidR="00C97A39" w:rsidRDefault="00830096" w:rsidP="00C97A39">
      <w:pPr>
        <w:pStyle w:val="Nivel1SM"/>
      </w:pPr>
      <w:r w:rsidRPr="00C904BD">
        <w:t xml:space="preserve">Como consecuencia de todo ello los autores de la NEK abogan mayoritariamente por la intervención del </w:t>
      </w:r>
      <w:r w:rsidR="007C1762">
        <w:t>sector público</w:t>
      </w:r>
      <w:r w:rsidRPr="00C904BD">
        <w:t xml:space="preserve"> para suavizar el ciclo económico.</w:t>
      </w:r>
    </w:p>
    <w:p w14:paraId="48924027" w14:textId="48265D73" w:rsidR="00C97A39" w:rsidRDefault="00C97A39" w:rsidP="00C97A39">
      <w:pPr>
        <w:pStyle w:val="Nivel1SM"/>
        <w:keepNext/>
        <w:spacing w:before="0" w:after="0"/>
      </w:pPr>
      <w:r>
        <w:lastRenderedPageBreak/>
        <w:t>La labor estabilizadora del sector público se puede llevar a cabo de forma:</w:t>
      </w:r>
    </w:p>
    <w:p w14:paraId="5EE4AA07" w14:textId="77777777" w:rsidR="001B6169" w:rsidRDefault="001B6169" w:rsidP="001B6169">
      <w:pPr>
        <w:pStyle w:val="Prrafodelista"/>
        <w:keepNext/>
        <w:numPr>
          <w:ilvl w:val="0"/>
          <w:numId w:val="65"/>
        </w:numPr>
        <w:spacing w:after="0"/>
        <w:ind w:left="567" w:hanging="113"/>
      </w:pPr>
      <w:r>
        <w:rPr>
          <w:i/>
          <w:iCs/>
          <w:u w:val="single"/>
        </w:rPr>
        <w:t>Automática</w:t>
      </w:r>
      <w:r>
        <w:t xml:space="preserve">: Es decir, a través de la actuación de los estabilizadores automáticos, que son aquellos instrumentos fiscales de gastos o de ingresos que reaccionan de forma automática y </w:t>
      </w:r>
      <w:proofErr w:type="spellStart"/>
      <w:r>
        <w:t>contracíclica</w:t>
      </w:r>
      <w:proofErr w:type="spellEnd"/>
      <w:r>
        <w:t xml:space="preserve"> sin precisar de actuaciones concretas de las autoridades.</w:t>
      </w:r>
    </w:p>
    <w:p w14:paraId="2DB3ED83" w14:textId="752C2403" w:rsidR="00C97A39" w:rsidRDefault="00C97A39" w:rsidP="001B6169">
      <w:pPr>
        <w:pStyle w:val="Prrafodelista"/>
        <w:keepNext/>
        <w:numPr>
          <w:ilvl w:val="0"/>
          <w:numId w:val="65"/>
        </w:numPr>
        <w:spacing w:after="0"/>
        <w:ind w:left="567" w:hanging="113"/>
      </w:pPr>
      <w:r>
        <w:rPr>
          <w:i/>
          <w:iCs/>
          <w:u w:val="single"/>
        </w:rPr>
        <w:t>Discrecional</w:t>
      </w:r>
      <w:r>
        <w:t>: Es decir, a través de una actuación especifica de las autoridades sobre los ingresos y los gastos públicos.</w:t>
      </w:r>
    </w:p>
    <w:p w14:paraId="1C1F4245" w14:textId="25F63216" w:rsidR="00C97A39" w:rsidRPr="00C97A39" w:rsidRDefault="00C97A39" w:rsidP="00C97A39">
      <w:pPr>
        <w:pStyle w:val="Nivel3SM"/>
        <w:rPr>
          <w:spacing w:val="-4"/>
        </w:rPr>
      </w:pPr>
      <w:r w:rsidRPr="00C97A39">
        <w:rPr>
          <w:spacing w:val="-4"/>
        </w:rPr>
        <w:t>En las 2 siguientes secciones abordaremos la capacidad estabilizadora de estos 2 mecanismos.</w:t>
      </w:r>
    </w:p>
    <w:p w14:paraId="6C57924A" w14:textId="10D62529" w:rsidR="001B6169" w:rsidRPr="002536A4" w:rsidRDefault="00B52D7E" w:rsidP="001B6169">
      <w:pPr>
        <w:pStyle w:val="Ttulo1"/>
      </w:pPr>
      <w:bookmarkStart w:id="4" w:name="_Toc151221214"/>
      <w:r w:rsidRPr="00B52D7E">
        <w:rPr>
          <w:spacing w:val="-6"/>
        </w:rPr>
        <w:t>PRESUPUESTO COMO ELEMENTO COMPENSADOR DE LA ACTIVIDAD ECONÓMICA</w:t>
      </w:r>
      <w:r w:rsidR="001B6169" w:rsidRPr="00B52D7E">
        <w:rPr>
          <w:spacing w:val="-6"/>
        </w:rPr>
        <w:t xml:space="preserve"> (I):</w:t>
      </w:r>
      <w:r w:rsidR="001B6169">
        <w:br/>
        <w:t>Los estabilizadores automáticos</w:t>
      </w:r>
      <w:bookmarkEnd w:id="4"/>
    </w:p>
    <w:p w14:paraId="1EA90982" w14:textId="77777777" w:rsidR="001B6169" w:rsidRDefault="001B6169" w:rsidP="001B6169">
      <w:pPr>
        <w:pStyle w:val="Ttulo2"/>
      </w:pPr>
      <w:bookmarkStart w:id="5" w:name="_Toc151221215"/>
      <w:r w:rsidRPr="00954396">
        <w:t>Definición</w:t>
      </w:r>
      <w:bookmarkEnd w:id="5"/>
    </w:p>
    <w:p w14:paraId="55DE8037" w14:textId="42EFE9F3" w:rsidR="001B6169" w:rsidRPr="002536A4" w:rsidRDefault="001B6169" w:rsidP="00E77DE5">
      <w:pPr>
        <w:pStyle w:val="Nivel1SM"/>
        <w:spacing w:before="0"/>
      </w:pPr>
      <w:r w:rsidRPr="00E77DE5">
        <w:rPr>
          <w:i/>
          <w:iCs/>
        </w:rPr>
        <w:t>Partidas presupuestarias</w:t>
      </w:r>
      <w:r>
        <w:t xml:space="preserve"> (por el lado de los ingresos y el de los gastos) </w:t>
      </w:r>
      <w:r w:rsidRPr="00E77DE5">
        <w:rPr>
          <w:i/>
          <w:iCs/>
        </w:rPr>
        <w:t xml:space="preserve">que </w:t>
      </w:r>
      <w:r w:rsidRPr="00E77DE5">
        <w:rPr>
          <w:i/>
          <w:iCs/>
          <w:u w:val="single"/>
        </w:rPr>
        <w:t>reaccionan de forma automática ante variaciones de la renta nacional (PIB)</w:t>
      </w:r>
      <w:r>
        <w:t>, favoreciendo la estabilización de la actividad económica</w:t>
      </w:r>
      <w:r w:rsidR="009A4893">
        <w:rPr>
          <w:rStyle w:val="Refdenotaalpie"/>
        </w:rPr>
        <w:footnoteReference w:id="11"/>
      </w:r>
      <w:r>
        <w:t>.</w:t>
      </w:r>
    </w:p>
    <w:p w14:paraId="535DE698" w14:textId="6EB714A6" w:rsidR="0084399B" w:rsidRDefault="0084399B" w:rsidP="001B6169">
      <w:pPr>
        <w:pStyle w:val="Ttulo2"/>
      </w:pPr>
      <w:bookmarkStart w:id="6" w:name="_Toc151221216"/>
      <w:r>
        <w:t>Funcionamiento</w:t>
      </w:r>
      <w:bookmarkEnd w:id="6"/>
    </w:p>
    <w:p w14:paraId="53E99C77" w14:textId="570419C8" w:rsidR="001B6169" w:rsidRDefault="001B6169" w:rsidP="0084399B">
      <w:pPr>
        <w:pStyle w:val="Ttulo3"/>
        <w:spacing w:before="0"/>
      </w:pPr>
      <w:bookmarkStart w:id="7" w:name="_Toc151221217"/>
      <w:r w:rsidRPr="00954396">
        <w:t>Principales estabilizadores por el lado de los ingresos</w:t>
      </w:r>
      <w:bookmarkEnd w:id="7"/>
    </w:p>
    <w:p w14:paraId="44245CF1" w14:textId="77777777" w:rsidR="001B6169" w:rsidRPr="002536A4" w:rsidRDefault="001B6169" w:rsidP="001B6169">
      <w:pPr>
        <w:pStyle w:val="Ttulo6"/>
        <w:spacing w:before="0"/>
      </w:pPr>
      <w:bookmarkStart w:id="8" w:name="_Toc151221218"/>
      <w:r>
        <w:t>Aspectos generales</w:t>
      </w:r>
      <w:bookmarkEnd w:id="8"/>
    </w:p>
    <w:p w14:paraId="420E6FFA" w14:textId="77777777" w:rsidR="001B6169" w:rsidRDefault="001B6169" w:rsidP="00E77DE5">
      <w:pPr>
        <w:pStyle w:val="Nivel1SM"/>
        <w:keepNext/>
        <w:spacing w:before="0" w:after="0"/>
      </w:pPr>
      <w:r>
        <w:t>Se trata de aquellos impuestos cuya recaudación aumenta con la actividad económica, y viceversa.</w:t>
      </w:r>
    </w:p>
    <w:p w14:paraId="75B783F4" w14:textId="77777777" w:rsidR="00E77DE5" w:rsidRDefault="00993AFC" w:rsidP="00E77DE5">
      <w:pPr>
        <w:pStyle w:val="Nivel2SM"/>
        <w:keepNext/>
        <w:spacing w:after="0"/>
      </w:pPr>
      <w:r w:rsidRPr="00752EAA">
        <w:rPr>
          <w:i/>
          <w:iCs/>
        </w:rPr>
        <w:t>NOTA</w:t>
      </w:r>
      <w:r>
        <w:t>:</w:t>
      </w:r>
    </w:p>
    <w:p w14:paraId="54313F53" w14:textId="32C61F9C" w:rsidR="00FC64D3" w:rsidRDefault="001B6169" w:rsidP="00E77DE5">
      <w:pPr>
        <w:pStyle w:val="Nivel3SM"/>
      </w:pPr>
      <w:r>
        <w:t>A pesar de que analizaremos el efecto estabilizador de los ingresos y los gastos con respecto al PIB, e</w:t>
      </w:r>
      <w:r w:rsidRPr="00C30B98">
        <w:t>n puridad, cuando hablamos de “estabilización” nos referimos al ciclo, que se define conforme al output gap y no conforme a la variación del PIB.</w:t>
      </w:r>
      <w:r w:rsidR="00FC64D3">
        <w:t xml:space="preserve"> </w:t>
      </w:r>
      <w:r w:rsidRPr="00C30B98">
        <w:t>Por lo tanto, un impuesto constituirá un estabilizador automático si su recaudación disminuye cuando aumenta el output gap (i.e. cuando el ciclo se separa hacia abajo de su tendencia)</w:t>
      </w:r>
      <w:r w:rsidR="00FC64D3">
        <w:t>.</w:t>
      </w:r>
    </w:p>
    <w:p w14:paraId="4C52E805" w14:textId="433B4776" w:rsidR="001B6169" w:rsidRDefault="00FC64D3" w:rsidP="00E77DE5">
      <w:pPr>
        <w:pStyle w:val="Nivel3SM"/>
      </w:pPr>
      <w:r>
        <w:t>Así</w:t>
      </w:r>
      <w:r w:rsidR="001B6169" w:rsidRPr="00C30B98">
        <w:t xml:space="preserve">, para ser técnicamente correctos, la elasticidad de la recaudación se debería calcular respecto al output gap, no respecto al PIB (de hecho, esto es lo que hacen </w:t>
      </w:r>
      <w:r w:rsidR="001B6169">
        <w:t>OOII</w:t>
      </w:r>
      <w:r w:rsidR="001B6169" w:rsidRPr="00C30B98">
        <w:t xml:space="preserve"> –y España, como veremos al final–).</w:t>
      </w:r>
    </w:p>
    <w:p w14:paraId="4CAE1249" w14:textId="77777777" w:rsidR="00AC7346" w:rsidRDefault="00AC7346" w:rsidP="00AC7346">
      <w:pPr>
        <w:pStyle w:val="Nivel2SM"/>
      </w:pPr>
      <w:r>
        <w:t>Un buen funcionamiento de los estabilizadores automáticos por el lado de los ingresos implica una variación procíclica de los mismos.</w:t>
      </w:r>
    </w:p>
    <w:p w14:paraId="0B710788" w14:textId="23E81BEB" w:rsidR="00191B2D" w:rsidRDefault="00191B2D" w:rsidP="00E77DE5">
      <w:pPr>
        <w:pStyle w:val="Nivel1SM"/>
        <w:keepNext/>
        <w:spacing w:after="0"/>
      </w:pPr>
      <w:r>
        <w:t xml:space="preserve">Los </w:t>
      </w:r>
      <w:r w:rsidRPr="00191B2D">
        <w:rPr>
          <w:b/>
          <w:bCs/>
        </w:rPr>
        <w:t>principales estabilizadores automáticos por el lado de los ingresos</w:t>
      </w:r>
      <w:r>
        <w:t xml:space="preserve"> son los </w:t>
      </w:r>
      <w:r w:rsidRPr="00191B2D">
        <w:rPr>
          <w:i/>
          <w:iCs/>
        </w:rPr>
        <w:t>impuestos directos, indirectos y las cotizaciones sociales</w:t>
      </w:r>
      <w:r>
        <w:t>.</w:t>
      </w:r>
    </w:p>
    <w:p w14:paraId="091A1BC4" w14:textId="6A8E5C2A" w:rsidR="00D7370A" w:rsidRPr="002536A4" w:rsidRDefault="00D7370A" w:rsidP="00E77DE5">
      <w:pPr>
        <w:pStyle w:val="Nivel2SM"/>
      </w:pPr>
      <w:r>
        <w:t>Estos componentes están claramente vinculados con la actividad económica, debido a que las bases que se gravan (renta, cantidades consumidas y retribución salarial de los trabajadores que cotizan a la seguridad social) dependen de los niveles de producción, consumo y empleo de la economía. Por esta razón, su dependencia respecto a la posición cíclica es notable.</w:t>
      </w:r>
    </w:p>
    <w:p w14:paraId="0ABF50DE" w14:textId="0DB2DE26" w:rsidR="001B6169" w:rsidRPr="002536A4" w:rsidRDefault="00752EAA" w:rsidP="001B6169">
      <w:pPr>
        <w:pStyle w:val="Ttulo6"/>
      </w:pPr>
      <w:bookmarkStart w:id="9" w:name="_Toc151221219"/>
      <w:r>
        <w:lastRenderedPageBreak/>
        <w:t>Medición del efecto a través de la elasticidad-renta de la recaudación impositiva</w:t>
      </w:r>
      <w:bookmarkEnd w:id="9"/>
    </w:p>
    <w:p w14:paraId="688E16F5" w14:textId="77777777" w:rsidR="001B6169" w:rsidRDefault="001B6169" w:rsidP="001B6169">
      <w:pPr>
        <w:pStyle w:val="Nivel1SM"/>
        <w:keepNext/>
        <w:spacing w:before="0" w:after="0"/>
      </w:pPr>
      <w:r>
        <w:t xml:space="preserve">El </w:t>
      </w:r>
      <w:r w:rsidRPr="00FA112D">
        <w:rPr>
          <w:b/>
          <w:bCs/>
        </w:rPr>
        <w:t>efecto estabilizador</w:t>
      </w:r>
      <w:r>
        <w:t xml:space="preserve"> puede medirse a través de la </w:t>
      </w:r>
      <w:r w:rsidRPr="00FA112D">
        <w:rPr>
          <w:b/>
          <w:bCs/>
        </w:rPr>
        <w:t>elasticidad-renta de la recaudación impositiva</w:t>
      </w:r>
      <w:r>
        <w:t>, que a su vez puede expresarse como:</w:t>
      </w:r>
    </w:p>
    <w:p w14:paraId="2E13ABB1" w14:textId="22D157F9" w:rsidR="001B6169" w:rsidRPr="00FA112D" w:rsidRDefault="00000000" w:rsidP="001B6169">
      <w:pPr>
        <w:keepNext/>
        <w:spacing w:after="0"/>
        <w:jc w:val="center"/>
        <w:rPr>
          <w:lang w:val="fr-FR"/>
        </w:rPr>
      </w:pPr>
      <m:oMathPara>
        <m:oMath>
          <m:borderBox>
            <m:borderBoxPr>
              <m:ctrlPr>
                <w:rPr>
                  <w:rFonts w:ascii="Cambria Math" w:hAnsi="Cambria Math"/>
                  <w:i/>
                </w:rPr>
              </m:ctrlPr>
            </m:borderBoxPr>
            <m:e>
              <m:sSub>
                <m:sSubPr>
                  <m:ctrlPr>
                    <w:rPr>
                      <w:rFonts w:ascii="Cambria Math" w:hAnsi="Cambria Math"/>
                      <w:i/>
                    </w:rPr>
                  </m:ctrlPr>
                </m:sSubPr>
                <m:e>
                  <m:r>
                    <m:rPr>
                      <m:nor/>
                    </m:rPr>
                    <w:rPr>
                      <w:i/>
                    </w:rPr>
                    <m:t>ε</m:t>
                  </m:r>
                </m:e>
                <m:sub>
                  <m:r>
                    <m:rPr>
                      <m:nor/>
                    </m:rPr>
                    <w:rPr>
                      <w:i/>
                      <w:lang w:val="fr-FR"/>
                    </w:rPr>
                    <m:t>T,Y</m:t>
                  </m:r>
                </m:sub>
              </m:sSub>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T,BI</m:t>
                  </m:r>
                </m:sub>
              </m:sSub>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BI,Y</m:t>
                  </m:r>
                </m:sub>
              </m:sSub>
            </m:e>
          </m:borderBox>
        </m:oMath>
      </m:oMathPara>
    </w:p>
    <w:p w14:paraId="43AE745A" w14:textId="77777777" w:rsidR="001B6169" w:rsidRDefault="001B6169" w:rsidP="001B6169">
      <w:pPr>
        <w:pStyle w:val="Prrafodelista"/>
        <w:keepNext/>
        <w:numPr>
          <w:ilvl w:val="0"/>
          <w:numId w:val="67"/>
        </w:numPr>
        <w:spacing w:after="0"/>
        <w:ind w:left="568" w:hanging="284"/>
      </w:pPr>
      <w:r>
        <w:t xml:space="preserve">El primer </w:t>
      </w:r>
      <w:r w:rsidRPr="00FA112D">
        <w:t>componente</w:t>
      </w:r>
      <w:r>
        <w:t xml:space="preserve"> representa la </w:t>
      </w:r>
      <w:r w:rsidRPr="00FE47B1">
        <w:rPr>
          <w:b/>
          <w:bCs/>
        </w:rPr>
        <w:t>progresividad de los impuestos</w:t>
      </w:r>
      <w:r>
        <w:t xml:space="preserve">. </w:t>
      </w:r>
      <w:r w:rsidRPr="00FA112D">
        <w:t>Un impuesto es progresivo si el tipo es creciente con la renta, y regresivo si lo contrario.</w:t>
      </w:r>
    </w:p>
    <w:p w14:paraId="16B26C60" w14:textId="77777777" w:rsidR="001B6169" w:rsidRPr="00542D97" w:rsidRDefault="00000000" w:rsidP="001B6169">
      <w:pPr>
        <w:keepNext/>
        <w:spacing w:after="0"/>
        <w:ind w:left="1440"/>
        <w:jc w:val="center"/>
        <w:rPr>
          <w:lang w:val="fr-FR"/>
        </w:rPr>
      </w:pPr>
      <m:oMathPara>
        <m:oMath>
          <m:sSub>
            <m:sSubPr>
              <m:ctrlPr>
                <w:rPr>
                  <w:rFonts w:ascii="Cambria Math" w:hAnsi="Cambria Math"/>
                  <w:i/>
                </w:rPr>
              </m:ctrlPr>
            </m:sSubPr>
            <m:e>
              <m:r>
                <m:rPr>
                  <m:nor/>
                </m:rPr>
                <w:rPr>
                  <w:i/>
                </w:rPr>
                <m:t>ε</m:t>
              </m:r>
            </m:e>
            <m:sub>
              <m:r>
                <m:rPr>
                  <m:nor/>
                </m:rPr>
                <w:rPr>
                  <w:i/>
                  <w:lang w:val="fr-FR"/>
                </w:rPr>
                <m:t>T,BI</m:t>
              </m:r>
            </m:sub>
          </m:sSub>
          <m:r>
            <w:rPr>
              <w:rFonts w:ascii="Cambria Math" w:hAnsi="Cambria Math"/>
              <w:lang w:val="fr-FR"/>
            </w:rPr>
            <m:t>=</m:t>
          </m:r>
          <m:f>
            <m:fPr>
              <m:ctrlPr>
                <w:rPr>
                  <w:rFonts w:ascii="Cambria Math" w:hAnsi="Cambria Math"/>
                  <w:i/>
                  <w:lang w:val="fr-FR"/>
                </w:rPr>
              </m:ctrlPr>
            </m:fPr>
            <m:num>
              <m:r>
                <w:rPr>
                  <w:rFonts w:ascii="Cambria Math" w:hAnsi="Cambria Math"/>
                  <w:lang w:val="fr-FR"/>
                </w:rPr>
                <m:t>∆</m:t>
              </m:r>
              <m:r>
                <m:rPr>
                  <m:nor/>
                </m:rPr>
                <w:rPr>
                  <w:i/>
                  <w:lang w:val="fr-FR"/>
                </w:rPr>
                <m:t>T</m:t>
              </m:r>
            </m:num>
            <m:den>
              <m:r>
                <w:rPr>
                  <w:rFonts w:ascii="Cambria Math" w:hAnsi="Cambria Math"/>
                  <w:lang w:val="fr-FR"/>
                </w:rPr>
                <m:t>∆</m:t>
              </m:r>
              <m:r>
                <m:rPr>
                  <m:nor/>
                </m:rPr>
                <w:rPr>
                  <w:i/>
                  <w:lang w:val="fr-FR"/>
                </w:rPr>
                <m:t>BI</m:t>
              </m:r>
            </m:den>
          </m:f>
          <m:r>
            <w:rPr>
              <w:rFonts w:ascii="Cambria Math" w:hAnsi="Cambria Math"/>
              <w:lang w:val="fr-FR"/>
            </w:rPr>
            <m:t>∙</m:t>
          </m:r>
          <m:f>
            <m:fPr>
              <m:ctrlPr>
                <w:rPr>
                  <w:rFonts w:ascii="Cambria Math" w:hAnsi="Cambria Math"/>
                  <w:i/>
                  <w:lang w:val="fr-FR"/>
                </w:rPr>
              </m:ctrlPr>
            </m:fPr>
            <m:num>
              <m:r>
                <m:rPr>
                  <m:nor/>
                </m:rPr>
                <w:rPr>
                  <w:i/>
                  <w:lang w:val="fr-FR"/>
                </w:rPr>
                <m:t>BI</m:t>
              </m:r>
            </m:num>
            <m:den>
              <m:r>
                <m:rPr>
                  <m:nor/>
                </m:rPr>
                <w:rPr>
                  <w:i/>
                  <w:lang w:val="fr-FR"/>
                </w:rPr>
                <m:t>T</m:t>
              </m:r>
            </m:den>
          </m:f>
          <m:r>
            <w:rPr>
              <w:rFonts w:ascii="Cambria Math" w:hAnsi="Cambria Math"/>
              <w:lang w:val="fr-FR"/>
            </w:rPr>
            <m:t>=</m:t>
          </m:r>
          <m:f>
            <m:fPr>
              <m:ctrlPr>
                <w:rPr>
                  <w:rFonts w:ascii="Cambria Math" w:hAnsi="Cambria Math"/>
                  <w:i/>
                </w:rPr>
              </m:ctrlPr>
            </m:fPr>
            <m:num>
              <m:f>
                <m:fPr>
                  <m:type m:val="lin"/>
                  <m:ctrlPr>
                    <w:rPr>
                      <w:rFonts w:ascii="Cambria Math" w:hAnsi="Cambria Math"/>
                      <w:i/>
                    </w:rPr>
                  </m:ctrlPr>
                </m:fPr>
                <m:num>
                  <m:r>
                    <w:rPr>
                      <w:rFonts w:ascii="Cambria Math" w:hAnsi="Cambria Math"/>
                      <w:lang w:val="fr-FR"/>
                    </w:rPr>
                    <m:t>∆</m:t>
                  </m:r>
                  <m:r>
                    <m:rPr>
                      <m:nor/>
                    </m:rPr>
                    <w:rPr>
                      <w:i/>
                      <w:lang w:val="fr-FR"/>
                    </w:rPr>
                    <m:t>T</m:t>
                  </m:r>
                </m:num>
                <m:den>
                  <m:r>
                    <m:rPr>
                      <m:nor/>
                    </m:rPr>
                    <w:rPr>
                      <w:i/>
                      <w:lang w:val="fr-FR"/>
                    </w:rPr>
                    <m:t>T</m:t>
                  </m:r>
                </m:den>
              </m:f>
            </m:num>
            <m:den>
              <m:f>
                <m:fPr>
                  <m:type m:val="lin"/>
                  <m:ctrlPr>
                    <w:rPr>
                      <w:rFonts w:ascii="Cambria Math" w:hAnsi="Cambria Math"/>
                      <w:i/>
                    </w:rPr>
                  </m:ctrlPr>
                </m:fPr>
                <m:num>
                  <m:r>
                    <w:rPr>
                      <w:rFonts w:ascii="Cambria Math" w:hAnsi="Cambria Math"/>
                      <w:lang w:val="fr-FR"/>
                    </w:rPr>
                    <m:t>∆</m:t>
                  </m:r>
                  <m:r>
                    <m:rPr>
                      <m:nor/>
                    </m:rPr>
                    <w:rPr>
                      <w:i/>
                      <w:lang w:val="fr-FR"/>
                    </w:rPr>
                    <m:t>BI</m:t>
                  </m:r>
                </m:num>
                <m:den>
                  <m:r>
                    <m:rPr>
                      <m:nor/>
                    </m:rPr>
                    <w:rPr>
                      <w:i/>
                      <w:lang w:val="fr-FR"/>
                    </w:rPr>
                    <m:t>BI</m:t>
                  </m:r>
                </m:den>
              </m:f>
            </m:den>
          </m:f>
          <m:r>
            <w:rPr>
              <w:rFonts w:ascii="Cambria Math" w:hAnsi="Cambria Math"/>
              <w:lang w:val="fr-FR"/>
            </w:rPr>
            <m:t>=</m:t>
          </m:r>
          <m:f>
            <m:fPr>
              <m:ctrlPr>
                <w:rPr>
                  <w:rFonts w:ascii="Cambria Math" w:hAnsi="Cambria Math"/>
                  <w:i/>
                </w:rPr>
              </m:ctrlPr>
            </m:fPr>
            <m:num>
              <m:limUpp>
                <m:limUppPr>
                  <m:ctrlPr>
                    <w:rPr>
                      <w:rFonts w:ascii="Cambria Math" w:hAnsi="Cambria Math"/>
                      <w:i/>
                    </w:rPr>
                  </m:ctrlPr>
                </m:limUppPr>
                <m:e>
                  <m:groupChr>
                    <m:groupChrPr>
                      <m:chr m:val="⏞"/>
                      <m:pos m:val="top"/>
                      <m:vertJc m:val="bot"/>
                      <m:ctrlPr>
                        <w:rPr>
                          <w:rFonts w:ascii="Cambria Math" w:hAnsi="Cambria Math"/>
                          <w:i/>
                        </w:rPr>
                      </m:ctrlPr>
                    </m:groupChrPr>
                    <m:e>
                      <m:f>
                        <m:fPr>
                          <m:type m:val="lin"/>
                          <m:ctrlPr>
                            <w:rPr>
                              <w:rFonts w:ascii="Cambria Math" w:hAnsi="Cambria Math"/>
                              <w:i/>
                            </w:rPr>
                          </m:ctrlPr>
                        </m:fPr>
                        <m:num>
                          <m:r>
                            <w:rPr>
                              <w:rFonts w:ascii="Cambria Math" w:hAnsi="Cambria Math"/>
                              <w:lang w:val="fr-FR"/>
                            </w:rPr>
                            <m:t>∆</m:t>
                          </m:r>
                          <m:r>
                            <m:rPr>
                              <m:nor/>
                            </m:rPr>
                            <w:rPr>
                              <w:i/>
                              <w:lang w:val="fr-FR"/>
                            </w:rPr>
                            <m:t>T</m:t>
                          </m:r>
                        </m:num>
                        <m:den>
                          <m:r>
                            <w:rPr>
                              <w:rFonts w:ascii="Cambria Math" w:hAnsi="Cambria Math"/>
                              <w:lang w:val="fr-FR"/>
                            </w:rPr>
                            <m:t>∆</m:t>
                          </m:r>
                          <m:r>
                            <m:rPr>
                              <m:nor/>
                            </m:rPr>
                            <w:rPr>
                              <w:i/>
                              <w:lang w:val="fr-FR"/>
                            </w:rPr>
                            <m:t>BI</m:t>
                          </m:r>
                        </m:den>
                      </m:f>
                    </m:e>
                  </m:groupChr>
                </m:e>
                <m:lim>
                  <m:sSub>
                    <m:sSubPr>
                      <m:ctrlPr>
                        <w:rPr>
                          <w:rFonts w:ascii="Cambria Math" w:hAnsi="Cambria Math"/>
                          <w:i/>
                        </w:rPr>
                      </m:ctrlPr>
                    </m:sSubPr>
                    <m:e>
                      <m:r>
                        <m:rPr>
                          <m:nor/>
                        </m:rPr>
                        <w:rPr>
                          <w:i/>
                          <w:lang w:val="fr-FR"/>
                        </w:rPr>
                        <m:t>t</m:t>
                      </m:r>
                    </m:e>
                    <m:sub>
                      <m:r>
                        <m:rPr>
                          <m:nor/>
                        </m:rPr>
                        <w:rPr>
                          <w:i/>
                          <w:lang w:val="fr-FR"/>
                        </w:rPr>
                        <m:t>mg</m:t>
                      </m:r>
                    </m:sub>
                  </m:sSub>
                </m:lim>
              </m:limUpp>
            </m:num>
            <m:den>
              <m:limLow>
                <m:limLowPr>
                  <m:ctrlPr>
                    <w:rPr>
                      <w:rFonts w:ascii="Cambria Math" w:hAnsi="Cambria Math"/>
                      <w:i/>
                    </w:rPr>
                  </m:ctrlPr>
                </m:limLowPr>
                <m:e>
                  <m:groupChr>
                    <m:groupChrPr>
                      <m:ctrlPr>
                        <w:rPr>
                          <w:rFonts w:ascii="Cambria Math" w:hAnsi="Cambria Math"/>
                          <w:i/>
                        </w:rPr>
                      </m:ctrlPr>
                    </m:groupChrPr>
                    <m:e>
                      <m:f>
                        <m:fPr>
                          <m:type m:val="lin"/>
                          <m:ctrlPr>
                            <w:rPr>
                              <w:rFonts w:ascii="Cambria Math" w:hAnsi="Cambria Math"/>
                              <w:i/>
                            </w:rPr>
                          </m:ctrlPr>
                        </m:fPr>
                        <m:num>
                          <m:r>
                            <m:rPr>
                              <m:nor/>
                            </m:rPr>
                            <w:rPr>
                              <w:i/>
                              <w:lang w:val="fr-FR"/>
                            </w:rPr>
                            <m:t>T</m:t>
                          </m:r>
                        </m:num>
                        <m:den>
                          <m:r>
                            <m:rPr>
                              <m:nor/>
                            </m:rPr>
                            <w:rPr>
                              <w:i/>
                              <w:lang w:val="fr-FR"/>
                            </w:rPr>
                            <m:t>BI</m:t>
                          </m:r>
                        </m:den>
                      </m:f>
                    </m:e>
                  </m:groupChr>
                </m:e>
                <m:lim>
                  <m:sSub>
                    <m:sSubPr>
                      <m:ctrlPr>
                        <w:rPr>
                          <w:rFonts w:ascii="Cambria Math" w:hAnsi="Cambria Math"/>
                          <w:i/>
                        </w:rPr>
                      </m:ctrlPr>
                    </m:sSubPr>
                    <m:e>
                      <m:r>
                        <m:rPr>
                          <m:nor/>
                        </m:rPr>
                        <w:rPr>
                          <w:i/>
                          <w:lang w:val="fr-FR"/>
                        </w:rPr>
                        <m:t>t</m:t>
                      </m:r>
                    </m:e>
                    <m:sub>
                      <m:r>
                        <m:rPr>
                          <m:nor/>
                        </m:rPr>
                        <w:rPr>
                          <w:i/>
                          <w:lang w:val="fr-FR"/>
                        </w:rPr>
                        <m:t>me</m:t>
                      </m:r>
                    </m:sub>
                  </m:sSub>
                </m:lim>
              </m:limLow>
            </m:den>
          </m:f>
        </m:oMath>
      </m:oMathPara>
    </w:p>
    <w:p w14:paraId="55F463E2" w14:textId="58C00505" w:rsidR="001B6169" w:rsidRDefault="001B6169" w:rsidP="001B6169">
      <w:pPr>
        <w:pStyle w:val="Nivel3SM"/>
      </w:pPr>
      <w:r>
        <w:t>Muestra en qué porcentaje aumentan los impuestos al aumentar en 1</w:t>
      </w:r>
      <w:r w:rsidR="00A50667">
        <w:t> %</w:t>
      </w:r>
      <w:r>
        <w:t xml:space="preserve"> la base imponible.</w:t>
      </w:r>
    </w:p>
    <w:p w14:paraId="1BA8BA1C" w14:textId="77777777" w:rsidR="001B6169" w:rsidRDefault="001B6169" w:rsidP="001B6169">
      <w:pPr>
        <w:pStyle w:val="Nivel3SM"/>
        <w:keepNext/>
      </w:pPr>
      <w:r>
        <w:t>Podemos obtener diferentes resultados:</w:t>
      </w:r>
    </w:p>
    <w:p w14:paraId="32F871F4" w14:textId="77777777" w:rsidR="001B6169" w:rsidRDefault="001B6169" w:rsidP="001B6169">
      <w:pPr>
        <w:pStyle w:val="Nivel4"/>
        <w:ind w:left="1474"/>
      </w:pPr>
      <w:r w:rsidRPr="00FA112D">
        <w:rPr>
          <w:i/>
        </w:rPr>
        <w:t>Impuesto de suma fija</w:t>
      </w:r>
      <w:r>
        <w:t xml:space="preserve">: Aquel con </w:t>
      </w:r>
      <m:oMath>
        <m:sSub>
          <m:sSubPr>
            <m:ctrlPr>
              <w:rPr>
                <w:rFonts w:ascii="Cambria Math" w:hAnsi="Cambria Math"/>
                <w:i/>
                <w:iCs/>
              </w:rPr>
            </m:ctrlPr>
          </m:sSubPr>
          <m:e>
            <m:r>
              <m:rPr>
                <m:nor/>
              </m:rPr>
              <w:rPr>
                <w:i/>
                <w:iCs/>
              </w:rPr>
              <m:t>ε</m:t>
            </m:r>
          </m:e>
          <m:sub>
            <m:r>
              <m:rPr>
                <m:nor/>
              </m:rPr>
              <w:rPr>
                <w:i/>
                <w:iCs/>
              </w:rPr>
              <m:t>T,BI</m:t>
            </m:r>
          </m:sub>
        </m:sSub>
        <m:r>
          <m:rPr>
            <m:sty m:val="p"/>
          </m:rPr>
          <w:rPr>
            <w:rFonts w:ascii="Cambria Math" w:hAnsi="Cambria Math"/>
          </w:rPr>
          <m:t>=</m:t>
        </m:r>
        <m:r>
          <m:rPr>
            <m:nor/>
          </m:rPr>
          <w:rPr>
            <w:i/>
            <w:iCs/>
          </w:rPr>
          <m:t>0</m:t>
        </m:r>
      </m:oMath>
      <w:r>
        <w:t>.</w:t>
      </w:r>
    </w:p>
    <w:p w14:paraId="003876CF" w14:textId="77777777" w:rsidR="001B6169" w:rsidRDefault="001B6169" w:rsidP="001B6169">
      <w:pPr>
        <w:pStyle w:val="Nivel4"/>
        <w:keepNext/>
        <w:ind w:left="1474"/>
      </w:pPr>
      <w:r w:rsidRPr="00542D97">
        <w:rPr>
          <w:i/>
          <w:iCs/>
        </w:rPr>
        <w:t>Impuesto progresivo</w:t>
      </w:r>
      <w:r>
        <w:t xml:space="preserve">: Aquel con </w:t>
      </w:r>
      <m:oMath>
        <m:sSub>
          <m:sSubPr>
            <m:ctrlPr>
              <w:rPr>
                <w:rFonts w:ascii="Cambria Math" w:hAnsi="Cambria Math"/>
                <w:i/>
              </w:rPr>
            </m:ctrlPr>
          </m:sSubPr>
          <m:e>
            <m:r>
              <m:rPr>
                <m:nor/>
              </m:rPr>
              <w:rPr>
                <w:i/>
              </w:rPr>
              <m:t>ε</m:t>
            </m:r>
          </m:e>
          <m:sub>
            <m:r>
              <m:rPr>
                <m:nor/>
              </m:rPr>
              <w:rPr>
                <w:i/>
              </w:rPr>
              <m:t>T,BI</m:t>
            </m:r>
          </m:sub>
        </m:sSub>
        <m:r>
          <w:rPr>
            <w:rFonts w:ascii="Cambria Math" w:hAnsi="Cambria Math"/>
          </w:rPr>
          <m:t>&gt;</m:t>
        </m:r>
        <m:r>
          <m:rPr>
            <m:nor/>
          </m:rPr>
          <w:rPr>
            <w:i/>
          </w:rPr>
          <m:t>1</m:t>
        </m:r>
      </m:oMath>
      <w:r>
        <w:t>, es decir, con tipo medio creciente (tipo marginal &gt; tipo medio). Distinguimos entre progresividad media y progresividad marginal:</w:t>
      </w:r>
    </w:p>
    <w:p w14:paraId="11329C86" w14:textId="32481213" w:rsidR="001B6169" w:rsidRDefault="001B6169" w:rsidP="001B6169">
      <w:pPr>
        <w:pStyle w:val="Nivel5"/>
        <w:keepNext/>
        <w:ind w:left="1871"/>
      </w:pPr>
      <w:r w:rsidRPr="00512C3F">
        <w:rPr>
          <w:i/>
        </w:rPr>
        <w:t>Progresividad media</w:t>
      </w:r>
      <w:r>
        <w:t xml:space="preserve">: </w:t>
      </w:r>
      <w:r w:rsidR="00FC64D3">
        <w:t>A</w:t>
      </w:r>
      <w:r>
        <w:t xml:space="preserve">naliza cómo evoluciona el tipo </w:t>
      </w:r>
      <w:r w:rsidRPr="00512C3F">
        <w:rPr>
          <w:i/>
        </w:rPr>
        <w:t>medio</w:t>
      </w:r>
      <w:r>
        <w:t xml:space="preserve"> cuando varía la renta:</w:t>
      </w:r>
    </w:p>
    <w:p w14:paraId="5DAB726F" w14:textId="47F730E7" w:rsidR="001B6169" w:rsidRPr="00BB643B" w:rsidRDefault="00000000" w:rsidP="001B6169">
      <w:pPr>
        <w:pStyle w:val="Nivel4"/>
        <w:numPr>
          <w:ilvl w:val="0"/>
          <w:numId w:val="0"/>
        </w:numPr>
        <w:ind w:left="1871" w:hanging="170"/>
        <w:jc w:val="center"/>
      </w:pPr>
      <m:oMathPara>
        <m:oMath>
          <m:f>
            <m:fPr>
              <m:ctrlPr>
                <w:rPr>
                  <w:rFonts w:ascii="Cambria Math" w:hAnsi="Cambria Math"/>
                  <w:i/>
                </w:rPr>
              </m:ctrlPr>
            </m:fPr>
            <m:num>
              <m:r>
                <m:rPr>
                  <m:nor/>
                </m:rPr>
                <w:rPr>
                  <w:i/>
                </w:rPr>
                <m:t>∂</m:t>
              </m:r>
              <m:d>
                <m:dPr>
                  <m:ctrlPr>
                    <w:rPr>
                      <w:rFonts w:ascii="Cambria Math" w:hAnsi="Cambria Math"/>
                      <w:i/>
                    </w:rPr>
                  </m:ctrlPr>
                </m:dPr>
                <m:e>
                  <m:f>
                    <m:fPr>
                      <m:type m:val="lin"/>
                      <m:ctrlPr>
                        <w:rPr>
                          <w:rFonts w:ascii="Cambria Math" w:hAnsi="Cambria Math"/>
                          <w:i/>
                        </w:rPr>
                      </m:ctrlPr>
                    </m:fPr>
                    <m:num>
                      <m:r>
                        <m:rPr>
                          <m:nor/>
                        </m:rPr>
                        <w:rPr>
                          <w:i/>
                        </w:rPr>
                        <m:t>T</m:t>
                      </m:r>
                    </m:num>
                    <m:den>
                      <m:r>
                        <m:rPr>
                          <m:nor/>
                        </m:rPr>
                        <w:rPr>
                          <w:i/>
                        </w:rPr>
                        <m:t>Y</m:t>
                      </m:r>
                    </m:den>
                  </m:f>
                </m:e>
              </m:d>
            </m:num>
            <m:den>
              <m:r>
                <m:rPr>
                  <m:nor/>
                </m:rPr>
                <w:rPr>
                  <w:i/>
                </w:rPr>
                <m:t>∂Y</m:t>
              </m:r>
            </m:den>
          </m:f>
          <m:r>
            <w:rPr>
              <w:rFonts w:ascii="Cambria Math" w:hAnsi="Cambria Math"/>
            </w:rPr>
            <m:t>&gt;</m:t>
          </m:r>
          <m:r>
            <m:rPr>
              <m:nor/>
            </m:rPr>
            <w:rPr>
              <w:i/>
            </w:rPr>
            <m:t>0</m:t>
          </m:r>
        </m:oMath>
      </m:oMathPara>
    </w:p>
    <w:p w14:paraId="1551E58C" w14:textId="39BD5D0F" w:rsidR="001B6169" w:rsidRDefault="001B6169" w:rsidP="001B6169">
      <w:pPr>
        <w:pStyle w:val="Nivel5"/>
        <w:keepNext/>
        <w:ind w:left="1871"/>
      </w:pPr>
      <w:r w:rsidRPr="00512C3F">
        <w:rPr>
          <w:i/>
        </w:rPr>
        <w:t>Progresividad marginal</w:t>
      </w:r>
      <w:r>
        <w:t xml:space="preserve">: </w:t>
      </w:r>
      <w:r w:rsidR="00FC64D3">
        <w:t>A</w:t>
      </w:r>
      <w:r>
        <w:t xml:space="preserve">naliza cómo evoluciona el tipo </w:t>
      </w:r>
      <w:r w:rsidRPr="00512C3F">
        <w:rPr>
          <w:i/>
        </w:rPr>
        <w:t>marginal</w:t>
      </w:r>
      <w:r>
        <w:t xml:space="preserve"> cuando varía la renta.</w:t>
      </w:r>
    </w:p>
    <w:p w14:paraId="0752C082" w14:textId="22932216" w:rsidR="00FC64D3" w:rsidRPr="00BB643B" w:rsidRDefault="00000000" w:rsidP="00FC64D3">
      <w:pPr>
        <w:pStyle w:val="Nivel4"/>
        <w:numPr>
          <w:ilvl w:val="0"/>
          <w:numId w:val="0"/>
        </w:numPr>
        <w:ind w:left="1871" w:hanging="170"/>
        <w:jc w:val="center"/>
      </w:pPr>
      <m:oMathPara>
        <m:oMath>
          <m:f>
            <m:fPr>
              <m:ctrlPr>
                <w:rPr>
                  <w:rFonts w:ascii="Cambria Math" w:hAnsi="Cambria Math"/>
                  <w:i/>
                </w:rPr>
              </m:ctrlPr>
            </m:fPr>
            <m:num>
              <m:r>
                <m:rPr>
                  <m:nor/>
                </m:rPr>
                <w:rPr>
                  <w:i/>
                </w:rPr>
                <m:t>∂</m:t>
              </m:r>
              <m:d>
                <m:dPr>
                  <m:ctrlPr>
                    <w:rPr>
                      <w:rFonts w:ascii="Cambria Math" w:hAnsi="Cambria Math"/>
                      <w:i/>
                    </w:rPr>
                  </m:ctrlPr>
                </m:dPr>
                <m:e>
                  <m:f>
                    <m:fPr>
                      <m:type m:val="lin"/>
                      <m:ctrlPr>
                        <w:rPr>
                          <w:rFonts w:ascii="Cambria Math" w:hAnsi="Cambria Math"/>
                          <w:i/>
                        </w:rPr>
                      </m:ctrlPr>
                    </m:fPr>
                    <m:num>
                      <m:r>
                        <m:rPr>
                          <m:nor/>
                        </m:rPr>
                        <w:rPr>
                          <w:i/>
                        </w:rPr>
                        <m:t>∂T</m:t>
                      </m:r>
                    </m:num>
                    <m:den>
                      <m:r>
                        <m:rPr>
                          <m:nor/>
                        </m:rPr>
                        <w:rPr>
                          <w:i/>
                        </w:rPr>
                        <m:t>∂Y</m:t>
                      </m:r>
                    </m:den>
                  </m:f>
                </m:e>
              </m:d>
            </m:num>
            <m:den>
              <m:r>
                <m:rPr>
                  <m:nor/>
                </m:rPr>
                <w:rPr>
                  <w:i/>
                </w:rPr>
                <m:t>∂Y</m:t>
              </m:r>
            </m:den>
          </m:f>
          <m:r>
            <w:rPr>
              <w:rFonts w:ascii="Cambria Math" w:hAnsi="Cambria Math"/>
            </w:rPr>
            <m:t>=</m:t>
          </m:r>
          <m:f>
            <m:fPr>
              <m:ctrlPr>
                <w:rPr>
                  <w:rFonts w:ascii="Cambria Math" w:hAnsi="Cambria Math"/>
                  <w:i/>
                </w:rPr>
              </m:ctrlPr>
            </m:fPr>
            <m:num>
              <m:sSup>
                <m:sSupPr>
                  <m:ctrlPr>
                    <w:rPr>
                      <w:rFonts w:ascii="Cambria Math" w:hAnsi="Cambria Math"/>
                      <w:i/>
                    </w:rPr>
                  </m:ctrlPr>
                </m:sSupPr>
                <m:e>
                  <m:r>
                    <m:rPr>
                      <m:nor/>
                    </m:rPr>
                    <w:rPr>
                      <w:i/>
                    </w:rPr>
                    <m:t>∂</m:t>
                  </m:r>
                </m:e>
                <m:sup>
                  <m:r>
                    <m:rPr>
                      <m:nor/>
                    </m:rPr>
                    <w:rPr>
                      <w:i/>
                    </w:rPr>
                    <m:t>2</m:t>
                  </m:r>
                </m:sup>
              </m:sSup>
              <m:r>
                <m:rPr>
                  <m:nor/>
                </m:rPr>
                <w:rPr>
                  <w:i/>
                </w:rPr>
                <m:t>T</m:t>
              </m:r>
              <m:d>
                <m:dPr>
                  <m:ctrlPr>
                    <w:rPr>
                      <w:rFonts w:ascii="Cambria Math" w:hAnsi="Cambria Math"/>
                      <w:i/>
                    </w:rPr>
                  </m:ctrlPr>
                </m:dPr>
                <m:e>
                  <m:r>
                    <m:rPr>
                      <m:nor/>
                    </m:rPr>
                    <w:rPr>
                      <w:i/>
                    </w:rPr>
                    <m:t>Y</m:t>
                  </m:r>
                </m:e>
              </m:d>
            </m:num>
            <m:den>
              <m:r>
                <m:rPr>
                  <m:nor/>
                </m:rPr>
                <w:rPr>
                  <w:i/>
                </w:rPr>
                <m:t>∂</m:t>
              </m:r>
              <m:sSup>
                <m:sSupPr>
                  <m:ctrlPr>
                    <w:rPr>
                      <w:rFonts w:ascii="Cambria Math" w:hAnsi="Cambria Math"/>
                      <w:i/>
                    </w:rPr>
                  </m:ctrlPr>
                </m:sSupPr>
                <m:e>
                  <m:r>
                    <m:rPr>
                      <m:nor/>
                    </m:rPr>
                    <w:rPr>
                      <w:i/>
                    </w:rPr>
                    <m:t>Y</m:t>
                  </m:r>
                </m:e>
                <m:sup>
                  <m:r>
                    <m:rPr>
                      <m:nor/>
                    </m:rPr>
                    <w:rPr>
                      <w:i/>
                    </w:rPr>
                    <m:t>2</m:t>
                  </m:r>
                </m:sup>
              </m:sSup>
            </m:den>
          </m:f>
          <m:r>
            <w:rPr>
              <w:rFonts w:ascii="Cambria Math" w:hAnsi="Cambria Math"/>
            </w:rPr>
            <m:t>&gt;</m:t>
          </m:r>
          <m:r>
            <m:rPr>
              <m:nor/>
            </m:rPr>
            <w:rPr>
              <w:i/>
            </w:rPr>
            <m:t>0</m:t>
          </m:r>
        </m:oMath>
      </m:oMathPara>
    </w:p>
    <w:p w14:paraId="07A11439" w14:textId="5B536EBD" w:rsidR="001B6169" w:rsidRDefault="001B6169" w:rsidP="001B6169">
      <w:pPr>
        <w:pStyle w:val="Nivel5"/>
        <w:keepNext/>
        <w:ind w:left="1871"/>
      </w:pPr>
      <w:r>
        <w:t xml:space="preserve">La progresividad media </w:t>
      </w:r>
      <w:r w:rsidRPr="00542D97">
        <w:t>no</w:t>
      </w:r>
      <w:r>
        <w:t xml:space="preserve"> implica progresividad marginal</w:t>
      </w:r>
      <w:r w:rsidR="00FC64D3">
        <w:t>.</w:t>
      </w:r>
      <w:r>
        <w:t xml:space="preserve"> </w:t>
      </w:r>
      <w:r w:rsidR="00FC64D3">
        <w:t>P</w:t>
      </w:r>
      <w:r>
        <w:t xml:space="preserve">uede haber progresividad (media) y que </w:t>
      </w:r>
      <w:r w:rsidRPr="00542D97">
        <w:t>no</w:t>
      </w:r>
      <w:r>
        <w:t xml:space="preserve"> haya progresividad marginal. Es el caso de los impuestos proporcionales con reducciones:</w:t>
      </w:r>
    </w:p>
    <w:p w14:paraId="49918F39" w14:textId="2B90F675" w:rsidR="001B6169" w:rsidRPr="00FC64D3" w:rsidRDefault="00FC64D3" w:rsidP="001B6169">
      <w:pPr>
        <w:pStyle w:val="Nivel4"/>
        <w:numPr>
          <w:ilvl w:val="0"/>
          <w:numId w:val="0"/>
        </w:numPr>
        <w:ind w:left="1871" w:hanging="170"/>
        <w:jc w:val="center"/>
        <w:rPr>
          <w:lang w:val="fr-FR"/>
        </w:rPr>
      </w:pPr>
      <m:oMathPara>
        <m:oMath>
          <m:r>
            <w:rPr>
              <w:rFonts w:ascii="Cambria Math" w:eastAsiaTheme="minorEastAsia" w:hAnsi="Cambria Math"/>
              <w:lang w:val="fr-FR"/>
            </w:rPr>
            <m:t xml:space="preserve"> </m:t>
          </m:r>
          <m:r>
            <m:rPr>
              <m:nor/>
            </m:rPr>
            <w:rPr>
              <w:i/>
              <w:lang w:val="fr-FR"/>
            </w:rPr>
            <m:t>T</m:t>
          </m:r>
          <m:d>
            <m:dPr>
              <m:ctrlPr>
                <w:rPr>
                  <w:rFonts w:ascii="Cambria Math" w:hAnsi="Cambria Math"/>
                  <w:i/>
                </w:rPr>
              </m:ctrlPr>
            </m:dPr>
            <m:e>
              <m:r>
                <m:rPr>
                  <m:nor/>
                </m:rPr>
                <w:rPr>
                  <w:i/>
                  <w:lang w:val="fr-FR"/>
                </w:rPr>
                <m:t>Y</m:t>
              </m:r>
            </m:e>
          </m:d>
          <m:r>
            <w:rPr>
              <w:rFonts w:ascii="Cambria Math" w:hAnsi="Cambria Math"/>
              <w:lang w:val="fr-FR"/>
            </w:rPr>
            <m:t>=</m:t>
          </m:r>
          <m:r>
            <m:rPr>
              <m:nor/>
            </m:rPr>
            <w:rPr>
              <w:i/>
              <w:lang w:val="fr-FR"/>
            </w:rPr>
            <m:t>t</m:t>
          </m:r>
          <m:r>
            <w:rPr>
              <w:rFonts w:ascii="Cambria Math" w:hAnsi="Cambria Math"/>
              <w:lang w:val="fr-FR"/>
            </w:rPr>
            <m:t>∙</m:t>
          </m:r>
          <m:r>
            <m:rPr>
              <m:nor/>
            </m:rPr>
            <w:rPr>
              <w:i/>
              <w:lang w:val="fr-FR"/>
            </w:rPr>
            <m:t>Y</m:t>
          </m:r>
          <m:r>
            <w:rPr>
              <w:rFonts w:ascii="Cambria Math" w:hAnsi="Cambria Math"/>
              <w:lang w:val="fr-FR"/>
            </w:rPr>
            <m:t>-</m:t>
          </m:r>
          <m:r>
            <m:rPr>
              <m:nor/>
            </m:rPr>
            <w:rPr>
              <w:i/>
              <w:lang w:val="fr-FR"/>
            </w:rPr>
            <m:t>R</m:t>
          </m:r>
        </m:oMath>
      </m:oMathPara>
    </w:p>
    <w:p w14:paraId="7030573C" w14:textId="67C19002" w:rsidR="001B6169" w:rsidRPr="00FC64D3" w:rsidRDefault="00000000" w:rsidP="001B6169">
      <w:pPr>
        <w:pStyle w:val="Nivel4"/>
        <w:numPr>
          <w:ilvl w:val="0"/>
          <w:numId w:val="0"/>
        </w:numPr>
        <w:ind w:left="1871" w:hanging="170"/>
        <w:jc w:val="center"/>
        <w:rPr>
          <w:lang w:val="fr-FR"/>
        </w:rPr>
      </w:pPr>
      <m:oMathPara>
        <m:oMath>
          <m:f>
            <m:fPr>
              <m:ctrlPr>
                <w:rPr>
                  <w:rFonts w:ascii="Cambria Math" w:hAnsi="Cambria Math"/>
                  <w:i/>
                </w:rPr>
              </m:ctrlPr>
            </m:fPr>
            <m:num>
              <m:r>
                <m:rPr>
                  <m:nor/>
                </m:rPr>
                <w:rPr>
                  <w:i/>
                  <w:lang w:val="fr-FR"/>
                </w:rPr>
                <m:t>∂</m:t>
              </m:r>
              <m:d>
                <m:dPr>
                  <m:ctrlPr>
                    <w:rPr>
                      <w:rFonts w:ascii="Cambria Math" w:hAnsi="Cambria Math"/>
                      <w:i/>
                    </w:rPr>
                  </m:ctrlPr>
                </m:dPr>
                <m:e>
                  <m:f>
                    <m:fPr>
                      <m:type m:val="lin"/>
                      <m:ctrlPr>
                        <w:rPr>
                          <w:rFonts w:ascii="Cambria Math" w:hAnsi="Cambria Math"/>
                          <w:i/>
                        </w:rPr>
                      </m:ctrlPr>
                    </m:fPr>
                    <m:num>
                      <m:r>
                        <m:rPr>
                          <m:nor/>
                        </m:rPr>
                        <w:rPr>
                          <w:i/>
                          <w:lang w:val="fr-FR"/>
                        </w:rPr>
                        <m:t>T</m:t>
                      </m:r>
                    </m:num>
                    <m:den>
                      <m:r>
                        <m:rPr>
                          <m:nor/>
                        </m:rPr>
                        <w:rPr>
                          <w:i/>
                          <w:lang w:val="fr-FR"/>
                        </w:rPr>
                        <m:t>Y</m:t>
                      </m:r>
                    </m:den>
                  </m:f>
                </m:e>
              </m:d>
            </m:num>
            <m:den>
              <m:r>
                <m:rPr>
                  <m:nor/>
                </m:rPr>
                <w:rPr>
                  <w:i/>
                  <w:lang w:val="fr-FR"/>
                </w:rPr>
                <m:t>∂Y</m:t>
              </m:r>
            </m:den>
          </m:f>
          <m:r>
            <w:rPr>
              <w:rFonts w:ascii="Cambria Math" w:hAnsi="Cambria Math"/>
              <w:lang w:val="fr-FR"/>
            </w:rPr>
            <m:t>=</m:t>
          </m:r>
          <m:f>
            <m:fPr>
              <m:ctrlPr>
                <w:rPr>
                  <w:rFonts w:ascii="Cambria Math" w:hAnsi="Cambria Math"/>
                  <w:i/>
                </w:rPr>
              </m:ctrlPr>
            </m:fPr>
            <m:num>
              <m:r>
                <m:rPr>
                  <m:nor/>
                </m:rPr>
                <w:rPr>
                  <w:i/>
                  <w:lang w:val="fr-FR"/>
                </w:rPr>
                <m:t>∂</m:t>
              </m:r>
              <m:d>
                <m:dPr>
                  <m:ctrlPr>
                    <w:rPr>
                      <w:rFonts w:ascii="Cambria Math" w:hAnsi="Cambria Math"/>
                      <w:i/>
                    </w:rPr>
                  </m:ctrlPr>
                </m:dPr>
                <m:e>
                  <m:r>
                    <m:rPr>
                      <m:nor/>
                    </m:rPr>
                    <w:rPr>
                      <w:i/>
                      <w:lang w:val="fr-FR"/>
                    </w:rPr>
                    <m:t>t</m:t>
                  </m:r>
                  <m:r>
                    <w:rPr>
                      <w:rFonts w:ascii="Cambria Math" w:hAnsi="Cambria Math"/>
                      <w:lang w:val="fr-FR"/>
                    </w:rPr>
                    <m:t>-</m:t>
                  </m:r>
                  <m:f>
                    <m:fPr>
                      <m:type m:val="lin"/>
                      <m:ctrlPr>
                        <w:rPr>
                          <w:rFonts w:ascii="Cambria Math" w:hAnsi="Cambria Math"/>
                          <w:i/>
                        </w:rPr>
                      </m:ctrlPr>
                    </m:fPr>
                    <m:num>
                      <m:r>
                        <m:rPr>
                          <m:nor/>
                        </m:rPr>
                        <w:rPr>
                          <w:i/>
                          <w:lang w:val="fr-FR"/>
                        </w:rPr>
                        <m:t>R</m:t>
                      </m:r>
                    </m:num>
                    <m:den>
                      <m:r>
                        <m:rPr>
                          <m:nor/>
                        </m:rPr>
                        <w:rPr>
                          <w:i/>
                          <w:lang w:val="fr-FR"/>
                        </w:rPr>
                        <m:t>Y</m:t>
                      </m:r>
                    </m:den>
                  </m:f>
                </m:e>
              </m:d>
            </m:num>
            <m:den>
              <m:r>
                <m:rPr>
                  <m:nor/>
                </m:rPr>
                <w:rPr>
                  <w:i/>
                  <w:lang w:val="fr-FR"/>
                </w:rPr>
                <m:t>∂Y</m:t>
              </m:r>
            </m:den>
          </m:f>
          <m:r>
            <w:rPr>
              <w:rFonts w:ascii="Cambria Math" w:hAnsi="Cambria Math"/>
              <w:lang w:val="fr-FR"/>
            </w:rPr>
            <m:t>=</m:t>
          </m:r>
          <m:f>
            <m:fPr>
              <m:ctrlPr>
                <w:rPr>
                  <w:rFonts w:ascii="Cambria Math" w:hAnsi="Cambria Math"/>
                  <w:i/>
                </w:rPr>
              </m:ctrlPr>
            </m:fPr>
            <m:num>
              <m:r>
                <m:rPr>
                  <m:nor/>
                </m:rPr>
                <w:rPr>
                  <w:i/>
                  <w:lang w:val="fr-FR"/>
                </w:rPr>
                <m:t>R</m:t>
              </m:r>
            </m:num>
            <m:den>
              <m:sSup>
                <m:sSupPr>
                  <m:ctrlPr>
                    <w:rPr>
                      <w:rFonts w:ascii="Cambria Math" w:hAnsi="Cambria Math"/>
                      <w:i/>
                    </w:rPr>
                  </m:ctrlPr>
                </m:sSupPr>
                <m:e>
                  <m:r>
                    <m:rPr>
                      <m:nor/>
                    </m:rPr>
                    <w:rPr>
                      <w:i/>
                      <w:lang w:val="fr-FR"/>
                    </w:rPr>
                    <m:t>Y</m:t>
                  </m:r>
                </m:e>
                <m:sup>
                  <m:r>
                    <m:rPr>
                      <m:nor/>
                    </m:rPr>
                    <w:rPr>
                      <w:i/>
                      <w:lang w:val="fr-FR"/>
                    </w:rPr>
                    <m:t>2</m:t>
                  </m:r>
                </m:sup>
              </m:sSup>
            </m:den>
          </m:f>
          <m:r>
            <w:rPr>
              <w:rFonts w:ascii="Cambria Math" w:hAnsi="Cambria Math"/>
            </w:rPr>
            <m:t>&gt;</m:t>
          </m:r>
          <m:r>
            <m:rPr>
              <m:nor/>
            </m:rPr>
            <w:rPr>
              <w:i/>
            </w:rPr>
            <m:t>0</m:t>
          </m:r>
        </m:oMath>
      </m:oMathPara>
    </w:p>
    <w:p w14:paraId="098F8C0A" w14:textId="3E7C3E92" w:rsidR="001B6169" w:rsidRPr="009B0724" w:rsidRDefault="00000000" w:rsidP="001B6169">
      <w:pPr>
        <w:pStyle w:val="Nivel4"/>
        <w:numPr>
          <w:ilvl w:val="0"/>
          <w:numId w:val="0"/>
        </w:numPr>
        <w:ind w:left="1871" w:hanging="170"/>
        <w:jc w:val="center"/>
      </w:pPr>
      <m:oMathPara>
        <m:oMath>
          <m:f>
            <m:fPr>
              <m:ctrlPr>
                <w:rPr>
                  <w:rFonts w:ascii="Cambria Math" w:hAnsi="Cambria Math"/>
                  <w:i/>
                </w:rPr>
              </m:ctrlPr>
            </m:fPr>
            <m:num>
              <m:sSup>
                <m:sSupPr>
                  <m:ctrlPr>
                    <w:rPr>
                      <w:rFonts w:ascii="Cambria Math" w:hAnsi="Cambria Math"/>
                      <w:i/>
                    </w:rPr>
                  </m:ctrlPr>
                </m:sSupPr>
                <m:e>
                  <m:r>
                    <m:rPr>
                      <m:nor/>
                    </m:rPr>
                    <w:rPr>
                      <w:i/>
                    </w:rPr>
                    <m:t>∂</m:t>
                  </m:r>
                </m:e>
                <m:sup>
                  <m:r>
                    <m:rPr>
                      <m:nor/>
                    </m:rPr>
                    <w:rPr>
                      <w:i/>
                    </w:rPr>
                    <m:t>2</m:t>
                  </m:r>
                </m:sup>
              </m:sSup>
              <m:r>
                <m:rPr>
                  <m:nor/>
                </m:rPr>
                <w:rPr>
                  <w:i/>
                </w:rPr>
                <m:t>T</m:t>
              </m:r>
              <m:d>
                <m:dPr>
                  <m:ctrlPr>
                    <w:rPr>
                      <w:rFonts w:ascii="Cambria Math" w:hAnsi="Cambria Math"/>
                      <w:i/>
                    </w:rPr>
                  </m:ctrlPr>
                </m:dPr>
                <m:e>
                  <m:r>
                    <m:rPr>
                      <m:nor/>
                    </m:rPr>
                    <w:rPr>
                      <w:i/>
                    </w:rPr>
                    <m:t>Y</m:t>
                  </m:r>
                </m:e>
              </m:d>
            </m:num>
            <m:den>
              <m:r>
                <m:rPr>
                  <m:nor/>
                </m:rPr>
                <w:rPr>
                  <w:i/>
                </w:rPr>
                <m:t>∂</m:t>
              </m:r>
              <m:sSup>
                <m:sSupPr>
                  <m:ctrlPr>
                    <w:rPr>
                      <w:rFonts w:ascii="Cambria Math" w:hAnsi="Cambria Math"/>
                      <w:i/>
                    </w:rPr>
                  </m:ctrlPr>
                </m:sSupPr>
                <m:e>
                  <m:r>
                    <m:rPr>
                      <m:nor/>
                    </m:rPr>
                    <w:rPr>
                      <w:i/>
                    </w:rPr>
                    <m:t>Y</m:t>
                  </m:r>
                </m:e>
                <m:sup>
                  <m:r>
                    <m:rPr>
                      <m:nor/>
                    </m:rPr>
                    <w:rPr>
                      <w:i/>
                    </w:rPr>
                    <m:t>2</m:t>
                  </m:r>
                </m:sup>
              </m:sSup>
            </m:den>
          </m:f>
          <m:r>
            <w:rPr>
              <w:rFonts w:ascii="Cambria Math" w:hAnsi="Cambria Math"/>
            </w:rPr>
            <m:t>=</m:t>
          </m:r>
          <m:f>
            <m:fPr>
              <m:ctrlPr>
                <w:rPr>
                  <w:rFonts w:ascii="Cambria Math" w:hAnsi="Cambria Math"/>
                  <w:i/>
                </w:rPr>
              </m:ctrlPr>
            </m:fPr>
            <m:num>
              <m:r>
                <m:rPr>
                  <m:nor/>
                </m:rPr>
                <w:rPr>
                  <w:i/>
                  <w:lang w:val="fr-FR"/>
                </w:rPr>
                <m:t>∂t</m:t>
              </m:r>
            </m:num>
            <m:den>
              <m:r>
                <m:rPr>
                  <m:nor/>
                </m:rPr>
                <w:rPr>
                  <w:i/>
                  <w:lang w:val="fr-FR"/>
                </w:rPr>
                <m:t>∂Y</m:t>
              </m:r>
            </m:den>
          </m:f>
          <m:r>
            <w:rPr>
              <w:rFonts w:ascii="Cambria Math" w:hAnsi="Cambria Math"/>
            </w:rPr>
            <m:t>=</m:t>
          </m:r>
          <m:r>
            <m:rPr>
              <m:nor/>
            </m:rPr>
            <w:rPr>
              <w:i/>
            </w:rPr>
            <m:t>0</m:t>
          </m:r>
        </m:oMath>
      </m:oMathPara>
    </w:p>
    <w:p w14:paraId="62FC1D31" w14:textId="77777777" w:rsidR="001B6169" w:rsidRDefault="001B6169" w:rsidP="001B6169">
      <w:pPr>
        <w:pStyle w:val="Nivel4"/>
        <w:ind w:left="1474"/>
      </w:pPr>
      <w:r w:rsidRPr="00542D97">
        <w:rPr>
          <w:i/>
          <w:iCs/>
        </w:rPr>
        <w:t>Impuesto proporcional</w:t>
      </w:r>
      <w:r>
        <w:t xml:space="preserve">: Aquel con </w:t>
      </w:r>
      <m:oMath>
        <m:sSub>
          <m:sSubPr>
            <m:ctrlPr>
              <w:rPr>
                <w:rFonts w:ascii="Cambria Math" w:hAnsi="Cambria Math"/>
                <w:i/>
              </w:rPr>
            </m:ctrlPr>
          </m:sSubPr>
          <m:e>
            <m:r>
              <m:rPr>
                <m:nor/>
              </m:rPr>
              <w:rPr>
                <w:i/>
              </w:rPr>
              <m:t>ε</m:t>
            </m:r>
          </m:e>
          <m:sub>
            <m:r>
              <m:rPr>
                <m:nor/>
              </m:rPr>
              <w:rPr>
                <w:i/>
              </w:rPr>
              <m:t>T,BI</m:t>
            </m:r>
          </m:sub>
        </m:sSub>
        <m:r>
          <w:rPr>
            <w:rFonts w:ascii="Cambria Math" w:hAnsi="Cambria Math"/>
          </w:rPr>
          <m:t>=</m:t>
        </m:r>
        <m:r>
          <m:rPr>
            <m:nor/>
          </m:rPr>
          <w:rPr>
            <w:i/>
          </w:rPr>
          <m:t>1</m:t>
        </m:r>
      </m:oMath>
      <w:r>
        <w:t>, es decir, con tipo medio constante (tipo marginal = tipo medio).</w:t>
      </w:r>
    </w:p>
    <w:p w14:paraId="7CF8DE87" w14:textId="77777777" w:rsidR="001B6169" w:rsidRDefault="001B6169" w:rsidP="001B6169">
      <w:pPr>
        <w:pStyle w:val="Nivel4"/>
        <w:ind w:left="1474"/>
      </w:pPr>
      <w:r w:rsidRPr="00542D97">
        <w:rPr>
          <w:i/>
          <w:iCs/>
        </w:rPr>
        <w:t>Impuesto regresivo</w:t>
      </w:r>
      <w:r>
        <w:t xml:space="preserve">: Aquel con </w:t>
      </w:r>
      <m:oMath>
        <m:sSub>
          <m:sSubPr>
            <m:ctrlPr>
              <w:rPr>
                <w:rFonts w:ascii="Cambria Math" w:hAnsi="Cambria Math"/>
                <w:i/>
              </w:rPr>
            </m:ctrlPr>
          </m:sSubPr>
          <m:e>
            <m:r>
              <m:rPr>
                <m:nor/>
              </m:rPr>
              <w:rPr>
                <w:i/>
              </w:rPr>
              <m:t>ε</m:t>
            </m:r>
          </m:e>
          <m:sub>
            <m:r>
              <m:rPr>
                <m:nor/>
              </m:rPr>
              <w:rPr>
                <w:i/>
              </w:rPr>
              <m:t>T,BI</m:t>
            </m:r>
          </m:sub>
        </m:sSub>
        <m:r>
          <w:rPr>
            <w:rFonts w:ascii="Cambria Math" w:hAnsi="Cambria Math"/>
          </w:rPr>
          <m:t>&lt;</m:t>
        </m:r>
        <m:r>
          <m:rPr>
            <m:nor/>
          </m:rPr>
          <w:rPr>
            <w:i/>
          </w:rPr>
          <m:t>1</m:t>
        </m:r>
      </m:oMath>
      <w:r>
        <w:t>, es decir, con tipo medio decreciente (tipo marginal &lt; tipo medio).</w:t>
      </w:r>
    </w:p>
    <w:p w14:paraId="727DD94D" w14:textId="77777777" w:rsidR="001B6169" w:rsidRDefault="001B6169" w:rsidP="001B6169">
      <w:pPr>
        <w:pStyle w:val="Nivel3SM"/>
      </w:pPr>
      <w:r>
        <w:t xml:space="preserve">En la OCDE, </w:t>
      </w:r>
      <m:oMath>
        <m:sSub>
          <m:sSubPr>
            <m:ctrlPr>
              <w:rPr>
                <w:rFonts w:ascii="Cambria Math" w:hAnsi="Cambria Math"/>
                <w:i/>
              </w:rPr>
            </m:ctrlPr>
          </m:sSubPr>
          <m:e>
            <m:r>
              <m:rPr>
                <m:nor/>
              </m:rPr>
              <w:rPr>
                <w:i/>
              </w:rPr>
              <m:t>ε</m:t>
            </m:r>
          </m:e>
          <m:sub>
            <m:r>
              <m:rPr>
                <m:nor/>
              </m:rPr>
              <w:rPr>
                <w:i/>
              </w:rPr>
              <m:t>T,BI</m:t>
            </m:r>
          </m:sub>
        </m:sSub>
        <m:r>
          <w:rPr>
            <w:rFonts w:ascii="Cambria Math" w:hAnsi="Cambria Math"/>
          </w:rPr>
          <m:t>≈</m:t>
        </m:r>
        <m:r>
          <m:rPr>
            <m:nor/>
          </m:rPr>
          <w:rPr>
            <w:i/>
          </w:rPr>
          <m:t>1,4</m:t>
        </m:r>
      </m:oMath>
      <w:r>
        <w:t xml:space="preserve"> (sistema progresivo).</w:t>
      </w:r>
    </w:p>
    <w:p w14:paraId="61064D57" w14:textId="77777777" w:rsidR="001B6169" w:rsidRDefault="001B6169" w:rsidP="001B6169">
      <w:pPr>
        <w:pStyle w:val="Prrafodelista"/>
        <w:keepNext/>
        <w:numPr>
          <w:ilvl w:val="0"/>
          <w:numId w:val="67"/>
        </w:numPr>
        <w:spacing w:after="0"/>
        <w:ind w:left="568" w:hanging="284"/>
      </w:pPr>
      <w:r>
        <w:t xml:space="preserve">El segundo componente da la </w:t>
      </w:r>
      <w:r w:rsidRPr="00030E22">
        <w:rPr>
          <w:b/>
          <w:bCs/>
        </w:rPr>
        <w:t>sensibilidad de la base imponible al ciclo</w:t>
      </w:r>
      <w:r>
        <w:t>.</w:t>
      </w:r>
    </w:p>
    <w:p w14:paraId="49D1F1E0" w14:textId="77777777" w:rsidR="001B6169" w:rsidRPr="00030E22" w:rsidRDefault="00000000" w:rsidP="001B6169">
      <w:pPr>
        <w:keepNext/>
        <w:spacing w:after="0"/>
        <w:jc w:val="center"/>
      </w:pPr>
      <m:oMathPara>
        <m:oMath>
          <m:sSub>
            <m:sSubPr>
              <m:ctrlPr>
                <w:rPr>
                  <w:rFonts w:ascii="Cambria Math" w:hAnsi="Cambria Math"/>
                  <w:i/>
                </w:rPr>
              </m:ctrlPr>
            </m:sSubPr>
            <m:e>
              <m:r>
                <m:rPr>
                  <m:nor/>
                </m:rPr>
                <w:rPr>
                  <w:i/>
                </w:rPr>
                <m:t>ε</m:t>
              </m:r>
            </m:e>
            <m:sub>
              <m:r>
                <m:rPr>
                  <m:nor/>
                </m:rPr>
                <w:rPr>
                  <w:i/>
                </w:rPr>
                <m:t>BI,Y</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w:rPr>
                      <w:rFonts w:ascii="Cambria Math" w:hAnsi="Cambria Math"/>
                    </w:rPr>
                    <m:t>∆</m:t>
                  </m:r>
                  <m:r>
                    <m:rPr>
                      <m:nor/>
                    </m:rPr>
                    <w:rPr>
                      <w:i/>
                    </w:rPr>
                    <m:t>BI</m:t>
                  </m:r>
                </m:num>
                <m:den>
                  <m:r>
                    <m:rPr>
                      <m:nor/>
                    </m:rPr>
                    <w:rPr>
                      <w:i/>
                    </w:rPr>
                    <m:t>BI</m:t>
                  </m:r>
                </m:den>
              </m:f>
            </m:num>
            <m:den>
              <m:f>
                <m:fPr>
                  <m:type m:val="lin"/>
                  <m:ctrlPr>
                    <w:rPr>
                      <w:rFonts w:ascii="Cambria Math" w:hAnsi="Cambria Math"/>
                      <w:i/>
                    </w:rPr>
                  </m:ctrlPr>
                </m:fPr>
                <m:num>
                  <m:r>
                    <w:rPr>
                      <w:rFonts w:ascii="Cambria Math" w:hAnsi="Cambria Math"/>
                    </w:rPr>
                    <m:t>∆</m:t>
                  </m:r>
                  <m:r>
                    <m:rPr>
                      <m:nor/>
                    </m:rPr>
                    <w:rPr>
                      <w:i/>
                    </w:rPr>
                    <m:t>Y</m:t>
                  </m:r>
                </m:num>
                <m:den>
                  <m:r>
                    <m:rPr>
                      <m:nor/>
                    </m:rPr>
                    <w:rPr>
                      <w:i/>
                    </w:rPr>
                    <m:t>Y</m:t>
                  </m:r>
                </m:den>
              </m:f>
            </m:den>
          </m:f>
        </m:oMath>
      </m:oMathPara>
    </w:p>
    <w:p w14:paraId="1638EE1A" w14:textId="21AEBBCA" w:rsidR="001B6169" w:rsidRDefault="001B6169" w:rsidP="001B6169">
      <w:pPr>
        <w:pStyle w:val="Nivel3SM"/>
      </w:pPr>
      <w:r>
        <w:t>Muestra en qué porcentaje aumenta la base imponible al aumentar en 1</w:t>
      </w:r>
      <w:r w:rsidR="00A50667">
        <w:t> %</w:t>
      </w:r>
      <w:r>
        <w:t xml:space="preserve"> la renta.</w:t>
      </w:r>
    </w:p>
    <w:p w14:paraId="2113191D" w14:textId="77777777" w:rsidR="001B6169" w:rsidRDefault="001B6169" w:rsidP="001B6169">
      <w:pPr>
        <w:pStyle w:val="Nivel3SM"/>
        <w:keepNext/>
      </w:pPr>
      <w:r>
        <w:t>Ordenación de impuestos según grado de sensibilidad:</w:t>
      </w:r>
    </w:p>
    <w:p w14:paraId="74B733D1" w14:textId="77777777" w:rsidR="001B6169" w:rsidRDefault="001B6169" w:rsidP="00213CE0">
      <w:pPr>
        <w:pStyle w:val="Nivel4"/>
        <w:keepNext/>
        <w:ind w:left="1474"/>
      </w:pPr>
      <w:bookmarkStart w:id="10" w:name="_Hlk146723456"/>
      <w:r w:rsidRPr="00213CE0">
        <w:rPr>
          <w:i/>
          <w:iCs/>
        </w:rPr>
        <w:t>IRPF e IS</w:t>
      </w:r>
      <w:r w:rsidRPr="001C2234">
        <w:t>: ε &gt; 1</w:t>
      </w:r>
    </w:p>
    <w:p w14:paraId="334BC14D" w14:textId="534D405B" w:rsidR="001B6169" w:rsidRDefault="001B6169" w:rsidP="00213CE0">
      <w:pPr>
        <w:pStyle w:val="Nivel5"/>
        <w:ind w:left="1871"/>
      </w:pPr>
      <w:r>
        <w:t>Por tanto, estos impuestos juegan un papel trascendental como estabilizadores automáticos.</w:t>
      </w:r>
    </w:p>
    <w:p w14:paraId="7C4381DB" w14:textId="77777777" w:rsidR="001B6169" w:rsidRDefault="001B6169" w:rsidP="00213CE0">
      <w:pPr>
        <w:pStyle w:val="Nivel5"/>
        <w:ind w:left="1871"/>
      </w:pPr>
      <w:r>
        <w:t xml:space="preserve">Además, el IRPF tiene un efecto </w:t>
      </w:r>
      <w:r w:rsidRPr="00993AFC">
        <w:t>inmediato</w:t>
      </w:r>
      <w:r>
        <w:t xml:space="preserve"> a través de las retenciones en origen.</w:t>
      </w:r>
    </w:p>
    <w:p w14:paraId="44D9BB6C" w14:textId="77777777" w:rsidR="001B6169" w:rsidRPr="00213CE0" w:rsidRDefault="001B6169" w:rsidP="00213CE0">
      <w:pPr>
        <w:pStyle w:val="Nivel5"/>
        <w:ind w:left="1871"/>
        <w:rPr>
          <w:spacing w:val="-4"/>
        </w:rPr>
      </w:pPr>
      <w:r w:rsidRPr="00213CE0">
        <w:rPr>
          <w:spacing w:val="-4"/>
        </w:rPr>
        <w:t>La ε &gt; 1 se explica por el hecho de que aumentos de la renta provocan que haya sujetos pasivos que antes no superaban el mínimo exento (no tributaban) y ahora sí.</w:t>
      </w:r>
    </w:p>
    <w:p w14:paraId="6FF80AA7" w14:textId="77777777" w:rsidR="001B6169" w:rsidRDefault="001B6169" w:rsidP="00213CE0">
      <w:pPr>
        <w:pStyle w:val="Nivel4"/>
        <w:keepNext/>
        <w:ind w:left="1474"/>
      </w:pPr>
      <w:r w:rsidRPr="00213CE0">
        <w:rPr>
          <w:i/>
          <w:iCs/>
        </w:rPr>
        <w:lastRenderedPageBreak/>
        <w:t>Impuestos indirectos y cotizaciones a la SS</w:t>
      </w:r>
      <w:r w:rsidRPr="001C2234">
        <w:t>: ε &lt; 1</w:t>
      </w:r>
    </w:p>
    <w:p w14:paraId="19BDA281" w14:textId="77777777" w:rsidR="001B6169" w:rsidRDefault="001B6169" w:rsidP="00213CE0">
      <w:pPr>
        <w:pStyle w:val="Nivel5"/>
        <w:keepNext/>
        <w:ind w:left="1871"/>
      </w:pPr>
      <w:r w:rsidRPr="00690DDC">
        <w:t>Razones</w:t>
      </w:r>
      <w:r>
        <w:t>:</w:t>
      </w:r>
    </w:p>
    <w:p w14:paraId="1B0FEFD4" w14:textId="03BA0A96" w:rsidR="001B6169" w:rsidRDefault="001B6169" w:rsidP="00213CE0">
      <w:pPr>
        <w:pStyle w:val="Nivel6"/>
        <w:ind w:left="2212"/>
      </w:pPr>
      <w:r>
        <w:t>La razón por la que la base imponible del IVA aumenta proporcionalmente menos que la renta es que la propensión al consumo es decreciente con la renta (por lo que la proporción dedicada al consumo es cada vez menor a medida que aumenta la renta).</w:t>
      </w:r>
    </w:p>
    <w:p w14:paraId="4D705E00" w14:textId="1334D118" w:rsidR="001B6169" w:rsidRDefault="001B6169" w:rsidP="00213CE0">
      <w:pPr>
        <w:pStyle w:val="Nivel6"/>
        <w:ind w:left="2212"/>
      </w:pPr>
      <w:r>
        <w:t xml:space="preserve">La razón por la que la base de cotización de las cotizaciones sociales de la SS crece proporcionalmente menos que la renta, es que existe una base de cotización máxima (en España, </w:t>
      </w:r>
      <w:r w:rsidRPr="0053141D">
        <w:t>45.000</w:t>
      </w:r>
      <w:r w:rsidR="0084399B">
        <w:t> </w:t>
      </w:r>
      <w:r w:rsidRPr="0053141D">
        <w:t>€</w:t>
      </w:r>
      <w:r>
        <w:t>).</w:t>
      </w:r>
    </w:p>
    <w:p w14:paraId="6AD2F280" w14:textId="77777777" w:rsidR="001B6169" w:rsidRDefault="001B6169" w:rsidP="00213CE0">
      <w:pPr>
        <w:pStyle w:val="Nivel5"/>
        <w:keepNext/>
        <w:ind w:left="1871"/>
      </w:pPr>
      <w:r w:rsidRPr="00690DDC">
        <w:t>No obstante, en España ε &gt; 1 a causa de</w:t>
      </w:r>
      <w:r>
        <w:t>:</w:t>
      </w:r>
    </w:p>
    <w:p w14:paraId="39AE03CC" w14:textId="77777777" w:rsidR="001B6169" w:rsidRDefault="001B6169" w:rsidP="00213CE0">
      <w:pPr>
        <w:pStyle w:val="Nivel6"/>
        <w:ind w:left="2212"/>
      </w:pPr>
      <w:r>
        <w:t xml:space="preserve">La elevada </w:t>
      </w:r>
      <w:proofErr w:type="spellStart"/>
      <w:r>
        <w:t>PMgC</w:t>
      </w:r>
      <w:proofErr w:type="spellEnd"/>
      <w:r>
        <w:t>.</w:t>
      </w:r>
    </w:p>
    <w:p w14:paraId="63D48724" w14:textId="77777777" w:rsidR="001B6169" w:rsidRDefault="001B6169" w:rsidP="00213CE0">
      <w:pPr>
        <w:pStyle w:val="Nivel6"/>
        <w:ind w:left="2212"/>
      </w:pPr>
      <w:r>
        <w:t>Existencia de una importante economía sumergida que aflora en época de auge.</w:t>
      </w:r>
    </w:p>
    <w:p w14:paraId="6B516EB4" w14:textId="77777777" w:rsidR="001B6169" w:rsidRDefault="001B6169" w:rsidP="00213CE0">
      <w:pPr>
        <w:pStyle w:val="Nivel4"/>
        <w:keepNext/>
        <w:ind w:left="1474"/>
      </w:pPr>
      <w:r w:rsidRPr="00213CE0">
        <w:rPr>
          <w:i/>
          <w:iCs/>
        </w:rPr>
        <w:t>Impuesto del patrimonio</w:t>
      </w:r>
      <w:r w:rsidRPr="001C2234">
        <w:t>: ε ≈ 0</w:t>
      </w:r>
      <w:r>
        <w:t>.</w:t>
      </w:r>
    </w:p>
    <w:p w14:paraId="2E10EE8C" w14:textId="77777777" w:rsidR="001B6169" w:rsidRDefault="001B6169" w:rsidP="00213CE0">
      <w:pPr>
        <w:pStyle w:val="Nivel5"/>
        <w:ind w:left="1871"/>
      </w:pPr>
      <w:r>
        <w:t xml:space="preserve">La base imponible del impuesto sobre el patrimonio </w:t>
      </w:r>
      <w:r w:rsidRPr="00AC7346">
        <w:t>no</w:t>
      </w:r>
      <w:r>
        <w:t xml:space="preserve"> varía ante la variación del PIB, pues la riqueza acumulada por las familias es relativamente estable.</w:t>
      </w:r>
    </w:p>
    <w:bookmarkEnd w:id="10"/>
    <w:p w14:paraId="5A9C2DC6" w14:textId="77777777" w:rsidR="001B6169" w:rsidRDefault="001B6169" w:rsidP="001B6169">
      <w:pPr>
        <w:pStyle w:val="Nivel2SM"/>
      </w:pPr>
      <w:r>
        <w:t xml:space="preserve">Como ambos componentes son mayores que cero, su producto también lo es, con lo cual la recaudación impositiva es </w:t>
      </w:r>
      <w:r w:rsidRPr="007B5121">
        <w:rPr>
          <w:u w:val="single"/>
        </w:rPr>
        <w:t>procíclica</w:t>
      </w:r>
      <w:r>
        <w:t xml:space="preserve"> (y, de esta forma, actúa como estabilizador automático).</w:t>
      </w:r>
    </w:p>
    <w:p w14:paraId="3494F89F" w14:textId="77777777" w:rsidR="001B6169" w:rsidRPr="00944F51" w:rsidRDefault="001B6169" w:rsidP="001B6169">
      <w:pPr>
        <w:pStyle w:val="Ttulo6"/>
      </w:pPr>
      <w:bookmarkStart w:id="11" w:name="_Toc151221220"/>
      <w:r w:rsidRPr="00690DDC">
        <w:t>Resumen</w:t>
      </w:r>
      <w:bookmarkEnd w:id="11"/>
    </w:p>
    <w:p w14:paraId="5212B09F" w14:textId="77777777" w:rsidR="001B6169" w:rsidRDefault="001B6169" w:rsidP="001B6169">
      <w:pPr>
        <w:pStyle w:val="Nivel2SM"/>
        <w:keepNext/>
        <w:spacing w:after="0"/>
      </w:pPr>
      <w:r>
        <w:t>El efecto estabilizador de estos estabilizadores automáticos será mayor:</w:t>
      </w:r>
    </w:p>
    <w:p w14:paraId="320E9AD4" w14:textId="77777777" w:rsidR="001B6169" w:rsidRDefault="001B6169" w:rsidP="001B6169">
      <w:pPr>
        <w:pStyle w:val="Nivel3SM"/>
      </w:pPr>
      <w:r>
        <w:t>Cuanto más amplia sea su base (cuanta más gente se vea gravada).</w:t>
      </w:r>
    </w:p>
    <w:p w14:paraId="75569366" w14:textId="77777777" w:rsidR="001B6169" w:rsidRDefault="001B6169" w:rsidP="001B6169">
      <w:pPr>
        <w:pStyle w:val="Nivel3SM"/>
      </w:pPr>
      <w:r>
        <w:t>Cuanto mayor sea el tipo medio de gravamen.</w:t>
      </w:r>
    </w:p>
    <w:p w14:paraId="1561AED6" w14:textId="17A823D4" w:rsidR="001B6169" w:rsidRDefault="001B6169" w:rsidP="001B6169">
      <w:pPr>
        <w:pStyle w:val="Nivel3SM"/>
      </w:pPr>
      <w:r>
        <w:t>Cuanto más progresivo sea el sistema.</w:t>
      </w:r>
    </w:p>
    <w:p w14:paraId="5F7D081B" w14:textId="77777777" w:rsidR="001B6169" w:rsidRPr="00993AFC" w:rsidRDefault="001B6169" w:rsidP="001B6169">
      <w:pPr>
        <w:pStyle w:val="Nivel3SM"/>
        <w:rPr>
          <w:spacing w:val="-4"/>
        </w:rPr>
      </w:pPr>
      <w:r w:rsidRPr="00993AFC">
        <w:rPr>
          <w:spacing w:val="-4"/>
        </w:rPr>
        <w:t>Cuanto más rápido se produzca la recaudación (por ejemplo, más retenciones en origen haya).</w:t>
      </w:r>
    </w:p>
    <w:p w14:paraId="5AACCEC5" w14:textId="77777777" w:rsidR="001B6169" w:rsidRDefault="001B6169" w:rsidP="001B6169">
      <w:pPr>
        <w:pStyle w:val="Ttulo3"/>
      </w:pPr>
      <w:bookmarkStart w:id="12" w:name="_Toc151221221"/>
      <w:r w:rsidRPr="00954396">
        <w:t>Principales estabilizadores por el lado de los gastos</w:t>
      </w:r>
      <w:bookmarkEnd w:id="12"/>
    </w:p>
    <w:p w14:paraId="3285490A" w14:textId="77777777" w:rsidR="001B6169" w:rsidRPr="00944F51" w:rsidRDefault="001B6169" w:rsidP="001B6169">
      <w:pPr>
        <w:pStyle w:val="Ttulo6"/>
        <w:spacing w:before="0"/>
      </w:pPr>
      <w:bookmarkStart w:id="13" w:name="_Toc151221222"/>
      <w:r>
        <w:t>Aspectos generales</w:t>
      </w:r>
      <w:bookmarkEnd w:id="13"/>
    </w:p>
    <w:p w14:paraId="3E4FC692" w14:textId="7EDB944E" w:rsidR="001B6169" w:rsidRDefault="001B6169" w:rsidP="001B6169">
      <w:pPr>
        <w:pStyle w:val="Nivel2SM"/>
      </w:pPr>
      <w:r>
        <w:t xml:space="preserve">Se trata de aquellas partidas de gasto que </w:t>
      </w:r>
      <w:r w:rsidR="00CD4174">
        <w:t>cae</w:t>
      </w:r>
      <w:r>
        <w:t>n automáticamente con la actividad económica.</w:t>
      </w:r>
    </w:p>
    <w:p w14:paraId="693A4B54" w14:textId="77777777" w:rsidR="00AC7346" w:rsidRDefault="00AC7346" w:rsidP="00AC7346">
      <w:pPr>
        <w:pStyle w:val="Nivel2SM"/>
      </w:pPr>
      <w:r>
        <w:t xml:space="preserve">Un buen funcionamiento de los estabilizadores automáticos por el lado de los gastos implica una variación </w:t>
      </w:r>
      <w:proofErr w:type="spellStart"/>
      <w:r>
        <w:t>contracíclica</w:t>
      </w:r>
      <w:proofErr w:type="spellEnd"/>
      <w:r>
        <w:t xml:space="preserve"> de los mismos.</w:t>
      </w:r>
    </w:p>
    <w:p w14:paraId="29529BC2" w14:textId="3C691D3D" w:rsidR="001B6169" w:rsidRDefault="001B6169" w:rsidP="00D7370A">
      <w:pPr>
        <w:pStyle w:val="Nivel2SM"/>
        <w:keepNext/>
        <w:spacing w:after="0"/>
      </w:pPr>
      <w:r>
        <w:t xml:space="preserve">El </w:t>
      </w:r>
      <w:r w:rsidRPr="00AC7346">
        <w:rPr>
          <w:b/>
          <w:bCs/>
        </w:rPr>
        <w:t>principal estabilizador automático por el lado de los gastos</w:t>
      </w:r>
      <w:r>
        <w:t xml:space="preserve"> son las </w:t>
      </w:r>
      <w:r w:rsidRPr="00AC7346">
        <w:rPr>
          <w:i/>
          <w:iCs/>
        </w:rPr>
        <w:t>prestaciones por desempleo</w:t>
      </w:r>
      <w:r w:rsidR="00CD4174">
        <w:t xml:space="preserve"> </w:t>
      </w:r>
      <w:r w:rsidR="00CD4174" w:rsidRPr="00CD4174">
        <w:rPr>
          <w:color w:val="767171" w:themeColor="background2" w:themeShade="80"/>
          <w:sz w:val="19"/>
          <w:szCs w:val="19"/>
        </w:rPr>
        <w:t>[</w:t>
      </w:r>
      <w:r w:rsidR="00CD4174">
        <w:rPr>
          <w:color w:val="767171" w:themeColor="background2" w:themeShade="80"/>
          <w:sz w:val="19"/>
          <w:szCs w:val="19"/>
        </w:rPr>
        <w:t>ver tema 4.B.4</w:t>
      </w:r>
      <w:r w:rsidR="00CD4174" w:rsidRPr="00CD4174">
        <w:rPr>
          <w:color w:val="767171" w:themeColor="background2" w:themeShade="80"/>
          <w:sz w:val="19"/>
          <w:szCs w:val="19"/>
        </w:rPr>
        <w:t>]</w:t>
      </w:r>
      <w:r w:rsidR="00D7370A">
        <w:rPr>
          <w:rStyle w:val="Refdenotaalpie"/>
        </w:rPr>
        <w:footnoteReference w:id="12"/>
      </w:r>
      <w:r>
        <w:t>.</w:t>
      </w:r>
    </w:p>
    <w:p w14:paraId="612E2B47" w14:textId="77777777" w:rsidR="001B6169" w:rsidRPr="00944F51" w:rsidRDefault="001B6169" w:rsidP="001B6169">
      <w:pPr>
        <w:pStyle w:val="Ttulo6"/>
      </w:pPr>
      <w:bookmarkStart w:id="14" w:name="_Toc151221223"/>
      <w:r w:rsidRPr="00954396">
        <w:t>Analíticamente</w:t>
      </w:r>
      <w:bookmarkEnd w:id="14"/>
    </w:p>
    <w:p w14:paraId="433F3FC6" w14:textId="77777777" w:rsidR="001B6169" w:rsidRDefault="001B6169" w:rsidP="0084399B">
      <w:pPr>
        <w:pStyle w:val="Nivel1SM"/>
        <w:keepNext/>
        <w:spacing w:before="0" w:after="0"/>
      </w:pPr>
      <w:r>
        <w:t xml:space="preserve">El </w:t>
      </w:r>
      <w:r w:rsidRPr="009B1F07">
        <w:rPr>
          <w:b/>
          <w:bCs/>
        </w:rPr>
        <w:t>efecto estabilizador</w:t>
      </w:r>
      <w:r>
        <w:t xml:space="preserve"> puede medirse a través de la </w:t>
      </w:r>
      <w:r w:rsidRPr="009B1F07">
        <w:rPr>
          <w:b/>
          <w:bCs/>
        </w:rPr>
        <w:t>elasticidad-renta del gasto en prestaciones por desempleo</w:t>
      </w:r>
      <w:r>
        <w:t>, que a su vez puede expresarse como:</w:t>
      </w:r>
    </w:p>
    <w:p w14:paraId="6C7E67DE" w14:textId="060E8344" w:rsidR="001B6169" w:rsidRPr="001E4DF4" w:rsidRDefault="00000000" w:rsidP="001B6169">
      <w:pPr>
        <w:spacing w:after="0"/>
        <w:jc w:val="center"/>
      </w:pPr>
      <m:oMathPara>
        <m:oMath>
          <m:borderBox>
            <m:borderBoxPr>
              <m:ctrlPr>
                <w:rPr>
                  <w:rFonts w:ascii="Cambria Math" w:hAnsi="Cambria Math"/>
                  <w:i/>
                </w:rPr>
              </m:ctrlPr>
            </m:borderBoxPr>
            <m:e>
              <m:sSub>
                <m:sSubPr>
                  <m:ctrlPr>
                    <w:rPr>
                      <w:rFonts w:ascii="Cambria Math" w:hAnsi="Cambria Math"/>
                      <w:i/>
                    </w:rPr>
                  </m:ctrlPr>
                </m:sSubPr>
                <m:e>
                  <m:r>
                    <m:rPr>
                      <m:nor/>
                    </m:rPr>
                    <w:rPr>
                      <w:i/>
                    </w:rPr>
                    <m:t>ε</m:t>
                  </m:r>
                </m:e>
                <m:sub>
                  <m:r>
                    <m:rPr>
                      <m:nor/>
                    </m:rPr>
                    <w:rPr>
                      <w:i/>
                    </w:rPr>
                    <m:t>G,Y</m:t>
                  </m:r>
                </m:sub>
              </m:sSub>
              <m:r>
                <w:rPr>
                  <w:rFonts w:ascii="Cambria Math" w:hAnsi="Cambria Math"/>
                </w:rPr>
                <m:t>=</m:t>
              </m:r>
              <m:sSub>
                <m:sSubPr>
                  <m:ctrlPr>
                    <w:rPr>
                      <w:rFonts w:ascii="Cambria Math" w:hAnsi="Cambria Math"/>
                      <w:i/>
                    </w:rPr>
                  </m:ctrlPr>
                </m:sSubPr>
                <m:e>
                  <m:r>
                    <m:rPr>
                      <m:nor/>
                    </m:rPr>
                    <w:rPr>
                      <w:i/>
                    </w:rPr>
                    <m:t>ε</m:t>
                  </m:r>
                </m:e>
                <m:sub>
                  <m:r>
                    <m:rPr>
                      <m:nor/>
                    </m:rPr>
                    <w:rPr>
                      <w:i/>
                    </w:rPr>
                    <m:t>G,U</m:t>
                  </m:r>
                </m:sub>
              </m:sSub>
              <m:r>
                <w:rPr>
                  <w:rFonts w:ascii="Cambria Math" w:hAnsi="Cambria Math"/>
                </w:rPr>
                <m:t>×</m:t>
              </m:r>
              <m:sSub>
                <m:sSubPr>
                  <m:ctrlPr>
                    <w:rPr>
                      <w:rFonts w:ascii="Cambria Math" w:hAnsi="Cambria Math"/>
                      <w:i/>
                    </w:rPr>
                  </m:ctrlPr>
                </m:sSubPr>
                <m:e>
                  <m:r>
                    <m:rPr>
                      <m:nor/>
                    </m:rPr>
                    <w:rPr>
                      <w:i/>
                    </w:rPr>
                    <m:t>ε</m:t>
                  </m:r>
                </m:e>
                <m:sub>
                  <m:r>
                    <m:rPr>
                      <m:nor/>
                    </m:rPr>
                    <w:rPr>
                      <w:i/>
                    </w:rPr>
                    <m:t>U,Y</m:t>
                  </m:r>
                </m:sub>
              </m:sSub>
            </m:e>
          </m:borderBox>
        </m:oMath>
      </m:oMathPara>
    </w:p>
    <w:p w14:paraId="4863A0CA" w14:textId="7CB0F4D4" w:rsidR="001B6169" w:rsidRDefault="001B6169" w:rsidP="001E4DF4">
      <w:pPr>
        <w:pStyle w:val="Prrafodelista"/>
        <w:keepNext/>
        <w:numPr>
          <w:ilvl w:val="0"/>
          <w:numId w:val="74"/>
        </w:numPr>
        <w:spacing w:after="0"/>
        <w:ind w:left="568" w:hanging="284"/>
      </w:pPr>
      <w:r>
        <w:t xml:space="preserve">El primer componente refleja la </w:t>
      </w:r>
      <w:r w:rsidRPr="001E4DF4">
        <w:rPr>
          <w:b/>
          <w:bCs/>
        </w:rPr>
        <w:t>elasticidad del gasto en prestaciones por desempleo con respecto a las variaciones del desempleo</w:t>
      </w:r>
      <w:r>
        <w:t>:</w:t>
      </w:r>
    </w:p>
    <w:p w14:paraId="311C4A03" w14:textId="296D7255" w:rsidR="001B6169" w:rsidRPr="001E4DF4" w:rsidRDefault="00000000" w:rsidP="001B6169">
      <w:pPr>
        <w:spacing w:after="0"/>
        <w:jc w:val="center"/>
      </w:pPr>
      <m:oMathPara>
        <m:oMath>
          <m:sSub>
            <m:sSubPr>
              <m:ctrlPr>
                <w:rPr>
                  <w:rFonts w:ascii="Cambria Math" w:hAnsi="Cambria Math"/>
                  <w:i/>
                </w:rPr>
              </m:ctrlPr>
            </m:sSubPr>
            <m:e>
              <m:r>
                <m:rPr>
                  <m:nor/>
                </m:rPr>
                <w:rPr>
                  <w:i/>
                </w:rPr>
                <m:t>ε</m:t>
              </m:r>
            </m:e>
            <m:sub>
              <m:r>
                <m:rPr>
                  <m:nor/>
                </m:rPr>
                <w:rPr>
                  <w:i/>
                </w:rPr>
                <m:t>G,U</m:t>
              </m:r>
            </m:sub>
          </m:sSub>
          <m:r>
            <w:rPr>
              <w:rFonts w:ascii="Cambria Math" w:hAnsi="Cambria Math"/>
            </w:rPr>
            <m:t>=</m:t>
          </m:r>
          <m:f>
            <m:fPr>
              <m:ctrlPr>
                <w:rPr>
                  <w:rFonts w:ascii="Cambria Math" w:hAnsi="Cambria Math"/>
                  <w:i/>
                  <w:lang w:val="fr-FR"/>
                </w:rPr>
              </m:ctrlPr>
            </m:fPr>
            <m:num>
              <m:r>
                <w:rPr>
                  <w:rFonts w:ascii="Cambria Math" w:hAnsi="Cambria Math"/>
                </w:rPr>
                <m:t>∆</m:t>
              </m:r>
              <m:r>
                <m:rPr>
                  <m:nor/>
                </m:rPr>
                <w:rPr>
                  <w:i/>
                </w:rPr>
                <m:t>G</m:t>
              </m:r>
            </m:num>
            <m:den>
              <m:r>
                <w:rPr>
                  <w:rFonts w:ascii="Cambria Math" w:hAnsi="Cambria Math"/>
                </w:rPr>
                <m:t>∆</m:t>
              </m:r>
              <m:r>
                <m:rPr>
                  <m:nor/>
                </m:rPr>
                <w:rPr>
                  <w:i/>
                </w:rPr>
                <m:t>U</m:t>
              </m:r>
            </m:den>
          </m:f>
          <m:r>
            <w:rPr>
              <w:rFonts w:ascii="Cambria Math" w:hAnsi="Cambria Math"/>
            </w:rPr>
            <m:t>∙</m:t>
          </m:r>
          <m:f>
            <m:fPr>
              <m:ctrlPr>
                <w:rPr>
                  <w:rFonts w:ascii="Cambria Math" w:hAnsi="Cambria Math"/>
                  <w:i/>
                  <w:lang w:val="fr-FR"/>
                </w:rPr>
              </m:ctrlPr>
            </m:fPr>
            <m:num>
              <m:r>
                <m:rPr>
                  <m:nor/>
                </m:rPr>
                <w:rPr>
                  <w:i/>
                </w:rPr>
                <m:t>U</m:t>
              </m:r>
            </m:num>
            <m:den>
              <m:r>
                <m:rPr>
                  <m:nor/>
                </m:rPr>
                <w:rPr>
                  <w:i/>
                </w:rPr>
                <m:t>G</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w:rPr>
                      <w:rFonts w:ascii="Cambria Math" w:hAnsi="Cambria Math"/>
                    </w:rPr>
                    <m:t>∆</m:t>
                  </m:r>
                  <m:r>
                    <m:rPr>
                      <m:nor/>
                    </m:rPr>
                    <w:rPr>
                      <w:i/>
                    </w:rPr>
                    <m:t>G</m:t>
                  </m:r>
                </m:num>
                <m:den>
                  <m:r>
                    <m:rPr>
                      <m:nor/>
                    </m:rPr>
                    <w:rPr>
                      <w:i/>
                    </w:rPr>
                    <m:t>G</m:t>
                  </m:r>
                </m:den>
              </m:f>
            </m:num>
            <m:den>
              <m:f>
                <m:fPr>
                  <m:type m:val="lin"/>
                  <m:ctrlPr>
                    <w:rPr>
                      <w:rFonts w:ascii="Cambria Math" w:hAnsi="Cambria Math"/>
                      <w:i/>
                    </w:rPr>
                  </m:ctrlPr>
                </m:fPr>
                <m:num>
                  <m:r>
                    <w:rPr>
                      <w:rFonts w:ascii="Cambria Math" w:hAnsi="Cambria Math"/>
                    </w:rPr>
                    <m:t>∆</m:t>
                  </m:r>
                  <m:r>
                    <m:rPr>
                      <m:nor/>
                    </m:rPr>
                    <w:rPr>
                      <w:i/>
                    </w:rPr>
                    <m:t>U</m:t>
                  </m:r>
                </m:num>
                <m:den>
                  <m:r>
                    <m:rPr>
                      <m:nor/>
                    </m:rPr>
                    <w:rPr>
                      <w:i/>
                    </w:rPr>
                    <m:t>U</m:t>
                  </m:r>
                </m:den>
              </m:f>
            </m:den>
          </m:f>
          <m:r>
            <w:rPr>
              <w:rFonts w:ascii="Cambria Math" w:hAnsi="Cambria Math"/>
            </w:rPr>
            <m:t>&gt;</m:t>
          </m:r>
          <m:r>
            <m:rPr>
              <m:nor/>
            </m:rPr>
            <w:rPr>
              <w:i/>
            </w:rPr>
            <m:t>0</m:t>
          </m:r>
        </m:oMath>
      </m:oMathPara>
    </w:p>
    <w:p w14:paraId="25502CC2" w14:textId="570F7896" w:rsidR="001B6169" w:rsidRDefault="001B6169" w:rsidP="001B6169">
      <w:pPr>
        <w:pStyle w:val="Nivel3SM"/>
      </w:pPr>
      <w:r>
        <w:t>Muestra en qué porcentaje aumenta el gasto en prestaciones por desempleo cuando el desempleo aumenta en 1</w:t>
      </w:r>
      <w:r w:rsidR="00A50667">
        <w:t> %</w:t>
      </w:r>
      <w:r>
        <w:t>.</w:t>
      </w:r>
    </w:p>
    <w:p w14:paraId="0FD1D5E3" w14:textId="77777777" w:rsidR="001B6169" w:rsidRDefault="001B6169" w:rsidP="001B6169">
      <w:pPr>
        <w:pStyle w:val="Nivel3SM"/>
      </w:pPr>
      <w:r>
        <w:t>Cuanto más generosas sean las prestaciones (mayor sea la tasa de reposición), mayor será el efecto estabilizador.</w:t>
      </w:r>
    </w:p>
    <w:p w14:paraId="00071CEA" w14:textId="73626A7C" w:rsidR="001B6169" w:rsidRDefault="001B6169" w:rsidP="001E4DF4">
      <w:pPr>
        <w:pStyle w:val="Prrafodelista"/>
        <w:keepNext/>
        <w:numPr>
          <w:ilvl w:val="0"/>
          <w:numId w:val="74"/>
        </w:numPr>
        <w:spacing w:after="0"/>
        <w:ind w:left="568" w:hanging="284"/>
      </w:pPr>
      <w:r>
        <w:lastRenderedPageBreak/>
        <w:t xml:space="preserve">El segundo componente representa la </w:t>
      </w:r>
      <w:r w:rsidRPr="001E4DF4">
        <w:rPr>
          <w:b/>
          <w:bCs/>
        </w:rPr>
        <w:t>ley de Okun</w:t>
      </w:r>
      <w:r>
        <w:t>. Refleja la sensibilidad del desempleo con respecto al ciclo</w:t>
      </w:r>
      <w:r w:rsidR="00934DB7">
        <w:rPr>
          <w:rStyle w:val="Refdenotaalpie"/>
        </w:rPr>
        <w:footnoteReference w:id="13"/>
      </w:r>
      <w:r>
        <w:t>:</w:t>
      </w:r>
    </w:p>
    <w:p w14:paraId="2BED005F" w14:textId="53059057" w:rsidR="001B6169" w:rsidRPr="00944F51" w:rsidRDefault="00000000" w:rsidP="001E4DF4">
      <w:pPr>
        <w:spacing w:after="0"/>
        <w:jc w:val="center"/>
      </w:pPr>
      <m:oMathPara>
        <m:oMath>
          <m:sSub>
            <m:sSubPr>
              <m:ctrlPr>
                <w:rPr>
                  <w:rFonts w:ascii="Cambria Math" w:hAnsi="Cambria Math"/>
                  <w:i/>
                </w:rPr>
              </m:ctrlPr>
            </m:sSubPr>
            <m:e>
              <m:r>
                <m:rPr>
                  <m:nor/>
                </m:rPr>
                <w:rPr>
                  <w:i/>
                </w:rPr>
                <m:t>ε</m:t>
              </m:r>
            </m:e>
            <m:sub>
              <m:r>
                <m:rPr>
                  <m:nor/>
                </m:rPr>
                <w:rPr>
                  <w:i/>
                </w:rPr>
                <m:t>U,Y</m:t>
              </m:r>
            </m:sub>
          </m:sSub>
          <m:r>
            <w:rPr>
              <w:rFonts w:ascii="Cambria Math" w:hAnsi="Cambria Math"/>
            </w:rPr>
            <m:t>=</m:t>
          </m:r>
          <m:f>
            <m:fPr>
              <m:ctrlPr>
                <w:rPr>
                  <w:rFonts w:ascii="Cambria Math" w:hAnsi="Cambria Math"/>
                  <w:i/>
                  <w:lang w:val="fr-FR"/>
                </w:rPr>
              </m:ctrlPr>
            </m:fPr>
            <m:num>
              <m:r>
                <w:rPr>
                  <w:rFonts w:ascii="Cambria Math" w:hAnsi="Cambria Math"/>
                </w:rPr>
                <m:t>∆</m:t>
              </m:r>
              <m:r>
                <m:rPr>
                  <m:nor/>
                </m:rPr>
                <w:rPr>
                  <w:i/>
                </w:rPr>
                <m:t>U</m:t>
              </m:r>
            </m:num>
            <m:den>
              <m:r>
                <w:rPr>
                  <w:rFonts w:ascii="Cambria Math" w:hAnsi="Cambria Math"/>
                </w:rPr>
                <m:t>∆</m:t>
              </m:r>
              <m:r>
                <m:rPr>
                  <m:nor/>
                </m:rPr>
                <w:rPr>
                  <w:i/>
                </w:rPr>
                <m:t>Y</m:t>
              </m:r>
            </m:den>
          </m:f>
          <m:r>
            <w:rPr>
              <w:rFonts w:ascii="Cambria Math" w:hAnsi="Cambria Math"/>
            </w:rPr>
            <m:t>∙</m:t>
          </m:r>
          <m:f>
            <m:fPr>
              <m:ctrlPr>
                <w:rPr>
                  <w:rFonts w:ascii="Cambria Math" w:hAnsi="Cambria Math"/>
                  <w:i/>
                  <w:lang w:val="fr-FR"/>
                </w:rPr>
              </m:ctrlPr>
            </m:fPr>
            <m:num>
              <m:r>
                <m:rPr>
                  <m:nor/>
                </m:rPr>
                <w:rPr>
                  <w:i/>
                </w:rPr>
                <m:t>Y</m:t>
              </m:r>
            </m:num>
            <m:den>
              <m:r>
                <m:rPr>
                  <m:nor/>
                </m:rPr>
                <w:rPr>
                  <w:i/>
                </w:rPr>
                <m:t>U</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w:rPr>
                      <w:rFonts w:ascii="Cambria Math" w:hAnsi="Cambria Math"/>
                    </w:rPr>
                    <m:t>∆</m:t>
                  </m:r>
                  <m:r>
                    <m:rPr>
                      <m:nor/>
                    </m:rPr>
                    <w:rPr>
                      <w:i/>
                    </w:rPr>
                    <m:t>U</m:t>
                  </m:r>
                </m:num>
                <m:den>
                  <m:r>
                    <m:rPr>
                      <m:nor/>
                    </m:rPr>
                    <w:rPr>
                      <w:i/>
                    </w:rPr>
                    <m:t>U</m:t>
                  </m:r>
                </m:den>
              </m:f>
            </m:num>
            <m:den>
              <m:f>
                <m:fPr>
                  <m:type m:val="lin"/>
                  <m:ctrlPr>
                    <w:rPr>
                      <w:rFonts w:ascii="Cambria Math" w:hAnsi="Cambria Math"/>
                      <w:i/>
                    </w:rPr>
                  </m:ctrlPr>
                </m:fPr>
                <m:num>
                  <m:r>
                    <w:rPr>
                      <w:rFonts w:ascii="Cambria Math" w:hAnsi="Cambria Math"/>
                    </w:rPr>
                    <m:t>∆</m:t>
                  </m:r>
                  <m:r>
                    <m:rPr>
                      <m:nor/>
                    </m:rPr>
                    <w:rPr>
                      <w:i/>
                    </w:rPr>
                    <m:t>Y</m:t>
                  </m:r>
                </m:num>
                <m:den>
                  <m:r>
                    <m:rPr>
                      <m:nor/>
                    </m:rPr>
                    <w:rPr>
                      <w:i/>
                    </w:rPr>
                    <m:t>Y</m:t>
                  </m:r>
                </m:den>
              </m:f>
            </m:den>
          </m:f>
          <m:r>
            <w:rPr>
              <w:rFonts w:ascii="Cambria Math" w:hAnsi="Cambria Math"/>
            </w:rPr>
            <m:t>&lt;</m:t>
          </m:r>
          <m:r>
            <m:rPr>
              <m:nor/>
            </m:rPr>
            <w:rPr>
              <w:i/>
            </w:rPr>
            <m:t>0</m:t>
          </m:r>
        </m:oMath>
      </m:oMathPara>
    </w:p>
    <w:p w14:paraId="3E33FB4E" w14:textId="77777777" w:rsidR="001B6169" w:rsidRPr="00944F51" w:rsidRDefault="001B6169" w:rsidP="001B6169">
      <w:pPr>
        <w:pStyle w:val="Nivel2SM"/>
        <w:rPr>
          <w:b/>
        </w:rPr>
      </w:pPr>
      <w:r>
        <w:t xml:space="preserve">Como el primer componente es positivo y el segundo negativo, su producto será negativo, lo que indica que el gasto en prestaciones por desempleo es </w:t>
      </w:r>
      <w:proofErr w:type="spellStart"/>
      <w:r w:rsidRPr="00BC0B19">
        <w:rPr>
          <w:u w:val="single"/>
        </w:rPr>
        <w:t>contra</w:t>
      </w:r>
      <w:r w:rsidRPr="007B5121">
        <w:rPr>
          <w:u w:val="single"/>
        </w:rPr>
        <w:t>cíclico</w:t>
      </w:r>
      <w:proofErr w:type="spellEnd"/>
      <w:r>
        <w:t xml:space="preserve"> (y, de esta forma, actúa como estabilizador automático).</w:t>
      </w:r>
    </w:p>
    <w:p w14:paraId="6B3CA8B0" w14:textId="77777777" w:rsidR="001B6169" w:rsidRPr="00E341E4" w:rsidRDefault="001B6169" w:rsidP="001B6169">
      <w:pPr>
        <w:pStyle w:val="Nivel2SM"/>
        <w:keepNext/>
        <w:spacing w:after="0"/>
        <w:rPr>
          <w:b/>
        </w:rPr>
      </w:pPr>
      <w:r>
        <w:t>Otros estabilizadores automáticos por el lado de los gastos:</w:t>
      </w:r>
    </w:p>
    <w:p w14:paraId="11206179" w14:textId="1E69029C" w:rsidR="001B6169" w:rsidRPr="00E341E4" w:rsidRDefault="001B6169" w:rsidP="001B6169">
      <w:pPr>
        <w:pStyle w:val="Nivel3SM"/>
        <w:rPr>
          <w:b/>
        </w:rPr>
      </w:pPr>
      <w:r>
        <w:t>Ejemplo: Prestaciones ligadas a programas de reducción de la pobreza u otras prestaciones no contributivas.</w:t>
      </w:r>
    </w:p>
    <w:p w14:paraId="22482A69" w14:textId="77777777" w:rsidR="001B6169" w:rsidRPr="00944F51" w:rsidRDefault="001B6169" w:rsidP="001B6169">
      <w:pPr>
        <w:pStyle w:val="Nivel3SM"/>
        <w:rPr>
          <w:b/>
        </w:rPr>
      </w:pPr>
      <w:r>
        <w:t>No obstante, tienen un impacto marginal.</w:t>
      </w:r>
    </w:p>
    <w:p w14:paraId="458FD49D" w14:textId="77777777" w:rsidR="001B6169" w:rsidRDefault="001B6169" w:rsidP="0084399B">
      <w:pPr>
        <w:pStyle w:val="Ttulo2"/>
      </w:pPr>
      <w:bookmarkStart w:id="15" w:name="_Toc151221224"/>
      <w:r>
        <w:t>Resultados</w:t>
      </w:r>
      <w:bookmarkEnd w:id="15"/>
    </w:p>
    <w:p w14:paraId="39DC560A" w14:textId="77777777" w:rsidR="001B6169" w:rsidRDefault="001B6169" w:rsidP="005235E0">
      <w:pPr>
        <w:pStyle w:val="Nivel2SM"/>
        <w:keepNext/>
        <w:spacing w:after="0"/>
      </w:pPr>
      <w:r>
        <w:t xml:space="preserve">Las principales </w:t>
      </w:r>
      <w:r w:rsidRPr="005235E0">
        <w:rPr>
          <w:b/>
          <w:bCs/>
        </w:rPr>
        <w:t>conclusiones</w:t>
      </w:r>
      <w:r>
        <w:t xml:space="preserve"> son:</w:t>
      </w:r>
    </w:p>
    <w:p w14:paraId="53033A66" w14:textId="2C6B5676" w:rsidR="001B6169" w:rsidRPr="001C2234" w:rsidRDefault="001B6169" w:rsidP="005235E0">
      <w:pPr>
        <w:pStyle w:val="Nivel3SM"/>
      </w:pPr>
      <w:r w:rsidRPr="005235E0">
        <w:rPr>
          <w:i/>
          <w:iCs/>
          <w:u w:val="single"/>
        </w:rPr>
        <w:t>Papel estabilizador</w:t>
      </w:r>
      <w:r w:rsidR="005235E0" w:rsidRPr="005235E0">
        <w:t>:</w:t>
      </w:r>
      <w:r w:rsidR="005235E0">
        <w:t xml:space="preserve"> </w:t>
      </w:r>
      <w:r w:rsidRPr="001C2234">
        <w:t>El presupuesto juega un papel estabilizador del ciclo tanto por el lado de los ingresos como el lado de los gastos.</w:t>
      </w:r>
    </w:p>
    <w:p w14:paraId="75723682" w14:textId="77777777" w:rsidR="001B6169" w:rsidRPr="001C2234" w:rsidRDefault="001B6169" w:rsidP="006A7DB3">
      <w:pPr>
        <w:pStyle w:val="Nivel3SM"/>
        <w:keepNext/>
      </w:pPr>
      <w:r w:rsidRPr="006A7DB3">
        <w:rPr>
          <w:i/>
          <w:iCs/>
          <w:u w:val="single"/>
        </w:rPr>
        <w:t>El efecto estabilizador de los ingresos es, en principio, mayor que el de los gastos</w:t>
      </w:r>
      <w:r w:rsidRPr="001C2234">
        <w:t>, ya que el efecto compensador de los gastos depende únicamente de las prestaciones por desempleo.</w:t>
      </w:r>
    </w:p>
    <w:p w14:paraId="39A218E8" w14:textId="7B13F48E" w:rsidR="001B6169" w:rsidRPr="001C2234" w:rsidRDefault="001B6169" w:rsidP="005235E0">
      <w:pPr>
        <w:pStyle w:val="Nivel4"/>
        <w:ind w:left="1474"/>
      </w:pPr>
      <w:r w:rsidRPr="001C2234">
        <w:t>Esto se aprecia bien en el caso de la economía española. En el año</w:t>
      </w:r>
      <w:r w:rsidR="00EF637F">
        <w:t> </w:t>
      </w:r>
      <w:r w:rsidRPr="001C2234">
        <w:t>2008, cuando la crisis golpeó a la economía española en el segundo semestre, los ingresos como porcentaje del PIB cayeron 4</w:t>
      </w:r>
      <w:r w:rsidR="00A50667">
        <w:t> </w:t>
      </w:r>
      <w:r w:rsidRPr="001C2234">
        <w:t>puntos (del 41</w:t>
      </w:r>
      <w:r w:rsidR="00A50667">
        <w:t> %</w:t>
      </w:r>
      <w:r w:rsidRPr="001C2234">
        <w:t xml:space="preserve"> de 2007 al 37</w:t>
      </w:r>
      <w:r w:rsidR="00A50667">
        <w:t> %</w:t>
      </w:r>
      <w:r w:rsidRPr="001C2234">
        <w:t xml:space="preserve"> de 2009), mientras que los gastos sólo aumentaron 2</w:t>
      </w:r>
      <w:r w:rsidR="00A50667">
        <w:t> </w:t>
      </w:r>
      <w:r w:rsidRPr="001C2234">
        <w:t>puntos (39</w:t>
      </w:r>
      <w:r w:rsidR="00A50667">
        <w:t> %</w:t>
      </w:r>
      <w:r w:rsidRPr="001C2234">
        <w:t xml:space="preserve"> al 41</w:t>
      </w:r>
      <w:r w:rsidR="00A50667">
        <w:t> %</w:t>
      </w:r>
      <w:r w:rsidRPr="001C2234">
        <w:t>).</w:t>
      </w:r>
    </w:p>
    <w:p w14:paraId="5E05D501" w14:textId="77452C03" w:rsidR="001B6169" w:rsidRPr="00944F51" w:rsidRDefault="001B6169" w:rsidP="005235E0">
      <w:pPr>
        <w:pStyle w:val="Nivel3SM"/>
      </w:pPr>
      <w:r w:rsidRPr="005235E0">
        <w:rPr>
          <w:i/>
          <w:iCs/>
          <w:u w:val="single"/>
        </w:rPr>
        <w:t>Desempleo</w:t>
      </w:r>
      <w:r w:rsidR="005235E0">
        <w:t xml:space="preserve">: </w:t>
      </w:r>
      <w:r w:rsidRPr="001C2234">
        <w:t>El desempleo afecta a los estabilizadores automáticos tanto por el lado de los gastos (prestaciones) como por el lado de los ingresos (cotizaciones sociales).</w:t>
      </w:r>
    </w:p>
    <w:p w14:paraId="20C97955" w14:textId="77777777" w:rsidR="001B6169" w:rsidRDefault="001B6169" w:rsidP="0084399B">
      <w:pPr>
        <w:pStyle w:val="Ttulo2"/>
      </w:pPr>
      <w:bookmarkStart w:id="16" w:name="_Toc151221225"/>
      <w:r w:rsidRPr="009B457C">
        <w:t>Estimaciones del efecto de los estabilizadores automáticos</w:t>
      </w:r>
      <w:bookmarkEnd w:id="16"/>
    </w:p>
    <w:p w14:paraId="68487693" w14:textId="63007C5D" w:rsidR="00C53705" w:rsidRDefault="00C53705" w:rsidP="00C53705">
      <w:pPr>
        <w:pStyle w:val="Nivel1SM"/>
        <w:keepNext/>
        <w:spacing w:before="0" w:after="0"/>
      </w:pPr>
      <w:r>
        <w:t>Empíricamente, casi todos los instrumentos de la política fiscal muestran una elasticidad significativa, de forma que tienden a reducir la amplitud de las fluctuaciones de una manera que no requiere una actuación deliberada por parte de la autoridad fiscal. De ahí que se considere que la política fiscal es inherentemente estabilizadora.</w:t>
      </w:r>
    </w:p>
    <w:p w14:paraId="6C406FEB" w14:textId="17D883E4" w:rsidR="001B6169" w:rsidRDefault="001B6169" w:rsidP="005235E0">
      <w:pPr>
        <w:pStyle w:val="Nivel2SM"/>
      </w:pPr>
      <w:r>
        <w:t xml:space="preserve">Según las estimaciones del modelo </w:t>
      </w:r>
      <w:proofErr w:type="spellStart"/>
      <w:r w:rsidRPr="002E72D5">
        <w:rPr>
          <w:i/>
        </w:rPr>
        <w:t>Interlink</w:t>
      </w:r>
      <w:proofErr w:type="spellEnd"/>
      <w:r>
        <w:t xml:space="preserve"> (el modelo econométrico que usa la OCDE para la economía mundial), </w:t>
      </w:r>
      <w:r w:rsidRPr="009B457C">
        <w:rPr>
          <w:u w:val="single"/>
        </w:rPr>
        <w:t>los estabilizadores automáticos reducen en un 25</w:t>
      </w:r>
      <w:r w:rsidR="00A50667">
        <w:rPr>
          <w:u w:val="single"/>
        </w:rPr>
        <w:t> %</w:t>
      </w:r>
      <w:r w:rsidRPr="009B457C">
        <w:rPr>
          <w:u w:val="single"/>
        </w:rPr>
        <w:t xml:space="preserve"> las fluctuaciones de la actividad económica</w:t>
      </w:r>
      <w:r w:rsidRPr="009B457C">
        <w:t>.</w:t>
      </w:r>
    </w:p>
    <w:p w14:paraId="7F12737E" w14:textId="574B19F9" w:rsidR="001B6169" w:rsidRDefault="001B6169" w:rsidP="005235E0">
      <w:pPr>
        <w:pStyle w:val="Nivel2SM"/>
        <w:keepNext/>
        <w:spacing w:after="0"/>
      </w:pPr>
      <w:r>
        <w:t xml:space="preserve">Además se ha observado que </w:t>
      </w:r>
      <w:r w:rsidRPr="009B457C">
        <w:t>a mayor grado de apertura, menor capacidad amortiguadora de los estabilizadores automáticos</w:t>
      </w:r>
      <w:r>
        <w:t>.</w:t>
      </w:r>
    </w:p>
    <w:p w14:paraId="01E5A2FC" w14:textId="2079FC55" w:rsidR="001B6169" w:rsidRPr="00944F51" w:rsidRDefault="001B6169" w:rsidP="005235E0">
      <w:pPr>
        <w:pStyle w:val="Nivel3SM"/>
      </w:pPr>
      <w:r>
        <w:t>Esto tiene sentido, ya que sabemos que en una economía abierta la política fiscal es generalmente menos expansiva que en una economía cerrada</w:t>
      </w:r>
      <w:r w:rsidR="00EE4E1D">
        <w:t xml:space="preserve"> (como veremos a continuación)</w:t>
      </w:r>
      <w:r>
        <w:t>. De hecho</w:t>
      </w:r>
      <w:r w:rsidR="00EE4E1D">
        <w:t>,</w:t>
      </w:r>
      <w:r>
        <w:t xml:space="preserve"> si lo llevamos al extremo, una política fiscal en una economía abierta con perfecta movilidad de capitales es completamente ineficaz.</w:t>
      </w:r>
    </w:p>
    <w:p w14:paraId="61AA5AE9" w14:textId="50C1B314" w:rsidR="001B6169" w:rsidRDefault="001B6169" w:rsidP="00EE4E1D">
      <w:pPr>
        <w:pStyle w:val="Nivel3SM"/>
      </w:pPr>
      <w:r>
        <w:lastRenderedPageBreak/>
        <w:t xml:space="preserve">Esto también explicaría la conclusión de </w:t>
      </w:r>
      <w:r w:rsidRPr="00944F51">
        <w:rPr>
          <w:smallCaps/>
        </w:rPr>
        <w:t>Rodrik</w:t>
      </w:r>
      <w:r>
        <w:t xml:space="preserve"> (1989) de que a mayor grado de apertura, menor efectividad de los estabilizadores automáticos y por tanto mayor necesidad de que éstos sean más grandes para que ejerzan un efecto estabilizador suficiente.</w:t>
      </w:r>
    </w:p>
    <w:p w14:paraId="1B56C717" w14:textId="6F99F32D" w:rsidR="00C53705" w:rsidRDefault="00C53705" w:rsidP="00C53705">
      <w:pPr>
        <w:pStyle w:val="Nivel2SM"/>
        <w:keepNext/>
        <w:spacing w:after="0"/>
      </w:pPr>
      <w:r>
        <w:t xml:space="preserve">Por otro lado, </w:t>
      </w:r>
      <w:proofErr w:type="spellStart"/>
      <w:r>
        <w:rPr>
          <w:smallCaps/>
        </w:rPr>
        <w:t>Dolls</w:t>
      </w:r>
      <w:proofErr w:type="spellEnd"/>
      <w:r>
        <w:t xml:space="preserve"> (2010) encuentra que:</w:t>
      </w:r>
    </w:p>
    <w:p w14:paraId="2C5834FA" w14:textId="77777777" w:rsidR="00C53705" w:rsidRDefault="00C53705" w:rsidP="00C53705">
      <w:pPr>
        <w:pStyle w:val="Nivel3SM"/>
      </w:pPr>
      <w:r>
        <w:t>En la zona euro los estabilizadores automáticos permitirían absorber el 49 % de la variación de la renta disponible asociada a un shock que produzca un aumento del desempleo (que afecta asimétricamente a distintos individuos).</w:t>
      </w:r>
    </w:p>
    <w:p w14:paraId="6086A77F" w14:textId="40995547" w:rsidR="00C53705" w:rsidRDefault="00C53705" w:rsidP="00C53705">
      <w:pPr>
        <w:pStyle w:val="Nivel3SM"/>
      </w:pPr>
      <w:r>
        <w:t>En Estados Unidos, por su parte, permitirían absorber únicamente el 32 % de dicha variación.</w:t>
      </w:r>
    </w:p>
    <w:p w14:paraId="1099F8E6" w14:textId="201BAB48" w:rsidR="00C53705" w:rsidRPr="00944F51" w:rsidRDefault="00C53705" w:rsidP="00C53705">
      <w:pPr>
        <w:pStyle w:val="Nivel2SM"/>
      </w:pPr>
      <w:r>
        <w:t>En cualquier caso, la capacidad amortiguadora de los estabilizadores automáticos es limitada y depende de la elasticidad y tamaño del instrumento fiscal, de forma que puede plantearse el uso de una política fiscal discrecional que complete el funcionamiento de los estabilizadores automáticos. Naturalmente, esta función tiende a ser más importante en situaciones extremas, especialmente cuando el ciclo de actividad se encuentra en una fase agudamente recesiva.</w:t>
      </w:r>
    </w:p>
    <w:p w14:paraId="5F6E93C8" w14:textId="77777777" w:rsidR="001B6169" w:rsidRDefault="001B6169" w:rsidP="0084399B">
      <w:pPr>
        <w:pStyle w:val="Ttulo2"/>
      </w:pPr>
      <w:bookmarkStart w:id="17" w:name="_Toc151221226"/>
      <w:r w:rsidRPr="009B457C">
        <w:t>Balance</w:t>
      </w:r>
      <w:r>
        <w:t xml:space="preserve"> de los estabilizadores automáticos</w:t>
      </w:r>
      <w:bookmarkEnd w:id="17"/>
    </w:p>
    <w:p w14:paraId="30284928" w14:textId="77777777" w:rsidR="001B6169" w:rsidRDefault="001B6169" w:rsidP="005235E0">
      <w:pPr>
        <w:pStyle w:val="Nivel2SM"/>
        <w:keepNext/>
        <w:spacing w:after="0"/>
      </w:pPr>
      <w:r w:rsidRPr="005235E0">
        <w:rPr>
          <w:u w:val="single"/>
        </w:rPr>
        <w:t>Positivo</w:t>
      </w:r>
      <w:r>
        <w:t>:</w:t>
      </w:r>
    </w:p>
    <w:p w14:paraId="148B53C8" w14:textId="77777777" w:rsidR="001B6169" w:rsidRDefault="001B6169" w:rsidP="005235E0">
      <w:pPr>
        <w:pStyle w:val="Nivel3SM"/>
      </w:pPr>
      <w:r>
        <w:t>Actúan de forma inmediata, sin verse afectados por los retardos inherentes a las decisiones discrecionales de política económica.</w:t>
      </w:r>
    </w:p>
    <w:p w14:paraId="37A85E39" w14:textId="274507FB" w:rsidR="005A24FF" w:rsidRDefault="005A24FF" w:rsidP="005235E0">
      <w:pPr>
        <w:pStyle w:val="Nivel3SM"/>
      </w:pPr>
      <w:r>
        <w:t>Además, aparte de los efectos de suavización impositiva, el gobierno podría dejar actuar a los estabilizadores automáticos en lugar de cambiar continuamente los tipos impositivos para minimizar distorsiones y no crear incertidumbre.</w:t>
      </w:r>
    </w:p>
    <w:p w14:paraId="4019E7BD" w14:textId="77777777" w:rsidR="001B6169" w:rsidRDefault="001B6169" w:rsidP="005235E0">
      <w:pPr>
        <w:pStyle w:val="Nivel2SM"/>
        <w:keepNext/>
        <w:spacing w:after="0"/>
      </w:pPr>
      <w:r w:rsidRPr="005235E0">
        <w:rPr>
          <w:u w:val="single"/>
        </w:rPr>
        <w:t>Negativo</w:t>
      </w:r>
      <w:r>
        <w:t>:</w:t>
      </w:r>
    </w:p>
    <w:p w14:paraId="1889DF08" w14:textId="32BA8A7E" w:rsidR="00C53705" w:rsidRDefault="001B6169" w:rsidP="00C53705">
      <w:pPr>
        <w:pStyle w:val="Nivel3SM"/>
      </w:pPr>
      <w:r>
        <w:t>No amortiguan lo suficiente (sólo un 25</w:t>
      </w:r>
      <w:r w:rsidR="00A50667">
        <w:t> %</w:t>
      </w:r>
      <w:r>
        <w:t>).</w:t>
      </w:r>
      <w:r w:rsidR="00EE4E1D">
        <w:t xml:space="preserve"> </w:t>
      </w:r>
      <w:r>
        <w:t>Por tanto</w:t>
      </w:r>
      <w:r w:rsidR="00EE4E1D">
        <w:t>, es</w:t>
      </w:r>
      <w:r>
        <w:t xml:space="preserve"> </w:t>
      </w:r>
      <w:r w:rsidR="00EE4E1D">
        <w:t>n</w:t>
      </w:r>
      <w:r>
        <w:t>eces</w:t>
      </w:r>
      <w:r w:rsidR="00EE4E1D">
        <w:t>ario</w:t>
      </w:r>
      <w:r>
        <w:t xml:space="preserve"> complementarlos con medidas discrecionales.</w:t>
      </w:r>
    </w:p>
    <w:p w14:paraId="01ED8E04" w14:textId="7A406F36" w:rsidR="00F43BC8" w:rsidRDefault="00B52D7E" w:rsidP="00FE1664">
      <w:pPr>
        <w:pStyle w:val="Ttulo1"/>
      </w:pPr>
      <w:bookmarkStart w:id="18" w:name="_Ref149841042"/>
      <w:bookmarkStart w:id="19" w:name="_Toc151221227"/>
      <w:r w:rsidRPr="00B52D7E">
        <w:rPr>
          <w:spacing w:val="-7"/>
        </w:rPr>
        <w:t>PRESUPUESTO COMO ELEMENTO COMPENSADOR DE LA ACTIVIDAD ECONÓMICA (II):</w:t>
      </w:r>
      <w:r>
        <w:rPr>
          <w:spacing w:val="-6"/>
        </w:rPr>
        <w:br/>
      </w:r>
      <w:r w:rsidR="00530247">
        <w:t xml:space="preserve">efectos discrecionales del presupuesto. </w:t>
      </w:r>
      <w:r w:rsidR="008336D3">
        <w:t>REPASO DE TEORÍA ECONÓMICA</w:t>
      </w:r>
      <w:bookmarkEnd w:id="18"/>
      <w:bookmarkEnd w:id="19"/>
    </w:p>
    <w:p w14:paraId="04D3BD99" w14:textId="258E46C2" w:rsidR="00046774" w:rsidRDefault="00046774" w:rsidP="00046774">
      <w:pPr>
        <w:pStyle w:val="Notaalopositor"/>
      </w:pPr>
      <w:r>
        <w:t>Este apartado corto</w:t>
      </w:r>
      <w:r w:rsidR="007C1762">
        <w:t xml:space="preserve"> (no más</w:t>
      </w:r>
      <w:r w:rsidR="008336D3">
        <w:t xml:space="preserve"> </w:t>
      </w:r>
      <w:r w:rsidR="007C1762">
        <w:t>de 5 minutos)</w:t>
      </w:r>
      <w:r>
        <w:t>.</w:t>
      </w:r>
    </w:p>
    <w:p w14:paraId="07D6D297" w14:textId="5D7C2A46" w:rsidR="0084399B" w:rsidRPr="00046774" w:rsidRDefault="0084399B" w:rsidP="0084399B">
      <w:pPr>
        <w:pStyle w:val="Ttulo2"/>
      </w:pPr>
      <w:bookmarkStart w:id="20" w:name="_Toc151221228"/>
      <w:r>
        <w:t>Definición</w:t>
      </w:r>
      <w:bookmarkEnd w:id="20"/>
    </w:p>
    <w:p w14:paraId="5195A4B1" w14:textId="26062703" w:rsidR="001B6169" w:rsidRDefault="0084399B" w:rsidP="0084399B">
      <w:pPr>
        <w:pStyle w:val="Nivel1SM"/>
        <w:keepNext/>
        <w:spacing w:before="0" w:after="0"/>
      </w:pPr>
      <w:bookmarkStart w:id="21" w:name="_Toc142500885"/>
      <w:bookmarkStart w:id="22" w:name="_Hlk494199334"/>
      <w:r>
        <w:t>A continuación</w:t>
      </w:r>
      <w:r w:rsidR="001B6169">
        <w:t xml:space="preserve"> analizaremos los </w:t>
      </w:r>
      <w:r w:rsidR="001B6169" w:rsidRPr="001B6169">
        <w:rPr>
          <w:b/>
          <w:bCs/>
        </w:rPr>
        <w:t>efectos discrecionales del presupuesto</w:t>
      </w:r>
      <w:r w:rsidR="001B6169">
        <w:t xml:space="preserve">. Se trata de aquellas variaciones de gastos e ingresos públicos fruto de </w:t>
      </w:r>
      <w:r w:rsidR="001B6169" w:rsidRPr="009B457C">
        <w:rPr>
          <w:u w:val="single"/>
        </w:rPr>
        <w:t>decisiones explícitas de política fiscal</w:t>
      </w:r>
      <w:r w:rsidR="001B6169">
        <w:t>.</w:t>
      </w:r>
    </w:p>
    <w:p w14:paraId="74DBED9E" w14:textId="77777777" w:rsidR="001B6169" w:rsidRDefault="001B6169" w:rsidP="0084399B">
      <w:pPr>
        <w:pStyle w:val="Nivel2SM"/>
      </w:pPr>
      <w:r>
        <w:t xml:space="preserve">Las medidas discrecionales se pueden adoptar por </w:t>
      </w:r>
      <w:r w:rsidRPr="0084399B">
        <w:rPr>
          <w:i/>
          <w:iCs/>
        </w:rPr>
        <w:t>el lado de los ingresos</w:t>
      </w:r>
      <w:r>
        <w:t xml:space="preserve"> (alterando la estructura impositiva) y/o </w:t>
      </w:r>
      <w:r w:rsidRPr="0084399B">
        <w:rPr>
          <w:i/>
          <w:iCs/>
        </w:rPr>
        <w:t>de los gastos</w:t>
      </w:r>
      <w:r>
        <w:t xml:space="preserve"> (alterando la cuantía y/o composición del gasto público).</w:t>
      </w:r>
    </w:p>
    <w:p w14:paraId="5802C09A" w14:textId="77777777" w:rsidR="0084399B" w:rsidRPr="00296791" w:rsidRDefault="0084399B" w:rsidP="0084399B">
      <w:pPr>
        <w:pStyle w:val="Nivel1SM"/>
        <w:rPr>
          <w:b/>
        </w:rPr>
      </w:pPr>
      <w:r>
        <w:t>Comenzaremos el análisis repasando las principales aportaciones de la teoría económica a la capacidad de la política fiscal y por ende del déficit público del ciclo económico.</w:t>
      </w:r>
    </w:p>
    <w:p w14:paraId="3437C601" w14:textId="77777777" w:rsidR="001B6169" w:rsidRPr="00944F51" w:rsidRDefault="001B6169" w:rsidP="0084399B">
      <w:pPr>
        <w:pStyle w:val="Ttulo2"/>
      </w:pPr>
      <w:bookmarkStart w:id="23" w:name="_Toc151221229"/>
      <w:r w:rsidRPr="009B457C">
        <w:t>Funcionamiento</w:t>
      </w:r>
      <w:bookmarkEnd w:id="23"/>
    </w:p>
    <w:p w14:paraId="5AB3D4BA" w14:textId="77777777" w:rsidR="001B6169" w:rsidRDefault="001B6169" w:rsidP="001B6169">
      <w:pPr>
        <w:pStyle w:val="Ttulo6"/>
        <w:spacing w:before="0"/>
      </w:pPr>
      <w:bookmarkStart w:id="24" w:name="_Toc151221230"/>
      <w:r>
        <w:t>Introducción: Shock negativo</w:t>
      </w:r>
      <w:bookmarkEnd w:id="24"/>
    </w:p>
    <w:p w14:paraId="3FF4BE89" w14:textId="77777777" w:rsidR="001B6169" w:rsidRDefault="001B6169" w:rsidP="001B6169">
      <w:pPr>
        <w:pStyle w:val="Nivel2SM"/>
      </w:pPr>
      <w:r>
        <w:t xml:space="preserve">Supongamos que, ante un </w:t>
      </w:r>
      <w:r w:rsidRPr="00277A5B">
        <w:rPr>
          <w:b/>
        </w:rPr>
        <w:t>shock negativo</w:t>
      </w:r>
      <w:r>
        <w:t xml:space="preserve">, los estabilizadores automáticos producen un aumento del gasto y una reducción de los impuestos de forma automática, pero que dichos </w:t>
      </w:r>
      <w:r w:rsidRPr="00277A5B">
        <w:rPr>
          <w:b/>
        </w:rPr>
        <w:t xml:space="preserve">efectos compensadores </w:t>
      </w:r>
      <w:r>
        <w:t xml:space="preserve">de la actividad económica se consideran </w:t>
      </w:r>
      <w:r w:rsidRPr="00277A5B">
        <w:rPr>
          <w:b/>
        </w:rPr>
        <w:t>insuficientes</w:t>
      </w:r>
      <w:r>
        <w:t xml:space="preserve"> por el Gobierno.</w:t>
      </w:r>
    </w:p>
    <w:p w14:paraId="2B3E54E1" w14:textId="77777777" w:rsidR="001B6169" w:rsidRPr="00944F51" w:rsidRDefault="001B6169" w:rsidP="001B6169">
      <w:pPr>
        <w:pStyle w:val="Ttulo6"/>
      </w:pPr>
      <w:bookmarkStart w:id="25" w:name="_Toc151221231"/>
      <w:r w:rsidRPr="009B457C">
        <w:t>Política fiscal discrecional</w:t>
      </w:r>
      <w:bookmarkEnd w:id="25"/>
    </w:p>
    <w:p w14:paraId="114AFDAE" w14:textId="77777777" w:rsidR="001B6169" w:rsidRDefault="001B6169" w:rsidP="001B6169">
      <w:pPr>
        <w:pStyle w:val="Nivel2SM"/>
        <w:keepNext/>
        <w:spacing w:after="0"/>
      </w:pPr>
      <w:r>
        <w:t xml:space="preserve">Pondrá, pues, en marcha una </w:t>
      </w:r>
      <w:r w:rsidRPr="00277A5B">
        <w:rPr>
          <w:b/>
        </w:rPr>
        <w:t>política fiscal expansiva discrecional</w:t>
      </w:r>
      <w:r>
        <w:t xml:space="preserve">, siguiendo el siguiente </w:t>
      </w:r>
      <w:r w:rsidRPr="00277A5B">
        <w:rPr>
          <w:b/>
        </w:rPr>
        <w:t>proceso</w:t>
      </w:r>
      <w:r>
        <w:t>:</w:t>
      </w:r>
    </w:p>
    <w:p w14:paraId="04F2A9B2" w14:textId="77777777" w:rsidR="001B6169" w:rsidRDefault="001B6169" w:rsidP="001B6169">
      <w:pPr>
        <w:pStyle w:val="Nivel3SM"/>
      </w:pPr>
      <w:r w:rsidRPr="00867136">
        <w:rPr>
          <w:u w:val="single"/>
        </w:rPr>
        <w:t>Primero</w:t>
      </w:r>
      <w:r>
        <w:t>: Determinar cuánto se quiere aumentar la renta.</w:t>
      </w:r>
    </w:p>
    <w:p w14:paraId="6C64CEF4" w14:textId="77777777" w:rsidR="001B6169" w:rsidRDefault="001B6169" w:rsidP="001B6169">
      <w:pPr>
        <w:pStyle w:val="Nivel3SM"/>
        <w:keepNext/>
      </w:pPr>
      <w:r w:rsidRPr="00867136">
        <w:rPr>
          <w:u w:val="single"/>
        </w:rPr>
        <w:lastRenderedPageBreak/>
        <w:t>Segundo</w:t>
      </w:r>
      <w:r>
        <w:t>: Definir el modelo de la economía.</w:t>
      </w:r>
    </w:p>
    <w:p w14:paraId="726456CE" w14:textId="77777777" w:rsidR="001B6169" w:rsidRDefault="001B6169" w:rsidP="001B6169">
      <w:pPr>
        <w:pStyle w:val="Nivel4"/>
        <w:ind w:left="1474"/>
      </w:pPr>
      <w:r>
        <w:t>Supongamos que el modelo viene dado por aquel introducido anteriormente (economía cerrada con impuestos de suma fija).</w:t>
      </w:r>
    </w:p>
    <w:p w14:paraId="0E6319E5" w14:textId="77777777" w:rsidR="001B6169" w:rsidRDefault="001B6169" w:rsidP="001B6169">
      <w:pPr>
        <w:pStyle w:val="Nivel3SM"/>
        <w:keepNext/>
      </w:pPr>
      <w:r w:rsidRPr="00CD1CFD">
        <w:rPr>
          <w:u w:val="single"/>
        </w:rPr>
        <w:t>Tercero</w:t>
      </w:r>
      <w:r>
        <w:t>: Estimación de los multiplicadores keynesianos:</w:t>
      </w:r>
    </w:p>
    <w:p w14:paraId="0AE51FD1" w14:textId="77777777" w:rsidR="001B6169" w:rsidRDefault="001B6169" w:rsidP="001B6169">
      <w:pPr>
        <w:pStyle w:val="Letras"/>
        <w:numPr>
          <w:ilvl w:val="0"/>
          <w:numId w:val="0"/>
        </w:numPr>
        <w:jc w:val="center"/>
      </w:pPr>
      <w:r>
        <w:rPr>
          <w:noProof/>
          <w:position w:val="-56"/>
        </w:rPr>
        <w:object w:dxaOrig="1035" w:dyaOrig="570" w14:anchorId="335A1B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pt;height:51pt" o:ole="">
            <v:imagedata r:id="rId8" o:title=""/>
          </v:shape>
          <o:OLEObject Type="Embed" ProgID="Equation.3" ShapeID="_x0000_i1025" DrawAspect="Content" ObjectID="_1830028024" r:id="rId9"/>
        </w:object>
      </w:r>
      <w:r>
        <w:t xml:space="preserve">               </w:t>
      </w:r>
      <w:r>
        <w:rPr>
          <w:noProof/>
          <w:position w:val="-56"/>
        </w:rPr>
        <w:object w:dxaOrig="1020" w:dyaOrig="570" w14:anchorId="22E27629">
          <v:shape id="_x0000_i1026" type="#_x0000_t75" style="width:84pt;height:46.5pt" o:ole="">
            <v:imagedata r:id="rId10" o:title=""/>
          </v:shape>
          <o:OLEObject Type="Embed" ProgID="Equation.3" ShapeID="_x0000_i1026" DrawAspect="Content" ObjectID="_1830028025" r:id="rId11"/>
        </w:object>
      </w:r>
    </w:p>
    <w:p w14:paraId="13023C31" w14:textId="77777777" w:rsidR="001B6169" w:rsidRDefault="001B6169" w:rsidP="001B6169">
      <w:pPr>
        <w:pStyle w:val="Nivel3SM"/>
        <w:keepNext/>
      </w:pPr>
      <w:r w:rsidRPr="00CD1CFD">
        <w:rPr>
          <w:u w:val="single"/>
        </w:rPr>
        <w:t>Cuarto</w:t>
      </w:r>
      <w:r>
        <w:t xml:space="preserve">: </w:t>
      </w:r>
      <w:r w:rsidRPr="002D4CCB">
        <w:t>Decidir el saldo presupuestario</w:t>
      </w:r>
      <w:r>
        <w:t>:</w:t>
      </w:r>
    </w:p>
    <w:p w14:paraId="57CBDE2B" w14:textId="77777777" w:rsidR="001B6169" w:rsidRPr="00944F51" w:rsidRDefault="001B6169" w:rsidP="00815103">
      <w:pPr>
        <w:pStyle w:val="Nivel4"/>
        <w:keepNext/>
        <w:ind w:left="1474"/>
      </w:pPr>
      <w:r w:rsidRPr="002D4CCB">
        <w:t xml:space="preserve">Por ejemplo, si decidimos mantener un saldo presupuestario </w:t>
      </w:r>
      <w:r w:rsidRPr="002D4CCB">
        <w:rPr>
          <w:i/>
        </w:rPr>
        <w:t>equilibrado</w:t>
      </w:r>
      <w:r w:rsidRPr="002D4CCB">
        <w:t xml:space="preserve">, </w:t>
      </w:r>
      <w:r w:rsidRPr="002D4CCB">
        <w:rPr>
          <w:i/>
        </w:rPr>
        <w:t>∆G = ∆T</w:t>
      </w:r>
      <w:r w:rsidRPr="002D4CCB">
        <w:t xml:space="preserve">, la variación de la renta será positiva </w:t>
      </w:r>
      <w:r w:rsidRPr="0075296D">
        <w:t xml:space="preserve">aunque menor </w:t>
      </w:r>
      <w:r>
        <w:t xml:space="preserve">al gasto público debido al efecto </w:t>
      </w:r>
      <w:proofErr w:type="spellStart"/>
      <w:r>
        <w:t>crowding</w:t>
      </w:r>
      <w:proofErr w:type="spellEnd"/>
      <w:r>
        <w:t xml:space="preserve"> </w:t>
      </w:r>
      <w:proofErr w:type="spellStart"/>
      <w:r>
        <w:t>out</w:t>
      </w:r>
      <w:proofErr w:type="spellEnd"/>
      <w:r w:rsidRPr="002D4CCB">
        <w:t>:</w:t>
      </w:r>
    </w:p>
    <w:p w14:paraId="65170C8F" w14:textId="77777777" w:rsidR="001B6169" w:rsidRPr="00944F51" w:rsidRDefault="001B6169" w:rsidP="00815103">
      <w:pPr>
        <w:spacing w:after="0"/>
        <w:jc w:val="center"/>
      </w:pPr>
      <w:r>
        <w:rPr>
          <w:noProof/>
        </w:rPr>
        <w:drawing>
          <wp:inline distT="0" distB="0" distL="0" distR="0" wp14:anchorId="50FF3491" wp14:editId="699075AA">
            <wp:extent cx="3542030" cy="758190"/>
            <wp:effectExtent l="0" t="0" r="0" b="0"/>
            <wp:docPr id="23" name="Imagen 1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11"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42030" cy="758190"/>
                    </a:xfrm>
                    <a:prstGeom prst="rect">
                      <a:avLst/>
                    </a:prstGeom>
                    <a:noFill/>
                    <a:ln>
                      <a:noFill/>
                    </a:ln>
                  </pic:spPr>
                </pic:pic>
              </a:graphicData>
            </a:graphic>
          </wp:inline>
        </w:drawing>
      </w:r>
    </w:p>
    <w:p w14:paraId="4049BAA4" w14:textId="77777777" w:rsidR="001B6169" w:rsidRDefault="001B6169" w:rsidP="00815103">
      <w:pPr>
        <w:spacing w:after="0"/>
        <w:jc w:val="center"/>
      </w:pPr>
      <w:r>
        <w:rPr>
          <w:noProof/>
        </w:rPr>
        <w:drawing>
          <wp:inline distT="0" distB="0" distL="0" distR="0" wp14:anchorId="65FEF68A" wp14:editId="0144E8AC">
            <wp:extent cx="2224405" cy="576580"/>
            <wp:effectExtent l="0" t="0" r="0" b="0"/>
            <wp:docPr id="24" name="Imagen 10" descr="Un conjunto de letras blanc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10" descr="Un conjunto de letras blancas en un fondo blanco&#10;&#10;Descripción generada automáticamente con confianza baj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4405" cy="576580"/>
                    </a:xfrm>
                    <a:prstGeom prst="rect">
                      <a:avLst/>
                    </a:prstGeom>
                    <a:noFill/>
                    <a:ln>
                      <a:noFill/>
                    </a:ln>
                  </pic:spPr>
                </pic:pic>
              </a:graphicData>
            </a:graphic>
          </wp:inline>
        </w:drawing>
      </w:r>
    </w:p>
    <w:p w14:paraId="678A069C" w14:textId="77777777" w:rsidR="001B6169" w:rsidRPr="0084532C" w:rsidRDefault="001B6169" w:rsidP="001B6169">
      <w:pPr>
        <w:pStyle w:val="Nivel4"/>
        <w:ind w:left="1474"/>
        <w:rPr>
          <w:u w:val="single"/>
        </w:rPr>
      </w:pPr>
      <w:r>
        <w:t>Donde el cociente es menor que 1.</w:t>
      </w:r>
    </w:p>
    <w:p w14:paraId="352C7121" w14:textId="77777777" w:rsidR="001B6169" w:rsidRPr="00944F51" w:rsidRDefault="001B6169" w:rsidP="001B6169">
      <w:pPr>
        <w:pStyle w:val="Nivel3SM"/>
      </w:pPr>
      <w:r w:rsidRPr="00CD1CFD">
        <w:rPr>
          <w:u w:val="single"/>
        </w:rPr>
        <w:t>Quinto</w:t>
      </w:r>
      <w:r w:rsidRPr="0084532C">
        <w:t>: Aplicamos la política fiscal expansiva</w:t>
      </w:r>
    </w:p>
    <w:p w14:paraId="04FCCC65" w14:textId="5584F9BC" w:rsidR="001B6169" w:rsidRPr="00CD1CFD" w:rsidRDefault="001B6169" w:rsidP="001B6169">
      <w:pPr>
        <w:pStyle w:val="Nivel2SM"/>
        <w:keepNext/>
        <w:spacing w:after="0"/>
        <w:rPr>
          <w:u w:val="single"/>
        </w:rPr>
      </w:pPr>
      <w:r w:rsidRPr="00CD1CFD">
        <w:rPr>
          <w:u w:val="single"/>
        </w:rPr>
        <w:t>Precisiones</w:t>
      </w:r>
      <w:r w:rsidR="00C26EC9">
        <w:t>:</w:t>
      </w:r>
    </w:p>
    <w:p w14:paraId="7139E427" w14:textId="585BCB27" w:rsidR="001B6169" w:rsidRPr="001B6169" w:rsidRDefault="001B6169" w:rsidP="0084399B">
      <w:pPr>
        <w:pStyle w:val="Nivel3SM"/>
        <w:keepNext/>
        <w:rPr>
          <w:u w:val="single"/>
        </w:rPr>
      </w:pPr>
      <w:r w:rsidRPr="00C26EC9">
        <w:rPr>
          <w:i/>
          <w:iCs/>
          <w:u w:val="single"/>
        </w:rPr>
        <w:t>Impuestos proporcionales</w:t>
      </w:r>
      <w:r w:rsidR="00C26EC9" w:rsidRPr="00C26EC9">
        <w:t>:</w:t>
      </w:r>
    </w:p>
    <w:p w14:paraId="54F2A57A" w14:textId="77777777" w:rsidR="001B6169" w:rsidRDefault="001B6169" w:rsidP="0084399B">
      <w:pPr>
        <w:pStyle w:val="Nivel4"/>
        <w:ind w:left="1474"/>
      </w:pPr>
      <w:r>
        <w:t>Hemos supuesto que los impuestos eran de suma fija, pero en realidad los impuestos suelen ser proporcionales a la renta.</w:t>
      </w:r>
    </w:p>
    <w:p w14:paraId="7BC31627" w14:textId="548D8DC7" w:rsidR="001B6169" w:rsidRPr="001B6169" w:rsidRDefault="001B6169" w:rsidP="0084399B">
      <w:pPr>
        <w:pStyle w:val="Nivel3SM"/>
        <w:keepNext/>
        <w:rPr>
          <w:u w:val="single"/>
        </w:rPr>
      </w:pPr>
      <w:r w:rsidRPr="00C26EC9">
        <w:rPr>
          <w:i/>
          <w:iCs/>
          <w:u w:val="single"/>
        </w:rPr>
        <w:t>Destino del gasto</w:t>
      </w:r>
      <w:r w:rsidR="00C26EC9">
        <w:t>:</w:t>
      </w:r>
    </w:p>
    <w:p w14:paraId="0635D866" w14:textId="77777777" w:rsidR="001B6169" w:rsidRDefault="001B6169" w:rsidP="0084399B">
      <w:pPr>
        <w:pStyle w:val="Nivel4"/>
        <w:ind w:left="1474"/>
      </w:pPr>
      <w:r w:rsidRPr="0061728C">
        <w:rPr>
          <w:u w:val="single"/>
        </w:rPr>
        <w:t>El destino del gasto importa</w:t>
      </w:r>
      <w:r>
        <w:t>: El efecto expansivo del consumo público es mayor que el de las transferencias al sector privado. Ello se debe a que el consumo público estimula directamente la demanda agregada, mientras que el efecto de las transferencias no es directo al depender de la propensión marginal a consumir y de los impuestos (igual que si se reduce T).</w:t>
      </w:r>
    </w:p>
    <w:p w14:paraId="5ABB68D7" w14:textId="696D9775" w:rsidR="001B6169" w:rsidRPr="0084399B" w:rsidRDefault="001B6169" w:rsidP="0084399B">
      <w:pPr>
        <w:pStyle w:val="Nivel3SM"/>
        <w:keepNext/>
        <w:rPr>
          <w:u w:val="single"/>
        </w:rPr>
      </w:pPr>
      <w:r w:rsidRPr="00C26EC9">
        <w:rPr>
          <w:i/>
          <w:iCs/>
          <w:u w:val="single"/>
        </w:rPr>
        <w:t>Economía abierta</w:t>
      </w:r>
      <w:r w:rsidR="00C26EC9">
        <w:t>:</w:t>
      </w:r>
    </w:p>
    <w:p w14:paraId="62B1EB40" w14:textId="77777777" w:rsidR="001B6169" w:rsidRPr="00944F51" w:rsidRDefault="001B6169" w:rsidP="0084399B">
      <w:pPr>
        <w:pStyle w:val="Nivel4"/>
        <w:keepNext/>
        <w:ind w:left="1474"/>
        <w:rPr>
          <w:u w:val="single"/>
        </w:rPr>
      </w:pPr>
      <w:r>
        <w:t>En una economía abierta el multiplicador del gasto es menor.</w:t>
      </w:r>
    </w:p>
    <w:p w14:paraId="5E9AECB6" w14:textId="77777777" w:rsidR="001B6169" w:rsidRPr="00944F51" w:rsidRDefault="001B6169" w:rsidP="0084399B">
      <w:pPr>
        <w:pStyle w:val="Nivel4"/>
        <w:numPr>
          <w:ilvl w:val="0"/>
          <w:numId w:val="0"/>
        </w:numPr>
        <w:ind w:left="1474"/>
        <w:jc w:val="center"/>
      </w:pPr>
      <w:r>
        <w:object w:dxaOrig="1290" w:dyaOrig="555" w14:anchorId="64DBBCBD">
          <v:shape id="_x0000_i1027" type="#_x0000_t75" style="width:138pt;height:58.5pt" o:ole="">
            <v:imagedata r:id="rId14" o:title=""/>
          </v:shape>
          <o:OLEObject Type="Embed" ProgID="Equation.3" ShapeID="_x0000_i1027" DrawAspect="Content" ObjectID="_1830028026" r:id="rId15"/>
        </w:object>
      </w:r>
    </w:p>
    <w:p w14:paraId="7877E29F" w14:textId="77777777" w:rsidR="001B6169" w:rsidRPr="00693995" w:rsidRDefault="001B6169" w:rsidP="0084399B">
      <w:pPr>
        <w:pStyle w:val="Nivel5"/>
        <w:ind w:left="1871"/>
        <w:rPr>
          <w:u w:val="single"/>
        </w:rPr>
      </w:pPr>
      <w:r w:rsidRPr="002630DF">
        <w:t xml:space="preserve">Es decir, la efectividad de la política fiscal será menor cuanto mayor sea </w:t>
      </w:r>
      <w:proofErr w:type="gramStart"/>
      <w:r w:rsidRPr="002630DF">
        <w:t>la propensión marginal a importar</w:t>
      </w:r>
      <w:proofErr w:type="gramEnd"/>
      <w:r w:rsidRPr="002630DF">
        <w:t xml:space="preserve"> de la economía, m. Esto se debe a que parte del aumento de la renta generado por la política fiscal expansiva se desvía ahora hacia el exterior ya que los agentes consumen más productos importados. </w:t>
      </w:r>
      <w:r w:rsidRPr="007544FA">
        <w:rPr>
          <w:u w:val="single"/>
        </w:rPr>
        <w:t xml:space="preserve">Es precisamente este efecto desbordamiento o </w:t>
      </w:r>
      <w:proofErr w:type="spellStart"/>
      <w:r w:rsidRPr="007544FA">
        <w:rPr>
          <w:u w:val="single"/>
        </w:rPr>
        <w:t>spillover</w:t>
      </w:r>
      <w:proofErr w:type="spellEnd"/>
      <w:r w:rsidRPr="007544FA">
        <w:rPr>
          <w:u w:val="single"/>
        </w:rPr>
        <w:t xml:space="preserve"> lo que explica la importancia de la coordinación internacional de la política fiscal, y el “efecto locomotora” que se les exige actualmente a economías como la alemana</w:t>
      </w:r>
    </w:p>
    <w:p w14:paraId="2A3DEC2B" w14:textId="77777777" w:rsidR="001B6169" w:rsidRPr="00944F51" w:rsidRDefault="001B6169" w:rsidP="0084399B">
      <w:pPr>
        <w:pStyle w:val="Nivel4"/>
        <w:ind w:left="1474"/>
        <w:rPr>
          <w:u w:val="single"/>
        </w:rPr>
      </w:pPr>
      <w:r>
        <w:t>Además en caso de existir libre movilidad de capitales junto con un TC flexible, la efectividad será totalmente nula.</w:t>
      </w:r>
    </w:p>
    <w:p w14:paraId="2499F195" w14:textId="77777777" w:rsidR="001B6169" w:rsidRPr="00693995" w:rsidRDefault="001B6169" w:rsidP="001B6169">
      <w:pPr>
        <w:ind w:left="2160"/>
        <w:jc w:val="center"/>
      </w:pPr>
      <w:r w:rsidRPr="00061510">
        <w:rPr>
          <w:b/>
          <w:noProof/>
        </w:rPr>
        <w:lastRenderedPageBreak/>
        <w:drawing>
          <wp:inline distT="0" distB="0" distL="0" distR="0" wp14:anchorId="4B9ECE79" wp14:editId="2663D672">
            <wp:extent cx="2026285" cy="1688465"/>
            <wp:effectExtent l="0" t="0" r="0" b="0"/>
            <wp:docPr id="2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6285" cy="1688465"/>
                    </a:xfrm>
                    <a:prstGeom prst="rect">
                      <a:avLst/>
                    </a:prstGeom>
                    <a:noFill/>
                    <a:ln>
                      <a:noFill/>
                    </a:ln>
                  </pic:spPr>
                </pic:pic>
              </a:graphicData>
            </a:graphic>
          </wp:inline>
        </w:drawing>
      </w:r>
    </w:p>
    <w:p w14:paraId="40D5B14D" w14:textId="2C584E81" w:rsidR="001B6169" w:rsidRPr="0084399B" w:rsidRDefault="001B6169" w:rsidP="0084399B">
      <w:pPr>
        <w:pStyle w:val="Nivel3SM"/>
        <w:keepNext/>
        <w:rPr>
          <w:u w:val="single"/>
        </w:rPr>
      </w:pPr>
      <w:r w:rsidRPr="00C26EC9">
        <w:rPr>
          <w:i/>
          <w:iCs/>
          <w:u w:val="single"/>
        </w:rPr>
        <w:t>Retardos</w:t>
      </w:r>
      <w:r w:rsidR="00C26EC9">
        <w:t>:</w:t>
      </w:r>
    </w:p>
    <w:p w14:paraId="60FFBE72" w14:textId="77777777" w:rsidR="001B6169" w:rsidRPr="00693995" w:rsidRDefault="001B6169" w:rsidP="0084399B">
      <w:pPr>
        <w:pStyle w:val="Nivel4"/>
        <w:ind w:left="1474"/>
      </w:pPr>
      <w:r w:rsidRPr="00693995">
        <w:t xml:space="preserve">La política fiscal discrecional, como cualquier otra política estabilizadora discrecional, está sujeta a retardos (de identificación, de decisión, de implementación, etc.), que pueden hacer que una política inicialmente diseñada como </w:t>
      </w:r>
      <w:proofErr w:type="spellStart"/>
      <w:r w:rsidRPr="00693995">
        <w:t>contracíclica</w:t>
      </w:r>
      <w:proofErr w:type="spellEnd"/>
      <w:r w:rsidRPr="00693995">
        <w:t xml:space="preserve"> acabe siendo procíclica y acentúe el ciclo.</w:t>
      </w:r>
    </w:p>
    <w:p w14:paraId="4E3A15B2" w14:textId="52C86D06" w:rsidR="001B6169" w:rsidRPr="0084399B" w:rsidRDefault="001B6169" w:rsidP="0084399B">
      <w:pPr>
        <w:pStyle w:val="Nivel3SM"/>
        <w:keepNext/>
        <w:rPr>
          <w:u w:val="single"/>
        </w:rPr>
      </w:pPr>
      <w:r w:rsidRPr="00C26EC9">
        <w:rPr>
          <w:i/>
          <w:iCs/>
          <w:u w:val="single"/>
        </w:rPr>
        <w:t>Gasto comprometido</w:t>
      </w:r>
      <w:r w:rsidR="00C26EC9" w:rsidRPr="00C26EC9">
        <w:t>:</w:t>
      </w:r>
    </w:p>
    <w:p w14:paraId="255F384A" w14:textId="1D20CEC1" w:rsidR="001B6169" w:rsidRPr="00944F51" w:rsidRDefault="001B6169" w:rsidP="0084399B">
      <w:pPr>
        <w:pStyle w:val="Nivel4"/>
        <w:ind w:left="1474"/>
        <w:rPr>
          <w:u w:val="single"/>
        </w:rPr>
      </w:pPr>
      <w:r>
        <w:t xml:space="preserve">Finalmente, un problema de la política fiscal es que gran parte del gasto es comprometido no dejando así margen para la discrecionalidad de </w:t>
      </w:r>
      <w:proofErr w:type="gramStart"/>
      <w:r>
        <w:t>la misma</w:t>
      </w:r>
      <w:proofErr w:type="gramEnd"/>
      <w:r>
        <w:t xml:space="preserve">: Así alrededor de </w:t>
      </w:r>
      <w:r w:rsidRPr="00040F8F">
        <w:t>~</w:t>
      </w:r>
      <w:r w:rsidRPr="00291ECE">
        <w:rPr>
          <w:b/>
          <w:u w:val="single"/>
        </w:rPr>
        <w:t>2/3</w:t>
      </w:r>
      <w:r>
        <w:t xml:space="preserve"> del gasto público presupuestado en los PGE es gasto comprometido: pensiones (45</w:t>
      </w:r>
      <w:r w:rsidR="00A50667">
        <w:t> %</w:t>
      </w:r>
      <w:r>
        <w:t>), intereses de deuda (9</w:t>
      </w:r>
      <w:r w:rsidR="00A50667">
        <w:t> %</w:t>
      </w:r>
      <w:r>
        <w:t>), gastos de personal (6</w:t>
      </w:r>
      <w:r w:rsidR="00A50667">
        <w:t> %</w:t>
      </w:r>
      <w:r>
        <w:t>), y prestaciones por desempleo (5</w:t>
      </w:r>
      <w:r w:rsidR="00A50667">
        <w:t> %</w:t>
      </w:r>
      <w:r>
        <w:t>).</w:t>
      </w:r>
    </w:p>
    <w:p w14:paraId="45303DB4" w14:textId="77777777" w:rsidR="007E2D63" w:rsidRDefault="007E2D63" w:rsidP="007E2D63">
      <w:pPr>
        <w:pStyle w:val="Ttulo2"/>
      </w:pPr>
      <w:bookmarkStart w:id="26" w:name="_Toc151221232"/>
      <w:r>
        <w:t>Revisión de la literatura económica –</w:t>
      </w:r>
      <w:r>
        <w:br/>
      </w:r>
      <w:r w:rsidRPr="00975788">
        <w:rPr>
          <w:spacing w:val="-2"/>
        </w:rPr>
        <w:t>Debate tradicional sobre la efectividad de la política fiscal haciendo uso del marco IS-LM</w:t>
      </w:r>
      <w:bookmarkEnd w:id="21"/>
      <w:bookmarkEnd w:id="26"/>
    </w:p>
    <w:p w14:paraId="66BC0D76" w14:textId="77777777" w:rsidR="007E2D63" w:rsidRDefault="007E2D63" w:rsidP="007E2D63">
      <w:pPr>
        <w:pStyle w:val="Notaalopositor"/>
        <w:spacing w:after="0"/>
      </w:pPr>
      <w:bookmarkStart w:id="27" w:name="_Hlk146136805"/>
      <w:r>
        <w:t>Cantar este apartado brevemente, no dedicar demasiado tiempo de exposición.</w:t>
      </w:r>
      <w:bookmarkEnd w:id="27"/>
    </w:p>
    <w:p w14:paraId="575D575C" w14:textId="77777777" w:rsidR="007E2D63" w:rsidRPr="00D72723" w:rsidRDefault="007E2D63" w:rsidP="007E2D63">
      <w:pPr>
        <w:pStyle w:val="Notaalopositor"/>
      </w:pPr>
      <w:r>
        <w:t>Coordinar en temas 3.A.37 y 4.B.5</w:t>
      </w:r>
    </w:p>
    <w:p w14:paraId="32ED490D" w14:textId="303DB7F6" w:rsidR="007E2D63" w:rsidRDefault="007E2D63" w:rsidP="007E2D63">
      <w:pPr>
        <w:pStyle w:val="Ttulo3"/>
        <w:spacing w:before="0"/>
      </w:pPr>
      <w:bookmarkStart w:id="28" w:name="_Toc142500886"/>
      <w:bookmarkStart w:id="29" w:name="_Toc151221233"/>
      <w:r>
        <w:t>Presentación del marco IS-LM</w:t>
      </w:r>
      <w:bookmarkEnd w:id="28"/>
      <w:r>
        <w:t xml:space="preserve"> y efectos de una política fiscal expansiva</w:t>
      </w:r>
      <w:bookmarkEnd w:id="29"/>
    </w:p>
    <w:p w14:paraId="54184F63" w14:textId="07D12290" w:rsidR="007E2D63" w:rsidRDefault="007E2D63" w:rsidP="007E2D63">
      <w:pPr>
        <w:pStyle w:val="Nivel1SM"/>
        <w:keepNext/>
        <w:spacing w:before="0" w:after="0"/>
        <w:rPr>
          <w:spacing w:val="-3"/>
        </w:rPr>
      </w:pPr>
      <w:r w:rsidRPr="008571E1">
        <w:rPr>
          <w:spacing w:val="-3"/>
        </w:rPr>
        <w:t xml:space="preserve">Los autores de la </w:t>
      </w:r>
      <w:r w:rsidRPr="008571E1">
        <w:rPr>
          <w:b/>
          <w:bCs/>
          <w:spacing w:val="-3"/>
        </w:rPr>
        <w:t>Síntesis Neoclásica</w:t>
      </w:r>
      <w:r w:rsidRPr="008571E1">
        <w:rPr>
          <w:spacing w:val="-3"/>
        </w:rPr>
        <w:t xml:space="preserve"> utilizarán el </w:t>
      </w:r>
      <w:r w:rsidRPr="008571E1">
        <w:rPr>
          <w:i/>
          <w:iCs/>
          <w:spacing w:val="-3"/>
          <w:u w:val="single"/>
        </w:rPr>
        <w:t>modelo</w:t>
      </w:r>
      <w:r w:rsidR="00672807">
        <w:rPr>
          <w:i/>
          <w:iCs/>
          <w:spacing w:val="-3"/>
          <w:u w:val="single"/>
        </w:rPr>
        <w:t> </w:t>
      </w:r>
      <w:r w:rsidRPr="008571E1">
        <w:rPr>
          <w:i/>
          <w:iCs/>
          <w:spacing w:val="-3"/>
          <w:u w:val="single"/>
        </w:rPr>
        <w:t>IS-LM</w:t>
      </w:r>
      <w:r w:rsidRPr="008571E1">
        <w:rPr>
          <w:spacing w:val="-3"/>
        </w:rPr>
        <w:t xml:space="preserve"> (que parte de los supuestos de rigideces de precios y salarios) como piedra angular de su teoría. Se podría considerar el modelo</w:t>
      </w:r>
      <w:r w:rsidR="00672807">
        <w:rPr>
          <w:spacing w:val="-3"/>
        </w:rPr>
        <w:t> </w:t>
      </w:r>
      <w:r w:rsidRPr="008571E1">
        <w:rPr>
          <w:spacing w:val="-3"/>
        </w:rPr>
        <w:t>IS-LM como un marco ecléctico que busca combinar una economía con rasgos clásicos y una economía keynesiana.</w:t>
      </w:r>
    </w:p>
    <w:p w14:paraId="43AA76BC" w14:textId="77777777" w:rsidR="007E2D63" w:rsidRPr="008571E1" w:rsidRDefault="007E2D63" w:rsidP="007E2D63">
      <w:pPr>
        <w:pStyle w:val="Ttulo6"/>
      </w:pPr>
      <w:bookmarkStart w:id="30" w:name="_Toc142500887"/>
      <w:bookmarkStart w:id="31" w:name="_Toc151221234"/>
      <w:r>
        <w:t>Resolución analítica</w:t>
      </w:r>
      <w:bookmarkEnd w:id="30"/>
      <w:bookmarkEnd w:id="31"/>
    </w:p>
    <w:p w14:paraId="7D99E81B" w14:textId="77777777" w:rsidR="007E2D63" w:rsidRDefault="007E2D63" w:rsidP="007E2D63">
      <w:pPr>
        <w:pStyle w:val="Nivel2SM"/>
        <w:keepNext/>
        <w:spacing w:after="0"/>
      </w:pPr>
      <w:r>
        <w:t xml:space="preserve">La </w:t>
      </w:r>
      <w:r w:rsidRPr="00311C71">
        <w:rPr>
          <w:i/>
          <w:iCs/>
          <w:u w:val="single"/>
          <w14:glow w14:rad="38100">
            <w14:srgbClr w14:val="5F2987">
              <w14:alpha w14:val="75294"/>
            </w14:srgbClr>
          </w14:glow>
        </w:rPr>
        <w:t>curva</w:t>
      </w:r>
      <w:r>
        <w:rPr>
          <w:i/>
          <w:iCs/>
          <w:u w:val="single"/>
          <w14:glow w14:rad="38100">
            <w14:srgbClr w14:val="5F2987">
              <w14:alpha w14:val="75294"/>
            </w14:srgbClr>
          </w14:glow>
        </w:rPr>
        <w:t> </w:t>
      </w:r>
      <w:r w:rsidRPr="00311C71">
        <w:rPr>
          <w:i/>
          <w:iCs/>
          <w:u w:val="single"/>
          <w14:glow w14:rad="38100">
            <w14:srgbClr w14:val="5F2987">
              <w14:alpha w14:val="75294"/>
            </w14:srgbClr>
          </w14:glow>
        </w:rPr>
        <w:t>IS</w:t>
      </w:r>
      <w:r>
        <w:t xml:space="preserve"> sintetiza las combinaciones de tipo de interés,</w:t>
      </w:r>
      <w:r>
        <w:rPr>
          <w:rFonts w:eastAsiaTheme="minorEastAsia"/>
        </w:rPr>
        <w:t xml:space="preserve"> </w:t>
      </w:r>
      <m:oMath>
        <m:r>
          <m:rPr>
            <m:nor/>
          </m:rPr>
          <w:rPr>
            <w:i/>
            <w:iCs/>
          </w:rPr>
          <m:t>i</m:t>
        </m:r>
      </m:oMath>
      <w:r>
        <w:rPr>
          <w:rFonts w:eastAsiaTheme="minorEastAsia"/>
          <w:iCs/>
        </w:rPr>
        <w:t xml:space="preserve">, y output, </w:t>
      </w:r>
      <m:oMath>
        <m:r>
          <m:rPr>
            <m:nor/>
          </m:rPr>
          <w:rPr>
            <w:i/>
            <w:iCs/>
          </w:rPr>
          <m:t>Y</m:t>
        </m:r>
      </m:oMath>
      <w:r>
        <w:rPr>
          <w:rFonts w:eastAsiaTheme="minorEastAsia"/>
          <w:iCs/>
        </w:rPr>
        <w:t>,</w:t>
      </w:r>
      <w:r>
        <w:t xml:space="preserve"> que permiten el equilibrio del mercado de bienes, integrando la demanda keynesiana de consumo, la demanda de inversión y el gasto público:</w:t>
      </w:r>
    </w:p>
    <w:p w14:paraId="146A3D89" w14:textId="77777777" w:rsidR="007E2D63" w:rsidRPr="004124C9" w:rsidRDefault="007E2D63" w:rsidP="007E2D63">
      <w:pPr>
        <w:pStyle w:val="Nivel1"/>
        <w:numPr>
          <w:ilvl w:val="0"/>
          <w:numId w:val="0"/>
        </w:numPr>
        <w:spacing w:before="0" w:after="0"/>
        <w:ind w:left="623"/>
        <w:rPr>
          <w:rFonts w:eastAsiaTheme="minorEastAsia"/>
          <w:i/>
          <w:iCs/>
          <w:lang w:val="en-US"/>
        </w:rPr>
      </w:pPr>
      <m:oMathPara>
        <m:oMath>
          <m:r>
            <m:rPr>
              <m:nor/>
            </m:rPr>
            <w:rPr>
              <w:rFonts w:ascii="Cambria Math"/>
            </w:rPr>
            <m:t xml:space="preserve"> </m:t>
          </m:r>
          <m:r>
            <m:rPr>
              <m:nor/>
            </m:rPr>
            <w:rPr>
              <w:i/>
              <w:iCs/>
              <w:lang w:val="en-US"/>
            </w:rPr>
            <m:t>Y</m:t>
          </m:r>
          <m:r>
            <w:rPr>
              <w:rFonts w:ascii="Cambria Math" w:hAnsi="Cambria Math"/>
              <w:lang w:val="en-US"/>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Y</m:t>
                      </m:r>
                      <m:r>
                        <w:rPr>
                          <w:rFonts w:ascii="Cambria Math" w:hAnsi="Cambria Math"/>
                          <w:lang w:val="en-US"/>
                        </w:rPr>
                        <m:t>-</m:t>
                      </m:r>
                      <m:limLow>
                        <m:limLowPr>
                          <m:ctrlPr>
                            <w:rPr>
                              <w:rFonts w:ascii="Cambria Math" w:hAnsi="Cambria Math"/>
                              <w:i/>
                              <w:iCs/>
                              <w:lang w:val="en-US"/>
                            </w:rPr>
                          </m:ctrlPr>
                        </m:limLowPr>
                        <m:e>
                          <m:groupChr>
                            <m:groupChrPr>
                              <m:ctrlPr>
                                <w:rPr>
                                  <w:rFonts w:ascii="Cambria Math" w:hAnsi="Cambria Math"/>
                                  <w:i/>
                                  <w:iCs/>
                                  <w:lang w:val="en-US"/>
                                </w:rPr>
                              </m:ctrlPr>
                            </m:groupChrPr>
                            <m:e>
                              <m:r>
                                <m:rPr>
                                  <m:nor/>
                                </m:rPr>
                                <w:rPr>
                                  <w:i/>
                                  <w:iCs/>
                                  <w:lang w:val="en-US"/>
                                </w:rPr>
                                <m:t>t</m:t>
                              </m:r>
                              <m:r>
                                <w:rPr>
                                  <w:rFonts w:ascii="Cambria Math" w:hAnsi="Cambria Math"/>
                                  <w:lang w:val="en-US"/>
                                </w:rPr>
                                <m:t>∙</m:t>
                              </m:r>
                              <m:r>
                                <m:rPr>
                                  <m:nor/>
                                </m:rPr>
                                <w:rPr>
                                  <w:i/>
                                  <w:iCs/>
                                  <w:lang w:val="en-US"/>
                                </w:rPr>
                                <m:t>Y</m:t>
                              </m:r>
                            </m:e>
                          </m:groupChr>
                        </m:e>
                        <m:lim>
                          <m:r>
                            <m:rPr>
                              <m:nor/>
                            </m:rPr>
                            <w:rPr>
                              <w:i/>
                              <w:iCs/>
                              <w:lang w:val="en-US"/>
                            </w:rPr>
                            <m:t>T</m:t>
                          </m:r>
                        </m:lim>
                      </m:limLow>
                    </m:e>
                  </m:d>
                </m:e>
              </m:groupChr>
            </m:e>
            <m:lim>
              <m:r>
                <m:rPr>
                  <m:nor/>
                </m:rPr>
                <w:rPr>
                  <w:i/>
                  <w:iCs/>
                  <w:lang w:val="en-US"/>
                </w:rPr>
                <m:t>C</m:t>
              </m:r>
              <m:r>
                <w:rPr>
                  <w:rFonts w:ascii="Cambria Math"/>
                  <w:lang w:val="en-US"/>
                </w:rPr>
                <m:t>=</m:t>
              </m:r>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r>
                <m:rPr>
                  <m:nor/>
                </m:rPr>
                <w:rPr>
                  <w:i/>
                  <w:iCs/>
                  <w:lang w:val="en-US"/>
                </w:rPr>
                <m:t>c</m:t>
              </m:r>
              <m:r>
                <w:rPr>
                  <w:rFonts w:ascii="Cambria Math" w:hAnsi="Cambria Math"/>
                  <w:lang w:val="en-US"/>
                </w:rPr>
                <m:t>∙</m:t>
              </m:r>
              <m:r>
                <m:rPr>
                  <m:nor/>
                </m:rPr>
                <w:rPr>
                  <w:i/>
                  <w:iCs/>
                  <w:lang w:val="en-US"/>
                </w:rPr>
                <m:t>Y</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lim>
          </m:limUpp>
          <m:r>
            <w:rPr>
              <w:rFonts w:ascii="Cambria Math" w:hAnsi="Cambria Math"/>
              <w:lang w:val="en-US"/>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r>
                    <m:rPr>
                      <m:nor/>
                    </m:rPr>
                    <w:rPr>
                      <w:i/>
                      <w:iCs/>
                      <w:lang w:val="en-US"/>
                    </w:rPr>
                    <m:t>v</m:t>
                  </m:r>
                  <m:r>
                    <w:rPr>
                      <w:rFonts w:ascii="Cambria Math" w:hAnsi="Cambria Math"/>
                      <w:lang w:val="en-US"/>
                    </w:rPr>
                    <m:t>∙</m:t>
                  </m:r>
                  <m:r>
                    <m:rPr>
                      <m:nor/>
                    </m:rPr>
                    <w:rPr>
                      <w:i/>
                      <w:iCs/>
                      <w:lang w:val="en-US"/>
                    </w:rPr>
                    <m:t>i</m:t>
                  </m:r>
                </m:e>
              </m:groupChr>
            </m:e>
            <m:lim>
              <m:r>
                <m:rPr>
                  <m:nor/>
                </m:rPr>
                <w:rPr>
                  <w:i/>
                  <w:iCs/>
                  <w:lang w:val="en-US"/>
                </w:rPr>
                <m:t>I</m:t>
              </m:r>
            </m:lim>
          </m:limUpp>
          <m:r>
            <w:rPr>
              <w:rFonts w:ascii="Cambria Math" w:hAnsi="Cambria Math"/>
              <w:lang w:val="en-US"/>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lang w:val="en-US"/>
                        </w:rPr>
                        <m:t>G</m:t>
                      </m:r>
                    </m:e>
                    <m:sub>
                      <m:r>
                        <m:rPr>
                          <m:nor/>
                        </m:rPr>
                        <w:rPr>
                          <w:i/>
                          <w:iCs/>
                          <w:lang w:val="en-US"/>
                        </w:rPr>
                        <m:t>0</m:t>
                      </m:r>
                    </m:sub>
                  </m:sSub>
                </m:e>
              </m:groupChr>
            </m:e>
            <m:lim>
              <m:r>
                <m:rPr>
                  <m:nor/>
                </m:rPr>
                <w:rPr>
                  <w:i/>
                  <w:iCs/>
                  <w:lang w:val="en-US"/>
                </w:rPr>
                <m:t>G</m:t>
              </m:r>
            </m:lim>
          </m:limUpp>
          <m:r>
            <w:rPr>
              <w:rFonts w:ascii="Cambria Math" w:eastAsiaTheme="minorEastAsia" w:hAnsi="Cambria Math"/>
              <w:lang w:val="en-US"/>
            </w:rPr>
            <m:t>⟹</m:t>
          </m:r>
          <m:borderBox>
            <m:borderBoxPr>
              <m:ctrlPr>
                <w:rPr>
                  <w:rFonts w:ascii="Cambria Math" w:hAnsi="Cambria Math"/>
                  <w:i/>
                  <w:iCs/>
                  <w:lang w:val="en-US"/>
                </w:rPr>
              </m:ctrlPr>
            </m:borderBoxPr>
            <m:e>
              <m:r>
                <m:rPr>
                  <m:nor/>
                </m:rPr>
                <w:rPr>
                  <w:i/>
                  <w:iCs/>
                  <w:lang w:val="en-US"/>
                </w:rPr>
                <m:t>Y</m:t>
              </m:r>
              <m:r>
                <w:rPr>
                  <w:rFonts w:ascii="Cambria Math"/>
                  <w:lang w:val="en-US"/>
                </w:rPr>
                <m:t>=</m:t>
              </m:r>
              <m:f>
                <m:fPr>
                  <m:ctrlPr>
                    <w:rPr>
                      <w:rFonts w:ascii="Cambria Math" w:hAnsi="Cambria Math"/>
                      <w:i/>
                      <w:iCs/>
                      <w:lang w:val="en-US"/>
                    </w:rPr>
                  </m:ctrlPr>
                </m:fPr>
                <m:num>
                  <m:r>
                    <m:rPr>
                      <m:nor/>
                    </m:rPr>
                    <w:rPr>
                      <w:i/>
                      <w:iCs/>
                      <w:lang w:val="en-US"/>
                    </w:rPr>
                    <m:t>1</m:t>
                  </m:r>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den>
              </m:f>
              <m:r>
                <w:rPr>
                  <w:rFonts w:ascii="Cambria Math" w:hAnsi="Cambria Math"/>
                  <w:lang w:val="en-US"/>
                </w:rPr>
                <m:t>∙</m:t>
              </m:r>
              <m:d>
                <m:dPr>
                  <m:ctrlPr>
                    <w:rPr>
                      <w:rFonts w:ascii="Cambria Math" w:hAnsi="Cambria Math"/>
                      <w:i/>
                      <w:iCs/>
                      <w:lang w:val="en-U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r>
                    <m:rPr>
                      <m:nor/>
                    </m:rPr>
                    <w:rPr>
                      <w:i/>
                      <w:iCs/>
                      <w:lang w:val="en-US"/>
                    </w:rPr>
                    <m:t>v</m:t>
                  </m:r>
                  <m:r>
                    <w:rPr>
                      <w:rFonts w:ascii="Cambria Math" w:hAnsi="Cambria Math"/>
                      <w:lang w:val="en-US"/>
                    </w:rPr>
                    <m:t>∙</m:t>
                  </m:r>
                  <m:r>
                    <m:rPr>
                      <m:nor/>
                    </m:rPr>
                    <w:rPr>
                      <w:i/>
                      <w:iCs/>
                      <w:lang w:val="en-US"/>
                    </w:rPr>
                    <m:t>i</m:t>
                  </m:r>
                  <m:r>
                    <w:rPr>
                      <w:rFonts w:ascii="Cambria Math" w:hAnsi="Cambria Math"/>
                      <w:lang w:val="en-US"/>
                    </w:rPr>
                    <m:t>+</m:t>
                  </m:r>
                  <m:sSub>
                    <m:sSubPr>
                      <m:ctrlPr>
                        <w:rPr>
                          <w:rFonts w:ascii="Cambria Math" w:hAnsi="Cambria Math"/>
                          <w:i/>
                          <w:iCs/>
                        </w:rPr>
                      </m:ctrlPr>
                    </m:sSubPr>
                    <m:e>
                      <m:r>
                        <m:rPr>
                          <m:nor/>
                        </m:rPr>
                        <w:rPr>
                          <w:i/>
                          <w:iCs/>
                          <w:lang w:val="en-US"/>
                        </w:rPr>
                        <m:t>G</m:t>
                      </m:r>
                    </m:e>
                    <m:sub>
                      <m:r>
                        <m:rPr>
                          <m:nor/>
                        </m:rPr>
                        <w:rPr>
                          <w:i/>
                          <w:iCs/>
                          <w:lang w:val="en-US"/>
                        </w:rPr>
                        <m:t>0</m:t>
                      </m:r>
                    </m:sub>
                  </m:sSub>
                </m:e>
              </m:d>
            </m:e>
          </m:borderBox>
        </m:oMath>
      </m:oMathPara>
    </w:p>
    <w:p w14:paraId="4AC76FA2" w14:textId="77777777" w:rsidR="007E2D63" w:rsidRDefault="007E2D63" w:rsidP="007E2D63">
      <w:pPr>
        <w:pStyle w:val="Nivel2SM"/>
        <w:keepNext/>
        <w:spacing w:after="0"/>
      </w:pPr>
      <w:r>
        <w:t xml:space="preserve">La </w:t>
      </w:r>
      <w:r w:rsidRPr="00311C71">
        <w:rPr>
          <w:i/>
          <w:iCs/>
          <w:u w:val="single"/>
          <w14:glow w14:rad="38100">
            <w14:srgbClr w14:val="00B050">
              <w14:alpha w14:val="75000"/>
            </w14:srgbClr>
          </w14:glow>
        </w:rPr>
        <w:t>curva</w:t>
      </w:r>
      <w:r>
        <w:rPr>
          <w:i/>
          <w:iCs/>
          <w:u w:val="single"/>
          <w14:glow w14:rad="38100">
            <w14:srgbClr w14:val="00B050">
              <w14:alpha w14:val="75000"/>
            </w14:srgbClr>
          </w14:glow>
        </w:rPr>
        <w:t> </w:t>
      </w:r>
      <w:r w:rsidRPr="00311C71">
        <w:rPr>
          <w:i/>
          <w:iCs/>
          <w:u w:val="single"/>
          <w14:glow w14:rad="38100">
            <w14:srgbClr w14:val="00B050">
              <w14:alpha w14:val="75000"/>
            </w14:srgbClr>
          </w14:glow>
        </w:rPr>
        <w:t>LM</w:t>
      </w:r>
      <w:r w:rsidRPr="00D06BCC">
        <w:t xml:space="preserve"> </w:t>
      </w:r>
      <w:r>
        <w:t>sintetiza las combinaciones de tipo de interés,</w:t>
      </w:r>
      <w:r>
        <w:rPr>
          <w:rFonts w:eastAsiaTheme="minorEastAsia"/>
        </w:rPr>
        <w:t xml:space="preserve"> </w:t>
      </w:r>
      <m:oMath>
        <m:r>
          <m:rPr>
            <m:nor/>
          </m:rPr>
          <w:rPr>
            <w:i/>
            <w:iCs/>
          </w:rPr>
          <m:t>i</m:t>
        </m:r>
      </m:oMath>
      <w:r>
        <w:rPr>
          <w:rFonts w:eastAsiaTheme="minorEastAsia"/>
          <w:iCs/>
        </w:rPr>
        <w:t xml:space="preserve">, y output, </w:t>
      </w:r>
      <m:oMath>
        <m:r>
          <m:rPr>
            <m:nor/>
          </m:rPr>
          <w:rPr>
            <w:i/>
            <w:iCs/>
          </w:rPr>
          <m:t>Y</m:t>
        </m:r>
      </m:oMath>
      <w:r>
        <w:rPr>
          <w:rFonts w:eastAsiaTheme="minorEastAsia"/>
          <w:iCs/>
        </w:rPr>
        <w:t>,</w:t>
      </w:r>
      <w:r>
        <w:t xml:space="preserve"> que permiten el equilibrio del mercado de dinero y bonos. Teniendo en cuenta la teoría de </w:t>
      </w:r>
      <w:r>
        <w:rPr>
          <w:smallCaps/>
        </w:rPr>
        <w:t>Keynes</w:t>
      </w:r>
      <w:r>
        <w:t xml:space="preserve"> sobre los motivos que llevan a demandar dinero (transacción, precaución y especulación </w:t>
      </w:r>
      <w:r w:rsidRPr="00AB2F16">
        <w:rPr>
          <w:color w:val="767171" w:themeColor="background2" w:themeShade="80"/>
          <w:sz w:val="19"/>
          <w:szCs w:val="19"/>
        </w:rPr>
        <w:t>[ver tema 3.A.34]</w:t>
      </w:r>
      <w:r>
        <w:t>), la demanda de dinero depende positivamente de la renta y negativamente del tipo de interés. La oferta de dinero, por su parte, se determina exógenamente por el banco central:</w:t>
      </w:r>
    </w:p>
    <w:p w14:paraId="601282E6" w14:textId="77777777" w:rsidR="007E2D63" w:rsidRPr="00185223" w:rsidRDefault="00000000" w:rsidP="007E2D63">
      <w:pPr>
        <w:pStyle w:val="Nivel1"/>
        <w:numPr>
          <w:ilvl w:val="0"/>
          <w:numId w:val="0"/>
        </w:numPr>
        <w:spacing w:before="0" w:after="0"/>
        <w:ind w:left="623"/>
        <w:rPr>
          <w:rFonts w:eastAsiaTheme="minorEastAsia"/>
          <w:iCs/>
          <w:lang w:val="en-US"/>
        </w:rPr>
      </w:pPr>
      <m:oMathPara>
        <m:oMath>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r>
            <w:rPr>
              <w:rFonts w:ascii="Cambria Math" w:hAnsi="Cambria Math"/>
              <w:lang w:val="en-US"/>
            </w:rPr>
            <m:t>=</m:t>
          </m:r>
          <m:limUpp>
            <m:limUppPr>
              <m:ctrlPr>
                <w:rPr>
                  <w:rFonts w:ascii="Cambria Math" w:hAnsi="Cambria Math"/>
                  <w:i/>
                  <w:iCs/>
                  <w:lang w:val="en-US"/>
                </w:rPr>
              </m:ctrlPr>
            </m:limUppPr>
            <m:e>
              <m:groupChr>
                <m:groupChrPr>
                  <m:chr m:val="⏞"/>
                  <m:pos m:val="top"/>
                  <m:vertJc m:val="bot"/>
                  <m:ctrlPr>
                    <w:rPr>
                      <w:rFonts w:ascii="Cambria Math" w:hAnsi="Cambria Math"/>
                      <w:i/>
                      <w:iCs/>
                      <w:lang w:val="en-US"/>
                    </w:rPr>
                  </m:ctrlPr>
                </m:groupChrPr>
                <m:e>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r>
                    <m:rPr>
                      <m:nor/>
                    </m:rPr>
                    <w:rPr>
                      <w:i/>
                      <w:iCs/>
                      <w:lang w:val="en-US"/>
                    </w:rPr>
                    <m:t>h</m:t>
                  </m:r>
                  <m:r>
                    <w:rPr>
                      <w:rFonts w:ascii="Cambria Math" w:hAnsi="Cambria Math"/>
                      <w:lang w:val="en-US"/>
                    </w:rPr>
                    <m:t>∙</m:t>
                  </m:r>
                  <m:r>
                    <m:rPr>
                      <m:nor/>
                    </m:rPr>
                    <w:rPr>
                      <w:i/>
                      <w:iCs/>
                      <w:lang w:val="en-US"/>
                    </w:rPr>
                    <m:t>i</m:t>
                  </m:r>
                </m:e>
              </m:groupChr>
            </m:e>
            <m:lim>
              <m:sSup>
                <m:sSupPr>
                  <m:ctrlPr>
                    <w:rPr>
                      <w:rFonts w:ascii="Cambria Math" w:hAnsi="Cambria Math"/>
                      <w:i/>
                      <w:iCs/>
                      <w:lang w:val="en-US"/>
                    </w:rPr>
                  </m:ctrlPr>
                </m:sSupPr>
                <m:e>
                  <m:d>
                    <m:dPr>
                      <m:ctrlPr>
                        <w:rPr>
                          <w:rFonts w:ascii="Cambria Math" w:hAnsi="Cambria Math"/>
                          <w:i/>
                          <w:iCs/>
                          <w:lang w:val="en-US"/>
                        </w:rPr>
                      </m:ctrlPr>
                    </m:dPr>
                    <m:e>
                      <m:f>
                        <m:fPr>
                          <m:ctrlPr>
                            <w:rPr>
                              <w:rFonts w:ascii="Cambria Math" w:hAnsi="Cambria Math"/>
                              <w:i/>
                              <w:iCs/>
                              <w:lang w:val="en-US"/>
                            </w:rPr>
                          </m:ctrlPr>
                        </m:fPr>
                        <m:num>
                          <m:r>
                            <m:rPr>
                              <m:nor/>
                            </m:rPr>
                            <w:rPr>
                              <w:i/>
                              <w:iCs/>
                              <w:lang w:val="en-US"/>
                            </w:rPr>
                            <m:t>M</m:t>
                          </m:r>
                        </m:num>
                        <m:den>
                          <m:r>
                            <m:rPr>
                              <m:nor/>
                            </m:rPr>
                            <w:rPr>
                              <w:i/>
                              <w:iCs/>
                              <w:lang w:val="en-US"/>
                            </w:rPr>
                            <m:t>P</m:t>
                          </m:r>
                        </m:den>
                      </m:f>
                    </m:e>
                  </m:d>
                </m:e>
                <m:sup>
                  <m:r>
                    <m:rPr>
                      <m:nor/>
                    </m:rPr>
                    <w:rPr>
                      <w:i/>
                      <w:iCs/>
                      <w:lang w:val="en-US"/>
                    </w:rPr>
                    <m:t>D</m:t>
                  </m:r>
                </m:sup>
              </m:sSup>
            </m:lim>
          </m:limUpp>
          <m:r>
            <w:rPr>
              <w:rFonts w:ascii="Cambria Math" w:eastAsiaTheme="minorEastAsia" w:hAnsi="Cambria Math"/>
              <w:lang w:val="en-US"/>
            </w:rPr>
            <m:t>⟹</m:t>
          </m:r>
          <m:borderBox>
            <m:borderBoxPr>
              <m:ctrlPr>
                <w:rPr>
                  <w:rFonts w:ascii="Cambria Math" w:hAnsi="Cambria Math"/>
                  <w:i/>
                  <w:iCs/>
                  <w:lang w:val="en-US"/>
                </w:rPr>
              </m:ctrlPr>
            </m:borderBoxPr>
            <m:e>
              <m:r>
                <m:rPr>
                  <m:nor/>
                </m:rPr>
                <w:rPr>
                  <w:i/>
                  <w:iCs/>
                  <w:lang w:val="en-US"/>
                </w:rPr>
                <m:t>i</m:t>
              </m:r>
              <m:r>
                <w:rPr>
                  <w:rFonts w:ascii="Cambria Math"/>
                  <w:lang w:val="en-US"/>
                </w:rPr>
                <m:t>=</m:t>
              </m:r>
              <m:f>
                <m:fPr>
                  <m:ctrlPr>
                    <w:rPr>
                      <w:rFonts w:ascii="Cambria Math" w:hAnsi="Cambria Math"/>
                      <w:i/>
                      <w:iCs/>
                      <w:lang w:val="en-US"/>
                    </w:rPr>
                  </m:ctrlPr>
                </m:fPr>
                <m:num>
                  <m:r>
                    <m:rPr>
                      <m:nor/>
                    </m:rPr>
                    <w:rPr>
                      <w:i/>
                      <w:iCs/>
                      <w:lang w:val="en-US"/>
                    </w:rPr>
                    <m:t>1</m:t>
                  </m:r>
                </m:num>
                <m:den>
                  <m:r>
                    <m:rPr>
                      <m:nor/>
                    </m:rPr>
                    <w:rPr>
                      <w:i/>
                      <w:iCs/>
                      <w:lang w:val="en-US"/>
                    </w:rPr>
                    <m:t>h</m:t>
                  </m:r>
                </m:den>
              </m:f>
              <m:r>
                <w:rPr>
                  <w:rFonts w:ascii="Cambria Math" w:hAnsi="Cambria Math"/>
                  <w:lang w:val="en-US"/>
                </w:rPr>
                <m:t>∙</m:t>
              </m:r>
              <m:d>
                <m:dPr>
                  <m:begChr m:val="["/>
                  <m:endChr m:val="]"/>
                  <m:ctrlPr>
                    <w:rPr>
                      <w:rFonts w:ascii="Cambria Math" w:hAnsi="Cambria Math"/>
                      <w:i/>
                      <w:iCs/>
                      <w:lang w:val="en-US"/>
                    </w:rPr>
                  </m:ctrlPr>
                </m:dPr>
                <m:e>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e>
              </m:d>
            </m:e>
          </m:borderBox>
        </m:oMath>
      </m:oMathPara>
    </w:p>
    <w:p w14:paraId="4134A4B8" w14:textId="77777777" w:rsidR="007E2D63" w:rsidRDefault="007E2D63" w:rsidP="007E2D63">
      <w:pPr>
        <w:pStyle w:val="Nivel3SM"/>
        <w:keepNext/>
      </w:pPr>
      <w:r w:rsidRPr="00AB2F16">
        <w:lastRenderedPageBreak/>
        <w:t>La intersección de la c</w:t>
      </w:r>
      <w:r>
        <w:t>urva IS y la curva LM, permite determinar las combinaciones de renta y tipos de interés tales que todos los mercados están en equilibrio. Analíticamente:</w:t>
      </w:r>
    </w:p>
    <w:p w14:paraId="1BA007A7" w14:textId="77777777" w:rsidR="007E2D63" w:rsidRPr="00B84F1B" w:rsidRDefault="00000000" w:rsidP="007E2D63">
      <w:pPr>
        <w:pStyle w:val="Nivel1"/>
        <w:numPr>
          <w:ilvl w:val="0"/>
          <w:numId w:val="0"/>
        </w:numPr>
        <w:spacing w:before="0" w:after="0"/>
        <w:ind w:left="624"/>
        <w:rPr>
          <w:rFonts w:eastAsiaTheme="minorEastAsia"/>
          <w:iCs/>
          <w:lang w:val="en-US"/>
        </w:rPr>
      </w:pPr>
      <m:oMathPara>
        <m:oMath>
          <m:d>
            <m:dPr>
              <m:begChr m:val=""/>
              <m:endChr m:val="}"/>
              <m:ctrlPr>
                <w:rPr>
                  <w:rFonts w:ascii="Cambria Math" w:hAnsi="Cambria Math"/>
                  <w:i/>
                </w:rPr>
              </m:ctrlPr>
            </m:dPr>
            <m:e>
              <m:f>
                <m:fPr>
                  <m:type m:val="noBar"/>
                  <m:ctrlPr>
                    <w:rPr>
                      <w:rFonts w:ascii="Cambria Math" w:hAnsi="Cambria Math"/>
                      <w:i/>
                    </w:rPr>
                  </m:ctrlPr>
                </m:fPr>
                <m:num>
                  <m:r>
                    <m:rPr>
                      <m:nor/>
                    </m:rPr>
                    <w:rPr>
                      <w:i/>
                      <w:iCs/>
                      <w:lang w:val="en-US"/>
                    </w:rPr>
                    <m:t>Y</m:t>
                  </m:r>
                  <m:r>
                    <w:rPr>
                      <w:rFonts w:ascii="Cambria Math"/>
                      <w:lang w:val="en-US"/>
                    </w:rPr>
                    <m:t>=</m:t>
                  </m:r>
                  <m:f>
                    <m:fPr>
                      <m:ctrlPr>
                        <w:rPr>
                          <w:rFonts w:ascii="Cambria Math" w:hAnsi="Cambria Math"/>
                          <w:i/>
                          <w:iCs/>
                          <w:lang w:val="en-US"/>
                        </w:rPr>
                      </m:ctrlPr>
                    </m:fPr>
                    <m:num>
                      <m:r>
                        <m:rPr>
                          <m:nor/>
                        </m:rPr>
                        <w:rPr>
                          <w:i/>
                          <w:iCs/>
                          <w:lang w:val="en-US"/>
                        </w:rPr>
                        <m:t>1</m:t>
                      </m:r>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den>
                  </m:f>
                  <m:r>
                    <w:rPr>
                      <w:rFonts w:ascii="Cambria Math" w:hAnsi="Cambria Math"/>
                      <w:lang w:val="en-US"/>
                    </w:rPr>
                    <m:t>∙</m:t>
                  </m:r>
                  <m:d>
                    <m:dPr>
                      <m:ctrlPr>
                        <w:rPr>
                          <w:rFonts w:ascii="Cambria Math" w:hAnsi="Cambria Math"/>
                          <w:i/>
                          <w:iCs/>
                          <w:lang w:val="en-U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r>
                        <m:rPr>
                          <m:nor/>
                        </m:rPr>
                        <w:rPr>
                          <w:i/>
                          <w:iCs/>
                          <w:lang w:val="en-US"/>
                        </w:rPr>
                        <m:t>v</m:t>
                      </m:r>
                      <m:r>
                        <w:rPr>
                          <w:rFonts w:ascii="Cambria Math" w:hAnsi="Cambria Math"/>
                          <w:lang w:val="en-US"/>
                        </w:rPr>
                        <m:t>∙</m:t>
                      </m:r>
                      <m:r>
                        <m:rPr>
                          <m:nor/>
                        </m:rPr>
                        <w:rPr>
                          <w:i/>
                          <w:iCs/>
                          <w:lang w:val="en-US"/>
                        </w:rPr>
                        <m:t>i</m:t>
                      </m:r>
                      <m:r>
                        <w:rPr>
                          <w:rFonts w:ascii="Cambria Math" w:hAnsi="Cambria Math"/>
                          <w:lang w:val="en-US"/>
                        </w:rPr>
                        <m:t>+</m:t>
                      </m:r>
                      <m:sSub>
                        <m:sSubPr>
                          <m:ctrlPr>
                            <w:rPr>
                              <w:rFonts w:ascii="Cambria Math" w:hAnsi="Cambria Math"/>
                              <w:i/>
                              <w:iCs/>
                            </w:rPr>
                          </m:ctrlPr>
                        </m:sSubPr>
                        <m:e>
                          <m:r>
                            <m:rPr>
                              <m:nor/>
                            </m:rPr>
                            <w:rPr>
                              <w:i/>
                              <w:iCs/>
                              <w:lang w:val="en-US"/>
                            </w:rPr>
                            <m:t>G</m:t>
                          </m:r>
                        </m:e>
                        <m:sub>
                          <m:r>
                            <m:rPr>
                              <m:nor/>
                            </m:rPr>
                            <w:rPr>
                              <w:i/>
                              <w:iCs/>
                              <w:lang w:val="en-US"/>
                            </w:rPr>
                            <m:t>0</m:t>
                          </m:r>
                        </m:sub>
                      </m:sSub>
                    </m:e>
                  </m:d>
                </m:num>
                <m:den>
                  <m:r>
                    <m:rPr>
                      <m:nor/>
                    </m:rPr>
                    <w:rPr>
                      <w:rFonts w:ascii="Cambria Math"/>
                      <w:i/>
                      <w:iCs/>
                      <w:lang w:val="en-US"/>
                    </w:rPr>
                    <m:t xml:space="preserve">                                  </m:t>
                  </m:r>
                  <m:r>
                    <m:rPr>
                      <m:nor/>
                    </m:rPr>
                    <w:rPr>
                      <w:i/>
                      <w:iCs/>
                      <w:lang w:val="en-US"/>
                    </w:rPr>
                    <m:t>i</m:t>
                  </m:r>
                  <m:r>
                    <w:rPr>
                      <w:rFonts w:ascii="Cambria Math"/>
                      <w:lang w:val="en-US"/>
                    </w:rPr>
                    <m:t>=</m:t>
                  </m:r>
                  <m:f>
                    <m:fPr>
                      <m:ctrlPr>
                        <w:rPr>
                          <w:rFonts w:ascii="Cambria Math" w:hAnsi="Cambria Math"/>
                          <w:i/>
                          <w:iCs/>
                          <w:lang w:val="en-US"/>
                        </w:rPr>
                      </m:ctrlPr>
                    </m:fPr>
                    <m:num>
                      <m:r>
                        <m:rPr>
                          <m:nor/>
                        </m:rPr>
                        <w:rPr>
                          <w:i/>
                          <w:iCs/>
                          <w:lang w:val="en-US"/>
                        </w:rPr>
                        <m:t>1</m:t>
                      </m:r>
                    </m:num>
                    <m:den>
                      <m:r>
                        <m:rPr>
                          <m:nor/>
                        </m:rPr>
                        <w:rPr>
                          <w:i/>
                          <w:iCs/>
                          <w:lang w:val="en-US"/>
                        </w:rPr>
                        <m:t>h</m:t>
                      </m:r>
                    </m:den>
                  </m:f>
                  <m:r>
                    <w:rPr>
                      <w:rFonts w:ascii="Cambria Math" w:hAnsi="Cambria Math"/>
                      <w:lang w:val="en-US"/>
                    </w:rPr>
                    <m:t>∙</m:t>
                  </m:r>
                  <m:d>
                    <m:dPr>
                      <m:begChr m:val="["/>
                      <m:endChr m:val="]"/>
                      <m:ctrlPr>
                        <w:rPr>
                          <w:rFonts w:ascii="Cambria Math" w:hAnsi="Cambria Math"/>
                          <w:i/>
                          <w:iCs/>
                          <w:lang w:val="en-US"/>
                        </w:rPr>
                      </m:ctrlPr>
                    </m:dPr>
                    <m:e>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e>
                  </m:d>
                </m:den>
              </m:f>
            </m:e>
          </m:d>
          <m:r>
            <w:rPr>
              <w:rFonts w:ascii="Cambria Math" w:hAnsi="Cambria Math"/>
            </w:rPr>
            <m:t>⟹</m:t>
          </m:r>
          <m:borderBox>
            <m:borderBoxPr>
              <m:ctrlPr>
                <w:rPr>
                  <w:rFonts w:ascii="Cambria Math" w:hAnsi="Cambria Math"/>
                  <w:i/>
                  <w:iCs/>
                  <w:lang w:val="en-US"/>
                </w:rPr>
              </m:ctrlPr>
            </m:borderBoxPr>
            <m:e>
              <m:r>
                <m:rPr>
                  <m:nor/>
                </m:rPr>
                <w:rPr>
                  <w:i/>
                  <w:iCs/>
                  <w:lang w:val="en-US"/>
                </w:rPr>
                <m:t>Y</m:t>
              </m:r>
              <m:r>
                <w:rPr>
                  <w:rFonts w:ascii="Cambria Math"/>
                  <w:lang w:val="en-US"/>
                </w:rPr>
                <m:t>=</m:t>
              </m:r>
              <w:bookmarkStart w:id="32" w:name="_Hlk121500426"/>
              <m:f>
                <m:fPr>
                  <m:ctrlPr>
                    <w:rPr>
                      <w:rFonts w:ascii="Cambria Math" w:hAnsi="Cambria Math"/>
                      <w:i/>
                      <w:iCs/>
                      <w:lang w:val="en-US"/>
                    </w:rPr>
                  </m:ctrlPr>
                </m:fPr>
                <m:num>
                  <m:d>
                    <m:dPr>
                      <m:ctrlPr>
                        <w:rPr>
                          <w:rFonts w:ascii="Cambria Math" w:hAnsi="Cambria Math"/>
                          <w:i/>
                          <w:iCs/>
                          <w:lang w:val="en-U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G</m:t>
                          </m:r>
                        </m:e>
                        <m:sub>
                          <m:r>
                            <m:rPr>
                              <m:nor/>
                            </m:rPr>
                            <w:rPr>
                              <w:i/>
                              <w:iCs/>
                              <w:lang w:val="en-US"/>
                            </w:rPr>
                            <m:t>0</m:t>
                          </m:r>
                        </m:sub>
                      </m:sSub>
                    </m:e>
                  </m:d>
                  <m:r>
                    <w:rPr>
                      <w:rFonts w:ascii="Cambria Math" w:hAnsi="Cambria Math"/>
                      <w:lang w:val="en-US"/>
                    </w:rPr>
                    <m:t>+</m:t>
                  </m:r>
                  <m:f>
                    <m:fPr>
                      <m:type m:val="lin"/>
                      <m:ctrlPr>
                        <w:rPr>
                          <w:rFonts w:ascii="Cambria Math" w:hAnsi="Cambria Math"/>
                          <w:i/>
                          <w:iCs/>
                          <w:lang w:val="en-US"/>
                        </w:rPr>
                      </m:ctrlPr>
                    </m:fPr>
                    <m:num>
                      <m:r>
                        <m:rPr>
                          <m:nor/>
                        </m:rPr>
                        <w:rPr>
                          <w:i/>
                          <w:iCs/>
                          <w:lang w:val="en-US"/>
                        </w:rPr>
                        <m:t>v</m:t>
                      </m:r>
                    </m:num>
                    <m:den>
                      <m:r>
                        <m:rPr>
                          <m:nor/>
                        </m:rPr>
                        <w:rPr>
                          <w:i/>
                          <w:iCs/>
                          <w:lang w:val="en-US"/>
                        </w:rPr>
                        <m:t>h</m:t>
                      </m:r>
                    </m:den>
                  </m:f>
                  <m:r>
                    <w:rPr>
                      <w:rFonts w:ascii="Cambria Math" w:hAnsi="Cambria Math"/>
                      <w:lang w:val="en-US"/>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r>
                    <w:rPr>
                      <w:rFonts w:ascii="Cambria Math" w:hAnsi="Cambria Math"/>
                      <w:lang w:val="en-US"/>
                    </w:rPr>
                    <m:t>+</m:t>
                  </m:r>
                  <m:r>
                    <m:rPr>
                      <m:nor/>
                    </m:rPr>
                    <w:rPr>
                      <w:i/>
                      <w:iCs/>
                      <w:lang w:val="en-US"/>
                    </w:rPr>
                    <m:t>v</m:t>
                  </m:r>
                  <m:r>
                    <w:rPr>
                      <w:rFonts w:ascii="Cambria Math" w:hAnsi="Cambria Math"/>
                      <w:lang w:val="en-US"/>
                    </w:rPr>
                    <m:t>∙</m:t>
                  </m:r>
                  <m:f>
                    <m:fPr>
                      <m:type m:val="lin"/>
                      <m:ctrlPr>
                        <w:rPr>
                          <w:rFonts w:ascii="Cambria Math" w:hAnsi="Cambria Math"/>
                          <w:i/>
                          <w:iCs/>
                          <w:lang w:val="en-US"/>
                        </w:rPr>
                      </m:ctrlPr>
                    </m:fPr>
                    <m:num>
                      <m:r>
                        <m:rPr>
                          <m:nor/>
                        </m:rPr>
                        <w:rPr>
                          <w:i/>
                          <w:iCs/>
                          <w:lang w:val="en-US"/>
                        </w:rPr>
                        <m:t>k</m:t>
                      </m:r>
                    </m:num>
                    <m:den>
                      <m:r>
                        <m:rPr>
                          <m:nor/>
                        </m:rPr>
                        <w:rPr>
                          <w:i/>
                          <w:iCs/>
                          <w:lang w:val="en-US"/>
                        </w:rPr>
                        <m:t>h</m:t>
                      </m:r>
                    </m:den>
                  </m:f>
                </m:den>
              </m:f>
              <w:bookmarkEnd w:id="32"/>
            </m:e>
          </m:borderBox>
        </m:oMath>
      </m:oMathPara>
    </w:p>
    <w:p w14:paraId="65525F38" w14:textId="77777777" w:rsidR="007E2D63" w:rsidRDefault="007E2D63" w:rsidP="007E2D63">
      <w:pPr>
        <w:pStyle w:val="Nivel4"/>
        <w:keepNext/>
        <w:ind w:left="1474"/>
      </w:pPr>
      <w:r w:rsidRPr="00EB05E7">
        <w:t>Esta expre</w:t>
      </w:r>
      <w:r>
        <w:t>s</w:t>
      </w:r>
      <w:r w:rsidRPr="00EB05E7">
        <w:t>ión nos permite d</w:t>
      </w:r>
      <w:r>
        <w:t xml:space="preserve">erivar la expresión del </w:t>
      </w:r>
      <w:r w:rsidRPr="00EB05E7">
        <w:rPr>
          <w:b/>
          <w:bCs/>
        </w:rPr>
        <w:t>multiplicador de la política fiscal</w:t>
      </w:r>
      <w:r>
        <w:t>, definido como la ratio de la variación del nivel de producción respecto a la variación de un determinado instrumento fiscal (es decir, su derivada)</w:t>
      </w:r>
      <w:r>
        <w:rPr>
          <w:rStyle w:val="Refdenotaalpie"/>
        </w:rPr>
        <w:footnoteReference w:id="14"/>
      </w:r>
      <w:r>
        <w:t>:</w:t>
      </w:r>
    </w:p>
    <w:p w14:paraId="241BC11C" w14:textId="77777777" w:rsidR="007E2D63" w:rsidRDefault="007E2D63" w:rsidP="007E2D63">
      <w:pPr>
        <w:pStyle w:val="Nivel5"/>
        <w:keepNext/>
        <w:ind w:left="1871"/>
      </w:pPr>
      <w:r>
        <w:t>Multiplicador del gasto público:</w:t>
      </w:r>
    </w:p>
    <w:p w14:paraId="57CC19E0" w14:textId="77777777" w:rsidR="007E2D63" w:rsidRDefault="00000000" w:rsidP="007E2D63">
      <w:pPr>
        <w:pStyle w:val="Nivel3"/>
        <w:numPr>
          <w:ilvl w:val="0"/>
          <w:numId w:val="0"/>
        </w:numPr>
        <w:ind w:left="1463"/>
      </w:pPr>
      <m:oMathPara>
        <m:oMath>
          <m:f>
            <m:fPr>
              <m:ctrlPr>
                <w:rPr>
                  <w:rFonts w:ascii="Cambria Math" w:hAnsi="Cambria Math"/>
                  <w:i/>
                  <w:iCs/>
                  <w:lang w:val="en-US"/>
                </w:rPr>
              </m:ctrlPr>
            </m:fPr>
            <m:num>
              <m:r>
                <w:rPr>
                  <w:rFonts w:ascii="Cambria Math" w:hAnsi="Cambria Math"/>
                  <w:lang w:val="en-US"/>
                </w:rPr>
                <m:t>∆</m:t>
              </m:r>
              <m:r>
                <m:rPr>
                  <m:nor/>
                </m:rPr>
                <w:rPr>
                  <w:i/>
                  <w:iCs/>
                  <w:lang w:val="en-US"/>
                </w:rPr>
                <m:t>Y</m:t>
              </m:r>
            </m:num>
            <m:den>
              <m:r>
                <w:rPr>
                  <w:rFonts w:ascii="Cambria Math" w:hAnsi="Cambria Math"/>
                  <w:lang w:val="en-US"/>
                </w:rPr>
                <m:t>∆</m:t>
              </m:r>
              <m:r>
                <m:rPr>
                  <m:nor/>
                </m:rPr>
                <w:rPr>
                  <w:i/>
                  <w:iCs/>
                  <w:lang w:val="en-US"/>
                </w:rPr>
                <m:t>G</m:t>
              </m:r>
            </m:den>
          </m:f>
          <m:r>
            <w:rPr>
              <w:rFonts w:ascii="Cambria Math"/>
              <w:lang w:val="en-US"/>
            </w:rPr>
            <m:t>=</m:t>
          </m:r>
          <m:f>
            <m:fPr>
              <m:ctrlPr>
                <w:rPr>
                  <w:rFonts w:ascii="Cambria Math" w:hAnsi="Cambria Math"/>
                  <w:i/>
                  <w:iCs/>
                  <w:lang w:val="en-US"/>
                </w:rPr>
              </m:ctrlPr>
            </m:fPr>
            <m:num>
              <m:r>
                <m:rPr>
                  <m:nor/>
                </m:rPr>
                <w:rPr>
                  <w:i/>
                  <w:iCs/>
                  <w:lang w:val="fr-FR"/>
                </w:rPr>
                <m:t>1</m:t>
              </m:r>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r>
                <w:rPr>
                  <w:rFonts w:ascii="Cambria Math" w:hAnsi="Cambria Math"/>
                  <w:lang w:val="en-US"/>
                </w:rPr>
                <m:t>+</m:t>
              </m:r>
              <m:r>
                <m:rPr>
                  <m:nor/>
                </m:rPr>
                <w:rPr>
                  <w:i/>
                  <w:iCs/>
                  <w:lang w:val="en-US"/>
                </w:rPr>
                <m:t>v</m:t>
              </m:r>
              <m:r>
                <w:rPr>
                  <w:rFonts w:ascii="Cambria Math" w:hAnsi="Cambria Math"/>
                  <w:lang w:val="en-US"/>
                </w:rPr>
                <m:t>∙</m:t>
              </m:r>
              <m:f>
                <m:fPr>
                  <m:type m:val="lin"/>
                  <m:ctrlPr>
                    <w:rPr>
                      <w:rFonts w:ascii="Cambria Math" w:hAnsi="Cambria Math"/>
                      <w:i/>
                      <w:iCs/>
                      <w:lang w:val="en-US"/>
                    </w:rPr>
                  </m:ctrlPr>
                </m:fPr>
                <m:num>
                  <m:r>
                    <m:rPr>
                      <m:nor/>
                    </m:rPr>
                    <w:rPr>
                      <w:i/>
                      <w:iCs/>
                      <w:lang w:val="en-US"/>
                    </w:rPr>
                    <m:t>k</m:t>
                  </m:r>
                </m:num>
                <m:den>
                  <m:r>
                    <m:rPr>
                      <m:nor/>
                    </m:rPr>
                    <w:rPr>
                      <w:i/>
                      <w:iCs/>
                      <w:lang w:val="en-US"/>
                    </w:rPr>
                    <m:t>h</m:t>
                  </m:r>
                </m:den>
              </m:f>
            </m:den>
          </m:f>
        </m:oMath>
      </m:oMathPara>
    </w:p>
    <w:p w14:paraId="4C0983E3" w14:textId="77777777" w:rsidR="007E2D63" w:rsidRPr="007F61AA" w:rsidRDefault="007E2D63" w:rsidP="007E2D63">
      <w:pPr>
        <w:pStyle w:val="Nivel5"/>
        <w:keepNext/>
        <w:ind w:left="1871"/>
      </w:pPr>
      <w:r w:rsidRPr="007F61AA">
        <w:t>Multiplicador del tipo impositivo</w:t>
      </w:r>
      <w:r w:rsidRPr="007F61AA">
        <w:rPr>
          <w:rStyle w:val="Refdenotaalpie"/>
        </w:rPr>
        <w:footnoteReference w:id="15"/>
      </w:r>
      <w:r w:rsidRPr="007F61AA">
        <w:t>:</w:t>
      </w:r>
    </w:p>
    <w:p w14:paraId="24156951" w14:textId="77777777" w:rsidR="007E2D63" w:rsidRPr="00987505" w:rsidRDefault="00000000" w:rsidP="007E2D63">
      <w:pPr>
        <w:pStyle w:val="Nivel3"/>
        <w:numPr>
          <w:ilvl w:val="0"/>
          <w:numId w:val="0"/>
        </w:numPr>
        <w:ind w:left="1463"/>
        <w:rPr>
          <w:rFonts w:eastAsiaTheme="minorEastAsia"/>
          <w:iCs/>
          <w:lang w:val="en-US"/>
        </w:rPr>
      </w:pPr>
      <m:oMathPara>
        <m:oMath>
          <m:f>
            <m:fPr>
              <m:ctrlPr>
                <w:rPr>
                  <w:rFonts w:ascii="Cambria Math" w:hAnsi="Cambria Math"/>
                  <w:i/>
                  <w:iCs/>
                  <w:lang w:val="en-US"/>
                </w:rPr>
              </m:ctrlPr>
            </m:fPr>
            <m:num>
              <m:r>
                <w:rPr>
                  <w:rFonts w:ascii="Cambria Math" w:hAnsi="Cambria Math"/>
                  <w:lang w:val="en-US"/>
                </w:rPr>
                <m:t>∆</m:t>
              </m:r>
              <m:r>
                <m:rPr>
                  <m:nor/>
                </m:rPr>
                <w:rPr>
                  <w:i/>
                  <w:iCs/>
                  <w:lang w:val="en-US"/>
                </w:rPr>
                <m:t>Y</m:t>
              </m:r>
            </m:num>
            <m:den>
              <m:r>
                <w:rPr>
                  <w:rFonts w:ascii="Cambria Math" w:hAnsi="Cambria Math"/>
                  <w:lang w:val="en-US"/>
                </w:rPr>
                <m:t>∆</m:t>
              </m:r>
              <m:r>
                <m:rPr>
                  <m:nor/>
                </m:rPr>
                <w:rPr>
                  <w:i/>
                  <w:iCs/>
                  <w:lang w:val="en-US"/>
                </w:rPr>
                <m:t>t</m:t>
              </m:r>
            </m:den>
          </m:f>
          <m:r>
            <w:rPr>
              <w:rFonts w:ascii="Cambria Math" w:hAnsi="Cambria Math"/>
              <w:lang w:val="en-US"/>
            </w:rPr>
            <m:t>=</m:t>
          </m:r>
          <m:f>
            <m:fPr>
              <m:ctrlPr>
                <w:rPr>
                  <w:rFonts w:ascii="Cambria Math" w:hAnsi="Cambria Math"/>
                  <w:i/>
                  <w:iCs/>
                  <w:lang w:val="en-US"/>
                </w:rPr>
              </m:ctrlPr>
            </m:fPr>
            <m:num>
              <m:r>
                <w:rPr>
                  <w:rFonts w:ascii="Cambria Math" w:hAnsi="Cambria Math"/>
                  <w:lang w:val="en-US"/>
                </w:rPr>
                <m:t>-</m:t>
              </m:r>
              <m:r>
                <m:rPr>
                  <m:nor/>
                </m:rPr>
                <w:rPr>
                  <w:i/>
                  <w:iCs/>
                  <w:lang w:val="en-US"/>
                </w:rPr>
                <m:t>c</m:t>
              </m:r>
              <m:r>
                <w:rPr>
                  <w:rFonts w:ascii="Cambria Math" w:hAnsi="Cambria Math"/>
                  <w:lang w:val="en-US"/>
                </w:rPr>
                <m:t>∙</m:t>
              </m:r>
              <m:d>
                <m:dPr>
                  <m:begChr m:val="["/>
                  <m:endChr m:val="]"/>
                  <m:ctrlPr>
                    <w:rPr>
                      <w:rFonts w:ascii="Cambria Math"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G</m:t>
                          </m:r>
                        </m:e>
                        <m:sub>
                          <m:r>
                            <m:rPr>
                              <m:nor/>
                            </m:rPr>
                            <w:rPr>
                              <w:i/>
                              <w:iCs/>
                              <w:lang w:val="en-US"/>
                            </w:rPr>
                            <m:t>0</m:t>
                          </m:r>
                        </m:sub>
                      </m:sSub>
                    </m:e>
                  </m:d>
                  <m:r>
                    <w:rPr>
                      <w:rFonts w:ascii="Cambria Math" w:hAnsi="Cambria Math"/>
                      <w:lang w:val="en-US"/>
                    </w:rPr>
                    <m:t>+</m:t>
                  </m:r>
                  <m:f>
                    <m:fPr>
                      <m:type m:val="lin"/>
                      <m:ctrlPr>
                        <w:rPr>
                          <w:rFonts w:ascii="Cambria Math" w:hAnsi="Cambria Math"/>
                          <w:i/>
                          <w:iCs/>
                          <w:lang w:val="en-US"/>
                        </w:rPr>
                      </m:ctrlPr>
                    </m:fPr>
                    <m:num>
                      <m:r>
                        <m:rPr>
                          <m:nor/>
                        </m:rPr>
                        <w:rPr>
                          <w:i/>
                          <w:iCs/>
                          <w:lang w:val="en-US"/>
                        </w:rPr>
                        <m:t>v</m:t>
                      </m:r>
                    </m:num>
                    <m:den>
                      <m:r>
                        <m:rPr>
                          <m:nor/>
                        </m:rPr>
                        <w:rPr>
                          <w:i/>
                          <w:iCs/>
                          <w:lang w:val="en-US"/>
                        </w:rPr>
                        <m:t>h</m:t>
                      </m:r>
                    </m:den>
                  </m:f>
                  <m:r>
                    <w:rPr>
                      <w:rFonts w:ascii="Cambria Math" w:hAnsi="Cambria Math"/>
                      <w:lang w:val="en-US"/>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e>
              </m:d>
            </m:num>
            <m:den>
              <m:sSup>
                <m:sSupPr>
                  <m:ctrlPr>
                    <w:rPr>
                      <w:rFonts w:ascii="Cambria Math" w:hAnsi="Cambria Math"/>
                      <w:i/>
                      <w:iCs/>
                      <w:lang w:val="en-US"/>
                    </w:rPr>
                  </m:ctrlPr>
                </m:sSupPr>
                <m:e>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r>
                        <w:rPr>
                          <w:rFonts w:ascii="Cambria Math" w:hAnsi="Cambria Math"/>
                          <w:lang w:val="en-US"/>
                        </w:rPr>
                        <m:t>+</m:t>
                      </m:r>
                      <m:r>
                        <m:rPr>
                          <m:nor/>
                        </m:rPr>
                        <w:rPr>
                          <w:i/>
                          <w:iCs/>
                          <w:lang w:val="en-US"/>
                        </w:rPr>
                        <m:t>v</m:t>
                      </m:r>
                      <m:r>
                        <w:rPr>
                          <w:rFonts w:ascii="Cambria Math" w:hAnsi="Cambria Math"/>
                          <w:lang w:val="en-US"/>
                        </w:rPr>
                        <m:t>∙</m:t>
                      </m:r>
                      <m:f>
                        <m:fPr>
                          <m:type m:val="lin"/>
                          <m:ctrlPr>
                            <w:rPr>
                              <w:rFonts w:ascii="Cambria Math" w:hAnsi="Cambria Math"/>
                              <w:i/>
                              <w:iCs/>
                              <w:lang w:val="en-US"/>
                            </w:rPr>
                          </m:ctrlPr>
                        </m:fPr>
                        <m:num>
                          <m:r>
                            <m:rPr>
                              <m:nor/>
                            </m:rPr>
                            <w:rPr>
                              <w:i/>
                              <w:iCs/>
                              <w:lang w:val="en-US"/>
                            </w:rPr>
                            <m:t>k</m:t>
                          </m:r>
                        </m:num>
                        <m:den>
                          <m:r>
                            <m:rPr>
                              <m:nor/>
                            </m:rPr>
                            <w:rPr>
                              <w:i/>
                              <w:iCs/>
                              <w:lang w:val="en-US"/>
                            </w:rPr>
                            <m:t>h</m:t>
                          </m:r>
                        </m:den>
                      </m:f>
                    </m:e>
                  </m:d>
                </m:e>
                <m:sup>
                  <m:r>
                    <m:rPr>
                      <m:nor/>
                    </m:rPr>
                    <w:rPr>
                      <w:i/>
                      <w:iCs/>
                      <w:lang w:val="en-US"/>
                    </w:rPr>
                    <m:t>2</m:t>
                  </m:r>
                </m:sup>
              </m:sSup>
            </m:den>
          </m:f>
        </m:oMath>
      </m:oMathPara>
    </w:p>
    <w:p w14:paraId="647617B3" w14:textId="766B24D7" w:rsidR="007E2D63" w:rsidRPr="00694269" w:rsidRDefault="007E2D63" w:rsidP="007E2D63">
      <w:pPr>
        <w:pStyle w:val="Ttulo6"/>
        <w:rPr>
          <w:rFonts w:eastAsiaTheme="minorEastAsia"/>
        </w:rPr>
      </w:pPr>
      <w:bookmarkStart w:id="34" w:name="_Toc142500888"/>
      <w:bookmarkStart w:id="35" w:name="_Toc151221235"/>
      <w:r w:rsidRPr="00694269">
        <w:rPr>
          <w:rFonts w:eastAsiaTheme="minorEastAsia"/>
        </w:rPr>
        <w:lastRenderedPageBreak/>
        <w:t>Representación gráfica</w:t>
      </w:r>
      <w:bookmarkEnd w:id="34"/>
      <w:bookmarkEnd w:id="35"/>
    </w:p>
    <w:p w14:paraId="21780E9D" w14:textId="7AC16360" w:rsidR="007E2D63" w:rsidRPr="00694269" w:rsidRDefault="007E2D63" w:rsidP="007E2D63">
      <w:pPr>
        <w:pStyle w:val="Ttuloimagen"/>
        <w:rPr>
          <w:i/>
          <w:iCs/>
          <w:smallCaps w:val="0"/>
        </w:rPr>
      </w:pPr>
      <w:r w:rsidRPr="00694269">
        <w:t>Imagen </w:t>
      </w:r>
      <w:r>
        <w:rPr>
          <w:lang w:val="en-US"/>
        </w:rPr>
        <w:fldChar w:fldCharType="begin"/>
      </w:r>
      <w:r w:rsidRPr="00694269">
        <w:instrText xml:space="preserve"> SEQ Ilustración \* ARABIC </w:instrText>
      </w:r>
      <w:r>
        <w:rPr>
          <w:lang w:val="en-US"/>
        </w:rPr>
        <w:fldChar w:fldCharType="separate"/>
      </w:r>
      <w:r w:rsidR="001B0506">
        <w:t>1</w:t>
      </w:r>
      <w:r>
        <w:rPr>
          <w:lang w:val="en-US"/>
        </w:rPr>
        <w:fldChar w:fldCharType="end"/>
      </w:r>
      <w:r w:rsidRPr="00694269">
        <w:rPr>
          <w:smallCaps w:val="0"/>
        </w:rPr>
        <w:t xml:space="preserve">.– </w:t>
      </w:r>
      <w:r w:rsidRPr="00694269">
        <w:rPr>
          <w:i/>
          <w:iCs/>
          <w:smallCaps w:val="0"/>
        </w:rPr>
        <w:t>Modelo IS-LM</w:t>
      </w:r>
    </w:p>
    <w:p w14:paraId="15D555AF" w14:textId="77777777" w:rsidR="007E2D63" w:rsidRDefault="007E2D63" w:rsidP="007E2D63">
      <w:pPr>
        <w:pStyle w:val="Imagen"/>
        <w:rPr>
          <w:lang w:val="en-US"/>
        </w:rPr>
      </w:pPr>
      <w:r>
        <w:rPr>
          <w:lang w:val="en-US"/>
        </w:rPr>
        <w:drawing>
          <wp:inline distT="0" distB="0" distL="0" distR="0" wp14:anchorId="5C0F2A2D" wp14:editId="4CD1DA43">
            <wp:extent cx="3200221" cy="1800000"/>
            <wp:effectExtent l="0" t="0" r="635" b="0"/>
            <wp:docPr id="612158839" name="Imagen 612158839"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 Gráfico radial&#10;&#10;Descripción generada automáticamente"/>
                    <pic:cNvPicPr/>
                  </pic:nvPicPr>
                  <pic:blipFill>
                    <a:blip r:embed="rId17"/>
                    <a:stretch>
                      <a:fillRect/>
                    </a:stretch>
                  </pic:blipFill>
                  <pic:spPr>
                    <a:xfrm>
                      <a:off x="0" y="0"/>
                      <a:ext cx="3200221" cy="1800000"/>
                    </a:xfrm>
                    <a:prstGeom prst="rect">
                      <a:avLst/>
                    </a:prstGeom>
                  </pic:spPr>
                </pic:pic>
              </a:graphicData>
            </a:graphic>
          </wp:inline>
        </w:drawing>
      </w:r>
    </w:p>
    <w:p w14:paraId="3444DA57" w14:textId="77777777" w:rsidR="007E2D63" w:rsidRPr="00572828" w:rsidRDefault="007E2D63" w:rsidP="007E2D63">
      <w:pPr>
        <w:pStyle w:val="PiedeImagen"/>
        <w:rPr>
          <w:i w:val="0"/>
          <w:iCs/>
          <w:lang w:val="en-US"/>
        </w:rPr>
      </w:pPr>
      <w:r>
        <w:rPr>
          <w:lang w:val="en-US"/>
        </w:rPr>
        <w:t>Fuente</w:t>
      </w:r>
      <w:r>
        <w:rPr>
          <w:i w:val="0"/>
          <w:iCs/>
          <w:lang w:val="en-US"/>
        </w:rPr>
        <w:t>: Elaboración propia</w:t>
      </w:r>
    </w:p>
    <w:p w14:paraId="5079052F" w14:textId="77777777" w:rsidR="007E2D63" w:rsidRDefault="007E2D63" w:rsidP="007E2D63">
      <w:pPr>
        <w:pStyle w:val="Nivel2SM"/>
        <w:keepNext/>
        <w:spacing w:after="0"/>
      </w:pPr>
      <w:r>
        <w:t xml:space="preserve">La </w:t>
      </w:r>
      <w:r w:rsidRPr="00B84F1B">
        <w:rPr>
          <w:i/>
          <w:iCs/>
          <w:u w:val="single"/>
        </w:rPr>
        <w:t>representación gráfica</w:t>
      </w:r>
      <w:r>
        <w:t xml:space="preserve"> también nos permite analizar los efectos de políticas económicas. Así, en el caso de una </w:t>
      </w:r>
      <w:r w:rsidRPr="005B40DA">
        <w:rPr>
          <w:i/>
          <w:iCs/>
        </w:rPr>
        <w:t>política fiscal expansiva</w:t>
      </w:r>
      <w:r>
        <w:t>, como un aumento del gasto público:</w:t>
      </w:r>
    </w:p>
    <w:p w14:paraId="4DC8C426" w14:textId="77777777" w:rsidR="007E2D63" w:rsidRDefault="007E2D63" w:rsidP="007E2D63">
      <w:pPr>
        <w:pStyle w:val="Nivel3SM"/>
      </w:pPr>
      <w:r>
        <w:t xml:space="preserve">Se producirá una </w:t>
      </w:r>
      <w:r w:rsidRPr="00A809D6">
        <w:rPr>
          <w:i/>
          <w:iCs/>
        </w:rPr>
        <w:t>expansión del gasto agregado</w:t>
      </w:r>
      <w:r>
        <w:t xml:space="preserve"> y, vía efecto multiplicador, un </w:t>
      </w:r>
      <w:r w:rsidRPr="00A809D6">
        <w:rPr>
          <w:u w:val="single"/>
        </w:rPr>
        <w:t>aumento de la renta</w:t>
      </w:r>
      <w:r>
        <w:t xml:space="preserve">. El mayor nivel de renta generará un </w:t>
      </w:r>
      <w:r w:rsidRPr="00A809D6">
        <w:rPr>
          <w:u w:val="single"/>
        </w:rPr>
        <w:t>aumento de la demanda de dinero</w:t>
      </w:r>
      <w:r w:rsidRPr="00A809D6">
        <w:t xml:space="preserve"> (</w:t>
      </w:r>
      <w:r w:rsidRPr="00A809D6">
        <w:rPr>
          <w:i/>
          <w:iCs/>
        </w:rPr>
        <w:t>efecto multiplicador o renta</w:t>
      </w:r>
      <w:r w:rsidRPr="00A809D6">
        <w:t>)</w:t>
      </w:r>
      <w:r>
        <w:t>.</w:t>
      </w:r>
    </w:p>
    <w:p w14:paraId="2A19CB1C" w14:textId="77777777" w:rsidR="007E2D63" w:rsidRDefault="007E2D63" w:rsidP="007E2D63">
      <w:pPr>
        <w:pStyle w:val="Nivel3SM"/>
      </w:pPr>
      <w:r>
        <w:t xml:space="preserve">Si la oferta monetaria no varía, habrá un exceso de demanda de dinero y los agentes reaccionarán vendiendo parte de sus tenencias de bonos, lo que reducirá el precio de los bonos y aumentará el tipo de interés. El aumento del tipo de interés tendrá un </w:t>
      </w:r>
      <w:r w:rsidRPr="00A809D6">
        <w:rPr>
          <w:u w:val="single"/>
        </w:rPr>
        <w:t>efecto negativo sobre la inversión</w:t>
      </w:r>
      <w:r>
        <w:t xml:space="preserve"> (</w:t>
      </w:r>
      <w:r w:rsidRPr="00A809D6">
        <w:rPr>
          <w:i/>
          <w:iCs/>
        </w:rPr>
        <w:t xml:space="preserve">efecto </w:t>
      </w:r>
      <w:proofErr w:type="spellStart"/>
      <w:r w:rsidRPr="00A809D6">
        <w:rPr>
          <w:i/>
          <w:iCs/>
        </w:rPr>
        <w:t>crowding-out</w:t>
      </w:r>
      <w:proofErr w:type="spellEnd"/>
      <w:r>
        <w:t>), reduciéndose el efecto expansivo de la política fiscal. Por lo tanto, la política fiscal tendría un efecto expansivo sobre el crecimiento, que se vería moderado por el aumento de los tipos de interés (</w:t>
      </w:r>
      <w:proofErr w:type="spellStart"/>
      <w:r w:rsidRPr="00A809D6">
        <w:rPr>
          <w:i/>
          <w:iCs/>
        </w:rPr>
        <w:t>crowding-out</w:t>
      </w:r>
      <w:proofErr w:type="spellEnd"/>
      <w:r>
        <w:t xml:space="preserve"> parcial en el caso keynesiano frente al </w:t>
      </w:r>
      <w:proofErr w:type="spellStart"/>
      <w:r w:rsidRPr="00A809D6">
        <w:rPr>
          <w:i/>
          <w:iCs/>
        </w:rPr>
        <w:t>crowding-out</w:t>
      </w:r>
      <w:proofErr w:type="spellEnd"/>
      <w:r>
        <w:t xml:space="preserve"> total clásico).</w:t>
      </w:r>
    </w:p>
    <w:p w14:paraId="3A91BAD4" w14:textId="072789C6" w:rsidR="007E2D63" w:rsidRPr="00311C71" w:rsidRDefault="007E2D63" w:rsidP="007E2D63">
      <w:pPr>
        <w:pStyle w:val="Ttuloimagen"/>
        <w:rPr>
          <w:i/>
          <w:iCs/>
          <w:smallCaps w:val="0"/>
        </w:rPr>
      </w:pPr>
      <w:r w:rsidRPr="00311C71">
        <w:t>Imagen </w:t>
      </w:r>
      <w:r>
        <w:rPr>
          <w:lang w:val="en-US"/>
        </w:rPr>
        <w:fldChar w:fldCharType="begin"/>
      </w:r>
      <w:r w:rsidRPr="00311C71">
        <w:instrText xml:space="preserve"> SEQ Ilustración \* ARABIC </w:instrText>
      </w:r>
      <w:r>
        <w:rPr>
          <w:lang w:val="en-US"/>
        </w:rPr>
        <w:fldChar w:fldCharType="separate"/>
      </w:r>
      <w:r w:rsidR="001B0506">
        <w:t>2</w:t>
      </w:r>
      <w:r>
        <w:rPr>
          <w:lang w:val="en-US"/>
        </w:rPr>
        <w:fldChar w:fldCharType="end"/>
      </w:r>
      <w:r w:rsidRPr="00311C71">
        <w:rPr>
          <w:smallCaps w:val="0"/>
        </w:rPr>
        <w:t xml:space="preserve">.– </w:t>
      </w:r>
      <w:r w:rsidRPr="00311C71">
        <w:rPr>
          <w:i/>
          <w:iCs/>
          <w:smallCaps w:val="0"/>
        </w:rPr>
        <w:t>Política fiscal expansiva en el modelo IS-LM</w:t>
      </w:r>
    </w:p>
    <w:p w14:paraId="03B91FB3" w14:textId="77777777" w:rsidR="007E2D63" w:rsidRDefault="007E2D63" w:rsidP="007E2D63">
      <w:pPr>
        <w:pStyle w:val="Imagen"/>
        <w:rPr>
          <w:lang w:val="en-US"/>
        </w:rPr>
      </w:pPr>
      <w:r>
        <w:rPr>
          <w:lang w:val="en-US"/>
        </w:rPr>
        <w:drawing>
          <wp:inline distT="0" distB="0" distL="0" distR="0" wp14:anchorId="29AF14FB" wp14:editId="3CC4B674">
            <wp:extent cx="3200221" cy="1800000"/>
            <wp:effectExtent l="0" t="0" r="635" b="0"/>
            <wp:docPr id="41" name="Imagen 4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Gráfico, Gráfico de líneas&#10;&#10;Descripción generada automáticamente"/>
                    <pic:cNvPicPr/>
                  </pic:nvPicPr>
                  <pic:blipFill>
                    <a:blip r:embed="rId18"/>
                    <a:stretch>
                      <a:fillRect/>
                    </a:stretch>
                  </pic:blipFill>
                  <pic:spPr>
                    <a:xfrm>
                      <a:off x="0" y="0"/>
                      <a:ext cx="3200221" cy="1800000"/>
                    </a:xfrm>
                    <a:prstGeom prst="rect">
                      <a:avLst/>
                    </a:prstGeom>
                  </pic:spPr>
                </pic:pic>
              </a:graphicData>
            </a:graphic>
          </wp:inline>
        </w:drawing>
      </w:r>
    </w:p>
    <w:p w14:paraId="7001D0D8" w14:textId="77777777" w:rsidR="007E2D63" w:rsidRPr="00005455" w:rsidRDefault="007E2D63" w:rsidP="007E2D63">
      <w:pPr>
        <w:pStyle w:val="PiedeImagen"/>
        <w:rPr>
          <w:i w:val="0"/>
          <w:iCs/>
        </w:rPr>
      </w:pPr>
      <w:r w:rsidRPr="00005455">
        <w:t>Fuente</w:t>
      </w:r>
      <w:r w:rsidRPr="00005455">
        <w:rPr>
          <w:i w:val="0"/>
          <w:iCs/>
        </w:rPr>
        <w:t>: Elaboración propia</w:t>
      </w:r>
    </w:p>
    <w:p w14:paraId="10B5DEDD" w14:textId="3A4D4783" w:rsidR="007E2D63" w:rsidRPr="00311C71" w:rsidRDefault="007E2D63" w:rsidP="007E2D63">
      <w:pPr>
        <w:pStyle w:val="Ttuloimagen"/>
        <w:rPr>
          <w:i/>
          <w:iCs/>
          <w:smallCaps w:val="0"/>
        </w:rPr>
      </w:pPr>
      <w:r w:rsidRPr="00311C71">
        <w:t>Imagen </w:t>
      </w:r>
      <w:r>
        <w:rPr>
          <w:lang w:val="en-US"/>
        </w:rPr>
        <w:fldChar w:fldCharType="begin"/>
      </w:r>
      <w:r w:rsidRPr="00311C71">
        <w:instrText xml:space="preserve"> SEQ Ilustración \* ARABIC </w:instrText>
      </w:r>
      <w:r>
        <w:rPr>
          <w:lang w:val="en-US"/>
        </w:rPr>
        <w:fldChar w:fldCharType="separate"/>
      </w:r>
      <w:r w:rsidR="001B0506">
        <w:t>3</w:t>
      </w:r>
      <w:r>
        <w:rPr>
          <w:lang w:val="en-US"/>
        </w:rPr>
        <w:fldChar w:fldCharType="end"/>
      </w:r>
      <w:r w:rsidRPr="00311C71">
        <w:rPr>
          <w:smallCaps w:val="0"/>
        </w:rPr>
        <w:t xml:space="preserve">.– </w:t>
      </w:r>
      <w:r w:rsidRPr="00311C71">
        <w:rPr>
          <w:i/>
          <w:iCs/>
          <w:smallCaps w:val="0"/>
        </w:rPr>
        <w:t xml:space="preserve">Política </w:t>
      </w:r>
      <w:r>
        <w:rPr>
          <w:i/>
          <w:iCs/>
          <w:smallCaps w:val="0"/>
        </w:rPr>
        <w:t xml:space="preserve">monetaria y política </w:t>
      </w:r>
      <w:r w:rsidRPr="00311C71">
        <w:rPr>
          <w:i/>
          <w:iCs/>
          <w:smallCaps w:val="0"/>
        </w:rPr>
        <w:t xml:space="preserve">fiscal en el </w:t>
      </w:r>
      <w:r>
        <w:rPr>
          <w:i/>
          <w:iCs/>
          <w:smallCaps w:val="0"/>
        </w:rPr>
        <w:t xml:space="preserve">marco del </w:t>
      </w:r>
      <w:r w:rsidRPr="00311C71">
        <w:rPr>
          <w:i/>
          <w:iCs/>
          <w:smallCaps w:val="0"/>
        </w:rPr>
        <w:t xml:space="preserve">modelo </w:t>
      </w:r>
      <w:r>
        <w:rPr>
          <w:i/>
          <w:iCs/>
          <w:smallCaps w:val="0"/>
        </w:rPr>
        <w:t>IS-LM</w:t>
      </w:r>
    </w:p>
    <w:p w14:paraId="2C338972" w14:textId="77777777" w:rsidR="007E2D63" w:rsidRDefault="007E2D63" w:rsidP="007E2D63">
      <w:pPr>
        <w:pStyle w:val="Imagen"/>
        <w:rPr>
          <w:lang w:val="en-US"/>
        </w:rPr>
      </w:pPr>
      <w:r>
        <w:drawing>
          <wp:inline distT="0" distB="0" distL="0" distR="0" wp14:anchorId="61984EBD" wp14:editId="2B119742">
            <wp:extent cx="1790065" cy="2116015"/>
            <wp:effectExtent l="0" t="0" r="635" b="0"/>
            <wp:docPr id="57572935" name="Imagen 57572935" descr="Diagrama,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Diagrama, Gráfico radial&#10;&#10;Descripción generada automáticamente"/>
                    <pic:cNvPicPr/>
                  </pic:nvPicPr>
                  <pic:blipFill rotWithShape="1">
                    <a:blip r:embed="rId19"/>
                    <a:srcRect b="9528"/>
                    <a:stretch/>
                  </pic:blipFill>
                  <pic:spPr bwMode="auto">
                    <a:xfrm>
                      <a:off x="0" y="0"/>
                      <a:ext cx="1802488" cy="2130700"/>
                    </a:xfrm>
                    <a:prstGeom prst="rect">
                      <a:avLst/>
                    </a:prstGeom>
                    <a:ln>
                      <a:noFill/>
                    </a:ln>
                    <a:extLst>
                      <a:ext uri="{53640926-AAD7-44D8-BBD7-CCE9431645EC}">
                        <a14:shadowObscured xmlns:a14="http://schemas.microsoft.com/office/drawing/2010/main"/>
                      </a:ext>
                    </a:extLst>
                  </pic:spPr>
                </pic:pic>
              </a:graphicData>
            </a:graphic>
          </wp:inline>
        </w:drawing>
      </w:r>
    </w:p>
    <w:p w14:paraId="1899C305" w14:textId="0377F85F" w:rsidR="007E2D63" w:rsidRPr="007E2D63" w:rsidRDefault="007E2D63" w:rsidP="007E2D63">
      <w:pPr>
        <w:pStyle w:val="PiedeImagen"/>
        <w:rPr>
          <w:i w:val="0"/>
          <w:iCs/>
        </w:rPr>
      </w:pPr>
      <w:r>
        <w:rPr>
          <w:lang w:val="en-US"/>
        </w:rPr>
        <w:t>Fuente</w:t>
      </w:r>
      <w:r w:rsidRPr="007E2D63">
        <w:rPr>
          <w:i w:val="0"/>
          <w:iCs/>
          <w:lang w:val="en-US"/>
        </w:rPr>
        <w:t xml:space="preserve">: Heijdra, B. J. (2017). </w:t>
      </w:r>
      <w:r w:rsidRPr="007E2D63">
        <w:rPr>
          <w:lang w:val="en-US"/>
        </w:rPr>
        <w:t>Foundations of modern macroeconomics</w:t>
      </w:r>
      <w:r w:rsidRPr="007E2D63">
        <w:rPr>
          <w:i w:val="0"/>
          <w:iCs/>
          <w:lang w:val="en-US"/>
        </w:rPr>
        <w:t xml:space="preserve"> (Third edition). </w:t>
      </w:r>
      <w:r w:rsidRPr="007E2D63">
        <w:rPr>
          <w:i w:val="0"/>
          <w:iCs/>
        </w:rPr>
        <w:t>Oxford University Press.</w:t>
      </w:r>
    </w:p>
    <w:p w14:paraId="38894782" w14:textId="492680FA" w:rsidR="001A771A" w:rsidRDefault="001A771A" w:rsidP="007E2D63">
      <w:pPr>
        <w:pStyle w:val="Ttulo3"/>
      </w:pPr>
      <w:bookmarkStart w:id="36" w:name="_Toc151221236"/>
      <w:r>
        <w:lastRenderedPageBreak/>
        <w:t>Debate sobre la efectividad</w:t>
      </w:r>
      <w:bookmarkEnd w:id="36"/>
    </w:p>
    <w:p w14:paraId="78AB7D54" w14:textId="6A81B3E3" w:rsidR="001A771A" w:rsidRDefault="001A771A" w:rsidP="007E2D63">
      <w:pPr>
        <w:pStyle w:val="Ttulo6"/>
        <w:spacing w:before="0"/>
      </w:pPr>
      <w:bookmarkStart w:id="37" w:name="_Toc151221237"/>
      <w:r>
        <w:t>Introducción</w:t>
      </w:r>
      <w:bookmarkEnd w:id="37"/>
    </w:p>
    <w:p w14:paraId="5A1C64D1" w14:textId="7F6F9878" w:rsidR="001A771A" w:rsidRPr="002D41D7" w:rsidRDefault="001A771A" w:rsidP="007E2D63">
      <w:pPr>
        <w:pStyle w:val="Nivel2SM"/>
      </w:pPr>
      <w:r>
        <w:t>A continuación realizaremos un breve repaso sobre el debate de la efectividad de la política fiscal. Como veremos ésta dependerá principalmente de la sensibilidad de la demanda de dinero con respecto al tipo de interés (h) y de la sensibilidad de la inversión con respecto a los tipos de interés (b).</w:t>
      </w:r>
    </w:p>
    <w:p w14:paraId="5D489642" w14:textId="76966545" w:rsidR="001A771A" w:rsidRPr="002D41D7" w:rsidRDefault="001A771A" w:rsidP="002D41D7">
      <w:pPr>
        <w:pStyle w:val="Ttulo6"/>
      </w:pPr>
      <w:bookmarkStart w:id="38" w:name="_Toc151221238"/>
      <w:r>
        <w:t>Economistas clásicos</w:t>
      </w:r>
      <w:bookmarkEnd w:id="38"/>
    </w:p>
    <w:p w14:paraId="44B94ABA" w14:textId="77777777" w:rsidR="001A771A" w:rsidRDefault="001A771A" w:rsidP="007E2D63">
      <w:pPr>
        <w:pStyle w:val="Nivel2SM"/>
      </w:pPr>
      <w:r>
        <w:t xml:space="preserve">La escuela neoclásica aboga por una nula efectividad de la PF como instrumento estabilizador. El elemento clave que llevaría a esa conclusión será la </w:t>
      </w:r>
      <w:r w:rsidRPr="00AC2E8D">
        <w:rPr>
          <w:u w:val="single"/>
        </w:rPr>
        <w:t>nula elasticidad de la demanda de dinero con respecto al tipo de interés</w:t>
      </w:r>
      <w:r>
        <w:t xml:space="preserve">. </w:t>
      </w:r>
    </w:p>
    <w:p w14:paraId="7B192136" w14:textId="1AE2FB29" w:rsidR="001A771A" w:rsidRDefault="001A771A" w:rsidP="002D41D7">
      <w:pPr>
        <w:numPr>
          <w:ilvl w:val="1"/>
          <w:numId w:val="3"/>
        </w:numPr>
        <w:tabs>
          <w:tab w:val="clear" w:pos="1440"/>
        </w:tabs>
      </w:pPr>
      <w:r>
        <w:t xml:space="preserve">Los clásicos consideraban que los agentes demandaban dinero principalmente por </w:t>
      </w:r>
      <w:r w:rsidRPr="00B91E6C">
        <w:rPr>
          <w:u w:val="single"/>
        </w:rPr>
        <w:t xml:space="preserve">motivo transacción </w:t>
      </w:r>
      <w:r>
        <w:rPr>
          <w:u w:val="single"/>
        </w:rPr>
        <w:t>y por ningún otro motivo</w:t>
      </w:r>
      <w:r>
        <w:t xml:space="preserve">. Esto hará que la pendiente de la curva LM sea completamente vertical y el efecto expulsión total. </w:t>
      </w:r>
    </w:p>
    <w:p w14:paraId="6446A5D4" w14:textId="42279EB5" w:rsidR="001A771A" w:rsidRPr="002D41D7" w:rsidRDefault="001A771A" w:rsidP="00FE1664">
      <w:pPr>
        <w:numPr>
          <w:ilvl w:val="0"/>
          <w:numId w:val="3"/>
        </w:numPr>
        <w:tabs>
          <w:tab w:val="clear" w:pos="720"/>
        </w:tabs>
      </w:pPr>
      <w:proofErr w:type="spellStart"/>
      <w:r>
        <w:t>Irrespectivamente</w:t>
      </w:r>
      <w:proofErr w:type="spellEnd"/>
      <w:r>
        <w:t xml:space="preserve"> del tipo de financiación que se utilice la efectividad será nula.</w:t>
      </w:r>
    </w:p>
    <w:p w14:paraId="1D807849" w14:textId="1F38EFAD" w:rsidR="001A771A" w:rsidRDefault="001A771A" w:rsidP="002D41D7">
      <w:pPr>
        <w:pStyle w:val="Ttulo6"/>
      </w:pPr>
      <w:bookmarkStart w:id="39" w:name="_Toc151221239"/>
      <w:r w:rsidRPr="005E4D62">
        <w:t>Enfoque keynesiano</w:t>
      </w:r>
      <w:bookmarkEnd w:id="39"/>
    </w:p>
    <w:p w14:paraId="64935073" w14:textId="05796B96" w:rsidR="001A771A" w:rsidRDefault="001A771A" w:rsidP="00FE1664">
      <w:pPr>
        <w:numPr>
          <w:ilvl w:val="0"/>
          <w:numId w:val="3"/>
        </w:numPr>
        <w:tabs>
          <w:tab w:val="clear" w:pos="720"/>
        </w:tabs>
      </w:pPr>
      <w:r>
        <w:t>Para Keynes no obstante, la PF s</w:t>
      </w:r>
      <w:r w:rsidR="002D41D7">
        <w:t>í</w:t>
      </w:r>
      <w:r>
        <w:t xml:space="preserve"> podría ser utilizada como elemento estabilizador. </w:t>
      </w:r>
      <w:r w:rsidRPr="00AC2E8D">
        <w:rPr>
          <w:u w:val="single"/>
        </w:rPr>
        <w:t>Para ello se basaba en los siguientes supuestos</w:t>
      </w:r>
      <w:r>
        <w:t>:</w:t>
      </w:r>
    </w:p>
    <w:p w14:paraId="02823402" w14:textId="77777777" w:rsidR="001A771A" w:rsidRDefault="001A771A" w:rsidP="00FE1664">
      <w:pPr>
        <w:numPr>
          <w:ilvl w:val="1"/>
          <w:numId w:val="3"/>
        </w:numPr>
        <w:tabs>
          <w:tab w:val="clear" w:pos="1440"/>
        </w:tabs>
      </w:pPr>
      <w:r>
        <w:t xml:space="preserve">Una </w:t>
      </w:r>
      <w:r w:rsidRPr="00E30255">
        <w:rPr>
          <w:u w:val="single"/>
        </w:rPr>
        <w:t>baja sensibilidad de la inversión</w:t>
      </w:r>
      <w:r>
        <w:t xml:space="preserve"> con respecto al </w:t>
      </w:r>
      <w:r w:rsidRPr="00E30255">
        <w:rPr>
          <w:u w:val="single"/>
        </w:rPr>
        <w:t>tipo de interés</w:t>
      </w:r>
      <w:r>
        <w:t xml:space="preserve"> al estar </w:t>
      </w:r>
      <w:r w:rsidRPr="00E30255">
        <w:rPr>
          <w:u w:val="single"/>
        </w:rPr>
        <w:t xml:space="preserve">influido principalmente por los ‘Animal </w:t>
      </w:r>
      <w:proofErr w:type="spellStart"/>
      <w:r w:rsidRPr="00E30255">
        <w:rPr>
          <w:u w:val="single"/>
        </w:rPr>
        <w:t>Spirits</w:t>
      </w:r>
      <w:proofErr w:type="spellEnd"/>
      <w:r w:rsidRPr="00E30255">
        <w:rPr>
          <w:u w:val="single"/>
        </w:rPr>
        <w:t>’</w:t>
      </w:r>
      <w:r>
        <w:t xml:space="preserve"> de los empresarios.</w:t>
      </w:r>
    </w:p>
    <w:p w14:paraId="3F7B26F0" w14:textId="33039B5D" w:rsidR="001A771A" w:rsidRPr="002D41D7" w:rsidRDefault="001A771A" w:rsidP="00FE1664">
      <w:pPr>
        <w:numPr>
          <w:ilvl w:val="1"/>
          <w:numId w:val="3"/>
        </w:numPr>
        <w:tabs>
          <w:tab w:val="clear" w:pos="1440"/>
        </w:tabs>
      </w:pPr>
      <w:r>
        <w:t xml:space="preserve">Una </w:t>
      </w:r>
      <w:r w:rsidRPr="00AC2E8D">
        <w:rPr>
          <w:u w:val="single"/>
        </w:rPr>
        <w:t>alta sensibilidad de la demanda de dinero con respecto al tipo de interés</w:t>
      </w:r>
      <w:r>
        <w:t xml:space="preserve"> al ser el </w:t>
      </w:r>
      <w:r w:rsidRPr="00AC2E8D">
        <w:rPr>
          <w:u w:val="single"/>
        </w:rPr>
        <w:t>motivo especulación</w:t>
      </w:r>
      <w:r>
        <w:t xml:space="preserve"> la razón que </w:t>
      </w:r>
      <w:r w:rsidRPr="00AC2E8D">
        <w:rPr>
          <w:u w:val="single"/>
        </w:rPr>
        <w:t>predomina</w:t>
      </w:r>
      <w:r>
        <w:t xml:space="preserve"> a la hora de demandar dinero.</w:t>
      </w:r>
    </w:p>
    <w:p w14:paraId="588B95D5" w14:textId="660E61A9" w:rsidR="001A771A" w:rsidRDefault="001A771A" w:rsidP="002D41D7">
      <w:pPr>
        <w:numPr>
          <w:ilvl w:val="0"/>
          <w:numId w:val="3"/>
        </w:numPr>
        <w:tabs>
          <w:tab w:val="clear" w:pos="720"/>
        </w:tabs>
      </w:pPr>
      <w:r>
        <w:t xml:space="preserve">En nuestras ecuaciones esto equivaldría a una </w:t>
      </w:r>
      <w:r w:rsidRPr="00D81334">
        <w:rPr>
          <w:u w:val="single"/>
        </w:rPr>
        <w:t>h muy elevada y una b muy baja</w:t>
      </w:r>
      <w:r>
        <w:t>, por lo que las curvas IS-LM serán muy verticales y planas respectivamente.</w:t>
      </w:r>
    </w:p>
    <w:p w14:paraId="60492052" w14:textId="410AABA6" w:rsidR="001A771A" w:rsidRDefault="00296791" w:rsidP="002D41D7">
      <w:pPr>
        <w:ind w:left="1440"/>
        <w:jc w:val="center"/>
      </w:pPr>
      <w:r>
        <w:rPr>
          <w:noProof/>
        </w:rPr>
        <w:drawing>
          <wp:inline distT="0" distB="0" distL="0" distR="0" wp14:anchorId="77C121A8" wp14:editId="1179EF18">
            <wp:extent cx="1227455" cy="1235710"/>
            <wp:effectExtent l="0" t="0" r="0" b="0"/>
            <wp:docPr id="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7455" cy="1235710"/>
                    </a:xfrm>
                    <a:prstGeom prst="rect">
                      <a:avLst/>
                    </a:prstGeom>
                    <a:noFill/>
                    <a:ln>
                      <a:noFill/>
                    </a:ln>
                  </pic:spPr>
                </pic:pic>
              </a:graphicData>
            </a:graphic>
          </wp:inline>
        </w:drawing>
      </w:r>
    </w:p>
    <w:p w14:paraId="7069D0D0" w14:textId="77777777" w:rsidR="001A771A" w:rsidRDefault="001A771A" w:rsidP="00FE1664">
      <w:pPr>
        <w:numPr>
          <w:ilvl w:val="1"/>
          <w:numId w:val="3"/>
        </w:numPr>
        <w:tabs>
          <w:tab w:val="clear" w:pos="1440"/>
        </w:tabs>
      </w:pPr>
      <w:r>
        <w:t xml:space="preserve">Al llevarse a cabo una política fiscal expansiva, la IS se desplaza hacia la derecha. Debido a la alta sensibilidad de la demanda de dinero con respecto al tipo de interés, el tipo de interés no aumentará mucho. Además debido a la baja sensibilidad de la inversión con respecto al tipo de interés, dicha subida afectará poco a dicha variable y por ende a la demanda agregada. </w:t>
      </w:r>
      <w:r>
        <w:rPr>
          <w:u w:val="single"/>
        </w:rPr>
        <w:t xml:space="preserve">El efecto </w:t>
      </w:r>
      <w:proofErr w:type="spellStart"/>
      <w:r>
        <w:rPr>
          <w:u w:val="single"/>
        </w:rPr>
        <w:t>crowding</w:t>
      </w:r>
      <w:proofErr w:type="spellEnd"/>
      <w:r>
        <w:rPr>
          <w:u w:val="single"/>
        </w:rPr>
        <w:t xml:space="preserve"> </w:t>
      </w:r>
      <w:proofErr w:type="spellStart"/>
      <w:r>
        <w:rPr>
          <w:u w:val="single"/>
        </w:rPr>
        <w:t>out</w:t>
      </w:r>
      <w:proofErr w:type="spellEnd"/>
      <w:r>
        <w:rPr>
          <w:u w:val="single"/>
        </w:rPr>
        <w:t xml:space="preserve"> será por lo tanto pequeño y la política fiscal muy efectiva</w:t>
      </w:r>
      <w:r>
        <w:t>.</w:t>
      </w:r>
    </w:p>
    <w:p w14:paraId="3743B92C" w14:textId="1363B012" w:rsidR="001A771A" w:rsidRDefault="001A771A" w:rsidP="00FE1664">
      <w:pPr>
        <w:numPr>
          <w:ilvl w:val="0"/>
          <w:numId w:val="3"/>
        </w:numPr>
        <w:tabs>
          <w:tab w:val="clear" w:pos="720"/>
        </w:tabs>
      </w:pPr>
      <w:r>
        <w:t>Con respecto a la financiación los economistas keynesianos abogarán por una monetización (línea verde) en primer lugar seguida de una financiación vía deuda (línea negra) y finalmente vía presupuesto equilibrado (línea roja).</w:t>
      </w:r>
    </w:p>
    <w:p w14:paraId="4044ECFF" w14:textId="2D357D6F" w:rsidR="001A771A" w:rsidRPr="002D41D7" w:rsidRDefault="001A771A" w:rsidP="002D41D7">
      <w:pPr>
        <w:pStyle w:val="Ttulo6"/>
      </w:pPr>
      <w:bookmarkStart w:id="40" w:name="_Toc151221240"/>
      <w:r w:rsidRPr="005E4D62">
        <w:t>Monetaristas</w:t>
      </w:r>
      <w:bookmarkEnd w:id="40"/>
    </w:p>
    <w:p w14:paraId="2F44BCE4" w14:textId="77777777" w:rsidR="001A771A" w:rsidRDefault="001A771A" w:rsidP="00FE1664">
      <w:pPr>
        <w:numPr>
          <w:ilvl w:val="0"/>
          <w:numId w:val="3"/>
        </w:numPr>
        <w:tabs>
          <w:tab w:val="clear" w:pos="720"/>
        </w:tabs>
      </w:pPr>
      <w:r>
        <w:t xml:space="preserve">Para los monetaristas la efectividad de la política fiscal será reducida, debido a un cambio en las sensibilidades: </w:t>
      </w:r>
    </w:p>
    <w:p w14:paraId="7B0F50E3" w14:textId="77777777" w:rsidR="001A771A" w:rsidRDefault="001A771A" w:rsidP="00FE1664">
      <w:pPr>
        <w:numPr>
          <w:ilvl w:val="1"/>
          <w:numId w:val="3"/>
        </w:numPr>
        <w:tabs>
          <w:tab w:val="clear" w:pos="1440"/>
        </w:tabs>
      </w:pPr>
      <w:r>
        <w:t xml:space="preserve">La </w:t>
      </w:r>
      <w:r w:rsidRPr="00EE79A9">
        <w:rPr>
          <w:u w:val="single"/>
        </w:rPr>
        <w:t>sensibilidad de la inversión con respecto al tipo de interés</w:t>
      </w:r>
      <w:r>
        <w:t xml:space="preserve"> vuelve a </w:t>
      </w:r>
      <w:r w:rsidRPr="00EE79A9">
        <w:rPr>
          <w:u w:val="single"/>
        </w:rPr>
        <w:t>cobrar importancia</w:t>
      </w:r>
      <w:r>
        <w:t xml:space="preserve">. </w:t>
      </w:r>
    </w:p>
    <w:p w14:paraId="14D15FE3" w14:textId="2271FC43" w:rsidR="001A771A" w:rsidRPr="002D41D7" w:rsidRDefault="001A771A" w:rsidP="00FE1664">
      <w:pPr>
        <w:numPr>
          <w:ilvl w:val="1"/>
          <w:numId w:val="3"/>
        </w:numPr>
        <w:tabs>
          <w:tab w:val="clear" w:pos="1440"/>
        </w:tabs>
      </w:pPr>
      <w:r>
        <w:lastRenderedPageBreak/>
        <w:t xml:space="preserve">La </w:t>
      </w:r>
      <w:r w:rsidRPr="00EE79A9">
        <w:rPr>
          <w:u w:val="single"/>
        </w:rPr>
        <w:t>sensibilidad de la demanda de dinero</w:t>
      </w:r>
      <w:r>
        <w:t xml:space="preserve"> con respecto al </w:t>
      </w:r>
      <w:r w:rsidRPr="00EE79A9">
        <w:rPr>
          <w:u w:val="single"/>
        </w:rPr>
        <w:t>tipo de interés</w:t>
      </w:r>
      <w:r>
        <w:t xml:space="preserve"> vuelve a ser </w:t>
      </w:r>
      <w:r w:rsidRPr="00EE79A9">
        <w:rPr>
          <w:u w:val="single"/>
        </w:rPr>
        <w:t>reducida</w:t>
      </w:r>
      <w:r>
        <w:t>.</w:t>
      </w:r>
    </w:p>
    <w:p w14:paraId="3652E74D" w14:textId="1F17625D" w:rsidR="001A771A" w:rsidRDefault="001A771A" w:rsidP="002D41D7">
      <w:pPr>
        <w:numPr>
          <w:ilvl w:val="0"/>
          <w:numId w:val="3"/>
        </w:numPr>
        <w:tabs>
          <w:tab w:val="clear" w:pos="720"/>
        </w:tabs>
      </w:pPr>
      <w:r>
        <w:t>Esto se traduce en una ‘h’ reducida y en una ‘b’ elevada por lo que las pendientes de la IS y la LM serán reducida y elevada respectivamente.</w:t>
      </w:r>
    </w:p>
    <w:p w14:paraId="4692F0C7" w14:textId="5F253C96" w:rsidR="001A771A" w:rsidRPr="002D41D7" w:rsidRDefault="00296791" w:rsidP="002D41D7">
      <w:pPr>
        <w:ind w:left="720"/>
        <w:jc w:val="center"/>
      </w:pPr>
      <w:r>
        <w:rPr>
          <w:noProof/>
        </w:rPr>
        <w:drawing>
          <wp:inline distT="0" distB="0" distL="0" distR="0" wp14:anchorId="47351E3F" wp14:editId="075C9FEA">
            <wp:extent cx="1285240" cy="1210945"/>
            <wp:effectExtent l="0" t="0" r="0" b="0"/>
            <wp:docPr id="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240" cy="1210945"/>
                    </a:xfrm>
                    <a:prstGeom prst="rect">
                      <a:avLst/>
                    </a:prstGeom>
                    <a:noFill/>
                    <a:ln>
                      <a:noFill/>
                    </a:ln>
                  </pic:spPr>
                </pic:pic>
              </a:graphicData>
            </a:graphic>
          </wp:inline>
        </w:drawing>
      </w:r>
    </w:p>
    <w:p w14:paraId="435B3984" w14:textId="5ED8CC98" w:rsidR="001A771A" w:rsidRDefault="001A771A" w:rsidP="002D41D7">
      <w:pPr>
        <w:numPr>
          <w:ilvl w:val="1"/>
          <w:numId w:val="3"/>
        </w:numPr>
        <w:tabs>
          <w:tab w:val="clear" w:pos="1440"/>
        </w:tabs>
      </w:pPr>
      <w:r>
        <w:t xml:space="preserve">Vemos como de nuevo el efecto </w:t>
      </w:r>
      <w:proofErr w:type="spellStart"/>
      <w:r>
        <w:t>crowding</w:t>
      </w:r>
      <w:proofErr w:type="spellEnd"/>
      <w:r>
        <w:t xml:space="preserve"> </w:t>
      </w:r>
      <w:proofErr w:type="spellStart"/>
      <w:r>
        <w:t>out</w:t>
      </w:r>
      <w:proofErr w:type="spellEnd"/>
      <w:r>
        <w:t xml:space="preserve"> debido a los supuestos realizados ser</w:t>
      </w:r>
      <w:r w:rsidRPr="00986EC7">
        <w:t>á importante</w:t>
      </w:r>
      <w:r>
        <w:t>, reduciendo así la efectividad de las políticas económicas.</w:t>
      </w:r>
    </w:p>
    <w:p w14:paraId="1DBA5286" w14:textId="4347B356" w:rsidR="001A771A" w:rsidRDefault="001A771A" w:rsidP="00FE1664">
      <w:pPr>
        <w:numPr>
          <w:ilvl w:val="0"/>
          <w:numId w:val="3"/>
        </w:numPr>
        <w:tabs>
          <w:tab w:val="clear" w:pos="720"/>
        </w:tabs>
      </w:pPr>
      <w:r>
        <w:t xml:space="preserve">Con respecto a la financiación según el anterior análisis el </w:t>
      </w:r>
      <w:proofErr w:type="spellStart"/>
      <w:r>
        <w:t>órden</w:t>
      </w:r>
      <w:proofErr w:type="spellEnd"/>
      <w:r>
        <w:t xml:space="preserve"> sería el mismo que los economistas keynesianos.</w:t>
      </w:r>
    </w:p>
    <w:p w14:paraId="0FFCA2CB" w14:textId="77777777" w:rsidR="00FE1664" w:rsidRDefault="001A771A" w:rsidP="00FE1664">
      <w:pPr>
        <w:numPr>
          <w:ilvl w:val="1"/>
          <w:numId w:val="3"/>
        </w:numPr>
        <w:tabs>
          <w:tab w:val="clear" w:pos="1440"/>
        </w:tabs>
      </w:pPr>
      <w:r>
        <w:t>No obstante los monetaristas introducirán dos efectos adicionales, los efectos riqueza y diversificación de carteras</w:t>
      </w:r>
      <w:r w:rsidR="00FE1664">
        <w:t xml:space="preserve">. </w:t>
      </w:r>
    </w:p>
    <w:p w14:paraId="69FDFD7E" w14:textId="77777777" w:rsidR="00FE1664" w:rsidRDefault="00FE1664" w:rsidP="00FE1664">
      <w:pPr>
        <w:numPr>
          <w:ilvl w:val="2"/>
          <w:numId w:val="3"/>
        </w:numPr>
        <w:tabs>
          <w:tab w:val="clear" w:pos="2160"/>
        </w:tabs>
      </w:pPr>
      <w:r>
        <w:t xml:space="preserve">La financiación vía deuda o vía monetización provocarían un nuevo aumento de la IS (efecto riqueza). </w:t>
      </w:r>
    </w:p>
    <w:p w14:paraId="4FF2AA02" w14:textId="77777777" w:rsidR="001A771A" w:rsidRDefault="00FE1664" w:rsidP="00FE1664">
      <w:pPr>
        <w:numPr>
          <w:ilvl w:val="2"/>
          <w:numId w:val="3"/>
        </w:numPr>
        <w:tabs>
          <w:tab w:val="clear" w:pos="2160"/>
        </w:tabs>
      </w:pPr>
      <w:r>
        <w:t xml:space="preserve">No obstante vía efecto diversificación, una monetización desplazaría hacia la derecha la LM (por una disminución de demanda de dinero), mientras que una financiación vía deuda desplazaría la LM hacia la izquierda (por un aumento de la demanda de dinero). </w:t>
      </w:r>
    </w:p>
    <w:p w14:paraId="2B70E366" w14:textId="77777777" w:rsidR="00FE1664" w:rsidRDefault="00FE1664" w:rsidP="00FE1664">
      <w:pPr>
        <w:numPr>
          <w:ilvl w:val="1"/>
          <w:numId w:val="3"/>
        </w:numPr>
        <w:tabs>
          <w:tab w:val="clear" w:pos="1440"/>
        </w:tabs>
      </w:pPr>
      <w:r>
        <w:t xml:space="preserve">Resultado: </w:t>
      </w:r>
    </w:p>
    <w:p w14:paraId="6D62A943" w14:textId="7DDC3448" w:rsidR="001A771A" w:rsidRPr="001A771A" w:rsidRDefault="001A771A" w:rsidP="00FE1664">
      <w:pPr>
        <w:numPr>
          <w:ilvl w:val="2"/>
          <w:numId w:val="3"/>
        </w:numPr>
        <w:tabs>
          <w:tab w:val="clear" w:pos="2160"/>
        </w:tabs>
      </w:pPr>
      <w:r>
        <w:t>La efectividad de la monetización aumentaría aún más</w:t>
      </w:r>
      <w:r w:rsidR="00FE1664">
        <w:t xml:space="preserve"> la efectividad de la PF, la efectividad de la financiación vía deuda podría ser menor. </w:t>
      </w:r>
      <w:bookmarkEnd w:id="22"/>
    </w:p>
    <w:p w14:paraId="2E5A77B1" w14:textId="03CEB3C2" w:rsidR="001A771A" w:rsidRPr="00FE3CEB" w:rsidRDefault="001A771A" w:rsidP="002D41D7">
      <w:pPr>
        <w:pStyle w:val="Ttulo6"/>
      </w:pPr>
      <w:bookmarkStart w:id="41" w:name="_Toc151221241"/>
      <w:r w:rsidRPr="00B16FA4">
        <w:t xml:space="preserve">Revisión </w:t>
      </w:r>
      <w:r w:rsidRPr="009D526C">
        <w:rPr>
          <w:smallCaps/>
        </w:rPr>
        <w:t>Blinder</w:t>
      </w:r>
      <w:r w:rsidRPr="00B16FA4">
        <w:t xml:space="preserve"> y </w:t>
      </w:r>
      <w:r w:rsidRPr="009D526C">
        <w:rPr>
          <w:smallCaps/>
        </w:rPr>
        <w:t>Solow</w:t>
      </w:r>
      <w:bookmarkEnd w:id="41"/>
    </w:p>
    <w:p w14:paraId="47D60D82" w14:textId="37EE732D" w:rsidR="001A771A" w:rsidRDefault="001A771A" w:rsidP="00FE1664">
      <w:pPr>
        <w:numPr>
          <w:ilvl w:val="0"/>
          <w:numId w:val="3"/>
        </w:numPr>
        <w:tabs>
          <w:tab w:val="clear" w:pos="720"/>
        </w:tabs>
      </w:pPr>
      <w:r>
        <w:t xml:space="preserve">Introducen por primera vez la restricción presupuestaria </w:t>
      </w:r>
      <w:proofErr w:type="spellStart"/>
      <w:r>
        <w:t>intertemporal</w:t>
      </w:r>
      <w:proofErr w:type="spellEnd"/>
      <w:r>
        <w:t xml:space="preserve"> del gobierno donde supondrán únicamente que el déficit se financia inicialmente vía impuestos y demuestran como la financiación vía deuda es más expansiva que la financiación vía monetización.</w:t>
      </w:r>
    </w:p>
    <w:p w14:paraId="0021A023" w14:textId="77777777" w:rsidR="007E2D63" w:rsidRPr="007E2D63" w:rsidRDefault="007E2D63" w:rsidP="007E2D63">
      <w:pPr>
        <w:pStyle w:val="Ttulo6"/>
        <w:rPr>
          <w:rStyle w:val="Ttulo3Car"/>
          <w:i w:val="0"/>
          <w:iCs w:val="0"/>
        </w:rPr>
      </w:pPr>
      <w:bookmarkStart w:id="42" w:name="_Toc142500890"/>
      <w:bookmarkStart w:id="43" w:name="_Toc151221242"/>
      <w:r w:rsidRPr="007E2D63">
        <w:rPr>
          <w:rStyle w:val="Ttulo3Car"/>
          <w:i w:val="0"/>
          <w:iCs w:val="0"/>
        </w:rPr>
        <w:t xml:space="preserve">Consideración de una economía abierta (Modelo IS-LM-BP de </w:t>
      </w:r>
      <w:r w:rsidRPr="007E2D63">
        <w:rPr>
          <w:rStyle w:val="Ttulo3Car"/>
          <w:i w:val="0"/>
          <w:iCs w:val="0"/>
          <w:smallCaps/>
        </w:rPr>
        <w:t>Mundell</w:t>
      </w:r>
      <w:r w:rsidRPr="007E2D63">
        <w:rPr>
          <w:rStyle w:val="Ttulo3Car"/>
          <w:i w:val="0"/>
          <w:iCs w:val="0"/>
        </w:rPr>
        <w:t xml:space="preserve"> y </w:t>
      </w:r>
      <w:r w:rsidRPr="007E2D63">
        <w:rPr>
          <w:rStyle w:val="Ttulo3Car"/>
          <w:i w:val="0"/>
          <w:iCs w:val="0"/>
          <w:smallCaps/>
        </w:rPr>
        <w:t>Fleming</w:t>
      </w:r>
      <w:r w:rsidRPr="007E2D63">
        <w:rPr>
          <w:rStyle w:val="Ttulo3Car"/>
          <w:i w:val="0"/>
          <w:iCs w:val="0"/>
        </w:rPr>
        <w:t>)</w:t>
      </w:r>
      <w:bookmarkEnd w:id="42"/>
      <w:bookmarkEnd w:id="43"/>
    </w:p>
    <w:p w14:paraId="25090EE5" w14:textId="77777777" w:rsidR="007E2D63" w:rsidRPr="004B1391" w:rsidRDefault="007E2D63" w:rsidP="007E2D63">
      <w:pPr>
        <w:pStyle w:val="Notaalopositor"/>
      </w:pPr>
      <w:r>
        <w:t>Coordinar en temas 3.A.28, 3.A.38 y 4.B.5</w:t>
      </w:r>
    </w:p>
    <w:p w14:paraId="678D392A" w14:textId="77777777" w:rsidR="007E2D63" w:rsidRDefault="007E2D63" w:rsidP="007E2D63">
      <w:pPr>
        <w:pStyle w:val="Nivel1SM"/>
        <w:keepNext/>
        <w:spacing w:before="0" w:after="0"/>
      </w:pPr>
      <w:r>
        <w:t xml:space="preserve">A continuación, comentaremos las implicaciones sobre la efectividad de la política fiscal de la apertura de la economía, extendiendo el marco IS-LM, tal y como lo hicieron </w:t>
      </w:r>
      <w:r>
        <w:rPr>
          <w:smallCaps/>
        </w:rPr>
        <w:t>Mundell</w:t>
      </w:r>
      <w:r>
        <w:t xml:space="preserve"> y </w:t>
      </w:r>
      <w:r>
        <w:rPr>
          <w:smallCaps/>
        </w:rPr>
        <w:t>Fleming</w:t>
      </w:r>
      <w:r>
        <w:t>. Para ello, es necesario realizar los siguientes ajustes:</w:t>
      </w:r>
    </w:p>
    <w:p w14:paraId="2FD6DD8B" w14:textId="77777777" w:rsidR="007E2D63" w:rsidRPr="001B3BC2" w:rsidRDefault="007E2D63" w:rsidP="007E2D63">
      <w:pPr>
        <w:pStyle w:val="Prrafodelista"/>
        <w:keepNext/>
        <w:numPr>
          <w:ilvl w:val="0"/>
          <w:numId w:val="50"/>
        </w:numPr>
        <w:spacing w:after="0"/>
        <w:ind w:left="568" w:hanging="284"/>
        <w:rPr>
          <w:color w:val="5F2987"/>
        </w:rPr>
      </w:pPr>
      <w:r w:rsidRPr="001B3BC2">
        <w:rPr>
          <w:i/>
          <w:iCs/>
          <w:color w:val="5F2987"/>
          <w:u w:val="single"/>
        </w:rPr>
        <w:t>Curva</w:t>
      </w:r>
      <w:r>
        <w:rPr>
          <w:i/>
          <w:iCs/>
          <w:color w:val="5F2987"/>
          <w:u w:val="single"/>
        </w:rPr>
        <w:t> </w:t>
      </w:r>
      <w:r w:rsidRPr="001B3BC2">
        <w:rPr>
          <w:i/>
          <w:iCs/>
          <w:color w:val="5F2987"/>
          <w:u w:val="single"/>
        </w:rPr>
        <w:t>IS</w:t>
      </w:r>
      <w:r w:rsidRPr="001B3BC2">
        <w:rPr>
          <w:color w:val="5F2987"/>
        </w:rPr>
        <w:t xml:space="preserve"> (</w:t>
      </w:r>
      <w:proofErr w:type="spellStart"/>
      <w:r w:rsidRPr="001B3BC2">
        <w:rPr>
          <w:i/>
          <w:iCs/>
          <w:color w:val="5F2987"/>
        </w:rPr>
        <w:t>Investment</w:t>
      </w:r>
      <w:proofErr w:type="spellEnd"/>
      <w:r w:rsidRPr="001B3BC2">
        <w:rPr>
          <w:i/>
          <w:iCs/>
          <w:color w:val="5F2987"/>
        </w:rPr>
        <w:t>-Saving</w:t>
      </w:r>
      <w:r w:rsidRPr="001B3BC2">
        <w:rPr>
          <w:color w:val="5F2987"/>
        </w:rPr>
        <w:t>)</w:t>
      </w:r>
      <w:r>
        <w:rPr>
          <w:color w:val="5F2987"/>
        </w:rPr>
        <w:t xml:space="preserve"> </w:t>
      </w:r>
      <w:r w:rsidRPr="00973648">
        <w:rPr>
          <w:sz w:val="19"/>
          <w:szCs w:val="19"/>
        </w:rPr>
        <w:t>[</w:t>
      </w:r>
      <w:r>
        <w:rPr>
          <w:i/>
          <w:iCs/>
          <w:sz w:val="19"/>
          <w:szCs w:val="19"/>
        </w:rPr>
        <w:t>se introducen las importaciones y las exportaciones en la demanda agregada</w:t>
      </w:r>
      <w:r w:rsidRPr="00973648">
        <w:rPr>
          <w:sz w:val="19"/>
          <w:szCs w:val="19"/>
        </w:rPr>
        <w:t>]</w:t>
      </w:r>
    </w:p>
    <w:p w14:paraId="60FDFCCE" w14:textId="77777777" w:rsidR="007E2D63" w:rsidRDefault="007E2D63" w:rsidP="007E2D63">
      <w:pPr>
        <w:pStyle w:val="Nivel3SM"/>
      </w:pPr>
      <w:r>
        <w:t>La curva </w:t>
      </w:r>
      <w:r w:rsidRPr="003509D3">
        <w:rPr>
          <w:i/>
          <w:iCs/>
        </w:rPr>
        <w:t>IS</w:t>
      </w:r>
      <w:r>
        <w:t xml:space="preserve"> representa los pares de renta y tipo de interés que representan el equilibrio en el mercado de bienes.</w:t>
      </w:r>
    </w:p>
    <w:p w14:paraId="0AD8467A" w14:textId="77777777" w:rsidR="007E2D63" w:rsidRDefault="007E2D63" w:rsidP="007E2D63">
      <w:pPr>
        <w:pStyle w:val="Nivel3SM"/>
      </w:pPr>
      <w:r>
        <w:t>Muestra la economía determinada por el lado de la demanda (i.e. aumentos de los componentes de la demanda elevan el output):</w:t>
      </w:r>
    </w:p>
    <w:p w14:paraId="26146F6B" w14:textId="77777777" w:rsidR="007E2D63" w:rsidRPr="003578C8" w:rsidRDefault="00000000" w:rsidP="007E2D63">
      <w:pPr>
        <w:pStyle w:val="Nivel3SM"/>
        <w:numPr>
          <w:ilvl w:val="0"/>
          <w:numId w:val="0"/>
        </w:numPr>
        <w:ind w:left="963"/>
      </w:pPr>
      <m:oMathPara>
        <m:oMath>
          <m:m>
            <m:mPr>
              <m:mcs>
                <m:mc>
                  <m:mcPr>
                    <m:count m:val="1"/>
                    <m:mcJc m:val="center"/>
                  </m:mcPr>
                </m:mc>
              </m:mcs>
              <m:ctrlPr>
                <w:rPr>
                  <w:rFonts w:ascii="Cambria Math" w:hAnsi="Cambria Math"/>
                  <w:i/>
                  <w:iCs/>
                </w:rPr>
              </m:ctrlPr>
            </m:mPr>
            <m:mr>
              <m:e>
                <m:r>
                  <m:rPr>
                    <m:nor/>
                  </m:rPr>
                  <w:rPr>
                    <w:i/>
                    <w:iCs/>
                  </w:rPr>
                  <m:t>Y</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Y</m:t>
                            </m:r>
                            <m:r>
                              <w:rPr>
                                <w:rFonts w:ascii="Cambria Math" w:hAnsi="Cambria Math"/>
                              </w:rPr>
                              <m:t>-</m:t>
                            </m:r>
                            <m:limLow>
                              <m:limLowPr>
                                <m:ctrlPr>
                                  <w:rPr>
                                    <w:rFonts w:ascii="Cambria Math" w:hAnsi="Cambria Math"/>
                                    <w:i/>
                                    <w:iCs/>
                                    <w:lang w:val="en-US"/>
                                  </w:rPr>
                                </m:ctrlPr>
                              </m:limLowPr>
                              <m:e>
                                <m:groupChr>
                                  <m:groupChrPr>
                                    <m:ctrlPr>
                                      <w:rPr>
                                        <w:rFonts w:ascii="Cambria Math" w:hAnsi="Cambria Math"/>
                                        <w:i/>
                                        <w:iCs/>
                                        <w:lang w:val="en-US"/>
                                      </w:rPr>
                                    </m:ctrlPr>
                                  </m:groupChrPr>
                                  <m:e>
                                    <m:r>
                                      <m:rPr>
                                        <m:nor/>
                                      </m:rPr>
                                      <w:rPr>
                                        <w:i/>
                                        <w:iCs/>
                                      </w:rPr>
                                      <m:t>t</m:t>
                                    </m:r>
                                    <m:r>
                                      <w:rPr>
                                        <w:rFonts w:ascii="Cambria Math" w:hAnsi="Cambria Math"/>
                                      </w:rPr>
                                      <m:t>∙</m:t>
                                    </m:r>
                                    <m:r>
                                      <m:rPr>
                                        <m:nor/>
                                      </m:rPr>
                                      <w:rPr>
                                        <w:i/>
                                        <w:iCs/>
                                      </w:rPr>
                                      <m:t>Y</m:t>
                                    </m:r>
                                  </m:e>
                                </m:groupChr>
                              </m:e>
                              <m:lim>
                                <m:r>
                                  <m:rPr>
                                    <m:nor/>
                                  </m:rPr>
                                  <w:rPr>
                                    <w:i/>
                                    <w:iCs/>
                                  </w:rPr>
                                  <m:t>T</m:t>
                                </m:r>
                              </m:lim>
                            </m:limLow>
                          </m:e>
                        </m:d>
                      </m:e>
                    </m:groupChr>
                  </m:e>
                  <m:lim>
                    <m:r>
                      <m:rPr>
                        <m:nor/>
                      </m:rPr>
                      <w:rPr>
                        <w:i/>
                        <w:iCs/>
                      </w:rPr>
                      <m:t>C</m:t>
                    </m:r>
                    <m:r>
                      <w:rPr>
                        <w:rFonts w:ascii="Cambria Math"/>
                      </w:rPr>
                      <m:t>=</m:t>
                    </m:r>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r>
                      <m:rPr>
                        <m:nor/>
                      </m:rPr>
                      <w:rPr>
                        <w:i/>
                        <w:iCs/>
                      </w:rPr>
                      <m:t>c</m:t>
                    </m:r>
                    <m:r>
                      <w:rPr>
                        <w:rFonts w:ascii="Cambria Math" w:hAnsi="Cambria Math"/>
                      </w:rPr>
                      <m:t>∙</m:t>
                    </m:r>
                    <m:r>
                      <m:rPr>
                        <m:nor/>
                      </m:rPr>
                      <w:rPr>
                        <w:i/>
                        <w:iCs/>
                      </w:rPr>
                      <m:t>Y</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lim>
                </m:limUpp>
                <m:r>
                  <w:rPr>
                    <w:rFonts w:ascii="Cambria Math" w:eastAsiaTheme="minorEastAsia"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v</m:t>
                        </m:r>
                        <m:r>
                          <w:rPr>
                            <w:rFonts w:ascii="Cambria Math" w:hAnsi="Cambria Math"/>
                          </w:rPr>
                          <m:t>∙</m:t>
                        </m:r>
                        <m:r>
                          <m:rPr>
                            <m:nor/>
                          </m:rPr>
                          <w:rPr>
                            <w:i/>
                            <w:iCs/>
                          </w:rPr>
                          <m:t>i</m:t>
                        </m:r>
                      </m:e>
                    </m:groupChr>
                  </m:e>
                  <m:lim>
                    <m:r>
                      <m:rPr>
                        <m:nor/>
                      </m:rPr>
                      <w:rPr>
                        <w:i/>
                        <w:iCs/>
                      </w:rPr>
                      <m:t>I</m:t>
                    </m:r>
                  </m:lim>
                </m:limUpp>
                <m:r>
                  <w:rPr>
                    <w:rFonts w:ascii="Cambria Math" w:eastAsiaTheme="minorEastAsia"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G</m:t>
                            </m:r>
                          </m:e>
                          <m:sub>
                            <m:r>
                              <m:rPr>
                                <m:nor/>
                              </m:rPr>
                              <w:rPr>
                                <w:i/>
                                <w:iCs/>
                              </w:rPr>
                              <m:t>0</m:t>
                            </m:r>
                          </m:sub>
                        </m:sSub>
                      </m:e>
                    </m:groupChr>
                  </m:e>
                  <m:lim>
                    <m:r>
                      <m:rPr>
                        <m:nor/>
                      </m:rPr>
                      <w:rPr>
                        <w:i/>
                        <w:iCs/>
                      </w:rPr>
                      <m:t>G</m:t>
                    </m:r>
                  </m:lim>
                </m:limUp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x</m:t>
                        </m:r>
                        <m:r>
                          <w:rPr>
                            <w:rFonts w:ascii="Cambria Math" w:hAnsi="Cambria Math"/>
                          </w:rPr>
                          <m:t>∙</m:t>
                        </m:r>
                        <m:r>
                          <m:rPr>
                            <m:nor/>
                          </m:rPr>
                          <w:rPr>
                            <w:i/>
                            <w:iCs/>
                          </w:rPr>
                          <m:t>Y*</m:t>
                        </m:r>
                        <m:r>
                          <w:rPr>
                            <w:rFonts w:ascii="Cambria Math" w:hAnsi="Cambria Math"/>
                          </w:rPr>
                          <m:t>-</m:t>
                        </m:r>
                        <m:r>
                          <m:rPr>
                            <m:nor/>
                          </m:rPr>
                          <w:rPr>
                            <w:i/>
                            <w:iCs/>
                          </w:rPr>
                          <m:t>m</m:t>
                        </m:r>
                        <m:r>
                          <w:rPr>
                            <w:rFonts w:ascii="Cambria Math" w:hAnsi="Cambria Math"/>
                          </w:rPr>
                          <m:t>∙</m:t>
                        </m:r>
                        <m:r>
                          <m:rPr>
                            <m:nor/>
                          </m:rPr>
                          <w:rPr>
                            <w:i/>
                            <w:iCs/>
                          </w:rPr>
                          <m:t>Y</m:t>
                        </m:r>
                        <m:r>
                          <w:rPr>
                            <w:rFonts w:ascii="Cambria Math" w:hAnsi="Cambria Math"/>
                          </w:rPr>
                          <m:t>+</m:t>
                        </m:r>
                        <m:r>
                          <m:rPr>
                            <m:nor/>
                          </m:rPr>
                          <w:rPr>
                            <w:i/>
                            <w:iCs/>
                          </w:rPr>
                          <m:t>ϕ</m:t>
                        </m:r>
                        <m:r>
                          <w:rPr>
                            <w:rFonts w:ascii="Cambria Math" w:hAnsi="Cambria Math"/>
                          </w:rPr>
                          <m:t>∙</m:t>
                        </m:r>
                        <m:r>
                          <m:rPr>
                            <m:nor/>
                          </m:rPr>
                          <w:rPr>
                            <w:i/>
                          </w:rPr>
                          <m:t>ϰ</m:t>
                        </m:r>
                      </m:e>
                    </m:groupChr>
                  </m:e>
                  <m:lim>
                    <m:r>
                      <m:rPr>
                        <m:nor/>
                      </m:rPr>
                      <w:rPr>
                        <w:i/>
                        <w:iCs/>
                      </w:rPr>
                      <m:t>XN</m:t>
                    </m:r>
                  </m:lim>
                </m:limUpp>
              </m:e>
            </m:mr>
            <m:mr>
              <m:e>
                <m:r>
                  <w:rPr>
                    <w:rFonts w:ascii="Cambria Math" w:hAnsi="Cambria Math"/>
                  </w:rPr>
                  <m:t>⇓</m:t>
                </m:r>
              </m:e>
            </m:mr>
            <m:mr>
              <m:e>
                <m:borderBox>
                  <m:borderBoxPr>
                    <m:ctrlPr>
                      <w:rPr>
                        <w:rFonts w:ascii="Cambria Math" w:hAnsi="Cambria Math"/>
                        <w:i/>
                        <w:iCs/>
                        <w:color w:val="5F2987"/>
                      </w:rPr>
                    </m:ctrlPr>
                  </m:borderBoxPr>
                  <m:e>
                    <m:r>
                      <m:rPr>
                        <m:nor/>
                      </m:rPr>
                      <w:rPr>
                        <w:i/>
                        <w:iCs/>
                        <w:color w:val="5F2987"/>
                      </w:rPr>
                      <m:t>Y</m:t>
                    </m:r>
                    <m:r>
                      <w:rPr>
                        <w:rFonts w:ascii="Cambria Math" w:hAnsi="Cambria Math"/>
                        <w:color w:val="5F2987"/>
                      </w:rPr>
                      <m:t>=</m:t>
                    </m:r>
                    <m:f>
                      <m:fPr>
                        <m:ctrlPr>
                          <w:rPr>
                            <w:rFonts w:ascii="Cambria Math" w:hAnsi="Cambria Math"/>
                            <w:i/>
                            <w:color w:val="5F2987"/>
                          </w:rPr>
                        </m:ctrlPr>
                      </m:fPr>
                      <m:num>
                        <m:sSub>
                          <m:sSubPr>
                            <m:ctrlPr>
                              <w:rPr>
                                <w:rFonts w:ascii="Cambria Math" w:hAnsi="Cambria Math"/>
                                <w:i/>
                                <w:iCs/>
                                <w:color w:val="5F2987"/>
                              </w:rPr>
                            </m:ctrlPr>
                          </m:sSubPr>
                          <m:e>
                            <m:r>
                              <m:rPr>
                                <m:nor/>
                              </m:rPr>
                              <w:rPr>
                                <w:i/>
                                <w:iCs/>
                                <w:color w:val="5F2987"/>
                              </w:rPr>
                              <m:t>C</m:t>
                            </m:r>
                          </m:e>
                          <m:sub>
                            <m:r>
                              <m:rPr>
                                <m:nor/>
                              </m:rPr>
                              <w:rPr>
                                <w:i/>
                                <w:iCs/>
                                <w:color w:val="5F2987"/>
                              </w:rPr>
                              <m:t>0</m:t>
                            </m:r>
                          </m:sub>
                        </m:sSub>
                        <m:r>
                          <w:rPr>
                            <w:rFonts w:ascii="Cambria Math" w:hAnsi="Cambria Math"/>
                            <w:color w:val="5F2987"/>
                          </w:rPr>
                          <m:t>+</m:t>
                        </m:r>
                        <m:sSub>
                          <m:sSubPr>
                            <m:ctrlPr>
                              <w:rPr>
                                <w:rFonts w:ascii="Cambria Math" w:hAnsi="Cambria Math"/>
                                <w:i/>
                                <w:iCs/>
                                <w:color w:val="5F2987"/>
                              </w:rPr>
                            </m:ctrlPr>
                          </m:sSubPr>
                          <m:e>
                            <m:r>
                              <m:rPr>
                                <m:nor/>
                              </m:rPr>
                              <w:rPr>
                                <w:i/>
                                <w:iCs/>
                                <w:color w:val="5F2987"/>
                              </w:rPr>
                              <m:t>I</m:t>
                            </m:r>
                          </m:e>
                          <m:sub>
                            <m:r>
                              <m:rPr>
                                <m:nor/>
                              </m:rPr>
                              <w:rPr>
                                <w:i/>
                                <w:iCs/>
                                <w:color w:val="5F2987"/>
                              </w:rPr>
                              <m:t>0</m:t>
                            </m:r>
                          </m:sub>
                        </m:sSub>
                        <m:r>
                          <w:rPr>
                            <w:rFonts w:ascii="Cambria Math" w:hAnsi="Cambria Math"/>
                            <w:color w:val="5F2987"/>
                          </w:rPr>
                          <m:t>-</m:t>
                        </m:r>
                        <m:r>
                          <m:rPr>
                            <m:nor/>
                          </m:rPr>
                          <w:rPr>
                            <w:i/>
                            <w:iCs/>
                            <w:color w:val="5F2987"/>
                          </w:rPr>
                          <m:t>v</m:t>
                        </m:r>
                        <m:r>
                          <w:rPr>
                            <w:rFonts w:ascii="Cambria Math" w:hAnsi="Cambria Math"/>
                            <w:color w:val="5F2987"/>
                          </w:rPr>
                          <m:t>∙</m:t>
                        </m:r>
                        <m:r>
                          <m:rPr>
                            <m:nor/>
                          </m:rPr>
                          <w:rPr>
                            <w:i/>
                            <w:iCs/>
                            <w:color w:val="5F2987"/>
                          </w:rPr>
                          <m:t>i</m:t>
                        </m:r>
                        <m:r>
                          <w:rPr>
                            <w:rFonts w:ascii="Cambria Math" w:eastAsiaTheme="minorEastAsia" w:hAnsi="Cambria Math"/>
                            <w:color w:val="5F2987"/>
                          </w:rPr>
                          <m:t>+</m:t>
                        </m:r>
                        <m:sSub>
                          <m:sSubPr>
                            <m:ctrlPr>
                              <w:rPr>
                                <w:rFonts w:ascii="Cambria Math" w:hAnsi="Cambria Math"/>
                                <w:i/>
                                <w:iCs/>
                                <w:color w:val="5F2987"/>
                              </w:rPr>
                            </m:ctrlPr>
                          </m:sSubPr>
                          <m:e>
                            <m:r>
                              <m:rPr>
                                <m:nor/>
                              </m:rPr>
                              <w:rPr>
                                <w:i/>
                                <w:iCs/>
                                <w:color w:val="5F2987"/>
                              </w:rPr>
                              <m:t>G</m:t>
                            </m:r>
                          </m:e>
                          <m:sub>
                            <m:r>
                              <m:rPr>
                                <m:nor/>
                              </m:rPr>
                              <w:rPr>
                                <w:i/>
                                <w:iCs/>
                                <w:color w:val="5F2987"/>
                              </w:rPr>
                              <m:t>0</m:t>
                            </m:r>
                          </m:sub>
                        </m:sSub>
                        <m:r>
                          <w:rPr>
                            <w:rFonts w:ascii="Cambria Math" w:hAnsi="Cambria Math"/>
                            <w:color w:val="5F2987"/>
                          </w:rPr>
                          <m:t>+</m:t>
                        </m:r>
                        <m:r>
                          <m:rPr>
                            <m:nor/>
                          </m:rPr>
                          <w:rPr>
                            <w:i/>
                            <w:iCs/>
                            <w:color w:val="5F2987"/>
                          </w:rPr>
                          <m:t>x</m:t>
                        </m:r>
                        <m:r>
                          <w:rPr>
                            <w:rFonts w:ascii="Cambria Math" w:hAnsi="Cambria Math"/>
                            <w:color w:val="5F2987"/>
                          </w:rPr>
                          <m:t>∙</m:t>
                        </m:r>
                        <m:r>
                          <m:rPr>
                            <m:nor/>
                          </m:rPr>
                          <w:rPr>
                            <w:i/>
                            <w:iCs/>
                            <w:color w:val="5F2987"/>
                          </w:rPr>
                          <m:t>Y*</m:t>
                        </m:r>
                        <m:r>
                          <w:rPr>
                            <w:rFonts w:ascii="Cambria Math" w:hAnsi="Cambria Math"/>
                            <w:color w:val="5F2987"/>
                          </w:rPr>
                          <m:t>+</m:t>
                        </m:r>
                        <m:r>
                          <m:rPr>
                            <m:nor/>
                          </m:rPr>
                          <w:rPr>
                            <w:i/>
                            <w:iCs/>
                            <w:color w:val="5F2987"/>
                          </w:rPr>
                          <m:t>ϕ</m:t>
                        </m:r>
                        <m:r>
                          <w:rPr>
                            <w:rFonts w:ascii="Cambria Math" w:hAnsi="Cambria Math"/>
                            <w:color w:val="5F2987"/>
                          </w:rPr>
                          <m:t>∙</m:t>
                        </m:r>
                        <m:r>
                          <m:rPr>
                            <m:nor/>
                          </m:rPr>
                          <w:rPr>
                            <w:i/>
                            <w:color w:val="5F2987"/>
                          </w:rPr>
                          <m:t>ϰ</m:t>
                        </m:r>
                      </m:num>
                      <m:den>
                        <m:r>
                          <m:rPr>
                            <m:nor/>
                          </m:rPr>
                          <w:rPr>
                            <w:i/>
                            <w:iCs/>
                            <w:color w:val="5F2987"/>
                          </w:rPr>
                          <m:t>1</m:t>
                        </m:r>
                        <m:r>
                          <w:rPr>
                            <w:rFonts w:ascii="Cambria Math" w:hAnsi="Cambria Math"/>
                            <w:color w:val="5F2987"/>
                          </w:rPr>
                          <m:t>-</m:t>
                        </m:r>
                        <m:r>
                          <m:rPr>
                            <m:nor/>
                          </m:rPr>
                          <w:rPr>
                            <w:i/>
                            <w:iCs/>
                            <w:color w:val="5F2987"/>
                          </w:rPr>
                          <m:t>c</m:t>
                        </m:r>
                        <m:r>
                          <w:rPr>
                            <w:rFonts w:ascii="Cambria Math" w:hAnsi="Cambria Math"/>
                            <w:color w:val="5F2987"/>
                          </w:rPr>
                          <m:t>∙</m:t>
                        </m:r>
                        <m:d>
                          <m:dPr>
                            <m:ctrlPr>
                              <w:rPr>
                                <w:rFonts w:ascii="Cambria Math" w:hAnsi="Cambria Math"/>
                                <w:i/>
                                <w:color w:val="5F2987"/>
                              </w:rPr>
                            </m:ctrlPr>
                          </m:dPr>
                          <m:e>
                            <m:r>
                              <m:rPr>
                                <m:nor/>
                              </m:rPr>
                              <w:rPr>
                                <w:i/>
                                <w:iCs/>
                                <w:color w:val="5F2987"/>
                              </w:rPr>
                              <m:t>1</m:t>
                            </m:r>
                            <m:r>
                              <w:rPr>
                                <w:rFonts w:ascii="Cambria Math" w:hAnsi="Cambria Math"/>
                                <w:color w:val="5F2987"/>
                              </w:rPr>
                              <m:t>-</m:t>
                            </m:r>
                            <m:r>
                              <m:rPr>
                                <m:nor/>
                              </m:rPr>
                              <w:rPr>
                                <w:i/>
                                <w:iCs/>
                                <w:color w:val="5F2987"/>
                              </w:rPr>
                              <m:t>t</m:t>
                            </m:r>
                          </m:e>
                        </m:d>
                        <m:r>
                          <w:rPr>
                            <w:rFonts w:ascii="Cambria Math" w:hAnsi="Cambria Math"/>
                            <w:color w:val="5F2987"/>
                          </w:rPr>
                          <m:t>+</m:t>
                        </m:r>
                        <m:r>
                          <m:rPr>
                            <m:nor/>
                          </m:rPr>
                          <w:rPr>
                            <w:i/>
                            <w:iCs/>
                            <w:color w:val="5F2987"/>
                          </w:rPr>
                          <m:t>m</m:t>
                        </m:r>
                      </m:den>
                    </m:f>
                  </m:e>
                </m:borderBox>
              </m:e>
            </m:mr>
          </m:m>
        </m:oMath>
      </m:oMathPara>
    </w:p>
    <w:p w14:paraId="79031F14" w14:textId="77777777" w:rsidR="007E2D63" w:rsidRDefault="007E2D63" w:rsidP="007E2D63">
      <w:pPr>
        <w:pStyle w:val="Nivel3SM"/>
      </w:pPr>
      <w:r>
        <w:t>La curva </w:t>
      </w:r>
      <w:r w:rsidRPr="003509D3">
        <w:rPr>
          <w:i/>
          <w:iCs/>
        </w:rPr>
        <w:t>IS</w:t>
      </w:r>
      <w:r>
        <w:t xml:space="preserve"> es decreciente en el plano </w:t>
      </w:r>
      <w:r>
        <w:rPr>
          <w:i/>
          <w:iCs/>
        </w:rPr>
        <w:t>Y</w:t>
      </w:r>
      <w:r w:rsidRPr="00A03A0E">
        <w:t>-</w:t>
      </w:r>
      <w:r>
        <w:rPr>
          <w:i/>
          <w:iCs/>
        </w:rPr>
        <w:t>i</w:t>
      </w:r>
      <w:r>
        <w:t xml:space="preserve"> porque aumentos del tipo de interés reducen la inversión y por lo tanto la renta.</w:t>
      </w:r>
    </w:p>
    <w:p w14:paraId="07CC3FD9" w14:textId="77777777" w:rsidR="007E2D63" w:rsidRPr="00752F78" w:rsidRDefault="007E2D63" w:rsidP="007E2D63">
      <w:pPr>
        <w:pStyle w:val="Nivel3SM"/>
      </w:pPr>
      <w:r>
        <w:t xml:space="preserve">Por lo tanto, cuanto mayor sea </w:t>
      </w:r>
      <w:proofErr w:type="gramStart"/>
      <w:r>
        <w:t>la propensión marginal a importar</w:t>
      </w:r>
      <w:proofErr w:type="gramEnd"/>
      <w:r>
        <w:t xml:space="preserve">, </w:t>
      </w:r>
      <m:oMath>
        <m:r>
          <m:rPr>
            <m:nor/>
          </m:rPr>
          <w:rPr>
            <w:i/>
          </w:rPr>
          <m:t>m</m:t>
        </m:r>
      </m:oMath>
      <w:r>
        <w:t xml:space="preserve">, menor será la efectividad de la política fiscal. Esto se debe a que parte del aumento de la renta generado por la política fiscal expansiva se desvía ahora hacia el exterior ya que los agentes consumen más productos importados. Es precisamente este </w:t>
      </w:r>
      <w:r w:rsidRPr="00752F78">
        <w:rPr>
          <w:i/>
        </w:rPr>
        <w:t xml:space="preserve">efecto </w:t>
      </w:r>
      <w:proofErr w:type="spellStart"/>
      <w:r w:rsidRPr="00752F78">
        <w:rPr>
          <w:i/>
        </w:rPr>
        <w:t>spillover</w:t>
      </w:r>
      <w:proofErr w:type="spellEnd"/>
      <w:r>
        <w:t xml:space="preserve"> lo que explica la importancia de la coordinación internacional de la política fiscal y el “</w:t>
      </w:r>
      <w:r>
        <w:rPr>
          <w:i/>
        </w:rPr>
        <w:t>efecto locomotora</w:t>
      </w:r>
      <w:r>
        <w:t xml:space="preserve">” </w:t>
      </w:r>
      <w:r w:rsidRPr="00752F78">
        <w:rPr>
          <w:color w:val="767171" w:themeColor="background2" w:themeShade="80"/>
          <w:sz w:val="19"/>
          <w:szCs w:val="19"/>
        </w:rPr>
        <w:t>[ver tema 3.B</w:t>
      </w:r>
      <w:r>
        <w:rPr>
          <w:color w:val="767171" w:themeColor="background2" w:themeShade="80"/>
          <w:sz w:val="19"/>
          <w:szCs w:val="19"/>
        </w:rPr>
        <w:t>.20</w:t>
      </w:r>
      <w:r w:rsidRPr="00752F78">
        <w:rPr>
          <w:color w:val="767171" w:themeColor="background2" w:themeShade="80"/>
          <w:sz w:val="19"/>
          <w:szCs w:val="19"/>
        </w:rPr>
        <w:t>]</w:t>
      </w:r>
      <w:r>
        <w:t>.</w:t>
      </w:r>
    </w:p>
    <w:p w14:paraId="41BA2BCB" w14:textId="77777777" w:rsidR="007E2D63" w:rsidRPr="001B3BC2" w:rsidRDefault="007E2D63" w:rsidP="007E2D63">
      <w:pPr>
        <w:pStyle w:val="Prrafodelista"/>
        <w:keepNext/>
        <w:numPr>
          <w:ilvl w:val="0"/>
          <w:numId w:val="50"/>
        </w:numPr>
        <w:spacing w:after="0"/>
        <w:ind w:left="568" w:hanging="284"/>
        <w:rPr>
          <w:color w:val="00B050"/>
        </w:rPr>
      </w:pPr>
      <w:r w:rsidRPr="001B3BC2">
        <w:rPr>
          <w:i/>
          <w:iCs/>
          <w:color w:val="00B050"/>
          <w:u w:val="single"/>
        </w:rPr>
        <w:t>Curva</w:t>
      </w:r>
      <w:r>
        <w:rPr>
          <w:i/>
          <w:iCs/>
          <w:color w:val="00B050"/>
          <w:u w:val="single"/>
        </w:rPr>
        <w:t> </w:t>
      </w:r>
      <w:r w:rsidRPr="001B3BC2">
        <w:rPr>
          <w:i/>
          <w:iCs/>
          <w:color w:val="00B050"/>
          <w:u w:val="single"/>
        </w:rPr>
        <w:t>LM</w:t>
      </w:r>
      <w:r w:rsidRPr="001B3BC2">
        <w:rPr>
          <w:color w:val="00B050"/>
        </w:rPr>
        <w:t xml:space="preserve"> (</w:t>
      </w:r>
      <w:proofErr w:type="spellStart"/>
      <w:r w:rsidRPr="001B3BC2">
        <w:rPr>
          <w:i/>
          <w:iCs/>
          <w:color w:val="00B050"/>
        </w:rPr>
        <w:t>Liquidity</w:t>
      </w:r>
      <w:proofErr w:type="spellEnd"/>
      <w:r w:rsidRPr="001B3BC2">
        <w:rPr>
          <w:i/>
          <w:iCs/>
          <w:color w:val="00B050"/>
        </w:rPr>
        <w:t>-Money</w:t>
      </w:r>
      <w:r w:rsidRPr="001B3BC2">
        <w:rPr>
          <w:color w:val="00B050"/>
        </w:rPr>
        <w:t>)</w:t>
      </w:r>
      <w:r w:rsidRPr="00973648">
        <w:rPr>
          <w:sz w:val="19"/>
          <w:szCs w:val="19"/>
        </w:rPr>
        <w:t xml:space="preserve"> [</w:t>
      </w:r>
      <w:r>
        <w:rPr>
          <w:i/>
          <w:iCs/>
          <w:sz w:val="19"/>
          <w:szCs w:val="19"/>
        </w:rPr>
        <w:t>permanece igual que para el caso de una economía cerrada</w:t>
      </w:r>
      <w:r w:rsidRPr="00973648">
        <w:rPr>
          <w:sz w:val="19"/>
          <w:szCs w:val="19"/>
        </w:rPr>
        <w:t>]</w:t>
      </w:r>
    </w:p>
    <w:p w14:paraId="1E2EDAEC" w14:textId="77777777" w:rsidR="007E2D63" w:rsidRDefault="007E2D63" w:rsidP="007E2D63">
      <w:pPr>
        <w:pStyle w:val="Nivel3SM"/>
      </w:pPr>
      <w:r>
        <w:t xml:space="preserve">La </w:t>
      </w:r>
      <w:r w:rsidRPr="003509D3">
        <w:rPr>
          <w:i/>
          <w:iCs/>
        </w:rPr>
        <w:t>curva</w:t>
      </w:r>
      <w:r>
        <w:rPr>
          <w:i/>
          <w:iCs/>
        </w:rPr>
        <w:t> </w:t>
      </w:r>
      <w:r w:rsidRPr="003509D3">
        <w:rPr>
          <w:i/>
          <w:iCs/>
        </w:rPr>
        <w:t>LM</w:t>
      </w:r>
      <w:r>
        <w:t xml:space="preserve"> representa los pares de renta y tipo de interés que representan el equilibrio en el mercado de dinero y en el mercado de bonos.</w:t>
      </w:r>
    </w:p>
    <w:p w14:paraId="069150DA" w14:textId="77777777" w:rsidR="007E2D63" w:rsidRDefault="007E2D63" w:rsidP="007E2D63">
      <w:pPr>
        <w:pStyle w:val="Nivel3SM"/>
        <w:keepNext/>
      </w:pPr>
      <w:r>
        <w:t>Se supone que la oferta monetaria viene dada exógenamente y la demanda de dinero sigue una función que depende positivamente de la renta y negativamente del tipo de interés:</w:t>
      </w:r>
    </w:p>
    <w:bookmarkStart w:id="44" w:name="_Hlk130557904"/>
    <w:bookmarkStart w:id="45" w:name="_Hlk130557889"/>
    <w:p w14:paraId="0FD768C1" w14:textId="77777777" w:rsidR="007E2D63" w:rsidRPr="00887161" w:rsidRDefault="00000000" w:rsidP="007E2D63">
      <w:pPr>
        <w:pStyle w:val="Nivel3SM"/>
        <w:numPr>
          <w:ilvl w:val="0"/>
          <w:numId w:val="0"/>
        </w:numPr>
        <w:ind w:left="963"/>
        <w:rPr>
          <w:lang w:val="en-US"/>
        </w:rPr>
      </w:pPr>
      <m:oMathPara>
        <m:oMath>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r>
            <w:rPr>
              <w:rFonts w:ascii="Cambria Math" w:hAnsi="Cambria Math"/>
              <w:lang w:val="en-US"/>
            </w:rPr>
            <m:t>=</m:t>
          </m:r>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r>
            <m:rPr>
              <m:nor/>
            </m:rPr>
            <w:rPr>
              <w:i/>
              <w:iCs/>
              <w:lang w:val="en-US"/>
            </w:rPr>
            <m:t>h</m:t>
          </m:r>
          <m:r>
            <w:rPr>
              <w:rFonts w:ascii="Cambria Math" w:hAnsi="Cambria Math"/>
              <w:lang w:val="en-US"/>
            </w:rPr>
            <m:t>∙</m:t>
          </m:r>
          <m:r>
            <m:rPr>
              <m:nor/>
            </m:rPr>
            <w:rPr>
              <w:i/>
              <w:iCs/>
              <w:lang w:val="en-US"/>
            </w:rPr>
            <m:t>i</m:t>
          </m:r>
          <m:r>
            <w:rPr>
              <w:rFonts w:ascii="Cambria Math" w:eastAsiaTheme="minorEastAsia" w:hAnsi="Cambria Math"/>
            </w:rPr>
            <m:t>⟹</m:t>
          </m:r>
          <m:borderBox>
            <m:borderBoxPr>
              <m:ctrlPr>
                <w:rPr>
                  <w:rFonts w:ascii="Cambria Math" w:eastAsiaTheme="minorEastAsia" w:hAnsi="Cambria Math"/>
                  <w:i/>
                  <w:iCs/>
                  <w:color w:val="00B050"/>
                </w:rPr>
              </m:ctrlPr>
            </m:borderBoxPr>
            <m:e>
              <m:r>
                <m:rPr>
                  <m:nor/>
                </m:rPr>
                <w:rPr>
                  <w:i/>
                  <w:iCs/>
                  <w:color w:val="00B050"/>
                  <w:lang w:val="en-US"/>
                </w:rPr>
                <m:t>i</m:t>
              </m:r>
              <m:r>
                <w:rPr>
                  <w:rFonts w:ascii="Cambria Math" w:hAnsi="Cambria Math"/>
                  <w:color w:val="00B050"/>
                  <w:lang w:val="en-US"/>
                </w:rPr>
                <m:t>=</m:t>
              </m:r>
              <m:f>
                <m:fPr>
                  <m:ctrlPr>
                    <w:rPr>
                      <w:rFonts w:ascii="Cambria Math" w:hAnsi="Cambria Math"/>
                      <w:i/>
                      <w:color w:val="00B050"/>
                    </w:rPr>
                  </m:ctrlPr>
                </m:fPr>
                <m:num>
                  <m:r>
                    <m:rPr>
                      <m:nor/>
                    </m:rPr>
                    <w:rPr>
                      <w:i/>
                      <w:iCs/>
                      <w:color w:val="00B050"/>
                      <w:lang w:val="en-US"/>
                    </w:rPr>
                    <m:t>1</m:t>
                  </m:r>
                </m:num>
                <m:den>
                  <m:r>
                    <m:rPr>
                      <m:nor/>
                    </m:rPr>
                    <w:rPr>
                      <w:i/>
                      <w:iCs/>
                      <w:color w:val="00B050"/>
                      <w:lang w:val="en-US"/>
                    </w:rPr>
                    <m:t>h</m:t>
                  </m:r>
                </m:den>
              </m:f>
              <m:r>
                <w:rPr>
                  <w:rFonts w:ascii="Cambria Math" w:hAnsi="Cambria Math"/>
                  <w:color w:val="00B050"/>
                  <w:lang w:val="en-US"/>
                </w:rPr>
                <m:t>∙</m:t>
              </m:r>
              <m:d>
                <m:dPr>
                  <m:ctrlPr>
                    <w:rPr>
                      <w:rFonts w:ascii="Cambria Math" w:hAnsi="Cambria Math"/>
                      <w:i/>
                      <w:iCs/>
                      <w:color w:val="00B050"/>
                    </w:rPr>
                  </m:ctrlPr>
                </m:dPr>
                <m:e>
                  <m:r>
                    <m:rPr>
                      <m:nor/>
                    </m:rPr>
                    <w:rPr>
                      <w:i/>
                      <w:iCs/>
                      <w:color w:val="00B050"/>
                      <w:lang w:val="en-US"/>
                    </w:rPr>
                    <m:t>k</m:t>
                  </m:r>
                  <m:r>
                    <w:rPr>
                      <w:rFonts w:ascii="Cambria Math" w:hAnsi="Cambria Math"/>
                      <w:color w:val="00B050"/>
                      <w:lang w:val="en-US"/>
                    </w:rPr>
                    <m:t>∙</m:t>
                  </m:r>
                  <m:r>
                    <m:rPr>
                      <m:nor/>
                    </m:rPr>
                    <w:rPr>
                      <w:i/>
                      <w:iCs/>
                      <w:color w:val="00B050"/>
                      <w:lang w:val="en-US"/>
                    </w:rPr>
                    <m:t>Y</m:t>
                  </m:r>
                  <m:r>
                    <w:rPr>
                      <w:rFonts w:ascii="Cambria Math" w:hAnsi="Cambria Math"/>
                      <w:color w:val="00B050"/>
                      <w:lang w:val="en-US"/>
                    </w:rPr>
                    <m:t>-</m:t>
                  </m:r>
                  <m:d>
                    <m:dPr>
                      <m:ctrlPr>
                        <w:rPr>
                          <w:rFonts w:ascii="Cambria Math" w:hAnsi="Cambria Math"/>
                          <w:i/>
                          <w:iCs/>
                          <w:color w:val="00B050"/>
                          <w:lang w:val="en-US"/>
                        </w:rPr>
                      </m:ctrlPr>
                    </m:dPr>
                    <m:e>
                      <m:f>
                        <m:fPr>
                          <m:ctrlPr>
                            <w:rPr>
                              <w:rFonts w:ascii="Cambria Math" w:hAnsi="Cambria Math"/>
                              <w:i/>
                              <w:iCs/>
                              <w:color w:val="00B050"/>
                              <w:lang w:val="en-US"/>
                            </w:rPr>
                          </m:ctrlPr>
                        </m:fPr>
                        <m:num>
                          <m:sSup>
                            <m:sSupPr>
                              <m:ctrlPr>
                                <w:rPr>
                                  <w:rFonts w:ascii="Cambria Math" w:hAnsi="Cambria Math"/>
                                  <w:i/>
                                  <w:iCs/>
                                  <w:color w:val="00B050"/>
                                  <w:lang w:val="en-US"/>
                                </w:rPr>
                              </m:ctrlPr>
                            </m:sSupPr>
                            <m:e>
                              <m:r>
                                <m:rPr>
                                  <m:nor/>
                                </m:rPr>
                                <w:rPr>
                                  <w:i/>
                                  <w:iCs/>
                                  <w:color w:val="00B050"/>
                                  <w:lang w:val="en-US"/>
                                </w:rPr>
                                <m:t>M</m:t>
                              </m:r>
                            </m:e>
                            <m:sup>
                              <m:r>
                                <m:rPr>
                                  <m:nor/>
                                </m:rPr>
                                <w:rPr>
                                  <w:i/>
                                  <w:iCs/>
                                  <w:color w:val="00B050"/>
                                  <w:lang w:val="en-US"/>
                                </w:rPr>
                                <m:t>S</m:t>
                              </m:r>
                            </m:sup>
                          </m:sSup>
                        </m:num>
                        <m:den>
                          <m:r>
                            <m:rPr>
                              <m:nor/>
                            </m:rPr>
                            <w:rPr>
                              <w:i/>
                              <w:iCs/>
                              <w:color w:val="00B050"/>
                              <w:lang w:val="en-US"/>
                            </w:rPr>
                            <m:t>P</m:t>
                          </m:r>
                        </m:den>
                      </m:f>
                    </m:e>
                  </m:d>
                </m:e>
              </m:d>
            </m:e>
          </m:borderBox>
        </m:oMath>
      </m:oMathPara>
      <w:bookmarkEnd w:id="44"/>
    </w:p>
    <w:bookmarkEnd w:id="45"/>
    <w:p w14:paraId="55DA785F" w14:textId="77777777" w:rsidR="007E2D63" w:rsidRPr="00D66B55" w:rsidRDefault="007E2D63" w:rsidP="007E2D63">
      <w:pPr>
        <w:pStyle w:val="Nivel3SM"/>
      </w:pPr>
      <w:r>
        <w:t>La curva </w:t>
      </w:r>
      <w:r w:rsidRPr="003509D3">
        <w:rPr>
          <w:i/>
          <w:iCs/>
        </w:rPr>
        <w:t>LM</w:t>
      </w:r>
      <w:r>
        <w:t xml:space="preserve"> será creciente con el tipo de interés, pues un aumento de la renta requiere un aumento del tipo de interés para reequilibrar el mercado monetario.</w:t>
      </w:r>
    </w:p>
    <w:p w14:paraId="3948C08F" w14:textId="77777777" w:rsidR="007E2D63" w:rsidRPr="001B3BC2" w:rsidRDefault="007E2D63" w:rsidP="007E2D63">
      <w:pPr>
        <w:pStyle w:val="Prrafodelista"/>
        <w:keepNext/>
        <w:numPr>
          <w:ilvl w:val="0"/>
          <w:numId w:val="50"/>
        </w:numPr>
        <w:spacing w:after="0"/>
        <w:ind w:left="568" w:hanging="284"/>
        <w:rPr>
          <w:color w:val="FF6600"/>
          <w:lang w:val="en-US"/>
        </w:rPr>
      </w:pPr>
      <w:r w:rsidRPr="001B3BC2">
        <w:rPr>
          <w:i/>
          <w:iCs/>
          <w:color w:val="FF6600"/>
          <w:u w:val="single"/>
          <w:lang w:val="en-US"/>
        </w:rPr>
        <w:t>Curva</w:t>
      </w:r>
      <w:r>
        <w:rPr>
          <w:i/>
          <w:iCs/>
          <w:color w:val="FF6600"/>
          <w:u w:val="single"/>
          <w:lang w:val="en-US"/>
        </w:rPr>
        <w:t> </w:t>
      </w:r>
      <w:r w:rsidRPr="001B3BC2">
        <w:rPr>
          <w:i/>
          <w:iCs/>
          <w:color w:val="FF6600"/>
          <w:u w:val="single"/>
          <w:lang w:val="en-US"/>
        </w:rPr>
        <w:t>BP</w:t>
      </w:r>
      <w:r w:rsidRPr="001B3BC2">
        <w:rPr>
          <w:color w:val="FF6600"/>
          <w:lang w:val="en-US"/>
        </w:rPr>
        <w:t xml:space="preserve"> (</w:t>
      </w:r>
      <w:r w:rsidRPr="001B3BC2">
        <w:rPr>
          <w:i/>
          <w:iCs/>
          <w:color w:val="FF6600"/>
          <w:lang w:val="en-US"/>
        </w:rPr>
        <w:t>Balance of Payments</w:t>
      </w:r>
      <w:r w:rsidRPr="001B3BC2">
        <w:rPr>
          <w:color w:val="FF6600"/>
          <w:lang w:val="en-US"/>
        </w:rPr>
        <w:t>)</w:t>
      </w:r>
    </w:p>
    <w:p w14:paraId="371004F1" w14:textId="77777777" w:rsidR="007E2D63" w:rsidRDefault="007E2D63" w:rsidP="007E2D63">
      <w:pPr>
        <w:pStyle w:val="Nivel3SM"/>
      </w:pPr>
      <w:r>
        <w:t>La curva </w:t>
      </w:r>
      <w:r w:rsidRPr="003509D3">
        <w:rPr>
          <w:i/>
          <w:iCs/>
        </w:rPr>
        <w:t>BP</w:t>
      </w:r>
      <w:r>
        <w:t xml:space="preserve"> representa los pares de renta y tipo de interés que representan el equilibrio en el sector exterior (i.e. equilibrio de balanza de pagos).</w:t>
      </w:r>
    </w:p>
    <w:p w14:paraId="7C9A66F7" w14:textId="77777777" w:rsidR="007E2D63" w:rsidRDefault="007E2D63" w:rsidP="007E2D63">
      <w:pPr>
        <w:pStyle w:val="Nivel3SM"/>
        <w:keepNext/>
      </w:pPr>
      <w:r>
        <w:t>Suponemos que la balanza de pagos queda definida de la siguiente manera</w:t>
      </w:r>
      <w:r>
        <w:rPr>
          <w:rStyle w:val="Refdenotaalpie"/>
        </w:rPr>
        <w:footnoteReference w:id="16"/>
      </w:r>
      <w:r>
        <w:t>:</w:t>
      </w:r>
    </w:p>
    <w:p w14:paraId="4A6D14A1" w14:textId="77777777" w:rsidR="007E2D63" w:rsidRPr="00887161" w:rsidRDefault="00000000" w:rsidP="007E2D63">
      <w:pPr>
        <w:pStyle w:val="Nivel3SM"/>
        <w:numPr>
          <w:ilvl w:val="0"/>
          <w:numId w:val="0"/>
        </w:numPr>
        <w:ind w:left="963"/>
        <w:rPr>
          <w:rFonts w:eastAsiaTheme="minorEastAsia"/>
        </w:rPr>
      </w:pPr>
      <m:oMathPara>
        <m:oMath>
          <m:m>
            <m:mPr>
              <m:mcs>
                <m:mc>
                  <m:mcPr>
                    <m:count m:val="1"/>
                    <m:mcJc m:val="center"/>
                  </m:mcPr>
                </m:mc>
              </m:mcs>
              <m:ctrlPr>
                <w:rPr>
                  <w:rFonts w:ascii="Cambria Math" w:hAnsi="Cambria Math"/>
                  <w:i/>
                </w:rPr>
              </m:ctrlPr>
            </m:mPr>
            <m:mr>
              <m:e>
                <m:limLow>
                  <m:limLowPr>
                    <m:ctrlPr>
                      <w:rPr>
                        <w:rFonts w:ascii="Cambria Math" w:hAnsi="Cambria Math"/>
                        <w:i/>
                      </w:rPr>
                    </m:ctrlPr>
                  </m:limLowPr>
                  <m:e>
                    <m:groupChr>
                      <m:groupChrPr>
                        <m:ctrlPr>
                          <w:rPr>
                            <w:rFonts w:ascii="Cambria Math" w:hAnsi="Cambria Math"/>
                            <w:i/>
                          </w:rPr>
                        </m:ctrlPr>
                      </m:groupChrPr>
                      <m:e>
                        <m:r>
                          <m:rPr>
                            <m:nor/>
                          </m:rPr>
                          <w:rPr>
                            <w:i/>
                            <w:iCs/>
                          </w:rPr>
                          <m:t>x</m:t>
                        </m:r>
                        <m:r>
                          <w:rPr>
                            <w:rFonts w:ascii="Cambria Math" w:hAnsi="Cambria Math"/>
                          </w:rPr>
                          <m:t>∙</m:t>
                        </m:r>
                        <m:r>
                          <m:rPr>
                            <m:nor/>
                          </m:rPr>
                          <w:rPr>
                            <w:i/>
                            <w:iCs/>
                          </w:rPr>
                          <m:t>Y*</m:t>
                        </m:r>
                        <m:r>
                          <w:rPr>
                            <w:rFonts w:ascii="Cambria Math" w:hAnsi="Cambria Math"/>
                          </w:rPr>
                          <m:t>-</m:t>
                        </m:r>
                        <m:r>
                          <m:rPr>
                            <m:nor/>
                          </m:rPr>
                          <w:rPr>
                            <w:i/>
                            <w:iCs/>
                          </w:rPr>
                          <m:t>m</m:t>
                        </m:r>
                        <m:r>
                          <w:rPr>
                            <w:rFonts w:ascii="Cambria Math" w:hAnsi="Cambria Math"/>
                          </w:rPr>
                          <m:t>∙</m:t>
                        </m:r>
                        <m:r>
                          <m:rPr>
                            <m:nor/>
                          </m:rPr>
                          <w:rPr>
                            <w:i/>
                            <w:iCs/>
                          </w:rPr>
                          <m:t>Y</m:t>
                        </m:r>
                        <m:r>
                          <w:rPr>
                            <w:rFonts w:ascii="Cambria Math" w:hAnsi="Cambria Math"/>
                          </w:rPr>
                          <m:t>+</m:t>
                        </m:r>
                        <m:r>
                          <m:rPr>
                            <m:nor/>
                          </m:rPr>
                          <w:rPr>
                            <w:i/>
                            <w:iCs/>
                          </w:rPr>
                          <m:t>ϕ</m:t>
                        </m:r>
                        <m:r>
                          <w:rPr>
                            <w:rFonts w:ascii="Cambria Math" w:hAnsi="Cambria Math"/>
                          </w:rPr>
                          <m:t>∙</m:t>
                        </m:r>
                        <m:r>
                          <m:rPr>
                            <m:nor/>
                          </m:rPr>
                          <w:rPr>
                            <w:i/>
                          </w:rPr>
                          <m:t>ϰ</m:t>
                        </m:r>
                      </m:e>
                    </m:groupChr>
                  </m:e>
                  <m:lim>
                    <m:r>
                      <m:rPr>
                        <m:nor/>
                      </m:rPr>
                      <w:rPr>
                        <w:i/>
                        <w:iCs/>
                      </w:rPr>
                      <m:t>XN</m:t>
                    </m:r>
                    <m:r>
                      <w:rPr>
                        <w:rFonts w:ascii="Cambria Math" w:hAnsi="Cambria Math"/>
                      </w:rPr>
                      <m:t>=</m:t>
                    </m:r>
                    <m:r>
                      <m:rPr>
                        <m:nor/>
                      </m:rPr>
                      <w:rPr>
                        <w:i/>
                        <w:iCs/>
                      </w:rPr>
                      <m:t>CC</m:t>
                    </m: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r>
                          <w:rPr>
                            <w:rFonts w:ascii="Cambria Math" w:hAnsi="Cambria Math"/>
                          </w:rPr>
                          <m:t>-</m:t>
                        </m:r>
                        <m:r>
                          <m:rPr>
                            <m:nor/>
                          </m:rPr>
                          <w:rPr>
                            <w:i/>
                            <w:lang w:val="en-US"/>
                          </w:rPr>
                          <m:t>β</m:t>
                        </m:r>
                        <m:r>
                          <w:rPr>
                            <w:rFonts w:ascii="Cambria Math" w:hAnsi="Cambria Math"/>
                          </w:rPr>
                          <m:t>∙</m:t>
                        </m:r>
                        <m:d>
                          <m:dPr>
                            <m:ctrlPr>
                              <w:rPr>
                                <w:rFonts w:ascii="Cambria Math" w:hAnsi="Cambria Math"/>
                                <w:i/>
                                <w:iCs/>
                                <w:lang w:val="en-US"/>
                              </w:rPr>
                            </m:ctrlPr>
                          </m:dPr>
                          <m:e>
                            <m:r>
                              <m:rPr>
                                <m:nor/>
                              </m:rPr>
                              <w:rPr>
                                <w:i/>
                                <w:iCs/>
                              </w:rPr>
                              <m:t>i</m:t>
                            </m:r>
                            <m:r>
                              <w:rPr>
                                <w:rFonts w:ascii="Cambria Math" w:hAnsi="Cambria Math"/>
                              </w:rPr>
                              <m:t>-</m:t>
                            </m:r>
                            <m:r>
                              <m:rPr>
                                <m:nor/>
                              </m:rPr>
                              <w:rPr>
                                <w:i/>
                                <w:iCs/>
                              </w:rPr>
                              <m:t>i*</m:t>
                            </m:r>
                          </m:e>
                        </m:d>
                      </m:e>
                    </m:groupChr>
                  </m:e>
                  <m:lim>
                    <m:r>
                      <m:rPr>
                        <m:nor/>
                      </m:rPr>
                      <w:rPr>
                        <w:i/>
                        <w:iCs/>
                      </w:rPr>
                      <m:t>CF</m:t>
                    </m:r>
                  </m:lim>
                </m:limLow>
              </m:e>
            </m:mr>
            <m:mr>
              <m:e>
                <m:r>
                  <w:rPr>
                    <w:rFonts w:ascii="Cambria Math" w:hAnsi="Cambria Math"/>
                  </w:rPr>
                  <m:t>⇓</m:t>
                </m:r>
              </m:e>
            </m:mr>
            <m:mr>
              <m:e>
                <m:borderBox>
                  <m:borderBoxPr>
                    <m:ctrlPr>
                      <w:rPr>
                        <w:rFonts w:ascii="Cambria Math" w:hAnsi="Cambria Math"/>
                        <w:i/>
                        <w:iCs/>
                        <w:color w:val="FF6600"/>
                      </w:rPr>
                    </m:ctrlPr>
                  </m:borderBoxPr>
                  <m:e>
                    <m:r>
                      <m:rPr>
                        <m:nor/>
                      </m:rPr>
                      <w:rPr>
                        <w:i/>
                        <w:iCs/>
                        <w:color w:val="FF6600"/>
                      </w:rPr>
                      <m:t>i</m:t>
                    </m:r>
                    <m:r>
                      <w:rPr>
                        <w:rFonts w:ascii="Cambria Math"/>
                        <w:color w:val="FF6600"/>
                      </w:rPr>
                      <m:t>=</m:t>
                    </m:r>
                    <m:f>
                      <m:fPr>
                        <m:ctrlPr>
                          <w:rPr>
                            <w:rFonts w:ascii="Cambria Math" w:hAnsi="Cambria Math"/>
                            <w:i/>
                            <w:color w:val="FF6600"/>
                          </w:rPr>
                        </m:ctrlPr>
                      </m:fPr>
                      <m:num>
                        <m:r>
                          <w:rPr>
                            <w:rFonts w:ascii="Cambria Math" w:hAnsi="Cambria Math"/>
                            <w:color w:val="FF6600"/>
                          </w:rPr>
                          <m:t>-</m:t>
                        </m:r>
                        <m:r>
                          <m:rPr>
                            <m:nor/>
                          </m:rPr>
                          <w:rPr>
                            <w:i/>
                            <w:color w:val="FF6600"/>
                          </w:rPr>
                          <m:t>1</m:t>
                        </m:r>
                      </m:num>
                      <m:den>
                        <m:r>
                          <m:rPr>
                            <m:nor/>
                          </m:rPr>
                          <w:rPr>
                            <w:i/>
                            <w:color w:val="FF6600"/>
                            <w:lang w:val="en-US"/>
                          </w:rPr>
                          <m:t>β</m:t>
                        </m:r>
                      </m:den>
                    </m:f>
                    <m:r>
                      <w:rPr>
                        <w:rFonts w:ascii="Cambria Math" w:hAnsi="Cambria Math"/>
                        <w:color w:val="FF6600"/>
                      </w:rPr>
                      <m:t>∙</m:t>
                    </m:r>
                    <m:limLow>
                      <m:limLowPr>
                        <m:ctrlPr>
                          <w:rPr>
                            <w:rFonts w:ascii="Cambria Math" w:hAnsi="Cambria Math"/>
                            <w:i/>
                            <w:color w:val="FF6600"/>
                          </w:rPr>
                        </m:ctrlPr>
                      </m:limLowPr>
                      <m:e>
                        <m:groupChr>
                          <m:groupChrPr>
                            <m:ctrlPr>
                              <w:rPr>
                                <w:rFonts w:ascii="Cambria Math" w:hAnsi="Cambria Math"/>
                                <w:i/>
                                <w:color w:val="FF6600"/>
                              </w:rPr>
                            </m:ctrlPr>
                          </m:groupChrPr>
                          <m:e>
                            <m:d>
                              <m:dPr>
                                <m:ctrlPr>
                                  <w:rPr>
                                    <w:rFonts w:ascii="Cambria Math" w:hAnsi="Cambria Math"/>
                                    <w:i/>
                                    <w:iCs/>
                                    <w:color w:val="FF6600"/>
                                    <w:lang w:val="en-US"/>
                                  </w:rPr>
                                </m:ctrlPr>
                              </m:dPr>
                              <m:e>
                                <m:r>
                                  <m:rPr>
                                    <m:nor/>
                                  </m:rPr>
                                  <w:rPr>
                                    <w:i/>
                                    <w:iCs/>
                                    <w:color w:val="FF6600"/>
                                  </w:rPr>
                                  <m:t>x</m:t>
                                </m:r>
                                <m:r>
                                  <w:rPr>
                                    <w:rFonts w:ascii="Cambria Math" w:hAnsi="Cambria Math"/>
                                    <w:color w:val="FF6600"/>
                                  </w:rPr>
                                  <m:t>∙</m:t>
                                </m:r>
                                <m:r>
                                  <m:rPr>
                                    <m:nor/>
                                  </m:rPr>
                                  <w:rPr>
                                    <w:i/>
                                    <w:iCs/>
                                    <w:color w:val="FF6600"/>
                                  </w:rPr>
                                  <m:t>Y*</m:t>
                                </m:r>
                                <m:r>
                                  <w:rPr>
                                    <w:rFonts w:ascii="Cambria Math" w:hAnsi="Cambria Math"/>
                                    <w:color w:val="FF6600"/>
                                  </w:rPr>
                                  <m:t>-</m:t>
                                </m:r>
                                <m:r>
                                  <m:rPr>
                                    <m:nor/>
                                  </m:rPr>
                                  <w:rPr>
                                    <w:i/>
                                    <w:iCs/>
                                    <w:color w:val="FF6600"/>
                                  </w:rPr>
                                  <m:t>m</m:t>
                                </m:r>
                                <m:r>
                                  <w:rPr>
                                    <w:rFonts w:ascii="Cambria Math" w:hAnsi="Cambria Math"/>
                                    <w:color w:val="FF6600"/>
                                  </w:rPr>
                                  <m:t>∙</m:t>
                                </m:r>
                                <m:r>
                                  <m:rPr>
                                    <m:nor/>
                                  </m:rPr>
                                  <w:rPr>
                                    <w:i/>
                                    <w:iCs/>
                                    <w:color w:val="FF6600"/>
                                  </w:rPr>
                                  <m:t>Y</m:t>
                                </m:r>
                                <m:r>
                                  <w:rPr>
                                    <w:rFonts w:ascii="Cambria Math" w:hAnsi="Cambria Math"/>
                                    <w:color w:val="FF6600"/>
                                  </w:rPr>
                                  <m:t>+</m:t>
                                </m:r>
                                <m:r>
                                  <m:rPr>
                                    <m:nor/>
                                  </m:rPr>
                                  <w:rPr>
                                    <w:i/>
                                    <w:iCs/>
                                    <w:color w:val="FF6600"/>
                                  </w:rPr>
                                  <m:t>ϕ</m:t>
                                </m:r>
                                <m:r>
                                  <w:rPr>
                                    <w:rFonts w:ascii="Cambria Math" w:hAnsi="Cambria Math"/>
                                    <w:color w:val="FF6600"/>
                                  </w:rPr>
                                  <m:t>∙</m:t>
                                </m:r>
                                <m:r>
                                  <m:rPr>
                                    <m:nor/>
                                  </m:rPr>
                                  <w:rPr>
                                    <w:i/>
                                    <w:color w:val="FF6600"/>
                                  </w:rPr>
                                  <m:t>ϰ</m:t>
                                </m:r>
                              </m:e>
                            </m:d>
                          </m:e>
                        </m:groupChr>
                      </m:e>
                      <m:lim>
                        <m:r>
                          <m:rPr>
                            <m:nor/>
                          </m:rPr>
                          <w:rPr>
                            <w:i/>
                            <w:iCs/>
                            <w:color w:val="FF6600"/>
                          </w:rPr>
                          <m:t>XN</m:t>
                        </m:r>
                        <m:r>
                          <w:rPr>
                            <w:rFonts w:ascii="Cambria Math" w:hAnsi="Cambria Math"/>
                            <w:color w:val="FF6600"/>
                          </w:rPr>
                          <m:t>=</m:t>
                        </m:r>
                        <m:r>
                          <m:rPr>
                            <m:nor/>
                          </m:rPr>
                          <w:rPr>
                            <w:i/>
                            <w:iCs/>
                            <w:color w:val="FF6600"/>
                          </w:rPr>
                          <m:t>CC</m:t>
                        </m:r>
                      </m:lim>
                    </m:limLow>
                    <m:r>
                      <w:rPr>
                        <w:rFonts w:ascii="Cambria Math"/>
                        <w:color w:val="FF6600"/>
                      </w:rPr>
                      <m:t>+</m:t>
                    </m:r>
                    <m:r>
                      <m:rPr>
                        <m:nor/>
                      </m:rPr>
                      <w:rPr>
                        <w:i/>
                        <w:iCs/>
                        <w:color w:val="FF6600"/>
                      </w:rPr>
                      <m:t>i*</m:t>
                    </m:r>
                  </m:e>
                </m:borderBox>
              </m:e>
            </m:mr>
          </m:m>
        </m:oMath>
      </m:oMathPara>
    </w:p>
    <w:p w14:paraId="55BD4AEA" w14:textId="77777777" w:rsidR="007E2D63" w:rsidRDefault="007E2D63" w:rsidP="007E2D63">
      <w:pPr>
        <w:pStyle w:val="Nivel3SM"/>
        <w:keepNext/>
        <w:ind w:left="964"/>
      </w:pPr>
      <w:r>
        <w:t>Para hallar la pendiente de la curva </w:t>
      </w:r>
      <w:r w:rsidRPr="003509D3">
        <w:rPr>
          <w:i/>
          <w:iCs/>
        </w:rPr>
        <w:t>BP</w:t>
      </w:r>
      <w:r>
        <w:t>, bastaría con calcular la derivada parcial respecto a la renta doméstica, de modo que:</w:t>
      </w:r>
    </w:p>
    <w:p w14:paraId="59EFD876" w14:textId="77777777" w:rsidR="007E2D63" w:rsidRPr="00887161" w:rsidRDefault="00000000" w:rsidP="007E2D63">
      <w:pPr>
        <w:pStyle w:val="Nivel3SM"/>
        <w:keepNext/>
        <w:numPr>
          <w:ilvl w:val="0"/>
          <w:numId w:val="0"/>
        </w:numPr>
        <w:ind w:left="964"/>
        <w:rPr>
          <w:i/>
        </w:rPr>
      </w:pPr>
      <m:oMathPara>
        <m:oMath>
          <m:f>
            <m:fPr>
              <m:ctrlPr>
                <w:rPr>
                  <w:rFonts w:ascii="Cambria Math" w:hAnsi="Cambria Math"/>
                  <w:i/>
                </w:rPr>
              </m:ctrlPr>
            </m:fPr>
            <m:num>
              <m:r>
                <m:rPr>
                  <m:nor/>
                </m:rPr>
                <w:rPr>
                  <w:i/>
                </w:rPr>
                <m:t>∂</m:t>
              </m:r>
              <m:r>
                <m:rPr>
                  <m:nor/>
                </m:rPr>
                <w:rPr>
                  <w:i/>
                  <w:iCs/>
                </w:rPr>
                <m:t>i</m:t>
              </m:r>
            </m:num>
            <m:den>
              <m:r>
                <m:rPr>
                  <m:nor/>
                </m:rPr>
                <w:rPr>
                  <w:i/>
                </w:rPr>
                <m:t>∂</m:t>
              </m:r>
              <m:r>
                <m:rPr>
                  <m:nor/>
                </m:rPr>
                <w:rPr>
                  <w:i/>
                  <w:iCs/>
                </w:rPr>
                <m:t>Y</m:t>
              </m:r>
            </m:den>
          </m:f>
          <m:r>
            <w:rPr>
              <w:rFonts w:ascii="Cambria Math" w:hAnsi="Cambria Math"/>
            </w:rPr>
            <m:t>=</m:t>
          </m:r>
          <m:f>
            <m:fPr>
              <m:ctrlPr>
                <w:rPr>
                  <w:rFonts w:ascii="Cambria Math" w:hAnsi="Cambria Math"/>
                  <w:i/>
                </w:rPr>
              </m:ctrlPr>
            </m:fPr>
            <m:num>
              <m:r>
                <m:rPr>
                  <m:nor/>
                </m:rPr>
                <w:rPr>
                  <w:i/>
                </w:rPr>
                <m:t>m</m:t>
              </m:r>
            </m:num>
            <m:den>
              <m:r>
                <m:rPr>
                  <m:nor/>
                </m:rPr>
                <w:rPr>
                  <w:i/>
                  <w:lang w:val="en-US"/>
                </w:rPr>
                <m:t>β</m:t>
              </m:r>
            </m:den>
          </m:f>
        </m:oMath>
      </m:oMathPara>
    </w:p>
    <w:p w14:paraId="614FFE75" w14:textId="77777777" w:rsidR="007E2D63" w:rsidRPr="00887161" w:rsidRDefault="007E2D63" w:rsidP="007E2D63">
      <w:pPr>
        <w:pStyle w:val="Nivel4"/>
        <w:keepNext/>
        <w:ind w:left="1474"/>
        <w:rPr>
          <w:spacing w:val="-1"/>
        </w:rPr>
      </w:pPr>
      <w:r w:rsidRPr="00887161">
        <w:rPr>
          <w:spacing w:val="-1"/>
        </w:rPr>
        <w:t xml:space="preserve">Por lo tanto, la pendiente va a depender especialmente del </w:t>
      </w:r>
      <w:r w:rsidRPr="00887161">
        <w:rPr>
          <w:i/>
          <w:iCs/>
          <w:spacing w:val="-1"/>
        </w:rPr>
        <w:t>grado de movilidad del capital</w:t>
      </w:r>
      <w:r w:rsidRPr="00887161">
        <w:rPr>
          <w:spacing w:val="-1"/>
        </w:rPr>
        <w:t>:</w:t>
      </w:r>
    </w:p>
    <w:p w14:paraId="54E1B54E" w14:textId="77777777" w:rsidR="007E2D63" w:rsidRPr="0090605C" w:rsidRDefault="007E2D63" w:rsidP="007E2D63">
      <w:pPr>
        <w:pStyle w:val="Nivel5"/>
        <w:ind w:left="1871"/>
        <w:rPr>
          <w:spacing w:val="-1"/>
        </w:rPr>
      </w:pPr>
      <w:r w:rsidRPr="0090605C">
        <w:rPr>
          <w:i/>
          <w:iCs/>
          <w:spacing w:val="-1"/>
        </w:rPr>
        <w:t>Si existe movilidad perfecta de capital</w:t>
      </w:r>
      <w:r w:rsidRPr="0090605C">
        <w:rPr>
          <w:spacing w:val="-1"/>
        </w:rPr>
        <w:t xml:space="preserve">, </w:t>
      </w:r>
      <m:oMath>
        <m:r>
          <m:rPr>
            <m:nor/>
          </m:rPr>
          <w:rPr>
            <w:i/>
            <w:spacing w:val="-1"/>
            <w:lang w:val="en-US"/>
          </w:rPr>
          <m:t>β</m:t>
        </m:r>
        <m:r>
          <w:rPr>
            <w:rFonts w:ascii="Cambria Math" w:eastAsiaTheme="minorEastAsia" w:hAnsi="Cambria Math"/>
            <w:spacing w:val="-1"/>
          </w:rPr>
          <m:t>=+∞</m:t>
        </m:r>
      </m:oMath>
      <w:r w:rsidRPr="0090605C">
        <w:rPr>
          <w:rFonts w:eastAsiaTheme="minorEastAsia"/>
          <w:spacing w:val="-1"/>
        </w:rPr>
        <w:t>, la curva </w:t>
      </w:r>
      <w:r w:rsidRPr="0090605C">
        <w:rPr>
          <w:rFonts w:eastAsiaTheme="minorEastAsia"/>
          <w:i/>
          <w:iCs/>
          <w:spacing w:val="-1"/>
        </w:rPr>
        <w:t>BP</w:t>
      </w:r>
      <w:r w:rsidRPr="0090605C">
        <w:rPr>
          <w:rFonts w:eastAsiaTheme="minorEastAsia"/>
          <w:spacing w:val="-1"/>
        </w:rPr>
        <w:t xml:space="preserve"> será totalmente horizontal (i.e. pendiente nula). En este caso, debe cumplirse que </w:t>
      </w:r>
      <m:oMath>
        <m:r>
          <m:rPr>
            <m:nor/>
          </m:rPr>
          <w:rPr>
            <w:i/>
            <w:iCs/>
            <w:spacing w:val="-1"/>
          </w:rPr>
          <m:t>i</m:t>
        </m:r>
        <m:r>
          <w:rPr>
            <w:rFonts w:ascii="Cambria Math" w:hAnsi="Cambria Math"/>
            <w:spacing w:val="-1"/>
          </w:rPr>
          <m:t>=</m:t>
        </m:r>
        <m:r>
          <m:rPr>
            <m:nor/>
          </m:rPr>
          <w:rPr>
            <w:i/>
            <w:iCs/>
            <w:spacing w:val="-1"/>
          </w:rPr>
          <m:t>i*</m:t>
        </m:r>
      </m:oMath>
      <w:r w:rsidRPr="0090605C">
        <w:rPr>
          <w:rFonts w:eastAsiaTheme="minorEastAsia"/>
          <w:iCs/>
          <w:spacing w:val="-1"/>
        </w:rPr>
        <w:t xml:space="preserve">, ya que si </w:t>
      </w:r>
      <m:oMath>
        <m:r>
          <m:rPr>
            <m:nor/>
          </m:rPr>
          <w:rPr>
            <w:i/>
            <w:iCs/>
            <w:spacing w:val="-1"/>
          </w:rPr>
          <m:t>i</m:t>
        </m:r>
      </m:oMath>
      <w:r w:rsidRPr="0090605C">
        <w:rPr>
          <w:rFonts w:eastAsiaTheme="minorEastAsia"/>
          <w:iCs/>
          <w:spacing w:val="-1"/>
        </w:rPr>
        <w:t xml:space="preserve"> fuese ligeramente mayor, se produciría una entrada masiva de capitales, y si fuera ligeramente menor, se produciría una salida masiva de capitales.</w:t>
      </w:r>
    </w:p>
    <w:p w14:paraId="71F55344" w14:textId="77777777" w:rsidR="007E2D63" w:rsidRPr="003509D3" w:rsidRDefault="007E2D63" w:rsidP="007E2D63">
      <w:pPr>
        <w:pStyle w:val="Nivel5"/>
        <w:ind w:left="1871"/>
      </w:pPr>
      <w:r w:rsidRPr="003509D3">
        <w:rPr>
          <w:i/>
          <w:iCs/>
        </w:rPr>
        <w:lastRenderedPageBreak/>
        <w:t>Si existe movilidad perfecta de capital</w:t>
      </w:r>
      <w:r>
        <w:t xml:space="preserve">, </w:t>
      </w:r>
      <m:oMath>
        <m:r>
          <m:rPr>
            <m:nor/>
          </m:rPr>
          <w:rPr>
            <w:i/>
            <w:lang w:val="en-US"/>
          </w:rPr>
          <m:t>β</m:t>
        </m:r>
        <m:r>
          <w:rPr>
            <w:rFonts w:ascii="Cambria Math" w:eastAsiaTheme="minorEastAsia" w:hAnsi="Cambria Math"/>
          </w:rPr>
          <m:t>=</m:t>
        </m:r>
        <m:r>
          <m:rPr>
            <m:nor/>
          </m:rPr>
          <w:rPr>
            <w:i/>
          </w:rPr>
          <m:t>0</m:t>
        </m:r>
      </m:oMath>
      <w:r>
        <w:rPr>
          <w:rFonts w:eastAsiaTheme="minorEastAsia"/>
        </w:rPr>
        <w:t>, la curva </w:t>
      </w:r>
      <w:r w:rsidRPr="003509D3">
        <w:rPr>
          <w:rFonts w:eastAsiaTheme="minorEastAsia"/>
          <w:i/>
          <w:iCs/>
        </w:rPr>
        <w:t>BP</w:t>
      </w:r>
      <w:r>
        <w:rPr>
          <w:rFonts w:eastAsiaTheme="minorEastAsia"/>
        </w:rPr>
        <w:t xml:space="preserve"> será totalmente vertical (i.e. pendiente infinita). En este caso, la balanza de pagos depende exclusivamente de la balanza comercial</w:t>
      </w:r>
      <w:r>
        <w:rPr>
          <w:rFonts w:eastAsiaTheme="minorEastAsia"/>
          <w:iCs/>
        </w:rPr>
        <w:t>.</w:t>
      </w:r>
    </w:p>
    <w:p w14:paraId="6B88410D" w14:textId="77777777" w:rsidR="007E2D63" w:rsidRPr="003509D3" w:rsidRDefault="007E2D63" w:rsidP="007E2D63">
      <w:pPr>
        <w:pStyle w:val="Nivel5"/>
        <w:keepNext/>
        <w:ind w:left="1871"/>
      </w:pPr>
      <w:r w:rsidRPr="003509D3">
        <w:rPr>
          <w:i/>
          <w:iCs/>
        </w:rPr>
        <w:t xml:space="preserve">Si existe movilidad </w:t>
      </w:r>
      <w:r>
        <w:rPr>
          <w:i/>
          <w:iCs/>
        </w:rPr>
        <w:t>im</w:t>
      </w:r>
      <w:r w:rsidRPr="003509D3">
        <w:rPr>
          <w:i/>
          <w:iCs/>
        </w:rPr>
        <w:t>perfecta de capital</w:t>
      </w:r>
      <w:r>
        <w:t>,</w:t>
      </w:r>
      <m:oMath>
        <m:r>
          <w:rPr>
            <w:rFonts w:ascii="Cambria Math" w:hAnsi="Cambria Math"/>
          </w:rPr>
          <m:t xml:space="preserve"> </m:t>
        </m:r>
        <m:r>
          <m:rPr>
            <m:nor/>
          </m:rPr>
          <w:rPr>
            <w:i/>
            <w:lang w:val="en-US"/>
          </w:rPr>
          <m:t>β</m:t>
        </m:r>
        <m:r>
          <w:rPr>
            <w:rFonts w:ascii="Cambria Math" w:eastAsiaTheme="minorEastAsia" w:hAnsi="Cambria Math"/>
          </w:rPr>
          <m:t>∈</m:t>
        </m:r>
        <m:d>
          <m:dPr>
            <m:ctrlPr>
              <w:rPr>
                <w:rFonts w:ascii="Cambria Math" w:eastAsiaTheme="minorEastAsia" w:hAnsi="Cambria Math"/>
                <w:i/>
              </w:rPr>
            </m:ctrlPr>
          </m:dPr>
          <m:e>
            <m:r>
              <m:rPr>
                <m:nor/>
              </m:rPr>
              <w:rPr>
                <w:i/>
              </w:rPr>
              <m:t>0,</m:t>
            </m:r>
            <m:r>
              <w:rPr>
                <w:rFonts w:ascii="Cambria Math" w:eastAsiaTheme="minorEastAsia" w:hAnsi="Cambria Math"/>
              </w:rPr>
              <m:t>+∞</m:t>
            </m:r>
          </m:e>
        </m:d>
      </m:oMath>
      <w:r>
        <w:rPr>
          <w:rFonts w:eastAsiaTheme="minorEastAsia"/>
        </w:rPr>
        <w:t>, la curva </w:t>
      </w:r>
      <w:r w:rsidRPr="003509D3">
        <w:rPr>
          <w:rFonts w:eastAsiaTheme="minorEastAsia"/>
          <w:i/>
          <w:iCs/>
        </w:rPr>
        <w:t>BP</w:t>
      </w:r>
      <w:r>
        <w:rPr>
          <w:rFonts w:eastAsiaTheme="minorEastAsia"/>
        </w:rPr>
        <w:t xml:space="preserve"> tendrá pendiente positiva.</w:t>
      </w:r>
    </w:p>
    <w:p w14:paraId="6534788C" w14:textId="77777777" w:rsidR="007E2D63" w:rsidRDefault="007E2D63" w:rsidP="007E2D63">
      <w:pPr>
        <w:pStyle w:val="Nivel6"/>
      </w:pPr>
      <w:r>
        <w:t xml:space="preserve">Diremos que existe un alto grado de movilidad del capital cuando la </w:t>
      </w:r>
      <w:r>
        <w:rPr>
          <w:i/>
          <w:iCs/>
        </w:rPr>
        <w:t>BP</w:t>
      </w:r>
      <w:r>
        <w:t xml:space="preserve"> sea menos inclinada que la </w:t>
      </w:r>
      <w:r>
        <w:rPr>
          <w:i/>
          <w:iCs/>
        </w:rPr>
        <w:t>LM</w:t>
      </w:r>
      <w:r>
        <w:t xml:space="preserve">, y que existe un bajo nivel de movilidad del capital cuando la </w:t>
      </w:r>
      <w:r>
        <w:rPr>
          <w:i/>
          <w:iCs/>
        </w:rPr>
        <w:t>BP</w:t>
      </w:r>
      <w:r>
        <w:t xml:space="preserve"> sea </w:t>
      </w:r>
      <w:r>
        <w:rPr>
          <w:i/>
          <w:iCs/>
        </w:rPr>
        <w:t>más</w:t>
      </w:r>
      <w:r w:rsidRPr="003509D3">
        <w:t xml:space="preserve"> inclinada</w:t>
      </w:r>
      <w:r>
        <w:t xml:space="preserve"> que la </w:t>
      </w:r>
      <w:r>
        <w:rPr>
          <w:i/>
          <w:iCs/>
        </w:rPr>
        <w:t>LM</w:t>
      </w:r>
      <w:r>
        <w:t>.</w:t>
      </w:r>
    </w:p>
    <w:p w14:paraId="29017132" w14:textId="77777777" w:rsidR="007E2D63" w:rsidRPr="00F41111" w:rsidRDefault="007E2D63" w:rsidP="007E2D63">
      <w:pPr>
        <w:pStyle w:val="Nivel6"/>
        <w:spacing w:after="100"/>
        <w:rPr>
          <w:spacing w:val="-1"/>
        </w:rPr>
      </w:pPr>
      <w:r w:rsidRPr="00F41111">
        <w:rPr>
          <w:spacing w:val="-1"/>
        </w:rPr>
        <w:t>Que la curva </w:t>
      </w:r>
      <w:r w:rsidRPr="00F41111">
        <w:rPr>
          <w:i/>
          <w:iCs/>
          <w:spacing w:val="-1"/>
        </w:rPr>
        <w:t>BP</w:t>
      </w:r>
      <w:r w:rsidRPr="00F41111">
        <w:rPr>
          <w:spacing w:val="-1"/>
        </w:rPr>
        <w:t xml:space="preserve"> sea creciente se debe a que, partiendo de un punto de equilibrio en la balanza de pagos, un aumento del nivel de renta hará crecer las importaciones y, por tanto, empeorará el saldo de la balanza comercial, por lo que, para recuperar el equilibrio de la balanza de pagos, se necesitaría un aumento del tipo de interés que provocara una entrada de capitales.</w:t>
      </w:r>
    </w:p>
    <w:p w14:paraId="376058F1" w14:textId="1CB559B8" w:rsidR="007E2D63" w:rsidRDefault="007E2D63" w:rsidP="007E2D63">
      <w:pPr>
        <w:pStyle w:val="Ttuloimagen"/>
        <w:rPr>
          <w:i/>
          <w:iCs/>
          <w:smallCaps w:val="0"/>
          <w:lang w:val="en-US"/>
        </w:rPr>
      </w:pPr>
      <w:r>
        <w:rPr>
          <w:lang w:val="en-US"/>
        </w:rPr>
        <w:t>Imagen </w:t>
      </w:r>
      <w:r>
        <w:rPr>
          <w:lang w:val="en-US"/>
        </w:rPr>
        <w:fldChar w:fldCharType="begin"/>
      </w:r>
      <w:r>
        <w:rPr>
          <w:lang w:val="en-US"/>
        </w:rPr>
        <w:instrText xml:space="preserve"> SEQ Ilustración \* ARABIC </w:instrText>
      </w:r>
      <w:r>
        <w:rPr>
          <w:lang w:val="en-US"/>
        </w:rPr>
        <w:fldChar w:fldCharType="separate"/>
      </w:r>
      <w:r w:rsidR="001B0506">
        <w:rPr>
          <w:lang w:val="en-US"/>
        </w:rPr>
        <w:t>4</w:t>
      </w:r>
      <w:r>
        <w:rPr>
          <w:lang w:val="en-US"/>
        </w:rPr>
        <w:fldChar w:fldCharType="end"/>
      </w:r>
      <w:r>
        <w:rPr>
          <w:smallCaps w:val="0"/>
          <w:lang w:val="en-US"/>
        </w:rPr>
        <w:t xml:space="preserve">.– </w:t>
      </w:r>
      <w:r>
        <w:rPr>
          <w:i/>
          <w:iCs/>
          <w:smallCaps w:val="0"/>
          <w:lang w:val="en-US"/>
        </w:rPr>
        <w:t>Modelo Mundell-Fleming (IS-LM-BP)</w:t>
      </w:r>
    </w:p>
    <w:p w14:paraId="0640DDDC" w14:textId="77777777" w:rsidR="007E2D63" w:rsidRDefault="007E2D63" w:rsidP="007E2D63">
      <w:pPr>
        <w:pStyle w:val="Imagen"/>
        <w:rPr>
          <w:lang w:val="en-US"/>
        </w:rPr>
      </w:pPr>
      <w:r>
        <w:rPr>
          <w:lang w:val="en-US"/>
        </w:rPr>
        <w:drawing>
          <wp:inline distT="0" distB="0" distL="0" distR="0" wp14:anchorId="1B9FC0D6" wp14:editId="5AB59972">
            <wp:extent cx="3200000" cy="1800000"/>
            <wp:effectExtent l="0" t="0" r="635" b="0"/>
            <wp:docPr id="53" name="Imagen 53"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53" descr="Gráfico, Gráfico radial&#10;&#10;Descripción generada automáticamente"/>
                    <pic:cNvPicPr/>
                  </pic:nvPicPr>
                  <pic:blipFill>
                    <a:blip r:embed="rId22"/>
                    <a:stretch>
                      <a:fillRect/>
                    </a:stretch>
                  </pic:blipFill>
                  <pic:spPr>
                    <a:xfrm>
                      <a:off x="0" y="0"/>
                      <a:ext cx="3200000" cy="1800000"/>
                    </a:xfrm>
                    <a:prstGeom prst="rect">
                      <a:avLst/>
                    </a:prstGeom>
                  </pic:spPr>
                </pic:pic>
              </a:graphicData>
            </a:graphic>
          </wp:inline>
        </w:drawing>
      </w:r>
    </w:p>
    <w:p w14:paraId="018BFF44" w14:textId="77777777" w:rsidR="007E2D63" w:rsidRPr="003633B4" w:rsidRDefault="007E2D63" w:rsidP="007E2D63">
      <w:pPr>
        <w:pStyle w:val="PiedeImagen"/>
        <w:rPr>
          <w:i w:val="0"/>
          <w:iCs/>
        </w:rPr>
      </w:pPr>
      <w:r w:rsidRPr="003633B4">
        <w:t>Fuente</w:t>
      </w:r>
      <w:r w:rsidRPr="003633B4">
        <w:rPr>
          <w:i w:val="0"/>
          <w:iCs/>
        </w:rPr>
        <w:t>: Elaboración propia</w:t>
      </w:r>
    </w:p>
    <w:p w14:paraId="72CC8BF9" w14:textId="77777777" w:rsidR="007E2D63" w:rsidRDefault="007E2D63" w:rsidP="007E2D63">
      <w:pPr>
        <w:pStyle w:val="Nivel1SM"/>
        <w:keepNext/>
        <w:spacing w:after="0"/>
      </w:pPr>
      <w:r>
        <w:t xml:space="preserve">En este modelo, la </w:t>
      </w:r>
      <w:r>
        <w:rPr>
          <w:i/>
          <w:iCs/>
          <w:u w:val="single"/>
        </w:rPr>
        <w:t>demanda agregada</w:t>
      </w:r>
      <w:r>
        <w:t xml:space="preserve"> (determinada por las curvas </w:t>
      </w:r>
      <w:r>
        <w:rPr>
          <w:i/>
          <w:iCs/>
        </w:rPr>
        <w:t>IS</w:t>
      </w:r>
      <w:r>
        <w:t xml:space="preserve">, </w:t>
      </w:r>
      <w:r>
        <w:rPr>
          <w:i/>
          <w:iCs/>
        </w:rPr>
        <w:t>LM</w:t>
      </w:r>
      <w:r>
        <w:t xml:space="preserve"> y </w:t>
      </w:r>
      <w:r>
        <w:rPr>
          <w:i/>
          <w:iCs/>
        </w:rPr>
        <w:t>BP</w:t>
      </w:r>
      <w:r>
        <w:t xml:space="preserve">) </w:t>
      </w:r>
      <w:r w:rsidRPr="00700412">
        <w:rPr>
          <w:i/>
          <w:iCs/>
          <w:u w:val="single"/>
        </w:rPr>
        <w:t xml:space="preserve">determina la </w:t>
      </w:r>
      <w:r>
        <w:rPr>
          <w:i/>
          <w:iCs/>
          <w:u w:val="single"/>
        </w:rPr>
        <w:t>renta</w:t>
      </w:r>
      <w:r>
        <w:t xml:space="preserve">, mientras que los </w:t>
      </w:r>
      <w:r w:rsidRPr="00700412">
        <w:rPr>
          <w:i/>
          <w:iCs/>
          <w:u w:val="single"/>
        </w:rPr>
        <w:t>precios son fijos</w:t>
      </w:r>
      <w:r>
        <w:t xml:space="preserve"> (vienen dados por una </w:t>
      </w:r>
      <w:r>
        <w:rPr>
          <w:i/>
          <w:iCs/>
          <w:u w:val="single"/>
        </w:rPr>
        <w:t>oferta agregada</w:t>
      </w:r>
      <w:r>
        <w:t xml:space="preserve"> que es totalmente horizontal).</w:t>
      </w:r>
    </w:p>
    <w:p w14:paraId="2C22B91C" w14:textId="77777777" w:rsidR="007E2D63" w:rsidRDefault="007E2D63" w:rsidP="007E2D63">
      <w:pPr>
        <w:pStyle w:val="Nivel2SM"/>
      </w:pPr>
      <w:r>
        <w:t xml:space="preserve">El equilibrio en el modelo Mundell-Fleming se da cuando hay equilibrio en todos los mercados, esto es, cuando se cortan sus curvas </w:t>
      </w:r>
      <w:r>
        <w:rPr>
          <w:i/>
          <w:iCs/>
        </w:rPr>
        <w:t>IS</w:t>
      </w:r>
      <w:r>
        <w:t xml:space="preserve"> (mercado de bienes), </w:t>
      </w:r>
      <w:r>
        <w:rPr>
          <w:i/>
          <w:iCs/>
        </w:rPr>
        <w:t>LM</w:t>
      </w:r>
      <w:r>
        <w:t xml:space="preserve"> (mercado de activos financieros –dinero y bonos–) y </w:t>
      </w:r>
      <w:r>
        <w:rPr>
          <w:i/>
          <w:iCs/>
        </w:rPr>
        <w:t>BP</w:t>
      </w:r>
      <w:r>
        <w:t>.</w:t>
      </w:r>
    </w:p>
    <w:p w14:paraId="4B242A88" w14:textId="77777777" w:rsidR="007E2D63" w:rsidRDefault="007E2D63" w:rsidP="007E2D63">
      <w:pPr>
        <w:pStyle w:val="Nivel1SM"/>
        <w:keepNext/>
        <w:spacing w:after="0"/>
      </w:pPr>
      <w:r>
        <w:t>Por lo tanto, en este contexto</w:t>
      </w:r>
      <w:r w:rsidRPr="00DA1842">
        <w:t xml:space="preserve">, además de </w:t>
      </w:r>
      <w:r>
        <w:t xml:space="preserve">los factores que determinan el multiplicador del gasto público (que ahora incluye </w:t>
      </w:r>
      <w:r w:rsidRPr="00DA1842">
        <w:t>la propensión marginal a importar</w:t>
      </w:r>
      <w:r>
        <w:t>)</w:t>
      </w:r>
      <w:r w:rsidRPr="00DA1842">
        <w:t>, la efectividad de la política fiscal va a depender del régimen de tipo de cambio y del grado de movilidad internacional de capitales</w:t>
      </w:r>
      <w:r>
        <w:t>:</w:t>
      </w:r>
    </w:p>
    <w:tbl>
      <w:tblPr>
        <w:tblStyle w:val="Tablaconcuadrcula"/>
        <w:tblW w:w="0" w:type="auto"/>
        <w:jc w:val="center"/>
        <w:tblLook w:val="04A0" w:firstRow="1" w:lastRow="0" w:firstColumn="1" w:lastColumn="0" w:noHBand="0" w:noVBand="1"/>
      </w:tblPr>
      <w:tblGrid>
        <w:gridCol w:w="1774"/>
        <w:gridCol w:w="1821"/>
        <w:gridCol w:w="1822"/>
        <w:gridCol w:w="1822"/>
        <w:gridCol w:w="1822"/>
      </w:tblGrid>
      <w:tr w:rsidR="007E2D63" w14:paraId="7CB7DBD3" w14:textId="77777777" w:rsidTr="00505133">
        <w:trPr>
          <w:tblHeader/>
          <w:jc w:val="center"/>
        </w:trPr>
        <w:tc>
          <w:tcPr>
            <w:tcW w:w="1774" w:type="dxa"/>
            <w:tcBorders>
              <w:top w:val="nil"/>
              <w:left w:val="nil"/>
              <w:bottom w:val="nil"/>
              <w:right w:val="nil"/>
            </w:tcBorders>
            <w:vAlign w:val="center"/>
          </w:tcPr>
          <w:p w14:paraId="4580888F" w14:textId="77777777" w:rsidR="007E2D63" w:rsidRPr="007E2D63" w:rsidRDefault="007E2D63" w:rsidP="00505133">
            <w:pPr>
              <w:pStyle w:val="Nivel2"/>
              <w:keepNext/>
              <w:numPr>
                <w:ilvl w:val="0"/>
                <w:numId w:val="0"/>
              </w:numPr>
              <w:spacing w:after="0"/>
              <w:jc w:val="center"/>
              <w:rPr>
                <w:lang w:val="es-ES"/>
              </w:rPr>
            </w:pPr>
          </w:p>
        </w:tc>
        <w:tc>
          <w:tcPr>
            <w:tcW w:w="7287" w:type="dxa"/>
            <w:gridSpan w:val="4"/>
            <w:tcBorders>
              <w:top w:val="single" w:sz="12" w:space="0" w:color="auto"/>
              <w:left w:val="nil"/>
              <w:bottom w:val="single" w:sz="12" w:space="0" w:color="auto"/>
              <w:right w:val="nil"/>
            </w:tcBorders>
            <w:vAlign w:val="center"/>
          </w:tcPr>
          <w:p w14:paraId="6F03B807" w14:textId="77777777" w:rsidR="007E2D63" w:rsidRDefault="007E2D63" w:rsidP="00505133">
            <w:pPr>
              <w:pStyle w:val="Nivel2"/>
              <w:keepNext/>
              <w:numPr>
                <w:ilvl w:val="0"/>
                <w:numId w:val="0"/>
              </w:numPr>
              <w:spacing w:after="0"/>
              <w:jc w:val="center"/>
            </w:pPr>
            <w:r w:rsidRPr="00287EA4">
              <w:rPr>
                <w:i/>
                <w:iCs/>
                <w:u w:val="single"/>
              </w:rPr>
              <w:t>Política fiscal</w:t>
            </w:r>
          </w:p>
        </w:tc>
      </w:tr>
      <w:tr w:rsidR="007E2D63" w14:paraId="1EDA13E4" w14:textId="77777777" w:rsidTr="00505133">
        <w:trPr>
          <w:trHeight w:val="482"/>
          <w:tblHeader/>
          <w:jc w:val="center"/>
        </w:trPr>
        <w:tc>
          <w:tcPr>
            <w:tcW w:w="1774" w:type="dxa"/>
            <w:tcBorders>
              <w:top w:val="nil"/>
              <w:left w:val="nil"/>
              <w:bottom w:val="single" w:sz="12" w:space="0" w:color="auto"/>
              <w:right w:val="nil"/>
            </w:tcBorders>
            <w:vAlign w:val="center"/>
          </w:tcPr>
          <w:p w14:paraId="34793473" w14:textId="77777777" w:rsidR="007E2D63" w:rsidRPr="00287EA4" w:rsidRDefault="007E2D63" w:rsidP="00505133">
            <w:pPr>
              <w:pStyle w:val="Nivel2"/>
              <w:keepNext/>
              <w:numPr>
                <w:ilvl w:val="0"/>
                <w:numId w:val="0"/>
              </w:numPr>
              <w:spacing w:after="0"/>
              <w:jc w:val="center"/>
              <w:rPr>
                <w:sz w:val="19"/>
                <w:szCs w:val="19"/>
              </w:rPr>
            </w:pPr>
          </w:p>
        </w:tc>
        <w:tc>
          <w:tcPr>
            <w:tcW w:w="1821" w:type="dxa"/>
            <w:tcBorders>
              <w:top w:val="single" w:sz="12" w:space="0" w:color="auto"/>
              <w:left w:val="nil"/>
              <w:bottom w:val="single" w:sz="12" w:space="0" w:color="auto"/>
            </w:tcBorders>
            <w:vAlign w:val="center"/>
          </w:tcPr>
          <w:p w14:paraId="28DDF0ED" w14:textId="77777777" w:rsidR="007E2D63" w:rsidRPr="00287EA4" w:rsidRDefault="007E2D63" w:rsidP="00505133">
            <w:pPr>
              <w:pStyle w:val="Nivel2"/>
              <w:keepNext/>
              <w:numPr>
                <w:ilvl w:val="0"/>
                <w:numId w:val="0"/>
              </w:numPr>
              <w:spacing w:after="0"/>
              <w:jc w:val="center"/>
              <w:rPr>
                <w:i/>
                <w:iCs/>
                <w:sz w:val="19"/>
                <w:szCs w:val="19"/>
              </w:rPr>
            </w:pPr>
            <w:proofErr w:type="spellStart"/>
            <w:r w:rsidRPr="00287EA4">
              <w:rPr>
                <w:i/>
                <w:iCs/>
                <w:sz w:val="19"/>
                <w:szCs w:val="19"/>
              </w:rPr>
              <w:t>Movilidad</w:t>
            </w:r>
            <w:proofErr w:type="spellEnd"/>
            <w:r w:rsidRPr="00287EA4">
              <w:rPr>
                <w:i/>
                <w:iCs/>
                <w:sz w:val="19"/>
                <w:szCs w:val="19"/>
              </w:rPr>
              <w:t xml:space="preserve"> de </w:t>
            </w:r>
            <w:proofErr w:type="spellStart"/>
            <w:r w:rsidRPr="00287EA4">
              <w:rPr>
                <w:i/>
                <w:iCs/>
                <w:sz w:val="19"/>
                <w:szCs w:val="19"/>
              </w:rPr>
              <w:t>capitales</w:t>
            </w:r>
            <w:proofErr w:type="spellEnd"/>
            <w:r w:rsidRPr="00287EA4">
              <w:rPr>
                <w:i/>
                <w:iCs/>
                <w:sz w:val="19"/>
                <w:szCs w:val="19"/>
              </w:rPr>
              <w:t xml:space="preserve"> </w:t>
            </w:r>
            <w:proofErr w:type="spellStart"/>
            <w:r w:rsidRPr="00287EA4">
              <w:rPr>
                <w:i/>
                <w:iCs/>
                <w:sz w:val="19"/>
                <w:szCs w:val="19"/>
              </w:rPr>
              <w:t>infinita</w:t>
            </w:r>
            <w:proofErr w:type="spellEnd"/>
          </w:p>
        </w:tc>
        <w:tc>
          <w:tcPr>
            <w:tcW w:w="1822" w:type="dxa"/>
            <w:tcBorders>
              <w:top w:val="single" w:sz="12" w:space="0" w:color="auto"/>
              <w:bottom w:val="single" w:sz="12" w:space="0" w:color="auto"/>
            </w:tcBorders>
            <w:vAlign w:val="center"/>
          </w:tcPr>
          <w:p w14:paraId="65708312" w14:textId="77777777" w:rsidR="007E2D63" w:rsidRPr="00287EA4" w:rsidRDefault="007E2D63" w:rsidP="00505133">
            <w:pPr>
              <w:pStyle w:val="Nivel2"/>
              <w:keepNext/>
              <w:numPr>
                <w:ilvl w:val="0"/>
                <w:numId w:val="0"/>
              </w:numPr>
              <w:spacing w:after="0"/>
              <w:jc w:val="center"/>
              <w:rPr>
                <w:i/>
                <w:iCs/>
                <w:sz w:val="19"/>
                <w:szCs w:val="19"/>
              </w:rPr>
            </w:pPr>
            <w:proofErr w:type="spellStart"/>
            <w:r w:rsidRPr="00287EA4">
              <w:rPr>
                <w:i/>
                <w:iCs/>
                <w:sz w:val="19"/>
                <w:szCs w:val="19"/>
              </w:rPr>
              <w:t>Movilidad</w:t>
            </w:r>
            <w:proofErr w:type="spellEnd"/>
            <w:r w:rsidRPr="00287EA4">
              <w:rPr>
                <w:i/>
                <w:iCs/>
                <w:sz w:val="19"/>
                <w:szCs w:val="19"/>
              </w:rPr>
              <w:t xml:space="preserve"> de </w:t>
            </w:r>
            <w:proofErr w:type="spellStart"/>
            <w:r w:rsidRPr="00287EA4">
              <w:rPr>
                <w:i/>
                <w:iCs/>
                <w:sz w:val="19"/>
                <w:szCs w:val="19"/>
              </w:rPr>
              <w:t>capitales</w:t>
            </w:r>
            <w:proofErr w:type="spellEnd"/>
            <w:r w:rsidRPr="00287EA4">
              <w:rPr>
                <w:i/>
                <w:iCs/>
                <w:sz w:val="19"/>
                <w:szCs w:val="19"/>
              </w:rPr>
              <w:t xml:space="preserve"> </w:t>
            </w:r>
            <w:proofErr w:type="spellStart"/>
            <w:r w:rsidRPr="00287EA4">
              <w:rPr>
                <w:i/>
                <w:iCs/>
                <w:sz w:val="19"/>
                <w:szCs w:val="19"/>
              </w:rPr>
              <w:t>alta</w:t>
            </w:r>
            <w:proofErr w:type="spellEnd"/>
          </w:p>
        </w:tc>
        <w:tc>
          <w:tcPr>
            <w:tcW w:w="1822" w:type="dxa"/>
            <w:tcBorders>
              <w:top w:val="single" w:sz="12" w:space="0" w:color="auto"/>
              <w:bottom w:val="single" w:sz="12" w:space="0" w:color="auto"/>
            </w:tcBorders>
            <w:vAlign w:val="center"/>
          </w:tcPr>
          <w:p w14:paraId="2861349D" w14:textId="77777777" w:rsidR="007E2D63" w:rsidRPr="00287EA4" w:rsidRDefault="007E2D63" w:rsidP="00505133">
            <w:pPr>
              <w:pStyle w:val="Nivel2"/>
              <w:keepNext/>
              <w:numPr>
                <w:ilvl w:val="0"/>
                <w:numId w:val="0"/>
              </w:numPr>
              <w:spacing w:after="0"/>
              <w:jc w:val="center"/>
              <w:rPr>
                <w:i/>
                <w:iCs/>
                <w:sz w:val="19"/>
                <w:szCs w:val="19"/>
              </w:rPr>
            </w:pPr>
            <w:proofErr w:type="spellStart"/>
            <w:r w:rsidRPr="00287EA4">
              <w:rPr>
                <w:i/>
                <w:iCs/>
                <w:sz w:val="19"/>
                <w:szCs w:val="19"/>
              </w:rPr>
              <w:t>Movilidad</w:t>
            </w:r>
            <w:proofErr w:type="spellEnd"/>
            <w:r w:rsidRPr="00287EA4">
              <w:rPr>
                <w:i/>
                <w:iCs/>
                <w:sz w:val="19"/>
                <w:szCs w:val="19"/>
              </w:rPr>
              <w:t xml:space="preserve"> de </w:t>
            </w:r>
            <w:proofErr w:type="spellStart"/>
            <w:r w:rsidRPr="00287EA4">
              <w:rPr>
                <w:i/>
                <w:iCs/>
                <w:sz w:val="19"/>
                <w:szCs w:val="19"/>
              </w:rPr>
              <w:t>capitales</w:t>
            </w:r>
            <w:proofErr w:type="spellEnd"/>
            <w:r w:rsidRPr="00287EA4">
              <w:rPr>
                <w:i/>
                <w:iCs/>
                <w:sz w:val="19"/>
                <w:szCs w:val="19"/>
              </w:rPr>
              <w:t xml:space="preserve"> baja</w:t>
            </w:r>
          </w:p>
        </w:tc>
        <w:tc>
          <w:tcPr>
            <w:tcW w:w="1822" w:type="dxa"/>
            <w:tcBorders>
              <w:top w:val="single" w:sz="12" w:space="0" w:color="auto"/>
              <w:bottom w:val="single" w:sz="12" w:space="0" w:color="auto"/>
              <w:right w:val="nil"/>
            </w:tcBorders>
            <w:vAlign w:val="center"/>
          </w:tcPr>
          <w:p w14:paraId="342C342B" w14:textId="77777777" w:rsidR="007E2D63" w:rsidRPr="00287EA4" w:rsidRDefault="007E2D63" w:rsidP="00505133">
            <w:pPr>
              <w:pStyle w:val="Nivel2"/>
              <w:keepNext/>
              <w:numPr>
                <w:ilvl w:val="0"/>
                <w:numId w:val="0"/>
              </w:numPr>
              <w:spacing w:after="0"/>
              <w:jc w:val="center"/>
              <w:rPr>
                <w:i/>
                <w:iCs/>
                <w:sz w:val="19"/>
                <w:szCs w:val="19"/>
              </w:rPr>
            </w:pPr>
            <w:proofErr w:type="spellStart"/>
            <w:r w:rsidRPr="00287EA4">
              <w:rPr>
                <w:i/>
                <w:iCs/>
                <w:sz w:val="19"/>
                <w:szCs w:val="19"/>
              </w:rPr>
              <w:t>Movilidad</w:t>
            </w:r>
            <w:proofErr w:type="spellEnd"/>
            <w:r w:rsidRPr="00287EA4">
              <w:rPr>
                <w:i/>
                <w:iCs/>
                <w:sz w:val="19"/>
                <w:szCs w:val="19"/>
              </w:rPr>
              <w:t xml:space="preserve"> de </w:t>
            </w:r>
            <w:proofErr w:type="spellStart"/>
            <w:r w:rsidRPr="00287EA4">
              <w:rPr>
                <w:i/>
                <w:iCs/>
                <w:sz w:val="19"/>
                <w:szCs w:val="19"/>
              </w:rPr>
              <w:t>capitales</w:t>
            </w:r>
            <w:proofErr w:type="spellEnd"/>
            <w:r w:rsidRPr="00287EA4">
              <w:rPr>
                <w:i/>
                <w:iCs/>
                <w:sz w:val="19"/>
                <w:szCs w:val="19"/>
              </w:rPr>
              <w:t xml:space="preserve"> </w:t>
            </w:r>
            <w:proofErr w:type="spellStart"/>
            <w:r w:rsidRPr="00287EA4">
              <w:rPr>
                <w:i/>
                <w:iCs/>
                <w:sz w:val="19"/>
                <w:szCs w:val="19"/>
              </w:rPr>
              <w:t>nula</w:t>
            </w:r>
            <w:proofErr w:type="spellEnd"/>
          </w:p>
        </w:tc>
      </w:tr>
      <w:tr w:rsidR="007E2D63" w14:paraId="382B51EE" w14:textId="77777777" w:rsidTr="00505133">
        <w:trPr>
          <w:trHeight w:val="482"/>
          <w:jc w:val="center"/>
        </w:trPr>
        <w:tc>
          <w:tcPr>
            <w:tcW w:w="1774" w:type="dxa"/>
            <w:tcBorders>
              <w:top w:val="single" w:sz="12" w:space="0" w:color="auto"/>
              <w:left w:val="nil"/>
              <w:bottom w:val="single" w:sz="4" w:space="0" w:color="auto"/>
            </w:tcBorders>
            <w:vAlign w:val="center"/>
          </w:tcPr>
          <w:p w14:paraId="2F39C322" w14:textId="77777777" w:rsidR="007E2D63" w:rsidRPr="00287EA4" w:rsidRDefault="007E2D63" w:rsidP="00505133">
            <w:pPr>
              <w:pStyle w:val="Nivel2"/>
              <w:keepNext/>
              <w:numPr>
                <w:ilvl w:val="0"/>
                <w:numId w:val="0"/>
              </w:numPr>
              <w:spacing w:after="0"/>
              <w:jc w:val="center"/>
              <w:rPr>
                <w:i/>
                <w:iCs/>
                <w:spacing w:val="-8"/>
                <w:sz w:val="19"/>
                <w:szCs w:val="19"/>
              </w:rPr>
            </w:pPr>
            <w:r w:rsidRPr="00287EA4">
              <w:rPr>
                <w:i/>
                <w:iCs/>
                <w:spacing w:val="-8"/>
                <w:sz w:val="19"/>
                <w:szCs w:val="19"/>
              </w:rPr>
              <w:t xml:space="preserve">Tipo de </w:t>
            </w:r>
            <w:proofErr w:type="spellStart"/>
            <w:r w:rsidRPr="00287EA4">
              <w:rPr>
                <w:i/>
                <w:iCs/>
                <w:spacing w:val="-8"/>
                <w:sz w:val="19"/>
                <w:szCs w:val="19"/>
              </w:rPr>
              <w:t>cambio</w:t>
            </w:r>
            <w:proofErr w:type="spellEnd"/>
            <w:r w:rsidRPr="00287EA4">
              <w:rPr>
                <w:i/>
                <w:iCs/>
                <w:spacing w:val="-8"/>
                <w:sz w:val="19"/>
                <w:szCs w:val="19"/>
              </w:rPr>
              <w:t xml:space="preserve"> </w:t>
            </w:r>
            <w:proofErr w:type="spellStart"/>
            <w:r w:rsidRPr="00287EA4">
              <w:rPr>
                <w:i/>
                <w:iCs/>
                <w:spacing w:val="-8"/>
                <w:sz w:val="19"/>
                <w:szCs w:val="19"/>
              </w:rPr>
              <w:t>fijo</w:t>
            </w:r>
            <w:proofErr w:type="spellEnd"/>
          </w:p>
        </w:tc>
        <w:tc>
          <w:tcPr>
            <w:tcW w:w="1821" w:type="dxa"/>
            <w:tcBorders>
              <w:top w:val="single" w:sz="12" w:space="0" w:color="auto"/>
              <w:bottom w:val="single" w:sz="4" w:space="0" w:color="auto"/>
            </w:tcBorders>
            <w:vAlign w:val="center"/>
          </w:tcPr>
          <w:p w14:paraId="55FFB6C2" w14:textId="77777777" w:rsidR="007E2D63" w:rsidRPr="00287EA4" w:rsidRDefault="007E2D63" w:rsidP="00505133">
            <w:pPr>
              <w:pStyle w:val="Nivel2"/>
              <w:keepNext/>
              <w:numPr>
                <w:ilvl w:val="0"/>
                <w:numId w:val="0"/>
              </w:numPr>
              <w:spacing w:after="0"/>
              <w:jc w:val="center"/>
              <w:rPr>
                <w:sz w:val="19"/>
                <w:szCs w:val="19"/>
              </w:rPr>
            </w:pPr>
            <w:r w:rsidRPr="00287EA4">
              <w:rPr>
                <w:sz w:val="19"/>
                <w:szCs w:val="19"/>
              </w:rPr>
              <w:t xml:space="preserve">Muy </w:t>
            </w:r>
            <w:proofErr w:type="spellStart"/>
            <w:r w:rsidRPr="00287EA4">
              <w:rPr>
                <w:sz w:val="19"/>
                <w:szCs w:val="19"/>
              </w:rPr>
              <w:t>eficaz</w:t>
            </w:r>
            <w:proofErr w:type="spellEnd"/>
          </w:p>
        </w:tc>
        <w:tc>
          <w:tcPr>
            <w:tcW w:w="1822" w:type="dxa"/>
            <w:tcBorders>
              <w:top w:val="single" w:sz="12" w:space="0" w:color="auto"/>
              <w:bottom w:val="single" w:sz="4" w:space="0" w:color="auto"/>
            </w:tcBorders>
            <w:vAlign w:val="center"/>
          </w:tcPr>
          <w:p w14:paraId="4E130E49" w14:textId="77777777" w:rsidR="007E2D63" w:rsidRPr="00287EA4" w:rsidRDefault="007E2D63" w:rsidP="00505133">
            <w:pPr>
              <w:pStyle w:val="Nivel2"/>
              <w:keepNext/>
              <w:numPr>
                <w:ilvl w:val="0"/>
                <w:numId w:val="0"/>
              </w:numPr>
              <w:spacing w:after="0"/>
              <w:jc w:val="center"/>
              <w:rPr>
                <w:sz w:val="19"/>
                <w:szCs w:val="19"/>
              </w:rPr>
            </w:pPr>
            <w:proofErr w:type="spellStart"/>
            <w:r w:rsidRPr="00287EA4">
              <w:rPr>
                <w:sz w:val="19"/>
                <w:szCs w:val="19"/>
              </w:rPr>
              <w:t>Eficaz</w:t>
            </w:r>
            <w:proofErr w:type="spellEnd"/>
          </w:p>
        </w:tc>
        <w:tc>
          <w:tcPr>
            <w:tcW w:w="1822" w:type="dxa"/>
            <w:tcBorders>
              <w:top w:val="single" w:sz="12" w:space="0" w:color="auto"/>
              <w:bottom w:val="single" w:sz="4" w:space="0" w:color="auto"/>
            </w:tcBorders>
            <w:vAlign w:val="center"/>
          </w:tcPr>
          <w:p w14:paraId="4C17F03E" w14:textId="77777777" w:rsidR="007E2D63" w:rsidRPr="00287EA4" w:rsidRDefault="007E2D63" w:rsidP="00505133">
            <w:pPr>
              <w:pStyle w:val="Nivel2"/>
              <w:keepNext/>
              <w:numPr>
                <w:ilvl w:val="0"/>
                <w:numId w:val="0"/>
              </w:numPr>
              <w:spacing w:after="0"/>
              <w:jc w:val="center"/>
              <w:rPr>
                <w:sz w:val="19"/>
                <w:szCs w:val="19"/>
              </w:rPr>
            </w:pPr>
            <w:r w:rsidRPr="00287EA4">
              <w:rPr>
                <w:sz w:val="19"/>
                <w:szCs w:val="19"/>
              </w:rPr>
              <w:t xml:space="preserve">Poco </w:t>
            </w:r>
            <w:proofErr w:type="spellStart"/>
            <w:r w:rsidRPr="00287EA4">
              <w:rPr>
                <w:sz w:val="19"/>
                <w:szCs w:val="19"/>
              </w:rPr>
              <w:t>eficaz</w:t>
            </w:r>
            <w:proofErr w:type="spellEnd"/>
          </w:p>
        </w:tc>
        <w:tc>
          <w:tcPr>
            <w:tcW w:w="1822" w:type="dxa"/>
            <w:tcBorders>
              <w:top w:val="single" w:sz="12" w:space="0" w:color="auto"/>
              <w:bottom w:val="single" w:sz="4" w:space="0" w:color="auto"/>
              <w:right w:val="nil"/>
            </w:tcBorders>
            <w:vAlign w:val="center"/>
          </w:tcPr>
          <w:p w14:paraId="4D685FAD" w14:textId="77777777" w:rsidR="007E2D63" w:rsidRPr="00287EA4" w:rsidRDefault="007E2D63" w:rsidP="00505133">
            <w:pPr>
              <w:pStyle w:val="Nivel2"/>
              <w:keepNext/>
              <w:numPr>
                <w:ilvl w:val="0"/>
                <w:numId w:val="0"/>
              </w:numPr>
              <w:spacing w:after="0"/>
              <w:jc w:val="center"/>
              <w:rPr>
                <w:sz w:val="19"/>
                <w:szCs w:val="19"/>
              </w:rPr>
            </w:pPr>
            <w:proofErr w:type="spellStart"/>
            <w:r w:rsidRPr="00287EA4">
              <w:rPr>
                <w:sz w:val="19"/>
                <w:szCs w:val="19"/>
              </w:rPr>
              <w:t>Ineficaz</w:t>
            </w:r>
            <w:proofErr w:type="spellEnd"/>
          </w:p>
        </w:tc>
      </w:tr>
      <w:tr w:rsidR="007E2D63" w14:paraId="42931BA0" w14:textId="77777777" w:rsidTr="00505133">
        <w:trPr>
          <w:trHeight w:val="482"/>
          <w:jc w:val="center"/>
        </w:trPr>
        <w:tc>
          <w:tcPr>
            <w:tcW w:w="1774" w:type="dxa"/>
            <w:tcBorders>
              <w:left w:val="nil"/>
              <w:bottom w:val="single" w:sz="12" w:space="0" w:color="auto"/>
            </w:tcBorders>
            <w:vAlign w:val="center"/>
          </w:tcPr>
          <w:p w14:paraId="70F2E861" w14:textId="77777777" w:rsidR="007E2D63" w:rsidRPr="00287EA4" w:rsidRDefault="007E2D63" w:rsidP="00505133">
            <w:pPr>
              <w:pStyle w:val="Nivel2"/>
              <w:numPr>
                <w:ilvl w:val="0"/>
                <w:numId w:val="0"/>
              </w:numPr>
              <w:spacing w:after="0"/>
              <w:jc w:val="center"/>
              <w:rPr>
                <w:i/>
                <w:iCs/>
                <w:spacing w:val="-8"/>
                <w:sz w:val="19"/>
                <w:szCs w:val="19"/>
              </w:rPr>
            </w:pPr>
            <w:r w:rsidRPr="00287EA4">
              <w:rPr>
                <w:i/>
                <w:iCs/>
                <w:spacing w:val="-8"/>
                <w:sz w:val="19"/>
                <w:szCs w:val="19"/>
              </w:rPr>
              <w:t xml:space="preserve">Tipo de </w:t>
            </w:r>
            <w:proofErr w:type="spellStart"/>
            <w:r w:rsidRPr="00287EA4">
              <w:rPr>
                <w:i/>
                <w:iCs/>
                <w:spacing w:val="-8"/>
                <w:sz w:val="19"/>
                <w:szCs w:val="19"/>
              </w:rPr>
              <w:t>cambio</w:t>
            </w:r>
            <w:proofErr w:type="spellEnd"/>
            <w:r w:rsidRPr="00287EA4">
              <w:rPr>
                <w:i/>
                <w:iCs/>
                <w:spacing w:val="-8"/>
                <w:sz w:val="19"/>
                <w:szCs w:val="19"/>
              </w:rPr>
              <w:t xml:space="preserve"> flexible</w:t>
            </w:r>
          </w:p>
        </w:tc>
        <w:tc>
          <w:tcPr>
            <w:tcW w:w="1821" w:type="dxa"/>
            <w:tcBorders>
              <w:bottom w:val="single" w:sz="12" w:space="0" w:color="auto"/>
            </w:tcBorders>
            <w:vAlign w:val="center"/>
          </w:tcPr>
          <w:p w14:paraId="31C9D809" w14:textId="77777777" w:rsidR="007E2D63" w:rsidRPr="00287EA4" w:rsidRDefault="007E2D63" w:rsidP="00505133">
            <w:pPr>
              <w:pStyle w:val="Nivel2"/>
              <w:numPr>
                <w:ilvl w:val="0"/>
                <w:numId w:val="0"/>
              </w:numPr>
              <w:spacing w:after="0"/>
              <w:jc w:val="center"/>
              <w:rPr>
                <w:sz w:val="19"/>
                <w:szCs w:val="19"/>
              </w:rPr>
            </w:pPr>
            <w:proofErr w:type="spellStart"/>
            <w:r w:rsidRPr="00287EA4">
              <w:rPr>
                <w:sz w:val="19"/>
                <w:szCs w:val="19"/>
              </w:rPr>
              <w:t>Ineficaz</w:t>
            </w:r>
            <w:proofErr w:type="spellEnd"/>
          </w:p>
        </w:tc>
        <w:tc>
          <w:tcPr>
            <w:tcW w:w="1822" w:type="dxa"/>
            <w:tcBorders>
              <w:bottom w:val="single" w:sz="12" w:space="0" w:color="auto"/>
            </w:tcBorders>
            <w:vAlign w:val="center"/>
          </w:tcPr>
          <w:p w14:paraId="2771A26B" w14:textId="77777777" w:rsidR="007E2D63" w:rsidRPr="00287EA4" w:rsidRDefault="007E2D63" w:rsidP="00505133">
            <w:pPr>
              <w:pStyle w:val="Nivel2"/>
              <w:numPr>
                <w:ilvl w:val="0"/>
                <w:numId w:val="0"/>
              </w:numPr>
              <w:spacing w:after="0"/>
              <w:jc w:val="center"/>
              <w:rPr>
                <w:sz w:val="19"/>
                <w:szCs w:val="19"/>
              </w:rPr>
            </w:pPr>
            <w:r w:rsidRPr="00287EA4">
              <w:rPr>
                <w:sz w:val="19"/>
                <w:szCs w:val="19"/>
              </w:rPr>
              <w:t xml:space="preserve">Poco </w:t>
            </w:r>
            <w:proofErr w:type="spellStart"/>
            <w:r w:rsidRPr="00287EA4">
              <w:rPr>
                <w:sz w:val="19"/>
                <w:szCs w:val="19"/>
              </w:rPr>
              <w:t>eficaz</w:t>
            </w:r>
            <w:proofErr w:type="spellEnd"/>
          </w:p>
        </w:tc>
        <w:tc>
          <w:tcPr>
            <w:tcW w:w="1822" w:type="dxa"/>
            <w:tcBorders>
              <w:bottom w:val="single" w:sz="12" w:space="0" w:color="auto"/>
            </w:tcBorders>
            <w:vAlign w:val="center"/>
          </w:tcPr>
          <w:p w14:paraId="4D70B1D8" w14:textId="77777777" w:rsidR="007E2D63" w:rsidRPr="00287EA4" w:rsidRDefault="007E2D63" w:rsidP="00505133">
            <w:pPr>
              <w:pStyle w:val="Nivel2"/>
              <w:numPr>
                <w:ilvl w:val="0"/>
                <w:numId w:val="0"/>
              </w:numPr>
              <w:spacing w:after="0"/>
              <w:jc w:val="center"/>
              <w:rPr>
                <w:sz w:val="19"/>
                <w:szCs w:val="19"/>
              </w:rPr>
            </w:pPr>
            <w:proofErr w:type="spellStart"/>
            <w:r w:rsidRPr="00287EA4">
              <w:rPr>
                <w:sz w:val="19"/>
                <w:szCs w:val="19"/>
              </w:rPr>
              <w:t>Eficaz</w:t>
            </w:r>
            <w:proofErr w:type="spellEnd"/>
          </w:p>
        </w:tc>
        <w:tc>
          <w:tcPr>
            <w:tcW w:w="1822" w:type="dxa"/>
            <w:tcBorders>
              <w:bottom w:val="single" w:sz="12" w:space="0" w:color="auto"/>
              <w:right w:val="nil"/>
            </w:tcBorders>
            <w:vAlign w:val="center"/>
          </w:tcPr>
          <w:p w14:paraId="7763968A" w14:textId="77777777" w:rsidR="007E2D63" w:rsidRPr="00287EA4" w:rsidRDefault="007E2D63" w:rsidP="00505133">
            <w:pPr>
              <w:pStyle w:val="Nivel2"/>
              <w:numPr>
                <w:ilvl w:val="0"/>
                <w:numId w:val="0"/>
              </w:numPr>
              <w:spacing w:after="0"/>
              <w:jc w:val="center"/>
              <w:rPr>
                <w:sz w:val="19"/>
                <w:szCs w:val="19"/>
              </w:rPr>
            </w:pPr>
            <w:r w:rsidRPr="00287EA4">
              <w:rPr>
                <w:sz w:val="19"/>
                <w:szCs w:val="19"/>
              </w:rPr>
              <w:t xml:space="preserve">Muy </w:t>
            </w:r>
            <w:proofErr w:type="spellStart"/>
            <w:r w:rsidRPr="00287EA4">
              <w:rPr>
                <w:sz w:val="19"/>
                <w:szCs w:val="19"/>
              </w:rPr>
              <w:t>eficaz</w:t>
            </w:r>
            <w:proofErr w:type="spellEnd"/>
          </w:p>
        </w:tc>
      </w:tr>
    </w:tbl>
    <w:p w14:paraId="75F19CC7" w14:textId="77777777" w:rsidR="007E2D63" w:rsidRDefault="007E2D63" w:rsidP="007E2D63">
      <w:pPr>
        <w:pStyle w:val="Ttulo6"/>
      </w:pPr>
      <w:bookmarkStart w:id="46" w:name="_Toc142500892"/>
      <w:bookmarkStart w:id="47" w:name="_Toc151221243"/>
      <w:r>
        <w:t>Valoración</w:t>
      </w:r>
      <w:bookmarkEnd w:id="46"/>
      <w:bookmarkEnd w:id="47"/>
    </w:p>
    <w:p w14:paraId="51186C10" w14:textId="77777777" w:rsidR="007E2D63" w:rsidRPr="00485233" w:rsidRDefault="007E2D63" w:rsidP="007E2D63">
      <w:pPr>
        <w:pStyle w:val="Nivel1SM"/>
        <w:spacing w:before="0"/>
        <w:rPr>
          <w:spacing w:val="-5"/>
        </w:rPr>
      </w:pPr>
      <w:r w:rsidRPr="00485233">
        <w:rPr>
          <w:spacing w:val="-5"/>
        </w:rPr>
        <w:t>El análisis llevado a cabo hasta ahora se centra únicamente en la efectividad de la política fiscal como elemento estabilizador desde un punto de vista estático y sin estar fundamentado microeconómicamente.</w:t>
      </w:r>
    </w:p>
    <w:p w14:paraId="30F67FB3" w14:textId="77777777" w:rsidR="007E2D63" w:rsidRDefault="007E2D63" w:rsidP="007E2D63">
      <w:pPr>
        <w:pStyle w:val="Nivel1SM"/>
        <w:keepNext/>
        <w:spacing w:after="0"/>
      </w:pPr>
      <w:r>
        <w:t>No obstante, a partir de la década de 1980, con el auge de la Nueva Macroeconomía Clásica (NMC) y de la Nueva Economía Keynesiana (NEK), el análisis de la macroeconomía pasa a estar caracterizado por:</w:t>
      </w:r>
    </w:p>
    <w:p w14:paraId="7B8DC05A" w14:textId="77777777" w:rsidR="007E2D63" w:rsidRDefault="007E2D63" w:rsidP="007E2D63">
      <w:pPr>
        <w:pStyle w:val="Nivel2SM"/>
      </w:pPr>
      <w:r>
        <w:t>HER.</w:t>
      </w:r>
    </w:p>
    <w:p w14:paraId="08194418" w14:textId="77777777" w:rsidR="007E2D63" w:rsidRDefault="007E2D63" w:rsidP="007E2D63">
      <w:pPr>
        <w:pStyle w:val="Nivel2SM"/>
      </w:pPr>
      <w:proofErr w:type="spellStart"/>
      <w:r>
        <w:t>Microfundamentación</w:t>
      </w:r>
      <w:proofErr w:type="spellEnd"/>
      <w:r>
        <w:t>.</w:t>
      </w:r>
    </w:p>
    <w:p w14:paraId="764ADE7C" w14:textId="61B1793D" w:rsidR="007E2D63" w:rsidRPr="002D41D7" w:rsidRDefault="007E2D63" w:rsidP="007E2D63">
      <w:pPr>
        <w:pStyle w:val="Nivel2SM"/>
      </w:pPr>
      <w:r>
        <w:t xml:space="preserve">Análisis </w:t>
      </w:r>
      <w:proofErr w:type="spellStart"/>
      <w:r>
        <w:t>intertemporal</w:t>
      </w:r>
      <w:proofErr w:type="spellEnd"/>
      <w:r>
        <w:t>.</w:t>
      </w:r>
    </w:p>
    <w:p w14:paraId="5EC1FC7F" w14:textId="77777777" w:rsidR="00D3596B" w:rsidRDefault="00D3596B" w:rsidP="00D3596B">
      <w:pPr>
        <w:pStyle w:val="Ttulo2"/>
      </w:pPr>
      <w:bookmarkStart w:id="48" w:name="_Toc142500893"/>
      <w:bookmarkStart w:id="49" w:name="_Toc151221244"/>
      <w:r>
        <w:lastRenderedPageBreak/>
        <w:t>Modelo del Ciclo Real (RBC) para el análisis de la política fiscal (</w:t>
      </w:r>
      <w:r>
        <w:rPr>
          <w:smallCaps/>
        </w:rPr>
        <w:t>Sims</w:t>
      </w:r>
      <w:r>
        <w:t>, 2015)</w:t>
      </w:r>
      <w:bookmarkEnd w:id="48"/>
      <w:bookmarkEnd w:id="49"/>
    </w:p>
    <w:p w14:paraId="5300759E" w14:textId="77777777" w:rsidR="00D3596B" w:rsidRDefault="00D3596B" w:rsidP="00D3596B">
      <w:pPr>
        <w:pStyle w:val="Ttulo3"/>
        <w:spacing w:before="0"/>
      </w:pPr>
      <w:bookmarkStart w:id="50" w:name="_Toc142500894"/>
      <w:bookmarkStart w:id="51" w:name="_Toc151221245"/>
      <w:r>
        <w:t>Idea</w:t>
      </w:r>
      <w:bookmarkEnd w:id="50"/>
      <w:bookmarkEnd w:id="51"/>
    </w:p>
    <w:p w14:paraId="53AD144D" w14:textId="77777777" w:rsidR="00D3596B" w:rsidRDefault="00D3596B" w:rsidP="00D3596B">
      <w:pPr>
        <w:pStyle w:val="Nivel1SM"/>
        <w:spacing w:before="0"/>
      </w:pPr>
      <w:r>
        <w:t xml:space="preserve">Para comenzar nuestro análisis de manera </w:t>
      </w:r>
      <w:proofErr w:type="spellStart"/>
      <w:r>
        <w:t>microfundamentada</w:t>
      </w:r>
      <w:proofErr w:type="spellEnd"/>
      <w:r>
        <w:t>, un punto de partida lógico es el modelo del ciclo real, en el que suponemos que las empresas operan en competencia perfecta de forma precio-aceptante y sin ningún tipo de rigidez en los mercados, de forma que se garantice el ajuste a un equilibrio walrasiano.</w:t>
      </w:r>
    </w:p>
    <w:p w14:paraId="31F0A903" w14:textId="77777777" w:rsidR="00D3596B" w:rsidRPr="00304363" w:rsidRDefault="00D3596B" w:rsidP="00D3596B">
      <w:pPr>
        <w:pStyle w:val="Nivel1SM"/>
      </w:pPr>
      <w:r>
        <w:t xml:space="preserve">Por lo tanto, vamos a estudiar un modelo de ciclo real que incluye shocks de política fiscal con el objetivo de ver que repercusiones tendrá sobre las decisiones de los agentes la política fiscal. Para ello seguiremos a </w:t>
      </w:r>
      <w:r>
        <w:rPr>
          <w:smallCaps/>
        </w:rPr>
        <w:t>Sims</w:t>
      </w:r>
      <w:r>
        <w:t xml:space="preserve"> (2015)</w:t>
      </w:r>
      <w:r>
        <w:rPr>
          <w:rStyle w:val="Refdenotaalpie"/>
        </w:rPr>
        <w:footnoteReference w:id="17"/>
      </w:r>
      <w:r>
        <w:t>.</w:t>
      </w:r>
    </w:p>
    <w:p w14:paraId="7890A629" w14:textId="77777777" w:rsidR="00D3596B" w:rsidRDefault="00D3596B" w:rsidP="00D3596B">
      <w:pPr>
        <w:pStyle w:val="Ttulo3"/>
      </w:pPr>
      <w:bookmarkStart w:id="52" w:name="_Toc142500895"/>
      <w:bookmarkStart w:id="53" w:name="_Toc151221246"/>
      <w:r>
        <w:t>Modelo</w:t>
      </w:r>
      <w:bookmarkEnd w:id="52"/>
      <w:bookmarkEnd w:id="53"/>
    </w:p>
    <w:p w14:paraId="60437D6F" w14:textId="77777777" w:rsidR="00D3596B" w:rsidRDefault="00D3596B" w:rsidP="00D3596B">
      <w:pPr>
        <w:pStyle w:val="Ttulo6"/>
        <w:spacing w:before="0"/>
      </w:pPr>
      <w:bookmarkStart w:id="54" w:name="_Toc142500896"/>
      <w:bookmarkStart w:id="55" w:name="_Toc151221247"/>
      <w:r>
        <w:t>Supuestos</w:t>
      </w:r>
      <w:bookmarkEnd w:id="54"/>
      <w:bookmarkEnd w:id="55"/>
    </w:p>
    <w:p w14:paraId="183005FC" w14:textId="77777777" w:rsidR="00D3596B" w:rsidRDefault="00D3596B" w:rsidP="00D3596B">
      <w:pPr>
        <w:pStyle w:val="Nivel1SM"/>
        <w:keepNext/>
        <w:spacing w:before="0" w:after="0"/>
      </w:pPr>
      <w:r>
        <w:t>Partiremos de los siguientes supuestos:</w:t>
      </w:r>
    </w:p>
    <w:p w14:paraId="0562554A" w14:textId="77777777" w:rsidR="00D3596B" w:rsidRDefault="00D3596B" w:rsidP="00D3596B">
      <w:pPr>
        <w:pStyle w:val="Nivel2SM"/>
      </w:pPr>
      <w:r>
        <w:t xml:space="preserve">Suponemos una economía que avanza hacia un horizonte infinito a tiempo discreto, en la que sólo existe un bien producido homogéneo, </w:t>
      </w:r>
      <m:oMath>
        <m:sSub>
          <m:sSubPr>
            <m:ctrlPr>
              <w:rPr>
                <w:rFonts w:ascii="Cambria Math" w:hAnsi="Cambria Math"/>
                <w:i/>
              </w:rPr>
            </m:ctrlPr>
          </m:sSubPr>
          <m:e>
            <m:r>
              <m:rPr>
                <m:nor/>
              </m:rPr>
              <w:rPr>
                <w:i/>
              </w:rPr>
              <m:t>Y</m:t>
            </m:r>
          </m:e>
          <m:sub>
            <m:r>
              <m:rPr>
                <m:nor/>
              </m:rPr>
              <w:rPr>
                <w:i/>
              </w:rPr>
              <m:t>t</m:t>
            </m:r>
          </m:sub>
        </m:sSub>
      </m:oMath>
      <w:r>
        <w:t>.</w:t>
      </w:r>
    </w:p>
    <w:p w14:paraId="286EA8F6" w14:textId="77777777" w:rsidR="00D3596B" w:rsidRPr="008010ED" w:rsidRDefault="00D3596B" w:rsidP="00D3596B">
      <w:pPr>
        <w:pStyle w:val="Nivel2SM"/>
        <w:keepNext/>
        <w:spacing w:after="0"/>
        <w:rPr>
          <w:spacing w:val="-6"/>
        </w:rPr>
      </w:pPr>
      <w:r w:rsidRPr="008010ED">
        <w:rPr>
          <w:spacing w:val="-6"/>
        </w:rPr>
        <w:t xml:space="preserve">Es una economía cerrada, con sector público, por lo que podemos expresar la </w:t>
      </w:r>
      <w:r w:rsidRPr="008010ED">
        <w:rPr>
          <w:i/>
          <w:iCs/>
          <w:spacing w:val="-6"/>
          <w:u w:val="single"/>
        </w:rPr>
        <w:t>demanda agregada</w:t>
      </w:r>
      <w:r w:rsidRPr="008010ED">
        <w:rPr>
          <w:spacing w:val="-6"/>
        </w:rPr>
        <w:t xml:space="preserve"> como:</w:t>
      </w:r>
    </w:p>
    <w:p w14:paraId="3854BE3C" w14:textId="77777777" w:rsidR="00D3596B" w:rsidRPr="00F712BE" w:rsidRDefault="00000000" w:rsidP="00D3596B">
      <w:pPr>
        <w:pStyle w:val="Nivel1"/>
        <w:keepNext/>
        <w:numPr>
          <w:ilvl w:val="0"/>
          <w:numId w:val="0"/>
        </w:numPr>
        <w:spacing w:before="0" w:after="0"/>
        <w:ind w:left="623"/>
        <w:rPr>
          <w:rFonts w:eastAsiaTheme="minorEastAsia"/>
        </w:rPr>
      </w:pPr>
      <m:oMathPara>
        <m:oMath>
          <m:borderBox>
            <m:borderBoxPr>
              <m:ctrlPr>
                <w:rPr>
                  <w:rFonts w:ascii="Cambria Math" w:hAnsi="Cambria Math"/>
                </w:rPr>
              </m:ctrlPr>
            </m:borderBoxPr>
            <m:e>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t</m:t>
                  </m:r>
                </m:sub>
              </m:sSub>
            </m:e>
          </m:borderBox>
        </m:oMath>
      </m:oMathPara>
    </w:p>
    <w:p w14:paraId="2612C79C" w14:textId="77777777" w:rsidR="00D3596B" w:rsidRPr="00F712BE" w:rsidRDefault="00D3596B" w:rsidP="00D3596B">
      <w:pPr>
        <w:pStyle w:val="Nivel3SM"/>
      </w:pPr>
      <w:r>
        <w:t>La introducción del sector público en los modelos de ciclo real</w:t>
      </w:r>
      <w:r w:rsidRPr="00F036E1">
        <w:t xml:space="preserve"> nos permitirá estudiar</w:t>
      </w:r>
      <w:r>
        <w:t xml:space="preserve"> las políticas fiscales.</w:t>
      </w:r>
    </w:p>
    <w:p w14:paraId="39806DE9" w14:textId="77777777" w:rsidR="00D3596B" w:rsidRDefault="00D3596B" w:rsidP="00D3596B">
      <w:pPr>
        <w:pStyle w:val="Nivel2SM"/>
        <w:keepNext/>
        <w:spacing w:after="0"/>
      </w:pPr>
      <w:r>
        <w:t xml:space="preserve">Por el lado de la </w:t>
      </w:r>
      <w:r w:rsidRPr="00F036E1">
        <w:rPr>
          <w:i/>
          <w:iCs/>
          <w:u w:val="single"/>
        </w:rPr>
        <w:t>oferta agregada</w:t>
      </w:r>
      <w:r>
        <w:t>, suponemos una función de producción neoclásica de buen comportamiento, que asumiremos de tipo Cobb-Douglas:</w:t>
      </w:r>
    </w:p>
    <w:p w14:paraId="0F054D01" w14:textId="77777777" w:rsidR="00D3596B" w:rsidRPr="00A80069" w:rsidRDefault="00000000" w:rsidP="00D3596B">
      <w:pPr>
        <w:pStyle w:val="Nivel1"/>
        <w:keepNext/>
        <w:numPr>
          <w:ilvl w:val="0"/>
          <w:numId w:val="0"/>
        </w:numPr>
        <w:spacing w:before="0" w:after="0"/>
        <w:ind w:left="360"/>
        <w:rPr>
          <w:rFonts w:eastAsiaTheme="minorEastAsia"/>
          <w:i/>
          <w:iCs/>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e>
          </m:borderBox>
        </m:oMath>
      </m:oMathPara>
    </w:p>
    <w:p w14:paraId="5967CC2B" w14:textId="77777777" w:rsidR="00D3596B" w:rsidRPr="00A80069" w:rsidRDefault="00D3596B" w:rsidP="00D3596B">
      <w:pPr>
        <w:pStyle w:val="Nivel3SM"/>
        <w:keepNext/>
      </w:pPr>
      <w:r w:rsidRPr="006F72F3">
        <w:t xml:space="preserve">Sobre esta </w:t>
      </w:r>
      <w:r>
        <w:t xml:space="preserve">función </w:t>
      </w:r>
      <w:r w:rsidRPr="006F72F3">
        <w:t>de p</w:t>
      </w:r>
      <w:r>
        <w:t xml:space="preserve">roducción vamos a introducir un shock tecnológico mediante un proceso estocástico exógeno. Para ello, vamos a suponer que </w:t>
      </w:r>
      <m:oMath>
        <m:sSub>
          <m:sSubPr>
            <m:ctrlPr>
              <w:rPr>
                <w:rFonts w:ascii="Cambria Math" w:hAnsi="Cambria Math"/>
                <w:i/>
              </w:rPr>
            </m:ctrlPr>
          </m:sSubPr>
          <m:e>
            <m:r>
              <m:rPr>
                <m:nor/>
              </m:rPr>
              <w:rPr>
                <w:i/>
              </w:rPr>
              <m:t>A</m:t>
            </m:r>
          </m:e>
          <m:sub>
            <m:r>
              <m:rPr>
                <m:nor/>
              </m:rPr>
              <w:rPr>
                <w:i/>
              </w:rPr>
              <m:t>t</m:t>
            </m:r>
          </m:sub>
        </m:sSub>
      </m:oMath>
      <w:r w:rsidRPr="00A80069">
        <w:rPr>
          <w:rFonts w:eastAsiaTheme="minorEastAsia"/>
        </w:rPr>
        <w:t xml:space="preserve"> es una función de sus valores pasados, de forma que:</w:t>
      </w:r>
    </w:p>
    <w:p w14:paraId="7E107F49" w14:textId="77777777" w:rsidR="00D3596B" w:rsidRDefault="00000000" w:rsidP="00D3596B">
      <w:pPr>
        <w:pStyle w:val="Nivel3SM"/>
        <w:keepNext/>
        <w:numPr>
          <w:ilvl w:val="0"/>
          <w:numId w:val="0"/>
        </w:numPr>
        <w:ind w:left="964"/>
      </w:pPr>
      <m:oMathPara>
        <m:oMath>
          <m:sSub>
            <m:sSubPr>
              <m:ctrlPr>
                <w:rPr>
                  <w:rFonts w:ascii="Cambria Math" w:hAnsi="Cambria Math"/>
                  <w:i/>
                </w:rPr>
              </m:ctrlPr>
            </m:sSubPr>
            <m:e>
              <m:r>
                <m:rPr>
                  <m:nor/>
                </m:rPr>
                <w:rPr>
                  <w:i/>
                </w:rPr>
                <m:t>A</m:t>
              </m:r>
            </m:e>
            <m:sub>
              <m:r>
                <m:rPr>
                  <m:nor/>
                </m:rPr>
                <w:rPr>
                  <w:i/>
                </w:rPr>
                <m:t>t</m:t>
              </m:r>
            </m:sub>
          </m:sSub>
          <m:r>
            <w:rPr>
              <w:rFonts w:ascii="Cambria Math" w:hAnsi="Cambria Math"/>
            </w:rPr>
            <m:t>=</m:t>
          </m:r>
          <m:sSub>
            <m:sSubPr>
              <m:ctrlPr>
                <w:rPr>
                  <w:rFonts w:ascii="Cambria Math" w:hAnsi="Cambria Math"/>
                  <w:i/>
                </w:rPr>
              </m:ctrlPr>
            </m:sSubPr>
            <m:e>
              <m:r>
                <m:rPr>
                  <m:nor/>
                </m:rPr>
                <w:rPr>
                  <w:i/>
                </w:rPr>
                <m:t>A</m:t>
              </m:r>
            </m:e>
            <m:sub>
              <m:r>
                <m:rPr>
                  <m:nor/>
                </m:rPr>
                <w:rPr>
                  <w:i/>
                </w:rPr>
                <m:t>0</m:t>
              </m:r>
            </m:sub>
          </m:sSub>
          <m:r>
            <w:rPr>
              <w:rFonts w:ascii="Cambria Math" w:hAnsi="Cambria Math"/>
            </w:rPr>
            <m:t>∙</m:t>
          </m:r>
          <m:sSup>
            <m:sSupPr>
              <m:ctrlPr>
                <w:rPr>
                  <w:rFonts w:ascii="Cambria Math" w:hAnsi="Cambria Math"/>
                  <w:i/>
                </w:rPr>
              </m:ctrlPr>
            </m:sSupPr>
            <m:e>
              <m:r>
                <m:rPr>
                  <m:nor/>
                </m:rPr>
                <w:rPr>
                  <w:i/>
                </w:rPr>
                <m:t>e</m:t>
              </m:r>
            </m:e>
            <m:sup>
              <m:sSup>
                <m:sSupPr>
                  <m:ctrlPr>
                    <w:rPr>
                      <w:rFonts w:ascii="Cambria Math" w:hAnsi="Cambria Math"/>
                      <w:i/>
                      <w:iCs/>
                    </w:rPr>
                  </m:ctrlPr>
                </m:sSupPr>
                <m:e>
                  <m:r>
                    <m:rPr>
                      <m:nor/>
                    </m:rPr>
                    <w:rPr>
                      <w:i/>
                      <w:iCs/>
                    </w:rPr>
                    <m:t>g</m:t>
                  </m:r>
                </m:e>
                <m:sup>
                  <m:r>
                    <m:rPr>
                      <m:nor/>
                    </m:rPr>
                    <w:rPr>
                      <w:i/>
                      <w:iCs/>
                    </w:rPr>
                    <m:t>A</m:t>
                  </m:r>
                </m:sup>
              </m:sSup>
              <m:r>
                <w:rPr>
                  <w:rFonts w:ascii="Cambria Math" w:hAnsi="Cambria Math"/>
                </w:rPr>
                <m:t>∙</m:t>
              </m:r>
              <m:r>
                <m:rPr>
                  <m:nor/>
                </m:rPr>
                <w:rPr>
                  <w:i/>
                </w:rPr>
                <m:t>t</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sup>
          </m:sSup>
          <m:r>
            <w:rPr>
              <w:rFonts w:ascii="Cambria Math" w:hAnsi="Cambria Math"/>
            </w:rPr>
            <m:t>⟹</m:t>
          </m:r>
          <m:func>
            <m:funcPr>
              <m:ctrlPr>
                <w:rPr>
                  <w:rFonts w:ascii="Cambria Math" w:hAnsi="Cambria Math"/>
                  <w:i/>
                </w:rPr>
              </m:ctrlPr>
            </m:funcPr>
            <m:fName>
              <m:r>
                <m:rPr>
                  <m:nor/>
                </m:rPr>
                <w:rPr>
                  <w:i/>
                  <w:iCs/>
                </w:rPr>
                <m:t>ln</m:t>
              </m:r>
            </m:fName>
            <m:e>
              <m:sSub>
                <m:sSubPr>
                  <m:ctrlPr>
                    <w:rPr>
                      <w:rFonts w:ascii="Cambria Math" w:hAnsi="Cambria Math"/>
                      <w:i/>
                    </w:rPr>
                  </m:ctrlPr>
                </m:sSubPr>
                <m:e>
                  <m:r>
                    <m:rPr>
                      <m:nor/>
                    </m:rPr>
                    <w:rPr>
                      <w:i/>
                    </w:rPr>
                    <m:t>A</m:t>
                  </m:r>
                </m:e>
                <m:sub>
                  <m:r>
                    <m:rPr>
                      <m:nor/>
                    </m:rPr>
                    <w:rPr>
                      <w:i/>
                    </w:rPr>
                    <m:t>t</m:t>
                  </m:r>
                </m:sub>
              </m:sSub>
            </m:e>
          </m:func>
          <m:r>
            <w:rPr>
              <w:rFonts w:ascii="Cambria Math" w:hAnsi="Cambria Math"/>
            </w:rPr>
            <m:t>=</m:t>
          </m:r>
          <m:func>
            <m:funcPr>
              <m:ctrlPr>
                <w:rPr>
                  <w:rFonts w:ascii="Cambria Math" w:hAnsi="Cambria Math"/>
                  <w:i/>
                </w:rPr>
              </m:ctrlPr>
            </m:funcPr>
            <m:fName>
              <m:r>
                <m:rPr>
                  <m:nor/>
                </m:rPr>
                <w:rPr>
                  <w:i/>
                  <w:iCs/>
                </w:rPr>
                <m:t>ln</m:t>
              </m:r>
            </m:fName>
            <m:e>
              <m:sSub>
                <m:sSubPr>
                  <m:ctrlPr>
                    <w:rPr>
                      <w:rFonts w:ascii="Cambria Math" w:hAnsi="Cambria Math"/>
                      <w:i/>
                    </w:rPr>
                  </m:ctrlPr>
                </m:sSubPr>
                <m:e>
                  <m:r>
                    <m:rPr>
                      <m:nor/>
                    </m:rPr>
                    <w:rPr>
                      <w:i/>
                    </w:rPr>
                    <m:t>A</m:t>
                  </m:r>
                </m:e>
                <m:sub>
                  <m:r>
                    <m:rPr>
                      <m:nor/>
                    </m:rPr>
                    <w:rPr>
                      <w:i/>
                    </w:rPr>
                    <m:t>0</m:t>
                  </m:r>
                </m:sub>
              </m:sSub>
            </m:e>
          </m:func>
          <m:r>
            <w:rPr>
              <w:rFonts w:ascii="Cambria Math" w:hAnsi="Cambria Math"/>
            </w:rPr>
            <m:t>+</m:t>
          </m:r>
          <m:sSup>
            <m:sSupPr>
              <m:ctrlPr>
                <w:rPr>
                  <w:rFonts w:ascii="Cambria Math" w:hAnsi="Cambria Math"/>
                  <w:i/>
                  <w:iCs/>
                </w:rPr>
              </m:ctrlPr>
            </m:sSupPr>
            <m:e>
              <m:r>
                <m:rPr>
                  <m:nor/>
                </m:rPr>
                <w:rPr>
                  <w:i/>
                  <w:iCs/>
                </w:rPr>
                <m:t>g</m:t>
              </m:r>
            </m:e>
            <m:sup>
              <m:r>
                <m:rPr>
                  <m:nor/>
                </m:rPr>
                <w:rPr>
                  <w:i/>
                  <w:iCs/>
                </w:rPr>
                <m:t>A</m:t>
              </m:r>
            </m:sup>
          </m:sSup>
          <m:r>
            <w:rPr>
              <w:rFonts w:ascii="Cambria Math" w:hAnsi="Cambria Math"/>
            </w:rPr>
            <m:t>∙</m:t>
          </m:r>
          <m:r>
            <m:rPr>
              <m:nor/>
            </m:rPr>
            <w:rPr>
              <w:i/>
            </w:rPr>
            <m:t>t</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r>
            <m:rPr>
              <m:nor/>
            </m:rPr>
            <w:rPr>
              <w:rFonts w:eastAsiaTheme="minorEastAsia"/>
            </w:rPr>
            <m:t>,</m:t>
          </m:r>
          <m:r>
            <m:rPr>
              <m:sty m:val="p"/>
            </m:rPr>
            <w:rPr>
              <w:rFonts w:ascii="Cambria Math" w:eastAsiaTheme="minorEastAsia" w:hAnsi="Cambria Math"/>
            </w:rPr>
            <m:t xml:space="preserve">  </m:t>
          </m:r>
          <m:r>
            <m:rPr>
              <m:nor/>
            </m:rPr>
            <w:rPr>
              <w:rFonts w:eastAsiaTheme="minorEastAsia"/>
            </w:rPr>
            <m:t>siendo</m:t>
          </m:r>
          <m:r>
            <m:rPr>
              <m:nor/>
            </m:rPr>
            <w:rPr>
              <w:rFonts w:ascii="Cambria Math" w:eastAsiaTheme="minorEastAsia"/>
              <w:i/>
            </w:rPr>
            <m:t xml:space="preserve"> </m:t>
          </m:r>
          <m:r>
            <w:rPr>
              <w:rFonts w:ascii="Cambria Math" w:eastAsiaTheme="minorEastAsia" w:hAnsi="Cambria Math"/>
            </w:rPr>
            <m:t xml:space="preserve"> </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r>
            <w:rPr>
              <w:rFonts w:ascii="Cambria Math" w:hAnsi="Cambria Math"/>
            </w:rPr>
            <m:t>=</m:t>
          </m:r>
          <m:sSub>
            <m:sSubPr>
              <m:ctrlPr>
                <w:rPr>
                  <w:rFonts w:ascii="Cambria Math" w:hAnsi="Cambria Math"/>
                  <w:i/>
                </w:rPr>
              </m:ctrlPr>
            </m:sSubPr>
            <m:e>
              <m:r>
                <m:rPr>
                  <m:nor/>
                </m:rPr>
                <w:rPr>
                  <w:i/>
                  <w:iCs/>
                </w:rPr>
                <m:t>ρ</m:t>
              </m:r>
            </m:e>
            <m:sub>
              <m:r>
                <m:rPr>
                  <m:nor/>
                </m:rPr>
                <w:rPr>
                  <w:i/>
                </w:rPr>
                <m:t>A</m:t>
              </m:r>
            </m:sub>
          </m:sSub>
          <m:r>
            <w:rPr>
              <w:rFonts w:ascii="Cambria Math" w:hAnsi="Cambria Math"/>
            </w:rPr>
            <m:t>∙</m:t>
          </m:r>
          <m:sSub>
            <m:sSubPr>
              <m:ctrlPr>
                <w:rPr>
                  <w:rFonts w:ascii="Cambria Math" w:hAnsi="Cambria Math"/>
                  <w:i/>
                </w:rPr>
              </m:ctrlPr>
            </m:sSubPr>
            <m:e>
              <m:r>
                <m:rPr>
                  <m:nor/>
                </m:rPr>
                <w:rPr>
                  <w:i/>
                </w:rPr>
                <m:t>A</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rPr>
              </m:ctrlPr>
            </m:sSubSupPr>
            <m:e>
              <m:r>
                <m:rPr>
                  <m:nor/>
                </m:rPr>
                <w:rPr>
                  <w:i/>
                  <w:iCs/>
                </w:rPr>
                <m:t>ε</m:t>
              </m:r>
            </m:e>
            <m:sub>
              <m:r>
                <m:rPr>
                  <m:nor/>
                </m:rPr>
                <w:rPr>
                  <w:i/>
                </w:rPr>
                <m:t>t</m:t>
              </m:r>
            </m:sub>
            <m:sup>
              <m:r>
                <m:rPr>
                  <m:nor/>
                </m:rPr>
                <w:rPr>
                  <w:i/>
                </w:rPr>
                <m:t>A</m:t>
              </m:r>
            </m:sup>
          </m:sSubSup>
          <m:r>
            <m:rPr>
              <m:sty m:val="p"/>
            </m:rPr>
            <w:rPr>
              <w:rFonts w:ascii="Cambria Math" w:eastAsiaTheme="minorEastAsia" w:hAnsi="Cambria Math"/>
            </w:rPr>
            <w:br/>
          </m:r>
        </m:oMath>
      </m:oMathPara>
      <w:r w:rsidR="00D3596B" w:rsidRPr="00A80069">
        <w:t xml:space="preserve">donde </w:t>
      </w:r>
      <m:oMath>
        <m:sSub>
          <m:sSubPr>
            <m:ctrlPr>
              <w:rPr>
                <w:rFonts w:ascii="Cambria Math" w:hAnsi="Cambria Math"/>
                <w:i/>
              </w:rPr>
            </m:ctrlPr>
          </m:sSubPr>
          <m:e>
            <m:r>
              <m:rPr>
                <m:nor/>
              </m:rPr>
              <w:rPr>
                <w:i/>
                <w:iCs/>
              </w:rPr>
              <m:t>ρ</m:t>
            </m:r>
          </m:e>
          <m:sub>
            <m:r>
              <m:rPr>
                <m:nor/>
              </m:rPr>
              <w:rPr>
                <w:i/>
              </w:rPr>
              <m:t>A</m:t>
            </m:r>
          </m:sub>
        </m:sSub>
        <m:r>
          <w:rPr>
            <w:rFonts w:ascii="Cambria Math" w:hAnsi="Cambria Math"/>
          </w:rPr>
          <m:t>∈</m:t>
        </m:r>
        <m:d>
          <m:dPr>
            <m:ctrlPr>
              <w:rPr>
                <w:rFonts w:ascii="Cambria Math" w:hAnsi="Cambria Math"/>
                <w:i/>
              </w:rPr>
            </m:ctrlPr>
          </m:dPr>
          <m:e>
            <m:r>
              <w:rPr>
                <w:rFonts w:ascii="Cambria Math" w:hAnsi="Cambria Math"/>
              </w:rPr>
              <m:t>-</m:t>
            </m:r>
            <m:r>
              <m:rPr>
                <m:nor/>
              </m:rPr>
              <w:rPr>
                <w:i/>
              </w:rPr>
              <m:t>1,1</m:t>
            </m:r>
          </m:e>
        </m:d>
      </m:oMath>
      <w:r w:rsidR="00D3596B" w:rsidRPr="003A5E5A">
        <w:t xml:space="preserve"> y </w:t>
      </w:r>
      <m:oMath>
        <m:sSubSup>
          <m:sSubSupPr>
            <m:ctrlPr>
              <w:rPr>
                <w:rFonts w:ascii="Cambria Math" w:hAnsi="Cambria Math"/>
                <w:i/>
              </w:rPr>
            </m:ctrlPr>
          </m:sSubSupPr>
          <m:e>
            <m:r>
              <m:rPr>
                <m:nor/>
              </m:rPr>
              <w:rPr>
                <w:i/>
                <w:iCs/>
              </w:rPr>
              <m:t>ε</m:t>
            </m:r>
          </m:e>
          <m:sub>
            <m:r>
              <m:rPr>
                <m:nor/>
              </m:rPr>
              <w:rPr>
                <w:i/>
              </w:rPr>
              <m:t>t</m:t>
            </m:r>
          </m:sub>
          <m:sup>
            <m:r>
              <m:rPr>
                <m:nor/>
              </m:rPr>
              <w:rPr>
                <w:i/>
              </w:rPr>
              <m:t>A</m:t>
            </m:r>
          </m:sup>
        </m:sSubSup>
      </m:oMath>
      <w:r w:rsidR="00D3596B" w:rsidRPr="003A5E5A">
        <w:t xml:space="preserve"> es ruido blanco (por lo que tiene media cero, varianza constante y no está autocorrelacionado)</w:t>
      </w:r>
      <w:r w:rsidR="00D3596B" w:rsidRPr="00A80069">
        <w:t>.</w:t>
      </w:r>
    </w:p>
    <w:p w14:paraId="59F0026A" w14:textId="77777777" w:rsidR="00D3596B" w:rsidRDefault="00D3596B" w:rsidP="00D3596B">
      <w:pPr>
        <w:pStyle w:val="Nivel4"/>
        <w:ind w:left="1474"/>
      </w:pPr>
      <w:r w:rsidRPr="00A80069">
        <w:t xml:space="preserve">Esto implica que </w:t>
      </w:r>
      <m:oMath>
        <m:r>
          <m:rPr>
            <m:nor/>
          </m:rPr>
          <w:rPr>
            <w:i/>
          </w:rPr>
          <m:t>A</m:t>
        </m:r>
      </m:oMath>
      <w:r w:rsidRPr="00A80069">
        <w:t xml:space="preserve"> crece a una tasa tendencial </w:t>
      </w:r>
      <m:oMath>
        <m:sSup>
          <m:sSupPr>
            <m:ctrlPr>
              <w:rPr>
                <w:rFonts w:ascii="Cambria Math" w:hAnsi="Cambria Math"/>
                <w:i/>
                <w:iCs/>
              </w:rPr>
            </m:ctrlPr>
          </m:sSupPr>
          <m:e>
            <m:r>
              <m:rPr>
                <m:nor/>
              </m:rPr>
              <w:rPr>
                <w:i/>
                <w:iCs/>
              </w:rPr>
              <m:t>g</m:t>
            </m:r>
          </m:e>
          <m:sup>
            <m:r>
              <m:rPr>
                <m:nor/>
              </m:rPr>
              <w:rPr>
                <w:i/>
                <w:iCs/>
              </w:rPr>
              <m:t>A</m:t>
            </m:r>
          </m:sup>
        </m:sSup>
      </m:oMath>
      <w:r w:rsidRPr="00A80069">
        <w:t xml:space="preserve"> y está sujeto a fluctuaciones</w:t>
      </w:r>
      <w:r>
        <w:t xml:space="preserve"> cíclicas descritas por el proceso autorregresivo de orden 1, </w:t>
      </w:r>
      <m:oMath>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oMath>
      <w:r>
        <w:t>.</w:t>
      </w:r>
    </w:p>
    <w:p w14:paraId="67996FC0" w14:textId="77777777" w:rsidR="00D3596B" w:rsidRDefault="00000000" w:rsidP="00D3596B">
      <w:pPr>
        <w:pStyle w:val="Nivel4"/>
        <w:ind w:left="1474"/>
      </w:pPr>
      <m:oMath>
        <m:sSub>
          <m:sSubPr>
            <m:ctrlPr>
              <w:rPr>
                <w:rFonts w:ascii="Cambria Math" w:hAnsi="Cambria Math"/>
                <w:i/>
              </w:rPr>
            </m:ctrlPr>
          </m:sSubPr>
          <m:e>
            <m:r>
              <m:rPr>
                <m:nor/>
              </m:rPr>
              <w:rPr>
                <w:i/>
                <w:iCs/>
                <w:lang w:val="fr-FR"/>
              </w:rPr>
              <m:t>ρ</m:t>
            </m:r>
          </m:e>
          <m:sub>
            <m:r>
              <m:rPr>
                <m:nor/>
              </m:rPr>
              <w:rPr>
                <w:i/>
              </w:rPr>
              <m:t>A</m:t>
            </m:r>
          </m:sub>
        </m:sSub>
      </m:oMath>
      <w:r w:rsidR="00D3596B">
        <w:t xml:space="preserve"> determinará la persistencia del shock, que vendrá dado por cambios en </w:t>
      </w:r>
      <m:oMath>
        <m:sSubSup>
          <m:sSubSupPr>
            <m:ctrlPr>
              <w:rPr>
                <w:rFonts w:ascii="Cambria Math" w:hAnsi="Cambria Math"/>
                <w:i/>
              </w:rPr>
            </m:ctrlPr>
          </m:sSubSupPr>
          <m:e>
            <m:r>
              <m:rPr>
                <m:nor/>
              </m:rPr>
              <w:rPr>
                <w:i/>
                <w:iCs/>
              </w:rPr>
              <m:t>ε</m:t>
            </m:r>
          </m:e>
          <m:sub>
            <m:r>
              <m:rPr>
                <m:nor/>
              </m:rPr>
              <w:rPr>
                <w:i/>
              </w:rPr>
              <m:t>t</m:t>
            </m:r>
          </m:sub>
          <m:sup>
            <m:r>
              <m:rPr>
                <m:nor/>
              </m:rPr>
              <w:rPr>
                <w:i/>
              </w:rPr>
              <m:t>A</m:t>
            </m:r>
          </m:sup>
        </m:sSubSup>
      </m:oMath>
      <w:r w:rsidR="00D3596B">
        <w:t>.</w:t>
      </w:r>
    </w:p>
    <w:p w14:paraId="04611163" w14:textId="77777777" w:rsidR="00D3596B" w:rsidRDefault="00D3596B" w:rsidP="00D3596B">
      <w:pPr>
        <w:pStyle w:val="Nivel2SM"/>
        <w:keepNext/>
        <w:spacing w:after="0"/>
      </w:pPr>
      <w:r>
        <w:t xml:space="preserve">Esta función de producción será utilizada por las </w:t>
      </w:r>
      <w:r w:rsidRPr="00F036E1">
        <w:rPr>
          <w:i/>
          <w:iCs/>
          <w:u w:val="single"/>
        </w:rPr>
        <w:t>empresas</w:t>
      </w:r>
      <w:r>
        <w:t xml:space="preserve">. Suponemos que existe un </w:t>
      </w:r>
      <w:r w:rsidRPr="00555874">
        <w:rPr>
          <w:i/>
          <w:iCs/>
        </w:rPr>
        <w:t>número elevado</w:t>
      </w:r>
      <w:r>
        <w:t xml:space="preserve"> de </w:t>
      </w:r>
      <w:r w:rsidRPr="00555874">
        <w:rPr>
          <w:i/>
          <w:iCs/>
        </w:rPr>
        <w:t>empresas idénticas</w:t>
      </w:r>
      <w:r>
        <w:t xml:space="preserve"> que operan </w:t>
      </w:r>
      <w:r w:rsidRPr="00555874">
        <w:rPr>
          <w:i/>
          <w:iCs/>
        </w:rPr>
        <w:t>de forma racional</w:t>
      </w:r>
      <w:r>
        <w:t>.</w:t>
      </w:r>
    </w:p>
    <w:p w14:paraId="1AE4C761" w14:textId="77777777" w:rsidR="00D3596B" w:rsidRPr="00555874" w:rsidRDefault="00D3596B" w:rsidP="00D3596B">
      <w:pPr>
        <w:pStyle w:val="Nivel3SM"/>
      </w:pPr>
      <w:r w:rsidRPr="00555874">
        <w:t xml:space="preserve">El supuesto de que existe un </w:t>
      </w:r>
      <w:r w:rsidRPr="00555874">
        <w:rPr>
          <w:i/>
          <w:iCs/>
        </w:rPr>
        <w:t>número elevado</w:t>
      </w:r>
      <w:r w:rsidRPr="00555874">
        <w:t xml:space="preserve"> de empresas nos permite suponer que son precio-aceptantes tanto en el mercado de bienes como en el de factores, </w:t>
      </w:r>
      <w:r>
        <w:t xml:space="preserve">que unido al supuesto que veremos de un número elevado de hogares (también precio-aceptantes) implicará </w:t>
      </w:r>
      <w:r w:rsidRPr="00555874">
        <w:t>una situación de competencia perfecta tanto en el mercado de bienes como en el de factores, con plena flexibilidad de precios y salarios.</w:t>
      </w:r>
    </w:p>
    <w:p w14:paraId="55C1817E" w14:textId="77777777" w:rsidR="00D3596B" w:rsidRDefault="00D3596B" w:rsidP="00D3596B">
      <w:pPr>
        <w:pStyle w:val="Nivel3SM"/>
      </w:pPr>
      <w:r>
        <w:t xml:space="preserve">El supuesto de </w:t>
      </w:r>
      <w:r w:rsidRPr="00555874">
        <w:rPr>
          <w:i/>
          <w:iCs/>
        </w:rPr>
        <w:t>empresas idénticas</w:t>
      </w:r>
      <w:r>
        <w:t xml:space="preserve"> nos permite trabajar con una empresa representativa.</w:t>
      </w:r>
    </w:p>
    <w:p w14:paraId="7B91B3E2" w14:textId="77777777" w:rsidR="00D3596B" w:rsidRDefault="00D3596B" w:rsidP="00D3596B">
      <w:pPr>
        <w:pStyle w:val="Nivel3SM"/>
        <w:keepNext/>
      </w:pPr>
      <w:r>
        <w:lastRenderedPageBreak/>
        <w:t xml:space="preserve">Finalmente, las empresas son </w:t>
      </w:r>
      <w:r w:rsidRPr="00555874">
        <w:rPr>
          <w:i/>
          <w:iCs/>
        </w:rPr>
        <w:t>racionales</w:t>
      </w:r>
      <w:r>
        <w:t>, en el sentido de que maximizarán sus beneficios descontados</w:t>
      </w:r>
      <w:r>
        <w:rPr>
          <w:rStyle w:val="Refdenotaalpie"/>
        </w:rPr>
        <w:footnoteReference w:id="18"/>
      </w:r>
      <w:r>
        <w:t>:</w:t>
      </w:r>
    </w:p>
    <w:p w14:paraId="1FAEE1A2" w14:textId="77777777" w:rsidR="00D3596B" w:rsidRPr="002D728A" w:rsidRDefault="00000000" w:rsidP="00D3596B">
      <w:pPr>
        <w:pStyle w:val="Nivel2"/>
        <w:numPr>
          <w:ilvl w:val="0"/>
          <w:numId w:val="0"/>
        </w:numPr>
        <w:spacing w:after="0"/>
        <w:ind w:left="963" w:hanging="198"/>
        <w:rPr>
          <w:rFonts w:eastAsiaTheme="minorEastAsia"/>
          <w:iCs/>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nary>
                <m:naryPr>
                  <m:chr m:val="∑"/>
                  <m:limLoc m:val="undOvr"/>
                  <m:ctrlPr>
                    <w:rPr>
                      <w:rFonts w:ascii="Cambria Math" w:hAnsi="Cambria Math"/>
                      <w:i/>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lang w:val="fr-FR"/>
                                </w:rPr>
                                <m:t>1</m:t>
                              </m:r>
                            </m:num>
                            <m:den>
                              <m:r>
                                <m:rPr>
                                  <m:nor/>
                                </m:rPr>
                                <w:rPr>
                                  <w:i/>
                                  <w:lang w:val="fr-FR"/>
                                </w:rPr>
                                <m:t>1</m:t>
                              </m:r>
                              <m:r>
                                <w:rPr>
                                  <w:rFonts w:ascii="Cambria Math" w:hAnsi="Cambria Math"/>
                                  <w:lang w:val="fr-FR"/>
                                </w:rPr>
                                <m:t>+</m:t>
                              </m:r>
                              <m:r>
                                <m:rPr>
                                  <m:nor/>
                                </m:rPr>
                                <w:rPr>
                                  <w:i/>
                                  <w:lang w:val="fr-FR"/>
                                </w:rPr>
                                <m:t>R</m:t>
                              </m:r>
                            </m:den>
                          </m:f>
                        </m:e>
                      </m:d>
                    </m:e>
                    <m:sup>
                      <m:r>
                        <m:rPr>
                          <m:nor/>
                        </m:rPr>
                        <w:rPr>
                          <w:i/>
                          <w:lang w:val="fr-FR"/>
                        </w:rPr>
                        <m:t>t</m:t>
                      </m:r>
                    </m:sup>
                  </m:sSup>
                  <m:r>
                    <w:rPr>
                      <w:rFonts w:ascii="Cambria Math" w:hAnsi="Cambria Math"/>
                      <w:lang w:val="fr-FR"/>
                    </w:rPr>
                    <m:t>∙</m:t>
                  </m:r>
                  <m:d>
                    <m:dPr>
                      <m:ctrlPr>
                        <w:rPr>
                          <w:rFonts w:ascii="Cambria Math" w:hAnsi="Cambria Math"/>
                          <w:i/>
                          <w:iCs/>
                        </w:rPr>
                      </m:ctrlPr>
                    </m:dPr>
                    <m:e>
                      <m:limUpp>
                        <m:limUppPr>
                          <m:ctrlPr>
                            <w:rPr>
                              <w:rFonts w:ascii="Cambria Math" w:hAnsi="Cambria Math"/>
                              <w:i/>
                              <w:iCs/>
                            </w:rPr>
                          </m:ctrlPr>
                        </m:limUppPr>
                        <m:e>
                          <m:groupChr>
                            <m:groupChrPr>
                              <m:chr m:val="⏞"/>
                              <m:pos m:val="top"/>
                              <m:vertJc m:val="bot"/>
                              <m:ctrlPr>
                                <w:rPr>
                                  <w:rFonts w:ascii="Cambria Math" w:hAnsi="Cambria Math"/>
                                  <w:i/>
                                  <w:iCs/>
                                </w:rPr>
                              </m:ctrlPr>
                            </m:groupChrPr>
                            <m:e>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groupChr>
                        </m:e>
                        <m:lim>
                          <m:sSub>
                            <m:sSubPr>
                              <m:ctrlPr>
                                <w:rPr>
                                  <w:rFonts w:ascii="Cambria Math" w:hAnsi="Cambria Math"/>
                                  <w:i/>
                                  <w:iCs/>
                                </w:rPr>
                              </m:ctrlPr>
                            </m:sSubPr>
                            <m:e>
                              <m:r>
                                <m:rPr>
                                  <m:nor/>
                                </m:rPr>
                                <w:rPr>
                                  <w:i/>
                                  <w:lang w:val="fr-FR"/>
                                </w:rPr>
                                <m:t>π</m:t>
                              </m:r>
                            </m:e>
                            <m:sub>
                              <m:r>
                                <m:rPr>
                                  <m:nor/>
                                </m:rPr>
                                <w:rPr>
                                  <w:i/>
                                  <w:iCs/>
                                  <w:lang w:val="fr-FR"/>
                                </w:rPr>
                                <m:t>t</m:t>
                              </m:r>
                            </m:sub>
                          </m:sSub>
                        </m:lim>
                      </m:limUpp>
                    </m:e>
                  </m:d>
                </m:e>
              </m:nary>
            </m:e>
          </m:func>
        </m:oMath>
      </m:oMathPara>
    </w:p>
    <w:p w14:paraId="1312D97F" w14:textId="77777777" w:rsidR="00D3596B" w:rsidRPr="00711622" w:rsidRDefault="00D3596B" w:rsidP="00D3596B">
      <w:pPr>
        <w:pStyle w:val="Nivel4"/>
        <w:keepNext/>
        <w:ind w:left="1474"/>
        <w:rPr>
          <w:spacing w:val="-2"/>
        </w:rPr>
      </w:pPr>
      <w:r w:rsidRPr="00711622">
        <w:rPr>
          <w:spacing w:val="-2"/>
        </w:rPr>
        <w:t xml:space="preserve">Sin embargo, como se puede apreciar, todos los componentes del beneficio de cada período hacen referencia al período actual (no existe ningún componente que haga referencia a otros períodos), por lo que el problema no es genuinamente </w:t>
      </w:r>
      <w:proofErr w:type="spellStart"/>
      <w:r w:rsidRPr="00711622">
        <w:rPr>
          <w:spacing w:val="-2"/>
        </w:rPr>
        <w:t>intertemporal</w:t>
      </w:r>
      <w:proofErr w:type="spellEnd"/>
      <w:r w:rsidRPr="00711622">
        <w:rPr>
          <w:spacing w:val="-2"/>
        </w:rPr>
        <w:t xml:space="preserve"> </w:t>
      </w:r>
      <w:r w:rsidRPr="00711622">
        <w:rPr>
          <w:color w:val="767171" w:themeColor="background2" w:themeShade="80"/>
          <w:spacing w:val="-2"/>
          <w:sz w:val="19"/>
          <w:szCs w:val="19"/>
        </w:rPr>
        <w:t>[ver tema 3.A.12]</w:t>
      </w:r>
      <w:r w:rsidRPr="00711622">
        <w:rPr>
          <w:spacing w:val="-2"/>
        </w:rPr>
        <w:t xml:space="preserve"> y sería suficiente con maximizar el beneficio de cada período</w:t>
      </w:r>
      <w:r w:rsidRPr="00711622">
        <w:rPr>
          <w:rStyle w:val="Refdenotaalpie"/>
          <w:spacing w:val="-2"/>
        </w:rPr>
        <w:footnoteReference w:id="19"/>
      </w:r>
      <w:r w:rsidRPr="00711622">
        <w:rPr>
          <w:spacing w:val="-2"/>
        </w:rPr>
        <w:t>.</w:t>
      </w:r>
    </w:p>
    <w:p w14:paraId="552EA837" w14:textId="77777777" w:rsidR="00D3596B" w:rsidRPr="003E0A50" w:rsidRDefault="00000000" w:rsidP="00D3596B">
      <w:pPr>
        <w:pStyle w:val="Nivel3"/>
        <w:numPr>
          <w:ilvl w:val="0"/>
          <w:numId w:val="0"/>
        </w:numPr>
        <w:ind w:left="1474"/>
        <w:rPr>
          <w:spacing w:val="-2"/>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79F81FF7" w14:textId="77777777" w:rsidR="00D3596B" w:rsidRDefault="00D3596B" w:rsidP="00D3596B">
      <w:pPr>
        <w:pStyle w:val="Nivel2SM"/>
        <w:keepNext/>
        <w:spacing w:after="0"/>
      </w:pPr>
      <w:r>
        <w:t xml:space="preserve">Por el lado de los </w:t>
      </w:r>
      <w:r w:rsidRPr="00C73B81">
        <w:rPr>
          <w:i/>
          <w:iCs/>
          <w:u w:val="single"/>
        </w:rPr>
        <w:t>hogares</w:t>
      </w:r>
      <w:r>
        <w:t>, suponemos que existe un número elevado de hogares idénticos que operan de forma racional y que son propietarios de los factores productivos.</w:t>
      </w:r>
    </w:p>
    <w:p w14:paraId="3EEF4CB4" w14:textId="77777777" w:rsidR="00D3596B" w:rsidRPr="00555874" w:rsidRDefault="00D3596B" w:rsidP="00D3596B">
      <w:pPr>
        <w:pStyle w:val="Nivel3SM"/>
      </w:pPr>
      <w:r w:rsidRPr="00555874">
        <w:t xml:space="preserve">El supuesto de que existe un </w:t>
      </w:r>
      <w:r w:rsidRPr="00555874">
        <w:rPr>
          <w:i/>
          <w:iCs/>
        </w:rPr>
        <w:t>número elevado</w:t>
      </w:r>
      <w:r w:rsidRPr="00555874">
        <w:t xml:space="preserve"> de </w:t>
      </w:r>
      <w:r>
        <w:t>hogares</w:t>
      </w:r>
      <w:r w:rsidRPr="00555874">
        <w:t xml:space="preserve"> nos permite suponer que son precio-aceptantes tanto en el mercado de bienes como en el de factores, </w:t>
      </w:r>
      <w:r>
        <w:t xml:space="preserve">que unido al supuesto de un número elevado de empresas (también precio-aceptantes) implicará </w:t>
      </w:r>
      <w:r w:rsidRPr="00555874">
        <w:t>una situación de competencia perfecta tanto en el mercado de bienes como en el de factores, con plena flexibilidad de precios y salarios.</w:t>
      </w:r>
    </w:p>
    <w:p w14:paraId="7D5E6689" w14:textId="77777777" w:rsidR="00D3596B" w:rsidRDefault="00D3596B" w:rsidP="00D3596B">
      <w:pPr>
        <w:pStyle w:val="Nivel3SM"/>
      </w:pPr>
      <w:r>
        <w:t xml:space="preserve">El supuesto de </w:t>
      </w:r>
      <w:r>
        <w:rPr>
          <w:i/>
          <w:iCs/>
        </w:rPr>
        <w:t>hogares</w:t>
      </w:r>
      <w:r w:rsidRPr="00555874">
        <w:rPr>
          <w:i/>
          <w:iCs/>
        </w:rPr>
        <w:t xml:space="preserve"> idéntic</w:t>
      </w:r>
      <w:r>
        <w:rPr>
          <w:i/>
          <w:iCs/>
        </w:rPr>
        <w:t>o</w:t>
      </w:r>
      <w:r w:rsidRPr="00555874">
        <w:rPr>
          <w:i/>
          <w:iCs/>
        </w:rPr>
        <w:t>s</w:t>
      </w:r>
      <w:r>
        <w:t xml:space="preserve"> nos permite trabajar con un hogar representativo.</w:t>
      </w:r>
    </w:p>
    <w:p w14:paraId="29908B1C" w14:textId="77777777" w:rsidR="00D3596B" w:rsidRDefault="00D3596B" w:rsidP="00D3596B">
      <w:pPr>
        <w:pStyle w:val="Nivel3SM"/>
        <w:keepNext/>
      </w:pPr>
      <w:r>
        <w:t xml:space="preserve">Finalmente, los hogares son </w:t>
      </w:r>
      <w:r w:rsidRPr="00555874">
        <w:rPr>
          <w:i/>
          <w:iCs/>
        </w:rPr>
        <w:t>racionales</w:t>
      </w:r>
      <w:r>
        <w:t>, en el sentido de que maximizarán su utilidad descontada sujetos a una restricción presupuestaria (y su renta vendrá dada por sus factores productivos)</w:t>
      </w:r>
      <w:r>
        <w:rPr>
          <w:rStyle w:val="Refdenotaalpie"/>
        </w:rPr>
        <w:footnoteReference w:id="20"/>
      </w:r>
      <w:r>
        <w:t>:</w:t>
      </w:r>
    </w:p>
    <w:p w14:paraId="29357608" w14:textId="77777777" w:rsidR="00D3596B" w:rsidRPr="00A85591" w:rsidRDefault="00000000" w:rsidP="00D3596B">
      <w:pPr>
        <w:pStyle w:val="Nivel1"/>
        <w:numPr>
          <w:ilvl w:val="0"/>
          <w:numId w:val="0"/>
        </w:numPr>
        <w:spacing w:before="0" w:after="0"/>
        <w:ind w:left="623"/>
        <w:rPr>
          <w:rFonts w:eastAsiaTheme="minorEastAsia"/>
          <w:i/>
          <w:iCs/>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Cambria Math"/>
                                <w:i/>
                                <w:iCs/>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m:rPr>
                                <m:nor/>
                              </m:rPr>
                              <w:rPr>
                                <w:rFonts w:ascii="Cambria Math"/>
                                <w:i/>
                                <w:iCs/>
                                <w:lang w:val="fr-FR"/>
                              </w:rPr>
                              <m:t>,</m:t>
                            </m:r>
                            <m:sSub>
                              <m:sSubPr>
                                <m:ctrlPr>
                                  <w:rPr>
                                    <w:rFonts w:ascii="Cambria Math" w:hAnsi="Cambria Math"/>
                                    <w:i/>
                                    <w:iCs/>
                                  </w:rPr>
                                </m:ctrlPr>
                              </m:sSubPr>
                              <m:e>
                                <m:r>
                                  <m:rPr>
                                    <m:nor/>
                                  </m:rPr>
                                  <w:rPr>
                                    <w:i/>
                                    <w:iCs/>
                                    <w:lang w:val="fr-FR"/>
                                  </w:rPr>
                                  <m:t>B</m:t>
                                </m:r>
                              </m:e>
                              <m:sub>
                                <m:r>
                                  <m:rPr>
                                    <m:nor/>
                                  </m:rPr>
                                  <w:rPr>
                                    <w:i/>
                                    <w:iCs/>
                                    <w:lang w:val="fr-FR"/>
                                  </w:rPr>
                                  <m:t>t</m:t>
                                </m:r>
                                <m:r>
                                  <w:rPr>
                                    <w:rFonts w:ascii="Cambria Math" w:hAnsi="Cambria Math"/>
                                    <w:lang w:val="fr-FR"/>
                                  </w:rPr>
                                  <m:t>+</m:t>
                                </m:r>
                                <m:r>
                                  <m:rPr>
                                    <m:nor/>
                                  </m:rPr>
                                  <w:rPr>
                                    <w:i/>
                                    <w:iCs/>
                                    <w:lang w:val="fr-FR"/>
                                  </w:rPr>
                                  <m:t>1</m:t>
                                </m:r>
                              </m:sub>
                            </m:sSub>
                          </m:e>
                        </m:d>
                      </m:lim>
                    </m:limLow>
                  </m:fName>
                  <m:e>
                    <m:r>
                      <w:rPr>
                        <w:rFonts w:ascii="Cambria Math" w:hAnsi="Cambria Math"/>
                        <w:lang w:val="fr-FR"/>
                      </w:rPr>
                      <m:t xml:space="preserve">       </m:t>
                    </m:r>
                    <m:r>
                      <m:rPr>
                        <m:nor/>
                      </m:rPr>
                      <w:rPr>
                        <w:i/>
                        <w:iCs/>
                        <w:lang w:val="fr-FR"/>
                      </w:rPr>
                      <m:t>U</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0</m:t>
                        </m:r>
                      </m:sub>
                    </m:sSub>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lang w:val="fr-FR"/>
                                          </w:rPr>
                                          <m:t>1</m:t>
                                        </m:r>
                                      </m:num>
                                      <m:den>
                                        <m:r>
                                          <m:rPr>
                                            <m:nor/>
                                          </m:rPr>
                                          <w:rPr>
                                            <w:i/>
                                            <w:lang w:val="fr-FR"/>
                                          </w:rPr>
                                          <m:t>1</m:t>
                                        </m:r>
                                        <m:r>
                                          <w:rPr>
                                            <w:rFonts w:ascii="Cambria Math" w:hAnsi="Cambria Math"/>
                                            <w:lang w:val="fr-FR"/>
                                          </w:rPr>
                                          <m:t>+</m:t>
                                        </m:r>
                                        <m:r>
                                          <m:rPr>
                                            <m:nor/>
                                          </m:rPr>
                                          <w:rPr>
                                            <w:i/>
                                            <w:iCs/>
                                            <w:lang w:val="fr-FR"/>
                                          </w:rPr>
                                          <m:t>ρ</m:t>
                                        </m:r>
                                      </m:den>
                                    </m:f>
                                  </m:e>
                                </m:d>
                              </m:e>
                              <m:sup>
                                <m:r>
                                  <m:rPr>
                                    <m:nor/>
                                  </m:rPr>
                                  <w:rPr>
                                    <w:i/>
                                    <w:lang w:val="fr-FR"/>
                                  </w:rPr>
                                  <m:t>t</m:t>
                                </m:r>
                              </m:sup>
                            </m:sSup>
                            <m:r>
                              <w:rPr>
                                <w:rFonts w:ascii="Cambria Math" w:hAnsi="Cambria Math"/>
                                <w:lang w:val="fr-FR"/>
                              </w:rPr>
                              <m:t>∙</m:t>
                            </m:r>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iCs/>
                                            <w:lang w:val="fr-FR"/>
                                          </w:rPr>
                                          <m:t>1</m:t>
                                        </m:r>
                                        <m:r>
                                          <w:rPr>
                                            <w:rFonts w:ascii="Cambria Math" w:hAnsi="Cambria Math"/>
                                            <w:lang w:val="fr-FR"/>
                                          </w:rPr>
                                          <m:t>-</m:t>
                                        </m:r>
                                        <m:r>
                                          <m:rPr>
                                            <m:nor/>
                                          </m:rPr>
                                          <w:rPr>
                                            <w:i/>
                                            <w:lang w:val="fr-FR"/>
                                          </w:rPr>
                                          <m:t>θ</m:t>
                                        </m:r>
                                      </m:sup>
                                    </m:sSup>
                                    <m:r>
                                      <w:rPr>
                                        <w:rFonts w:ascii="Cambria Math" w:hAnsi="Cambria Math"/>
                                        <w:lang w:val="fr-FR"/>
                                      </w:rPr>
                                      <m:t>-</m:t>
                                    </m:r>
                                    <m:r>
                                      <m:rPr>
                                        <m:nor/>
                                      </m:rPr>
                                      <w:rPr>
                                        <w:i/>
                                        <w:iCs/>
                                        <w:lang w:val="fr-FR"/>
                                      </w:rPr>
                                      <m:t>1</m:t>
                                    </m:r>
                                  </m:num>
                                  <m:den>
                                    <m:r>
                                      <m:rPr>
                                        <m:nor/>
                                      </m:rPr>
                                      <w:rPr>
                                        <w:i/>
                                        <w:iCs/>
                                        <w:lang w:val="fr-FR"/>
                                      </w:rPr>
                                      <m:t>1</m:t>
                                    </m:r>
                                    <m:r>
                                      <w:rPr>
                                        <w:rFonts w:ascii="Cambria Math" w:hAnsi="Cambria Math"/>
                                        <w:lang w:val="fr-FR"/>
                                      </w:rPr>
                                      <m:t>-</m:t>
                                    </m:r>
                                    <m:r>
                                      <m:rPr>
                                        <m:nor/>
                                      </m:rPr>
                                      <w:rPr>
                                        <w:i/>
                                        <w:lang w:val="fr-FR"/>
                                      </w:rPr>
                                      <m:t>θ</m:t>
                                    </m:r>
                                  </m:den>
                                </m:f>
                                <m:r>
                                  <w:rPr>
                                    <w:rFonts w:ascii="Cambria Math" w:hAnsi="Cambria Math"/>
                                    <w:lang w:val="fr-FR"/>
                                  </w:rPr>
                                  <m:t>-</m:t>
                                </m:r>
                                <m:r>
                                  <m:rPr>
                                    <m:nor/>
                                  </m:rPr>
                                  <w:rPr>
                                    <w:i/>
                                    <w:iCs/>
                                    <w:lang w:val="fr-FR"/>
                                  </w:rPr>
                                  <m:t>ζ</m:t>
                                </m:r>
                                <m:r>
                                  <w:rPr>
                                    <w:rFonts w:ascii="Cambria Math" w:hAnsi="Cambria Math"/>
                                    <w:lang w:val="fr-FR"/>
                                  </w:rPr>
                                  <m:t>∙</m:t>
                                </m:r>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lang w:val="fr-FR"/>
                                          </w:rPr>
                                          <m:t>φ</m:t>
                                        </m:r>
                                      </m:sup>
                                    </m:sSup>
                                  </m:num>
                                  <m:den>
                                    <m:r>
                                      <m:rPr>
                                        <m:nor/>
                                      </m:rPr>
                                      <w:rPr>
                                        <w:i/>
                                        <w:iCs/>
                                        <w:lang w:val="fr-FR"/>
                                      </w:rPr>
                                      <m:t>1</m:t>
                                    </m:r>
                                    <m:r>
                                      <w:rPr>
                                        <w:rFonts w:ascii="Cambria Math" w:hAnsi="Cambria Math"/>
                                        <w:lang w:val="fr-FR"/>
                                      </w:rPr>
                                      <m:t>+</m:t>
                                    </m:r>
                                    <m:r>
                                      <m:rPr>
                                        <m:nor/>
                                      </m:rPr>
                                      <w:rPr>
                                        <w:i/>
                                        <w:iCs/>
                                        <w:lang w:val="fr-FR"/>
                                      </w:rPr>
                                      <m:t>φ</m:t>
                                    </m:r>
                                  </m:den>
                                </m:f>
                                <m:r>
                                  <w:rPr>
                                    <w:rFonts w:ascii="Cambria Math" w:hAnsi="Cambria Math"/>
                                    <w:lang w:val="fr-FR"/>
                                  </w:rPr>
                                  <m:t>+</m:t>
                                </m:r>
                                <m:r>
                                  <m:rPr>
                                    <m:nor/>
                                  </m:rPr>
                                  <w:rPr>
                                    <w:i/>
                                    <w:iCs/>
                                    <w:lang w:val="fr-FR"/>
                                  </w:rPr>
                                  <m:t>h</m:t>
                                </m:r>
                                <m:d>
                                  <m:dPr>
                                    <m:ctrlPr>
                                      <w:rPr>
                                        <w:rFonts w:ascii="Cambria Math" w:hAnsi="Cambria Math"/>
                                        <w:i/>
                                        <w:iCs/>
                                        <w:lang w:val="fr-FR"/>
                                      </w:rPr>
                                    </m:ctrlPr>
                                  </m:dPr>
                                  <m:e>
                                    <m:sSub>
                                      <m:sSubPr>
                                        <m:ctrlPr>
                                          <w:rPr>
                                            <w:rFonts w:ascii="Cambria Math" w:hAnsi="Cambria Math"/>
                                            <w:i/>
                                            <w:iCs/>
                                          </w:rPr>
                                        </m:ctrlPr>
                                      </m:sSubPr>
                                      <m:e>
                                        <m:r>
                                          <m:rPr>
                                            <m:nor/>
                                          </m:rPr>
                                          <w:rPr>
                                            <w:i/>
                                            <w:iCs/>
                                            <w:lang w:val="fr-FR"/>
                                          </w:rPr>
                                          <m:t>G</m:t>
                                        </m:r>
                                      </m:e>
                                      <m:sub>
                                        <m:r>
                                          <m:rPr>
                                            <m:nor/>
                                          </m:rPr>
                                          <w:rPr>
                                            <w:i/>
                                            <w:iCs/>
                                            <w:lang w:val="fr-FR"/>
                                          </w:rPr>
                                          <m:t>t</m:t>
                                        </m:r>
                                      </m:sub>
                                    </m:sSub>
                                  </m:e>
                                </m:d>
                              </m:e>
                            </m:d>
                          </m:e>
                        </m:nary>
                      </m:e>
                    </m:d>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iCs/>
                              <w:lang w:val="fr-FR"/>
                            </w:rPr>
                            <m:t>1</m:t>
                          </m:r>
                          <m:r>
                            <w:rPr>
                              <w:rFonts w:asci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lang w:val="fr-FR"/>
                            </w:rPr>
                            <m:t>τ</m:t>
                          </m:r>
                        </m:e>
                        <m:sub>
                          <m:r>
                            <m:rPr>
                              <m:nor/>
                            </m:rPr>
                            <w:rPr>
                              <w:i/>
                              <w:iCs/>
                              <w:lang w:val="fr-FR"/>
                            </w:rPr>
                            <m:t>t</m:t>
                          </m:r>
                        </m:sub>
                      </m:sSub>
                    </m:e>
                  </m:mr>
                </m:m>
              </m:e>
            </m:mr>
          </m:m>
        </m:oMath>
      </m:oMathPara>
    </w:p>
    <w:p w14:paraId="02FDE7FA" w14:textId="77777777" w:rsidR="00D3596B" w:rsidRDefault="00D3596B" w:rsidP="00D3596B">
      <w:pPr>
        <w:pStyle w:val="Nivel2SM"/>
        <w:keepNext/>
        <w:spacing w:after="0"/>
      </w:pPr>
      <w:r>
        <w:t xml:space="preserve">Por último, el </w:t>
      </w:r>
      <w:r w:rsidRPr="002051ED">
        <w:rPr>
          <w:i/>
          <w:iCs/>
          <w:u w:val="single"/>
        </w:rPr>
        <w:t>gobierno</w:t>
      </w:r>
      <w:r>
        <w:t xml:space="preserve"> no tiene un problema </w:t>
      </w:r>
      <w:r w:rsidRPr="002051ED">
        <w:rPr>
          <w:i/>
          <w:iCs/>
        </w:rPr>
        <w:t>per se</w:t>
      </w:r>
      <w:r>
        <w:t>, únicamente lleva a cabo una política fiscal que puede financiar mediante impuestos o mediante deuda, de forma que su restricción presupuestaria en cada período se puede expresar como:</w:t>
      </w:r>
    </w:p>
    <w:p w14:paraId="61B917D8" w14:textId="77777777" w:rsidR="00D3596B" w:rsidRPr="00DC6AF3" w:rsidRDefault="00000000" w:rsidP="00D3596B">
      <w:pPr>
        <w:pStyle w:val="Nivel1"/>
        <w:keepNext/>
        <w:numPr>
          <w:ilvl w:val="0"/>
          <w:numId w:val="0"/>
        </w:numPr>
        <w:spacing w:before="0" w:after="0"/>
        <w:ind w:left="623"/>
        <w:rPr>
          <w:lang w:val="fr-FR"/>
        </w:rPr>
      </w:pPr>
      <m:oMathPara>
        <m:oMath>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D</m:t>
              </m:r>
            </m:e>
            <m:sub>
              <m:r>
                <m:rPr>
                  <m:nor/>
                </m:rPr>
                <w:rPr>
                  <w:i/>
                  <w:iCs/>
                  <w:lang w:val="fr-FR"/>
                </w:rPr>
                <m:t>t</m:t>
              </m:r>
            </m:sub>
          </m:sSub>
          <m:r>
            <w:rPr>
              <w:rFonts w:ascii="Cambria Math" w:eastAsiaTheme="minorEastAsia" w:hAnsi="Cambria Math"/>
              <w:lang w:val="fr-FR"/>
            </w:rPr>
            <m:t>≤</m:t>
          </m:r>
          <m:sSub>
            <m:sSubPr>
              <m:ctrlPr>
                <w:rPr>
                  <w:rFonts w:ascii="Cambria Math" w:hAnsi="Cambria Math"/>
                  <w:i/>
                  <w:iCs/>
                </w:rPr>
              </m:ctrlPr>
            </m:sSubPr>
            <m:e>
              <m:r>
                <m:rPr>
                  <m:nor/>
                </m:rPr>
                <w:rPr>
                  <w:i/>
                  <w:lang w:val="fr-FR"/>
                </w:rPr>
                <m:t>T</m:t>
              </m:r>
            </m:e>
            <m:sub>
              <m:r>
                <m:rPr>
                  <m:nor/>
                </m:rPr>
                <w:rPr>
                  <w:i/>
                  <w:iCs/>
                  <w:lang w:val="fr-FR"/>
                </w:rPr>
                <m:t>t</m:t>
              </m:r>
            </m:sub>
          </m:sSub>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D</m:t>
                  </m:r>
                </m:e>
                <m:sub>
                  <m:r>
                    <m:rPr>
                      <m:nor/>
                    </m:rPr>
                    <w:rPr>
                      <w:i/>
                      <w:iCs/>
                      <w:lang w:val="fr-FR"/>
                    </w:rPr>
                    <m:t>t</m:t>
                  </m:r>
                  <m:r>
                    <w:rPr>
                      <w:rFonts w:ascii="Cambria Math" w:hAnsi="Cambria Math"/>
                      <w:lang w:val="fr-FR"/>
                    </w:rPr>
                    <m:t>+</m:t>
                  </m:r>
                  <m:r>
                    <m:rPr>
                      <m:nor/>
                    </m:rPr>
                    <w:rPr>
                      <w:i/>
                      <w:iCs/>
                      <w:lang w:val="fr-FR"/>
                    </w:rPr>
                    <m:t>1</m:t>
                  </m:r>
                </m:sub>
              </m:sSub>
              <m:r>
                <w:rPr>
                  <w:rFonts w:ascii="Cambria Math" w:eastAsiaTheme="minorEastAsia" w:hAnsi="Cambria Math"/>
                  <w:lang w:val="fr-FR"/>
                </w:rPr>
                <m:t>-</m:t>
              </m:r>
              <m:sSub>
                <m:sSubPr>
                  <m:ctrlPr>
                    <w:rPr>
                      <w:rFonts w:ascii="Cambria Math" w:hAnsi="Cambria Math"/>
                      <w:i/>
                      <w:iCs/>
                    </w:rPr>
                  </m:ctrlPr>
                </m:sSubPr>
                <m:e>
                  <m:r>
                    <m:rPr>
                      <m:nor/>
                    </m:rPr>
                    <w:rPr>
                      <w:i/>
                      <w:iCs/>
                      <w:lang w:val="fr-FR"/>
                    </w:rPr>
                    <m:t>D</m:t>
                  </m:r>
                </m:e>
                <m:sub>
                  <m:r>
                    <m:rPr>
                      <m:nor/>
                    </m:rPr>
                    <w:rPr>
                      <w:i/>
                      <w:iCs/>
                      <w:lang w:val="fr-FR"/>
                    </w:rPr>
                    <m:t>t</m:t>
                  </m:r>
                </m:sub>
              </m:sSub>
            </m:e>
          </m:d>
        </m:oMath>
      </m:oMathPara>
    </w:p>
    <w:p w14:paraId="14D491E4" w14:textId="77777777" w:rsidR="00D3596B" w:rsidRDefault="00D3596B" w:rsidP="00D3596B">
      <w:pPr>
        <w:pStyle w:val="Nivel3SM"/>
        <w:keepNext/>
      </w:pPr>
      <w:r>
        <w:t xml:space="preserve">Además, podemos añadir perturbaciones en el gasto público (de manera similar a los </w:t>
      </w:r>
      <w:r w:rsidRPr="00C73B81">
        <w:t>shocks</w:t>
      </w:r>
      <w:r>
        <w:t xml:space="preserve"> tecnológicos) </w:t>
      </w:r>
      <w:r>
        <w:rPr>
          <w:i/>
          <w:iCs/>
        </w:rPr>
        <w:t xml:space="preserve">à la </w:t>
      </w:r>
      <w:r w:rsidRPr="00BF2347">
        <w:rPr>
          <w:i/>
          <w:iCs/>
          <w:smallCaps/>
        </w:rPr>
        <w:t>Baxter</w:t>
      </w:r>
      <w:r>
        <w:rPr>
          <w:i/>
          <w:iCs/>
        </w:rPr>
        <w:t>-</w:t>
      </w:r>
      <w:r w:rsidRPr="00BF2347">
        <w:rPr>
          <w:i/>
          <w:iCs/>
          <w:smallCaps/>
        </w:rPr>
        <w:t>King</w:t>
      </w:r>
      <w:r>
        <w:rPr>
          <w:i/>
          <w:iCs/>
        </w:rPr>
        <w:t xml:space="preserve"> (1993)</w:t>
      </w:r>
      <w:r>
        <w:t>:</w:t>
      </w:r>
    </w:p>
    <w:p w14:paraId="39ED88D5" w14:textId="77777777" w:rsidR="00D3596B" w:rsidRDefault="00000000" w:rsidP="00D3596B">
      <w:pPr>
        <w:pStyle w:val="Nivel2"/>
        <w:keepNext/>
        <w:numPr>
          <w:ilvl w:val="0"/>
          <w:numId w:val="0"/>
        </w:numPr>
        <w:spacing w:after="0"/>
        <w:ind w:left="964"/>
      </w:pPr>
      <m:oMathPara>
        <m:oMath>
          <m:sSub>
            <m:sSubPr>
              <m:ctrlPr>
                <w:rPr>
                  <w:rFonts w:ascii="Cambria Math" w:hAnsi="Cambria Math"/>
                  <w:i/>
                  <w:iCs/>
                </w:rPr>
              </m:ctrlPr>
            </m:sSubPr>
            <m:e>
              <m:r>
                <m:rPr>
                  <m:nor/>
                </m:rPr>
                <w:rPr>
                  <w:i/>
                  <w:iCs/>
                </w:rPr>
                <m:t>G</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r>
            <w:rPr>
              <w:rFonts w:ascii="Cambria Math" w:hAnsi="Cambria Math"/>
            </w:rPr>
            <m:t>∙</m:t>
          </m:r>
          <m:sSup>
            <m:sSupPr>
              <m:ctrlPr>
                <w:rPr>
                  <w:rFonts w:ascii="Cambria Math" w:hAnsi="Cambria Math"/>
                  <w:i/>
                  <w:iCs/>
                </w:rPr>
              </m:ctrlPr>
            </m:sSupPr>
            <m:e>
              <m:r>
                <m:rPr>
                  <m:nor/>
                </m:rPr>
                <w:rPr>
                  <w:i/>
                  <w:iCs/>
                </w:rPr>
                <m:t>e</m:t>
              </m:r>
            </m:e>
            <m:sup>
              <m:sSup>
                <m:sSupPr>
                  <m:ctrlPr>
                    <w:rPr>
                      <w:rFonts w:ascii="Cambria Math" w:hAnsi="Cambria Math"/>
                      <w:i/>
                      <w:iCs/>
                    </w:rPr>
                  </m:ctrlPr>
                </m:sSupPr>
                <m:e>
                  <m:r>
                    <m:rPr>
                      <m:nor/>
                    </m:rPr>
                    <w:rPr>
                      <w:i/>
                      <w:iCs/>
                    </w:rPr>
                    <m:t>g</m:t>
                  </m:r>
                </m:e>
                <m:sup>
                  <m:r>
                    <m:rPr>
                      <m:nor/>
                    </m:rPr>
                    <w:rPr>
                      <w:i/>
                      <w:iCs/>
                    </w:rPr>
                    <m:t>G</m:t>
                  </m:r>
                </m:sup>
              </m:sSup>
              <m:r>
                <w:rPr>
                  <w:rFonts w:ascii="Cambria Math" w:hAnsi="Cambria Math"/>
                </w:rPr>
                <m:t>∙</m:t>
              </m:r>
              <m:r>
                <m:rPr>
                  <m:nor/>
                </m:rPr>
                <w:rPr>
                  <w:i/>
                  <w:iCs/>
                </w:rPr>
                <m:t>t</m:t>
              </m:r>
              <m:r>
                <w:rPr>
                  <w:rFonts w:ascii="Cambria Math" w:hAnsi="Cambria Math"/>
                </w:rPr>
                <m:t>+</m:t>
              </m:r>
              <m:acc>
                <m:accPr>
                  <m:chr m:val="̃"/>
                  <m:ctrlPr>
                    <w:rPr>
                      <w:rFonts w:ascii="Cambria Math" w:hAnsi="Cambria Math"/>
                      <w:i/>
                      <w:iCs/>
                    </w:rPr>
                  </m:ctrlPr>
                </m:accPr>
                <m:e>
                  <m:sSub>
                    <m:sSubPr>
                      <m:ctrlPr>
                        <w:rPr>
                          <w:rFonts w:ascii="Cambria Math" w:hAnsi="Cambria Math"/>
                          <w:i/>
                          <w:iCs/>
                        </w:rPr>
                      </m:ctrlPr>
                    </m:sSubPr>
                    <m:e>
                      <m:r>
                        <m:rPr>
                          <m:nor/>
                        </m:rPr>
                        <w:rPr>
                          <w:i/>
                          <w:iCs/>
                        </w:rPr>
                        <m:t>G</m:t>
                      </m:r>
                    </m:e>
                    <m:sub>
                      <m:r>
                        <m:rPr>
                          <m:nor/>
                        </m:rPr>
                        <w:rPr>
                          <w:i/>
                          <w:iCs/>
                        </w:rPr>
                        <m:t>t</m:t>
                      </m:r>
                    </m:sub>
                  </m:sSub>
                </m:e>
              </m:acc>
            </m:sup>
          </m:sSup>
          <m:r>
            <w:rPr>
              <w:rFonts w:ascii="Cambria Math" w:hAnsi="Cambria Math"/>
            </w:rPr>
            <m:t>⟹</m:t>
          </m:r>
          <m:func>
            <m:funcPr>
              <m:ctrlPr>
                <w:rPr>
                  <w:rFonts w:ascii="Cambria Math" w:hAnsi="Cambria Math"/>
                  <w:i/>
                  <w:iCs/>
                </w:rPr>
              </m:ctrlPr>
            </m:funcPr>
            <m:fName>
              <m:r>
                <m:rPr>
                  <m:nor/>
                </m:rPr>
                <w:rPr>
                  <w:i/>
                  <w:iCs/>
                </w:rPr>
                <m:t>ln</m:t>
              </m:r>
            </m:fName>
            <m:e>
              <m:sSub>
                <m:sSubPr>
                  <m:ctrlPr>
                    <w:rPr>
                      <w:rFonts w:ascii="Cambria Math" w:hAnsi="Cambria Math"/>
                      <w:i/>
                      <w:iCs/>
                    </w:rPr>
                  </m:ctrlPr>
                </m:sSubPr>
                <m:e>
                  <m:r>
                    <m:rPr>
                      <m:nor/>
                    </m:rPr>
                    <w:rPr>
                      <w:i/>
                      <w:iCs/>
                    </w:rPr>
                    <m:t>G</m:t>
                  </m:r>
                </m:e>
                <m:sub>
                  <m:r>
                    <m:rPr>
                      <m:nor/>
                    </m:rPr>
                    <w:rPr>
                      <w:i/>
                      <w:iCs/>
                    </w:rPr>
                    <m:t>t</m:t>
                  </m:r>
                </m:sub>
              </m:sSub>
            </m:e>
          </m:func>
          <m:r>
            <w:rPr>
              <w:rFonts w:ascii="Cambria Math" w:hAnsi="Cambria Math"/>
            </w:rPr>
            <m:t>=</m:t>
          </m:r>
          <m:func>
            <m:funcPr>
              <m:ctrlPr>
                <w:rPr>
                  <w:rFonts w:ascii="Cambria Math" w:hAnsi="Cambria Math"/>
                  <w:i/>
                  <w:iCs/>
                </w:rPr>
              </m:ctrlPr>
            </m:funcPr>
            <m:fName>
              <m:r>
                <m:rPr>
                  <m:nor/>
                </m:rPr>
                <w:rPr>
                  <w:i/>
                  <w:iCs/>
                </w:rPr>
                <m:t>ln</m:t>
              </m:r>
            </m:fName>
            <m:e>
              <m:sSub>
                <m:sSubPr>
                  <m:ctrlPr>
                    <w:rPr>
                      <w:rFonts w:ascii="Cambria Math" w:hAnsi="Cambria Math"/>
                      <w:i/>
                      <w:iCs/>
                    </w:rPr>
                  </m:ctrlPr>
                </m:sSubPr>
                <m:e>
                  <m:r>
                    <m:rPr>
                      <m:nor/>
                    </m:rPr>
                    <w:rPr>
                      <w:i/>
                      <w:iCs/>
                    </w:rPr>
                    <m:t>G</m:t>
                  </m:r>
                </m:e>
                <m:sub>
                  <m:r>
                    <m:rPr>
                      <m:nor/>
                    </m:rPr>
                    <w:rPr>
                      <w:i/>
                      <w:iCs/>
                    </w:rPr>
                    <m:t>0</m:t>
                  </m:r>
                </m:sub>
              </m:sSub>
            </m:e>
          </m:func>
          <m:r>
            <w:rPr>
              <w:rFonts w:ascii="Cambria Math" w:hAnsi="Cambria Math"/>
            </w:rPr>
            <m:t>+</m:t>
          </m:r>
          <m:sSup>
            <m:sSupPr>
              <m:ctrlPr>
                <w:rPr>
                  <w:rFonts w:ascii="Cambria Math" w:hAnsi="Cambria Math"/>
                  <w:i/>
                  <w:iCs/>
                </w:rPr>
              </m:ctrlPr>
            </m:sSupPr>
            <m:e>
              <m:r>
                <m:rPr>
                  <m:nor/>
                </m:rPr>
                <w:rPr>
                  <w:i/>
                  <w:iCs/>
                </w:rPr>
                <m:t>g</m:t>
              </m:r>
            </m:e>
            <m:sup>
              <m:r>
                <m:rPr>
                  <m:nor/>
                </m:rPr>
                <w:rPr>
                  <w:i/>
                  <w:iCs/>
                </w:rPr>
                <m:t>G</m:t>
              </m:r>
            </m:sup>
          </m:sSup>
          <m:r>
            <w:rPr>
              <w:rFonts w:ascii="Cambria Math" w:hAnsi="Cambria Math"/>
            </w:rPr>
            <m:t>∙</m:t>
          </m:r>
          <m:r>
            <m:rPr>
              <m:nor/>
            </m:rPr>
            <w:rPr>
              <w:i/>
              <w:iCs/>
            </w:rPr>
            <m:t>t</m:t>
          </m:r>
          <m:r>
            <w:rPr>
              <w:rFonts w:ascii="Cambria Math" w:hAnsi="Cambria Math"/>
            </w:rPr>
            <m:t>+</m:t>
          </m:r>
          <m:acc>
            <m:accPr>
              <m:chr m:val="̃"/>
              <m:ctrlPr>
                <w:rPr>
                  <w:rFonts w:ascii="Cambria Math" w:hAnsi="Cambria Math"/>
                  <w:i/>
                  <w:iCs/>
                </w:rPr>
              </m:ctrlPr>
            </m:accPr>
            <m:e>
              <m:sSub>
                <m:sSubPr>
                  <m:ctrlPr>
                    <w:rPr>
                      <w:rFonts w:ascii="Cambria Math" w:hAnsi="Cambria Math"/>
                      <w:i/>
                      <w:iCs/>
                    </w:rPr>
                  </m:ctrlPr>
                </m:sSubPr>
                <m:e>
                  <m:r>
                    <m:rPr>
                      <m:nor/>
                    </m:rPr>
                    <w:rPr>
                      <w:i/>
                      <w:iCs/>
                    </w:rPr>
                    <m:t>G</m:t>
                  </m:r>
                </m:e>
                <m:sub>
                  <m:r>
                    <m:rPr>
                      <m:nor/>
                    </m:rPr>
                    <w:rPr>
                      <w:i/>
                      <w:iCs/>
                    </w:rPr>
                    <m:t>t</m:t>
                  </m:r>
                </m:sub>
              </m:sSub>
            </m:e>
          </m:acc>
          <m:r>
            <m:rPr>
              <m:nor/>
            </m:rPr>
            <w:rPr>
              <w:rFonts w:eastAsiaTheme="minorEastAsia"/>
            </w:rPr>
            <m:t>,</m:t>
          </m:r>
          <m:r>
            <m:rPr>
              <m:sty m:val="p"/>
            </m:rPr>
            <w:rPr>
              <w:rFonts w:ascii="Cambria Math" w:eastAsiaTheme="minorEastAsia" w:hAnsi="Cambria Math"/>
            </w:rPr>
            <m:t xml:space="preserve">  </m:t>
          </m:r>
          <m:r>
            <m:rPr>
              <m:nor/>
            </m:rPr>
            <w:rPr>
              <w:rFonts w:eastAsiaTheme="minorEastAsia"/>
            </w:rPr>
            <m:t>siendo</m:t>
          </m:r>
          <m:r>
            <m:rPr>
              <m:nor/>
            </m:rPr>
            <w:rPr>
              <w:rFonts w:ascii="Cambria Math" w:eastAsiaTheme="minorEastAsia"/>
              <w:i/>
            </w:rPr>
            <m:t xml:space="preserve"> </m:t>
          </m:r>
          <m:r>
            <w:rPr>
              <w:rFonts w:ascii="Cambria Math" w:eastAsiaTheme="minorEastAsia" w:hAnsi="Cambria Math"/>
            </w:rPr>
            <m:t xml:space="preserve"> </m:t>
          </m:r>
          <m:acc>
            <m:accPr>
              <m:chr m:val="̃"/>
              <m:ctrlPr>
                <w:rPr>
                  <w:rFonts w:ascii="Cambria Math" w:hAnsi="Cambria Math"/>
                  <w:i/>
                  <w:iCs/>
                </w:rPr>
              </m:ctrlPr>
            </m:accPr>
            <m:e>
              <m:sSub>
                <m:sSubPr>
                  <m:ctrlPr>
                    <w:rPr>
                      <w:rFonts w:ascii="Cambria Math" w:hAnsi="Cambria Math"/>
                      <w:i/>
                      <w:iCs/>
                    </w:rPr>
                  </m:ctrlPr>
                </m:sSubPr>
                <m:e>
                  <m:r>
                    <m:rPr>
                      <m:nor/>
                    </m:rPr>
                    <w:rPr>
                      <w:i/>
                      <w:iCs/>
                    </w:rPr>
                    <m:t>G</m:t>
                  </m:r>
                </m:e>
                <m:sub>
                  <m:r>
                    <m:rPr>
                      <m:nor/>
                    </m:rPr>
                    <w:rPr>
                      <w:i/>
                      <w:iCs/>
                    </w:rPr>
                    <m:t>t</m:t>
                  </m:r>
                </m:sub>
              </m:sSub>
            </m:e>
          </m:acc>
          <m:r>
            <w:rPr>
              <w:rFonts w:ascii="Cambria Math" w:hAnsi="Cambria Math"/>
            </w:rPr>
            <m:t>=</m:t>
          </m:r>
          <m:sSub>
            <m:sSubPr>
              <m:ctrlPr>
                <w:rPr>
                  <w:rFonts w:ascii="Cambria Math" w:hAnsi="Cambria Math"/>
                  <w:i/>
                  <w:iCs/>
                </w:rPr>
              </m:ctrlPr>
            </m:sSubPr>
            <m:e>
              <m:r>
                <m:rPr>
                  <m:nor/>
                </m:rPr>
                <w:rPr>
                  <w:i/>
                  <w:iCs/>
                </w:rPr>
                <m:t>ρ</m:t>
              </m:r>
            </m:e>
            <m:sub>
              <m:r>
                <m:rPr>
                  <m:nor/>
                </m:rPr>
                <w:rPr>
                  <w:i/>
                  <w:iCs/>
                </w:rPr>
                <m:t>G</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t</m:t>
              </m:r>
              <m:r>
                <w:rPr>
                  <w:rFonts w:ascii="Cambria Math" w:hAnsi="Cambria Math"/>
                </w:rPr>
                <m:t>-</m:t>
              </m:r>
              <m:r>
                <m:rPr>
                  <m:nor/>
                </m:rPr>
                <w:rPr>
                  <w:i/>
                  <w:iCs/>
                </w:rPr>
                <m:t>1</m:t>
              </m:r>
            </m:sub>
          </m:sSub>
          <m:r>
            <w:rPr>
              <w:rFonts w:ascii="Cambria Math" w:hAnsi="Cambria Math"/>
            </w:rPr>
            <m:t>+</m:t>
          </m:r>
          <m:sSubSup>
            <m:sSubSupPr>
              <m:ctrlPr>
                <w:rPr>
                  <w:rFonts w:ascii="Cambria Math" w:hAnsi="Cambria Math"/>
                  <w:i/>
                  <w:iCs/>
                </w:rPr>
              </m:ctrlPr>
            </m:sSubSupPr>
            <m:e>
              <m:r>
                <m:rPr>
                  <m:nor/>
                </m:rPr>
                <w:rPr>
                  <w:i/>
                  <w:iCs/>
                </w:rPr>
                <m:t>ε</m:t>
              </m:r>
            </m:e>
            <m:sub>
              <m:r>
                <m:rPr>
                  <m:nor/>
                </m:rPr>
                <w:rPr>
                  <w:i/>
                  <w:iCs/>
                </w:rPr>
                <m:t>t</m:t>
              </m:r>
            </m:sub>
            <m:sup>
              <m:r>
                <m:rPr>
                  <m:nor/>
                </m:rPr>
                <w:rPr>
                  <w:i/>
                  <w:iCs/>
                </w:rPr>
                <m:t>G</m:t>
              </m:r>
            </m:sup>
          </m:sSubSup>
          <m:r>
            <m:rPr>
              <m:sty m:val="p"/>
            </m:rPr>
            <w:rPr>
              <w:rFonts w:eastAsiaTheme="minorEastAsia"/>
            </w:rPr>
            <w:br/>
          </m:r>
        </m:oMath>
      </m:oMathPara>
      <w:r w:rsidR="00D3596B" w:rsidRPr="00A80069">
        <w:t xml:space="preserve">donde </w:t>
      </w:r>
      <m:oMath>
        <m:sSub>
          <m:sSubPr>
            <m:ctrlPr>
              <w:rPr>
                <w:rFonts w:ascii="Cambria Math" w:hAnsi="Cambria Math"/>
                <w:i/>
              </w:rPr>
            </m:ctrlPr>
          </m:sSubPr>
          <m:e>
            <m:r>
              <m:rPr>
                <m:nor/>
              </m:rPr>
              <w:rPr>
                <w:i/>
              </w:rPr>
              <m:t>ρ</m:t>
            </m:r>
          </m:e>
          <m:sub>
            <m:r>
              <m:rPr>
                <m:nor/>
              </m:rPr>
              <w:rPr>
                <w:i/>
              </w:rPr>
              <m:t>G</m:t>
            </m:r>
          </m:sub>
        </m:sSub>
        <m:r>
          <w:rPr>
            <w:rFonts w:ascii="Cambria Math" w:hAnsi="Cambria Math"/>
          </w:rPr>
          <m:t>∈</m:t>
        </m:r>
        <m:d>
          <m:dPr>
            <m:ctrlPr>
              <w:rPr>
                <w:rFonts w:ascii="Cambria Math" w:hAnsi="Cambria Math"/>
                <w:i/>
              </w:rPr>
            </m:ctrlPr>
          </m:dPr>
          <m:e>
            <m:r>
              <w:rPr>
                <w:rFonts w:ascii="Cambria Math" w:hAnsi="Cambria Math"/>
              </w:rPr>
              <m:t>-</m:t>
            </m:r>
            <m:r>
              <m:rPr>
                <m:nor/>
              </m:rPr>
              <w:rPr>
                <w:i/>
              </w:rPr>
              <m:t>1,1</m:t>
            </m:r>
          </m:e>
        </m:d>
      </m:oMath>
      <w:r w:rsidR="00D3596B" w:rsidRPr="00A80069">
        <w:t xml:space="preserve"> y </w:t>
      </w:r>
      <m:oMath>
        <m:sSubSup>
          <m:sSubSupPr>
            <m:ctrlPr>
              <w:rPr>
                <w:rFonts w:ascii="Cambria Math" w:hAnsi="Cambria Math"/>
                <w:i/>
              </w:rPr>
            </m:ctrlPr>
          </m:sSubSupPr>
          <m:e>
            <m:r>
              <m:rPr>
                <m:nor/>
              </m:rPr>
              <w:rPr>
                <w:i/>
              </w:rPr>
              <m:t>ε</m:t>
            </m:r>
          </m:e>
          <m:sub>
            <m:r>
              <m:rPr>
                <m:nor/>
              </m:rPr>
              <w:rPr>
                <w:i/>
              </w:rPr>
              <m:t>t</m:t>
            </m:r>
          </m:sub>
          <m:sup>
            <m:r>
              <m:rPr>
                <m:nor/>
              </m:rPr>
              <w:rPr>
                <w:i/>
              </w:rPr>
              <m:t>G</m:t>
            </m:r>
          </m:sup>
        </m:sSubSup>
      </m:oMath>
      <w:r w:rsidR="00D3596B" w:rsidRPr="00A80069">
        <w:t xml:space="preserve"> es ruido blanco </w:t>
      </w:r>
      <w:r w:rsidR="00D3596B" w:rsidRPr="00F036E1">
        <w:rPr>
          <w:sz w:val="19"/>
          <w:szCs w:val="19"/>
        </w:rPr>
        <w:t>(por lo que tiene media cero y no está autocorrelacionado)</w:t>
      </w:r>
      <w:r w:rsidR="00D3596B" w:rsidRPr="00A80069">
        <w:t>.</w:t>
      </w:r>
    </w:p>
    <w:p w14:paraId="68A72546" w14:textId="77777777" w:rsidR="00D3596B" w:rsidRDefault="00D3596B" w:rsidP="00D3596B">
      <w:pPr>
        <w:pStyle w:val="Nivel4"/>
        <w:ind w:left="1474"/>
      </w:pPr>
      <w:r w:rsidRPr="00A80069">
        <w:t xml:space="preserve">Esto implica que </w:t>
      </w:r>
      <m:oMath>
        <m:r>
          <m:rPr>
            <m:nor/>
          </m:rPr>
          <w:rPr>
            <w:i/>
          </w:rPr>
          <m:t>G</m:t>
        </m:r>
      </m:oMath>
      <w:r w:rsidRPr="00A80069">
        <w:t xml:space="preserve"> crece a una tasa tendencial </w:t>
      </w:r>
      <m:oMath>
        <m:sSup>
          <m:sSupPr>
            <m:ctrlPr>
              <w:rPr>
                <w:rFonts w:ascii="Cambria Math" w:hAnsi="Cambria Math"/>
                <w:i/>
                <w:iCs/>
              </w:rPr>
            </m:ctrlPr>
          </m:sSupPr>
          <m:e>
            <m:r>
              <m:rPr>
                <m:nor/>
              </m:rPr>
              <w:rPr>
                <w:i/>
                <w:iCs/>
              </w:rPr>
              <m:t>g</m:t>
            </m:r>
          </m:e>
          <m:sup>
            <m:r>
              <m:rPr>
                <m:nor/>
              </m:rPr>
              <w:rPr>
                <w:i/>
                <w:iCs/>
              </w:rPr>
              <m:t>G</m:t>
            </m:r>
          </m:sup>
        </m:sSup>
      </m:oMath>
      <w:r w:rsidRPr="00A80069">
        <w:t xml:space="preserve"> y está sujeto a fluctuaciones</w:t>
      </w:r>
      <w:r>
        <w:t xml:space="preserve"> cíclicas descritas por el proceso autorregresivo de orden 1, </w:t>
      </w:r>
      <m:oMath>
        <m:acc>
          <m:accPr>
            <m:chr m:val="̃"/>
            <m:ctrlPr>
              <w:rPr>
                <w:rFonts w:ascii="Cambria Math" w:hAnsi="Cambria Math"/>
                <w:i/>
              </w:rPr>
            </m:ctrlPr>
          </m:accPr>
          <m:e>
            <m:sSub>
              <m:sSubPr>
                <m:ctrlPr>
                  <w:rPr>
                    <w:rFonts w:ascii="Cambria Math" w:hAnsi="Cambria Math"/>
                    <w:i/>
                  </w:rPr>
                </m:ctrlPr>
              </m:sSubPr>
              <m:e>
                <m:r>
                  <m:rPr>
                    <m:nor/>
                  </m:rPr>
                  <w:rPr>
                    <w:i/>
                    <w:iCs/>
                  </w:rPr>
                  <m:t>G</m:t>
                </m:r>
              </m:e>
              <m:sub>
                <m:r>
                  <m:rPr>
                    <m:nor/>
                  </m:rPr>
                  <w:rPr>
                    <w:i/>
                  </w:rPr>
                  <m:t>t</m:t>
                </m:r>
              </m:sub>
            </m:sSub>
          </m:e>
        </m:acc>
      </m:oMath>
      <w:r>
        <w:t>.</w:t>
      </w:r>
    </w:p>
    <w:p w14:paraId="6F4DDCB9" w14:textId="77777777" w:rsidR="00D3596B" w:rsidRDefault="00000000" w:rsidP="00D3596B">
      <w:pPr>
        <w:pStyle w:val="Nivel4"/>
        <w:ind w:left="1474"/>
      </w:pPr>
      <m:oMath>
        <m:sSub>
          <m:sSubPr>
            <m:ctrlPr>
              <w:rPr>
                <w:rFonts w:ascii="Cambria Math" w:hAnsi="Cambria Math"/>
                <w:i/>
              </w:rPr>
            </m:ctrlPr>
          </m:sSubPr>
          <m:e>
            <m:r>
              <m:rPr>
                <m:nor/>
              </m:rPr>
              <w:rPr>
                <w:i/>
                <w:iCs/>
                <w:lang w:val="fr-FR"/>
              </w:rPr>
              <m:t>ρ</m:t>
            </m:r>
          </m:e>
          <m:sub>
            <m:r>
              <m:rPr>
                <m:nor/>
              </m:rPr>
              <w:rPr>
                <w:i/>
                <w:iCs/>
              </w:rPr>
              <m:t>G</m:t>
            </m:r>
          </m:sub>
        </m:sSub>
      </m:oMath>
      <w:r w:rsidR="00D3596B">
        <w:t xml:space="preserve"> determinará la persistencia del shock, que vendrá dado por cambios en </w:t>
      </w:r>
      <m:oMath>
        <m:sSubSup>
          <m:sSubSupPr>
            <m:ctrlPr>
              <w:rPr>
                <w:rFonts w:ascii="Cambria Math" w:hAnsi="Cambria Math"/>
                <w:i/>
              </w:rPr>
            </m:ctrlPr>
          </m:sSubSupPr>
          <m:e>
            <m:r>
              <m:rPr>
                <m:nor/>
              </m:rPr>
              <w:rPr>
                <w:i/>
                <w:iCs/>
              </w:rPr>
              <m:t>ε</m:t>
            </m:r>
          </m:e>
          <m:sub>
            <m:r>
              <m:rPr>
                <m:nor/>
              </m:rPr>
              <w:rPr>
                <w:i/>
              </w:rPr>
              <m:t>t</m:t>
            </m:r>
          </m:sub>
          <m:sup>
            <m:r>
              <m:rPr>
                <m:nor/>
              </m:rPr>
              <w:rPr>
                <w:i/>
                <w:iCs/>
              </w:rPr>
              <m:t>G</m:t>
            </m:r>
          </m:sup>
        </m:sSubSup>
      </m:oMath>
      <w:r w:rsidR="00D3596B">
        <w:t>.</w:t>
      </w:r>
    </w:p>
    <w:p w14:paraId="19198D6F" w14:textId="77777777" w:rsidR="00D3596B" w:rsidRDefault="00D3596B" w:rsidP="00D3596B">
      <w:pPr>
        <w:pStyle w:val="Ttulo6"/>
      </w:pPr>
      <w:bookmarkStart w:id="56" w:name="_Toc142500897"/>
      <w:bookmarkStart w:id="57" w:name="_Toc151221248"/>
      <w:r>
        <w:lastRenderedPageBreak/>
        <w:t>Desarrollo</w:t>
      </w:r>
      <w:bookmarkEnd w:id="56"/>
      <w:bookmarkEnd w:id="57"/>
    </w:p>
    <w:p w14:paraId="0453A848" w14:textId="77777777" w:rsidR="00D3596B" w:rsidRDefault="00D3596B" w:rsidP="00D3596B">
      <w:pPr>
        <w:pStyle w:val="Ttulo7"/>
        <w:spacing w:before="0"/>
        <w:rPr>
          <w:lang w:val="fr-FR"/>
        </w:rPr>
      </w:pPr>
      <w:bookmarkStart w:id="58" w:name="_Toc142500898"/>
      <w:proofErr w:type="spellStart"/>
      <w:r w:rsidRPr="00396F4F">
        <w:rPr>
          <w:lang w:val="fr-FR"/>
        </w:rPr>
        <w:t>Problema</w:t>
      </w:r>
      <w:proofErr w:type="spellEnd"/>
      <w:r w:rsidRPr="00396F4F">
        <w:rPr>
          <w:lang w:val="fr-FR"/>
        </w:rPr>
        <w:t xml:space="preserve"> del </w:t>
      </w:r>
      <w:proofErr w:type="spellStart"/>
      <w:r w:rsidRPr="00396F4F">
        <w:rPr>
          <w:lang w:val="fr-FR"/>
        </w:rPr>
        <w:t>hogar</w:t>
      </w:r>
      <w:proofErr w:type="spellEnd"/>
      <w:r w:rsidRPr="00396F4F">
        <w:rPr>
          <w:lang w:val="fr-FR"/>
        </w:rPr>
        <w:t xml:space="preserve"> </w:t>
      </w:r>
      <w:proofErr w:type="spellStart"/>
      <w:r w:rsidRPr="00396F4F">
        <w:rPr>
          <w:lang w:val="fr-FR"/>
        </w:rPr>
        <w:t>representativo</w:t>
      </w:r>
      <w:bookmarkEnd w:id="58"/>
      <w:proofErr w:type="spellEnd"/>
    </w:p>
    <w:p w14:paraId="186B742D" w14:textId="77777777" w:rsidR="00D3596B" w:rsidRPr="003C545D" w:rsidRDefault="00D3596B" w:rsidP="00D3596B">
      <w:pPr>
        <w:pStyle w:val="Nivel1SM"/>
        <w:keepNext/>
        <w:spacing w:before="0" w:after="0"/>
      </w:pPr>
      <w:r w:rsidRPr="003C545D">
        <w:t>Como decíamos, el problema del hogar representativo</w:t>
      </w:r>
      <w:r>
        <w:t xml:space="preserve"> es:</w:t>
      </w:r>
    </w:p>
    <w:p w14:paraId="6D54A7A7" w14:textId="77777777" w:rsidR="00D3596B" w:rsidRPr="00A85591" w:rsidRDefault="00000000" w:rsidP="00D3596B">
      <w:pPr>
        <w:pStyle w:val="Nivel1"/>
        <w:numPr>
          <w:ilvl w:val="0"/>
          <w:numId w:val="0"/>
        </w:numPr>
        <w:spacing w:before="0" w:after="0"/>
        <w:ind w:left="623"/>
        <w:rPr>
          <w:rFonts w:eastAsiaTheme="minorEastAsia"/>
          <w:i/>
          <w:iCs/>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Cambria Math"/>
                                <w:i/>
                                <w:iCs/>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m:rPr>
                                <m:nor/>
                              </m:rPr>
                              <w:rPr>
                                <w:rFonts w:ascii="Cambria Math"/>
                                <w:i/>
                                <w:iCs/>
                                <w:lang w:val="fr-FR"/>
                              </w:rPr>
                              <m:t>,</m:t>
                            </m:r>
                            <m:sSub>
                              <m:sSubPr>
                                <m:ctrlPr>
                                  <w:rPr>
                                    <w:rFonts w:ascii="Cambria Math" w:hAnsi="Cambria Math"/>
                                    <w:i/>
                                    <w:iCs/>
                                  </w:rPr>
                                </m:ctrlPr>
                              </m:sSubPr>
                              <m:e>
                                <m:r>
                                  <m:rPr>
                                    <m:nor/>
                                  </m:rPr>
                                  <w:rPr>
                                    <w:i/>
                                    <w:iCs/>
                                    <w:lang w:val="fr-FR"/>
                                  </w:rPr>
                                  <m:t>B</m:t>
                                </m:r>
                              </m:e>
                              <m:sub>
                                <m:r>
                                  <m:rPr>
                                    <m:nor/>
                                  </m:rPr>
                                  <w:rPr>
                                    <w:i/>
                                    <w:iCs/>
                                    <w:lang w:val="fr-FR"/>
                                  </w:rPr>
                                  <m:t>t</m:t>
                                </m:r>
                                <m:r>
                                  <w:rPr>
                                    <w:rFonts w:ascii="Cambria Math" w:hAnsi="Cambria Math"/>
                                    <w:lang w:val="fr-FR"/>
                                  </w:rPr>
                                  <m:t>+</m:t>
                                </m:r>
                                <m:r>
                                  <m:rPr>
                                    <m:nor/>
                                  </m:rPr>
                                  <w:rPr>
                                    <w:i/>
                                    <w:iCs/>
                                    <w:lang w:val="fr-FR"/>
                                  </w:rPr>
                                  <m:t>1</m:t>
                                </m:r>
                              </m:sub>
                            </m:sSub>
                          </m:e>
                        </m:d>
                      </m:lim>
                    </m:limLow>
                  </m:fName>
                  <m:e>
                    <m:r>
                      <w:rPr>
                        <w:rFonts w:ascii="Cambria Math" w:hAnsi="Cambria Math"/>
                        <w:lang w:val="fr-FR"/>
                      </w:rPr>
                      <m:t xml:space="preserve">       </m:t>
                    </m:r>
                    <m:r>
                      <m:rPr>
                        <m:nor/>
                      </m:rPr>
                      <w:rPr>
                        <w:i/>
                        <w:iCs/>
                        <w:lang w:val="fr-FR"/>
                      </w:rPr>
                      <m:t>U</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0</m:t>
                        </m:r>
                      </m:sub>
                    </m:sSub>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lang w:val="fr-FR"/>
                                          </w:rPr>
                                          <m:t>1</m:t>
                                        </m:r>
                                      </m:num>
                                      <m:den>
                                        <m:r>
                                          <m:rPr>
                                            <m:nor/>
                                          </m:rPr>
                                          <w:rPr>
                                            <w:i/>
                                            <w:lang w:val="fr-FR"/>
                                          </w:rPr>
                                          <m:t>1</m:t>
                                        </m:r>
                                        <m:r>
                                          <w:rPr>
                                            <w:rFonts w:ascii="Cambria Math" w:hAnsi="Cambria Math"/>
                                            <w:lang w:val="fr-FR"/>
                                          </w:rPr>
                                          <m:t>+</m:t>
                                        </m:r>
                                        <m:r>
                                          <m:rPr>
                                            <m:nor/>
                                          </m:rPr>
                                          <w:rPr>
                                            <w:i/>
                                            <w:iCs/>
                                            <w:lang w:val="fr-FR"/>
                                          </w:rPr>
                                          <m:t>ρ</m:t>
                                        </m:r>
                                      </m:den>
                                    </m:f>
                                  </m:e>
                                </m:d>
                              </m:e>
                              <m:sup>
                                <m:r>
                                  <m:rPr>
                                    <m:nor/>
                                  </m:rPr>
                                  <w:rPr>
                                    <w:i/>
                                    <w:lang w:val="fr-FR"/>
                                  </w:rPr>
                                  <m:t>t</m:t>
                                </m:r>
                              </m:sup>
                            </m:sSup>
                            <m:r>
                              <w:rPr>
                                <w:rFonts w:ascii="Cambria Math" w:hAnsi="Cambria Math"/>
                                <w:lang w:val="fr-FR"/>
                              </w:rPr>
                              <m:t>∙</m:t>
                            </m:r>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iCs/>
                                            <w:lang w:val="fr-FR"/>
                                          </w:rPr>
                                          <m:t>1</m:t>
                                        </m:r>
                                        <m:r>
                                          <w:rPr>
                                            <w:rFonts w:ascii="Cambria Math" w:hAnsi="Cambria Math"/>
                                            <w:lang w:val="fr-FR"/>
                                          </w:rPr>
                                          <m:t>-</m:t>
                                        </m:r>
                                        <m:r>
                                          <m:rPr>
                                            <m:nor/>
                                          </m:rPr>
                                          <w:rPr>
                                            <w:i/>
                                            <w:lang w:val="fr-FR"/>
                                          </w:rPr>
                                          <m:t>θ</m:t>
                                        </m:r>
                                      </m:sup>
                                    </m:sSup>
                                    <m:r>
                                      <w:rPr>
                                        <w:rFonts w:ascii="Cambria Math" w:hAnsi="Cambria Math"/>
                                        <w:lang w:val="fr-FR"/>
                                      </w:rPr>
                                      <m:t>-</m:t>
                                    </m:r>
                                    <m:r>
                                      <m:rPr>
                                        <m:nor/>
                                      </m:rPr>
                                      <w:rPr>
                                        <w:i/>
                                        <w:iCs/>
                                        <w:lang w:val="fr-FR"/>
                                      </w:rPr>
                                      <m:t>1</m:t>
                                    </m:r>
                                  </m:num>
                                  <m:den>
                                    <m:r>
                                      <m:rPr>
                                        <m:nor/>
                                      </m:rPr>
                                      <w:rPr>
                                        <w:i/>
                                        <w:iCs/>
                                        <w:lang w:val="fr-FR"/>
                                      </w:rPr>
                                      <m:t>1</m:t>
                                    </m:r>
                                    <m:r>
                                      <w:rPr>
                                        <w:rFonts w:ascii="Cambria Math" w:hAnsi="Cambria Math"/>
                                        <w:lang w:val="fr-FR"/>
                                      </w:rPr>
                                      <m:t>-</m:t>
                                    </m:r>
                                    <m:r>
                                      <m:rPr>
                                        <m:nor/>
                                      </m:rPr>
                                      <w:rPr>
                                        <w:i/>
                                        <w:lang w:val="fr-FR"/>
                                      </w:rPr>
                                      <m:t>θ</m:t>
                                    </m:r>
                                  </m:den>
                                </m:f>
                                <m:r>
                                  <w:rPr>
                                    <w:rFonts w:ascii="Cambria Math" w:hAnsi="Cambria Math"/>
                                    <w:lang w:val="fr-FR"/>
                                  </w:rPr>
                                  <m:t>-</m:t>
                                </m:r>
                                <m:r>
                                  <m:rPr>
                                    <m:nor/>
                                  </m:rPr>
                                  <w:rPr>
                                    <w:i/>
                                    <w:iCs/>
                                    <w:lang w:val="fr-FR"/>
                                  </w:rPr>
                                  <m:t>ζ</m:t>
                                </m:r>
                                <m:r>
                                  <w:rPr>
                                    <w:rFonts w:ascii="Cambria Math" w:hAnsi="Cambria Math"/>
                                    <w:lang w:val="fr-FR"/>
                                  </w:rPr>
                                  <m:t>∙</m:t>
                                </m:r>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lang w:val="fr-FR"/>
                                          </w:rPr>
                                          <m:t>φ</m:t>
                                        </m:r>
                                      </m:sup>
                                    </m:sSup>
                                  </m:num>
                                  <m:den>
                                    <m:r>
                                      <m:rPr>
                                        <m:nor/>
                                      </m:rPr>
                                      <w:rPr>
                                        <w:i/>
                                        <w:iCs/>
                                        <w:lang w:val="fr-FR"/>
                                      </w:rPr>
                                      <m:t>1</m:t>
                                    </m:r>
                                    <m:r>
                                      <w:rPr>
                                        <w:rFonts w:ascii="Cambria Math" w:hAnsi="Cambria Math"/>
                                        <w:lang w:val="fr-FR"/>
                                      </w:rPr>
                                      <m:t>+</m:t>
                                    </m:r>
                                    <m:r>
                                      <m:rPr>
                                        <m:nor/>
                                      </m:rPr>
                                      <w:rPr>
                                        <w:i/>
                                        <w:iCs/>
                                        <w:lang w:val="fr-FR"/>
                                      </w:rPr>
                                      <m:t>φ</m:t>
                                    </m:r>
                                  </m:den>
                                </m:f>
                                <m:r>
                                  <w:rPr>
                                    <w:rFonts w:ascii="Cambria Math" w:hAnsi="Cambria Math"/>
                                    <w:lang w:val="fr-FR"/>
                                  </w:rPr>
                                  <m:t>+</m:t>
                                </m:r>
                                <m:r>
                                  <m:rPr>
                                    <m:nor/>
                                  </m:rPr>
                                  <w:rPr>
                                    <w:i/>
                                    <w:iCs/>
                                    <w:lang w:val="fr-FR"/>
                                  </w:rPr>
                                  <m:t>h</m:t>
                                </m:r>
                                <m:d>
                                  <m:dPr>
                                    <m:ctrlPr>
                                      <w:rPr>
                                        <w:rFonts w:ascii="Cambria Math" w:hAnsi="Cambria Math"/>
                                        <w:i/>
                                        <w:iCs/>
                                        <w:lang w:val="fr-FR"/>
                                      </w:rPr>
                                    </m:ctrlPr>
                                  </m:dPr>
                                  <m:e>
                                    <m:sSub>
                                      <m:sSubPr>
                                        <m:ctrlPr>
                                          <w:rPr>
                                            <w:rFonts w:ascii="Cambria Math" w:hAnsi="Cambria Math"/>
                                            <w:i/>
                                            <w:iCs/>
                                          </w:rPr>
                                        </m:ctrlPr>
                                      </m:sSubPr>
                                      <m:e>
                                        <m:r>
                                          <m:rPr>
                                            <m:nor/>
                                          </m:rPr>
                                          <w:rPr>
                                            <w:i/>
                                            <w:iCs/>
                                            <w:lang w:val="fr-FR"/>
                                          </w:rPr>
                                          <m:t>G</m:t>
                                        </m:r>
                                      </m:e>
                                      <m:sub>
                                        <m:r>
                                          <m:rPr>
                                            <m:nor/>
                                          </m:rPr>
                                          <w:rPr>
                                            <w:i/>
                                            <w:iCs/>
                                            <w:lang w:val="fr-FR"/>
                                          </w:rPr>
                                          <m:t>t</m:t>
                                        </m:r>
                                      </m:sub>
                                    </m:sSub>
                                  </m:e>
                                </m:d>
                              </m:e>
                            </m:d>
                          </m:e>
                        </m:nary>
                      </m:e>
                    </m:d>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iCs/>
                              <w:lang w:val="fr-FR"/>
                            </w:rPr>
                            <m:t>1</m:t>
                          </m:r>
                          <m:r>
                            <w:rPr>
                              <w:rFonts w:asci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lang w:val="fr-FR"/>
                            </w:rPr>
                            <m:t>τ</m:t>
                          </m:r>
                        </m:e>
                        <m:sub>
                          <m:r>
                            <m:rPr>
                              <m:nor/>
                            </m:rPr>
                            <w:rPr>
                              <w:i/>
                              <w:iCs/>
                              <w:lang w:val="fr-FR"/>
                            </w:rPr>
                            <m:t>t</m:t>
                          </m:r>
                        </m:sub>
                      </m:sSub>
                    </m:e>
                  </m:mr>
                </m:m>
              </m:e>
            </m:mr>
          </m:m>
        </m:oMath>
      </m:oMathPara>
    </w:p>
    <w:p w14:paraId="63B0B28B" w14:textId="77777777" w:rsidR="00D3596B" w:rsidRDefault="00D3596B" w:rsidP="00D3596B">
      <w:pPr>
        <w:pStyle w:val="Nivel2SM"/>
        <w:keepNext/>
        <w:spacing w:after="0"/>
      </w:pPr>
      <w:r w:rsidRPr="00E83076">
        <w:t>Las condiciones de primer orden a</w:t>
      </w:r>
      <w:r>
        <w:t>seguran que:</w:t>
      </w:r>
    </w:p>
    <w:p w14:paraId="0CBE6886" w14:textId="77777777" w:rsidR="00D3596B" w:rsidRPr="00E83076" w:rsidRDefault="00D3596B" w:rsidP="00D3596B">
      <w:pPr>
        <w:pStyle w:val="Nivel3SM"/>
        <w:keepNext/>
      </w:pPr>
      <w:r>
        <w:rPr>
          <w:i/>
          <w:iCs/>
        </w:rPr>
        <w:t>Ecuación de Euler para la acumulación de capital</w:t>
      </w:r>
      <w:r>
        <w:t>: La relación marginal de sustitución entre consumo presente y consumo futuro se iguala al precio del consumo futuro descontado en términos de la rentabilidad del capital:</w:t>
      </w:r>
    </w:p>
    <w:p w14:paraId="7FBC90FA" w14:textId="77777777" w:rsidR="00D3596B" w:rsidRPr="00E83076" w:rsidRDefault="00000000" w:rsidP="00D3596B">
      <w:pPr>
        <w:spacing w:after="0"/>
        <w:rPr>
          <w:rFonts w:eastAsiaTheme="minorEastAsia"/>
          <w:lang w:val="fr-FR"/>
        </w:rPr>
      </w:pPr>
      <m:oMathPara>
        <m:oMath>
          <m:borderBox>
            <m:borderBoxPr>
              <m:ctrlPr>
                <w:rPr>
                  <w:rFonts w:ascii="Cambria Math" w:hAnsi="Cambria Math"/>
                  <w:i/>
                  <w:iCs/>
                </w:rPr>
              </m:ctrlPr>
            </m:borderBox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f>
                <m:fPr>
                  <m:ctrlPr>
                    <w:rPr>
                      <w:rFonts w:ascii="Cambria Math" w:hAnsi="Cambria Math"/>
                      <w:i/>
                      <w:iCs/>
                    </w:rPr>
                  </m:ctrlPr>
                </m:fPr>
                <m:num>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e>
                        <m:sup>
                          <m:r>
                            <w:rPr>
                              <w:rFonts w:ascii="Cambria Math" w:hAnsi="Cambria Math"/>
                              <w:lang w:val="fr-FR"/>
                            </w:rPr>
                            <m:t>-</m:t>
                          </m:r>
                          <m:r>
                            <m:rPr>
                              <m:nor/>
                            </m:rPr>
                            <w:rPr>
                              <w:i/>
                              <w:lang w:val="fr-FR"/>
                            </w:rPr>
                            <m:t>θ</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e>
                  </m:d>
                </m:num>
                <m:den>
                  <m:r>
                    <m:rPr>
                      <m:nor/>
                    </m:rPr>
                    <w:rPr>
                      <w:i/>
                      <w:iCs/>
                      <w:lang w:val="fr-FR"/>
                    </w:rPr>
                    <m:t>1</m:t>
                  </m:r>
                  <m:r>
                    <w:rPr>
                      <w:rFonts w:ascii="Cambria Math" w:hAnsi="Cambria Math"/>
                      <w:lang w:val="fr-FR"/>
                    </w:rPr>
                    <m:t>+</m:t>
                  </m:r>
                  <m:r>
                    <m:rPr>
                      <m:nor/>
                    </m:rPr>
                    <w:rPr>
                      <w:i/>
                      <w:iCs/>
                      <w:lang w:val="fr-FR"/>
                    </w:rPr>
                    <m:t>ρ</m:t>
                  </m:r>
                </m:den>
              </m:f>
            </m:e>
          </m:borderBox>
        </m:oMath>
      </m:oMathPara>
    </w:p>
    <w:p w14:paraId="0012BEC9" w14:textId="77777777" w:rsidR="00D3596B" w:rsidRPr="00E83076" w:rsidRDefault="00D3596B" w:rsidP="00D3596B">
      <w:pPr>
        <w:pStyle w:val="Nivel3SM"/>
        <w:keepNext/>
      </w:pPr>
      <w:r>
        <w:rPr>
          <w:i/>
          <w:iCs/>
        </w:rPr>
        <w:t>Ecuación de Euler para la adquisición de bonos</w:t>
      </w:r>
      <w:r>
        <w:t>: La relación marginal de sustitución entre consumo presente y consumo futuro se iguala al precio del consumo futuro descontado en términos del tipo de interés de los bonos:</w:t>
      </w:r>
    </w:p>
    <w:p w14:paraId="6A2DD126" w14:textId="77777777" w:rsidR="00D3596B" w:rsidRPr="00E83076" w:rsidRDefault="00000000" w:rsidP="00D3596B">
      <w:pPr>
        <w:pStyle w:val="Nivel3SM"/>
        <w:numPr>
          <w:ilvl w:val="0"/>
          <w:numId w:val="0"/>
        </w:numPr>
        <w:ind w:left="963"/>
        <w:rPr>
          <w:rFonts w:eastAsiaTheme="minorEastAsia"/>
          <w:i/>
          <w:iCs/>
          <w:lang w:val="fr-FR"/>
        </w:rPr>
      </w:pPr>
      <m:oMathPara>
        <m:oMath>
          <m:borderBox>
            <m:borderBoxPr>
              <m:ctrlPr>
                <w:rPr>
                  <w:rFonts w:ascii="Cambria Math" w:hAnsi="Cambria Math"/>
                  <w:i/>
                  <w:iCs/>
                </w:rPr>
              </m:ctrlPr>
            </m:borderBox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f>
                <m:fPr>
                  <m:ctrlPr>
                    <w:rPr>
                      <w:rFonts w:ascii="Cambria Math" w:hAnsi="Cambria Math"/>
                      <w:i/>
                      <w:iCs/>
                    </w:rPr>
                  </m:ctrlPr>
                </m:fPr>
                <m:num>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e>
                        <m:sup>
                          <m:r>
                            <w:rPr>
                              <w:rFonts w:ascii="Cambria Math" w:hAnsi="Cambria Math"/>
                              <w:lang w:val="fr-FR"/>
                            </w:rPr>
                            <m:t>-</m:t>
                          </m:r>
                          <m:r>
                            <m:rPr>
                              <m:nor/>
                            </m:rPr>
                            <w:rPr>
                              <w:i/>
                              <w:lang w:val="fr-FR"/>
                            </w:rPr>
                            <m:t>θ</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e>
                      </m:d>
                    </m:e>
                  </m:d>
                </m:num>
                <m:den>
                  <m:r>
                    <m:rPr>
                      <m:nor/>
                    </m:rPr>
                    <w:rPr>
                      <w:i/>
                      <w:iCs/>
                      <w:lang w:val="fr-FR"/>
                    </w:rPr>
                    <m:t>1</m:t>
                  </m:r>
                  <m:r>
                    <w:rPr>
                      <w:rFonts w:ascii="Cambria Math" w:hAnsi="Cambria Math"/>
                      <w:lang w:val="fr-FR"/>
                    </w:rPr>
                    <m:t>+</m:t>
                  </m:r>
                  <m:r>
                    <m:rPr>
                      <m:nor/>
                    </m:rPr>
                    <w:rPr>
                      <w:i/>
                      <w:iCs/>
                      <w:lang w:val="fr-FR"/>
                    </w:rPr>
                    <m:t>ρ</m:t>
                  </m:r>
                </m:den>
              </m:f>
            </m:e>
          </m:borderBox>
        </m:oMath>
      </m:oMathPara>
    </w:p>
    <w:p w14:paraId="7ABD9E7B" w14:textId="77777777" w:rsidR="00D3596B" w:rsidRPr="00E83076" w:rsidRDefault="00D3596B" w:rsidP="00D3596B">
      <w:pPr>
        <w:pStyle w:val="Nivel3SM"/>
        <w:keepNext/>
        <w:rPr>
          <w:lang w:val="fr-FR"/>
        </w:rPr>
      </w:pPr>
      <w:proofErr w:type="spellStart"/>
      <w:r w:rsidRPr="00E83076">
        <w:rPr>
          <w:i/>
          <w:iCs/>
          <w:lang w:val="fr-FR"/>
        </w:rPr>
        <w:t>Oferta</w:t>
      </w:r>
      <w:proofErr w:type="spellEnd"/>
      <w:r w:rsidRPr="00E83076">
        <w:rPr>
          <w:i/>
          <w:iCs/>
          <w:lang w:val="fr-FR"/>
        </w:rPr>
        <w:t xml:space="preserve"> de </w:t>
      </w:r>
      <w:proofErr w:type="spellStart"/>
      <w:r w:rsidRPr="00E83076">
        <w:rPr>
          <w:i/>
          <w:iCs/>
          <w:lang w:val="fr-FR"/>
        </w:rPr>
        <w:t>trabajo</w:t>
      </w:r>
      <w:proofErr w:type="spellEnd"/>
      <w:r>
        <w:rPr>
          <w:lang w:val="fr-FR"/>
        </w:rPr>
        <w:t>:</w:t>
      </w:r>
    </w:p>
    <w:p w14:paraId="5775CFF1" w14:textId="77777777" w:rsidR="00D3596B" w:rsidRPr="00E83076" w:rsidRDefault="00000000" w:rsidP="00D3596B">
      <w:pPr>
        <w:pStyle w:val="Nivel3SM"/>
        <w:numPr>
          <w:ilvl w:val="0"/>
          <w:numId w:val="0"/>
        </w:numPr>
        <w:ind w:left="963"/>
        <w:rPr>
          <w:i/>
          <w:iCs/>
          <w:lang w:val="fr-FR"/>
        </w:rPr>
      </w:pPr>
      <m:oMathPara>
        <m:oMath>
          <m:borderBox>
            <m:borderBoxPr>
              <m:ctrlPr>
                <w:rPr>
                  <w:rFonts w:ascii="Cambria Math" w:hAnsi="Cambria Math"/>
                  <w:i/>
                  <w:iCs/>
                  <w:lang w:val="fr-FR"/>
                </w:rPr>
              </m:ctrlPr>
            </m:borderBoxPr>
            <m:e>
              <m:r>
                <m:rPr>
                  <m:nor/>
                </m:rPr>
                <w:rPr>
                  <w:i/>
                  <w:iCs/>
                  <w:lang w:val="fr-FR"/>
                </w:rPr>
                <m:t>ζ</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φ</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e>
          </m:borderBox>
        </m:oMath>
      </m:oMathPara>
    </w:p>
    <w:p w14:paraId="5DB722BF" w14:textId="77777777" w:rsidR="00D3596B" w:rsidRDefault="00D3596B" w:rsidP="00D3596B">
      <w:pPr>
        <w:pStyle w:val="Ttulo7"/>
        <w:rPr>
          <w:lang w:val="fr-FR"/>
        </w:rPr>
      </w:pPr>
      <w:bookmarkStart w:id="59" w:name="_Toc142500899"/>
      <w:proofErr w:type="spellStart"/>
      <w:r w:rsidRPr="003013DE">
        <w:rPr>
          <w:lang w:val="fr-FR"/>
        </w:rPr>
        <w:t>Problema</w:t>
      </w:r>
      <w:proofErr w:type="spellEnd"/>
      <w:r w:rsidRPr="003013DE">
        <w:rPr>
          <w:lang w:val="fr-FR"/>
        </w:rPr>
        <w:t xml:space="preserve"> de la </w:t>
      </w:r>
      <w:proofErr w:type="spellStart"/>
      <w:r w:rsidRPr="003013DE">
        <w:rPr>
          <w:lang w:val="fr-FR"/>
        </w:rPr>
        <w:t>empresa</w:t>
      </w:r>
      <w:proofErr w:type="spellEnd"/>
      <w:r w:rsidRPr="003013DE">
        <w:rPr>
          <w:lang w:val="fr-FR"/>
        </w:rPr>
        <w:t xml:space="preserve"> </w:t>
      </w:r>
      <w:proofErr w:type="spellStart"/>
      <w:r w:rsidRPr="003013DE">
        <w:rPr>
          <w:lang w:val="fr-FR"/>
        </w:rPr>
        <w:t>representativa</w:t>
      </w:r>
      <w:bookmarkEnd w:id="59"/>
      <w:proofErr w:type="spellEnd"/>
    </w:p>
    <w:p w14:paraId="55BCDD31" w14:textId="77777777" w:rsidR="00D3596B" w:rsidRPr="003C545D" w:rsidRDefault="00D3596B" w:rsidP="00D3596B">
      <w:pPr>
        <w:pStyle w:val="Nivel1SM"/>
        <w:keepNext/>
        <w:spacing w:before="0" w:after="0"/>
      </w:pPr>
      <w:r w:rsidRPr="003C545D">
        <w:t>Como decíamos, el problema de</w:t>
      </w:r>
      <w:r>
        <w:t xml:space="preserve"> la</w:t>
      </w:r>
      <w:r w:rsidRPr="003C545D">
        <w:t xml:space="preserve"> </w:t>
      </w:r>
      <w:r>
        <w:t>empresa</w:t>
      </w:r>
      <w:r w:rsidRPr="003C545D">
        <w:t xml:space="preserve"> representativ</w:t>
      </w:r>
      <w:r>
        <w:t>a es:</w:t>
      </w:r>
    </w:p>
    <w:p w14:paraId="497E788B" w14:textId="77777777" w:rsidR="00D3596B" w:rsidRPr="008A6D14" w:rsidRDefault="00000000" w:rsidP="00D3596B">
      <w:pPr>
        <w:pStyle w:val="Nivel1"/>
        <w:keepNext/>
        <w:numPr>
          <w:ilvl w:val="0"/>
          <w:numId w:val="0"/>
        </w:numPr>
        <w:spacing w:before="0" w:after="0"/>
        <w:ind w:left="624"/>
        <w:rPr>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13E33AE0" w14:textId="77777777" w:rsidR="00D3596B" w:rsidRPr="00100283" w:rsidRDefault="00D3596B" w:rsidP="00D3596B">
      <w:pPr>
        <w:pStyle w:val="Nivel2SM"/>
        <w:keepNext/>
        <w:spacing w:after="0"/>
      </w:pPr>
      <w:r>
        <w:t>Las condiciones de primer orden aseguran que</w:t>
      </w:r>
      <w:r w:rsidRPr="00100283">
        <w:t>:</w:t>
      </w:r>
    </w:p>
    <w:p w14:paraId="0F5656B4" w14:textId="77777777" w:rsidR="00D3596B" w:rsidRPr="008A6D14" w:rsidRDefault="00000000" w:rsidP="00D3596B">
      <w:pPr>
        <w:pStyle w:val="Nivel3"/>
        <w:numPr>
          <w:ilvl w:val="0"/>
          <w:numId w:val="0"/>
        </w:numPr>
        <w:ind w:left="1463"/>
        <w:rPr>
          <w:spacing w:val="-2"/>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f>
                <m:fPr>
                  <m:ctrlPr>
                    <w:rPr>
                      <w:rFonts w:ascii="Cambria Math" w:hAnsi="Cambria Math"/>
                      <w:i/>
                      <w:iCs/>
                    </w:rPr>
                  </m:ctrlPr>
                </m:fPr>
                <m:num>
                  <m:r>
                    <m:rPr>
                      <m:nor/>
                    </m:rPr>
                    <w:rPr>
                      <w:i/>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lang w:val="fr-FR"/>
                </w:rPr>
                <m:t>=</m:t>
              </m:r>
              <m:d>
                <m:dPr>
                  <m:ctrlPr>
                    <w:rPr>
                      <w:rFonts w:ascii="Cambria Math" w:hAnsi="Cambria Math"/>
                      <w:i/>
                      <w:iCs/>
                    </w:rPr>
                  </m:ctrlPr>
                </m:dPr>
                <m:e>
                  <m:r>
                    <m:rPr>
                      <m:nor/>
                    </m:rPr>
                    <w:rPr>
                      <w:i/>
                      <w:iCs/>
                      <w:lang w:val="fr-FR"/>
                    </w:rPr>
                    <m:t>1</m:t>
                  </m:r>
                  <m:r>
                    <w:rPr>
                      <w:rFonts w:ascii="Cambria Math" w:hAnsi="Cambria Math"/>
                      <w:lang w:val="fr-FR"/>
                    </w:rPr>
                    <m:t>-</m:t>
                  </m:r>
                  <m:r>
                    <m:rPr>
                      <m:nor/>
                    </m:rPr>
                    <w:rPr>
                      <w:i/>
                      <w:iCs/>
                    </w:rPr>
                    <m:t>α</m:t>
                  </m:r>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sup>
              </m:sSup>
            </m:e>
          </m:borderBox>
          <m:r>
            <m:rPr>
              <m:sty m:val="p"/>
            </m:rPr>
            <w:rPr>
              <w:rFonts w:ascii="Cambria Math" w:hAnsi="Cambria Math"/>
              <w:lang w:val="fr-FR"/>
            </w:rPr>
            <w:br/>
          </m:r>
        </m:oMath>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f>
                <m:fPr>
                  <m:ctrlPr>
                    <w:rPr>
                      <w:rFonts w:ascii="Cambria Math" w:hAnsi="Cambria Math"/>
                      <w:i/>
                      <w:iCs/>
                    </w:rPr>
                  </m:ctrlPr>
                </m:fPr>
                <m:num>
                  <m:r>
                    <m:rPr>
                      <m:nor/>
                    </m:rPr>
                    <w:rPr>
                      <w:i/>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r>
                <m:rPr>
                  <m:nor/>
                </m:rPr>
                <w:rPr>
                  <w:i/>
                  <w:iCs/>
                </w:rPr>
                <m:t>α</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r>
                    <w:rPr>
                      <w:rFonts w:ascii="Cambria Math" w:hAnsi="Cambria Math"/>
                      <w:lang w:val="fr-FR"/>
                    </w:rPr>
                    <m:t>-</m:t>
                  </m:r>
                  <m:r>
                    <m:rPr>
                      <m:nor/>
                    </m:rPr>
                    <w:rPr>
                      <w:i/>
                      <w:iCs/>
                      <w:lang w:val="fr-FR"/>
                    </w:rPr>
                    <m:t>1</m:t>
                  </m:r>
                </m:sup>
              </m:sSup>
            </m:e>
          </m:borderBox>
        </m:oMath>
      </m:oMathPara>
    </w:p>
    <w:p w14:paraId="7E48FB1F" w14:textId="77777777" w:rsidR="00D3596B" w:rsidRDefault="00D3596B" w:rsidP="00D3596B">
      <w:pPr>
        <w:pStyle w:val="Ttulo7"/>
      </w:pPr>
      <w:bookmarkStart w:id="60" w:name="_Toc142500900"/>
      <w:r>
        <w:t>Sector público</w:t>
      </w:r>
      <w:bookmarkEnd w:id="60"/>
    </w:p>
    <w:p w14:paraId="50D6DC42" w14:textId="77777777" w:rsidR="00D3596B" w:rsidRDefault="00D3596B" w:rsidP="00D3596B">
      <w:pPr>
        <w:pStyle w:val="Nivel1SM"/>
        <w:keepNext/>
        <w:spacing w:before="0" w:after="0"/>
      </w:pPr>
      <w:r>
        <w:t xml:space="preserve">Por último, como decíamos, el </w:t>
      </w:r>
      <w:r w:rsidRPr="002051ED">
        <w:rPr>
          <w:i/>
          <w:iCs/>
          <w:u w:val="single"/>
        </w:rPr>
        <w:t>gobierno</w:t>
      </w:r>
      <w:r>
        <w:t xml:space="preserve"> no tiene un problema </w:t>
      </w:r>
      <w:r w:rsidRPr="002051ED">
        <w:rPr>
          <w:i/>
          <w:iCs/>
        </w:rPr>
        <w:t>per se</w:t>
      </w:r>
      <w:r>
        <w:t>, únicamente lleva a cabo una política fiscal que puede financiar mediante impuestos o mediante deuda, de forma que su restricción presupuestaria en cada período se puede expresar como:</w:t>
      </w:r>
    </w:p>
    <w:p w14:paraId="5DCC9D87" w14:textId="77777777" w:rsidR="00D3596B" w:rsidRPr="00DC6AF3" w:rsidRDefault="00000000" w:rsidP="00D3596B">
      <w:pPr>
        <w:pStyle w:val="Nivel1"/>
        <w:keepNext/>
        <w:numPr>
          <w:ilvl w:val="0"/>
          <w:numId w:val="0"/>
        </w:numPr>
        <w:spacing w:before="0" w:after="0"/>
        <w:ind w:left="623"/>
        <w:rPr>
          <w:lang w:val="fr-FR"/>
        </w:rPr>
      </w:pPr>
      <m:oMathPara>
        <m:oMath>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D</m:t>
              </m:r>
            </m:e>
            <m:sub>
              <m:r>
                <m:rPr>
                  <m:nor/>
                </m:rPr>
                <w:rPr>
                  <w:i/>
                  <w:iCs/>
                  <w:lang w:val="fr-FR"/>
                </w:rPr>
                <m:t>t</m:t>
              </m:r>
            </m:sub>
          </m:sSub>
          <m:r>
            <w:rPr>
              <w:rFonts w:ascii="Cambria Math" w:eastAsiaTheme="minorEastAsia" w:hAnsi="Cambria Math"/>
              <w:lang w:val="fr-FR"/>
            </w:rPr>
            <m:t>≤</m:t>
          </m:r>
          <m:sSub>
            <m:sSubPr>
              <m:ctrlPr>
                <w:rPr>
                  <w:rFonts w:ascii="Cambria Math" w:hAnsi="Cambria Math"/>
                  <w:i/>
                  <w:iCs/>
                </w:rPr>
              </m:ctrlPr>
            </m:sSubPr>
            <m:e>
              <m:r>
                <m:rPr>
                  <m:nor/>
                </m:rPr>
                <w:rPr>
                  <w:i/>
                  <w:lang w:val="fr-FR"/>
                </w:rPr>
                <m:t>T</m:t>
              </m:r>
            </m:e>
            <m:sub>
              <m:r>
                <m:rPr>
                  <m:nor/>
                </m:rPr>
                <w:rPr>
                  <w:i/>
                  <w:iCs/>
                  <w:lang w:val="fr-FR"/>
                </w:rPr>
                <m:t>t</m:t>
              </m:r>
            </m:sub>
          </m:sSub>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D</m:t>
                  </m:r>
                </m:e>
                <m:sub>
                  <m:r>
                    <m:rPr>
                      <m:nor/>
                    </m:rPr>
                    <w:rPr>
                      <w:i/>
                      <w:iCs/>
                      <w:lang w:val="fr-FR"/>
                    </w:rPr>
                    <m:t>t</m:t>
                  </m:r>
                  <m:r>
                    <w:rPr>
                      <w:rFonts w:ascii="Cambria Math" w:hAnsi="Cambria Math"/>
                      <w:lang w:val="fr-FR"/>
                    </w:rPr>
                    <m:t>+</m:t>
                  </m:r>
                  <m:r>
                    <m:rPr>
                      <m:nor/>
                    </m:rPr>
                    <w:rPr>
                      <w:i/>
                      <w:iCs/>
                      <w:lang w:val="fr-FR"/>
                    </w:rPr>
                    <m:t>1</m:t>
                  </m:r>
                </m:sub>
              </m:sSub>
              <m:r>
                <w:rPr>
                  <w:rFonts w:ascii="Cambria Math" w:eastAsiaTheme="minorEastAsia" w:hAnsi="Cambria Math"/>
                  <w:lang w:val="fr-FR"/>
                </w:rPr>
                <m:t>-</m:t>
              </m:r>
              <m:sSub>
                <m:sSubPr>
                  <m:ctrlPr>
                    <w:rPr>
                      <w:rFonts w:ascii="Cambria Math" w:hAnsi="Cambria Math"/>
                      <w:i/>
                      <w:iCs/>
                    </w:rPr>
                  </m:ctrlPr>
                </m:sSubPr>
                <m:e>
                  <m:r>
                    <m:rPr>
                      <m:nor/>
                    </m:rPr>
                    <w:rPr>
                      <w:i/>
                      <w:iCs/>
                      <w:lang w:val="fr-FR"/>
                    </w:rPr>
                    <m:t>D</m:t>
                  </m:r>
                </m:e>
                <m:sub>
                  <m:r>
                    <m:rPr>
                      <m:nor/>
                    </m:rPr>
                    <w:rPr>
                      <w:i/>
                      <w:iCs/>
                      <w:lang w:val="fr-FR"/>
                    </w:rPr>
                    <m:t>t</m:t>
                  </m:r>
                </m:sub>
              </m:sSub>
            </m:e>
          </m:d>
        </m:oMath>
      </m:oMathPara>
    </w:p>
    <w:p w14:paraId="0DC41DCF" w14:textId="77777777" w:rsidR="00D3596B" w:rsidRDefault="00D3596B" w:rsidP="00D3596B">
      <w:pPr>
        <w:pStyle w:val="Ttulo7"/>
      </w:pPr>
      <w:bookmarkStart w:id="61" w:name="_Toc142500901"/>
      <w:r>
        <w:t>Equilibrio</w:t>
      </w:r>
      <w:bookmarkEnd w:id="61"/>
    </w:p>
    <w:p w14:paraId="37B858E7" w14:textId="77777777" w:rsidR="00D3596B" w:rsidRPr="003C545D" w:rsidRDefault="00D3596B" w:rsidP="00D3596B">
      <w:pPr>
        <w:pStyle w:val="Nivel1SM"/>
        <w:keepNext/>
        <w:spacing w:before="0" w:after="0"/>
        <w:rPr>
          <w:rFonts w:eastAsiaTheme="minorEastAsia"/>
          <w:spacing w:val="-2"/>
        </w:rPr>
      </w:pPr>
      <w:r w:rsidRPr="003C545D">
        <w:rPr>
          <w:spacing w:val="-2"/>
        </w:rPr>
        <w:t xml:space="preserve">Un </w:t>
      </w:r>
      <w:r w:rsidRPr="003C545D">
        <w:rPr>
          <w:i/>
          <w:iCs/>
          <w:spacing w:val="-2"/>
        </w:rPr>
        <w:t>equilibrio competitivo</w:t>
      </w:r>
      <w:r w:rsidRPr="003C545D">
        <w:rPr>
          <w:spacing w:val="-2"/>
        </w:rPr>
        <w:t xml:space="preserve"> es el conjunto de precios </w:t>
      </w:r>
      <m:oMath>
        <m:d>
          <m:dPr>
            <m:begChr m:val="{"/>
            <m:endChr m:val="}"/>
            <m:ctrlPr>
              <w:rPr>
                <w:rFonts w:ascii="Cambria Math" w:hAnsi="Cambria Math"/>
                <w:i/>
                <w:iCs/>
                <w:spacing w:val="-2"/>
              </w:rPr>
            </m:ctrlPr>
          </m:dPr>
          <m:e>
            <m:sSub>
              <m:sSubPr>
                <m:ctrlPr>
                  <w:rPr>
                    <w:rFonts w:ascii="Cambria Math" w:hAnsi="Cambria Math"/>
                    <w:i/>
                    <w:iCs/>
                    <w:spacing w:val="-2"/>
                  </w:rPr>
                </m:ctrlPr>
              </m:sSubPr>
              <m:e>
                <m:r>
                  <m:rPr>
                    <m:nor/>
                  </m:rPr>
                  <w:rPr>
                    <w:i/>
                    <w:iCs/>
                    <w:spacing w:val="-2"/>
                  </w:rPr>
                  <m:t>r</m:t>
                </m:r>
              </m:e>
              <m:sub>
                <m:r>
                  <m:rPr>
                    <m:nor/>
                  </m:rPr>
                  <w:rPr>
                    <w:i/>
                    <w:iCs/>
                    <w:spacing w:val="-2"/>
                  </w:rPr>
                  <m:t>t</m:t>
                </m:r>
              </m:sub>
            </m:sSub>
            <m:r>
              <m:rPr>
                <m:nor/>
              </m:rPr>
              <w:rPr>
                <w:i/>
                <w:iCs/>
                <w:spacing w:val="-2"/>
              </w:rPr>
              <m:t>,</m:t>
            </m:r>
            <m:sSub>
              <m:sSubPr>
                <m:ctrlPr>
                  <w:rPr>
                    <w:rFonts w:ascii="Cambria Math" w:hAnsi="Cambria Math"/>
                    <w:i/>
                    <w:iCs/>
                    <w:spacing w:val="-2"/>
                  </w:rPr>
                </m:ctrlPr>
              </m:sSubPr>
              <m:e>
                <m:r>
                  <m:rPr>
                    <m:nor/>
                  </m:rPr>
                  <w:rPr>
                    <w:i/>
                    <w:iCs/>
                    <w:spacing w:val="-2"/>
                  </w:rPr>
                  <m:t>R</m:t>
                </m:r>
              </m:e>
              <m:sub>
                <m:r>
                  <m:rPr>
                    <m:nor/>
                  </m:rPr>
                  <w:rPr>
                    <w:i/>
                    <w:iCs/>
                    <w:spacing w:val="-2"/>
                  </w:rPr>
                  <m:t>t</m:t>
                </m:r>
              </m:sub>
            </m:sSub>
            <m:r>
              <m:rPr>
                <m:nor/>
              </m:rPr>
              <w:rPr>
                <w:rFonts w:ascii="Cambria Math"/>
                <w:i/>
                <w:iCs/>
                <w:spacing w:val="-2"/>
              </w:rPr>
              <m:t>,</m:t>
            </m:r>
            <m:sSub>
              <m:sSubPr>
                <m:ctrlPr>
                  <w:rPr>
                    <w:rFonts w:ascii="Cambria Math" w:hAnsi="Cambria Math"/>
                    <w:i/>
                    <w:iCs/>
                    <w:spacing w:val="-2"/>
                  </w:rPr>
                </m:ctrlPr>
              </m:sSubPr>
              <m:e>
                <m:r>
                  <m:rPr>
                    <m:nor/>
                  </m:rPr>
                  <w:rPr>
                    <w:i/>
                    <w:iCs/>
                    <w:spacing w:val="-2"/>
                  </w:rPr>
                  <m:t>W</m:t>
                </m:r>
              </m:e>
              <m:sub>
                <m:r>
                  <m:rPr>
                    <m:nor/>
                  </m:rPr>
                  <w:rPr>
                    <w:i/>
                    <w:iCs/>
                    <w:spacing w:val="-2"/>
                  </w:rPr>
                  <m:t>t</m:t>
                </m:r>
              </m:sub>
            </m:sSub>
          </m:e>
        </m:d>
      </m:oMath>
      <w:r w:rsidRPr="003C545D">
        <w:rPr>
          <w:rFonts w:eastAsiaTheme="minorEastAsia"/>
          <w:spacing w:val="-2"/>
        </w:rPr>
        <w:t xml:space="preserve"> y asignaciones </w:t>
      </w:r>
      <m:oMath>
        <m:d>
          <m:dPr>
            <m:begChr m:val="{"/>
            <m:endChr m:val="}"/>
            <m:ctrlPr>
              <w:rPr>
                <w:rFonts w:ascii="Cambria Math" w:hAnsi="Cambria Math"/>
                <w:i/>
                <w:iCs/>
                <w:spacing w:val="-2"/>
              </w:rPr>
            </m:ctrlPr>
          </m:dPr>
          <m:e>
            <m:sSub>
              <m:sSubPr>
                <m:ctrlPr>
                  <w:rPr>
                    <w:rFonts w:ascii="Cambria Math" w:hAnsi="Cambria Math"/>
                    <w:i/>
                    <w:iCs/>
                    <w:spacing w:val="-2"/>
                  </w:rPr>
                </m:ctrlPr>
              </m:sSubPr>
              <m:e>
                <m:r>
                  <m:rPr>
                    <m:nor/>
                  </m:rPr>
                  <w:rPr>
                    <w:i/>
                    <w:iCs/>
                    <w:spacing w:val="-2"/>
                  </w:rPr>
                  <m:t>C</m:t>
                </m:r>
              </m:e>
              <m:sub>
                <m:r>
                  <m:rPr>
                    <m:nor/>
                  </m:rPr>
                  <w:rPr>
                    <w:i/>
                    <w:iCs/>
                    <w:spacing w:val="-2"/>
                  </w:rPr>
                  <m:t>t</m:t>
                </m:r>
              </m:sub>
            </m:sSub>
            <m:r>
              <m:rPr>
                <m:nor/>
              </m:rPr>
              <w:rPr>
                <w:i/>
                <w:iCs/>
                <w:spacing w:val="-2"/>
              </w:rPr>
              <m:t>,</m:t>
            </m:r>
            <m:sSub>
              <m:sSubPr>
                <m:ctrlPr>
                  <w:rPr>
                    <w:rFonts w:ascii="Cambria Math" w:hAnsi="Cambria Math"/>
                    <w:i/>
                    <w:iCs/>
                    <w:spacing w:val="-2"/>
                  </w:rPr>
                </m:ctrlPr>
              </m:sSubPr>
              <m:e>
                <m:r>
                  <m:rPr>
                    <m:nor/>
                  </m:rPr>
                  <w:rPr>
                    <w:i/>
                    <w:iCs/>
                    <w:spacing w:val="-2"/>
                  </w:rPr>
                  <m:t>L</m:t>
                </m:r>
              </m:e>
              <m:sub>
                <m:r>
                  <m:rPr>
                    <m:nor/>
                  </m:rPr>
                  <w:rPr>
                    <w:i/>
                    <w:iCs/>
                    <w:spacing w:val="-2"/>
                  </w:rPr>
                  <m:t>t</m:t>
                </m:r>
              </m:sub>
            </m:sSub>
            <m:r>
              <m:rPr>
                <m:nor/>
              </m:rPr>
              <w:rPr>
                <w:rFonts w:ascii="Cambria Math"/>
                <w:i/>
                <w:iCs/>
                <w:spacing w:val="-2"/>
              </w:rPr>
              <m:t>,</m:t>
            </m:r>
            <m:sSub>
              <m:sSubPr>
                <m:ctrlPr>
                  <w:rPr>
                    <w:rFonts w:ascii="Cambria Math" w:hAnsi="Cambria Math"/>
                    <w:i/>
                    <w:iCs/>
                    <w:spacing w:val="-2"/>
                  </w:rPr>
                </m:ctrlPr>
              </m:sSubPr>
              <m:e>
                <m:r>
                  <m:rPr>
                    <m:nor/>
                  </m:rPr>
                  <w:rPr>
                    <w:i/>
                    <w:iCs/>
                    <w:spacing w:val="-2"/>
                  </w:rPr>
                  <m:t>K</m:t>
                </m:r>
              </m:e>
              <m:sub>
                <m:r>
                  <m:rPr>
                    <m:nor/>
                  </m:rPr>
                  <w:rPr>
                    <w:i/>
                    <w:iCs/>
                    <w:spacing w:val="-2"/>
                  </w:rPr>
                  <m:t>t</m:t>
                </m:r>
                <m:r>
                  <w:rPr>
                    <w:rFonts w:ascii="Cambria Math" w:hAnsi="Cambria Math"/>
                    <w:spacing w:val="-2"/>
                  </w:rPr>
                  <m:t>+</m:t>
                </m:r>
                <m:r>
                  <m:rPr>
                    <m:nor/>
                  </m:rPr>
                  <w:rPr>
                    <w:i/>
                    <w:iCs/>
                    <w:spacing w:val="-2"/>
                  </w:rPr>
                  <m:t>1</m:t>
                </m:r>
              </m:sub>
            </m:sSub>
            <m:r>
              <m:rPr>
                <m:nor/>
              </m:rPr>
              <w:rPr>
                <w:rFonts w:ascii="Cambria Math"/>
                <w:i/>
                <w:iCs/>
                <w:spacing w:val="-2"/>
              </w:rPr>
              <m:t>,</m:t>
            </m:r>
            <m:sSub>
              <m:sSubPr>
                <m:ctrlPr>
                  <w:rPr>
                    <w:rFonts w:ascii="Cambria Math" w:hAnsi="Cambria Math"/>
                    <w:i/>
                    <w:iCs/>
                    <w:spacing w:val="-2"/>
                  </w:rPr>
                </m:ctrlPr>
              </m:sSubPr>
              <m:e>
                <m:r>
                  <m:rPr>
                    <m:nor/>
                  </m:rPr>
                  <w:rPr>
                    <w:i/>
                    <w:iCs/>
                    <w:spacing w:val="-2"/>
                  </w:rPr>
                  <m:t>B</m:t>
                </m:r>
              </m:e>
              <m:sub>
                <m:r>
                  <m:rPr>
                    <m:nor/>
                  </m:rPr>
                  <w:rPr>
                    <w:i/>
                    <w:iCs/>
                    <w:spacing w:val="-2"/>
                  </w:rPr>
                  <m:t>t</m:t>
                </m:r>
                <m:r>
                  <w:rPr>
                    <w:rFonts w:ascii="Cambria Math" w:hAnsi="Cambria Math"/>
                    <w:spacing w:val="-2"/>
                  </w:rPr>
                  <m:t>+</m:t>
                </m:r>
                <m:r>
                  <m:rPr>
                    <m:nor/>
                  </m:rPr>
                  <w:rPr>
                    <w:i/>
                    <w:iCs/>
                    <w:spacing w:val="-2"/>
                  </w:rPr>
                  <m:t>1</m:t>
                </m:r>
              </m:sub>
            </m:sSub>
            <m:r>
              <m:rPr>
                <m:nor/>
              </m:rPr>
              <w:rPr>
                <w:rFonts w:ascii="Cambria Math"/>
                <w:i/>
                <w:iCs/>
                <w:spacing w:val="-2"/>
              </w:rPr>
              <m:t>,</m:t>
            </m:r>
            <m:sSub>
              <m:sSubPr>
                <m:ctrlPr>
                  <w:rPr>
                    <w:rFonts w:ascii="Cambria Math" w:hAnsi="Cambria Math"/>
                    <w:i/>
                    <w:iCs/>
                    <w:spacing w:val="-2"/>
                  </w:rPr>
                </m:ctrlPr>
              </m:sSubPr>
              <m:e>
                <m:r>
                  <m:rPr>
                    <m:nor/>
                  </m:rPr>
                  <w:rPr>
                    <w:i/>
                    <w:iCs/>
                    <w:spacing w:val="-2"/>
                  </w:rPr>
                  <m:t>D</m:t>
                </m:r>
              </m:e>
              <m:sub>
                <m:r>
                  <m:rPr>
                    <m:nor/>
                  </m:rPr>
                  <w:rPr>
                    <w:i/>
                    <w:iCs/>
                    <w:spacing w:val="-2"/>
                  </w:rPr>
                  <m:t>t</m:t>
                </m:r>
                <m:r>
                  <w:rPr>
                    <w:rFonts w:ascii="Cambria Math" w:hAnsi="Cambria Math"/>
                    <w:spacing w:val="-2"/>
                  </w:rPr>
                  <m:t>+</m:t>
                </m:r>
                <m:r>
                  <m:rPr>
                    <m:nor/>
                  </m:rPr>
                  <w:rPr>
                    <w:i/>
                    <w:iCs/>
                    <w:spacing w:val="-2"/>
                  </w:rPr>
                  <m:t>1</m:t>
                </m:r>
              </m:sub>
            </m:sSub>
          </m:e>
        </m:d>
      </m:oMath>
      <w:r w:rsidRPr="003C545D">
        <w:rPr>
          <w:rFonts w:eastAsiaTheme="minorEastAsia"/>
          <w:spacing w:val="-2"/>
        </w:rPr>
        <w:t xml:space="preserve"> tal que:</w:t>
      </w:r>
    </w:p>
    <w:p w14:paraId="3637736E" w14:textId="77777777" w:rsidR="00D3596B" w:rsidRDefault="00D3596B" w:rsidP="00D3596B">
      <w:pPr>
        <w:pStyle w:val="Nivel2SM"/>
      </w:pPr>
      <w:r>
        <w:t>Se cumplen las condiciones de optimalidad de hogares y empresas;</w:t>
      </w:r>
    </w:p>
    <w:p w14:paraId="085410D1" w14:textId="77777777" w:rsidR="00D3596B" w:rsidRDefault="00D3596B" w:rsidP="00D3596B">
      <w:pPr>
        <w:pStyle w:val="Nivel2SM"/>
      </w:pPr>
      <w:r>
        <w:t>La empresa contrata todo el trabajo y el capital ofertado por el hogar;</w:t>
      </w:r>
    </w:p>
    <w:p w14:paraId="1C15CAD7" w14:textId="77777777" w:rsidR="00D3596B" w:rsidRDefault="00D3596B" w:rsidP="00D3596B">
      <w:pPr>
        <w:pStyle w:val="Nivel2SM"/>
      </w:pPr>
      <w:r>
        <w:t>Las restricciones presupuestarias del hogar, la empresa y el sector público se cumplen con igualdad; y</w:t>
      </w:r>
    </w:p>
    <w:p w14:paraId="0B135454" w14:textId="77777777" w:rsidR="00D3596B" w:rsidRPr="006E6FC3" w:rsidRDefault="00D3596B" w:rsidP="00D3596B">
      <w:pPr>
        <w:pStyle w:val="Nivel2SM"/>
      </w:pPr>
      <w:r>
        <w:t>Las tenencias de bonos se igualan a la emisión de deuda del gobierno en cada período (i.e. </w:t>
      </w:r>
      <m:oMath>
        <m:sSub>
          <m:sSubPr>
            <m:ctrlPr>
              <w:rPr>
                <w:rFonts w:ascii="Cambria Math" w:hAnsi="Cambria Math"/>
                <w:i/>
                <w:iCs/>
              </w:rPr>
            </m:ctrlPr>
          </m:sSubPr>
          <m:e>
            <m:r>
              <m:rPr>
                <m:nor/>
              </m:rPr>
              <w:rPr>
                <w:i/>
                <w:iCs/>
              </w:rPr>
              <m:t>B</m:t>
            </m:r>
          </m:e>
          <m:sub>
            <m:r>
              <m:rPr>
                <m:nor/>
              </m:rPr>
              <w:rPr>
                <w:i/>
                <w:iCs/>
              </w:rPr>
              <m:t>t</m:t>
            </m:r>
            <m:r>
              <w:rPr>
                <w:rFonts w:ascii="Cambria Math" w:hAnsi="Cambria Math"/>
              </w:rPr>
              <m:t>+</m:t>
            </m:r>
            <m:r>
              <m:rPr>
                <m:nor/>
              </m:rPr>
              <w:rPr>
                <w:i/>
                <w:iCs/>
              </w:rPr>
              <m:t>1</m:t>
            </m:r>
          </m:sub>
        </m:sSub>
        <m:r>
          <w:rPr>
            <w:rFonts w:ascii="Cambria Math"/>
          </w:rPr>
          <m:t>=</m:t>
        </m:r>
        <m:sSub>
          <m:sSubPr>
            <m:ctrlPr>
              <w:rPr>
                <w:rFonts w:ascii="Cambria Math" w:hAnsi="Cambria Math"/>
                <w:i/>
                <w:iCs/>
              </w:rPr>
            </m:ctrlPr>
          </m:sSubPr>
          <m:e>
            <m:r>
              <m:rPr>
                <m:nor/>
              </m:rPr>
              <w:rPr>
                <w:i/>
                <w:iCs/>
              </w:rPr>
              <m:t>D</m:t>
            </m:r>
          </m:e>
          <m:sub>
            <m:r>
              <m:rPr>
                <m:nor/>
              </m:rPr>
              <w:rPr>
                <w:i/>
                <w:iCs/>
              </w:rPr>
              <m:t>t</m:t>
            </m:r>
            <m:r>
              <w:rPr>
                <w:rFonts w:ascii="Cambria Math" w:hAnsi="Cambria Math"/>
              </w:rPr>
              <m:t>+</m:t>
            </m:r>
            <m:r>
              <m:rPr>
                <m:nor/>
              </m:rPr>
              <w:rPr>
                <w:i/>
                <w:iCs/>
              </w:rPr>
              <m:t>1</m:t>
            </m:r>
          </m:sub>
        </m:sSub>
      </m:oMath>
      <w:r>
        <w:t xml:space="preserve">), dados los valores de los procesos estocásticos </w:t>
      </w:r>
      <m:oMath>
        <m:sSub>
          <m:sSubPr>
            <m:ctrlPr>
              <w:rPr>
                <w:rFonts w:ascii="Cambria Math" w:hAnsi="Cambria Math"/>
                <w:i/>
                <w:iCs/>
              </w:rPr>
            </m:ctrlPr>
          </m:sSubPr>
          <m:e>
            <m:r>
              <m:rPr>
                <m:nor/>
              </m:rPr>
              <w:rPr>
                <w:i/>
                <w:iCs/>
              </w:rPr>
              <m:t>A</m:t>
            </m:r>
          </m:e>
          <m:sub>
            <m:r>
              <m:rPr>
                <m:nor/>
              </m:rPr>
              <w:rPr>
                <w:i/>
                <w:iCs/>
              </w:rPr>
              <m:t>t</m:t>
            </m:r>
          </m:sub>
        </m:sSub>
      </m:oMath>
      <w:r>
        <w:rPr>
          <w:rFonts w:eastAsiaTheme="minorEastAsia"/>
          <w:iCs/>
        </w:rPr>
        <w:t xml:space="preserve"> y </w:t>
      </w:r>
      <m:oMath>
        <m:sSub>
          <m:sSubPr>
            <m:ctrlPr>
              <w:rPr>
                <w:rFonts w:ascii="Cambria Math" w:hAnsi="Cambria Math"/>
                <w:i/>
                <w:iCs/>
              </w:rPr>
            </m:ctrlPr>
          </m:sSubPr>
          <m:e>
            <m:r>
              <m:rPr>
                <m:nor/>
              </m:rPr>
              <w:rPr>
                <w:i/>
                <w:iCs/>
              </w:rPr>
              <m:t>G</m:t>
            </m:r>
          </m:e>
          <m:sub>
            <m:r>
              <m:rPr>
                <m:nor/>
              </m:rPr>
              <w:rPr>
                <w:i/>
                <w:iCs/>
              </w:rPr>
              <m:t>t</m:t>
            </m:r>
          </m:sub>
        </m:sSub>
      </m:oMath>
      <w:r>
        <w:rPr>
          <w:rFonts w:eastAsiaTheme="minorEastAsia"/>
          <w:iCs/>
        </w:rPr>
        <w:t xml:space="preserve"> y los valores iniciales de deuda y tenencia de bonos.</w:t>
      </w:r>
    </w:p>
    <w:p w14:paraId="7F96D328" w14:textId="77777777" w:rsidR="00D3596B" w:rsidRDefault="00D3596B" w:rsidP="00D3596B">
      <w:pPr>
        <w:pStyle w:val="Nivel1SM"/>
        <w:keepNext/>
        <w:spacing w:after="0"/>
      </w:pPr>
      <w:r>
        <w:lastRenderedPageBreak/>
        <w:t>Resolviendo, obtenemos las condiciones de equilibrio:</w:t>
      </w:r>
    </w:p>
    <w:tbl>
      <w:tblPr>
        <w:tblStyle w:val="Tablaconcuadrcu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53"/>
        <w:gridCol w:w="4252"/>
        <w:gridCol w:w="567"/>
      </w:tblGrid>
      <w:tr w:rsidR="00D3596B" w14:paraId="42BF89E7" w14:textId="77777777" w:rsidTr="00505133">
        <w:trPr>
          <w:trHeight w:val="567"/>
        </w:trPr>
        <w:tc>
          <w:tcPr>
            <w:tcW w:w="567" w:type="dxa"/>
            <w:vAlign w:val="center"/>
          </w:tcPr>
          <w:p w14:paraId="582FB205" w14:textId="77777777" w:rsidR="00D3596B" w:rsidRDefault="00D3596B" w:rsidP="00505133">
            <w:pPr>
              <w:keepNext/>
              <w:spacing w:after="0"/>
              <w:jc w:val="center"/>
            </w:pPr>
            <w:r>
              <w:t>(1)</w:t>
            </w:r>
          </w:p>
        </w:tc>
        <w:tc>
          <w:tcPr>
            <w:tcW w:w="4253" w:type="dxa"/>
            <w:vAlign w:val="center"/>
          </w:tcPr>
          <w:p w14:paraId="38CD59D6" w14:textId="77777777" w:rsidR="00D3596B" w:rsidRDefault="00000000" w:rsidP="00505133">
            <w:pPr>
              <w:keepNext/>
              <w:spacing w:after="0"/>
              <w:jc w:val="cente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t</m:t>
                    </m:r>
                  </m:sub>
                </m:sSub>
              </m:oMath>
            </m:oMathPara>
          </w:p>
        </w:tc>
        <w:tc>
          <w:tcPr>
            <w:tcW w:w="4252" w:type="dxa"/>
            <w:tcBorders>
              <w:left w:val="single" w:sz="4" w:space="0" w:color="auto"/>
            </w:tcBorders>
            <w:vAlign w:val="center"/>
          </w:tcPr>
          <w:p w14:paraId="38FC2F6C" w14:textId="77777777" w:rsidR="00D3596B" w:rsidRPr="008205FF" w:rsidRDefault="00000000" w:rsidP="00505133">
            <w:pPr>
              <w:keepNext/>
              <w:spacing w:after="0"/>
              <w:jc w:val="center"/>
              <w:rPr>
                <w:lang w:val="fr-FR"/>
              </w:rPr>
            </w:pPr>
            <m:oMathPara>
              <m:oMath>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iCs/>
                  </w:rPr>
                  <m:t>α</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r>
                      <w:rPr>
                        <w:rFonts w:ascii="Cambria Math" w:hAnsi="Cambria Math"/>
                        <w:lang w:val="fr-FR"/>
                      </w:rPr>
                      <m:t>-</m:t>
                    </m:r>
                    <m:r>
                      <m:rPr>
                        <m:nor/>
                      </m:rPr>
                      <w:rPr>
                        <w:i/>
                        <w:iCs/>
                        <w:lang w:val="fr-FR"/>
                      </w:rPr>
                      <m:t>1</m:t>
                    </m:r>
                  </m:sup>
                </m:sSup>
              </m:oMath>
            </m:oMathPara>
          </w:p>
        </w:tc>
        <w:tc>
          <w:tcPr>
            <w:tcW w:w="567" w:type="dxa"/>
            <w:vAlign w:val="center"/>
          </w:tcPr>
          <w:p w14:paraId="3DB4236B" w14:textId="77777777" w:rsidR="00D3596B" w:rsidRDefault="00D3596B" w:rsidP="00505133">
            <w:pPr>
              <w:keepNext/>
              <w:spacing w:after="0"/>
              <w:jc w:val="center"/>
            </w:pPr>
            <w:r>
              <w:t>(5)</w:t>
            </w:r>
          </w:p>
        </w:tc>
      </w:tr>
      <w:tr w:rsidR="00D3596B" w14:paraId="6109C53C" w14:textId="77777777" w:rsidTr="00505133">
        <w:trPr>
          <w:trHeight w:val="567"/>
        </w:trPr>
        <w:tc>
          <w:tcPr>
            <w:tcW w:w="567" w:type="dxa"/>
            <w:vAlign w:val="center"/>
          </w:tcPr>
          <w:p w14:paraId="491A2814" w14:textId="77777777" w:rsidR="00D3596B" w:rsidRDefault="00D3596B" w:rsidP="00505133">
            <w:pPr>
              <w:keepNext/>
              <w:spacing w:after="0"/>
              <w:jc w:val="center"/>
            </w:pPr>
            <w:r>
              <w:t>(2)</w:t>
            </w:r>
          </w:p>
        </w:tc>
        <w:tc>
          <w:tcPr>
            <w:tcW w:w="4253" w:type="dxa"/>
            <w:vAlign w:val="center"/>
          </w:tcPr>
          <w:p w14:paraId="0B8053D9" w14:textId="77777777" w:rsidR="00D3596B" w:rsidRPr="008205FF" w:rsidRDefault="00000000" w:rsidP="00505133">
            <w:pPr>
              <w:keepNext/>
              <w:spacing w:after="0"/>
              <w:jc w:val="center"/>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oMath>
            </m:oMathPara>
          </w:p>
        </w:tc>
        <w:tc>
          <w:tcPr>
            <w:tcW w:w="4252" w:type="dxa"/>
            <w:tcBorders>
              <w:left w:val="single" w:sz="4" w:space="0" w:color="auto"/>
            </w:tcBorders>
            <w:vAlign w:val="center"/>
          </w:tcPr>
          <w:p w14:paraId="551D515F" w14:textId="77777777" w:rsidR="00D3596B" w:rsidRPr="008205FF" w:rsidRDefault="00000000" w:rsidP="00505133">
            <w:pPr>
              <w:keepNext/>
              <w:spacing w:after="0"/>
              <w:jc w:val="center"/>
              <w:rPr>
                <w:lang w:val="fr-FR"/>
              </w:rPr>
            </w:pPr>
            <m:oMathPara>
              <m:oMath>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f>
                  <m:fPr>
                    <m:ctrlPr>
                      <w:rPr>
                        <w:rFonts w:ascii="Cambria Math" w:hAnsi="Cambria Math"/>
                        <w:i/>
                        <w:iCs/>
                      </w:rPr>
                    </m:ctrlPr>
                  </m:fPr>
                  <m:num>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e>
                          <m:sup>
                            <m:r>
                              <w:rPr>
                                <w:rFonts w:ascii="Cambria Math" w:hAnsi="Cambria Math"/>
                                <w:lang w:val="fr-FR"/>
                              </w:rPr>
                              <m:t>-</m:t>
                            </m:r>
                            <m:r>
                              <m:rPr>
                                <m:nor/>
                              </m:rPr>
                              <w:rPr>
                                <w:i/>
                                <w:lang w:val="fr-FR"/>
                              </w:rPr>
                              <m:t>θ</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e>
                    </m:d>
                  </m:num>
                  <m:den>
                    <m:r>
                      <m:rPr>
                        <m:nor/>
                      </m:rPr>
                      <w:rPr>
                        <w:i/>
                        <w:iCs/>
                        <w:lang w:val="fr-FR"/>
                      </w:rPr>
                      <m:t>1</m:t>
                    </m:r>
                    <m:r>
                      <w:rPr>
                        <w:rFonts w:ascii="Cambria Math" w:hAnsi="Cambria Math"/>
                        <w:lang w:val="fr-FR"/>
                      </w:rPr>
                      <m:t>+</m:t>
                    </m:r>
                    <m:r>
                      <m:rPr>
                        <m:nor/>
                      </m:rPr>
                      <w:rPr>
                        <w:i/>
                        <w:iCs/>
                        <w:lang w:val="fr-FR"/>
                      </w:rPr>
                      <m:t>ρ</m:t>
                    </m:r>
                  </m:den>
                </m:f>
              </m:oMath>
            </m:oMathPara>
          </w:p>
        </w:tc>
        <w:tc>
          <w:tcPr>
            <w:tcW w:w="567" w:type="dxa"/>
            <w:vAlign w:val="center"/>
          </w:tcPr>
          <w:p w14:paraId="60C7836D" w14:textId="77777777" w:rsidR="00D3596B" w:rsidRDefault="00D3596B" w:rsidP="00505133">
            <w:pPr>
              <w:keepNext/>
              <w:spacing w:after="0"/>
              <w:jc w:val="center"/>
            </w:pPr>
            <w:r>
              <w:t>(6)</w:t>
            </w:r>
          </w:p>
        </w:tc>
      </w:tr>
      <w:tr w:rsidR="00D3596B" w14:paraId="2ADEBC44" w14:textId="77777777" w:rsidTr="00505133">
        <w:trPr>
          <w:trHeight w:val="567"/>
        </w:trPr>
        <w:tc>
          <w:tcPr>
            <w:tcW w:w="567" w:type="dxa"/>
            <w:vAlign w:val="center"/>
          </w:tcPr>
          <w:p w14:paraId="4EE08A6E" w14:textId="77777777" w:rsidR="00D3596B" w:rsidRDefault="00D3596B" w:rsidP="00505133">
            <w:pPr>
              <w:keepNext/>
              <w:spacing w:after="0"/>
              <w:jc w:val="center"/>
            </w:pPr>
            <w:r>
              <w:t>(3)</w:t>
            </w:r>
          </w:p>
        </w:tc>
        <w:tc>
          <w:tcPr>
            <w:tcW w:w="4253" w:type="dxa"/>
            <w:vAlign w:val="center"/>
          </w:tcPr>
          <w:p w14:paraId="172B6C90" w14:textId="77777777" w:rsidR="00D3596B" w:rsidRDefault="00000000" w:rsidP="00505133">
            <w:pPr>
              <w:keepNext/>
              <w:spacing w:after="0"/>
              <w:jc w:val="center"/>
            </w:pPr>
            <m:oMathPara>
              <m:oMath>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tc>
        <w:tc>
          <w:tcPr>
            <w:tcW w:w="4252" w:type="dxa"/>
            <w:tcBorders>
              <w:left w:val="single" w:sz="4" w:space="0" w:color="auto"/>
            </w:tcBorders>
            <w:vAlign w:val="center"/>
          </w:tcPr>
          <w:p w14:paraId="77F0988A" w14:textId="77777777" w:rsidR="00D3596B" w:rsidRPr="00396F4F" w:rsidRDefault="00000000" w:rsidP="00505133">
            <w:pPr>
              <w:keepNext/>
              <w:spacing w:after="0"/>
              <w:jc w:val="center"/>
              <w:rPr>
                <w:lang w:val="fr-FR"/>
              </w:rPr>
            </w:pPr>
            <m:oMathPara>
              <m:oMath>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f>
                  <m:fPr>
                    <m:ctrlPr>
                      <w:rPr>
                        <w:rFonts w:ascii="Cambria Math" w:hAnsi="Cambria Math"/>
                        <w:i/>
                        <w:iCs/>
                      </w:rPr>
                    </m:ctrlPr>
                  </m:fPr>
                  <m:num>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e>
                          <m:sup>
                            <m:r>
                              <w:rPr>
                                <w:rFonts w:ascii="Cambria Math" w:hAnsi="Cambria Math"/>
                                <w:lang w:val="fr-FR"/>
                              </w:rPr>
                              <m:t>-</m:t>
                            </m:r>
                            <m:r>
                              <m:rPr>
                                <m:nor/>
                              </m:rPr>
                              <w:rPr>
                                <w:i/>
                                <w:lang w:val="fr-FR"/>
                              </w:rPr>
                              <m:t>θ</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e>
                        </m:d>
                      </m:e>
                    </m:d>
                  </m:num>
                  <m:den>
                    <m:r>
                      <m:rPr>
                        <m:nor/>
                      </m:rPr>
                      <w:rPr>
                        <w:i/>
                        <w:iCs/>
                        <w:lang w:val="fr-FR"/>
                      </w:rPr>
                      <m:t>1</m:t>
                    </m:r>
                    <m:r>
                      <w:rPr>
                        <w:rFonts w:ascii="Cambria Math" w:hAnsi="Cambria Math"/>
                        <w:lang w:val="fr-FR"/>
                      </w:rPr>
                      <m:t>+</m:t>
                    </m:r>
                    <m:r>
                      <m:rPr>
                        <m:nor/>
                      </m:rPr>
                      <w:rPr>
                        <w:i/>
                        <w:iCs/>
                        <w:lang w:val="fr-FR"/>
                      </w:rPr>
                      <m:t>ρ</m:t>
                    </m:r>
                  </m:den>
                </m:f>
              </m:oMath>
            </m:oMathPara>
          </w:p>
        </w:tc>
        <w:tc>
          <w:tcPr>
            <w:tcW w:w="567" w:type="dxa"/>
            <w:vAlign w:val="center"/>
          </w:tcPr>
          <w:p w14:paraId="6418EA3B" w14:textId="77777777" w:rsidR="00D3596B" w:rsidRDefault="00D3596B" w:rsidP="00505133">
            <w:pPr>
              <w:keepNext/>
              <w:spacing w:after="0"/>
              <w:jc w:val="center"/>
            </w:pPr>
            <w:r>
              <w:t>(7)</w:t>
            </w:r>
          </w:p>
        </w:tc>
      </w:tr>
      <w:tr w:rsidR="00D3596B" w14:paraId="28B2B195" w14:textId="77777777" w:rsidTr="00505133">
        <w:trPr>
          <w:trHeight w:val="567"/>
        </w:trPr>
        <w:tc>
          <w:tcPr>
            <w:tcW w:w="567" w:type="dxa"/>
            <w:vAlign w:val="center"/>
          </w:tcPr>
          <w:p w14:paraId="3DE94695" w14:textId="77777777" w:rsidR="00D3596B" w:rsidRDefault="00D3596B" w:rsidP="00505133">
            <w:pPr>
              <w:spacing w:after="0"/>
              <w:jc w:val="center"/>
            </w:pPr>
            <w:r>
              <w:t>(4)</w:t>
            </w:r>
          </w:p>
        </w:tc>
        <w:tc>
          <w:tcPr>
            <w:tcW w:w="4253" w:type="dxa"/>
            <w:vAlign w:val="center"/>
          </w:tcPr>
          <w:p w14:paraId="39459FB7" w14:textId="77777777" w:rsidR="00D3596B" w:rsidRPr="008205FF" w:rsidRDefault="00000000" w:rsidP="00505133">
            <w:pPr>
              <w:spacing w:after="0"/>
              <w:jc w:val="center"/>
              <w:rPr>
                <w:lang w:val="fr-FR"/>
              </w:rPr>
            </w:pPr>
            <m:oMathPara>
              <m:oMath>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iCs/>
                        <w:lang w:val="fr-FR"/>
                      </w:rPr>
                      <m:t>1</m:t>
                    </m:r>
                    <m:r>
                      <w:rPr>
                        <w:rFonts w:ascii="Cambria Math" w:hAnsi="Cambria Math"/>
                        <w:lang w:val="fr-FR"/>
                      </w:rPr>
                      <m:t>-</m:t>
                    </m:r>
                    <m:r>
                      <m:rPr>
                        <m:nor/>
                      </m:rPr>
                      <w:rPr>
                        <w:i/>
                        <w:iCs/>
                      </w:rPr>
                      <m:t>α</m:t>
                    </m:r>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sup>
                </m:sSup>
              </m:oMath>
            </m:oMathPara>
          </w:p>
        </w:tc>
        <w:tc>
          <w:tcPr>
            <w:tcW w:w="4252" w:type="dxa"/>
            <w:tcBorders>
              <w:left w:val="single" w:sz="4" w:space="0" w:color="auto"/>
            </w:tcBorders>
            <w:vAlign w:val="center"/>
          </w:tcPr>
          <w:p w14:paraId="3F0D044D" w14:textId="77777777" w:rsidR="00D3596B" w:rsidRPr="008205FF" w:rsidRDefault="00D3596B" w:rsidP="00505133">
            <w:pPr>
              <w:spacing w:after="0"/>
              <w:jc w:val="center"/>
              <w:rPr>
                <w:lang w:val="fr-FR"/>
              </w:rPr>
            </w:pPr>
            <m:oMathPara>
              <m:oMath>
                <m:r>
                  <m:rPr>
                    <m:nor/>
                  </m:rPr>
                  <w:rPr>
                    <w:i/>
                    <w:iCs/>
                    <w:lang w:val="fr-FR"/>
                  </w:rPr>
                  <m:t>ζ</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φ</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oMath>
            </m:oMathPara>
          </w:p>
        </w:tc>
        <w:tc>
          <w:tcPr>
            <w:tcW w:w="567" w:type="dxa"/>
            <w:vAlign w:val="center"/>
          </w:tcPr>
          <w:p w14:paraId="716AC91F" w14:textId="77777777" w:rsidR="00D3596B" w:rsidRDefault="00D3596B" w:rsidP="00505133">
            <w:pPr>
              <w:spacing w:after="0"/>
              <w:jc w:val="center"/>
            </w:pPr>
            <w:r>
              <w:t>(8)</w:t>
            </w:r>
          </w:p>
        </w:tc>
      </w:tr>
    </w:tbl>
    <w:p w14:paraId="6A537CC4" w14:textId="77777777" w:rsidR="00D3596B" w:rsidRPr="006B6490" w:rsidRDefault="00D3596B" w:rsidP="00D3596B">
      <w:pPr>
        <w:pStyle w:val="Nivel2SM"/>
        <w:rPr>
          <w:spacing w:val="-1"/>
        </w:rPr>
      </w:pPr>
      <w:r w:rsidRPr="006B6490">
        <w:rPr>
          <w:spacing w:val="-1"/>
        </w:rPr>
        <w:t xml:space="preserve">¡Ninguna de las condiciones de equilibrio dependen de </w:t>
      </w:r>
      <m:oMath>
        <m:sSub>
          <m:sSubPr>
            <m:ctrlPr>
              <w:rPr>
                <w:rFonts w:ascii="Cambria Math" w:hAnsi="Cambria Math"/>
                <w:i/>
                <w:spacing w:val="-1"/>
              </w:rPr>
            </m:ctrlPr>
          </m:sSubPr>
          <m:e>
            <m:r>
              <m:rPr>
                <m:nor/>
              </m:rPr>
              <w:rPr>
                <w:i/>
                <w:spacing w:val="-1"/>
              </w:rPr>
              <m:t>D</m:t>
            </m:r>
          </m:e>
          <m:sub>
            <m:r>
              <m:rPr>
                <m:nor/>
              </m:rPr>
              <w:rPr>
                <w:i/>
                <w:spacing w:val="-1"/>
              </w:rPr>
              <m:t>t</m:t>
            </m:r>
          </m:sub>
        </m:sSub>
      </m:oMath>
      <w:r w:rsidRPr="006B6490">
        <w:rPr>
          <w:spacing w:val="-1"/>
        </w:rPr>
        <w:t xml:space="preserve"> o de </w:t>
      </w:r>
      <m:oMath>
        <m:sSub>
          <m:sSubPr>
            <m:ctrlPr>
              <w:rPr>
                <w:rFonts w:ascii="Cambria Math" w:hAnsi="Cambria Math"/>
                <w:i/>
                <w:spacing w:val="-1"/>
              </w:rPr>
            </m:ctrlPr>
          </m:sSubPr>
          <m:e>
            <m:r>
              <m:rPr>
                <m:nor/>
              </m:rPr>
              <w:rPr>
                <w:i/>
                <w:spacing w:val="-1"/>
                <w:lang w:val="fr-FR"/>
              </w:rPr>
              <m:t>τ</m:t>
            </m:r>
          </m:e>
          <m:sub>
            <m:r>
              <m:rPr>
                <m:nor/>
              </m:rPr>
              <w:rPr>
                <w:i/>
                <w:spacing w:val="-1"/>
              </w:rPr>
              <m:t>t</m:t>
            </m:r>
          </m:sub>
        </m:sSub>
      </m:oMath>
      <w:r w:rsidRPr="006B6490">
        <w:rPr>
          <w:spacing w:val="-1"/>
        </w:rPr>
        <w:t xml:space="preserve">! Este resultado es conocido como </w:t>
      </w:r>
      <w:r w:rsidRPr="006B6490">
        <w:rPr>
          <w:b/>
          <w:bCs/>
          <w:spacing w:val="-1"/>
        </w:rPr>
        <w:t>equivalencia ricardiana</w:t>
      </w:r>
      <w:r w:rsidRPr="006B6490">
        <w:rPr>
          <w:spacing w:val="-1"/>
        </w:rPr>
        <w:t>, e implica que la forma en que el gobierno financie el gasto público mediante la emisión de deuda pública, mediante impuestos o mediante combinaciones de ambas es irrelevante.</w:t>
      </w:r>
    </w:p>
    <w:p w14:paraId="1FE64AAA" w14:textId="77777777" w:rsidR="00D3596B" w:rsidRDefault="00D3596B" w:rsidP="00D3596B">
      <w:pPr>
        <w:pStyle w:val="Imagen"/>
      </w:pPr>
      <w:r w:rsidRPr="004E2A6D">
        <w:drawing>
          <wp:inline distT="0" distB="0" distL="0" distR="0" wp14:anchorId="706A8A90" wp14:editId="235A586F">
            <wp:extent cx="4046220" cy="2684886"/>
            <wp:effectExtent l="0" t="0" r="0" b="1270"/>
            <wp:docPr id="12" name="Picture 12" descr="Texto, Pizar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o, Pizarra&#10;&#10;Descripción generada automáticament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056571" cy="2691754"/>
                    </a:xfrm>
                    <a:prstGeom prst="rect">
                      <a:avLst/>
                    </a:prstGeom>
                    <a:noFill/>
                    <a:ln>
                      <a:noFill/>
                    </a:ln>
                  </pic:spPr>
                </pic:pic>
              </a:graphicData>
            </a:graphic>
          </wp:inline>
        </w:drawing>
      </w:r>
    </w:p>
    <w:p w14:paraId="60CB1EF8" w14:textId="77777777" w:rsidR="00D3596B" w:rsidRDefault="00D3596B" w:rsidP="00D3596B">
      <w:pPr>
        <w:pStyle w:val="Ttulo6"/>
      </w:pPr>
      <w:bookmarkStart w:id="62" w:name="_Toc142500902"/>
      <w:bookmarkStart w:id="63" w:name="_Toc151221249"/>
      <w:r>
        <w:t>Implicaciones</w:t>
      </w:r>
      <w:bookmarkEnd w:id="62"/>
      <w:bookmarkEnd w:id="63"/>
    </w:p>
    <w:p w14:paraId="6B6FE74F" w14:textId="4875491D" w:rsidR="00D3596B" w:rsidRDefault="009C6BE5" w:rsidP="00D3596B">
      <w:pPr>
        <w:pStyle w:val="Ttulo7"/>
        <w:spacing w:before="0"/>
      </w:pPr>
      <w:bookmarkStart w:id="64" w:name="_Toc142500903"/>
      <w:r>
        <w:t>E</w:t>
      </w:r>
      <w:r w:rsidR="00D3596B">
        <w:t>quivalencia ricardiana</w:t>
      </w:r>
      <w:bookmarkEnd w:id="64"/>
    </w:p>
    <w:p w14:paraId="3F09AC06" w14:textId="77777777" w:rsidR="00D3596B" w:rsidRDefault="00D3596B" w:rsidP="00D3596B">
      <w:pPr>
        <w:pStyle w:val="Ttulo8"/>
        <w:spacing w:before="0"/>
      </w:pPr>
      <w:bookmarkStart w:id="65" w:name="_Hlk119320648"/>
      <w:r>
        <w:t>Idea</w:t>
      </w:r>
    </w:p>
    <w:p w14:paraId="017A6BF3" w14:textId="77777777" w:rsidR="00D3596B" w:rsidRDefault="00D3596B" w:rsidP="00D3596B">
      <w:pPr>
        <w:pStyle w:val="Nivel1SM"/>
        <w:spacing w:before="0"/>
      </w:pPr>
      <w:r>
        <w:t xml:space="preserve">La equivalencia ricardiana fue formulada inicialmente, tal y como sugiere su nombre, por el economista clásico británico </w:t>
      </w:r>
      <w:r>
        <w:rPr>
          <w:smallCaps/>
        </w:rPr>
        <w:t>David Ricardo</w:t>
      </w:r>
      <w:r>
        <w:t xml:space="preserve"> (1817), en su obra </w:t>
      </w:r>
      <w:r w:rsidRPr="00FD01EB">
        <w:rPr>
          <w:i/>
          <w:iCs/>
        </w:rPr>
        <w:t>Principios de economía política y tributación</w:t>
      </w:r>
      <w:r>
        <w:t>. No obstante, inmediatamente la descartó por ser irrelevante en la práctica.</w:t>
      </w:r>
    </w:p>
    <w:p w14:paraId="508BF58F" w14:textId="77777777" w:rsidR="00D3596B" w:rsidRDefault="00D3596B" w:rsidP="00D3596B">
      <w:pPr>
        <w:pStyle w:val="Nivel1SM"/>
      </w:pPr>
      <w:r>
        <w:t xml:space="preserve">Este concepto, sería retomado por </w:t>
      </w:r>
      <w:r>
        <w:rPr>
          <w:smallCaps/>
        </w:rPr>
        <w:t>Robert Barro</w:t>
      </w:r>
      <w:r>
        <w:t xml:space="preserve"> en 1974, quien en su obra </w:t>
      </w:r>
      <w:r w:rsidRPr="00FD01EB">
        <w:rPr>
          <w:i/>
          <w:iCs/>
        </w:rPr>
        <w:t>“</w:t>
      </w:r>
      <w:r>
        <w:rPr>
          <w:i/>
          <w:iCs/>
        </w:rPr>
        <w:t xml:space="preserve">Are </w:t>
      </w:r>
      <w:proofErr w:type="spellStart"/>
      <w:r>
        <w:rPr>
          <w:i/>
          <w:iCs/>
        </w:rPr>
        <w:t>Government</w:t>
      </w:r>
      <w:proofErr w:type="spellEnd"/>
      <w:r>
        <w:rPr>
          <w:i/>
          <w:iCs/>
        </w:rPr>
        <w:t xml:space="preserve"> Bonds Net Wealth?”</w:t>
      </w:r>
      <w:r>
        <w:t xml:space="preserve"> argumentó que la equivalencia ricardiana merecía atención profesional, ya que daría lugar a importantes implicaciones de política económica</w:t>
      </w:r>
      <w:r>
        <w:rPr>
          <w:rStyle w:val="Refdenotaalpie"/>
        </w:rPr>
        <w:footnoteReference w:id="21"/>
      </w:r>
      <w:r>
        <w:t>.</w:t>
      </w:r>
    </w:p>
    <w:p w14:paraId="24585634" w14:textId="77777777" w:rsidR="00D3596B" w:rsidRDefault="00D3596B" w:rsidP="00D3596B">
      <w:pPr>
        <w:pStyle w:val="Ttulo8"/>
      </w:pPr>
      <w:r>
        <w:t>Desarrollo</w:t>
      </w:r>
    </w:p>
    <w:p w14:paraId="6BEFD35E" w14:textId="77777777" w:rsidR="00D3596B" w:rsidRPr="00273A78" w:rsidRDefault="00D3596B" w:rsidP="00D3596B">
      <w:pPr>
        <w:pStyle w:val="Ttulo9"/>
        <w:spacing w:before="0"/>
      </w:pPr>
      <w:r>
        <w:t>¿Qué implica la equivalencia ricardiana?</w:t>
      </w:r>
    </w:p>
    <w:p w14:paraId="6A8CAC1D" w14:textId="77777777" w:rsidR="00D3596B" w:rsidRDefault="00D3596B" w:rsidP="00D3596B">
      <w:pPr>
        <w:pStyle w:val="Nivel1SM"/>
        <w:keepNext/>
        <w:spacing w:before="0" w:after="0"/>
      </w:pPr>
      <w:r>
        <w:t xml:space="preserve">En general, podemos definir el resultado de la </w:t>
      </w:r>
      <w:r>
        <w:rPr>
          <w:b/>
          <w:bCs/>
        </w:rPr>
        <w:t>equivalencia ricardiana</w:t>
      </w:r>
      <w:r>
        <w:t xml:space="preserve"> de la siguiente forma:</w:t>
      </w:r>
    </w:p>
    <w:p w14:paraId="31B3D530" w14:textId="77777777" w:rsidR="00D3596B" w:rsidRPr="00BA28B0" w:rsidRDefault="00D3596B" w:rsidP="00D3596B">
      <w:pPr>
        <w:pStyle w:val="Nivel2SM"/>
        <w:keepNext/>
        <w:spacing w:after="0"/>
        <w:rPr>
          <w:i/>
          <w:iCs/>
        </w:rPr>
      </w:pPr>
      <w:r w:rsidRPr="00BA28B0">
        <w:rPr>
          <w:i/>
          <w:iCs/>
        </w:rPr>
        <w:t xml:space="preserve">“Dada una trayectoria determinada de gasto público, no importa el método particular utilizado para financiar estos gastos, en el sentido de que el consumo real, la inversión y el rendimiento no se ven afectados. Concretamente, ya sea que los gastos se financien mediante impuestos o mediante deuda, los </w:t>
      </w:r>
      <w:r w:rsidRPr="00BA28B0">
        <w:rPr>
          <w:i/>
          <w:iCs/>
        </w:rPr>
        <w:lastRenderedPageBreak/>
        <w:t>planes de consumo e inversión reales del sector privado se ven inalterados. En ese sentido, la deuda pública y los impuestos son equivalentes”.</w:t>
      </w:r>
    </w:p>
    <w:p w14:paraId="5B06678E" w14:textId="77777777" w:rsidR="00D3596B" w:rsidRPr="00BA28B0" w:rsidRDefault="00D3596B" w:rsidP="00D3596B">
      <w:pPr>
        <w:pStyle w:val="Nivel3SM"/>
        <w:rPr>
          <w:spacing w:val="-2"/>
        </w:rPr>
      </w:pPr>
      <w:r w:rsidRPr="00BA28B0">
        <w:rPr>
          <w:spacing w:val="-2"/>
        </w:rPr>
        <w:t>En otras palabras, la deuda del gobierno es simplemente contemplada como imposición pospuesta. Si el gobierno decide financiar su déficit emitiendo deuda hoy, los agentes privados ahorrarán más para redimir esta deuda en el futuro a través de mayores impuestos.</w:t>
      </w:r>
    </w:p>
    <w:p w14:paraId="1FBF999D" w14:textId="77777777" w:rsidR="00D3596B" w:rsidRDefault="00D3596B" w:rsidP="00D3596B">
      <w:pPr>
        <w:pStyle w:val="Nivel2SM"/>
        <w:keepNext/>
        <w:spacing w:after="0"/>
      </w:pPr>
      <w:r w:rsidRPr="00BA28B0">
        <w:t xml:space="preserve">Por tanto, </w:t>
      </w:r>
      <w:r w:rsidRPr="00BA28B0">
        <w:rPr>
          <w:i/>
          <w:iCs/>
        </w:rPr>
        <w:t>¿son los bonos del gobierno riqueza neta?</w:t>
      </w:r>
    </w:p>
    <w:p w14:paraId="1474EC83" w14:textId="77777777" w:rsidR="00D3596B" w:rsidRDefault="00D3596B" w:rsidP="00D3596B">
      <w:pPr>
        <w:pStyle w:val="Nivel3SM"/>
        <w:spacing w:after="100"/>
      </w:pPr>
      <w:r w:rsidRPr="00BA28B0">
        <w:t>No, sólo son una prueba de mayores impuestos futuros.</w:t>
      </w:r>
    </w:p>
    <w:p w14:paraId="64A21436" w14:textId="77777777" w:rsidR="00D3596B" w:rsidRPr="00150060" w:rsidRDefault="00D3596B" w:rsidP="00D3596B">
      <w:pPr>
        <w:pStyle w:val="Nivel1SM"/>
        <w:keepNext/>
        <w:spacing w:after="0"/>
        <w:rPr>
          <w:spacing w:val="-1"/>
        </w:rPr>
      </w:pPr>
      <w:r w:rsidRPr="00150060">
        <w:rPr>
          <w:spacing w:val="-1"/>
        </w:rPr>
        <w:t>En definitiva, los títulos de deuda pública no son considerados riqueza neta, siendo el déficit público neutral independientemente de su financiación. El impacto de una política fiscal expansiva viene determinado por la composición del gasto público, independientemente de su forma de financiación:</w:t>
      </w:r>
    </w:p>
    <w:p w14:paraId="38EE456B" w14:textId="77777777" w:rsidR="00D3596B" w:rsidRDefault="00D3596B" w:rsidP="00D3596B">
      <w:pPr>
        <w:pStyle w:val="Nivel2SM"/>
      </w:pPr>
      <w:r w:rsidRPr="00F477C1">
        <w:rPr>
          <w:i/>
          <w:iCs/>
        </w:rPr>
        <w:t>Títulos de deuda</w:t>
      </w:r>
      <w:r>
        <w:t>: Generan un aumento del ahorro privado para hacer frente a un previsible aumento de impuestos en el futuro;</w:t>
      </w:r>
    </w:p>
    <w:p w14:paraId="27E9DFA2" w14:textId="77777777" w:rsidR="00D3596B" w:rsidRDefault="00D3596B" w:rsidP="00D3596B">
      <w:pPr>
        <w:pStyle w:val="Nivel2SM"/>
      </w:pPr>
      <w:r w:rsidRPr="00F477C1">
        <w:rPr>
          <w:i/>
          <w:iCs/>
        </w:rPr>
        <w:t>Recaudación de impuestos</w:t>
      </w:r>
      <w:r>
        <w:t>: Esta recaudación disminuirá la renta disponible de los agentes y por lo tanto el ahorro en comparación con la financiación mediante títulos de deuda.</w:t>
      </w:r>
    </w:p>
    <w:p w14:paraId="52350173" w14:textId="77777777" w:rsidR="00D3596B" w:rsidRDefault="00D3596B" w:rsidP="00D3596B">
      <w:pPr>
        <w:pStyle w:val="Nivel2SM"/>
      </w:pPr>
      <w:r w:rsidRPr="00F477C1">
        <w:rPr>
          <w:i/>
          <w:iCs/>
        </w:rPr>
        <w:t>Monetización</w:t>
      </w:r>
      <w:r>
        <w:t>: Las expectativas de emisión continua en el futuro generan un aumento del ahorro en previsión del impuesto inflacionario asociado.</w:t>
      </w:r>
    </w:p>
    <w:p w14:paraId="56856A13" w14:textId="77777777" w:rsidR="00D3596B" w:rsidRPr="00BA28B0" w:rsidRDefault="00D3596B" w:rsidP="00D3596B">
      <w:pPr>
        <w:pStyle w:val="Nivel1SM"/>
      </w:pPr>
      <w:r>
        <w:t>En una economía abierta, el resultado de la equivalencia ricardiana se mantiene. Además, implica que el reparto del endeudamiento frente al exterior entre hogares y sector público no tiene importancia, y lo relevante para las decisiones de consumo e inversión es la posición de la economía en su conjunto frente al exterior. Por ejemplo, dada una senda de gasto público, una reducción de impuestos no afectaría al saldo de la cuenta corriente, ya que el aumento del endeudamiento del sector público se vería compensado por el aumento del ahorro del sector privado, sin que fuese necesario recurrir a la financiación exterior (</w:t>
      </w:r>
      <w:r>
        <w:rPr>
          <w:smallCaps/>
        </w:rPr>
        <w:t>Schmitt-Grohe</w:t>
      </w:r>
      <w:r>
        <w:t xml:space="preserve"> </w:t>
      </w:r>
      <w:r>
        <w:rPr>
          <w:i/>
          <w:iCs/>
        </w:rPr>
        <w:t>et al.</w:t>
      </w:r>
      <w:r>
        <w:t>, 2016).</w:t>
      </w:r>
    </w:p>
    <w:p w14:paraId="574337D0" w14:textId="77777777" w:rsidR="00D3596B" w:rsidRPr="00331EC5" w:rsidRDefault="00D3596B" w:rsidP="00D3596B">
      <w:pPr>
        <w:pStyle w:val="Ttulo9"/>
        <w:jc w:val="left"/>
      </w:pPr>
      <w:r>
        <w:t>¿Qué no implica la equivalencia ricardiana?</w:t>
      </w:r>
      <w:r>
        <w:rPr>
          <w:spacing w:val="-8"/>
          <w:sz w:val="18"/>
          <w:szCs w:val="18"/>
          <w:u w:val="none"/>
        </w:rPr>
        <w:br/>
      </w:r>
      <w:r w:rsidRPr="00273A78">
        <w:rPr>
          <w:spacing w:val="-8"/>
          <w:sz w:val="18"/>
          <w:szCs w:val="18"/>
          <w:u w:val="none"/>
        </w:rPr>
        <w:t>Cuidado, la equivalencia ricardiana no implica que el gasto público no tenga efectos sobre el output</w:t>
      </w:r>
    </w:p>
    <w:p w14:paraId="48C10965" w14:textId="77777777" w:rsidR="00D3596B" w:rsidRDefault="00D3596B" w:rsidP="00D3596B">
      <w:pPr>
        <w:pStyle w:val="Nivel1SM"/>
        <w:spacing w:before="0"/>
      </w:pPr>
      <w:r w:rsidRPr="00771859">
        <w:rPr>
          <w:spacing w:val="-2"/>
        </w:rPr>
        <w:t xml:space="preserve">Es importante destacar que </w:t>
      </w:r>
      <w:r w:rsidRPr="00771859">
        <w:rPr>
          <w:b/>
          <w:bCs/>
          <w:spacing w:val="-2"/>
        </w:rPr>
        <w:t>la equivalencia ricardiana no implica que el gasto público no tenga efectos sobre el output, sobre el consumo o el empleo</w:t>
      </w:r>
      <w:r w:rsidRPr="00771859">
        <w:rPr>
          <w:spacing w:val="-2"/>
        </w:rPr>
        <w:t xml:space="preserve"> </w:t>
      </w:r>
      <w:r w:rsidRPr="00771859">
        <w:rPr>
          <w:spacing w:val="-2"/>
          <w:sz w:val="19"/>
          <w:szCs w:val="19"/>
        </w:rPr>
        <w:t>(de hecho, en un modelo de ciclo real como este sí que los tiene)</w:t>
      </w:r>
      <w:r w:rsidRPr="00771859">
        <w:rPr>
          <w:spacing w:val="-2"/>
        </w:rPr>
        <w:t>, sino que estos efectos serán los mismos independientemente de cómo se financia este gasto</w:t>
      </w:r>
      <w:r w:rsidRPr="00771859">
        <w:rPr>
          <w:rStyle w:val="Refdenotaalpie"/>
          <w:spacing w:val="-2"/>
        </w:rPr>
        <w:footnoteReference w:id="22"/>
      </w:r>
      <w:r w:rsidRPr="00771859">
        <w:rPr>
          <w:spacing w:val="-2"/>
        </w:rPr>
        <w:t>.</w:t>
      </w:r>
      <w:r>
        <w:t xml:space="preserve"> </w:t>
      </w:r>
      <w:r w:rsidRPr="00331EC5">
        <w:t xml:space="preserve">Por lo tanto, este concepto, estrictamente hablando, está relacionado con la financiación del déficit </w:t>
      </w:r>
      <w:r w:rsidRPr="00331EC5">
        <w:rPr>
          <w:color w:val="767171" w:themeColor="background2" w:themeShade="80"/>
          <w:sz w:val="19"/>
          <w:szCs w:val="19"/>
        </w:rPr>
        <w:t>[ver tema 3.A.38]</w:t>
      </w:r>
      <w:r w:rsidRPr="00331EC5">
        <w:t>.</w:t>
      </w:r>
    </w:p>
    <w:p w14:paraId="794941F3" w14:textId="149FA1EA" w:rsidR="001E1377" w:rsidRDefault="001E1377" w:rsidP="001E1377">
      <w:pPr>
        <w:pStyle w:val="Ttulo9"/>
      </w:pPr>
      <w:r>
        <w:t>Efectos no keynesianos de la política fiscal</w:t>
      </w:r>
    </w:p>
    <w:p w14:paraId="30923192" w14:textId="0F930363" w:rsidR="00D3596B" w:rsidRPr="00BA28B0" w:rsidRDefault="00D3596B" w:rsidP="001E1377">
      <w:pPr>
        <w:pStyle w:val="Nivel1SM"/>
        <w:keepNext/>
        <w:spacing w:before="0" w:after="0"/>
        <w:rPr>
          <w:spacing w:val="-3"/>
        </w:rPr>
      </w:pPr>
      <w:r w:rsidRPr="00BA28B0">
        <w:rPr>
          <w:spacing w:val="-3"/>
        </w:rPr>
        <w:t xml:space="preserve">Sin embargo, el trabajo de </w:t>
      </w:r>
      <w:r w:rsidRPr="00BA28B0">
        <w:rPr>
          <w:smallCaps/>
          <w:spacing w:val="-3"/>
        </w:rPr>
        <w:t>Barro</w:t>
      </w:r>
      <w:r w:rsidRPr="00BA28B0">
        <w:rPr>
          <w:spacing w:val="-3"/>
        </w:rPr>
        <w:t xml:space="preserve"> ha provocado que algunos autores defiendan la existencia de </w:t>
      </w:r>
      <w:r w:rsidRPr="00BA28B0">
        <w:rPr>
          <w:b/>
          <w:bCs/>
          <w:spacing w:val="-3"/>
        </w:rPr>
        <w:t>efectos no</w:t>
      </w:r>
      <w:r w:rsidR="001E1377">
        <w:rPr>
          <w:b/>
          <w:bCs/>
          <w:spacing w:val="-3"/>
        </w:rPr>
        <w:t> </w:t>
      </w:r>
      <w:r w:rsidRPr="00BA28B0">
        <w:rPr>
          <w:b/>
          <w:bCs/>
          <w:spacing w:val="-3"/>
        </w:rPr>
        <w:t>keynesianos en la política fiscal</w:t>
      </w:r>
      <w:r w:rsidRPr="00BA28B0">
        <w:rPr>
          <w:spacing w:val="-3"/>
        </w:rPr>
        <w:t xml:space="preserve"> siguiendo un razonamiento similar al de </w:t>
      </w:r>
      <w:r w:rsidRPr="00BA28B0">
        <w:rPr>
          <w:smallCaps/>
          <w:spacing w:val="-3"/>
        </w:rPr>
        <w:t>Barro</w:t>
      </w:r>
      <w:r w:rsidRPr="00F477C1">
        <w:rPr>
          <w:rStyle w:val="Refdenotaalpie"/>
          <w:spacing w:val="-3"/>
        </w:rPr>
        <w:footnoteReference w:id="23"/>
      </w:r>
      <w:r w:rsidRPr="00BA28B0">
        <w:rPr>
          <w:spacing w:val="-3"/>
        </w:rPr>
        <w:t>. En este tipo de modelos, una consolidación fiscal (i.e. política fiscal restrictiva) puede ir acompañada de una expansión de la actividad agregada. El mecanismo fundamental detrás de este tipo de efectos es el siguiente:</w:t>
      </w:r>
    </w:p>
    <w:p w14:paraId="7489D887" w14:textId="7A54BF8B" w:rsidR="007666AD" w:rsidRDefault="007666AD" w:rsidP="007666AD">
      <w:pPr>
        <w:pStyle w:val="Nivel2SM"/>
      </w:pPr>
      <w:r>
        <w:t>En principio una consolidación fiscal (i.e. aumento de impuestos, reducción del gasto público, o ambos) produce un efecto contractivo sobre la demanda agregada.</w:t>
      </w:r>
    </w:p>
    <w:p w14:paraId="128D2B21" w14:textId="74EE410E" w:rsidR="007666AD" w:rsidRPr="007666AD" w:rsidRDefault="007666AD" w:rsidP="007666AD">
      <w:pPr>
        <w:pStyle w:val="Nivel2SM"/>
        <w:keepNext/>
        <w:spacing w:after="0"/>
        <w:rPr>
          <w:spacing w:val="-5"/>
        </w:rPr>
      </w:pPr>
      <w:r>
        <w:rPr>
          <w:spacing w:val="-5"/>
        </w:rPr>
        <w:t>Sin embargo, l</w:t>
      </w:r>
      <w:r w:rsidR="00D3596B" w:rsidRPr="00BA28B0">
        <w:rPr>
          <w:spacing w:val="-5"/>
        </w:rPr>
        <w:t xml:space="preserve">os agentes privados son conscientes de la restricción </w:t>
      </w:r>
      <w:proofErr w:type="spellStart"/>
      <w:r w:rsidR="00D3596B" w:rsidRPr="00BA28B0">
        <w:rPr>
          <w:spacing w:val="-5"/>
        </w:rPr>
        <w:t>intertemporal</w:t>
      </w:r>
      <w:proofErr w:type="spellEnd"/>
      <w:r w:rsidR="00D3596B" w:rsidRPr="00BA28B0">
        <w:rPr>
          <w:spacing w:val="-5"/>
        </w:rPr>
        <w:t xml:space="preserve"> a la que se enfrenta el gobierno.</w:t>
      </w:r>
      <w:r>
        <w:rPr>
          <w:spacing w:val="-5"/>
        </w:rPr>
        <w:t xml:space="preserve"> </w:t>
      </w:r>
      <w:r>
        <w:t xml:space="preserve">Así, </w:t>
      </w:r>
      <w:r w:rsidRPr="00D3596B">
        <w:rPr>
          <w:i/>
          <w:iCs/>
        </w:rPr>
        <w:t>en momentos de elevada inestabilidad e incertidumbre</w:t>
      </w:r>
      <w:r>
        <w:t>, dicho efecto contractivo puede verse más que compensado por otros efectos expansivos, debido a:</w:t>
      </w:r>
    </w:p>
    <w:p w14:paraId="4CBC4AFB" w14:textId="77777777" w:rsidR="007666AD" w:rsidRPr="00D3596B" w:rsidRDefault="007666AD" w:rsidP="007666AD">
      <w:pPr>
        <w:pStyle w:val="Nivel3SM"/>
      </w:pPr>
      <w:r w:rsidRPr="00D3596B">
        <w:rPr>
          <w:i/>
          <w:iCs/>
        </w:rPr>
        <w:t>Expectativas de los agentes</w:t>
      </w:r>
      <w:r>
        <w:t xml:space="preserve">: Mejora de las expectativas de agentes racionales, que en sus decisiones de consumo e inversión no sólo responden a su renta actual, sino también a las </w:t>
      </w:r>
      <w:r>
        <w:lastRenderedPageBreak/>
        <w:t xml:space="preserve">rentas futuras previstas. Así, si la reducción del déficit es percibida como una forma de evitar correcciones mayores en el futuro o como una forma de prevenir futuras crisis financieras, esta medida podría tener un efecto positivo sobre la </w:t>
      </w:r>
      <w:r w:rsidRPr="00D3596B">
        <w:t>inversión y el consumo privado presentes.</w:t>
      </w:r>
    </w:p>
    <w:p w14:paraId="6E956FA6" w14:textId="77777777" w:rsidR="007666AD" w:rsidRDefault="007666AD" w:rsidP="007666AD">
      <w:pPr>
        <w:pStyle w:val="Nivel3SM"/>
      </w:pPr>
      <w:r w:rsidRPr="00D3596B">
        <w:rPr>
          <w:i/>
          <w:iCs/>
        </w:rPr>
        <w:t>Inversión</w:t>
      </w:r>
      <w:r w:rsidRPr="00D3596B">
        <w:t>: La reducción del déficit disminuye el tipo de interés, estimulando la inversión</w:t>
      </w:r>
      <w:r>
        <w:t>.</w:t>
      </w:r>
    </w:p>
    <w:p w14:paraId="30D40812" w14:textId="19B9EA16" w:rsidR="00D3596B" w:rsidRDefault="00D3596B" w:rsidP="00D3596B">
      <w:pPr>
        <w:pStyle w:val="Nivel2SM"/>
        <w:keepNext/>
        <w:spacing w:after="0"/>
      </w:pPr>
      <w:r>
        <w:t>D</w:t>
      </w:r>
      <w:r w:rsidRPr="00331EC5">
        <w:t xml:space="preserve">e </w:t>
      </w:r>
      <w:r>
        <w:t xml:space="preserve">esta </w:t>
      </w:r>
      <w:r w:rsidRPr="00331EC5">
        <w:t>manera</w:t>
      </w:r>
      <w:r>
        <w:t xml:space="preserve">, </w:t>
      </w:r>
      <w:r w:rsidR="001312A7">
        <w:rPr>
          <w:spacing w:val="-3"/>
        </w:rPr>
        <w:t>a</w:t>
      </w:r>
      <w:r w:rsidR="001312A7" w:rsidRPr="00BA28B0">
        <w:rPr>
          <w:spacing w:val="-3"/>
        </w:rPr>
        <w:t xml:space="preserve">nte las dudas sobre la sostenibilidad de las finanzas públicas, una consolidación fiscal hoy </w:t>
      </w:r>
      <w:r w:rsidR="001312A7" w:rsidRPr="00BA28B0">
        <w:rPr>
          <w:spacing w:val="-3"/>
          <w:sz w:val="19"/>
          <w:szCs w:val="19"/>
        </w:rPr>
        <w:t>(siempre que resulte creíble)</w:t>
      </w:r>
      <w:r w:rsidR="001312A7" w:rsidRPr="00BA28B0">
        <w:rPr>
          <w:spacing w:val="-3"/>
        </w:rPr>
        <w:t>, puede despejar dicha incertidumbre y generar confianza sobre el futuro</w:t>
      </w:r>
      <w:r w:rsidR="001312A7">
        <w:t>. D</w:t>
      </w:r>
      <w:r>
        <w:t xml:space="preserve">icha política </w:t>
      </w:r>
      <w:r w:rsidRPr="00331EC5">
        <w:t xml:space="preserve">será percibida por los agentes como unos menores pagos de impuestos en el futuro. La </w:t>
      </w:r>
      <w:r w:rsidRPr="00331EC5">
        <w:rPr>
          <w:u w:val="single"/>
        </w:rPr>
        <w:t>riqueza disponible de los agentes aumentaría</w:t>
      </w:r>
      <w:r w:rsidRPr="00331EC5">
        <w:t xml:space="preserve"> y al mismo tiempo </w:t>
      </w:r>
      <w:r w:rsidRPr="00331EC5">
        <w:rPr>
          <w:u w:val="single"/>
        </w:rPr>
        <w:t>se reduciría la incertidumbre sobre su renta futura</w:t>
      </w:r>
      <w:r>
        <w:t xml:space="preserve"> ya que los agentes confían en un saneamiento de las cuentas públicas</w:t>
      </w:r>
      <w:r w:rsidRPr="00331EC5">
        <w:t>. Ambos efectos tendrían un impacto positivo sobre el consumo que podría compensar el efecto de la reducción inicial del gasto público.</w:t>
      </w:r>
    </w:p>
    <w:p w14:paraId="51465522" w14:textId="77777777" w:rsidR="00D3596B" w:rsidRDefault="00D3596B" w:rsidP="00D3596B">
      <w:pPr>
        <w:pStyle w:val="Nivel3SM"/>
      </w:pPr>
      <w:r w:rsidRPr="00331EC5">
        <w:t xml:space="preserve">El razonamiento anterior es tanto como suponer un </w:t>
      </w:r>
      <w:r w:rsidRPr="00331EC5">
        <w:rPr>
          <w:i/>
          <w:iCs/>
          <w:u w:val="single"/>
        </w:rPr>
        <w:t>multiplicador keynesiano negativo</w:t>
      </w:r>
      <w:r w:rsidRPr="00331EC5">
        <w:t>.</w:t>
      </w:r>
    </w:p>
    <w:bookmarkEnd w:id="65"/>
    <w:p w14:paraId="123CD4D8" w14:textId="77777777" w:rsidR="00D3596B" w:rsidRDefault="00D3596B" w:rsidP="00D3596B">
      <w:pPr>
        <w:pStyle w:val="Ttulo8"/>
      </w:pPr>
      <w:r>
        <w:t>Evidencia empírica</w:t>
      </w:r>
    </w:p>
    <w:p w14:paraId="42BE0DA1" w14:textId="77777777" w:rsidR="00D3596B" w:rsidRPr="00BB1325" w:rsidRDefault="00D3596B" w:rsidP="00D3596B">
      <w:pPr>
        <w:pStyle w:val="Nivel1SM"/>
        <w:spacing w:before="0"/>
      </w:pPr>
      <w:r w:rsidRPr="00BB1325">
        <w:t xml:space="preserve">La evidencia empírica </w:t>
      </w:r>
      <w:r>
        <w:t xml:space="preserve">parece </w:t>
      </w:r>
      <w:r w:rsidRPr="00BB1325">
        <w:t>confirma</w:t>
      </w:r>
      <w:r>
        <w:t>r</w:t>
      </w:r>
      <w:r w:rsidRPr="00BB1325">
        <w:t xml:space="preserve"> que los individuos aumentan su consumo ante una reducción de impuestos. Esto pone en tela de juicio la equivalencia ricardiana aunque su valoración reside en su utilidad como resultado teórico </w:t>
      </w:r>
      <w:proofErr w:type="spellStart"/>
      <w:r w:rsidRPr="00BB1325">
        <w:rPr>
          <w:i/>
          <w:iCs/>
        </w:rPr>
        <w:t>benchmark</w:t>
      </w:r>
      <w:proofErr w:type="spellEnd"/>
      <w:r w:rsidRPr="00BB1325">
        <w:t xml:space="preserve"> sobre los que se pueden estudiar incumplimientos del teorema</w:t>
      </w:r>
      <w:r w:rsidRPr="00BB1325">
        <w:rPr>
          <w:rStyle w:val="Refdenotaalpie"/>
        </w:rPr>
        <w:footnoteReference w:id="24"/>
      </w:r>
      <w:r w:rsidRPr="00BB1325">
        <w:t>.</w:t>
      </w:r>
    </w:p>
    <w:p w14:paraId="101DA4F2" w14:textId="77777777" w:rsidR="00D3596B" w:rsidRDefault="00D3596B" w:rsidP="00D3596B">
      <w:pPr>
        <w:pStyle w:val="Ttulo9"/>
      </w:pPr>
      <w:r>
        <w:t>Posibles razones del incumplimiento de la equivalencia ricardiana</w:t>
      </w:r>
    </w:p>
    <w:p w14:paraId="5C4D8804" w14:textId="77777777" w:rsidR="00D3596B" w:rsidRDefault="00D3596B" w:rsidP="00D3596B">
      <w:pPr>
        <w:pStyle w:val="Nivel1SM"/>
        <w:keepNext/>
        <w:spacing w:before="0" w:after="0"/>
      </w:pPr>
      <w:r>
        <w:t xml:space="preserve">Para que se verifique la equivalencia ricardiana es necesario que se cumplan una serie de supuestos de carácter muy restrictivo. Por ejemplo, algunas posibles razones del incumplimiento de la equivalencia ricardiana serían las siguientes (ver </w:t>
      </w:r>
      <w:proofErr w:type="spellStart"/>
      <w:r>
        <w:rPr>
          <w:smallCaps/>
        </w:rPr>
        <w:t>Heijdra</w:t>
      </w:r>
      <w:proofErr w:type="spellEnd"/>
      <w:r w:rsidRPr="00B12A9B">
        <w:t xml:space="preserve">, </w:t>
      </w:r>
      <w:r>
        <w:t>2017</w:t>
      </w:r>
      <w:r w:rsidRPr="00B12A9B">
        <w:t xml:space="preserve">, </w:t>
      </w:r>
      <w:proofErr w:type="spellStart"/>
      <w:r w:rsidRPr="00B12A9B">
        <w:t>pág</w:t>
      </w:r>
      <w:proofErr w:type="spellEnd"/>
      <w:r w:rsidRPr="00B12A9B">
        <w:t xml:space="preserve"> 192</w:t>
      </w:r>
      <w:r>
        <w:t xml:space="preserve">) </w:t>
      </w:r>
      <w:r w:rsidRPr="00D61F48">
        <w:rPr>
          <w:highlight w:val="yellow"/>
        </w:rPr>
        <w:t>[ver mis apuntes a mano</w:t>
      </w:r>
      <w:r>
        <w:rPr>
          <w:highlight w:val="yellow"/>
        </w:rPr>
        <w:t xml:space="preserve"> y ver tema 3.A.37 de Zapico para racionalidad limitada de los agentes</w:t>
      </w:r>
      <w:r w:rsidRPr="00D61F48">
        <w:rPr>
          <w:highlight w:val="yellow"/>
        </w:rPr>
        <w:t>]</w:t>
      </w:r>
      <w:r>
        <w:t>:</w:t>
      </w:r>
    </w:p>
    <w:p w14:paraId="2567F2D2" w14:textId="77777777" w:rsidR="00D3596B" w:rsidRPr="00F9794B" w:rsidRDefault="00D3596B" w:rsidP="00D3596B">
      <w:pPr>
        <w:pStyle w:val="Prrafodelista"/>
        <w:numPr>
          <w:ilvl w:val="0"/>
          <w:numId w:val="56"/>
        </w:numPr>
        <w:spacing w:after="100"/>
        <w:ind w:left="567" w:hanging="113"/>
      </w:pPr>
      <w:bookmarkStart w:id="66" w:name="_Hlk119322389"/>
      <w:r w:rsidRPr="00F9794B">
        <w:rPr>
          <w:i/>
          <w:iCs/>
        </w:rPr>
        <w:t>Vidas finitas</w:t>
      </w:r>
      <w:r w:rsidRPr="00F9794B">
        <w:t>: Si los individuos tienen un horizonte finito o s</w:t>
      </w:r>
      <w:r>
        <w:t>ó</w:t>
      </w:r>
      <w:r w:rsidRPr="00F9794B">
        <w:t>lo son parcialmente altruistas anticiparán que parte de la carga fiscal recaerá en generaciones futuras. Esto conducirá a que los hogares incrementen el consumo en el momento presente y reduzcan los recursos destinados a la acumulación de capital (por tanto, modificando las decisiones).</w:t>
      </w:r>
    </w:p>
    <w:p w14:paraId="1FDB3550" w14:textId="77777777" w:rsidR="00D3596B" w:rsidRPr="00F9794B" w:rsidRDefault="00D3596B" w:rsidP="00D3596B">
      <w:pPr>
        <w:pStyle w:val="Prrafodelista"/>
        <w:keepNext/>
        <w:numPr>
          <w:ilvl w:val="0"/>
          <w:numId w:val="56"/>
        </w:numPr>
        <w:spacing w:after="0"/>
        <w:ind w:left="567" w:hanging="113"/>
      </w:pPr>
      <w:r w:rsidRPr="00F9794B">
        <w:rPr>
          <w:i/>
          <w:iCs/>
          <w:spacing w:val="-2"/>
        </w:rPr>
        <w:t>Impuestos distorsionantes (no de suma fija)</w:t>
      </w:r>
      <w:r w:rsidRPr="00F9794B">
        <w:rPr>
          <w:spacing w:val="-2"/>
        </w:rPr>
        <w:t>: En presencia de impuestos distorsionantes, que incorporen efecto sustitución (p.ej. sobre las rentas del trabajo o de capital), no se cumplirá la equivalencia ricardiana y el momento de pagar el impuesto importa porque afecta a los incentivos para ahorrar y la oferta de trabajo relativa. Ante una bajad</w:t>
      </w:r>
      <w:r>
        <w:rPr>
          <w:spacing w:val="-2"/>
        </w:rPr>
        <w:t>a</w:t>
      </w:r>
      <w:r w:rsidRPr="00F9794B">
        <w:rPr>
          <w:spacing w:val="-2"/>
        </w:rPr>
        <w:t xml:space="preserve"> </w:t>
      </w:r>
      <w:r>
        <w:rPr>
          <w:spacing w:val="-2"/>
        </w:rPr>
        <w:t>d</w:t>
      </w:r>
      <w:r w:rsidRPr="00F9794B">
        <w:rPr>
          <w:spacing w:val="-2"/>
        </w:rPr>
        <w:t xml:space="preserve">e los impuestos al trabajo se espera una mayor oferta de trabajo, lo que daría lugar a un </w:t>
      </w:r>
      <w:proofErr w:type="gramStart"/>
      <w:r w:rsidRPr="00F9794B">
        <w:rPr>
          <w:spacing w:val="-2"/>
        </w:rPr>
        <w:t>mayor empleo y mayor output</w:t>
      </w:r>
      <w:proofErr w:type="gramEnd"/>
      <w:r w:rsidRPr="00F9794B">
        <w:rPr>
          <w:spacing w:val="-2"/>
        </w:rPr>
        <w:t>.</w:t>
      </w:r>
    </w:p>
    <w:p w14:paraId="3798FB6E" w14:textId="77777777" w:rsidR="00D3596B" w:rsidRPr="00F9794B" w:rsidRDefault="00D3596B" w:rsidP="00D3596B">
      <w:pPr>
        <w:pStyle w:val="Nivel3SM"/>
        <w:rPr>
          <w:highlight w:val="yellow"/>
        </w:rPr>
      </w:pPr>
      <w:r w:rsidRPr="00F9794B">
        <w:rPr>
          <w:highlight w:val="yellow"/>
        </w:rPr>
        <w:t>Hilar con la imposición óptima de Ramsey (regla de la elasticidad inversa)</w:t>
      </w:r>
    </w:p>
    <w:p w14:paraId="02F27BBD" w14:textId="77777777" w:rsidR="00D3596B" w:rsidRPr="00F9794B" w:rsidRDefault="00D3596B" w:rsidP="00D3596B">
      <w:pPr>
        <w:pStyle w:val="Prrafodelista"/>
        <w:numPr>
          <w:ilvl w:val="0"/>
          <w:numId w:val="56"/>
        </w:numPr>
        <w:spacing w:after="100"/>
        <w:ind w:left="567" w:hanging="113"/>
      </w:pPr>
      <w:r w:rsidRPr="00F9794B">
        <w:rPr>
          <w:i/>
          <w:iCs/>
          <w:spacing w:val="-2"/>
        </w:rPr>
        <w:t>Política de gasto ejecutada en gastos de inversión productiva</w:t>
      </w:r>
      <w:r w:rsidRPr="00F9794B">
        <w:rPr>
          <w:spacing w:val="-2"/>
        </w:rPr>
        <w:t>: La equivalencia ricardiana se cumple asumiendo que la política de gasto se ejecuta en gastos corrientes, no en gastos de inversión productiva que pudieran generar un rendimiento adicional que permitiera una autofinanciación completa mediante un mayor crecimiento potencial y unos mayores ingresos asociados.</w:t>
      </w:r>
    </w:p>
    <w:p w14:paraId="2B81ADCB" w14:textId="77777777" w:rsidR="00D3596B" w:rsidRPr="00F9794B" w:rsidRDefault="00D3596B" w:rsidP="00D3596B">
      <w:pPr>
        <w:pStyle w:val="Prrafodelista"/>
        <w:numPr>
          <w:ilvl w:val="0"/>
          <w:numId w:val="56"/>
        </w:numPr>
        <w:spacing w:after="100"/>
        <w:ind w:left="567" w:hanging="113"/>
      </w:pPr>
      <w:r w:rsidRPr="00F9794B">
        <w:rPr>
          <w:i/>
          <w:iCs/>
        </w:rPr>
        <w:t>Restricciones de liquidez</w:t>
      </w:r>
      <w:bookmarkStart w:id="67" w:name="_Hlk121391177"/>
      <w:r w:rsidRPr="00F9794B">
        <w:rPr>
          <w:i/>
          <w:iCs/>
        </w:rPr>
        <w:t xml:space="preserve"> y mercados de capitales no completos o imperfectos</w:t>
      </w:r>
      <w:bookmarkEnd w:id="67"/>
      <w:r w:rsidRPr="00F9794B">
        <w:t xml:space="preserve">: </w:t>
      </w:r>
      <w:r w:rsidRPr="00F9794B">
        <w:rPr>
          <w:smallCaps/>
        </w:rPr>
        <w:t>Barro</w:t>
      </w:r>
      <w:r w:rsidRPr="00F9794B">
        <w:t xml:space="preserve"> supone mercados de capitales completos y perfectos, de manera que el tipo de interés es igual para los agentes privados y el sector público y además no hay restricciones de créditos. Si los mercados de </w:t>
      </w:r>
      <w:r w:rsidRPr="00F9794B">
        <w:lastRenderedPageBreak/>
        <w:t>capitales no son perfectos, en presencia de restricciones de liquidez, el consumo de los individuos será más sensible a la renta actual.</w:t>
      </w:r>
    </w:p>
    <w:p w14:paraId="28F51E11" w14:textId="77777777" w:rsidR="00D3596B" w:rsidRPr="00820FCF" w:rsidRDefault="00D3596B" w:rsidP="00D3596B">
      <w:pPr>
        <w:pStyle w:val="Prrafodelista"/>
        <w:numPr>
          <w:ilvl w:val="0"/>
          <w:numId w:val="56"/>
        </w:numPr>
        <w:spacing w:after="100"/>
        <w:ind w:left="567" w:hanging="113"/>
      </w:pPr>
      <w:r w:rsidRPr="00F9794B">
        <w:rPr>
          <w:i/>
          <w:iCs/>
        </w:rPr>
        <w:t>Racionalidad limitada, comportamiento miope o falta de información</w:t>
      </w:r>
      <w:r w:rsidRPr="00F9794B">
        <w:t xml:space="preserve"> </w:t>
      </w:r>
      <w:r w:rsidRPr="00F9794B">
        <w:rPr>
          <w:sz w:val="19"/>
          <w:szCs w:val="19"/>
        </w:rPr>
        <w:t>(</w:t>
      </w:r>
      <w:r w:rsidRPr="00F9794B">
        <w:rPr>
          <w:smallCaps/>
          <w:sz w:val="19"/>
          <w:szCs w:val="19"/>
        </w:rPr>
        <w:t>Campbell</w:t>
      </w:r>
      <w:r w:rsidRPr="00F9794B">
        <w:rPr>
          <w:sz w:val="19"/>
          <w:szCs w:val="19"/>
        </w:rPr>
        <w:t xml:space="preserve"> y </w:t>
      </w:r>
      <w:r w:rsidRPr="00F9794B">
        <w:rPr>
          <w:smallCaps/>
          <w:sz w:val="19"/>
          <w:szCs w:val="19"/>
        </w:rPr>
        <w:t>Mankiw</w:t>
      </w:r>
      <w:r w:rsidRPr="00F9794B">
        <w:rPr>
          <w:sz w:val="19"/>
          <w:szCs w:val="19"/>
        </w:rPr>
        <w:t xml:space="preserve"> y </w:t>
      </w:r>
      <w:r w:rsidRPr="00F9794B">
        <w:rPr>
          <w:smallCaps/>
          <w:sz w:val="19"/>
          <w:szCs w:val="19"/>
        </w:rPr>
        <w:t>Thaler</w:t>
      </w:r>
      <w:r w:rsidRPr="00F9794B">
        <w:rPr>
          <w:sz w:val="19"/>
          <w:szCs w:val="19"/>
        </w:rPr>
        <w:t>)</w:t>
      </w:r>
      <w:r w:rsidRPr="00F9794B">
        <w:t>: Aunque los mercados de capital fueran perfectos, si una fracción de los consumidores son miopes y consumen su renta actual, tampoco se cumplirá la equivalencia ricardiana porque el consumo aumentaría inmediatamente</w:t>
      </w:r>
      <w:r>
        <w:t xml:space="preserve"> tras una bajada de impuestos.</w:t>
      </w:r>
    </w:p>
    <w:p w14:paraId="5E8F2A12" w14:textId="77777777" w:rsidR="00D3596B" w:rsidRDefault="00D3596B" w:rsidP="00D3596B">
      <w:pPr>
        <w:pStyle w:val="Ttulo7"/>
      </w:pPr>
      <w:bookmarkStart w:id="68" w:name="_Toc142500904"/>
      <w:bookmarkEnd w:id="66"/>
      <w:r>
        <w:t>Efectos de un aumento del gasto público</w:t>
      </w:r>
      <w:bookmarkEnd w:id="68"/>
    </w:p>
    <w:p w14:paraId="354DE1B6" w14:textId="77777777" w:rsidR="00D3596B" w:rsidRDefault="00D3596B" w:rsidP="00D3596B">
      <w:pPr>
        <w:pStyle w:val="Nivel1SM"/>
        <w:keepNext/>
        <w:spacing w:before="0" w:after="0"/>
      </w:pPr>
      <w:r>
        <w:t xml:space="preserve">Siguiendo con nuestro modelo, pasamos a analizar cuáles son los </w:t>
      </w:r>
      <w:r w:rsidRPr="00A910A9">
        <w:rPr>
          <w:b/>
          <w:bCs/>
        </w:rPr>
        <w:t>efectos de un aumento del gasto público</w:t>
      </w:r>
      <w:r>
        <w:t>.</w:t>
      </w:r>
    </w:p>
    <w:p w14:paraId="07D8CF8C" w14:textId="77777777" w:rsidR="00D3596B" w:rsidRPr="00C97CE1" w:rsidRDefault="00D3596B" w:rsidP="00D3596B">
      <w:pPr>
        <w:pStyle w:val="Nivel2SM"/>
        <w:rPr>
          <w:spacing w:val="-2"/>
        </w:rPr>
      </w:pPr>
      <w:r w:rsidRPr="00C97CE1">
        <w:rPr>
          <w:spacing w:val="-2"/>
        </w:rPr>
        <w:t xml:space="preserve">Prácticamente todos los modelos de ciclo real de este tipo prevén que la política fiscal será eficaz, aunque con un multiplicador menor a los modelos </w:t>
      </w:r>
      <w:proofErr w:type="spellStart"/>
      <w:r w:rsidRPr="00C97CE1">
        <w:rPr>
          <w:spacing w:val="-2"/>
        </w:rPr>
        <w:t>neokeynesianos</w:t>
      </w:r>
      <w:proofErr w:type="spellEnd"/>
      <w:r w:rsidRPr="00C97CE1">
        <w:rPr>
          <w:spacing w:val="-2"/>
        </w:rPr>
        <w:t xml:space="preserve"> que veremos más adelante.</w:t>
      </w:r>
    </w:p>
    <w:p w14:paraId="239EEBD4" w14:textId="77777777" w:rsidR="00D3596B" w:rsidRDefault="00D3596B" w:rsidP="00D3596B">
      <w:pPr>
        <w:pStyle w:val="Nivel1SM"/>
        <w:keepNext/>
        <w:keepLines/>
        <w:spacing w:after="0"/>
      </w:pPr>
      <w:r>
        <w:t xml:space="preserve">Un aumento del gasto público corriente se percibirá por los hogares como un aumento futuro de impuestos. De este modo, los hogares perciben que cae su renta permanente produciéndose un </w:t>
      </w:r>
      <w:r w:rsidRPr="001D706F">
        <w:rPr>
          <w:i/>
          <w:iCs/>
          <w:u w:val="single"/>
        </w:rPr>
        <w:t>efecto riqueza negativo</w:t>
      </w:r>
      <w:r>
        <w:t>, que los lleva a reducir su consumo y a aumentar su oferta de trabajo. Sin embargo, la demanda de trabajo no se vería afectada ya que depende únicamente de la productividad marginal del trabajo.</w:t>
      </w:r>
    </w:p>
    <w:p w14:paraId="22C9DFCF" w14:textId="77777777" w:rsidR="00D3596B" w:rsidRDefault="00D3596B" w:rsidP="00D3596B">
      <w:pPr>
        <w:pStyle w:val="Nivel2SM"/>
        <w:keepNext/>
        <w:spacing w:after="0"/>
      </w:pPr>
      <w:r>
        <w:t>Por tanto, el aumento de la oferta de trabajo llevará a una reducción del salario real, un aumento del empleo y a un aumento del output.</w:t>
      </w:r>
    </w:p>
    <w:p w14:paraId="359BE017" w14:textId="77777777" w:rsidR="00D3596B" w:rsidRDefault="00D3596B" w:rsidP="00D3596B">
      <w:pPr>
        <w:pStyle w:val="Nivel3SM"/>
      </w:pPr>
      <w:r>
        <w:t>En consecuencia, el valor del multiplicador del gasto público será positivo</w:t>
      </w:r>
      <w:r>
        <w:rPr>
          <w:rStyle w:val="Refdenotaalpie"/>
        </w:rPr>
        <w:footnoteReference w:id="25"/>
      </w:r>
      <w:r>
        <w:t>.</w:t>
      </w:r>
    </w:p>
    <w:p w14:paraId="37F0AEAB" w14:textId="77777777" w:rsidR="00D3596B" w:rsidRPr="003F0884" w:rsidRDefault="00D3596B" w:rsidP="00D3596B">
      <w:pPr>
        <w:pStyle w:val="Nivel1SM"/>
        <w:keepNext/>
        <w:spacing w:after="0"/>
        <w:rPr>
          <w:spacing w:val="-3"/>
        </w:rPr>
      </w:pPr>
      <w:r w:rsidRPr="003F0884">
        <w:rPr>
          <w:spacing w:val="-3"/>
        </w:rPr>
        <w:t>En cualquier caso, el efecto expansivo de la perturbación de gasto público dependerá de su persistencia.</w:t>
      </w:r>
    </w:p>
    <w:p w14:paraId="2769A792" w14:textId="77777777" w:rsidR="00D3596B" w:rsidRDefault="00D3596B" w:rsidP="00D3596B">
      <w:pPr>
        <w:pStyle w:val="Nivel2SM"/>
        <w:keepNext/>
        <w:spacing w:after="0"/>
      </w:pPr>
      <w:r>
        <w:t xml:space="preserve">En el caso de un </w:t>
      </w:r>
      <w:r w:rsidRPr="004652AF">
        <w:t>incremento del gasto público de carácter transitorio</w:t>
      </w:r>
      <w:r>
        <w:t xml:space="preserve">, el efecto riqueza negativo se disipa </w:t>
      </w:r>
      <w:r w:rsidRPr="004652AF">
        <w:rPr>
          <w:b/>
          <w:bCs/>
        </w:rPr>
        <w:t>al retirar el impulso</w:t>
      </w:r>
      <w:r>
        <w:t>, dando lugar a una senda de ajuste en la que:</w:t>
      </w:r>
    </w:p>
    <w:p w14:paraId="1B4E5087" w14:textId="77777777" w:rsidR="00D3596B" w:rsidRDefault="00D3596B" w:rsidP="00D3596B">
      <w:pPr>
        <w:pStyle w:val="Nivel3SM"/>
      </w:pPr>
      <w:r>
        <w:t xml:space="preserve">El gasto público irá disminuyendo en función de la persistencia del shock, </w:t>
      </w:r>
      <m:oMath>
        <m:sSub>
          <m:sSubPr>
            <m:ctrlPr>
              <w:rPr>
                <w:rFonts w:ascii="Cambria Math" w:hAnsi="Cambria Math"/>
                <w:i/>
              </w:rPr>
            </m:ctrlPr>
          </m:sSubPr>
          <m:e>
            <m:r>
              <m:rPr>
                <m:nor/>
              </m:rPr>
              <w:rPr>
                <w:i/>
              </w:rPr>
              <m:t>ρ</m:t>
            </m:r>
          </m:e>
          <m:sub>
            <m:r>
              <m:rPr>
                <m:nor/>
              </m:rPr>
              <w:rPr>
                <w:i/>
              </w:rPr>
              <m:t>G</m:t>
            </m:r>
          </m:sub>
        </m:sSub>
      </m:oMath>
      <w:r>
        <w:t>.</w:t>
      </w:r>
    </w:p>
    <w:p w14:paraId="2673FF45" w14:textId="77777777" w:rsidR="00D3596B" w:rsidRDefault="00D3596B" w:rsidP="00D3596B">
      <w:pPr>
        <w:pStyle w:val="Nivel3SM"/>
      </w:pPr>
      <w:r>
        <w:t>El consumo aumentará.</w:t>
      </w:r>
    </w:p>
    <w:p w14:paraId="4B14C4B2" w14:textId="77777777" w:rsidR="00D3596B" w:rsidRDefault="00D3596B" w:rsidP="00D3596B">
      <w:pPr>
        <w:pStyle w:val="Nivel3SM"/>
      </w:pPr>
      <w:r>
        <w:t>El output caerá.</w:t>
      </w:r>
    </w:p>
    <w:p w14:paraId="76CAB734" w14:textId="77777777" w:rsidR="00D3596B" w:rsidRDefault="00D3596B" w:rsidP="00D3596B">
      <w:pPr>
        <w:pStyle w:val="Nivel3SM"/>
      </w:pPr>
      <w:r>
        <w:t>El empleo caerá.</w:t>
      </w:r>
    </w:p>
    <w:p w14:paraId="59E33E39" w14:textId="77777777" w:rsidR="00D3596B" w:rsidRDefault="00D3596B" w:rsidP="00D3596B">
      <w:pPr>
        <w:pStyle w:val="Nivel3SM"/>
      </w:pPr>
      <w:r>
        <w:t>El salario real aumentará.</w:t>
      </w:r>
    </w:p>
    <w:p w14:paraId="7DD7061E" w14:textId="77777777" w:rsidR="00D3596B" w:rsidRDefault="00D3596B" w:rsidP="00D3596B">
      <w:pPr>
        <w:pStyle w:val="Nivel1SM"/>
      </w:pPr>
      <w:r>
        <w:t xml:space="preserve">El efecto final depende de los valores elegidos para los parámetros. Siguiendo a </w:t>
      </w:r>
      <w:r>
        <w:rPr>
          <w:smallCaps/>
        </w:rPr>
        <w:t>Campbell</w:t>
      </w:r>
      <w:r>
        <w:t xml:space="preserve"> (1994), el output aumentaría en 1/10 del valor del aumento del gasto. Con lo cual la política fiscal expansiva, modelizada como un shock exógeno de gasto positivo, sería débilmente positiva en estos modelos, dando lugar a un multiplicador muy pequeño y menor a uno.</w:t>
      </w:r>
    </w:p>
    <w:p w14:paraId="3D129EF1" w14:textId="4255ED16" w:rsidR="00D3596B" w:rsidRDefault="00D3596B" w:rsidP="00D3596B">
      <w:pPr>
        <w:pStyle w:val="Ttuloimagen"/>
      </w:pPr>
      <w:r>
        <w:lastRenderedPageBreak/>
        <w:t>Imagen </w:t>
      </w:r>
      <w:r>
        <w:fldChar w:fldCharType="begin"/>
      </w:r>
      <w:r>
        <w:instrText xml:space="preserve"> SEQ Ilustración \* ARABIC </w:instrText>
      </w:r>
      <w:r>
        <w:fldChar w:fldCharType="separate"/>
      </w:r>
      <w:r w:rsidR="001B0506">
        <w:t>5</w:t>
      </w:r>
      <w:r>
        <w:fldChar w:fldCharType="end"/>
      </w:r>
      <w:r w:rsidRPr="007312FF">
        <w:rPr>
          <w:smallCaps w:val="0"/>
        </w:rPr>
        <w:t xml:space="preserve">.– </w:t>
      </w:r>
      <w:r>
        <w:rPr>
          <w:i/>
          <w:iCs/>
          <w:smallCaps w:val="0"/>
        </w:rPr>
        <w:t>Efectos de un shock de gasto público en un modelo RBC</w:t>
      </w:r>
    </w:p>
    <w:p w14:paraId="0E6848B7" w14:textId="77777777" w:rsidR="00D3596B" w:rsidRDefault="00D3596B" w:rsidP="00D3596B">
      <w:pPr>
        <w:pStyle w:val="Imagen"/>
      </w:pPr>
      <w:r>
        <w:drawing>
          <wp:inline distT="0" distB="0" distL="0" distR="0" wp14:anchorId="7A33977E" wp14:editId="2847B868">
            <wp:extent cx="2978363" cy="2340000"/>
            <wp:effectExtent l="0" t="0" r="0" b="3175"/>
            <wp:docPr id="768041303" name="Imagen 76804130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Diagrama&#10;&#10;Descripción generada automáticamente"/>
                    <pic:cNvPicPr/>
                  </pic:nvPicPr>
                  <pic:blipFill rotWithShape="1">
                    <a:blip r:embed="rId24"/>
                    <a:srcRect t="2326" b="2292"/>
                    <a:stretch/>
                  </pic:blipFill>
                  <pic:spPr bwMode="auto">
                    <a:xfrm>
                      <a:off x="0" y="0"/>
                      <a:ext cx="2978363" cy="234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627A3C87" wp14:editId="06710394">
            <wp:extent cx="3018263" cy="2340000"/>
            <wp:effectExtent l="0" t="0" r="0" b="3175"/>
            <wp:docPr id="40" name="Imagen 4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Diagrama&#10;&#10;Descripción generada automáticamente"/>
                    <pic:cNvPicPr/>
                  </pic:nvPicPr>
                  <pic:blipFill rotWithShape="1">
                    <a:blip r:embed="rId25"/>
                    <a:srcRect t="3722"/>
                    <a:stretch/>
                  </pic:blipFill>
                  <pic:spPr bwMode="auto">
                    <a:xfrm>
                      <a:off x="0" y="0"/>
                      <a:ext cx="3018263" cy="2340000"/>
                    </a:xfrm>
                    <a:prstGeom prst="rect">
                      <a:avLst/>
                    </a:prstGeom>
                    <a:ln>
                      <a:noFill/>
                    </a:ln>
                    <a:extLst>
                      <a:ext uri="{53640926-AAD7-44D8-BBD7-CCE9431645EC}">
                        <a14:shadowObscured xmlns:a14="http://schemas.microsoft.com/office/drawing/2010/main"/>
                      </a:ext>
                    </a:extLst>
                  </pic:spPr>
                </pic:pic>
              </a:graphicData>
            </a:graphic>
          </wp:inline>
        </w:drawing>
      </w:r>
    </w:p>
    <w:p w14:paraId="30B40BD9" w14:textId="4EA61EE4" w:rsidR="00D3596B" w:rsidRDefault="00D3596B" w:rsidP="00D3596B">
      <w:pPr>
        <w:pStyle w:val="PiedeImagen"/>
      </w:pPr>
      <w:r w:rsidRPr="007312FF">
        <w:t>Fuente</w:t>
      </w:r>
      <w:r w:rsidRPr="00D3596B">
        <w:rPr>
          <w:i w:val="0"/>
        </w:rPr>
        <w:t>: Salazar, M. F. (2022).</w:t>
      </w:r>
      <w:r w:rsidRPr="007312FF">
        <w:rPr>
          <w:iCs/>
        </w:rPr>
        <w:t xml:space="preserve"> </w:t>
      </w:r>
      <w:r w:rsidRPr="007312FF">
        <w:t>3A-37– La política fiscal. Efectos sobre el crecimiento económico y el ahorro</w:t>
      </w:r>
      <w:r w:rsidRPr="007312FF">
        <w:rPr>
          <w:iCs/>
        </w:rPr>
        <w:t xml:space="preserve">. </w:t>
      </w:r>
      <w:hyperlink r:id="rId26" w:history="1">
        <w:r w:rsidRPr="007312FF">
          <w:rPr>
            <w:rStyle w:val="Hipervnculo"/>
            <w:i w:val="0"/>
            <w:iCs/>
            <w:spacing w:val="-3"/>
            <w:sz w:val="14"/>
            <w:szCs w:val="14"/>
          </w:rPr>
          <w:t>https://fabiansalazar.es/oposicion/temasenpdf/3A-37.pdf</w:t>
        </w:r>
      </w:hyperlink>
      <w:r w:rsidRPr="00946B5C">
        <w:t xml:space="preserve"> </w:t>
      </w:r>
      <w:r w:rsidRPr="00D3596B">
        <w:rPr>
          <w:i w:val="0"/>
          <w:sz w:val="14"/>
          <w:szCs w:val="14"/>
        </w:rPr>
        <w:t>Estimado con modelo RBC_Baseline.mod de</w:t>
      </w:r>
      <w:r w:rsidRPr="00946B5C">
        <w:t xml:space="preserve"> </w:t>
      </w:r>
      <w:hyperlink r:id="rId27" w:history="1">
        <w:r w:rsidRPr="007312FF">
          <w:rPr>
            <w:rStyle w:val="Hipervnculo"/>
            <w:i w:val="0"/>
            <w:iCs/>
            <w:sz w:val="14"/>
            <w:szCs w:val="14"/>
          </w:rPr>
          <w:t>Repositorio de modelos DSGE en Dynare de Johannes Pfeifer</w:t>
        </w:r>
      </w:hyperlink>
      <w:r w:rsidRPr="00946B5C">
        <w:t>.</w:t>
      </w:r>
    </w:p>
    <w:p w14:paraId="235A766F" w14:textId="77777777" w:rsidR="00830096" w:rsidRDefault="00830096" w:rsidP="00830096">
      <w:pPr>
        <w:pStyle w:val="Ttulo2"/>
      </w:pPr>
      <w:bookmarkStart w:id="69" w:name="_Toc142500910"/>
      <w:bookmarkStart w:id="70" w:name="_Toc151221250"/>
      <w:r>
        <w:t xml:space="preserve">Modelo </w:t>
      </w:r>
      <w:proofErr w:type="spellStart"/>
      <w:r>
        <w:t>neokeynesiano</w:t>
      </w:r>
      <w:proofErr w:type="spellEnd"/>
      <w:r>
        <w:t xml:space="preserve"> (NEK) para el análisis de la política fiscal</w:t>
      </w:r>
      <w:bookmarkEnd w:id="69"/>
      <w:bookmarkEnd w:id="70"/>
    </w:p>
    <w:p w14:paraId="607E41E3" w14:textId="77777777" w:rsidR="00830096" w:rsidRDefault="00830096" w:rsidP="00830096">
      <w:pPr>
        <w:pStyle w:val="Ttulo3"/>
        <w:spacing w:before="0"/>
      </w:pPr>
      <w:bookmarkStart w:id="71" w:name="_Toc142500911"/>
      <w:bookmarkStart w:id="72" w:name="_Toc151221251"/>
      <w:r>
        <w:t>Idea</w:t>
      </w:r>
      <w:bookmarkEnd w:id="71"/>
      <w:bookmarkEnd w:id="72"/>
    </w:p>
    <w:p w14:paraId="66B278D4" w14:textId="77777777" w:rsidR="00830096" w:rsidRDefault="00830096" w:rsidP="00830096">
      <w:pPr>
        <w:pStyle w:val="Nivel1SM"/>
        <w:spacing w:before="0"/>
      </w:pPr>
      <w:r>
        <w:t xml:space="preserve">Otra posibilidad para el estudio de la política fiscal sería un modelo </w:t>
      </w:r>
      <w:proofErr w:type="spellStart"/>
      <w:r>
        <w:t>neokeynesiano</w:t>
      </w:r>
      <w:proofErr w:type="spellEnd"/>
      <w:r>
        <w:t xml:space="preserve">, como el modelo canónico de </w:t>
      </w:r>
      <w:r>
        <w:rPr>
          <w:smallCaps/>
        </w:rPr>
        <w:t>Galí</w:t>
      </w:r>
      <w:r>
        <w:t xml:space="preserve">, </w:t>
      </w:r>
      <w:r>
        <w:rPr>
          <w:smallCaps/>
        </w:rPr>
        <w:t>Clarida</w:t>
      </w:r>
      <w:r>
        <w:t xml:space="preserve"> y </w:t>
      </w:r>
      <w:r>
        <w:rPr>
          <w:smallCaps/>
        </w:rPr>
        <w:t>Gertler</w:t>
      </w:r>
      <w:r>
        <w:t xml:space="preserve"> (1999). La idea principal de los modelos de ciclo de la NEK es estudiar las fluctuaciones de una economía respecto a su tendencia, trabajando con el </w:t>
      </w:r>
      <w:r>
        <w:rPr>
          <w:i/>
          <w:iCs/>
        </w:rPr>
        <w:t>output gap</w:t>
      </w:r>
      <w:r>
        <w:t>.</w:t>
      </w:r>
    </w:p>
    <w:p w14:paraId="67D25546" w14:textId="77777777" w:rsidR="00830096" w:rsidRDefault="00830096" w:rsidP="00830096">
      <w:pPr>
        <w:pStyle w:val="Nivel1SM"/>
        <w:keepNext/>
        <w:spacing w:after="0"/>
      </w:pPr>
      <w:r>
        <w:t>Supone una extensión de los modelos de ciclo real (RBC), aplicando las siguientes modificaciones:</w:t>
      </w:r>
    </w:p>
    <w:p w14:paraId="0B1E4CBA" w14:textId="77777777" w:rsidR="00830096" w:rsidRDefault="00830096" w:rsidP="00830096">
      <w:pPr>
        <w:pStyle w:val="Prrafodelista"/>
        <w:numPr>
          <w:ilvl w:val="0"/>
          <w:numId w:val="54"/>
        </w:numPr>
        <w:spacing w:after="40"/>
        <w:ind w:left="567" w:hanging="227"/>
        <w:contextualSpacing w:val="0"/>
      </w:pPr>
      <w:r w:rsidRPr="0047771C">
        <w:rPr>
          <w:b/>
        </w:rPr>
        <w:t>Competencia monopolística</w:t>
      </w:r>
      <w:r>
        <w:t xml:space="preserve">: Si queremos que exista rigidez en precios, debemos imponer para empezar que las empresas pueden fijar precios. Una forma de hacer esto es suponer que los bienes producidos por las empresas no cumplen uno de los dos supuestos necesarios para la existencia de competencia perfecta, a saber, </w:t>
      </w:r>
      <w:r w:rsidRPr="00DA5B35">
        <w:rPr>
          <w:i/>
          <w:iCs/>
        </w:rPr>
        <w:t>i)</w:t>
      </w:r>
      <w:r>
        <w:t xml:space="preserve"> homogeneidad del bien producido y </w:t>
      </w:r>
      <w:proofErr w:type="spellStart"/>
      <w:r w:rsidRPr="00DA5B35">
        <w:rPr>
          <w:i/>
          <w:iCs/>
        </w:rPr>
        <w:t>ii</w:t>
      </w:r>
      <w:proofErr w:type="spellEnd"/>
      <w:r w:rsidRPr="00DA5B35">
        <w:rPr>
          <w:i/>
          <w:iCs/>
        </w:rPr>
        <w:t>)</w:t>
      </w:r>
      <w:r>
        <w:t> existencia de muchas empresas. Si suponemos que el bien es diferenciado, aunque existan muchas empresas éstas tendrán poder de mercado para fijar precios dada la no homogeneidad del bien producido por cada una.</w:t>
      </w:r>
    </w:p>
    <w:p w14:paraId="24723D6F" w14:textId="77777777" w:rsidR="00830096" w:rsidRDefault="00830096" w:rsidP="00830096">
      <w:pPr>
        <w:pStyle w:val="Prrafodelista"/>
        <w:numPr>
          <w:ilvl w:val="0"/>
          <w:numId w:val="54"/>
        </w:numPr>
        <w:spacing w:after="40"/>
        <w:ind w:left="567" w:hanging="227"/>
        <w:contextualSpacing w:val="0"/>
      </w:pPr>
      <w:r w:rsidRPr="0047771C">
        <w:rPr>
          <w:b/>
        </w:rPr>
        <w:t>Rigideces nominales</w:t>
      </w:r>
      <w:r>
        <w:t xml:space="preserve">: Dado que ya hemos supuesto que las empresas pueden tener poder de mercado, si añadimos algún tipo de rigidez en los precios, tenemos todo lo que necesitamos para que la transmisión de la política monetaria tenga efectos reales. La forma de introducir las rigideces tiene dos formulaciones alternativas popularmente utilizadas: </w:t>
      </w:r>
      <w:r w:rsidRPr="00DA5B35">
        <w:rPr>
          <w:i/>
          <w:iCs/>
        </w:rPr>
        <w:t>a)</w:t>
      </w:r>
      <w:r>
        <w:t xml:space="preserve"> las empresas están sujetas a algunas restricciones sobre la frecuencia con la cual ajustan precios ante cambios en la demanda (ajuste escalonado de precios, entre los que destaca la fijación de precios </w:t>
      </w:r>
      <w:r w:rsidRPr="00FF3CAA">
        <w:rPr>
          <w:i/>
        </w:rPr>
        <w:t>à la</w:t>
      </w:r>
      <w:r>
        <w:t xml:space="preserve"> </w:t>
      </w:r>
      <w:r w:rsidRPr="00D259FC">
        <w:rPr>
          <w:smallCaps/>
        </w:rPr>
        <w:t>Calvo</w:t>
      </w:r>
      <w:r>
        <w:t>)</w:t>
      </w:r>
      <w:r>
        <w:rPr>
          <w:rStyle w:val="Refdenotaalpie"/>
        </w:rPr>
        <w:footnoteReference w:id="26"/>
      </w:r>
      <w:r>
        <w:t xml:space="preserve">; </w:t>
      </w:r>
      <w:proofErr w:type="spellStart"/>
      <w:r>
        <w:t>ó</w:t>
      </w:r>
      <w:proofErr w:type="spellEnd"/>
      <w:r>
        <w:t xml:space="preserve"> </w:t>
      </w:r>
      <w:r w:rsidRPr="00DA5B35">
        <w:rPr>
          <w:i/>
          <w:iCs/>
        </w:rPr>
        <w:t>b)</w:t>
      </w:r>
      <w:r>
        <w:t xml:space="preserve"> las empresas están sujetas a costes de ajuste en los precios ante cambios en la demanda (costes de ajuste </w:t>
      </w:r>
      <w:r w:rsidRPr="00FF3CAA">
        <w:rPr>
          <w:i/>
        </w:rPr>
        <w:t>à la</w:t>
      </w:r>
      <w:r>
        <w:t xml:space="preserve"> </w:t>
      </w:r>
      <w:proofErr w:type="spellStart"/>
      <w:r w:rsidRPr="009F2885">
        <w:rPr>
          <w:smallCaps/>
        </w:rPr>
        <w:t>Rotemberg</w:t>
      </w:r>
      <w:proofErr w:type="spellEnd"/>
      <w:r>
        <w:rPr>
          <w:rStyle w:val="Refdenotaalpie"/>
        </w:rPr>
        <w:footnoteReference w:id="27"/>
      </w:r>
      <w:r>
        <w:t>, la versión dinámica de los costes de menú)</w:t>
      </w:r>
      <w:r>
        <w:rPr>
          <w:rStyle w:val="Refdenotaalpie"/>
        </w:rPr>
        <w:footnoteReference w:id="28"/>
      </w:r>
      <w:r>
        <w:t>.</w:t>
      </w:r>
    </w:p>
    <w:p w14:paraId="4DAB9833" w14:textId="77777777" w:rsidR="00830096" w:rsidRDefault="00830096" w:rsidP="00830096">
      <w:pPr>
        <w:pStyle w:val="Prrafodelista"/>
        <w:numPr>
          <w:ilvl w:val="0"/>
          <w:numId w:val="54"/>
        </w:numPr>
        <w:spacing w:after="40"/>
        <w:ind w:left="567" w:hanging="227"/>
        <w:contextualSpacing w:val="0"/>
      </w:pPr>
      <w:r>
        <w:t xml:space="preserve">La dinámica del </w:t>
      </w:r>
      <w:r w:rsidRPr="0047771C">
        <w:rPr>
          <w:b/>
        </w:rPr>
        <w:t>capital</w:t>
      </w:r>
      <w:r>
        <w:t xml:space="preserve"> suele ser ignorada, de modo que el modelo puede carecer de las variables capital e inversión.</w:t>
      </w:r>
    </w:p>
    <w:p w14:paraId="4AFAC44D" w14:textId="77777777" w:rsidR="00830096" w:rsidRDefault="00830096" w:rsidP="00830096">
      <w:pPr>
        <w:pStyle w:val="Prrafodelista"/>
        <w:numPr>
          <w:ilvl w:val="0"/>
          <w:numId w:val="54"/>
        </w:numPr>
        <w:ind w:left="567" w:hanging="227"/>
      </w:pPr>
      <w:r>
        <w:t xml:space="preserve">Aparecen </w:t>
      </w:r>
      <w:r w:rsidRPr="0047771C">
        <w:rPr>
          <w:b/>
        </w:rPr>
        <w:t xml:space="preserve">otras fuentes de perturbación o </w:t>
      </w:r>
      <w:r w:rsidRPr="0047771C">
        <w:rPr>
          <w:b/>
          <w:i/>
        </w:rPr>
        <w:t>shock</w:t>
      </w:r>
      <w:r>
        <w:t xml:space="preserve"> en el modelo: aparte del tecnológico y el de gasto público, pueden darse perturbaciones monetarias, de preferencias…</w:t>
      </w:r>
    </w:p>
    <w:p w14:paraId="1149ADC5" w14:textId="77777777" w:rsidR="00830096" w:rsidRPr="00A47381" w:rsidRDefault="00830096" w:rsidP="00830096">
      <w:pPr>
        <w:pStyle w:val="Nivel1SM"/>
        <w:rPr>
          <w:spacing w:val="-1"/>
        </w:rPr>
      </w:pPr>
      <w:r w:rsidRPr="00A47381">
        <w:rPr>
          <w:spacing w:val="-1"/>
        </w:rPr>
        <w:t>La existencia de rigideces en los mercados va a llevar a que el modelo tenga más en cuenta el lado de la demanda (frente al predominio de la oferta de los modelos RBC). Por tanto, este modelo no sólo nos va a permitir ver los efectos de la política fiscal sobre la oferta, sino también sobre la demanda.</w:t>
      </w:r>
    </w:p>
    <w:p w14:paraId="529C1257" w14:textId="77777777" w:rsidR="00830096" w:rsidRPr="003E03CD" w:rsidRDefault="00830096" w:rsidP="00830096">
      <w:pPr>
        <w:pStyle w:val="Ttulo3"/>
      </w:pPr>
      <w:bookmarkStart w:id="73" w:name="_Toc142500912"/>
      <w:bookmarkStart w:id="74" w:name="_Toc151221252"/>
      <w:r>
        <w:lastRenderedPageBreak/>
        <w:t>Modelo</w:t>
      </w:r>
      <w:bookmarkEnd w:id="73"/>
      <w:bookmarkEnd w:id="74"/>
    </w:p>
    <w:p w14:paraId="48788127" w14:textId="77777777" w:rsidR="00830096" w:rsidRDefault="00830096" w:rsidP="00830096">
      <w:pPr>
        <w:pStyle w:val="Ttulo6"/>
        <w:spacing w:before="0" w:after="0"/>
      </w:pPr>
      <w:bookmarkStart w:id="75" w:name="_Toc142500913"/>
      <w:bookmarkStart w:id="76" w:name="_Toc151221253"/>
      <w:r>
        <w:t>Supuestos</w:t>
      </w:r>
      <w:bookmarkEnd w:id="75"/>
      <w:bookmarkEnd w:id="76"/>
    </w:p>
    <w:p w14:paraId="51FF7E13" w14:textId="77777777" w:rsidR="00830096" w:rsidRPr="00803FBF" w:rsidRDefault="00830096" w:rsidP="00830096"/>
    <w:p w14:paraId="51946EA0" w14:textId="77777777" w:rsidR="00830096" w:rsidRDefault="00830096" w:rsidP="00830096">
      <w:pPr>
        <w:pStyle w:val="Ttulo6"/>
      </w:pPr>
      <w:bookmarkStart w:id="77" w:name="_Toc142500914"/>
      <w:bookmarkStart w:id="78" w:name="_Toc151221254"/>
      <w:r>
        <w:t>Desarrollo</w:t>
      </w:r>
      <w:bookmarkEnd w:id="77"/>
      <w:bookmarkEnd w:id="78"/>
    </w:p>
    <w:p w14:paraId="4664D427" w14:textId="77777777" w:rsidR="00830096" w:rsidRPr="00803FBF" w:rsidRDefault="00830096" w:rsidP="00830096">
      <w:pPr>
        <w:pStyle w:val="Nivel1SM"/>
        <w:spacing w:before="0" w:after="0"/>
      </w:pPr>
      <w:r>
        <w:t xml:space="preserve">A pesar de poseer una elevada complejidad formal, la resolución </w:t>
      </w:r>
      <w:proofErr w:type="gramStart"/>
      <w:r>
        <w:t>del mismo</w:t>
      </w:r>
      <w:proofErr w:type="gramEnd"/>
      <w:r>
        <w:t xml:space="preserve"> llega a un sistema de 3 ecuaciones que determinan el comportamiento de todo el modelo.</w:t>
      </w:r>
    </w:p>
    <w:p w14:paraId="252BC8D1" w14:textId="77777777" w:rsidR="00830096" w:rsidRDefault="00830096" w:rsidP="00830096">
      <w:r w:rsidRPr="00E443D2">
        <w:rPr>
          <w:noProof/>
        </w:rPr>
        <w:drawing>
          <wp:inline distT="0" distB="0" distL="0" distR="0" wp14:anchorId="11E635D3" wp14:editId="47ABA87C">
            <wp:extent cx="5981700" cy="3992765"/>
            <wp:effectExtent l="0" t="0" r="0" b="8255"/>
            <wp:docPr id="13" name="Picture 13" descr="Texto, Pizar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o, Pizarra&#10;&#10;Descripción generada automáticament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90774" cy="3998822"/>
                    </a:xfrm>
                    <a:prstGeom prst="rect">
                      <a:avLst/>
                    </a:prstGeom>
                    <a:noFill/>
                    <a:ln>
                      <a:noFill/>
                    </a:ln>
                  </pic:spPr>
                </pic:pic>
              </a:graphicData>
            </a:graphic>
          </wp:inline>
        </w:drawing>
      </w:r>
    </w:p>
    <w:p w14:paraId="1BC3BBF1" w14:textId="77777777" w:rsidR="00830096" w:rsidRDefault="00830096" w:rsidP="00830096">
      <w:pPr>
        <w:pStyle w:val="Notaalopositor"/>
      </w:pPr>
      <w:r>
        <w:lastRenderedPageBreak/>
        <w:t xml:space="preserve">Aquí abajo copiado el modelo canónico de la NEK (del tema 3.A.30 (NEK)), adaptar para introducir política fiscal (sólo cambia la curva IS dinámica, ya que hay que incluir el pago de impuestos en la restricción presupuestaria y hay que introducir un gobierno con su restricción presupuestaria </w:t>
      </w:r>
      <w:proofErr w:type="spellStart"/>
      <w:r>
        <w:t>intertemporal</w:t>
      </w:r>
      <w:proofErr w:type="spellEnd"/>
      <w:r>
        <w:t>). Algo he adaptado, pero no veo claro cómo serían los efectos en las 3 ecuaciones.</w:t>
      </w:r>
    </w:p>
    <w:p w14:paraId="3F0DC100" w14:textId="77777777" w:rsidR="00830096" w:rsidRDefault="00830096" w:rsidP="00830096">
      <w:pPr>
        <w:pStyle w:val="Notaalopositor"/>
      </w:pPr>
      <w:r>
        <w:t xml:space="preserve">El tema de ICEX-CECO dice que sigue a </w:t>
      </w:r>
      <w:r>
        <w:rPr>
          <w:smallCaps/>
        </w:rPr>
        <w:t>Galí</w:t>
      </w:r>
      <w:r>
        <w:t xml:space="preserve"> (2008), pero ahí no viene nada de política fiscal. En </w:t>
      </w:r>
      <w:r w:rsidRPr="008C6FDA">
        <w:rPr>
          <w:smallCaps/>
        </w:rPr>
        <w:t>Bergholt</w:t>
      </w:r>
      <w:r>
        <w:t xml:space="preserve"> (2012), que también lo menciona en ICEX-CECO, tampoco he visto nada.</w:t>
      </w:r>
    </w:p>
    <w:p w14:paraId="0DB1FC89" w14:textId="2E31C077" w:rsidR="00830096" w:rsidRDefault="00830096" w:rsidP="00830096">
      <w:pPr>
        <w:pStyle w:val="Notaalopositor"/>
      </w:pPr>
      <w:r>
        <w:t>Para entender bien, la idea, ver folio escrito a mano en la carpeta del tema (fotos aquí debajo)</w:t>
      </w:r>
      <w:r w:rsidRPr="00097725">
        <w:rPr>
          <w:spacing w:val="-2"/>
        </w:rPr>
        <w:t xml:space="preserve"> </w:t>
      </w:r>
      <w:r>
        <w:rPr>
          <w:spacing w:val="-2"/>
        </w:rPr>
        <w:t>y la nota a pie de página </w:t>
      </w:r>
      <w:r>
        <w:rPr>
          <w:spacing w:val="-2"/>
        </w:rPr>
        <w:fldChar w:fldCharType="begin"/>
      </w:r>
      <w:r>
        <w:rPr>
          <w:spacing w:val="-2"/>
        </w:rPr>
        <w:instrText xml:space="preserve"> NOTEREF _Ref144802665 \h </w:instrText>
      </w:r>
      <w:r>
        <w:rPr>
          <w:spacing w:val="-2"/>
        </w:rPr>
      </w:r>
      <w:r>
        <w:rPr>
          <w:spacing w:val="-2"/>
        </w:rPr>
        <w:fldChar w:fldCharType="separate"/>
      </w:r>
      <w:r w:rsidR="001B0506">
        <w:rPr>
          <w:spacing w:val="-2"/>
        </w:rPr>
        <w:t>28</w:t>
      </w:r>
      <w:r>
        <w:rPr>
          <w:spacing w:val="-2"/>
        </w:rPr>
        <w:fldChar w:fldCharType="end"/>
      </w:r>
      <w:r>
        <w:t>.</w:t>
      </w:r>
    </w:p>
    <w:p w14:paraId="0031DDF4" w14:textId="77777777" w:rsidR="00830096" w:rsidRPr="008C6FDA" w:rsidRDefault="00830096" w:rsidP="00830096">
      <w:pPr>
        <w:pStyle w:val="Notaalopositor"/>
        <w:jc w:val="center"/>
      </w:pPr>
      <w:r>
        <w:rPr>
          <w:noProof/>
        </w:rPr>
        <w:drawing>
          <wp:inline distT="0" distB="0" distL="0" distR="0" wp14:anchorId="1F6B65CE" wp14:editId="762D519F">
            <wp:extent cx="2916698" cy="3312000"/>
            <wp:effectExtent l="0" t="0" r="0" b="317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rotWithShape="1">
                    <a:blip r:embed="rId29"/>
                    <a:srcRect l="2906" r="6454" b="22807"/>
                    <a:stretch/>
                  </pic:blipFill>
                  <pic:spPr bwMode="auto">
                    <a:xfrm>
                      <a:off x="0" y="0"/>
                      <a:ext cx="2916698" cy="3312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3A12D09" wp14:editId="194977E1">
            <wp:extent cx="3172415" cy="3312000"/>
            <wp:effectExtent l="0" t="0" r="9525" b="3175"/>
            <wp:docPr id="32" name="Imagen 32" descr="Pizarrón blanco con texto en letras negras sobre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Pizarrón blanco con texto en letras negras sobre fondo blanco&#10;&#10;Descripción generada automáticamente con confianza media"/>
                    <pic:cNvPicPr/>
                  </pic:nvPicPr>
                  <pic:blipFill rotWithShape="1">
                    <a:blip r:embed="rId30"/>
                    <a:srcRect l="3404" t="2926" r="13592" b="32083"/>
                    <a:stretch/>
                  </pic:blipFill>
                  <pic:spPr bwMode="auto">
                    <a:xfrm>
                      <a:off x="0" y="0"/>
                      <a:ext cx="3172415" cy="3312000"/>
                    </a:xfrm>
                    <a:prstGeom prst="rect">
                      <a:avLst/>
                    </a:prstGeom>
                    <a:ln>
                      <a:noFill/>
                    </a:ln>
                    <a:extLst>
                      <a:ext uri="{53640926-AAD7-44D8-BBD7-CCE9431645EC}">
                        <a14:shadowObscured xmlns:a14="http://schemas.microsoft.com/office/drawing/2010/main"/>
                      </a:ext>
                    </a:extLst>
                  </pic:spPr>
                </pic:pic>
              </a:graphicData>
            </a:graphic>
          </wp:inline>
        </w:drawing>
      </w:r>
    </w:p>
    <w:p w14:paraId="141C8660" w14:textId="77777777" w:rsidR="00830096" w:rsidRDefault="00830096" w:rsidP="00830096">
      <w:pPr>
        <w:pStyle w:val="Ttulo7"/>
        <w:rPr>
          <w:highlight w:val="yellow"/>
        </w:rPr>
      </w:pPr>
      <w:bookmarkStart w:id="79" w:name="_Toc142500915"/>
      <w:bookmarkStart w:id="80" w:name="_Toc120176851"/>
      <w:r>
        <w:rPr>
          <w:highlight w:val="yellow"/>
        </w:rPr>
        <w:t>Gobierno</w:t>
      </w:r>
    </w:p>
    <w:p w14:paraId="255BD537" w14:textId="77777777" w:rsidR="00830096" w:rsidRDefault="00830096" w:rsidP="00830096">
      <w:pPr>
        <w:pStyle w:val="Nivel1SM"/>
        <w:keepNext/>
        <w:spacing w:before="0" w:after="0"/>
        <w:rPr>
          <w:highlight w:val="yellow"/>
        </w:rPr>
      </w:pPr>
      <w:r>
        <w:rPr>
          <w:highlight w:val="yellow"/>
        </w:rPr>
        <w:t>El gobierno actúa conforme a su restricción presupuestaria:</w:t>
      </w:r>
    </w:p>
    <w:p w14:paraId="4F0F53A3" w14:textId="77777777" w:rsidR="00830096" w:rsidRPr="00701D78" w:rsidRDefault="00000000" w:rsidP="00830096">
      <w:pPr>
        <w:pStyle w:val="Nivel1SM"/>
        <w:keepNext/>
        <w:numPr>
          <w:ilvl w:val="0"/>
          <w:numId w:val="0"/>
        </w:numPr>
        <w:spacing w:before="0"/>
        <w:rPr>
          <w:highlight w:val="yellow"/>
          <w:lang w:val="fr-FR"/>
        </w:rPr>
      </w:pPr>
      <m:oMathPara>
        <m:oMath>
          <m:sSub>
            <m:sSubPr>
              <m:ctrlPr>
                <w:rPr>
                  <w:rFonts w:ascii="Cambria Math" w:hAnsi="Cambria Math"/>
                  <w:i/>
                  <w:highlight w:val="yellow"/>
                </w:rPr>
              </m:ctrlPr>
            </m:sSubPr>
            <m:e>
              <m:r>
                <m:rPr>
                  <m:nor/>
                </m:rPr>
                <w:rPr>
                  <w:i/>
                  <w:highlight w:val="yellow"/>
                  <w:lang w:val="fr-FR"/>
                </w:rPr>
                <m:t>G</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r</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D</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T</m:t>
              </m:r>
            </m:e>
            <m:sub>
              <m:r>
                <m:rPr>
                  <m:nor/>
                </m:rPr>
                <w:rPr>
                  <w:i/>
                  <w:highlight w:val="yellow"/>
                  <w:lang w:val="fr-FR"/>
                </w:rPr>
                <m:t>t</m:t>
              </m:r>
            </m:sub>
          </m:sSub>
          <m:r>
            <w:rPr>
              <w:rFonts w:ascii="Cambria Math" w:hAnsi="Cambria Math"/>
              <w:highlight w:val="yellow"/>
              <w:lang w:val="fr-FR"/>
            </w:rPr>
            <m:t>+</m:t>
          </m:r>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lang w:val="fr-FR"/>
                    </w:rPr>
                    <m:t>D</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D</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e>
          </m:d>
        </m:oMath>
      </m:oMathPara>
    </w:p>
    <w:p w14:paraId="1A086A29" w14:textId="77777777" w:rsidR="00830096" w:rsidRPr="00CF096E" w:rsidRDefault="00830096" w:rsidP="00830096">
      <w:pPr>
        <w:pStyle w:val="Ttulo7"/>
        <w:rPr>
          <w:highlight w:val="yellow"/>
        </w:rPr>
      </w:pPr>
      <w:r w:rsidRPr="00CF096E">
        <w:rPr>
          <w:highlight w:val="yellow"/>
        </w:rPr>
        <w:t>Hogares</w:t>
      </w:r>
      <w:r w:rsidRPr="00CF096E">
        <w:rPr>
          <w:i w:val="0"/>
          <w:iCs w:val="0"/>
          <w:sz w:val="19"/>
          <w:szCs w:val="19"/>
          <w:highlight w:val="yellow"/>
          <w:u w:val="none"/>
        </w:rPr>
        <w:t xml:space="preserve"> [Curva IS dinámica o curva IS ampliada por las expectativas]</w:t>
      </w:r>
      <w:bookmarkEnd w:id="79"/>
    </w:p>
    <w:p w14:paraId="4FDD677B" w14:textId="77777777" w:rsidR="00830096" w:rsidRPr="00CF096E" w:rsidRDefault="00830096" w:rsidP="00830096">
      <w:pPr>
        <w:pStyle w:val="Nivel1SM"/>
        <w:keepNext/>
        <w:spacing w:before="0" w:after="0"/>
        <w:rPr>
          <w:highlight w:val="yellow"/>
        </w:rPr>
      </w:pPr>
      <w:r w:rsidRPr="00CF096E">
        <w:rPr>
          <w:highlight w:val="yellow"/>
        </w:rPr>
        <w:t>La economía admite un agente representativo (podemos suponer que todos los agentes son idénticos) con vida infinita. Este hogar es propietario del factor trabajo que será el único factor productivo y su oferta dependerá de su decisión de optimización, que será la siguiente:</w:t>
      </w:r>
    </w:p>
    <w:p w14:paraId="7BD7C98C" w14:textId="77777777" w:rsidR="00830096" w:rsidRPr="00CF096E" w:rsidRDefault="00000000" w:rsidP="00830096">
      <w:pPr>
        <w:keepNext/>
        <w:rPr>
          <w:rFonts w:eastAsiaTheme="minorEastAsia"/>
          <w:i/>
          <w:highlight w:val="yellow"/>
          <w:lang w:val="fr-FR"/>
        </w:rPr>
      </w:pPr>
      <m:oMathPara>
        <m:oMath>
          <m:m>
            <m:mPr>
              <m:mcs>
                <m:mc>
                  <m:mcPr>
                    <m:count m:val="1"/>
                    <m:mcJc m:val="center"/>
                  </m:mcPr>
                </m:mc>
              </m:mcs>
              <m:ctrlPr>
                <w:rPr>
                  <w:rFonts w:ascii="Cambria Math" w:eastAsiaTheme="minorEastAsia" w:hAnsi="Cambria Math"/>
                  <w:i/>
                  <w:highlight w:val="yellow"/>
                </w:rPr>
              </m:ctrlPr>
            </m:mPr>
            <m:mr>
              <m:e>
                <m:m>
                  <m:mPr>
                    <m:mcs>
                      <m:mc>
                        <m:mcPr>
                          <m:count m:val="1"/>
                          <m:mcJc m:val="center"/>
                        </m:mcPr>
                      </m:mc>
                    </m:mcs>
                    <m:ctrlPr>
                      <w:rPr>
                        <w:rFonts w:ascii="Cambria Math" w:eastAsiaTheme="minorEastAsia" w:hAnsi="Cambria Math"/>
                        <w:i/>
                        <w:highlight w:val="yellow"/>
                      </w:rPr>
                    </m:ctrlPr>
                  </m:mPr>
                  <m:mr>
                    <m:e>
                      <m:func>
                        <m:funcPr>
                          <m:ctrlPr>
                            <w:rPr>
                              <w:rFonts w:ascii="Cambria Math" w:eastAsiaTheme="minorEastAsia" w:hAnsi="Cambria Math"/>
                              <w:i/>
                              <w:highlight w:val="yellow"/>
                            </w:rPr>
                          </m:ctrlPr>
                        </m:funcPr>
                        <m:fName>
                          <m:limLow>
                            <m:limLowPr>
                              <m:ctrlPr>
                                <w:rPr>
                                  <w:rFonts w:ascii="Cambria Math" w:eastAsiaTheme="minorEastAsia" w:hAnsi="Cambria Math"/>
                                  <w:i/>
                                  <w:highlight w:val="yellow"/>
                                </w:rPr>
                              </m:ctrlPr>
                            </m:limLowPr>
                            <m:e>
                              <m:r>
                                <m:rPr>
                                  <m:nor/>
                                </m:rPr>
                                <w:rPr>
                                  <w:i/>
                                  <w:iCs/>
                                  <w:highlight w:val="yellow"/>
                                  <w:lang w:val="fr-FR"/>
                                </w:rPr>
                                <m:t>max</m:t>
                              </m:r>
                            </m:e>
                            <m:lim>
                              <m:d>
                                <m:dPr>
                                  <m:begChr m:val="{"/>
                                  <m:endChr m:val="}"/>
                                  <m:ctrlPr>
                                    <w:rPr>
                                      <w:rFonts w:ascii="Cambria Math" w:hAnsi="Cambria Math"/>
                                      <w:i/>
                                      <w:highlight w:val="yellow"/>
                                    </w:rPr>
                                  </m:ctrlPr>
                                </m:dPr>
                                <m:e>
                                  <m:sSub>
                                    <m:sSubPr>
                                      <m:ctrlPr>
                                        <w:rPr>
                                          <w:rFonts w:ascii="Cambria Math" w:hAnsi="Cambria Math"/>
                                          <w:i/>
                                          <w:iCs/>
                                          <w:highlight w:val="yellow"/>
                                        </w:rPr>
                                      </m:ctrlPr>
                                    </m:sSubPr>
                                    <m:e>
                                      <m:r>
                                        <m:rPr>
                                          <m:nor/>
                                        </m:rPr>
                                        <w:rPr>
                                          <w:i/>
                                          <w:iCs/>
                                          <w:highlight w:val="yellow"/>
                                          <w:lang w:val="fr-FR"/>
                                        </w:rPr>
                                        <m:t>C</m:t>
                                      </m:r>
                                    </m:e>
                                    <m:sub>
                                      <m:r>
                                        <m:rPr>
                                          <m:nor/>
                                        </m:rPr>
                                        <w:rPr>
                                          <w:i/>
                                          <w:iCs/>
                                          <w:highlight w:val="yellow"/>
                                          <w:lang w:val="fr-FR"/>
                                        </w:rPr>
                                        <m:t>t</m:t>
                                      </m:r>
                                    </m:sub>
                                  </m:sSub>
                                  <m:r>
                                    <w:rPr>
                                      <w:rFonts w:ascii="Cambria Math" w:hAnsi="Cambria Math"/>
                                      <w:highlight w:val="yellow"/>
                                      <w:lang w:val="fr-FR"/>
                                    </w:rPr>
                                    <m:t>,</m:t>
                                  </m:r>
                                  <m:sSub>
                                    <m:sSubPr>
                                      <m:ctrlPr>
                                        <w:rPr>
                                          <w:rFonts w:ascii="Cambria Math" w:hAnsi="Cambria Math"/>
                                          <w:i/>
                                          <w:iCs/>
                                          <w:highlight w:val="yellow"/>
                                        </w:rPr>
                                      </m:ctrlPr>
                                    </m:sSubPr>
                                    <m:e>
                                      <m:r>
                                        <m:rPr>
                                          <m:nor/>
                                        </m:rPr>
                                        <w:rPr>
                                          <w:i/>
                                          <w:iCs/>
                                          <w:highlight w:val="yellow"/>
                                          <w:lang w:val="fr-FR"/>
                                        </w:rPr>
                                        <m:t>L</m:t>
                                      </m:r>
                                    </m:e>
                                    <m:sub>
                                      <m:r>
                                        <m:rPr>
                                          <m:nor/>
                                        </m:rPr>
                                        <w:rPr>
                                          <w:i/>
                                          <w:iCs/>
                                          <w:highlight w:val="yellow"/>
                                          <w:lang w:val="fr-FR"/>
                                        </w:rPr>
                                        <m:t>t</m:t>
                                      </m:r>
                                    </m:sub>
                                  </m:sSub>
                                  <m:r>
                                    <w:rPr>
                                      <w:rFonts w:ascii="Cambria Math" w:hAnsi="Cambria Math"/>
                                      <w:highlight w:val="yellow"/>
                                      <w:lang w:val="fr-FR"/>
                                    </w:rPr>
                                    <m:t xml:space="preserve">, </m:t>
                                  </m:r>
                                  <m:sSub>
                                    <m:sSubPr>
                                      <m:ctrlPr>
                                        <w:rPr>
                                          <w:rFonts w:ascii="Cambria Math" w:hAnsi="Cambria Math"/>
                                          <w:i/>
                                          <w:iCs/>
                                          <w:highlight w:val="yellow"/>
                                        </w:rPr>
                                      </m:ctrlPr>
                                    </m:sSubPr>
                                    <m:e>
                                      <m:r>
                                        <m:rPr>
                                          <m:nor/>
                                        </m:rPr>
                                        <w:rPr>
                                          <w:i/>
                                          <w:iCs/>
                                          <w:highlight w:val="yellow"/>
                                          <w:lang w:val="fr-FR"/>
                                        </w:rPr>
                                        <m:t>B</m:t>
                                      </m:r>
                                    </m:e>
                                    <m:sub>
                                      <m:r>
                                        <m:rPr>
                                          <m:nor/>
                                        </m:rPr>
                                        <w:rPr>
                                          <w:i/>
                                          <w:iCs/>
                                          <w:highlight w:val="yellow"/>
                                          <w:lang w:val="fr-FR"/>
                                        </w:rPr>
                                        <m:t>t+1</m:t>
                                      </m:r>
                                    </m:sub>
                                  </m:sSub>
                                </m:e>
                              </m:d>
                            </m:lim>
                          </m:limLow>
                          <m:r>
                            <w:rPr>
                              <w:rFonts w:ascii="Cambria Math" w:eastAsiaTheme="minorEastAsia" w:hAnsi="Cambria Math"/>
                              <w:highlight w:val="yellow"/>
                              <w:lang w:val="fr-FR"/>
                            </w:rPr>
                            <m:t xml:space="preserve">    </m:t>
                          </m:r>
                        </m:fName>
                        <m:e>
                          <m:sSub>
                            <m:sSubPr>
                              <m:ctrlPr>
                                <w:rPr>
                                  <w:rFonts w:ascii="Cambria Math" w:hAnsi="Cambria Math"/>
                                  <w:i/>
                                  <w:iCs/>
                                  <w:highlight w:val="yellow"/>
                                  <w:lang w:val="fr-FR"/>
                                </w:rPr>
                              </m:ctrlPr>
                            </m:sSubPr>
                            <m:e>
                              <m:r>
                                <m:rPr>
                                  <m:nor/>
                                </m:rPr>
                                <w:rPr>
                                  <w:i/>
                                  <w:iCs/>
                                  <w:highlight w:val="yellow"/>
                                  <w:lang w:val="fr-FR"/>
                                </w:rPr>
                                <m:t>E</m:t>
                              </m:r>
                            </m:e>
                            <m:sub>
                              <m:r>
                                <m:rPr>
                                  <m:nor/>
                                </m:rPr>
                                <w:rPr>
                                  <w:i/>
                                  <w:iCs/>
                                  <w:highlight w:val="yellow"/>
                                  <w:lang w:val="fr-FR"/>
                                </w:rPr>
                                <m:t>0</m:t>
                              </m:r>
                            </m:sub>
                          </m:sSub>
                          <m:d>
                            <m:dPr>
                              <m:begChr m:val="["/>
                              <m:endChr m:val="]"/>
                              <m:ctrlPr>
                                <w:rPr>
                                  <w:rFonts w:ascii="Cambria Math" w:hAnsi="Cambria Math"/>
                                  <w:i/>
                                  <w:iCs/>
                                  <w:highlight w:val="yellow"/>
                                  <w:lang w:val="fr-FR"/>
                                </w:rPr>
                              </m:ctrlPr>
                            </m:dPr>
                            <m:e>
                              <m:r>
                                <m:rPr>
                                  <m:nor/>
                                </m:rPr>
                                <w:rPr>
                                  <w:i/>
                                  <w:iCs/>
                                  <w:highlight w:val="yellow"/>
                                  <w:lang w:val="fr-FR"/>
                                </w:rPr>
                                <m:t>V</m:t>
                              </m:r>
                              <m:d>
                                <m:dPr>
                                  <m:ctrlPr>
                                    <w:rPr>
                                      <w:rFonts w:ascii="Cambria Math" w:hAnsi="Cambria Math"/>
                                      <w:i/>
                                      <w:iCs/>
                                      <w:highlight w:val="yellow"/>
                                    </w:rPr>
                                  </m:ctrlPr>
                                </m:dPr>
                                <m:e>
                                  <m:r>
                                    <m:rPr>
                                      <m:nor/>
                                    </m:rPr>
                                    <w:rPr>
                                      <w:i/>
                                      <w:iCs/>
                                      <w:highlight w:val="yellow"/>
                                      <w:lang w:val="fr-FR"/>
                                    </w:rPr>
                                    <m:t>c</m:t>
                                  </m:r>
                                </m:e>
                              </m:d>
                            </m:e>
                          </m:d>
                          <m:r>
                            <w:rPr>
                              <w:rFonts w:ascii="Cambria Math" w:hAnsi="Cambria Math"/>
                              <w:highlight w:val="yellow"/>
                              <w:lang w:val="fr-FR"/>
                            </w:rPr>
                            <m:t>=</m:t>
                          </m:r>
                          <m:sSub>
                            <m:sSubPr>
                              <m:ctrlPr>
                                <w:rPr>
                                  <w:rFonts w:ascii="Cambria Math" w:hAnsi="Cambria Math"/>
                                  <w:i/>
                                  <w:iCs/>
                                  <w:highlight w:val="yellow"/>
                                  <w:lang w:val="fr-FR"/>
                                </w:rPr>
                              </m:ctrlPr>
                            </m:sSubPr>
                            <m:e>
                              <m:r>
                                <m:rPr>
                                  <m:nor/>
                                </m:rPr>
                                <w:rPr>
                                  <w:i/>
                                  <w:iCs/>
                                  <w:highlight w:val="yellow"/>
                                  <w:lang w:val="fr-FR"/>
                                </w:rPr>
                                <m:t>E</m:t>
                              </m:r>
                            </m:e>
                            <m:sub>
                              <m:r>
                                <m:rPr>
                                  <m:nor/>
                                </m:rPr>
                                <w:rPr>
                                  <w:i/>
                                  <w:iCs/>
                                  <w:highlight w:val="yellow"/>
                                  <w:lang w:val="fr-FR"/>
                                </w:rPr>
                                <m:t>0</m:t>
                              </m:r>
                            </m:sub>
                          </m:sSub>
                          <m:d>
                            <m:dPr>
                              <m:begChr m:val="["/>
                              <m:endChr m:val="]"/>
                              <m:ctrlPr>
                                <w:rPr>
                                  <w:rFonts w:ascii="Cambria Math" w:hAnsi="Cambria Math"/>
                                  <w:i/>
                                  <w:iCs/>
                                  <w:highlight w:val="yellow"/>
                                  <w:lang w:val="fr-FR"/>
                                </w:rPr>
                              </m:ctrlPr>
                            </m:dPr>
                            <m:e>
                              <m:nary>
                                <m:naryPr>
                                  <m:chr m:val="∑"/>
                                  <m:limLoc m:val="undOvr"/>
                                  <m:ctrlPr>
                                    <w:rPr>
                                      <w:rFonts w:ascii="Cambria Math" w:hAnsi="Cambria Math"/>
                                      <w:i/>
                                      <w:iCs/>
                                      <w:highlight w:val="yellow"/>
                                    </w:rPr>
                                  </m:ctrlPr>
                                </m:naryPr>
                                <m:sub>
                                  <m:r>
                                    <m:rPr>
                                      <m:nor/>
                                    </m:rPr>
                                    <w:rPr>
                                      <w:i/>
                                      <w:highlight w:val="yellow"/>
                                      <w:lang w:val="fr-FR"/>
                                    </w:rPr>
                                    <m:t>t</m:t>
                                  </m:r>
                                  <m:r>
                                    <w:rPr>
                                      <w:rFonts w:ascii="Cambria Math" w:hAnsi="Cambria Math"/>
                                      <w:highlight w:val="yellow"/>
                                      <w:lang w:val="fr-FR"/>
                                    </w:rPr>
                                    <m:t>=</m:t>
                                  </m:r>
                                  <m:r>
                                    <m:rPr>
                                      <m:nor/>
                                    </m:rPr>
                                    <w:rPr>
                                      <w:i/>
                                      <w:highlight w:val="yellow"/>
                                      <w:lang w:val="fr-FR"/>
                                    </w:rPr>
                                    <m:t>0</m:t>
                                  </m:r>
                                </m:sub>
                                <m:sup>
                                  <m:r>
                                    <w:rPr>
                                      <w:rFonts w:ascii="Cambria Math" w:hAnsi="Cambria Math"/>
                                      <w:highlight w:val="yellow"/>
                                      <w:lang w:val="fr-FR"/>
                                    </w:rPr>
                                    <m:t>+∞</m:t>
                                  </m:r>
                                </m:sup>
                                <m:e>
                                  <m:sSup>
                                    <m:sSupPr>
                                      <m:ctrlPr>
                                        <w:rPr>
                                          <w:rFonts w:ascii="Cambria Math" w:hAnsi="Cambria Math"/>
                                          <w:i/>
                                          <w:iCs/>
                                          <w:highlight w:val="yellow"/>
                                        </w:rPr>
                                      </m:ctrlPr>
                                    </m:sSupPr>
                                    <m:e>
                                      <w:bookmarkStart w:id="81" w:name="_Hlk130298919"/>
                                      <m:r>
                                        <m:rPr>
                                          <m:nor/>
                                        </m:rPr>
                                        <w:rPr>
                                          <w:i/>
                                          <w:iCs/>
                                          <w:highlight w:val="yellow"/>
                                        </w:rPr>
                                        <m:t>β</m:t>
                                      </m:r>
                                      <w:bookmarkEnd w:id="81"/>
                                    </m:e>
                                    <m:sup>
                                      <m:r>
                                        <m:rPr>
                                          <m:nor/>
                                        </m:rPr>
                                        <w:rPr>
                                          <w:i/>
                                          <w:iCs/>
                                          <w:highlight w:val="yellow"/>
                                          <w:lang w:val="fr-FR"/>
                                        </w:rPr>
                                        <m:t>t</m:t>
                                      </m:r>
                                    </m:sup>
                                  </m:sSup>
                                  <m:r>
                                    <w:rPr>
                                      <w:rFonts w:ascii="Cambria Math" w:hAnsi="Cambria Math"/>
                                      <w:highlight w:val="yellow"/>
                                      <w:lang w:val="fr-FR"/>
                                    </w:rPr>
                                    <m:t>∙</m:t>
                                  </m:r>
                                  <m:d>
                                    <m:dPr>
                                      <m:ctrlPr>
                                        <w:rPr>
                                          <w:rFonts w:ascii="Cambria Math" w:hAnsi="Cambria Math"/>
                                          <w:i/>
                                          <w:iCs/>
                                          <w:highlight w:val="yellow"/>
                                        </w:rPr>
                                      </m:ctrlPr>
                                    </m:dPr>
                                    <m:e>
                                      <m:f>
                                        <m:fPr>
                                          <m:ctrlPr>
                                            <w:rPr>
                                              <w:rFonts w:ascii="Cambria Math" w:hAnsi="Cambria Math"/>
                                              <w:i/>
                                              <w:iCs/>
                                              <w:highlight w:val="yellow"/>
                                            </w:rPr>
                                          </m:ctrlPr>
                                        </m:fPr>
                                        <m:num>
                                          <m:sSup>
                                            <m:sSupPr>
                                              <m:ctrlPr>
                                                <w:rPr>
                                                  <w:rFonts w:ascii="Cambria Math" w:hAnsi="Cambria Math"/>
                                                  <w:i/>
                                                  <w:iCs/>
                                                  <w:highlight w:val="yellow"/>
                                                </w:rPr>
                                              </m:ctrlPr>
                                            </m:sSupPr>
                                            <m:e>
                                              <m:sSub>
                                                <m:sSubPr>
                                                  <m:ctrlPr>
                                                    <w:rPr>
                                                      <w:rFonts w:ascii="Cambria Math" w:hAnsi="Cambria Math"/>
                                                      <w:i/>
                                                      <w:iCs/>
                                                      <w:highlight w:val="yellow"/>
                                                    </w:rPr>
                                                  </m:ctrlPr>
                                                </m:sSubPr>
                                                <m:e>
                                                  <m:r>
                                                    <m:rPr>
                                                      <m:nor/>
                                                    </m:rPr>
                                                    <w:rPr>
                                                      <w:i/>
                                                      <w:iCs/>
                                                      <w:highlight w:val="yellow"/>
                                                      <w:lang w:val="fr-FR"/>
                                                    </w:rPr>
                                                    <m:t>C</m:t>
                                                  </m:r>
                                                </m:e>
                                                <m:sub>
                                                  <m:r>
                                                    <m:rPr>
                                                      <m:nor/>
                                                    </m:rPr>
                                                    <w:rPr>
                                                      <w:i/>
                                                      <w:iCs/>
                                                      <w:highlight w:val="yellow"/>
                                                      <w:lang w:val="fr-FR"/>
                                                    </w:rPr>
                                                    <m:t>t</m:t>
                                                  </m:r>
                                                </m:sub>
                                              </m:sSub>
                                            </m:e>
                                            <m:sup>
                                              <m:r>
                                                <m:rPr>
                                                  <m:nor/>
                                                </m:rPr>
                                                <w:rPr>
                                                  <w:i/>
                                                  <w:highlight w:val="yellow"/>
                                                  <w:lang w:val="fr-FR"/>
                                                </w:rPr>
                                                <m:t>1</m:t>
                                              </m:r>
                                              <m:r>
                                                <w:rPr>
                                                  <w:rFonts w:ascii="Cambria Math" w:hAnsi="Cambria Math"/>
                                                  <w:highlight w:val="yellow"/>
                                                  <w:lang w:val="fr-FR"/>
                                                </w:rPr>
                                                <m:t>-</m:t>
                                              </m:r>
                                              <m:r>
                                                <m:rPr>
                                                  <m:nor/>
                                                </m:rPr>
                                                <w:rPr>
                                                  <w:rFonts w:eastAsiaTheme="minorEastAsia"/>
                                                  <w:i/>
                                                  <w:iCs/>
                                                </w:rPr>
                                                <m:t>θ</m:t>
                                              </m:r>
                                            </m:sup>
                                          </m:sSup>
                                          <m:r>
                                            <w:rPr>
                                              <w:rFonts w:ascii="Cambria Math" w:hAnsi="Cambria Math"/>
                                              <w:highlight w:val="yellow"/>
                                              <w:lang w:val="fr-FR"/>
                                            </w:rPr>
                                            <m:t>-</m:t>
                                          </m:r>
                                          <m:r>
                                            <m:rPr>
                                              <m:nor/>
                                            </m:rPr>
                                            <w:rPr>
                                              <w:i/>
                                              <w:highlight w:val="yellow"/>
                                              <w:lang w:val="fr-FR"/>
                                            </w:rPr>
                                            <m:t>1</m:t>
                                          </m:r>
                                        </m:num>
                                        <m:den>
                                          <m:r>
                                            <m:rPr>
                                              <m:nor/>
                                            </m:rPr>
                                            <w:rPr>
                                              <w:i/>
                                              <w:highlight w:val="yellow"/>
                                              <w:lang w:val="fr-FR"/>
                                            </w:rPr>
                                            <m:t>1</m:t>
                                          </m:r>
                                          <m:r>
                                            <w:rPr>
                                              <w:rFonts w:ascii="Cambria Math" w:hAnsi="Cambria Math"/>
                                              <w:highlight w:val="yellow"/>
                                              <w:lang w:val="fr-FR"/>
                                            </w:rPr>
                                            <m:t>-</m:t>
                                          </m:r>
                                          <m:r>
                                            <m:rPr>
                                              <m:nor/>
                                            </m:rPr>
                                            <w:rPr>
                                              <w:rFonts w:eastAsiaTheme="minorEastAsia"/>
                                              <w:i/>
                                              <w:iCs/>
                                            </w:rPr>
                                            <m:t>θ</m:t>
                                          </m:r>
                                        </m:den>
                                      </m:f>
                                      <m:r>
                                        <w:rPr>
                                          <w:rFonts w:ascii="Cambria Math" w:hAnsi="Cambria Math"/>
                                          <w:highlight w:val="yellow"/>
                                          <w:lang w:val="fr-FR"/>
                                        </w:rPr>
                                        <m:t>+</m:t>
                                      </m:r>
                                      <m:r>
                                        <m:rPr>
                                          <m:nor/>
                                        </m:rPr>
                                        <w:rPr>
                                          <w:i/>
                                          <w:highlight w:val="yellow"/>
                                          <w:lang w:val="fr-FR"/>
                                        </w:rPr>
                                        <m:t>ζ</m:t>
                                      </m:r>
                                      <m:r>
                                        <w:rPr>
                                          <w:rFonts w:ascii="Cambria Math" w:hAnsi="Cambria Math"/>
                                          <w:highlight w:val="yellow"/>
                                          <w:lang w:val="fr-FR"/>
                                        </w:rPr>
                                        <m:t>∙</m:t>
                                      </m:r>
                                      <m:f>
                                        <m:fPr>
                                          <m:ctrlPr>
                                            <w:rPr>
                                              <w:rFonts w:ascii="Cambria Math" w:hAnsi="Cambria Math"/>
                                              <w:i/>
                                              <w:iCs/>
                                              <w:highlight w:val="yellow"/>
                                            </w:rPr>
                                          </m:ctrlPr>
                                        </m:fPr>
                                        <m:num>
                                          <m:sSup>
                                            <m:sSupPr>
                                              <m:ctrlPr>
                                                <w:rPr>
                                                  <w:rFonts w:ascii="Cambria Math" w:hAnsi="Cambria Math"/>
                                                  <w:i/>
                                                  <w:iCs/>
                                                  <w:highlight w:val="yellow"/>
                                                </w:rPr>
                                              </m:ctrlPr>
                                            </m:sSupPr>
                                            <m:e>
                                              <m:sSub>
                                                <m:sSubPr>
                                                  <m:ctrlPr>
                                                    <w:rPr>
                                                      <w:rFonts w:ascii="Cambria Math" w:hAnsi="Cambria Math"/>
                                                      <w:i/>
                                                      <w:iCs/>
                                                      <w:highlight w:val="yellow"/>
                                                    </w:rPr>
                                                  </m:ctrlPr>
                                                </m:sSubPr>
                                                <m:e>
                                                  <m:r>
                                                    <m:rPr>
                                                      <m:nor/>
                                                    </m:rPr>
                                                    <w:rPr>
                                                      <w:i/>
                                                      <w:iCs/>
                                                      <w:highlight w:val="yellow"/>
                                                      <w:lang w:val="fr-FR"/>
                                                    </w:rPr>
                                                    <m:t>L</m:t>
                                                  </m:r>
                                                </m:e>
                                                <m:sub>
                                                  <m:r>
                                                    <m:rPr>
                                                      <m:nor/>
                                                    </m:rPr>
                                                    <w:rPr>
                                                      <w:i/>
                                                      <w:iCs/>
                                                      <w:highlight w:val="yellow"/>
                                                      <w:lang w:val="fr-FR"/>
                                                    </w:rPr>
                                                    <m:t>t</m:t>
                                                  </m:r>
                                                </m:sub>
                                              </m:sSub>
                                            </m:e>
                                            <m:sup>
                                              <m:r>
                                                <m:rPr>
                                                  <m:nor/>
                                                </m:rPr>
                                                <w:rPr>
                                                  <w:i/>
                                                  <w:highlight w:val="yellow"/>
                                                  <w:lang w:val="fr-FR"/>
                                                </w:rPr>
                                                <m:t>1</m:t>
                                              </m:r>
                                              <m:r>
                                                <w:rPr>
                                                  <w:rFonts w:ascii="Cambria Math" w:hAnsi="Cambria Math"/>
                                                  <w:highlight w:val="yellow"/>
                                                  <w:lang w:val="fr-FR"/>
                                                </w:rPr>
                                                <m:t>+</m:t>
                                              </m:r>
                                              <m:r>
                                                <m:rPr>
                                                  <m:nor/>
                                                </m:rPr>
                                                <w:rPr>
                                                  <w:i/>
                                                  <w:iCs/>
                                                  <w:highlight w:val="yellow"/>
                                                  <w:lang w:val="fr-FR"/>
                                                </w:rPr>
                                                <m:t>φ</m:t>
                                              </m:r>
                                            </m:sup>
                                          </m:sSup>
                                        </m:num>
                                        <m:den>
                                          <m:r>
                                            <m:rPr>
                                              <m:nor/>
                                            </m:rPr>
                                            <w:rPr>
                                              <w:i/>
                                              <w:highlight w:val="yellow"/>
                                              <w:lang w:val="fr-FR"/>
                                            </w:rPr>
                                            <m:t>1</m:t>
                                          </m:r>
                                          <m:r>
                                            <w:rPr>
                                              <w:rFonts w:ascii="Cambria Math" w:hAnsi="Cambria Math"/>
                                              <w:highlight w:val="yellow"/>
                                              <w:lang w:val="fr-FR"/>
                                            </w:rPr>
                                            <m:t>+</m:t>
                                          </m:r>
                                          <m:r>
                                            <m:rPr>
                                              <m:nor/>
                                            </m:rPr>
                                            <w:rPr>
                                              <w:i/>
                                              <w:iCs/>
                                              <w:highlight w:val="yellow"/>
                                              <w:lang w:val="fr-FR"/>
                                            </w:rPr>
                                            <m:t>φ</m:t>
                                          </m:r>
                                        </m:den>
                                      </m:f>
                                    </m:e>
                                  </m:d>
                                </m:e>
                              </m:nary>
                            </m:e>
                          </m:d>
                          <m:r>
                            <w:rPr>
                              <w:rFonts w:ascii="Cambria Math" w:hAnsi="Cambria Math"/>
                              <w:highlight w:val="yellow"/>
                              <w:lang w:val="fr-FR"/>
                            </w:rPr>
                            <m:t xml:space="preserve">           </m:t>
                          </m:r>
                        </m:e>
                      </m:func>
                      <m:r>
                        <w:rPr>
                          <w:rFonts w:ascii="Cambria Math" w:eastAsiaTheme="minorEastAsia" w:hAnsi="Cambria Math"/>
                          <w:highlight w:val="yellow"/>
                          <w:lang w:val="fr-FR"/>
                        </w:rPr>
                        <m:t xml:space="preserve">                                                                   </m:t>
                      </m:r>
                    </m:e>
                  </m:mr>
                  <m:mr>
                    <m:e>
                      <m:r>
                        <w:rPr>
                          <w:rFonts w:ascii="Cambria Math" w:eastAsiaTheme="minorEastAsia" w:hAnsi="Cambria Math"/>
                          <w:highlight w:val="yellow"/>
                          <w:lang w:val="fr-FR"/>
                        </w:rPr>
                        <m:t xml:space="preserve">                  </m:t>
                      </m:r>
                      <m:m>
                        <m:mPr>
                          <m:mcs>
                            <m:mc>
                              <m:mcPr>
                                <m:count m:val="2"/>
                                <m:mcJc m:val="center"/>
                              </m:mcPr>
                            </m:mc>
                          </m:mcs>
                          <m:ctrlPr>
                            <w:rPr>
                              <w:rFonts w:ascii="Cambria Math" w:eastAsiaTheme="minorEastAsia" w:hAnsi="Cambria Math"/>
                              <w:i/>
                              <w:highlight w:val="yellow"/>
                            </w:rPr>
                          </m:ctrlPr>
                        </m:mPr>
                        <m:mr>
                          <m:e>
                            <m:r>
                              <m:rPr>
                                <m:nor/>
                              </m:rPr>
                              <w:rPr>
                                <w:i/>
                                <w:highlight w:val="yellow"/>
                                <w:lang w:val="fr-FR"/>
                              </w:rPr>
                              <m:t>donde</m:t>
                            </m:r>
                          </m:e>
                          <m:e>
                            <m:sSup>
                              <m:sSupPr>
                                <m:ctrlPr>
                                  <w:rPr>
                                    <w:rFonts w:ascii="Cambria Math" w:hAnsi="Cambria Math"/>
                                    <w:i/>
                                    <w:highlight w:val="yellow"/>
                                  </w:rPr>
                                </m:ctrlPr>
                              </m:sSupPr>
                              <m:e>
                                <m:sSub>
                                  <m:sSubPr>
                                    <m:ctrlPr>
                                      <w:rPr>
                                        <w:rFonts w:ascii="Cambria Math" w:hAnsi="Cambria Math"/>
                                        <w:i/>
                                        <w:highlight w:val="yellow"/>
                                      </w:rPr>
                                    </m:ctrlPr>
                                  </m:sSubPr>
                                  <m:e>
                                    <m:r>
                                      <m:rPr>
                                        <m:nor/>
                                      </m:rPr>
                                      <w:rPr>
                                        <w:i/>
                                        <w:highlight w:val="yellow"/>
                                        <w:lang w:val="fr-FR"/>
                                      </w:rPr>
                                      <m:t>C</m:t>
                                    </m:r>
                                  </m:e>
                                  <m:sub>
                                    <m:r>
                                      <m:rPr>
                                        <m:nor/>
                                      </m:rPr>
                                      <w:rPr>
                                        <w:i/>
                                        <w:highlight w:val="yellow"/>
                                        <w:lang w:val="fr-FR"/>
                                      </w:rPr>
                                      <m:t>t</m:t>
                                    </m:r>
                                  </m:sub>
                                </m:sSub>
                                <m:r>
                                  <w:rPr>
                                    <w:rFonts w:ascii="Cambria Math" w:hAnsi="Cambria Math"/>
                                    <w:highlight w:val="yellow"/>
                                    <w:lang w:val="fr-FR"/>
                                  </w:rPr>
                                  <m:t>≡</m:t>
                                </m:r>
                                <m:d>
                                  <m:dPr>
                                    <m:ctrlPr>
                                      <w:rPr>
                                        <w:rFonts w:ascii="Cambria Math" w:hAnsi="Cambria Math"/>
                                        <w:i/>
                                        <w:highlight w:val="yellow"/>
                                      </w:rPr>
                                    </m:ctrlPr>
                                  </m:dPr>
                                  <m:e>
                                    <m:nary>
                                      <m:naryPr>
                                        <m:limLoc m:val="subSup"/>
                                        <m:ctrlPr>
                                          <w:rPr>
                                            <w:rFonts w:ascii="Cambria Math" w:hAnsi="Cambria Math"/>
                                            <w:i/>
                                            <w:highlight w:val="yellow"/>
                                          </w:rPr>
                                        </m:ctrlPr>
                                      </m:naryPr>
                                      <m:sub>
                                        <m:r>
                                          <m:rPr>
                                            <m:nor/>
                                          </m:rPr>
                                          <w:rPr>
                                            <w:i/>
                                            <w:highlight w:val="yellow"/>
                                            <w:lang w:val="fr-FR"/>
                                          </w:rPr>
                                          <m:t>0</m:t>
                                        </m:r>
                                      </m:sub>
                                      <m:sup>
                                        <m:r>
                                          <m:rPr>
                                            <m:nor/>
                                          </m:rPr>
                                          <w:rPr>
                                            <w:i/>
                                            <w:highlight w:val="yellow"/>
                                            <w:lang w:val="fr-FR"/>
                                          </w:rPr>
                                          <m:t>1</m:t>
                                        </m:r>
                                      </m:sup>
                                      <m:e>
                                        <m:sSup>
                                          <m:sSupPr>
                                            <m:ctrlPr>
                                              <w:rPr>
                                                <w:rFonts w:ascii="Cambria Math" w:hAnsi="Cambria Math"/>
                                                <w:i/>
                                                <w:highlight w:val="yellow"/>
                                              </w:rPr>
                                            </m:ctrlPr>
                                          </m:sSupPr>
                                          <m:e>
                                            <m:sSub>
                                              <m:sSubPr>
                                                <m:ctrlPr>
                                                  <w:rPr>
                                                    <w:rFonts w:ascii="Cambria Math" w:hAnsi="Cambria Math"/>
                                                    <w:i/>
                                                    <w:highlight w:val="yellow"/>
                                                  </w:rPr>
                                                </m:ctrlPr>
                                              </m:sSubPr>
                                              <m:e>
                                                <m:r>
                                                  <m:rPr>
                                                    <m:nor/>
                                                  </m:rPr>
                                                  <w:rPr>
                                                    <w:i/>
                                                    <w:highlight w:val="yellow"/>
                                                    <w:lang w:val="fr-FR"/>
                                                  </w:rPr>
                                                  <m:t>C</m:t>
                                                </m:r>
                                              </m:e>
                                              <m:sub>
                                                <m:r>
                                                  <m:rPr>
                                                    <m:nor/>
                                                  </m:rPr>
                                                  <w:rPr>
                                                    <w:i/>
                                                    <w:highlight w:val="yellow"/>
                                                    <w:lang w:val="fr-FR"/>
                                                  </w:rPr>
                                                  <m:t>t</m:t>
                                                </m:r>
                                              </m:sub>
                                            </m:sSub>
                                            <m:d>
                                              <m:dPr>
                                                <m:ctrlPr>
                                                  <w:rPr>
                                                    <w:rFonts w:ascii="Cambria Math" w:hAnsi="Cambria Math"/>
                                                    <w:i/>
                                                    <w:highlight w:val="yellow"/>
                                                  </w:rPr>
                                                </m:ctrlPr>
                                              </m:dPr>
                                              <m:e>
                                                <m:r>
                                                  <m:rPr>
                                                    <m:nor/>
                                                  </m:rPr>
                                                  <w:rPr>
                                                    <w:i/>
                                                    <w:highlight w:val="yellow"/>
                                                    <w:lang w:val="fr-FR"/>
                                                  </w:rPr>
                                                  <m:t>i</m:t>
                                                </m:r>
                                              </m:e>
                                            </m:d>
                                          </m:e>
                                          <m:sup>
                                            <m:f>
                                              <m:fPr>
                                                <m:ctrlPr>
                                                  <w:rPr>
                                                    <w:rFonts w:ascii="Cambria Math" w:hAnsi="Cambria Math"/>
                                                    <w:i/>
                                                    <w:highlight w:val="yellow"/>
                                                  </w:rPr>
                                                </m:ctrlPr>
                                              </m:fPr>
                                              <m:num>
                                                <m:r>
                                                  <m:rPr>
                                                    <m:nor/>
                                                  </m:rPr>
                                                  <w:rPr>
                                                    <w:i/>
                                                    <w:highlight w:val="yellow"/>
                                                  </w:rPr>
                                                  <m:t>σ</m:t>
                                                </m:r>
                                                <m:r>
                                                  <w:rPr>
                                                    <w:rFonts w:ascii="Cambria Math" w:hAnsi="Cambria Math"/>
                                                    <w:highlight w:val="yellow"/>
                                                    <w:lang w:val="fr-FR"/>
                                                  </w:rPr>
                                                  <m:t>-</m:t>
                                                </m:r>
                                                <m:r>
                                                  <m:rPr>
                                                    <m:nor/>
                                                  </m:rPr>
                                                  <w:rPr>
                                                    <w:i/>
                                                    <w:highlight w:val="yellow"/>
                                                    <w:lang w:val="fr-FR"/>
                                                  </w:rPr>
                                                  <m:t>1</m:t>
                                                </m:r>
                                              </m:num>
                                              <m:den>
                                                <m:r>
                                                  <m:rPr>
                                                    <m:nor/>
                                                  </m:rPr>
                                                  <w:rPr>
                                                    <w:i/>
                                                    <w:highlight w:val="yellow"/>
                                                  </w:rPr>
                                                  <m:t>σ</m:t>
                                                </m:r>
                                              </m:den>
                                            </m:f>
                                          </m:sup>
                                        </m:sSup>
                                        <m:r>
                                          <m:rPr>
                                            <m:nor/>
                                          </m:rPr>
                                          <w:rPr>
                                            <w:i/>
                                            <w:highlight w:val="yellow"/>
                                            <w:lang w:val="fr-FR"/>
                                          </w:rPr>
                                          <m:t xml:space="preserve"> di</m:t>
                                        </m:r>
                                      </m:e>
                                    </m:nary>
                                  </m:e>
                                </m:d>
                              </m:e>
                              <m:sup>
                                <m:f>
                                  <m:fPr>
                                    <m:ctrlPr>
                                      <w:rPr>
                                        <w:rFonts w:ascii="Cambria Math" w:hAnsi="Cambria Math"/>
                                        <w:i/>
                                        <w:highlight w:val="yellow"/>
                                      </w:rPr>
                                    </m:ctrlPr>
                                  </m:fPr>
                                  <m:num>
                                    <m:r>
                                      <m:rPr>
                                        <m:nor/>
                                      </m:rPr>
                                      <w:rPr>
                                        <w:i/>
                                        <w:highlight w:val="yellow"/>
                                      </w:rPr>
                                      <m:t>σ</m:t>
                                    </m:r>
                                  </m:num>
                                  <m:den>
                                    <m:r>
                                      <m:rPr>
                                        <m:nor/>
                                      </m:rPr>
                                      <w:rPr>
                                        <w:i/>
                                        <w:highlight w:val="yellow"/>
                                      </w:rPr>
                                      <m:t>σ</m:t>
                                    </m:r>
                                    <m:r>
                                      <w:rPr>
                                        <w:rFonts w:ascii="Cambria Math" w:hAnsi="Cambria Math"/>
                                        <w:highlight w:val="yellow"/>
                                        <w:lang w:val="fr-FR"/>
                                      </w:rPr>
                                      <m:t>-</m:t>
                                    </m:r>
                                    <m:r>
                                      <m:rPr>
                                        <m:nor/>
                                      </m:rPr>
                                      <w:rPr>
                                        <w:i/>
                                        <w:highlight w:val="yellow"/>
                                        <w:lang w:val="fr-FR"/>
                                      </w:rPr>
                                      <m:t>1</m:t>
                                    </m:r>
                                  </m:den>
                                </m:f>
                              </m:sup>
                            </m:sSup>
                          </m:e>
                        </m:mr>
                      </m:m>
                      <m:r>
                        <w:rPr>
                          <w:rFonts w:ascii="Cambria Math" w:hAnsi="Cambria Math"/>
                          <w:highlight w:val="yellow"/>
                          <w:lang w:val="fr-FR"/>
                        </w:rPr>
                        <m:t xml:space="preserve">    ⟶         </m:t>
                      </m:r>
                      <m:r>
                        <m:rPr>
                          <m:nor/>
                        </m:rPr>
                        <w:rPr>
                          <w:i/>
                          <w:iCs/>
                          <w:spacing w:val="-6"/>
                          <w:sz w:val="18"/>
                          <w:highlight w:val="yellow"/>
                          <w:lang w:val="fr-FR"/>
                        </w:rPr>
                        <m:t xml:space="preserve">Diferenciación del bien de consumo à la </m:t>
                      </m:r>
                      <m:r>
                        <m:rPr>
                          <m:nor/>
                        </m:rPr>
                        <w:rPr>
                          <w:i/>
                          <w:iCs/>
                          <w:smallCaps/>
                          <w:spacing w:val="-6"/>
                          <w:sz w:val="18"/>
                          <w:highlight w:val="yellow"/>
                          <w:lang w:val="fr-FR"/>
                        </w:rPr>
                        <m:t>Dixit-Stiglitz</m:t>
                      </m:r>
                    </m:e>
                  </m:mr>
                </m:m>
                <m:r>
                  <w:rPr>
                    <w:rFonts w:ascii="Cambria Math" w:eastAsiaTheme="minorEastAsia" w:hAnsi="Cambria Math"/>
                    <w:highlight w:val="yellow"/>
                    <w:lang w:val="fr-FR"/>
                  </w:rPr>
                  <m:t xml:space="preserve">                        </m:t>
                </m:r>
              </m:e>
            </m:mr>
            <m:mr>
              <m:e>
                <m:m>
                  <m:mPr>
                    <m:mcs>
                      <m:mc>
                        <m:mcPr>
                          <m:count m:val="2"/>
                          <m:mcJc m:val="center"/>
                        </m:mcPr>
                      </m:mc>
                    </m:mcs>
                    <m:ctrlPr>
                      <w:rPr>
                        <w:rFonts w:ascii="Cambria Math" w:eastAsiaTheme="minorEastAsia" w:hAnsi="Cambria Math"/>
                        <w:i/>
                        <w:highlight w:val="yellow"/>
                      </w:rPr>
                    </m:ctrlPr>
                  </m:mPr>
                  <m:mr>
                    <m:e>
                      <m:r>
                        <m:rPr>
                          <m:nor/>
                        </m:rPr>
                        <w:rPr>
                          <w:i/>
                          <w:highlight w:val="yellow"/>
                          <w:lang w:val="fr-FR"/>
                        </w:rPr>
                        <m:t>s.a</m:t>
                      </m:r>
                    </m:e>
                    <m:e>
                      <m:d>
                        <m:dPr>
                          <m:begChr m:val="{"/>
                          <m:endChr m:val=""/>
                          <m:ctrlPr>
                            <w:rPr>
                              <w:rFonts w:ascii="Cambria Math" w:hAnsi="Cambria Math"/>
                              <w:i/>
                              <w:highlight w:val="yellow"/>
                            </w:rPr>
                          </m:ctrlPr>
                        </m:dPr>
                        <m:e>
                          <m:m>
                            <m:mPr>
                              <m:mcs>
                                <m:mc>
                                  <m:mcPr>
                                    <m:count m:val="1"/>
                                    <m:mcJc m:val="center"/>
                                  </m:mcPr>
                                </m:mc>
                              </m:mcs>
                              <m:ctrlPr>
                                <w:rPr>
                                  <w:rFonts w:ascii="Cambria Math" w:hAnsi="Cambria Math"/>
                                  <w:i/>
                                  <w:highlight w:val="yellow"/>
                                </w:rPr>
                              </m:ctrlPr>
                            </m:mPr>
                            <m:mr>
                              <m:e>
                                <m:nary>
                                  <m:naryPr>
                                    <m:limLoc m:val="subSup"/>
                                    <m:ctrlPr>
                                      <w:rPr>
                                        <w:rFonts w:ascii="Cambria Math" w:hAnsi="Cambria Math"/>
                                        <w:i/>
                                        <w:highlight w:val="yellow"/>
                                      </w:rPr>
                                    </m:ctrlPr>
                                  </m:naryPr>
                                  <m:sub>
                                    <m:r>
                                      <m:rPr>
                                        <m:nor/>
                                      </m:rPr>
                                      <w:rPr>
                                        <w:i/>
                                        <w:highlight w:val="yellow"/>
                                        <w:lang w:val="fr-FR"/>
                                      </w:rPr>
                                      <m:t>0</m:t>
                                    </m:r>
                                  </m:sub>
                                  <m:sup>
                                    <m:r>
                                      <m:rPr>
                                        <m:nor/>
                                      </m:rPr>
                                      <w:rPr>
                                        <w:i/>
                                        <w:highlight w:val="yellow"/>
                                        <w:lang w:val="fr-FR"/>
                                      </w:rPr>
                                      <m:t>1</m:t>
                                    </m:r>
                                  </m:sup>
                                  <m:e>
                                    <m:sSub>
                                      <m:sSubPr>
                                        <m:ctrlPr>
                                          <w:rPr>
                                            <w:rFonts w:ascii="Cambria Math" w:hAnsi="Cambria Math"/>
                                            <w:i/>
                                            <w:highlight w:val="yellow"/>
                                          </w:rPr>
                                        </m:ctrlPr>
                                      </m:sSubPr>
                                      <m:e>
                                        <m:r>
                                          <m:rPr>
                                            <m:nor/>
                                          </m:rPr>
                                          <w:rPr>
                                            <w:i/>
                                            <w:highlight w:val="yellow"/>
                                            <w:lang w:val="fr-FR"/>
                                          </w:rPr>
                                          <m:t>P</m:t>
                                        </m:r>
                                      </m:e>
                                      <m:sub>
                                        <m:r>
                                          <m:rPr>
                                            <m:nor/>
                                          </m:rPr>
                                          <w:rPr>
                                            <w:i/>
                                            <w:highlight w:val="yellow"/>
                                            <w:lang w:val="fr-FR"/>
                                          </w:rPr>
                                          <m:t>t</m:t>
                                        </m:r>
                                      </m:sub>
                                    </m:sSub>
                                    <m:d>
                                      <m:dPr>
                                        <m:ctrlPr>
                                          <w:rPr>
                                            <w:rFonts w:ascii="Cambria Math" w:hAnsi="Cambria Math"/>
                                            <w:i/>
                                            <w:highlight w:val="yellow"/>
                                          </w:rPr>
                                        </m:ctrlPr>
                                      </m:dPr>
                                      <m:e>
                                        <m:r>
                                          <m:rPr>
                                            <m:nor/>
                                          </m:rPr>
                                          <w:rPr>
                                            <w:i/>
                                            <w:highlight w:val="yellow"/>
                                            <w:lang w:val="fr-FR"/>
                                          </w:rPr>
                                          <m:t>i</m:t>
                                        </m:r>
                                      </m:e>
                                    </m:d>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C</m:t>
                                        </m:r>
                                      </m:e>
                                      <m:sub>
                                        <m:r>
                                          <m:rPr>
                                            <m:nor/>
                                          </m:rPr>
                                          <w:rPr>
                                            <w:i/>
                                            <w:highlight w:val="yellow"/>
                                            <w:lang w:val="fr-FR"/>
                                          </w:rPr>
                                          <m:t>t</m:t>
                                        </m:r>
                                      </m:sub>
                                    </m:sSub>
                                    <m:d>
                                      <m:dPr>
                                        <m:ctrlPr>
                                          <w:rPr>
                                            <w:rFonts w:ascii="Cambria Math" w:hAnsi="Cambria Math"/>
                                            <w:i/>
                                            <w:highlight w:val="yellow"/>
                                          </w:rPr>
                                        </m:ctrlPr>
                                      </m:dPr>
                                      <m:e>
                                        <m:r>
                                          <m:rPr>
                                            <m:nor/>
                                          </m:rPr>
                                          <w:rPr>
                                            <w:i/>
                                            <w:highlight w:val="yellow"/>
                                            <w:lang w:val="fr-FR"/>
                                          </w:rPr>
                                          <m:t>i</m:t>
                                        </m:r>
                                      </m:e>
                                    </m:d>
                                    <m:r>
                                      <m:rPr>
                                        <m:nor/>
                                      </m:rPr>
                                      <w:rPr>
                                        <w:i/>
                                        <w:highlight w:val="yellow"/>
                                        <w:lang w:val="fr-FR"/>
                                      </w:rPr>
                                      <m:t xml:space="preserve"> di</m:t>
                                    </m:r>
                                  </m:e>
                                </m:nary>
                                <m:r>
                                  <w:rPr>
                                    <w:rFonts w:ascii="Cambria Math" w:hAnsi="Cambria Math"/>
                                    <w:highlight w:val="yellow"/>
                                    <w:lang w:val="fr-FR"/>
                                  </w:rPr>
                                  <m:t>+</m:t>
                                </m:r>
                                <m:f>
                                  <m:fPr>
                                    <m:ctrlPr>
                                      <w:rPr>
                                        <w:rFonts w:ascii="Cambria Math" w:hAnsi="Cambria Math"/>
                                        <w:i/>
                                        <w:highlight w:val="yellow"/>
                                      </w:rPr>
                                    </m:ctrlPr>
                                  </m:fPr>
                                  <m:num>
                                    <m:r>
                                      <m:rPr>
                                        <m:nor/>
                                      </m:rPr>
                                      <w:rPr>
                                        <w:i/>
                                        <w:highlight w:val="yellow"/>
                                        <w:lang w:val="fr-FR"/>
                                      </w:rPr>
                                      <m:t>1</m:t>
                                    </m:r>
                                  </m:num>
                                  <m:den>
                                    <m:r>
                                      <m:rPr>
                                        <m:nor/>
                                      </m:rPr>
                                      <w:rPr>
                                        <w:i/>
                                        <w:highlight w:val="yellow"/>
                                        <w:lang w:val="fr-FR"/>
                                      </w:rPr>
                                      <m:t>1</m:t>
                                    </m:r>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i</m:t>
                                        </m:r>
                                      </m:e>
                                      <m:sub>
                                        <m:r>
                                          <m:rPr>
                                            <m:nor/>
                                          </m:rPr>
                                          <w:rPr>
                                            <w:i/>
                                            <w:highlight w:val="yellow"/>
                                            <w:lang w:val="fr-FR"/>
                                          </w:rPr>
                                          <m:t>t</m:t>
                                        </m:r>
                                      </m:sub>
                                    </m:sSub>
                                  </m:den>
                                </m:f>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B</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B</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W</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L</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Z</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T</m:t>
                                    </m:r>
                                  </m:e>
                                  <m:sub>
                                    <m:r>
                                      <m:rPr>
                                        <m:nor/>
                                      </m:rPr>
                                      <w:rPr>
                                        <w:i/>
                                        <w:highlight w:val="yellow"/>
                                        <w:lang w:val="fr-FR"/>
                                      </w:rPr>
                                      <m:t>t</m:t>
                                    </m:r>
                                  </m:sub>
                                </m:sSub>
                                <m:r>
                                  <w:rPr>
                                    <w:rFonts w:ascii="Cambria Math" w:hAnsi="Cambria Math"/>
                                    <w:highlight w:val="yellow"/>
                                    <w:lang w:val="fr-FR"/>
                                  </w:rPr>
                                  <m:t xml:space="preserve">   ⟶   </m:t>
                                </m:r>
                                <m:r>
                                  <m:rPr>
                                    <m:nor/>
                                  </m:rPr>
                                  <w:rPr>
                                    <w:i/>
                                    <w:iCs/>
                                    <w:highlight w:val="yellow"/>
                                    <w:lang w:val="fr-FR"/>
                                  </w:rPr>
                                  <m:t>Restricción Presupuestaria Intertemporal</m:t>
                                </m:r>
                              </m:e>
                            </m:mr>
                            <m:mr>
                              <m:e>
                                <m:r>
                                  <w:rPr>
                                    <w:rFonts w:ascii="Cambria Math" w:hAnsi="Cambria Math"/>
                                    <w:highlight w:val="yellow"/>
                                    <w:lang w:val="fr-FR"/>
                                  </w:rPr>
                                  <m:t xml:space="preserve">    </m:t>
                                </m:r>
                                <m:func>
                                  <m:funcPr>
                                    <m:ctrlPr>
                                      <w:rPr>
                                        <w:rFonts w:ascii="Cambria Math" w:hAnsi="Cambria Math"/>
                                        <w:i/>
                                        <w:highlight w:val="yellow"/>
                                      </w:rPr>
                                    </m:ctrlPr>
                                  </m:funcPr>
                                  <m:fName>
                                    <m:limLow>
                                      <m:limLowPr>
                                        <m:ctrlPr>
                                          <w:rPr>
                                            <w:rFonts w:ascii="Cambria Math" w:hAnsi="Cambria Math"/>
                                            <w:i/>
                                            <w:highlight w:val="yellow"/>
                                          </w:rPr>
                                        </m:ctrlPr>
                                      </m:limLowPr>
                                      <m:e>
                                        <m:r>
                                          <m:rPr>
                                            <m:nor/>
                                          </m:rPr>
                                          <w:rPr>
                                            <w:i/>
                                            <w:highlight w:val="yellow"/>
                                            <w:lang w:val="fr-FR"/>
                                          </w:rPr>
                                          <m:t>lim</m:t>
                                        </m:r>
                                      </m:e>
                                      <m:lim>
                                        <m:r>
                                          <m:rPr>
                                            <m:nor/>
                                          </m:rPr>
                                          <w:rPr>
                                            <w:i/>
                                            <w:highlight w:val="yellow"/>
                                            <w:lang w:val="fr-FR"/>
                                          </w:rPr>
                                          <m:t>T</m:t>
                                        </m:r>
                                        <m:r>
                                          <m:rPr>
                                            <m:nor/>
                                          </m:rPr>
                                          <w:rPr>
                                            <w:rFonts w:ascii="Times New Roman" w:hAnsi="Times New Roman" w:cs="Times New Roman"/>
                                            <w:i/>
                                            <w:highlight w:val="yellow"/>
                                            <w:lang w:val="fr-FR"/>
                                          </w:rPr>
                                          <m:t>→</m:t>
                                        </m:r>
                                        <m:r>
                                          <w:rPr>
                                            <w:rFonts w:ascii="Cambria Math" w:hAnsi="Cambria Math"/>
                                            <w:highlight w:val="yellow"/>
                                            <w:lang w:val="fr-FR"/>
                                          </w:rPr>
                                          <m:t>+</m:t>
                                        </m:r>
                                        <m:r>
                                          <w:rPr>
                                            <w:rFonts w:ascii="Cambria Math" w:hAnsi="Cambria Math" w:cs="Palatino Linotype"/>
                                            <w:highlight w:val="yellow"/>
                                            <w:lang w:val="fr-FR"/>
                                          </w:rPr>
                                          <m:t>∞</m:t>
                                        </m:r>
                                      </m:lim>
                                    </m:limLow>
                                  </m:fName>
                                  <m:e>
                                    <m:sSub>
                                      <m:sSubPr>
                                        <m:ctrlPr>
                                          <w:rPr>
                                            <w:rFonts w:ascii="Cambria Math" w:hAnsi="Cambria Math"/>
                                            <w:i/>
                                            <w:iCs/>
                                            <w:highlight w:val="yellow"/>
                                            <w:lang w:val="fr-FR"/>
                                          </w:rPr>
                                        </m:ctrlPr>
                                      </m:sSubPr>
                                      <m:e>
                                        <m:r>
                                          <m:rPr>
                                            <m:nor/>
                                          </m:rPr>
                                          <w:rPr>
                                            <w:i/>
                                            <w:iCs/>
                                            <w:highlight w:val="yellow"/>
                                            <w:lang w:val="fr-FR"/>
                                          </w:rPr>
                                          <m:t>E</m:t>
                                        </m:r>
                                      </m:e>
                                      <m:sub>
                                        <m:r>
                                          <m:rPr>
                                            <m:nor/>
                                          </m:rPr>
                                          <w:rPr>
                                            <w:i/>
                                            <w:iCs/>
                                            <w:highlight w:val="yellow"/>
                                            <w:lang w:val="fr-FR"/>
                                          </w:rPr>
                                          <m:t>t</m:t>
                                        </m:r>
                                      </m:sub>
                                    </m:sSub>
                                    <m:d>
                                      <m:dPr>
                                        <m:begChr m:val="["/>
                                        <m:endChr m:val="]"/>
                                        <m:ctrlPr>
                                          <w:rPr>
                                            <w:rFonts w:ascii="Cambria Math" w:hAnsi="Cambria Math"/>
                                            <w:i/>
                                            <w:iCs/>
                                            <w:highlight w:val="yellow"/>
                                            <w:lang w:val="fr-FR"/>
                                          </w:rPr>
                                        </m:ctrlPr>
                                      </m:dPr>
                                      <m:e>
                                        <m:sSub>
                                          <m:sSubPr>
                                            <m:ctrlPr>
                                              <w:rPr>
                                                <w:rFonts w:ascii="Cambria Math" w:hAnsi="Cambria Math"/>
                                                <w:i/>
                                                <w:iCs/>
                                                <w:highlight w:val="yellow"/>
                                                <w:lang w:val="fr-FR"/>
                                              </w:rPr>
                                            </m:ctrlPr>
                                          </m:sSubPr>
                                          <m:e>
                                            <m:r>
                                              <m:rPr>
                                                <m:nor/>
                                              </m:rPr>
                                              <w:rPr>
                                                <w:i/>
                                                <w:iCs/>
                                                <w:highlight w:val="yellow"/>
                                                <w:lang w:val="fr-FR"/>
                                              </w:rPr>
                                              <m:t>B</m:t>
                                            </m:r>
                                          </m:e>
                                          <m:sub>
                                            <m:r>
                                              <m:rPr>
                                                <m:nor/>
                                              </m:rPr>
                                              <w:rPr>
                                                <w:i/>
                                                <w:iCs/>
                                                <w:highlight w:val="yellow"/>
                                                <w:lang w:val="fr-FR"/>
                                              </w:rPr>
                                              <m:t>T</m:t>
                                            </m:r>
                                          </m:sub>
                                        </m:sSub>
                                      </m:e>
                                    </m:d>
                                  </m:e>
                                </m:func>
                                <m:r>
                                  <w:rPr>
                                    <w:rFonts w:ascii="Cambria Math" w:hAnsi="Cambria Math"/>
                                    <w:highlight w:val="yellow"/>
                                    <w:lang w:val="fr-FR"/>
                                  </w:rPr>
                                  <m:t>=</m:t>
                                </m:r>
                                <m:r>
                                  <m:rPr>
                                    <m:nor/>
                                  </m:rPr>
                                  <w:rPr>
                                    <w:i/>
                                    <w:iCs/>
                                    <w:highlight w:val="yellow"/>
                                    <w:lang w:val="fr-FR"/>
                                  </w:rPr>
                                  <m:t>0</m:t>
                                </m:r>
                                <m:r>
                                  <m:rPr>
                                    <m:nor/>
                                  </m:rPr>
                                  <w:rPr>
                                    <w:highlight w:val="yellow"/>
                                    <w:lang w:val="fr-FR"/>
                                  </w:rPr>
                                  <m:t xml:space="preserve"> </m:t>
                                </m:r>
                                <m:r>
                                  <m:rPr>
                                    <m:nor/>
                                  </m:rPr>
                                  <w:rPr>
                                    <w:i/>
                                    <w:iCs/>
                                    <w:highlight w:val="yellow"/>
                                    <w:lang w:val="fr-FR"/>
                                  </w:rPr>
                                  <m:t xml:space="preserve">; </m:t>
                                </m:r>
                                <m:r>
                                  <w:rPr>
                                    <w:rFonts w:ascii="Cambria Math" w:hAnsi="Cambria Math" w:cs="Cambria Math"/>
                                    <w:highlight w:val="yellow"/>
                                    <w:lang w:val="fr-FR"/>
                                  </w:rPr>
                                  <m:t>∀</m:t>
                                </m:r>
                                <m:r>
                                  <m:rPr>
                                    <m:nor/>
                                  </m:rPr>
                                  <w:rPr>
                                    <w:i/>
                                    <w:iCs/>
                                    <w:highlight w:val="yellow"/>
                                    <w:lang w:val="fr-FR"/>
                                  </w:rPr>
                                  <m:t>t</m:t>
                                </m:r>
                                <m:r>
                                  <w:rPr>
                                    <w:rFonts w:ascii="Cambria Math" w:hAnsi="Cambria Math"/>
                                    <w:highlight w:val="yellow"/>
                                    <w:lang w:val="fr-FR"/>
                                  </w:rPr>
                                  <m:t xml:space="preserve">                                              ⟶   </m:t>
                                </m:r>
                                <m:r>
                                  <m:rPr>
                                    <m:nor/>
                                  </m:rPr>
                                  <w:rPr>
                                    <w:i/>
                                    <w:iCs/>
                                    <w:highlight w:val="yellow"/>
                                    <w:lang w:val="fr-FR"/>
                                  </w:rPr>
                                  <m:t>Condición de Transversalidad</m:t>
                                </m:r>
                              </m:e>
                            </m:mr>
                          </m:m>
                        </m:e>
                      </m:d>
                    </m:e>
                  </m:mr>
                </m:m>
              </m:e>
            </m:mr>
          </m:m>
        </m:oMath>
      </m:oMathPara>
    </w:p>
    <w:p w14:paraId="205C0755" w14:textId="77777777" w:rsidR="00830096" w:rsidRPr="00CF096E" w:rsidRDefault="00830096" w:rsidP="00830096">
      <w:pPr>
        <w:pStyle w:val="Nivel2SM"/>
        <w:keepNext/>
        <w:spacing w:after="0"/>
        <w:rPr>
          <w:highlight w:val="yellow"/>
        </w:rPr>
      </w:pPr>
      <w:r w:rsidRPr="00CF096E">
        <w:rPr>
          <w:highlight w:val="yellow"/>
        </w:rPr>
        <w:t>Resolviendo este programa de optimización el equilibrio queda caracterizado por las condiciones habituales:</w:t>
      </w:r>
    </w:p>
    <w:p w14:paraId="05920AF2" w14:textId="77777777" w:rsidR="00830096" w:rsidRPr="00CF096E" w:rsidRDefault="00830096" w:rsidP="00830096">
      <w:pPr>
        <w:pStyle w:val="Nivel3SM"/>
        <w:keepNext/>
        <w:rPr>
          <w:highlight w:val="yellow"/>
        </w:rPr>
      </w:pPr>
      <w:r w:rsidRPr="00CF096E">
        <w:rPr>
          <w:b/>
          <w:bCs/>
          <w:highlight w:val="yellow"/>
        </w:rPr>
        <w:t xml:space="preserve">Condición de sustitución </w:t>
      </w:r>
      <w:proofErr w:type="spellStart"/>
      <w:r w:rsidRPr="00CF096E">
        <w:rPr>
          <w:b/>
          <w:bCs/>
          <w:highlight w:val="yellow"/>
        </w:rPr>
        <w:t>intertemporal</w:t>
      </w:r>
      <w:proofErr w:type="spellEnd"/>
      <w:r w:rsidRPr="00CF096E">
        <w:rPr>
          <w:b/>
          <w:bCs/>
          <w:highlight w:val="yellow"/>
        </w:rPr>
        <w:t xml:space="preserve"> del consumo</w:t>
      </w:r>
      <w:r w:rsidRPr="00CF096E">
        <w:rPr>
          <w:highlight w:val="yellow"/>
        </w:rPr>
        <w:t xml:space="preserve"> (</w:t>
      </w:r>
      <w:r w:rsidRPr="00CF096E">
        <w:rPr>
          <w:i/>
          <w:iCs/>
          <w:highlight w:val="yellow"/>
        </w:rPr>
        <w:t>ecuación de Euler</w:t>
      </w:r>
      <w:r w:rsidRPr="00CF096E">
        <w:rPr>
          <w:highlight w:val="yellow"/>
        </w:rPr>
        <w:t>):</w:t>
      </w:r>
    </w:p>
    <w:p w14:paraId="4EBA88D5" w14:textId="77777777" w:rsidR="00830096" w:rsidRPr="00CF096E" w:rsidRDefault="00830096" w:rsidP="00830096">
      <w:pPr>
        <w:pStyle w:val="Nivel4"/>
        <w:ind w:left="1474"/>
        <w:rPr>
          <w:highlight w:val="yellow"/>
        </w:rPr>
      </w:pPr>
      <w:r w:rsidRPr="00CF096E">
        <w:rPr>
          <w:highlight w:val="yellow"/>
        </w:rPr>
        <w:t>Igualdad entre la RMS de consumo entre períodos y el precio relativo de consumo entre períodos (uno más la tasa de inflación).</w:t>
      </w:r>
    </w:p>
    <w:p w14:paraId="65201F94" w14:textId="77777777" w:rsidR="00830096" w:rsidRPr="00CF096E" w:rsidRDefault="00830096" w:rsidP="00830096">
      <w:pPr>
        <w:pStyle w:val="Nivel3SM"/>
        <w:keepNext/>
        <w:rPr>
          <w:highlight w:val="yellow"/>
        </w:rPr>
      </w:pPr>
      <w:r w:rsidRPr="00CF096E">
        <w:rPr>
          <w:b/>
          <w:bCs/>
          <w:highlight w:val="yellow"/>
        </w:rPr>
        <w:t xml:space="preserve">Condición de sustitución </w:t>
      </w:r>
      <w:proofErr w:type="spellStart"/>
      <w:r w:rsidRPr="00CF096E">
        <w:rPr>
          <w:b/>
          <w:bCs/>
          <w:highlight w:val="yellow"/>
        </w:rPr>
        <w:t>intertemporal</w:t>
      </w:r>
      <w:proofErr w:type="spellEnd"/>
      <w:r w:rsidRPr="00CF096E">
        <w:rPr>
          <w:b/>
          <w:bCs/>
          <w:highlight w:val="yellow"/>
        </w:rPr>
        <w:t xml:space="preserve"> del ocio</w:t>
      </w:r>
      <w:r w:rsidRPr="00CF096E">
        <w:rPr>
          <w:highlight w:val="yellow"/>
        </w:rPr>
        <w:t>:</w:t>
      </w:r>
    </w:p>
    <w:p w14:paraId="1C68668E" w14:textId="77777777" w:rsidR="00830096" w:rsidRPr="00CF096E" w:rsidRDefault="00830096" w:rsidP="00830096">
      <w:pPr>
        <w:pStyle w:val="Nivel4"/>
        <w:ind w:left="1474"/>
        <w:rPr>
          <w:highlight w:val="yellow"/>
        </w:rPr>
      </w:pPr>
      <w:r w:rsidRPr="00CF096E">
        <w:rPr>
          <w:highlight w:val="yellow"/>
        </w:rPr>
        <w:t>Igualdad entre la RMS de ocio entre períodos y el salario nominal relativo entre períodos (uno más inflación salarial).</w:t>
      </w:r>
    </w:p>
    <w:p w14:paraId="6C331DBD" w14:textId="77777777" w:rsidR="00830096" w:rsidRPr="00CF096E" w:rsidRDefault="00830096" w:rsidP="00830096">
      <w:pPr>
        <w:pStyle w:val="Nivel3SM"/>
        <w:keepNext/>
        <w:rPr>
          <w:highlight w:val="yellow"/>
        </w:rPr>
      </w:pPr>
      <w:r w:rsidRPr="00CF096E">
        <w:rPr>
          <w:b/>
          <w:bCs/>
          <w:highlight w:val="yellow"/>
        </w:rPr>
        <w:t xml:space="preserve">Condición de sustitución </w:t>
      </w:r>
      <w:proofErr w:type="spellStart"/>
      <w:r w:rsidRPr="00CF096E">
        <w:rPr>
          <w:b/>
          <w:bCs/>
          <w:highlight w:val="yellow"/>
        </w:rPr>
        <w:t>intratemporal</w:t>
      </w:r>
      <w:proofErr w:type="spellEnd"/>
      <w:r w:rsidRPr="00CF096E">
        <w:rPr>
          <w:b/>
          <w:bCs/>
          <w:highlight w:val="yellow"/>
        </w:rPr>
        <w:t xml:space="preserve"> de consumo-ocio</w:t>
      </w:r>
      <w:r w:rsidRPr="00CF096E">
        <w:rPr>
          <w:highlight w:val="yellow"/>
        </w:rPr>
        <w:t>:</w:t>
      </w:r>
    </w:p>
    <w:p w14:paraId="0008D8CB" w14:textId="77777777" w:rsidR="00830096" w:rsidRPr="00CF096E" w:rsidRDefault="00830096" w:rsidP="00830096">
      <w:pPr>
        <w:pStyle w:val="Nivel4"/>
        <w:spacing w:after="100"/>
        <w:ind w:left="1474"/>
        <w:rPr>
          <w:highlight w:val="yellow"/>
        </w:rPr>
      </w:pPr>
      <w:r w:rsidRPr="00CF096E">
        <w:rPr>
          <w:highlight w:val="yellow"/>
        </w:rPr>
        <w:t>Igualdad entre la RMS consumo-ocio y el salario real.</w:t>
      </w:r>
    </w:p>
    <w:p w14:paraId="6E71A468" w14:textId="77777777" w:rsidR="00830096" w:rsidRPr="00CF096E" w:rsidRDefault="00830096" w:rsidP="00830096">
      <w:pPr>
        <w:pStyle w:val="Nivel1SM"/>
        <w:keepNext/>
        <w:spacing w:after="0"/>
        <w:rPr>
          <w:highlight w:val="yellow"/>
        </w:rPr>
      </w:pPr>
      <w:r w:rsidRPr="00CF096E">
        <w:rPr>
          <w:highlight w:val="yellow"/>
        </w:rPr>
        <w:lastRenderedPageBreak/>
        <w:t>Aproximando (log-</w:t>
      </w:r>
      <w:proofErr w:type="spellStart"/>
      <w:r w:rsidRPr="00CF096E">
        <w:rPr>
          <w:highlight w:val="yellow"/>
        </w:rPr>
        <w:t>linearizando</w:t>
      </w:r>
      <w:proofErr w:type="spellEnd"/>
      <w:r w:rsidRPr="00CF096E">
        <w:rPr>
          <w:highlight w:val="yellow"/>
        </w:rPr>
        <w:t xml:space="preserve">) la ecuación de Euler entorno al estado estacionario se obtiene la </w:t>
      </w:r>
      <w:r w:rsidRPr="00CF096E">
        <w:rPr>
          <w:i/>
          <w:iCs/>
          <w:highlight w:val="yellow"/>
          <w:u w:val="single"/>
          <w14:glow w14:rad="38100">
            <w14:srgbClr w14:val="00B050">
              <w14:alpha w14:val="75000"/>
            </w14:srgbClr>
          </w14:glow>
        </w:rPr>
        <w:t>curva IS dinámica o ampliada con expectativas</w:t>
      </w:r>
      <w:bookmarkStart w:id="82" w:name="_Ref144802665"/>
      <w:r>
        <w:rPr>
          <w:rStyle w:val="Refdenotaalpie"/>
          <w:spacing w:val="-2"/>
        </w:rPr>
        <w:footnoteReference w:id="29"/>
      </w:r>
      <w:bookmarkEnd w:id="82"/>
      <w:r w:rsidRPr="00CF096E">
        <w:rPr>
          <w:highlight w:val="yellow"/>
        </w:rPr>
        <w:t>:</w:t>
      </w:r>
    </w:p>
    <w:p w14:paraId="18BD209F" w14:textId="77777777" w:rsidR="00830096" w:rsidRPr="00701D78" w:rsidRDefault="00000000" w:rsidP="00830096">
      <w:pPr>
        <w:keepNext/>
        <w:spacing w:after="0"/>
        <w:rPr>
          <w:rFonts w:eastAsiaTheme="minorEastAsia"/>
          <w:highlight w:val="yellow"/>
        </w:rPr>
      </w:pPr>
      <m:oMathPara>
        <m:oMath>
          <m:borderBox>
            <m:borderBoxPr>
              <m:ctrlPr>
                <w:rPr>
                  <w:rFonts w:ascii="Cambria Math" w:hAnsi="Cambria Math"/>
                  <w:i/>
                  <w:highlight w:val="yellow"/>
                </w:rPr>
              </m:ctrlPr>
            </m:borderBoxPr>
            <m:e>
              <m:sSub>
                <m:sSubPr>
                  <m:ctrlPr>
                    <w:rPr>
                      <w:rFonts w:ascii="Cambria Math" w:hAnsi="Cambria Math"/>
                      <w:i/>
                      <w:highlight w:val="yellow"/>
                    </w:rPr>
                  </m:ctrlPr>
                </m:sSubPr>
                <m:e>
                  <m:r>
                    <m:rPr>
                      <m:nor/>
                    </m:rPr>
                    <w:rPr>
                      <w:i/>
                      <w:highlight w:val="yellow"/>
                    </w:rPr>
                    <m:t>y</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g</m:t>
                  </m:r>
                </m:e>
                <m:sub>
                  <m:r>
                    <m:rPr>
                      <m:nor/>
                    </m:rPr>
                    <w:rPr>
                      <w:i/>
                      <w:highlight w:val="yellow"/>
                    </w:rPr>
                    <m:t>t</m:t>
                  </m:r>
                </m:sub>
              </m:sSub>
              <m:r>
                <w:rPr>
                  <w:rFonts w:ascii="Cambria Math" w:hAnsi="Cambria Math"/>
                  <w:highlight w:val="yellow"/>
                </w:rPr>
                <m:t>-</m:t>
              </m:r>
              <m:f>
                <m:fPr>
                  <m:ctrlPr>
                    <w:rPr>
                      <w:rFonts w:ascii="Cambria Math" w:hAnsi="Cambria Math"/>
                      <w:i/>
                      <w:highlight w:val="yellow"/>
                    </w:rPr>
                  </m:ctrlPr>
                </m:fPr>
                <m:num>
                  <m:r>
                    <m:rPr>
                      <m:nor/>
                    </m:rPr>
                    <w:rPr>
                      <w:i/>
                      <w:iCs/>
                      <w:highlight w:val="yellow"/>
                    </w:rPr>
                    <m:t>1</m:t>
                  </m:r>
                </m:num>
                <m:den>
                  <m:r>
                    <m:rPr>
                      <m:nor/>
                    </m:rPr>
                    <w:rPr>
                      <w:rFonts w:eastAsiaTheme="minorEastAsia"/>
                      <w:i/>
                      <w:iCs/>
                    </w:rPr>
                    <m:t>θ</m:t>
                  </m:r>
                </m:den>
              </m:f>
              <m:r>
                <w:rPr>
                  <w:rFonts w:ascii="Cambria Math" w:hAnsi="Cambria Math"/>
                  <w:highlight w:val="yellow"/>
                </w:rPr>
                <m:t>∙</m:t>
              </m:r>
              <m:d>
                <m:dPr>
                  <m:ctrlPr>
                    <w:rPr>
                      <w:rFonts w:ascii="Cambria Math" w:hAnsi="Cambria Math"/>
                      <w:i/>
                      <w:highlight w:val="yellow"/>
                    </w:rPr>
                  </m:ctrlPr>
                </m:dPr>
                <m:e>
                  <m:limUpp>
                    <m:limUppPr>
                      <m:ctrlPr>
                        <w:rPr>
                          <w:rFonts w:ascii="Cambria Math" w:hAnsi="Cambria Math"/>
                          <w:i/>
                          <w:highlight w:val="yellow"/>
                        </w:rPr>
                      </m:ctrlPr>
                    </m:limUppPr>
                    <m:e>
                      <m:groupChr>
                        <m:groupChrPr>
                          <m:chr m:val="⏞"/>
                          <m:pos m:val="top"/>
                          <m:vertJc m:val="bot"/>
                          <m:ctrlPr>
                            <w:rPr>
                              <w:rFonts w:ascii="Cambria Math" w:hAnsi="Cambria Math"/>
                              <w:i/>
                              <w:highlight w:val="yellow"/>
                            </w:rPr>
                          </m:ctrlPr>
                        </m:groupChrPr>
                        <m:e>
                          <m:sSub>
                            <m:sSubPr>
                              <m:ctrlPr>
                                <w:rPr>
                                  <w:rFonts w:ascii="Cambria Math" w:hAnsi="Cambria Math"/>
                                  <w:i/>
                                  <w:highlight w:val="yellow"/>
                                </w:rPr>
                              </m:ctrlPr>
                            </m:sSubPr>
                            <m:e>
                              <m:r>
                                <m:rPr>
                                  <m:nor/>
                                </m:rPr>
                                <w:rPr>
                                  <w:i/>
                                  <w:highlight w:val="yellow"/>
                                </w:rPr>
                                <m:t>i</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E</m:t>
                              </m:r>
                            </m:e>
                            <m:sub>
                              <m:r>
                                <m:rPr>
                                  <m:nor/>
                                </m:rPr>
                                <w:rPr>
                                  <w:i/>
                                  <w:highlight w:val="yellow"/>
                                </w:rPr>
                                <m:t>t</m:t>
                              </m:r>
                            </m:sub>
                          </m:sSub>
                          <m:d>
                            <m:dPr>
                              <m:begChr m:val="["/>
                              <m:endChr m:val="]"/>
                              <m:ctrlPr>
                                <w:rPr>
                                  <w:rFonts w:ascii="Cambria Math" w:hAnsi="Cambria Math"/>
                                  <w:i/>
                                  <w:iCs/>
                                  <w:highlight w:val="yellow"/>
                                </w:rPr>
                              </m:ctrlPr>
                            </m:dPr>
                            <m:e>
                              <m:sSub>
                                <m:sSubPr>
                                  <m:ctrlPr>
                                    <w:rPr>
                                      <w:rFonts w:ascii="Cambria Math" w:hAnsi="Cambria Math"/>
                                      <w:i/>
                                      <w:highlight w:val="yellow"/>
                                    </w:rPr>
                                  </m:ctrlPr>
                                </m:sSubPr>
                                <m:e>
                                  <m:r>
                                    <m:rPr>
                                      <m:nor/>
                                    </m:rPr>
                                    <w:rPr>
                                      <w:i/>
                                      <w:highlight w:val="yellow"/>
                                    </w:rPr>
                                    <m:t>π</m:t>
                                  </m:r>
                                </m:e>
                                <m:sub>
                                  <m:r>
                                    <m:rPr>
                                      <m:nor/>
                                    </m:rPr>
                                    <w:rPr>
                                      <w:i/>
                                      <w:highlight w:val="yellow"/>
                                    </w:rPr>
                                    <m:t>t+1</m:t>
                                  </m:r>
                                </m:sub>
                              </m:sSub>
                            </m:e>
                          </m:d>
                        </m:e>
                      </m:groupChr>
                    </m:e>
                    <m:lim>
                      <m:eqArr>
                        <m:eqArrPr>
                          <m:ctrlPr>
                            <w:rPr>
                              <w:rFonts w:ascii="Cambria Math" w:hAnsi="Cambria Math"/>
                              <w:i/>
                              <w:highlight w:val="yellow"/>
                            </w:rPr>
                          </m:ctrlPr>
                        </m:eqArrPr>
                        <m:e>
                          <m:sSub>
                            <m:sSubPr>
                              <m:ctrlPr>
                                <w:rPr>
                                  <w:rFonts w:ascii="Cambria Math" w:hAnsi="Cambria Math"/>
                                  <w:i/>
                                  <w:highlight w:val="yellow"/>
                                </w:rPr>
                              </m:ctrlPr>
                            </m:sSubPr>
                            <m:e>
                              <m:r>
                                <m:rPr>
                                  <m:nor/>
                                </m:rPr>
                                <w:rPr>
                                  <w:i/>
                                  <w:highlight w:val="yellow"/>
                                </w:rPr>
                                <m:t>r</m:t>
                              </m:r>
                            </m:e>
                            <m:sub>
                              <m:r>
                                <m:rPr>
                                  <m:nor/>
                                </m:rPr>
                                <w:rPr>
                                  <w:i/>
                                  <w:highlight w:val="yellow"/>
                                </w:rPr>
                                <m:t>t</m:t>
                              </m:r>
                            </m:sub>
                          </m:sSub>
                          <m:d>
                            <m:dPr>
                              <m:ctrlPr>
                                <w:rPr>
                                  <w:rFonts w:ascii="Cambria Math" w:hAnsi="Cambria Math"/>
                                  <w:i/>
                                  <w:highlight w:val="yellow"/>
                                  <w:lang w:val="fr-FR"/>
                                </w:rPr>
                              </m:ctrlPr>
                            </m:dPr>
                            <m:e>
                              <m:r>
                                <m:rPr>
                                  <m:nor/>
                                </m:rPr>
                                <w:rPr>
                                  <w:i/>
                                  <w:highlight w:val="yellow"/>
                                </w:rPr>
                                <m:t>tipo</m:t>
                              </m:r>
                              <m:r>
                                <m:rPr>
                                  <m:nor/>
                                </m:rPr>
                                <w:rPr>
                                  <w:rFonts w:ascii="Cambria Math"/>
                                  <w:i/>
                                  <w:highlight w:val="yellow"/>
                                </w:rPr>
                                <m:t xml:space="preserve"> </m:t>
                              </m:r>
                              <m:r>
                                <m:rPr>
                                  <m:nor/>
                                </m:rPr>
                                <w:rPr>
                                  <w:i/>
                                  <w:highlight w:val="yellow"/>
                                </w:rPr>
                                <m:t>de</m:t>
                              </m:r>
                              <m:r>
                                <m:rPr>
                                  <m:nor/>
                                </m:rPr>
                                <w:rPr>
                                  <w:rFonts w:ascii="Cambria Math"/>
                                  <w:i/>
                                  <w:highlight w:val="yellow"/>
                                </w:rPr>
                                <m:t xml:space="preserve"> </m:t>
                              </m:r>
                              <m:r>
                                <m:rPr>
                                  <m:nor/>
                                </m:rPr>
                                <w:rPr>
                                  <w:i/>
                                  <w:highlight w:val="yellow"/>
                                </w:rPr>
                                <m:t>interés</m:t>
                              </m:r>
                              <m:r>
                                <m:rPr>
                                  <m:nor/>
                                </m:rPr>
                                <w:rPr>
                                  <w:rFonts w:ascii="Cambria Math"/>
                                  <w:i/>
                                  <w:highlight w:val="yellow"/>
                                </w:rPr>
                                <m:t xml:space="preserve"> </m:t>
                              </m:r>
                              <m:r>
                                <m:rPr>
                                  <m:nor/>
                                </m:rPr>
                                <w:rPr>
                                  <w:i/>
                                  <w:highlight w:val="yellow"/>
                                </w:rPr>
                                <m:t>real</m:t>
                              </m:r>
                            </m:e>
                          </m:d>
                          <m:ctrlPr>
                            <w:rPr>
                              <w:rFonts w:ascii="Cambria Math" w:hAnsi="Cambria Math"/>
                              <w:i/>
                              <w:highlight w:val="yellow"/>
                              <w:lang w:val="fr-FR"/>
                            </w:rPr>
                          </m:ctrlPr>
                        </m:e>
                        <m:e>
                          <m:r>
                            <m:rPr>
                              <m:nor/>
                            </m:rPr>
                            <w:rPr>
                              <w:i/>
                              <w:highlight w:val="yellow"/>
                            </w:rPr>
                            <m:t>ecuación de Fisher</m:t>
                          </m:r>
                          <m:ctrlPr>
                            <w:rPr>
                              <w:rFonts w:ascii="Cambria Math" w:hAnsi="Cambria Math"/>
                              <w:i/>
                              <w:highlight w:val="yellow"/>
                              <w:lang w:val="fr-FR"/>
                            </w:rPr>
                          </m:ctrlPr>
                        </m:e>
                      </m:eqArr>
                    </m:lim>
                  </m:limUpp>
                  <m:r>
                    <w:rPr>
                      <w:rFonts w:ascii="Cambria Math" w:hAnsi="Cambria Math"/>
                      <w:highlight w:val="yellow"/>
                    </w:rPr>
                    <m:t>-</m:t>
                  </m:r>
                  <m:limLow>
                    <m:limLowPr>
                      <m:ctrlPr>
                        <w:rPr>
                          <w:rFonts w:ascii="Cambria Math" w:hAnsi="Cambria Math"/>
                          <w:i/>
                          <w:highlight w:val="yellow"/>
                        </w:rPr>
                      </m:ctrlPr>
                    </m:limLowPr>
                    <m:e>
                      <m:groupChr>
                        <m:groupChrPr>
                          <m:ctrlPr>
                            <w:rPr>
                              <w:rFonts w:ascii="Cambria Math" w:hAnsi="Cambria Math"/>
                              <w:i/>
                              <w:highlight w:val="yellow"/>
                            </w:rPr>
                          </m:ctrlPr>
                        </m:groupChrPr>
                        <m:e>
                          <m:r>
                            <m:rPr>
                              <m:nor/>
                            </m:rPr>
                            <w:rPr>
                              <w:i/>
                              <w:iCs/>
                              <w:highlight w:val="yellow"/>
                            </w:rPr>
                            <m:t>ρ</m:t>
                          </m:r>
                        </m:e>
                      </m:groupChr>
                    </m:e>
                    <m:lim>
                      <m:r>
                        <m:rPr>
                          <m:nor/>
                        </m:rPr>
                        <w:rPr>
                          <w:i/>
                          <w:spacing w:val="-2"/>
                          <w:highlight w:val="yellow"/>
                        </w:rPr>
                        <m:t>tasa de</m:t>
                      </m:r>
                      <m:r>
                        <m:rPr>
                          <m:nor/>
                        </m:rPr>
                        <w:rPr>
                          <w:rFonts w:ascii="Cambria Math"/>
                          <w:i/>
                          <w:spacing w:val="-2"/>
                          <w:highlight w:val="yellow"/>
                        </w:rPr>
                        <m:t xml:space="preserve"> </m:t>
                      </m:r>
                      <m:r>
                        <m:rPr>
                          <m:nor/>
                        </m:rPr>
                        <w:rPr>
                          <w:i/>
                          <w:spacing w:val="-2"/>
                          <w:highlight w:val="yellow"/>
                        </w:rPr>
                        <m:t>descuento</m:t>
                      </m:r>
                    </m:lim>
                  </m:limLow>
                </m:e>
              </m:d>
              <m:r>
                <w:rPr>
                  <w:rFonts w:ascii="Cambria Math" w:hAnsi="Cambria Math"/>
                  <w:highlight w:val="yellow"/>
                </w:rPr>
                <m:t>+</m:t>
              </m:r>
              <m:limLow>
                <m:limLowPr>
                  <m:ctrlPr>
                    <w:rPr>
                      <w:rFonts w:ascii="Cambria Math" w:hAnsi="Cambria Math"/>
                      <w:i/>
                      <w:sz w:val="16"/>
                      <w:szCs w:val="20"/>
                    </w:rPr>
                  </m:ctrlPr>
                </m:limLowPr>
                <m:e>
                  <m:groupChr>
                    <m:groupChrPr>
                      <m:ctrlPr>
                        <w:rPr>
                          <w:rFonts w:ascii="Cambria Math" w:hAnsi="Cambria Math"/>
                          <w:i/>
                          <w:sz w:val="16"/>
                          <w:szCs w:val="20"/>
                        </w:rPr>
                      </m:ctrlPr>
                    </m:groupChrPr>
                    <m:e>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t+1</m:t>
                              </m:r>
                            </m:sub>
                          </m:sSub>
                        </m:e>
                      </m:d>
                    </m:e>
                  </m:groupChr>
                </m:e>
                <m:lim>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y</m:t>
                          </m:r>
                        </m:e>
                        <m:sub>
                          <m:r>
                            <m:rPr>
                              <m:nor/>
                            </m:rPr>
                            <w:rPr>
                              <w:i/>
                              <w:iCs/>
                            </w:rPr>
                            <m:t>t+1</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t+1</m:t>
                          </m:r>
                        </m:sub>
                      </m:sSub>
                    </m:e>
                  </m:d>
                </m:lim>
              </m:limLow>
              <m:r>
                <w:rPr>
                  <w:rFonts w:ascii="Cambria Math" w:eastAsiaTheme="minorEastAsia" w:hAnsi="Cambria Math"/>
                  <w:highlight w:val="yellow"/>
                </w:rPr>
                <m:t>+</m:t>
              </m:r>
              <m:sSub>
                <m:sSubPr>
                  <m:ctrlPr>
                    <w:rPr>
                      <w:rFonts w:ascii="Cambria Math" w:eastAsiaTheme="minorEastAsia" w:hAnsi="Cambria Math"/>
                      <w:i/>
                      <w:iCs/>
                      <w:highlight w:val="yellow"/>
                    </w:rPr>
                  </m:ctrlPr>
                </m:sSubPr>
                <m:e>
                  <m:r>
                    <m:rPr>
                      <m:nor/>
                    </m:rPr>
                    <w:rPr>
                      <w:rFonts w:eastAsiaTheme="minorEastAsia"/>
                      <w:i/>
                      <w:iCs/>
                      <w:highlight w:val="yellow"/>
                    </w:rPr>
                    <m:t>u</m:t>
                  </m:r>
                </m:e>
                <m:sub>
                  <m:r>
                    <m:rPr>
                      <m:nor/>
                    </m:rPr>
                    <w:rPr>
                      <w:rFonts w:eastAsiaTheme="minorEastAsia"/>
                      <w:i/>
                      <w:iCs/>
                      <w:highlight w:val="yellow"/>
                    </w:rPr>
                    <m:t>t</m:t>
                  </m:r>
                </m:sub>
              </m:sSub>
            </m:e>
          </m:borderBox>
        </m:oMath>
      </m:oMathPara>
    </w:p>
    <w:p w14:paraId="2A99382C" w14:textId="77777777" w:rsidR="00830096" w:rsidRPr="00CF096E" w:rsidRDefault="00830096" w:rsidP="00830096">
      <w:pPr>
        <w:pStyle w:val="Nivel2SM"/>
        <w:keepNext/>
        <w:spacing w:after="0"/>
        <w:rPr>
          <w:highlight w:val="yellow"/>
        </w:rPr>
      </w:pPr>
      <w:r w:rsidRPr="00CF096E">
        <w:rPr>
          <w:highlight w:val="yellow"/>
        </w:rPr>
        <w:t>Esta ecuación representa el equilibrio en el mercado de bienes en función de:</w:t>
      </w:r>
    </w:p>
    <w:p w14:paraId="530CC39A" w14:textId="77777777" w:rsidR="00830096" w:rsidRPr="00CE7CC6" w:rsidRDefault="00830096" w:rsidP="00830096">
      <w:pPr>
        <w:pStyle w:val="Nivel3SM"/>
        <w:rPr>
          <w:highlight w:val="yellow"/>
        </w:rPr>
      </w:pPr>
      <w:r>
        <w:rPr>
          <w:i/>
          <w:iCs/>
          <w:highlight w:val="yellow"/>
        </w:rPr>
        <w:t xml:space="preserve">Tipo de </w:t>
      </w:r>
      <w:r w:rsidRPr="00CE7CC6">
        <w:rPr>
          <w:i/>
          <w:iCs/>
          <w:highlight w:val="yellow"/>
        </w:rPr>
        <w:t xml:space="preserve">descuento </w:t>
      </w:r>
      <w:proofErr w:type="spellStart"/>
      <w:r w:rsidRPr="00CE7CC6">
        <w:rPr>
          <w:i/>
          <w:iCs/>
          <w:highlight w:val="yellow"/>
        </w:rPr>
        <w:t>intertemporal</w:t>
      </w:r>
      <w:proofErr w:type="spellEnd"/>
      <w:r w:rsidRPr="00CE7CC6">
        <w:rPr>
          <w:highlight w:val="yellow"/>
        </w:rPr>
        <w:t xml:space="preserve"> (</w:t>
      </w:r>
      <m:oMath>
        <m:r>
          <m:rPr>
            <m:nor/>
          </m:rPr>
          <w:rPr>
            <w:i/>
            <w:iCs/>
            <w:spacing w:val="-2"/>
            <w:highlight w:val="yellow"/>
          </w:rPr>
          <m:t>ρ</m:t>
        </m:r>
      </m:oMath>
      <w:r w:rsidRPr="00CE7CC6">
        <w:rPr>
          <w:highlight w:val="yellow"/>
        </w:rPr>
        <w:t>): Cuando los agentes se vuelven más impacientes tienden a ahorrar menos, aumentando el coste de la financiación.</w:t>
      </w:r>
    </w:p>
    <w:p w14:paraId="2BB8E00F" w14:textId="77777777" w:rsidR="00830096" w:rsidRPr="00CF096E" w:rsidRDefault="00830096" w:rsidP="00830096">
      <w:pPr>
        <w:pStyle w:val="Nivel4"/>
        <w:ind w:left="1474"/>
        <w:rPr>
          <w:spacing w:val="-2"/>
          <w:highlight w:val="yellow"/>
        </w:rPr>
      </w:pPr>
      <w:r w:rsidRPr="00CF096E">
        <w:rPr>
          <w:spacing w:val="-2"/>
          <w:highlight w:val="yellow"/>
        </w:rPr>
        <w:t xml:space="preserve">El tipo de interés natural depende positivamente del tipo de descuento </w:t>
      </w:r>
      <w:proofErr w:type="spellStart"/>
      <w:r w:rsidRPr="00CF096E">
        <w:rPr>
          <w:spacing w:val="-2"/>
          <w:highlight w:val="yellow"/>
        </w:rPr>
        <w:t>intertemporal</w:t>
      </w:r>
      <w:proofErr w:type="spellEnd"/>
      <w:r w:rsidRPr="00CF096E">
        <w:rPr>
          <w:spacing w:val="-2"/>
          <w:highlight w:val="yellow"/>
        </w:rPr>
        <w:t xml:space="preserve">, </w:t>
      </w:r>
      <m:oMath>
        <m:r>
          <m:rPr>
            <m:nor/>
          </m:rPr>
          <w:rPr>
            <w:i/>
            <w:iCs/>
            <w:spacing w:val="-2"/>
            <w:highlight w:val="yellow"/>
          </w:rPr>
          <m:t>ρ</m:t>
        </m:r>
      </m:oMath>
      <w:r w:rsidRPr="00CF096E">
        <w:rPr>
          <w:spacing w:val="-2"/>
          <w:highlight w:val="yellow"/>
        </w:rPr>
        <w:t>, pues cuando los agentes se vuelven más impacientes tienden a ahorrar menos, aumentando el coste de la financiación.</w:t>
      </w:r>
    </w:p>
    <w:p w14:paraId="6E78759D" w14:textId="77777777" w:rsidR="00830096" w:rsidRPr="00CF096E" w:rsidRDefault="00830096" w:rsidP="00830096">
      <w:pPr>
        <w:pStyle w:val="Nivel4"/>
        <w:ind w:left="1474"/>
        <w:rPr>
          <w:highlight w:val="yellow"/>
        </w:rPr>
      </w:pPr>
      <w:r w:rsidRPr="00CF096E">
        <w:rPr>
          <w:highlight w:val="yellow"/>
        </w:rPr>
        <w:t>Además, depende negativamente de los shocks tecnológicos ya que un aumento en el output potencial aumenta tanto el consumo como el ahorro, empujando hacia abajo el tipo de interés natural.</w:t>
      </w:r>
    </w:p>
    <w:p w14:paraId="1E4503E5" w14:textId="77777777" w:rsidR="00830096" w:rsidRPr="00CF096E" w:rsidRDefault="00830096" w:rsidP="00830096">
      <w:pPr>
        <w:pStyle w:val="Nivel3SM"/>
        <w:keepNext/>
        <w:rPr>
          <w:highlight w:val="yellow"/>
        </w:rPr>
      </w:pPr>
      <w:r w:rsidRPr="00CF096E">
        <w:rPr>
          <w:i/>
          <w:highlight w:val="yellow"/>
        </w:rPr>
        <w:t>Tipo de interés real</w:t>
      </w:r>
      <w:r w:rsidRPr="00CF096E">
        <w:rPr>
          <w:highlight w:val="yellow"/>
        </w:rPr>
        <w:t xml:space="preserve"> (</w:t>
      </w:r>
      <m:oMath>
        <m:sSub>
          <m:sSubPr>
            <m:ctrlPr>
              <w:rPr>
                <w:rFonts w:ascii="Cambria Math" w:hAnsi="Cambria Math"/>
                <w:i/>
                <w:iCs/>
                <w:highlight w:val="yellow"/>
              </w:rPr>
            </m:ctrlPr>
          </m:sSubPr>
          <m:e>
            <m:r>
              <m:rPr>
                <m:nor/>
              </m:rPr>
              <w:rPr>
                <w:i/>
                <w:iCs/>
                <w:highlight w:val="yellow"/>
              </w:rPr>
              <m:t>r</m:t>
            </m:r>
          </m:e>
          <m:sub>
            <m:r>
              <m:rPr>
                <m:nor/>
              </m:rPr>
              <w:rPr>
                <w:i/>
                <w:iCs/>
                <w:highlight w:val="yellow"/>
              </w:rPr>
              <m:t>t</m:t>
            </m:r>
          </m:sub>
        </m:sSub>
      </m:oMath>
      <w:r w:rsidRPr="00CF096E">
        <w:rPr>
          <w:highlight w:val="yellow"/>
        </w:rPr>
        <w:t>): compuesto por:</w:t>
      </w:r>
    </w:p>
    <w:p w14:paraId="58B32568" w14:textId="77777777" w:rsidR="00830096" w:rsidRPr="00CF096E" w:rsidRDefault="00830096" w:rsidP="00830096">
      <w:pPr>
        <w:pStyle w:val="Nivel4"/>
        <w:ind w:left="1474"/>
        <w:rPr>
          <w:highlight w:val="yellow"/>
        </w:rPr>
      </w:pPr>
      <w:r w:rsidRPr="00CF096E">
        <w:rPr>
          <w:highlight w:val="yellow"/>
        </w:rPr>
        <w:t>Tipo de interés nominal (</w:t>
      </w:r>
      <m:oMath>
        <m:sSub>
          <m:sSubPr>
            <m:ctrlPr>
              <w:rPr>
                <w:rFonts w:ascii="Cambria Math" w:hAnsi="Cambria Math"/>
                <w:i/>
                <w:highlight w:val="yellow"/>
              </w:rPr>
            </m:ctrlPr>
          </m:sSubPr>
          <m:e>
            <m:r>
              <m:rPr>
                <m:nor/>
              </m:rPr>
              <w:rPr>
                <w:i/>
                <w:highlight w:val="yellow"/>
              </w:rPr>
              <m:t>i</m:t>
            </m:r>
          </m:e>
          <m:sub>
            <m:r>
              <m:rPr>
                <m:nor/>
              </m:rPr>
              <w:rPr>
                <w:i/>
                <w:highlight w:val="yellow"/>
              </w:rPr>
              <m:t>t</m:t>
            </m:r>
          </m:sub>
        </m:sSub>
      </m:oMath>
      <w:r w:rsidRPr="00CF096E">
        <w:rPr>
          <w:highlight w:val="yellow"/>
        </w:rPr>
        <w:t>)</w:t>
      </w:r>
      <w:r>
        <w:rPr>
          <w:highlight w:val="yellow"/>
        </w:rPr>
        <w:t>.</w:t>
      </w:r>
    </w:p>
    <w:p w14:paraId="6BAEEFFA" w14:textId="77777777" w:rsidR="00830096" w:rsidRPr="00CF096E" w:rsidRDefault="00830096" w:rsidP="00830096">
      <w:pPr>
        <w:pStyle w:val="Nivel4"/>
        <w:ind w:left="1474"/>
        <w:rPr>
          <w:highlight w:val="yellow"/>
        </w:rPr>
      </w:pPr>
      <w:r w:rsidRPr="00CF096E">
        <w:rPr>
          <w:highlight w:val="yellow"/>
        </w:rPr>
        <w:t>Expectativas de inflación futura (</w:t>
      </w:r>
      <m:oMath>
        <m:sSub>
          <m:sSubPr>
            <m:ctrlPr>
              <w:rPr>
                <w:rFonts w:ascii="Cambria Math" w:hAnsi="Cambria Math"/>
                <w:i/>
                <w:highlight w:val="yellow"/>
              </w:rPr>
            </m:ctrlPr>
          </m:sSubPr>
          <m:e>
            <m:r>
              <m:rPr>
                <m:nor/>
              </m:rPr>
              <w:rPr>
                <w:i/>
                <w:highlight w:val="yellow"/>
              </w:rPr>
              <m:t>E</m:t>
            </m:r>
          </m:e>
          <m:sub>
            <m:r>
              <m:rPr>
                <m:nor/>
              </m:rPr>
              <w:rPr>
                <w:i/>
                <w:highlight w:val="yellow"/>
              </w:rPr>
              <m:t>t</m:t>
            </m:r>
          </m:sub>
        </m:sSub>
        <m:d>
          <m:dPr>
            <m:begChr m:val="["/>
            <m:endChr m:val="]"/>
            <m:ctrlPr>
              <w:rPr>
                <w:rFonts w:ascii="Cambria Math" w:hAnsi="Cambria Math"/>
                <w:i/>
                <w:iCs/>
                <w:highlight w:val="yellow"/>
              </w:rPr>
            </m:ctrlPr>
          </m:dPr>
          <m:e>
            <m:sSub>
              <m:sSubPr>
                <m:ctrlPr>
                  <w:rPr>
                    <w:rFonts w:ascii="Cambria Math" w:hAnsi="Cambria Math"/>
                    <w:i/>
                    <w:highlight w:val="yellow"/>
                  </w:rPr>
                </m:ctrlPr>
              </m:sSubPr>
              <m:e>
                <m:r>
                  <m:rPr>
                    <m:nor/>
                  </m:rPr>
                  <w:rPr>
                    <w:i/>
                    <w:highlight w:val="yellow"/>
                  </w:rPr>
                  <m:t>π</m:t>
                </m:r>
              </m:e>
              <m:sub>
                <m:r>
                  <m:rPr>
                    <m:nor/>
                  </m:rPr>
                  <w:rPr>
                    <w:i/>
                    <w:highlight w:val="yellow"/>
                  </w:rPr>
                  <m:t>t+1</m:t>
                </m:r>
              </m:sub>
            </m:sSub>
          </m:e>
        </m:d>
      </m:oMath>
      <w:r w:rsidRPr="00CF096E">
        <w:rPr>
          <w:highlight w:val="yellow"/>
        </w:rPr>
        <w:t>)</w:t>
      </w:r>
      <w:r>
        <w:rPr>
          <w:highlight w:val="yellow"/>
        </w:rPr>
        <w:t>.</w:t>
      </w:r>
    </w:p>
    <w:p w14:paraId="31394AEC" w14:textId="77777777" w:rsidR="00830096" w:rsidRPr="00CF096E" w:rsidRDefault="00830096" w:rsidP="00830096">
      <w:pPr>
        <w:pStyle w:val="Nivel3SM"/>
        <w:rPr>
          <w:highlight w:val="yellow"/>
        </w:rPr>
      </w:pPr>
      <w:r w:rsidRPr="00CF096E">
        <w:rPr>
          <w:i/>
          <w:iCs/>
          <w:highlight w:val="yellow"/>
        </w:rPr>
        <w:t xml:space="preserve">Elasticidad de Sustitución </w:t>
      </w:r>
      <w:proofErr w:type="spellStart"/>
      <w:r w:rsidRPr="00CF096E">
        <w:rPr>
          <w:i/>
          <w:iCs/>
          <w:highlight w:val="yellow"/>
        </w:rPr>
        <w:t>Intertemporal</w:t>
      </w:r>
      <w:proofErr w:type="spellEnd"/>
      <w:r w:rsidRPr="00CF096E">
        <w:rPr>
          <w:i/>
          <w:iCs/>
          <w:highlight w:val="yellow"/>
        </w:rPr>
        <w:t xml:space="preserve"> </w:t>
      </w:r>
      <w:r w:rsidRPr="00CF096E">
        <w:rPr>
          <w:highlight w:val="yellow"/>
        </w:rPr>
        <w:t>(</w:t>
      </w:r>
      <m:oMath>
        <m:f>
          <m:fPr>
            <m:type m:val="lin"/>
            <m:ctrlPr>
              <w:rPr>
                <w:rFonts w:ascii="Cambria Math" w:hAnsi="Cambria Math"/>
                <w:i/>
                <w:iCs/>
                <w:highlight w:val="yellow"/>
              </w:rPr>
            </m:ctrlPr>
          </m:fPr>
          <m:num>
            <m:r>
              <m:rPr>
                <m:nor/>
              </m:rPr>
              <w:rPr>
                <w:i/>
                <w:iCs/>
                <w:highlight w:val="yellow"/>
              </w:rPr>
              <m:t>1</m:t>
            </m:r>
          </m:num>
          <m:den>
            <m:r>
              <m:rPr>
                <m:nor/>
              </m:rPr>
              <w:rPr>
                <w:rFonts w:eastAsiaTheme="minorEastAsia"/>
                <w:i/>
                <w:iCs/>
              </w:rPr>
              <m:t>θ</m:t>
            </m:r>
          </m:den>
        </m:f>
      </m:oMath>
      <w:r w:rsidRPr="00CF096E">
        <w:rPr>
          <w:highlight w:val="yellow"/>
        </w:rPr>
        <w:t>)</w:t>
      </w:r>
      <w:r>
        <w:rPr>
          <w:highlight w:val="yellow"/>
        </w:rPr>
        <w:t>.</w:t>
      </w:r>
    </w:p>
    <w:p w14:paraId="7DFC185F" w14:textId="77777777" w:rsidR="00830096" w:rsidRPr="00CF096E" w:rsidRDefault="00830096" w:rsidP="00830096">
      <w:pPr>
        <w:pStyle w:val="Nivel3SM"/>
        <w:rPr>
          <w:highlight w:val="yellow"/>
        </w:rPr>
      </w:pPr>
      <w:r w:rsidRPr="00CF096E">
        <w:rPr>
          <w:i/>
          <w:iCs/>
          <w:highlight w:val="yellow"/>
        </w:rPr>
        <w:t xml:space="preserve">Expectativas de </w:t>
      </w:r>
      <w:r>
        <w:rPr>
          <w:i/>
          <w:iCs/>
          <w:highlight w:val="yellow"/>
        </w:rPr>
        <w:t>consumo</w:t>
      </w:r>
      <w:r w:rsidRPr="00CF096E">
        <w:rPr>
          <w:i/>
          <w:iCs/>
          <w:highlight w:val="yellow"/>
        </w:rPr>
        <w:t xml:space="preserve"> futuro</w:t>
      </w:r>
      <w:r w:rsidRPr="00CF096E">
        <w:rPr>
          <w:highlight w:val="yellow"/>
        </w:rPr>
        <w:t xml:space="preserve"> (</w:t>
      </w:r>
      <m:oMath>
        <m:sSub>
          <m:sSubPr>
            <m:ctrlPr>
              <w:rPr>
                <w:rFonts w:ascii="Cambria Math" w:hAnsi="Cambria Math"/>
                <w:i/>
                <w:iCs/>
                <w:highlight w:val="yellow"/>
              </w:rPr>
            </m:ctrlPr>
          </m:sSubPr>
          <m:e>
            <m:r>
              <m:rPr>
                <m:nor/>
              </m:rPr>
              <w:rPr>
                <w:i/>
                <w:iCs/>
                <w:highlight w:val="yellow"/>
              </w:rPr>
              <m:t>E</m:t>
            </m:r>
          </m:e>
          <m:sub>
            <m:r>
              <m:rPr>
                <m:nor/>
              </m:rPr>
              <w:rPr>
                <w:i/>
                <w:iCs/>
                <w:highlight w:val="yellow"/>
              </w:rPr>
              <m:t>t</m:t>
            </m:r>
          </m:sub>
        </m:sSub>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rPr>
                  <m:t>c</m:t>
                </m:r>
              </m:e>
              <m:sub>
                <m:r>
                  <m:rPr>
                    <m:nor/>
                  </m:rPr>
                  <w:rPr>
                    <w:i/>
                    <w:iCs/>
                    <w:highlight w:val="yellow"/>
                  </w:rPr>
                  <m:t>t+1</m:t>
                </m:r>
              </m:sub>
            </m:sSub>
          </m:e>
        </m:d>
      </m:oMath>
      <w:r w:rsidRPr="00CF096E">
        <w:rPr>
          <w:highlight w:val="yellow"/>
        </w:rPr>
        <w:t>)</w:t>
      </w:r>
      <w:r>
        <w:rPr>
          <w:highlight w:val="yellow"/>
        </w:rPr>
        <w:t>.</w:t>
      </w:r>
    </w:p>
    <w:p w14:paraId="4B3FF025" w14:textId="77777777" w:rsidR="00830096" w:rsidRPr="00CF096E" w:rsidRDefault="00000000" w:rsidP="00830096">
      <w:pPr>
        <w:pStyle w:val="Nivel3SM"/>
        <w:rPr>
          <w:highlight w:val="yellow"/>
        </w:rPr>
      </w:pPr>
      <m:oMath>
        <m:sSub>
          <m:sSubPr>
            <m:ctrlPr>
              <w:rPr>
                <w:rFonts w:ascii="Cambria Math" w:hAnsi="Cambria Math"/>
                <w:i/>
                <w:highlight w:val="yellow"/>
                <w14:glow w14:rad="38100">
                  <w14:srgbClr w14:val="C00000">
                    <w14:alpha w14:val="75000"/>
                  </w14:srgbClr>
                </w14:glow>
              </w:rPr>
            </m:ctrlPr>
          </m:sSubPr>
          <m:e>
            <m:r>
              <m:rPr>
                <m:nor/>
              </m:rPr>
              <w:rPr>
                <w:i/>
                <w:highlight w:val="yellow"/>
                <w14:glow w14:rad="38100">
                  <w14:srgbClr w14:val="C00000">
                    <w14:alpha w14:val="75000"/>
                  </w14:srgbClr>
                </w14:glow>
              </w:rPr>
              <m:t>u</m:t>
            </m:r>
          </m:e>
          <m:sub>
            <m:r>
              <m:rPr>
                <m:nor/>
              </m:rPr>
              <w:rPr>
                <w:i/>
                <w:highlight w:val="yellow"/>
                <w14:glow w14:rad="38100">
                  <w14:srgbClr w14:val="C00000">
                    <w14:alpha w14:val="75000"/>
                  </w14:srgbClr>
                </w14:glow>
              </w:rPr>
              <m:t>t</m:t>
            </m:r>
          </m:sub>
        </m:sSub>
      </m:oMath>
      <w:r w:rsidR="00830096" w:rsidRPr="00CF096E">
        <w:rPr>
          <w:highlight w:val="yellow"/>
          <w14:glow w14:rad="38100">
            <w14:srgbClr w14:val="C00000">
              <w14:alpha w14:val="75000"/>
            </w14:srgbClr>
          </w14:glow>
        </w:rPr>
        <w:t xml:space="preserve"> es un shock de demanda</w:t>
      </w:r>
      <w:r w:rsidR="00830096" w:rsidRPr="00CF096E">
        <w:rPr>
          <w:highlight w:val="yellow"/>
        </w:rPr>
        <w:t>.</w:t>
      </w:r>
    </w:p>
    <w:p w14:paraId="6EEC8A30" w14:textId="77777777" w:rsidR="00830096" w:rsidRPr="00CF096E" w:rsidRDefault="00830096" w:rsidP="00830096">
      <w:pPr>
        <w:pStyle w:val="Nivel2SM"/>
        <w:keepNext/>
        <w:spacing w:after="0"/>
        <w:rPr>
          <w:highlight w:val="yellow"/>
        </w:rPr>
      </w:pPr>
      <w:r w:rsidRPr="00CF096E">
        <w:rPr>
          <w:highlight w:val="yellow"/>
        </w:rPr>
        <w:t>La curva</w:t>
      </w:r>
      <w:r>
        <w:rPr>
          <w:highlight w:val="yellow"/>
        </w:rPr>
        <w:t> </w:t>
      </w:r>
      <w:r w:rsidRPr="00CF096E">
        <w:rPr>
          <w:highlight w:val="yellow"/>
        </w:rPr>
        <w:t>IS ampliada por las expectativas representa el lado de la demanda de la economía.</w:t>
      </w:r>
    </w:p>
    <w:p w14:paraId="037E4FF9" w14:textId="77777777" w:rsidR="00830096" w:rsidRPr="00CF096E" w:rsidRDefault="00830096" w:rsidP="00830096">
      <w:pPr>
        <w:pStyle w:val="Nivel3SM"/>
        <w:rPr>
          <w:highlight w:val="yellow"/>
        </w:rPr>
      </w:pPr>
      <w:r w:rsidRPr="00CF096E">
        <w:rPr>
          <w:highlight w:val="yellow"/>
        </w:rPr>
        <w:t>A diferencia de la curva</w:t>
      </w:r>
      <w:r>
        <w:rPr>
          <w:highlight w:val="yellow"/>
        </w:rPr>
        <w:t> </w:t>
      </w:r>
      <w:r w:rsidRPr="00CF096E">
        <w:rPr>
          <w:highlight w:val="yellow"/>
        </w:rPr>
        <w:t>IS tradicional de la Síntesis Neoclásica, se trata de una relación que incorpora las expectativas, compatible con la HER.</w:t>
      </w:r>
    </w:p>
    <w:p w14:paraId="1FCEB2BD" w14:textId="77777777" w:rsidR="00830096" w:rsidRPr="00CF096E" w:rsidRDefault="00830096" w:rsidP="00830096">
      <w:pPr>
        <w:pStyle w:val="Nivel3SM"/>
        <w:keepNext/>
        <w:rPr>
          <w:highlight w:val="yellow"/>
        </w:rPr>
      </w:pPr>
      <w:r w:rsidRPr="00CF096E">
        <w:rPr>
          <w:highlight w:val="yellow"/>
        </w:rPr>
        <w:t>Establece que, por el lado de la demanda, existe una relación de equilibrio entre el output gap y el tipo de interés nominal, condicionada a las expectativas sobre la evolución futura de precios y output gap.</w:t>
      </w:r>
    </w:p>
    <w:p w14:paraId="57ABC7BD" w14:textId="77777777" w:rsidR="00830096" w:rsidRPr="00CF096E" w:rsidRDefault="00830096" w:rsidP="00830096">
      <w:pPr>
        <w:pStyle w:val="Nivel4"/>
        <w:ind w:left="1474"/>
        <w:rPr>
          <w:highlight w:val="yellow"/>
        </w:rPr>
      </w:pPr>
      <w:r w:rsidRPr="00CF096E">
        <w:rPr>
          <w:highlight w:val="yellow"/>
        </w:rPr>
        <w:t>Si aumenta el output gap esperado en el futuro, aumentará el consumo y la demanda agregada hoy, por lo que aumentará el output gap de hoy para cualquier nivel de tipos de interés.</w:t>
      </w:r>
    </w:p>
    <w:p w14:paraId="741A77A5" w14:textId="77777777" w:rsidR="00830096" w:rsidRPr="00CF096E" w:rsidRDefault="00830096" w:rsidP="00830096">
      <w:pPr>
        <w:pStyle w:val="Nivel4"/>
        <w:ind w:left="1474"/>
        <w:rPr>
          <w:highlight w:val="yellow"/>
        </w:rPr>
      </w:pPr>
      <w:r w:rsidRPr="00CF096E">
        <w:rPr>
          <w:highlight w:val="yellow"/>
        </w:rPr>
        <w:t xml:space="preserve">El término </w:t>
      </w:r>
      <m:oMath>
        <m:r>
          <w:rPr>
            <w:rFonts w:ascii="Cambria Math" w:hAnsi="Cambria Math"/>
            <w:highlight w:val="yellow"/>
          </w:rPr>
          <m:t>-</m:t>
        </m:r>
        <m:f>
          <m:fPr>
            <m:type m:val="lin"/>
            <m:ctrlPr>
              <w:rPr>
                <w:rFonts w:ascii="Cambria Math" w:hAnsi="Cambria Math"/>
                <w:i/>
                <w:highlight w:val="yellow"/>
              </w:rPr>
            </m:ctrlPr>
          </m:fPr>
          <m:num>
            <m:r>
              <m:rPr>
                <m:nor/>
              </m:rPr>
              <w:rPr>
                <w:i/>
                <w:highlight w:val="yellow"/>
              </w:rPr>
              <m:t>1</m:t>
            </m:r>
          </m:num>
          <m:den>
            <m:r>
              <m:rPr>
                <m:nor/>
              </m:rPr>
              <w:rPr>
                <w:rFonts w:eastAsiaTheme="minorEastAsia"/>
                <w:i/>
                <w:iCs/>
              </w:rPr>
              <m:t>θ</m:t>
            </m:r>
          </m:den>
        </m:f>
      </m:oMath>
      <w:r w:rsidRPr="00CF096E">
        <w:rPr>
          <w:highlight w:val="yellow"/>
        </w:rPr>
        <w:t xml:space="preserve"> mide el impacto del aumento de los tipos de interés reales sobre la demanda agregada.</w:t>
      </w:r>
    </w:p>
    <w:p w14:paraId="366CFAEA" w14:textId="77777777" w:rsidR="00830096" w:rsidRPr="00CF096E" w:rsidRDefault="00830096" w:rsidP="00830096">
      <w:pPr>
        <w:pStyle w:val="Nivel4"/>
        <w:ind w:left="1474"/>
        <w:rPr>
          <w:highlight w:val="yellow"/>
        </w:rPr>
      </w:pPr>
      <w:r w:rsidRPr="00CF096E">
        <w:rPr>
          <w:highlight w:val="yellow"/>
        </w:rPr>
        <w:t xml:space="preserve">Por su parte, la diferencia entre los tipos de interés reales y los naturales </w:t>
      </w:r>
      <m:oMath>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rPr>
                  <m:t>i</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E</m:t>
                </m:r>
              </m:e>
              <m:sub>
                <m:r>
                  <m:rPr>
                    <m:nor/>
                  </m:rPr>
                  <w:rPr>
                    <w:i/>
                    <w:highlight w:val="yellow"/>
                  </w:rPr>
                  <m:t>t</m:t>
                </m:r>
              </m:sub>
            </m:sSub>
            <m:d>
              <m:dPr>
                <m:begChr m:val="["/>
                <m:endChr m:val="]"/>
                <m:ctrlPr>
                  <w:rPr>
                    <w:rFonts w:ascii="Cambria Math" w:hAnsi="Cambria Math"/>
                    <w:i/>
                    <w:iCs/>
                    <w:highlight w:val="yellow"/>
                  </w:rPr>
                </m:ctrlPr>
              </m:dPr>
              <m:e>
                <m:sSub>
                  <m:sSubPr>
                    <m:ctrlPr>
                      <w:rPr>
                        <w:rFonts w:ascii="Cambria Math" w:hAnsi="Cambria Math"/>
                        <w:i/>
                        <w:highlight w:val="yellow"/>
                      </w:rPr>
                    </m:ctrlPr>
                  </m:sSubPr>
                  <m:e>
                    <m:r>
                      <m:rPr>
                        <m:nor/>
                      </m:rPr>
                      <w:rPr>
                        <w:i/>
                        <w:highlight w:val="yellow"/>
                      </w:rPr>
                      <m:t>π</m:t>
                    </m:r>
                  </m:e>
                  <m:sub>
                    <m:r>
                      <m:rPr>
                        <m:nor/>
                      </m:rPr>
                      <w:rPr>
                        <w:i/>
                        <w:highlight w:val="yellow"/>
                      </w:rPr>
                      <m:t>t+1</m:t>
                    </m:r>
                  </m:sub>
                </m:sSub>
              </m:e>
            </m:d>
            <m:r>
              <w:rPr>
                <w:rFonts w:ascii="Cambria Math" w:hAnsi="Cambria Math"/>
                <w:highlight w:val="yellow"/>
              </w:rPr>
              <m:t>-</m:t>
            </m:r>
            <m:sSubSup>
              <m:sSubSupPr>
                <m:ctrlPr>
                  <w:rPr>
                    <w:rFonts w:ascii="Cambria Math" w:hAnsi="Cambria Math"/>
                    <w:i/>
                    <w:highlight w:val="yellow"/>
                  </w:rPr>
                </m:ctrlPr>
              </m:sSubSupPr>
              <m:e>
                <m:r>
                  <m:rPr>
                    <m:nor/>
                  </m:rPr>
                  <w:rPr>
                    <w:i/>
                    <w:highlight w:val="yellow"/>
                  </w:rPr>
                  <m:t>r</m:t>
                </m:r>
              </m:e>
              <m:sub>
                <m:r>
                  <m:rPr>
                    <m:nor/>
                  </m:rPr>
                  <w:rPr>
                    <w:i/>
                    <w:highlight w:val="yellow"/>
                  </w:rPr>
                  <m:t>t</m:t>
                </m:r>
              </m:sub>
              <m:sup>
                <m:r>
                  <m:rPr>
                    <m:nor/>
                  </m:rPr>
                  <w:rPr>
                    <w:i/>
                    <w:highlight w:val="yellow"/>
                  </w:rPr>
                  <m:t>n</m:t>
                </m:r>
              </m:sup>
            </m:sSubSup>
          </m:e>
        </m:d>
      </m:oMath>
      <w:r w:rsidRPr="00CF096E">
        <w:rPr>
          <w:highlight w:val="yellow"/>
        </w:rPr>
        <w:t>, introduce un mecanismo a través del cual se transmiten las perturbaciones monetarias: si el tipo de interés nominal aumenta, en presencia de rigideces de precios, el tipo de interés real se elevará por encima del natural, lo que llevará a los hogares a posponer su consumo, reduciendo el consumo presente e incrementando el consumo futuro.</w:t>
      </w:r>
    </w:p>
    <w:p w14:paraId="0DE2B429" w14:textId="77777777" w:rsidR="00830096" w:rsidRPr="00CF096E" w:rsidRDefault="00830096" w:rsidP="00830096">
      <w:pPr>
        <w:pStyle w:val="Nivel2SM"/>
        <w:keepNext/>
        <w:spacing w:after="0"/>
        <w:rPr>
          <w:highlight w:val="yellow"/>
        </w:rPr>
      </w:pPr>
      <w:r w:rsidRPr="00CF096E">
        <w:rPr>
          <w:highlight w:val="yellow"/>
        </w:rPr>
        <w:lastRenderedPageBreak/>
        <w:t xml:space="preserve">Así, se pueden extraer </w:t>
      </w:r>
      <w:r>
        <w:rPr>
          <w:b/>
          <w:bCs/>
          <w:highlight w:val="yellow"/>
        </w:rPr>
        <w:t>2 </w:t>
      </w:r>
      <w:r w:rsidRPr="00CF096E">
        <w:rPr>
          <w:b/>
          <w:bCs/>
          <w:highlight w:val="yellow"/>
        </w:rPr>
        <w:t>conclusiones</w:t>
      </w:r>
      <w:r w:rsidRPr="00CF096E">
        <w:rPr>
          <w:highlight w:val="yellow"/>
        </w:rPr>
        <w:t xml:space="preserve"> de la curva:</w:t>
      </w:r>
    </w:p>
    <w:p w14:paraId="4D263181" w14:textId="77777777" w:rsidR="00830096" w:rsidRPr="00671FF1" w:rsidRDefault="00830096" w:rsidP="00830096">
      <w:pPr>
        <w:pStyle w:val="Nivel3SM"/>
        <w:rPr>
          <w:highlight w:val="yellow"/>
        </w:rPr>
      </w:pPr>
      <w:r w:rsidRPr="00CF096E">
        <w:rPr>
          <w:highlight w:val="yellow"/>
        </w:rPr>
        <w:t xml:space="preserve">Por un lado, </w:t>
      </w:r>
      <w:r w:rsidRPr="00671FF1">
        <w:rPr>
          <w:highlight w:val="yellow"/>
        </w:rPr>
        <w:t xml:space="preserve">como </w:t>
      </w:r>
      <m:oMath>
        <m:r>
          <m:rPr>
            <m:nor/>
          </m:rPr>
          <w:rPr>
            <w:rFonts w:eastAsiaTheme="minorEastAsia"/>
            <w:i/>
            <w:iCs/>
            <w:highlight w:val="yellow"/>
          </w:rPr>
          <m:t>θ</m:t>
        </m:r>
      </m:oMath>
      <w:r w:rsidRPr="00671FF1">
        <w:rPr>
          <w:highlight w:val="yellow"/>
        </w:rPr>
        <w:t xml:space="preserve"> es positivo, cuando se espera una bajada de los precios, los agentes posponen sus decisiones de consumo al siguiente período y el output gap baja.</w:t>
      </w:r>
    </w:p>
    <w:p w14:paraId="4D460CEF" w14:textId="77777777" w:rsidR="00830096" w:rsidRPr="00CF096E" w:rsidRDefault="00830096" w:rsidP="00830096">
      <w:pPr>
        <w:pStyle w:val="Nivel3SM"/>
        <w:rPr>
          <w:highlight w:val="yellow"/>
        </w:rPr>
      </w:pPr>
      <w:r w:rsidRPr="00671FF1">
        <w:rPr>
          <w:highlight w:val="yellow"/>
        </w:rPr>
        <w:t xml:space="preserve">Por otro lado, el banco central puede </w:t>
      </w:r>
      <w:r w:rsidRPr="00CF096E">
        <w:rPr>
          <w:highlight w:val="yellow"/>
        </w:rPr>
        <w:t>afectar a las variables reales modificando los tipos de interés nominales a corto plazo. Esto provoca un cambio en los tipos de interés reales lo que lleva a los agentes a cambiar sus decisiones de optimización.</w:t>
      </w:r>
    </w:p>
    <w:p w14:paraId="136B1C52" w14:textId="77777777" w:rsidR="00830096" w:rsidRPr="00CF096E" w:rsidRDefault="00830096" w:rsidP="00830096">
      <w:pPr>
        <w:pStyle w:val="Ttulo7"/>
        <w:rPr>
          <w:b/>
          <w:highlight w:val="yellow"/>
        </w:rPr>
      </w:pPr>
      <w:bookmarkStart w:id="83" w:name="_Toc142500916"/>
      <w:r w:rsidRPr="00CF096E">
        <w:rPr>
          <w:highlight w:val="yellow"/>
        </w:rPr>
        <w:t>Empresas</w:t>
      </w:r>
      <w:r w:rsidRPr="00CF096E">
        <w:rPr>
          <w:i w:val="0"/>
          <w:iCs w:val="0"/>
          <w:sz w:val="19"/>
          <w:szCs w:val="19"/>
          <w:highlight w:val="yellow"/>
          <w:u w:val="none"/>
        </w:rPr>
        <w:t xml:space="preserve"> [Curva de Phillips de la NEK]</w:t>
      </w:r>
      <w:r w:rsidRPr="00CF096E">
        <w:rPr>
          <w:i w:val="0"/>
          <w:iCs w:val="0"/>
          <w:color w:val="767171" w:themeColor="background2" w:themeShade="80"/>
          <w:sz w:val="19"/>
          <w:szCs w:val="19"/>
          <w:highlight w:val="yellow"/>
          <w:u w:val="none"/>
        </w:rPr>
        <w:t xml:space="preserve"> </w:t>
      </w:r>
      <w:bookmarkStart w:id="84" w:name="_Hlk129868159"/>
      <w:r w:rsidRPr="00CF096E">
        <w:rPr>
          <w:i w:val="0"/>
          <w:iCs w:val="0"/>
          <w:color w:val="767171" w:themeColor="background2" w:themeShade="80"/>
          <w:sz w:val="19"/>
          <w:szCs w:val="19"/>
          <w:highlight w:val="yellow"/>
          <w:u w:val="none"/>
        </w:rPr>
        <w:t>[Tema 3.A.39]</w:t>
      </w:r>
      <w:bookmarkEnd w:id="83"/>
      <w:bookmarkEnd w:id="84"/>
    </w:p>
    <w:p w14:paraId="0F2A340F" w14:textId="77777777" w:rsidR="00830096" w:rsidRPr="00CF096E" w:rsidRDefault="00830096" w:rsidP="00830096">
      <w:pPr>
        <w:pStyle w:val="Nivel1SM"/>
        <w:keepNext/>
        <w:spacing w:before="0" w:after="0"/>
        <w:rPr>
          <w:highlight w:val="yellow"/>
        </w:rPr>
      </w:pPr>
      <w:r w:rsidRPr="00CF096E">
        <w:rPr>
          <w:highlight w:val="yellow"/>
        </w:rPr>
        <w:t xml:space="preserve">El segundo elemento del modelo canónico es la curva de Phillips de la NEK, donde subyacen elementos importantes de la NEK: </w:t>
      </w:r>
      <w:r w:rsidRPr="00CF096E">
        <w:rPr>
          <w:i/>
          <w:iCs/>
          <w:highlight w:val="yellow"/>
        </w:rPr>
        <w:t>competencia monopolística</w:t>
      </w:r>
      <w:r w:rsidRPr="00CF096E">
        <w:rPr>
          <w:highlight w:val="yellow"/>
        </w:rPr>
        <w:t xml:space="preserve"> y </w:t>
      </w:r>
      <w:r w:rsidRPr="00CF096E">
        <w:rPr>
          <w:i/>
          <w:iCs/>
          <w:highlight w:val="yellow"/>
        </w:rPr>
        <w:t>rigidez de precios</w:t>
      </w:r>
      <w:r w:rsidRPr="00CF096E">
        <w:rPr>
          <w:highlight w:val="yellow"/>
        </w:rPr>
        <w:t xml:space="preserve"> (</w:t>
      </w:r>
      <w:proofErr w:type="spellStart"/>
      <w:r w:rsidRPr="00CF096E">
        <w:rPr>
          <w:i/>
          <w:iCs/>
          <w:highlight w:val="yellow"/>
        </w:rPr>
        <w:t>sticky</w:t>
      </w:r>
      <w:proofErr w:type="spellEnd"/>
      <w:r w:rsidRPr="00CF096E">
        <w:rPr>
          <w:i/>
          <w:iCs/>
          <w:highlight w:val="yellow"/>
        </w:rPr>
        <w:t xml:space="preserve"> </w:t>
      </w:r>
      <w:proofErr w:type="spellStart"/>
      <w:r w:rsidRPr="00CF096E">
        <w:rPr>
          <w:i/>
          <w:iCs/>
          <w:highlight w:val="yellow"/>
        </w:rPr>
        <w:t>prices</w:t>
      </w:r>
      <w:proofErr w:type="spellEnd"/>
      <w:r w:rsidRPr="00CF096E">
        <w:rPr>
          <w:highlight w:val="yellow"/>
        </w:rPr>
        <w:t>), junto con las hipótesis de comportamiento optimizador de los agentes y expectativas racionales.</w:t>
      </w:r>
    </w:p>
    <w:p w14:paraId="611BD4C0" w14:textId="77777777" w:rsidR="00830096" w:rsidRPr="00CF096E" w:rsidRDefault="00830096" w:rsidP="00830096">
      <w:pPr>
        <w:pStyle w:val="Nivel2SM"/>
        <w:rPr>
          <w:highlight w:val="yellow"/>
        </w:rPr>
      </w:pPr>
      <w:r w:rsidRPr="00CF096E">
        <w:rPr>
          <w:highlight w:val="yellow"/>
        </w:rPr>
        <w:t xml:space="preserve">En la primera mitad de los años 70, los autores de la NMC, a través de la función de oferta agregada de </w:t>
      </w:r>
      <w:r w:rsidRPr="00CF096E">
        <w:rPr>
          <w:smallCaps/>
          <w:highlight w:val="yellow"/>
        </w:rPr>
        <w:t>Lucas</w:t>
      </w:r>
      <w:r w:rsidRPr="00CF096E">
        <w:rPr>
          <w:highlight w:val="yellow"/>
        </w:rPr>
        <w:t xml:space="preserve"> (1972) criticaron las políticas activas de estabilización keynesianas ya que, con base al supuesto de equilibrio continuo de los mercados y la HER, llegaron a la conclusión de la inefectividad de las políticas de estabilización sistemáticas, que no tienen incidencia alguna sobre el nivel de producción real o sobre la tasa “natural” de desempleo inclusive en el corto plazo. Además, también concluyeron que los componentes aleatorios no sistemáticos de las políticas fiscales y monetarias sólo aumentan la incertidumbre y las fluctuaciones cíclicas. El elemento clave de la NMC fue la hipótesis de equilibrio continuo de los mercados.</w:t>
      </w:r>
    </w:p>
    <w:p w14:paraId="03BDB786" w14:textId="77777777" w:rsidR="00830096" w:rsidRPr="00CF096E" w:rsidRDefault="00830096" w:rsidP="00830096">
      <w:pPr>
        <w:pStyle w:val="Nivel2SM"/>
        <w:keepNext/>
        <w:spacing w:after="0"/>
        <w:rPr>
          <w:spacing w:val="-3"/>
          <w:highlight w:val="yellow"/>
        </w:rPr>
      </w:pPr>
      <w:r w:rsidRPr="00CF096E">
        <w:rPr>
          <w:spacing w:val="-3"/>
          <w:highlight w:val="yellow"/>
        </w:rPr>
        <w:t xml:space="preserve">La primera reacción de los economistas de inspiración keynesiana consistió, tal y como hemos visto, en </w:t>
      </w:r>
      <w:r w:rsidRPr="00CF096E">
        <w:rPr>
          <w:i/>
          <w:iCs/>
          <w:spacing w:val="-3"/>
          <w:highlight w:val="yellow"/>
        </w:rPr>
        <w:t>levantar la hipótesis de flexibilidad perfecta de precios y salarios</w:t>
      </w:r>
      <w:r w:rsidRPr="00CF096E">
        <w:rPr>
          <w:spacing w:val="-3"/>
          <w:highlight w:val="yellow"/>
        </w:rPr>
        <w:t xml:space="preserve">. Entre los primeros estudios al respecto destacan los de </w:t>
      </w:r>
      <w:r w:rsidRPr="00CF096E">
        <w:rPr>
          <w:smallCaps/>
          <w:spacing w:val="-3"/>
          <w:highlight w:val="yellow"/>
        </w:rPr>
        <w:t>Stanley Fischer</w:t>
      </w:r>
      <w:r w:rsidRPr="00CF096E">
        <w:rPr>
          <w:spacing w:val="-3"/>
          <w:highlight w:val="yellow"/>
        </w:rPr>
        <w:t xml:space="preserve"> (1977) y </w:t>
      </w:r>
      <w:r w:rsidRPr="00CF096E">
        <w:rPr>
          <w:smallCaps/>
          <w:spacing w:val="-3"/>
          <w:highlight w:val="yellow"/>
        </w:rPr>
        <w:t>John Taylor</w:t>
      </w:r>
      <w:r w:rsidRPr="00CF096E">
        <w:rPr>
          <w:spacing w:val="-3"/>
          <w:highlight w:val="yellow"/>
        </w:rPr>
        <w:t xml:space="preserve"> (1980), quienes estudiaron como afectaba el escalonamiento de precios y salarios en la economía. Estos estudios fueron complementados por los desarrollos de </w:t>
      </w:r>
      <w:r w:rsidRPr="00CF096E">
        <w:rPr>
          <w:smallCaps/>
          <w:spacing w:val="-3"/>
          <w:highlight w:val="yellow"/>
        </w:rPr>
        <w:t>Julio J.</w:t>
      </w:r>
      <w:r w:rsidRPr="00CF096E">
        <w:rPr>
          <w:spacing w:val="-3"/>
          <w:highlight w:val="yellow"/>
        </w:rPr>
        <w:t xml:space="preserve"> </w:t>
      </w:r>
      <w:proofErr w:type="spellStart"/>
      <w:r w:rsidRPr="00CF096E">
        <w:rPr>
          <w:smallCaps/>
          <w:spacing w:val="-3"/>
          <w:highlight w:val="yellow"/>
        </w:rPr>
        <w:t>Rotemberg</w:t>
      </w:r>
      <w:proofErr w:type="spellEnd"/>
      <w:r w:rsidRPr="00CF096E">
        <w:rPr>
          <w:spacing w:val="-3"/>
          <w:highlight w:val="yellow"/>
        </w:rPr>
        <w:t xml:space="preserve"> (1982) y </w:t>
      </w:r>
      <w:r w:rsidRPr="00CF096E">
        <w:rPr>
          <w:smallCaps/>
          <w:spacing w:val="-3"/>
          <w:highlight w:val="yellow"/>
        </w:rPr>
        <w:t>Guillermo A.</w:t>
      </w:r>
      <w:r w:rsidRPr="00CF096E">
        <w:rPr>
          <w:spacing w:val="-3"/>
          <w:highlight w:val="yellow"/>
        </w:rPr>
        <w:t xml:space="preserve"> </w:t>
      </w:r>
      <w:r w:rsidRPr="00CF096E">
        <w:rPr>
          <w:smallCaps/>
          <w:spacing w:val="-3"/>
          <w:highlight w:val="yellow"/>
        </w:rPr>
        <w:t>Calvo</w:t>
      </w:r>
      <w:r w:rsidRPr="00CF096E">
        <w:rPr>
          <w:spacing w:val="-3"/>
          <w:highlight w:val="yellow"/>
        </w:rPr>
        <w:t xml:space="preserve"> (1983).</w:t>
      </w:r>
    </w:p>
    <w:p w14:paraId="20364721" w14:textId="77777777" w:rsidR="00830096" w:rsidRPr="00CF096E" w:rsidRDefault="00830096" w:rsidP="00830096">
      <w:pPr>
        <w:pStyle w:val="Nivel3SM"/>
        <w:keepNext/>
        <w:rPr>
          <w:highlight w:val="yellow"/>
        </w:rPr>
      </w:pPr>
      <w:r w:rsidRPr="00CF096E">
        <w:rPr>
          <w:highlight w:val="yellow"/>
        </w:rPr>
        <w:t xml:space="preserve">Actualmente, se suele usar para definir la Curva de Phillips de la NEK el modelo de fijación de precios </w:t>
      </w:r>
      <w:r w:rsidRPr="00CF096E">
        <w:rPr>
          <w:i/>
          <w:iCs/>
          <w:highlight w:val="yellow"/>
        </w:rPr>
        <w:t>à la</w:t>
      </w:r>
      <w:r w:rsidRPr="00CF096E">
        <w:rPr>
          <w:highlight w:val="yellow"/>
        </w:rPr>
        <w:t xml:space="preserve"> </w:t>
      </w:r>
      <w:r w:rsidRPr="00CF096E">
        <w:rPr>
          <w:smallCaps/>
          <w:highlight w:val="yellow"/>
        </w:rPr>
        <w:t>Calvo</w:t>
      </w:r>
      <w:r w:rsidRPr="00CF096E">
        <w:rPr>
          <w:highlight w:val="yellow"/>
        </w:rPr>
        <w:t xml:space="preserve"> de rigideces nominales de precios en el bien final.</w:t>
      </w:r>
    </w:p>
    <w:p w14:paraId="5D538059" w14:textId="77777777" w:rsidR="00830096" w:rsidRPr="00CF096E" w:rsidRDefault="00830096" w:rsidP="00830096">
      <w:pPr>
        <w:pStyle w:val="Nivel4"/>
        <w:keepNext/>
        <w:ind w:left="1474"/>
        <w:rPr>
          <w:highlight w:val="yellow"/>
        </w:rPr>
      </w:pPr>
      <w:r w:rsidRPr="00CF096E">
        <w:rPr>
          <w:highlight w:val="yellow"/>
        </w:rPr>
        <w:t xml:space="preserve">En cada período, sólo hay un determinado porcentaje de empresas, </w:t>
      </w:r>
      <m:oMath>
        <m:r>
          <m:rPr>
            <m:nor/>
          </m:rPr>
          <w:rPr>
            <w:i/>
            <w:iCs/>
            <w:highlight w:val="yellow"/>
          </w:rPr>
          <m:t>1</m:t>
        </m:r>
        <m:r>
          <w:rPr>
            <w:rFonts w:ascii="Cambria Math" w:hAnsi="Cambria Math"/>
            <w:highlight w:val="yellow"/>
          </w:rPr>
          <m:t>-</m:t>
        </m:r>
        <m:r>
          <m:rPr>
            <m:nor/>
          </m:rPr>
          <w:rPr>
            <w:i/>
            <w:highlight w:val="yellow"/>
            <w:lang w:val="fr-FR"/>
          </w:rPr>
          <m:t>η</m:t>
        </m:r>
      </m:oMath>
      <w:r w:rsidRPr="00CF096E">
        <w:rPr>
          <w:highlight w:val="yellow"/>
        </w:rPr>
        <w:t xml:space="preserve">, que reciben luz verde y pueden ajustar sus precios, mientras que el resto de empresas, </w:t>
      </w:r>
      <m:oMath>
        <m:r>
          <m:rPr>
            <m:nor/>
          </m:rPr>
          <w:rPr>
            <w:i/>
            <w:highlight w:val="yellow"/>
            <w:lang w:val="fr-FR"/>
          </w:rPr>
          <m:t>η</m:t>
        </m:r>
      </m:oMath>
      <w:r w:rsidRPr="00CF096E">
        <w:rPr>
          <w:highlight w:val="yellow"/>
        </w:rPr>
        <w:t>, no pueden ajustarlos y tienen que mantener los del período anterior.</w:t>
      </w:r>
    </w:p>
    <w:p w14:paraId="676FBB7C" w14:textId="77777777" w:rsidR="00830096" w:rsidRPr="00CF096E" w:rsidRDefault="00830096" w:rsidP="00830096">
      <w:pPr>
        <w:pStyle w:val="Nivel5"/>
        <w:ind w:left="1871"/>
        <w:rPr>
          <w:highlight w:val="yellow"/>
        </w:rPr>
      </w:pPr>
      <w:r w:rsidRPr="00CF096E">
        <w:rPr>
          <w:highlight w:val="yellow"/>
        </w:rPr>
        <w:t xml:space="preserve">De este modo, el grado de rigidez de precios de la economía se puede medir por el valor de </w:t>
      </w:r>
      <m:oMath>
        <m:r>
          <m:rPr>
            <m:nor/>
          </m:rPr>
          <w:rPr>
            <w:i/>
            <w:highlight w:val="yellow"/>
            <w:lang w:val="fr-FR"/>
          </w:rPr>
          <m:t>η</m:t>
        </m:r>
      </m:oMath>
      <w:r w:rsidRPr="00CF096E">
        <w:rPr>
          <w:highlight w:val="yellow"/>
        </w:rPr>
        <w:t xml:space="preserve">: cuanto mayor sea </w:t>
      </w:r>
      <m:oMath>
        <m:r>
          <m:rPr>
            <m:nor/>
          </m:rPr>
          <w:rPr>
            <w:i/>
            <w:highlight w:val="yellow"/>
            <w:lang w:val="fr-FR"/>
          </w:rPr>
          <m:t>η</m:t>
        </m:r>
      </m:oMath>
      <w:r w:rsidRPr="00CF096E">
        <w:rPr>
          <w:highlight w:val="yellow"/>
        </w:rPr>
        <w:t>, menos empresas pueden ajustar los empresas y, por lo tanto, mayor será el grado de rigidez de precios, ya que el tiempo que transcurrirá entre cambios de precios será más elevado.</w:t>
      </w:r>
    </w:p>
    <w:p w14:paraId="44786621" w14:textId="77777777" w:rsidR="00830096" w:rsidRPr="00CF096E" w:rsidRDefault="00830096" w:rsidP="00830096">
      <w:pPr>
        <w:pStyle w:val="Nivel4"/>
        <w:keepNext/>
        <w:ind w:left="1474"/>
        <w:rPr>
          <w:highlight w:val="yellow"/>
        </w:rPr>
      </w:pPr>
      <w:r w:rsidRPr="00CF096E">
        <w:rPr>
          <w:highlight w:val="yellow"/>
        </w:rPr>
        <w:t>Las empresas que pueden variar sus precios los determinarán óptimamente, maximizando el valor descontado de los beneficios.</w:t>
      </w:r>
    </w:p>
    <w:p w14:paraId="59F2D0E9" w14:textId="77777777" w:rsidR="00830096" w:rsidRPr="00CF096E" w:rsidRDefault="00830096" w:rsidP="00830096">
      <w:pPr>
        <w:pStyle w:val="Nivel5"/>
        <w:spacing w:after="100"/>
        <w:ind w:left="1871"/>
        <w:rPr>
          <w:highlight w:val="yellow"/>
        </w:rPr>
      </w:pPr>
      <w:r w:rsidRPr="00CF096E">
        <w:rPr>
          <w:highlight w:val="yellow"/>
        </w:rPr>
        <w:t>Hay que tener en cuenta que cuando las empresas pueden ajustar precios consideran la existencia de la rigidez nominal en su decisión, ya que existe una probabilidad de que en el futuro deseen ajustar los precios y no puedan debido a la rigidez nominal.</w:t>
      </w:r>
    </w:p>
    <w:p w14:paraId="53455B14" w14:textId="77777777" w:rsidR="00830096" w:rsidRPr="00CF096E" w:rsidRDefault="00830096" w:rsidP="00830096">
      <w:pPr>
        <w:pStyle w:val="Nivel1SM"/>
        <w:keepNext/>
        <w:spacing w:after="0"/>
        <w:rPr>
          <w:highlight w:val="yellow"/>
        </w:rPr>
      </w:pPr>
      <w:r w:rsidRPr="00CF096E">
        <w:rPr>
          <w:highlight w:val="yellow"/>
        </w:rPr>
        <w:t xml:space="preserve">De acuerdo con la formulación de </w:t>
      </w:r>
      <w:r w:rsidRPr="00CF096E">
        <w:rPr>
          <w:smallCaps/>
          <w:highlight w:val="yellow"/>
        </w:rPr>
        <w:t>Clarida</w:t>
      </w:r>
      <w:r w:rsidRPr="00CF096E">
        <w:rPr>
          <w:highlight w:val="yellow"/>
        </w:rPr>
        <w:t xml:space="preserve">, </w:t>
      </w:r>
      <w:r w:rsidRPr="00CF096E">
        <w:rPr>
          <w:smallCaps/>
          <w:highlight w:val="yellow"/>
        </w:rPr>
        <w:t>Galí</w:t>
      </w:r>
      <w:r w:rsidRPr="00CF096E">
        <w:rPr>
          <w:highlight w:val="yellow"/>
        </w:rPr>
        <w:t xml:space="preserve"> y </w:t>
      </w:r>
      <w:r w:rsidRPr="00CF096E">
        <w:rPr>
          <w:smallCaps/>
          <w:highlight w:val="yellow"/>
        </w:rPr>
        <w:t>Gertler</w:t>
      </w:r>
      <w:r w:rsidRPr="00CF096E">
        <w:rPr>
          <w:highlight w:val="yellow"/>
        </w:rPr>
        <w:t xml:space="preserve"> (1999), la solución óptima para la empresa sería fijar el precio igual a una media ponderada de los precios que se esperarían en el futuro si no hubiera fricciones. Dado que la empresa no puede cambiar los precios en cada período, elige mantener el precio lo más cercano a la media del precio idóneo sin fricciones. Este precio idóneo sin fricciones, bajo el supuesto de que existe competencia monopolística sería fijar un </w:t>
      </w:r>
      <w:proofErr w:type="spellStart"/>
      <w:r w:rsidRPr="00CF096E">
        <w:rPr>
          <w:i/>
          <w:highlight w:val="yellow"/>
        </w:rPr>
        <w:t>mark</w:t>
      </w:r>
      <w:proofErr w:type="spellEnd"/>
      <w:r w:rsidRPr="00CF096E">
        <w:rPr>
          <w:i/>
          <w:highlight w:val="yellow"/>
        </w:rPr>
        <w:t>-up</w:t>
      </w:r>
      <w:r w:rsidRPr="00CF096E">
        <w:rPr>
          <w:highlight w:val="yellow"/>
        </w:rPr>
        <w:t xml:space="preserve"> (</w:t>
      </w:r>
      <m:oMath>
        <m:r>
          <m:rPr>
            <m:nor/>
          </m:rPr>
          <w:rPr>
            <w:i/>
            <w:highlight w:val="yellow"/>
          </w:rPr>
          <m:t>μ</m:t>
        </m:r>
      </m:oMath>
      <w:r w:rsidRPr="00CF096E">
        <w:rPr>
          <w:highlight w:val="yellow"/>
        </w:rPr>
        <w:t>) sobre el coste marginal (</w:t>
      </w:r>
      <w:proofErr w:type="spellStart"/>
      <m:oMath>
        <m:r>
          <m:rPr>
            <m:nor/>
          </m:rPr>
          <w:rPr>
            <w:i/>
            <w:highlight w:val="yellow"/>
          </w:rPr>
          <m:t>CMg</m:t>
        </m:r>
      </m:oMath>
      <w:proofErr w:type="spellEnd"/>
      <w:r w:rsidRPr="00CF096E">
        <w:rPr>
          <w:highlight w:val="yellow"/>
        </w:rPr>
        <w:t>):</w:t>
      </w:r>
    </w:p>
    <w:p w14:paraId="26C3DF57" w14:textId="77777777" w:rsidR="00830096" w:rsidRPr="00CF096E" w:rsidRDefault="00830096" w:rsidP="00830096">
      <w:pPr>
        <w:keepNext/>
        <w:spacing w:after="0"/>
        <w:rPr>
          <w:rFonts w:eastAsiaTheme="minorEastAsia"/>
          <w:highlight w:val="yellow"/>
        </w:rPr>
      </w:pPr>
      <m:oMathPara>
        <m:oMath>
          <m:r>
            <m:rPr>
              <m:nor/>
            </m:rPr>
            <w:rPr>
              <w:rFonts w:eastAsiaTheme="minorEastAsia"/>
              <w:i/>
              <w:highlight w:val="yellow"/>
            </w:rPr>
            <m:t>P*</m:t>
          </m:r>
          <m:r>
            <w:rPr>
              <w:rFonts w:ascii="Cambria Math" w:eastAsiaTheme="minorEastAsia" w:hAnsi="Cambria Math"/>
              <w:highlight w:val="yellow"/>
            </w:rPr>
            <m:t>=</m:t>
          </m:r>
          <m:r>
            <m:rPr>
              <m:nor/>
            </m:rPr>
            <w:rPr>
              <w:rFonts w:eastAsiaTheme="minorEastAsia"/>
              <w:i/>
              <w:highlight w:val="yellow"/>
            </w:rPr>
            <m:t>μ</m:t>
          </m:r>
          <m:r>
            <w:rPr>
              <w:rFonts w:ascii="Cambria Math" w:eastAsiaTheme="minorEastAsia"/>
              <w:highlight w:val="yellow"/>
            </w:rPr>
            <m:t>+</m:t>
          </m:r>
          <m:r>
            <m:rPr>
              <m:nor/>
            </m:rPr>
            <w:rPr>
              <w:rFonts w:eastAsiaTheme="minorEastAsia"/>
              <w:i/>
              <w:highlight w:val="yellow"/>
            </w:rPr>
            <m:t>CMg</m:t>
          </m:r>
        </m:oMath>
      </m:oMathPara>
    </w:p>
    <w:p w14:paraId="435BD49D" w14:textId="77777777" w:rsidR="00830096" w:rsidRPr="00CF096E" w:rsidRDefault="00830096" w:rsidP="00830096">
      <w:pPr>
        <w:pStyle w:val="Nivel2SM"/>
        <w:keepNext/>
        <w:spacing w:after="0"/>
        <w:rPr>
          <w:highlight w:val="yellow"/>
        </w:rPr>
      </w:pPr>
      <w:r w:rsidRPr="00CF096E">
        <w:rPr>
          <w:highlight w:val="yellow"/>
        </w:rPr>
        <w:t>De este modo, la formulación de la curva de Phillips de la NEK sería la siguiente:</w:t>
      </w:r>
    </w:p>
    <w:p w14:paraId="34F853DE" w14:textId="77777777" w:rsidR="00830096" w:rsidRPr="00CF096E" w:rsidRDefault="00000000" w:rsidP="00830096">
      <w:pPr>
        <w:spacing w:after="0"/>
        <w:ind w:left="567" w:hanging="198"/>
        <w:rPr>
          <w:rFonts w:eastAsiaTheme="minorEastAsia"/>
          <w:iCs/>
          <w:highlight w:val="yellow"/>
        </w:rPr>
      </w:pPr>
      <m:oMathPara>
        <m:oMath>
          <m:sSub>
            <m:sSubPr>
              <m:ctrlPr>
                <w:rPr>
                  <w:rFonts w:ascii="Cambria Math" w:eastAsiaTheme="minorEastAsia" w:hAnsi="Cambria Math"/>
                  <w:i/>
                  <w:iCs/>
                  <w:highlight w:val="yellow"/>
                </w:rPr>
              </m:ctrlPr>
            </m:sSubPr>
            <m:e>
              <m:r>
                <m:rPr>
                  <m:nor/>
                </m:rPr>
                <w:rPr>
                  <w:rFonts w:eastAsiaTheme="minorEastAsia"/>
                  <w:i/>
                  <w:iCs/>
                  <w:highlight w:val="yellow"/>
                </w:rPr>
                <m:t>π</m:t>
              </m:r>
            </m:e>
            <m:sub>
              <m:r>
                <m:rPr>
                  <m:nor/>
                </m:rPr>
                <w:rPr>
                  <w:rFonts w:eastAsiaTheme="minorEastAsia"/>
                  <w:i/>
                  <w:iCs/>
                  <w:highlight w:val="yellow"/>
                </w:rPr>
                <m:t>t</m:t>
              </m:r>
            </m:sub>
          </m:sSub>
          <m:r>
            <w:rPr>
              <w:rFonts w:ascii="Cambria Math" w:eastAsiaTheme="minorEastAsia" w:hAnsi="Cambria Math"/>
              <w:highlight w:val="yellow"/>
            </w:rPr>
            <m:t>=</m:t>
          </m:r>
          <m:r>
            <m:rPr>
              <m:nor/>
            </m:rPr>
            <w:rPr>
              <w:i/>
              <w:iCs/>
              <w:highlight w:val="yellow"/>
            </w:rPr>
            <m:t>β</m:t>
          </m:r>
          <m:r>
            <w:rPr>
              <w:rFonts w:ascii="Cambria Math" w:eastAsiaTheme="minorEastAsia" w:hAnsi="Cambria Math"/>
              <w:highlight w:val="yellow"/>
            </w:rPr>
            <m:t>∙</m:t>
          </m:r>
          <m:sSub>
            <m:sSubPr>
              <m:ctrlPr>
                <w:rPr>
                  <w:rFonts w:ascii="Cambria Math" w:eastAsiaTheme="minorEastAsia" w:hAnsi="Cambria Math"/>
                  <w:i/>
                  <w:iCs/>
                  <w:highlight w:val="yellow"/>
                </w:rPr>
              </m:ctrlPr>
            </m:sSubPr>
            <m:e>
              <m:r>
                <m:rPr>
                  <m:nor/>
                </m:rPr>
                <w:rPr>
                  <w:rFonts w:eastAsiaTheme="minorEastAsia"/>
                  <w:i/>
                  <w:iCs/>
                  <w:highlight w:val="yellow"/>
                </w:rPr>
                <m:t>E</m:t>
              </m:r>
            </m:e>
            <m:sub>
              <m:r>
                <m:rPr>
                  <m:nor/>
                </m:rPr>
                <w:rPr>
                  <w:rFonts w:eastAsiaTheme="minorEastAsia"/>
                  <w:i/>
                  <w:iCs/>
                  <w:highlight w:val="yellow"/>
                </w:rPr>
                <m:t>t</m:t>
              </m:r>
            </m:sub>
          </m:sSub>
          <m:d>
            <m:dPr>
              <m:begChr m:val="["/>
              <m:endChr m:val="]"/>
              <m:ctrlPr>
                <w:rPr>
                  <w:rFonts w:ascii="Cambria Math" w:eastAsiaTheme="minorEastAsia" w:hAnsi="Cambria Math"/>
                  <w:i/>
                  <w:iCs/>
                  <w:highlight w:val="yellow"/>
                </w:rPr>
              </m:ctrlPr>
            </m:dPr>
            <m:e>
              <m:sSub>
                <m:sSubPr>
                  <m:ctrlPr>
                    <w:rPr>
                      <w:rFonts w:ascii="Cambria Math" w:eastAsiaTheme="minorEastAsia" w:hAnsi="Cambria Math"/>
                      <w:i/>
                      <w:iCs/>
                      <w:highlight w:val="yellow"/>
                    </w:rPr>
                  </m:ctrlPr>
                </m:sSubPr>
                <m:e>
                  <m:r>
                    <m:rPr>
                      <m:nor/>
                    </m:rPr>
                    <w:rPr>
                      <w:rFonts w:eastAsiaTheme="minorEastAsia"/>
                      <w:i/>
                      <w:iCs/>
                      <w:highlight w:val="yellow"/>
                    </w:rPr>
                    <m:t>π</m:t>
                  </m:r>
                </m:e>
                <m:sub>
                  <m:r>
                    <m:rPr>
                      <m:nor/>
                    </m:rPr>
                    <w:rPr>
                      <w:rFonts w:eastAsiaTheme="minorEastAsia"/>
                      <w:i/>
                      <w:iCs/>
                      <w:highlight w:val="yellow"/>
                    </w:rPr>
                    <m:t>t+1</m:t>
                  </m:r>
                </m:sub>
              </m:sSub>
            </m:e>
          </m:d>
          <m:r>
            <w:rPr>
              <w:rFonts w:ascii="Cambria Math" w:eastAsiaTheme="minorEastAsia" w:hAnsi="Cambria Math"/>
              <w:highlight w:val="yellow"/>
            </w:rPr>
            <m:t>+</m:t>
          </m:r>
          <m:d>
            <m:dPr>
              <m:ctrlPr>
                <w:rPr>
                  <w:rFonts w:ascii="Cambria Math" w:eastAsiaTheme="minorEastAsia" w:hAnsi="Cambria Math"/>
                  <w:i/>
                  <w:iCs/>
                  <w:highlight w:val="yellow"/>
                </w:rPr>
              </m:ctrlPr>
            </m:dPr>
            <m:e>
              <m:f>
                <m:fPr>
                  <m:ctrlPr>
                    <w:rPr>
                      <w:rFonts w:ascii="Cambria Math" w:eastAsiaTheme="minorEastAsia" w:hAnsi="Cambria Math"/>
                      <w:i/>
                      <w:iCs/>
                      <w:highlight w:val="yellow"/>
                    </w:rPr>
                  </m:ctrlPr>
                </m:fPr>
                <m:num>
                  <m:d>
                    <m:dPr>
                      <m:ctrlPr>
                        <w:rPr>
                          <w:rFonts w:ascii="Cambria Math" w:eastAsiaTheme="minorEastAsia" w:hAnsi="Cambria Math"/>
                          <w:i/>
                          <w:iCs/>
                          <w:highlight w:val="yellow"/>
                        </w:rPr>
                      </m:ctrlPr>
                    </m:dPr>
                    <m:e>
                      <m:r>
                        <m:rPr>
                          <m:nor/>
                        </m:rPr>
                        <w:rPr>
                          <w:rFonts w:eastAsiaTheme="minorEastAsia"/>
                          <w:i/>
                          <w:iCs/>
                          <w:highlight w:val="yellow"/>
                        </w:rPr>
                        <m:t>1</m:t>
                      </m:r>
                      <m:r>
                        <w:rPr>
                          <w:rFonts w:ascii="Cambria Math" w:eastAsiaTheme="minorEastAsia" w:hAnsi="Cambria Math"/>
                          <w:highlight w:val="yellow"/>
                        </w:rPr>
                        <m:t>-</m:t>
                      </m:r>
                      <m:r>
                        <m:rPr>
                          <m:nor/>
                        </m:rPr>
                        <w:rPr>
                          <w:i/>
                          <w:highlight w:val="yellow"/>
                          <w:lang w:val="fr-FR"/>
                        </w:rPr>
                        <m:t>η</m:t>
                      </m:r>
                    </m:e>
                  </m:d>
                  <m:r>
                    <w:rPr>
                      <w:rFonts w:ascii="Cambria Math" w:eastAsiaTheme="minorEastAsia" w:hAnsi="Cambria Math"/>
                      <w:highlight w:val="yellow"/>
                    </w:rPr>
                    <m:t>∙</m:t>
                  </m:r>
                  <m:d>
                    <m:dPr>
                      <m:ctrlPr>
                        <w:rPr>
                          <w:rFonts w:ascii="Cambria Math" w:eastAsiaTheme="minorEastAsia" w:hAnsi="Cambria Math"/>
                          <w:i/>
                          <w:iCs/>
                          <w:highlight w:val="yellow"/>
                        </w:rPr>
                      </m:ctrlPr>
                    </m:dPr>
                    <m:e>
                      <m:r>
                        <m:rPr>
                          <m:nor/>
                        </m:rPr>
                        <w:rPr>
                          <w:rFonts w:eastAsiaTheme="minorEastAsia"/>
                          <w:i/>
                          <w:iCs/>
                          <w:highlight w:val="yellow"/>
                        </w:rPr>
                        <m:t>1</m:t>
                      </m:r>
                      <m:r>
                        <w:rPr>
                          <w:rFonts w:ascii="Cambria Math" w:eastAsiaTheme="minorEastAsia" w:hAnsi="Cambria Math"/>
                          <w:highlight w:val="yellow"/>
                        </w:rPr>
                        <m:t>-</m:t>
                      </m:r>
                      <m:r>
                        <m:rPr>
                          <m:nor/>
                        </m:rPr>
                        <w:rPr>
                          <w:rFonts w:eastAsiaTheme="minorEastAsia"/>
                          <w:i/>
                          <w:iCs/>
                          <w:highlight w:val="yellow"/>
                        </w:rPr>
                        <m:t>β</m:t>
                      </m:r>
                      <m:r>
                        <w:rPr>
                          <w:rFonts w:ascii="Cambria Math" w:eastAsiaTheme="minorEastAsia" w:hAnsi="Cambria Math"/>
                          <w:highlight w:val="yellow"/>
                        </w:rPr>
                        <m:t>∙</m:t>
                      </m:r>
                      <m:r>
                        <m:rPr>
                          <m:nor/>
                        </m:rPr>
                        <w:rPr>
                          <w:i/>
                          <w:highlight w:val="yellow"/>
                          <w:lang w:val="fr-FR"/>
                        </w:rPr>
                        <m:t>η</m:t>
                      </m:r>
                    </m:e>
                  </m:d>
                </m:num>
                <m:den>
                  <m:r>
                    <m:rPr>
                      <m:nor/>
                    </m:rPr>
                    <w:rPr>
                      <w:i/>
                      <w:highlight w:val="yellow"/>
                      <w:lang w:val="fr-FR"/>
                    </w:rPr>
                    <m:t>η</m:t>
                  </m:r>
                </m:den>
              </m:f>
            </m:e>
          </m:d>
          <m:r>
            <w:rPr>
              <w:rFonts w:ascii="Cambria Math" w:eastAsiaTheme="minorEastAsia" w:hAnsi="Cambria Math"/>
              <w:highlight w:val="yellow"/>
            </w:rPr>
            <m:t>∙</m:t>
          </m:r>
          <m:d>
            <m:dPr>
              <m:ctrlPr>
                <w:rPr>
                  <w:rFonts w:ascii="Cambria Math" w:eastAsiaTheme="minorEastAsia" w:hAnsi="Cambria Math"/>
                  <w:i/>
                  <w:iCs/>
                  <w:highlight w:val="yellow"/>
                </w:rPr>
              </m:ctrlPr>
            </m:dPr>
            <m:e>
              <m:r>
                <m:rPr>
                  <m:nor/>
                </m:rPr>
                <w:rPr>
                  <w:rFonts w:eastAsiaTheme="minorEastAsia"/>
                  <w:i/>
                  <w:highlight w:val="yellow"/>
                </w:rPr>
                <m:t>μ</m:t>
              </m:r>
              <m:r>
                <w:rPr>
                  <w:rFonts w:ascii="Cambria Math" w:eastAsiaTheme="minorEastAsia"/>
                  <w:highlight w:val="yellow"/>
                </w:rPr>
                <m:t>+</m:t>
              </m:r>
              <m:r>
                <m:rPr>
                  <m:nor/>
                </m:rPr>
                <w:rPr>
                  <w:rFonts w:eastAsiaTheme="minorEastAsia"/>
                  <w:i/>
                  <w:highlight w:val="yellow"/>
                </w:rPr>
                <m:t>CMg</m:t>
              </m:r>
              <m:r>
                <w:rPr>
                  <w:rFonts w:ascii="Cambria Math" w:eastAsiaTheme="minorEastAsia" w:hAnsi="Cambria Math"/>
                  <w:highlight w:val="yellow"/>
                </w:rPr>
                <m:t>-</m:t>
              </m:r>
              <m:sSub>
                <m:sSubPr>
                  <m:ctrlPr>
                    <w:rPr>
                      <w:rFonts w:ascii="Cambria Math" w:eastAsiaTheme="minorEastAsia" w:hAnsi="Cambria Math"/>
                      <w:i/>
                      <w:iCs/>
                      <w:highlight w:val="yellow"/>
                    </w:rPr>
                  </m:ctrlPr>
                </m:sSubPr>
                <m:e>
                  <m:r>
                    <m:rPr>
                      <m:nor/>
                    </m:rPr>
                    <w:rPr>
                      <w:rFonts w:eastAsiaTheme="minorEastAsia"/>
                      <w:i/>
                      <w:highlight w:val="yellow"/>
                    </w:rPr>
                    <m:t>P</m:t>
                  </m:r>
                </m:e>
                <m:sub>
                  <m:r>
                    <m:rPr>
                      <m:nor/>
                    </m:rPr>
                    <w:rPr>
                      <w:rFonts w:eastAsiaTheme="minorEastAsia"/>
                      <w:i/>
                      <w:iCs/>
                      <w:highlight w:val="yellow"/>
                    </w:rPr>
                    <m:t>t</m:t>
                  </m:r>
                </m:sub>
              </m:sSub>
            </m:e>
          </m:d>
          <m:r>
            <w:rPr>
              <w:rFonts w:ascii="Cambria Math" w:eastAsiaTheme="minorEastAsia" w:hAnsi="Cambria Math"/>
              <w:highlight w:val="yellow"/>
            </w:rPr>
            <m:t>+</m:t>
          </m:r>
          <m:sSub>
            <m:sSubPr>
              <m:ctrlPr>
                <w:rPr>
                  <w:rFonts w:ascii="Cambria Math" w:eastAsiaTheme="minorEastAsia" w:hAnsi="Cambria Math"/>
                  <w:i/>
                  <w:iCs/>
                  <w:highlight w:val="yellow"/>
                </w:rPr>
              </m:ctrlPr>
            </m:sSubPr>
            <m:e>
              <m:r>
                <m:rPr>
                  <m:nor/>
                </m:rPr>
                <w:rPr>
                  <w:rFonts w:eastAsiaTheme="minorEastAsia"/>
                  <w:i/>
                  <w:iCs/>
                  <w:highlight w:val="yellow"/>
                </w:rPr>
                <m:t>e</m:t>
              </m:r>
            </m:e>
            <m:sub>
              <m:r>
                <m:rPr>
                  <m:nor/>
                </m:rPr>
                <w:rPr>
                  <w:rFonts w:eastAsiaTheme="minorEastAsia"/>
                  <w:i/>
                  <w:iCs/>
                  <w:highlight w:val="yellow"/>
                </w:rPr>
                <m:t>t</m:t>
              </m:r>
            </m:sub>
          </m:sSub>
          <m:r>
            <m:rPr>
              <m:sty m:val="p"/>
            </m:rPr>
            <w:rPr>
              <w:rFonts w:ascii="Cambria Math" w:eastAsiaTheme="minorEastAsia" w:hAnsi="Cambria Math"/>
              <w:highlight w:val="yellow"/>
            </w:rPr>
            <w:br/>
          </m:r>
        </m:oMath>
      </m:oMathPara>
      <w:r w:rsidR="00830096" w:rsidRPr="00CF096E">
        <w:rPr>
          <w:rFonts w:eastAsiaTheme="minorEastAsia"/>
          <w:iCs/>
          <w:highlight w:val="yellow"/>
        </w:rPr>
        <w:t xml:space="preserve">donde </w:t>
      </w:r>
      <m:oMath>
        <m:r>
          <m:rPr>
            <m:nor/>
          </m:rPr>
          <w:rPr>
            <w:rFonts w:eastAsiaTheme="minorEastAsia"/>
            <w:i/>
            <w:iCs/>
            <w:highlight w:val="yellow"/>
          </w:rPr>
          <m:t>β</m:t>
        </m:r>
      </m:oMath>
      <w:r w:rsidR="00830096" w:rsidRPr="00CF096E">
        <w:rPr>
          <w:rFonts w:eastAsiaTheme="minorEastAsia"/>
          <w:iCs/>
          <w:highlight w:val="yellow"/>
        </w:rPr>
        <w:t xml:space="preserve"> es la tasa de descuento </w:t>
      </w:r>
      <w:proofErr w:type="spellStart"/>
      <w:r w:rsidR="00830096" w:rsidRPr="00CF096E">
        <w:rPr>
          <w:rFonts w:eastAsiaTheme="minorEastAsia"/>
          <w:iCs/>
          <w:highlight w:val="yellow"/>
        </w:rPr>
        <w:t>intertemporal</w:t>
      </w:r>
      <w:proofErr w:type="spellEnd"/>
      <w:r w:rsidR="00830096" w:rsidRPr="00CF096E">
        <w:rPr>
          <w:rFonts w:eastAsiaTheme="minorEastAsia"/>
          <w:iCs/>
          <w:highlight w:val="yellow"/>
        </w:rPr>
        <w:t xml:space="preserve"> de los hogares.</w:t>
      </w:r>
    </w:p>
    <w:p w14:paraId="35B63468" w14:textId="77777777" w:rsidR="00830096" w:rsidRPr="00CF096E" w:rsidRDefault="00830096" w:rsidP="00830096">
      <w:pPr>
        <w:pStyle w:val="Nivel2SM"/>
        <w:rPr>
          <w:rFonts w:eastAsiaTheme="minorEastAsia"/>
          <w:iCs/>
          <w:highlight w:val="yellow"/>
        </w:rPr>
      </w:pPr>
      <w:r w:rsidRPr="00CF096E">
        <w:rPr>
          <w:highlight w:val="yellow"/>
        </w:rPr>
        <w:t>Esta ecuación es una log-</w:t>
      </w:r>
      <w:proofErr w:type="spellStart"/>
      <w:r w:rsidRPr="00CF096E">
        <w:rPr>
          <w:highlight w:val="yellow"/>
        </w:rPr>
        <w:t>linearización</w:t>
      </w:r>
      <w:proofErr w:type="spellEnd"/>
      <w:r w:rsidRPr="00CF096E">
        <w:rPr>
          <w:highlight w:val="yellow"/>
        </w:rPr>
        <w:t xml:space="preserve"> de la ecuación de precios del agregado de empresas no competitivas.</w:t>
      </w:r>
    </w:p>
    <w:p w14:paraId="2A053B92" w14:textId="77777777" w:rsidR="00830096" w:rsidRPr="00CF096E" w:rsidRDefault="00830096" w:rsidP="00830096">
      <w:pPr>
        <w:pStyle w:val="Nivel2SM"/>
        <w:keepNext/>
        <w:spacing w:after="0"/>
        <w:rPr>
          <w:rFonts w:eastAsiaTheme="minorEastAsia"/>
          <w:iCs/>
          <w:highlight w:val="yellow"/>
        </w:rPr>
      </w:pPr>
      <w:r w:rsidRPr="00CF096E">
        <w:rPr>
          <w:rFonts w:eastAsiaTheme="minorEastAsia"/>
          <w:iCs/>
          <w:highlight w:val="yellow"/>
        </w:rPr>
        <w:t>De acuerdo con la ecuación, la tasa de inflación depende de:</w:t>
      </w:r>
    </w:p>
    <w:p w14:paraId="25CB15F3" w14:textId="77777777" w:rsidR="00830096" w:rsidRPr="00CF096E" w:rsidRDefault="00830096" w:rsidP="00830096">
      <w:pPr>
        <w:pStyle w:val="Nivel3SM"/>
        <w:rPr>
          <w:highlight w:val="yellow"/>
        </w:rPr>
      </w:pPr>
      <w:r w:rsidRPr="00CF096E">
        <w:rPr>
          <w:highlight w:val="yellow"/>
        </w:rPr>
        <w:t xml:space="preserve">La inflación esperada para el siguiente período, </w:t>
      </w:r>
      <m:oMath>
        <m:sSub>
          <m:sSubPr>
            <m:ctrlPr>
              <w:rPr>
                <w:rFonts w:ascii="Cambria Math" w:hAnsi="Cambria Math"/>
                <w:i/>
                <w:highlight w:val="yellow"/>
              </w:rPr>
            </m:ctrlPr>
          </m:sSubPr>
          <m:e>
            <m:r>
              <m:rPr>
                <m:nor/>
              </m:rPr>
              <w:rPr>
                <w:i/>
                <w:highlight w:val="yellow"/>
              </w:rPr>
              <m:t>E</m:t>
            </m:r>
          </m:e>
          <m:sub>
            <m:r>
              <m:rPr>
                <m:nor/>
              </m:rPr>
              <w:rPr>
                <w:i/>
                <w:highlight w:val="yellow"/>
              </w:rPr>
              <m:t>t</m:t>
            </m:r>
          </m:sub>
        </m:sSub>
        <m:d>
          <m:dPr>
            <m:begChr m:val="["/>
            <m:endChr m:val="]"/>
            <m:ctrlPr>
              <w:rPr>
                <w:rFonts w:ascii="Cambria Math" w:hAnsi="Cambria Math"/>
                <w:i/>
                <w:highlight w:val="yellow"/>
              </w:rPr>
            </m:ctrlPr>
          </m:dPr>
          <m:e>
            <m:sSub>
              <m:sSubPr>
                <m:ctrlPr>
                  <w:rPr>
                    <w:rFonts w:ascii="Cambria Math" w:hAnsi="Cambria Math"/>
                    <w:i/>
                    <w:highlight w:val="yellow"/>
                  </w:rPr>
                </m:ctrlPr>
              </m:sSubPr>
              <m:e>
                <m:r>
                  <m:rPr>
                    <m:nor/>
                  </m:rPr>
                  <w:rPr>
                    <w:i/>
                    <w:highlight w:val="yellow"/>
                  </w:rPr>
                  <m:t>π</m:t>
                </m:r>
              </m:e>
              <m:sub>
                <m:r>
                  <m:rPr>
                    <m:nor/>
                  </m:rPr>
                  <w:rPr>
                    <w:i/>
                    <w:highlight w:val="yellow"/>
                  </w:rPr>
                  <m:t>t+1</m:t>
                </m:r>
              </m:sub>
            </m:sSub>
          </m:e>
        </m:d>
      </m:oMath>
      <w:r w:rsidRPr="00CF096E">
        <w:rPr>
          <w:highlight w:val="yellow"/>
        </w:rPr>
        <w:t>, y</w:t>
      </w:r>
    </w:p>
    <w:p w14:paraId="7B15D0CF" w14:textId="77777777" w:rsidR="00830096" w:rsidRPr="00CF096E" w:rsidRDefault="00830096" w:rsidP="00830096">
      <w:pPr>
        <w:pStyle w:val="Nivel3SM"/>
        <w:keepNext/>
        <w:rPr>
          <w:spacing w:val="-4"/>
          <w:highlight w:val="yellow"/>
        </w:rPr>
      </w:pPr>
      <w:r w:rsidRPr="00CF096E">
        <w:rPr>
          <w:spacing w:val="-4"/>
          <w:highlight w:val="yellow"/>
        </w:rPr>
        <w:t>El gap entre el precio óptimo sin fricciones (</w:t>
      </w:r>
      <m:oMath>
        <m:r>
          <m:rPr>
            <m:nor/>
          </m:rPr>
          <w:rPr>
            <w:i/>
            <w:spacing w:val="-4"/>
            <w:highlight w:val="yellow"/>
          </w:rPr>
          <m:t>μ</m:t>
        </m:r>
        <m:r>
          <w:rPr>
            <w:rFonts w:ascii="Cambria Math"/>
            <w:spacing w:val="-4"/>
            <w:highlight w:val="yellow"/>
          </w:rPr>
          <m:t>+</m:t>
        </m:r>
        <m:sSub>
          <m:sSubPr>
            <m:ctrlPr>
              <w:rPr>
                <w:rFonts w:ascii="Cambria Math" w:hAnsi="Cambria Math"/>
                <w:i/>
                <w:spacing w:val="-4"/>
                <w:highlight w:val="yellow"/>
              </w:rPr>
            </m:ctrlPr>
          </m:sSubPr>
          <m:e>
            <m:r>
              <m:rPr>
                <m:nor/>
              </m:rPr>
              <w:rPr>
                <w:i/>
                <w:spacing w:val="-4"/>
                <w:highlight w:val="yellow"/>
              </w:rPr>
              <m:t>CMg</m:t>
            </m:r>
          </m:e>
          <m:sub>
            <m:r>
              <m:rPr>
                <m:nor/>
              </m:rPr>
              <w:rPr>
                <w:i/>
                <w:spacing w:val="-4"/>
                <w:highlight w:val="yellow"/>
              </w:rPr>
              <m:t>t</m:t>
            </m:r>
          </m:sub>
        </m:sSub>
      </m:oMath>
      <w:r w:rsidRPr="00CF096E">
        <w:rPr>
          <w:spacing w:val="-4"/>
          <w:highlight w:val="yellow"/>
        </w:rPr>
        <w:t>) y el nivel general de precios actual (</w:t>
      </w:r>
      <m:oMath>
        <m:sSub>
          <m:sSubPr>
            <m:ctrlPr>
              <w:rPr>
                <w:rFonts w:ascii="Cambria Math" w:hAnsi="Cambria Math"/>
                <w:i/>
                <w:spacing w:val="-4"/>
                <w:highlight w:val="yellow"/>
              </w:rPr>
            </m:ctrlPr>
          </m:sSubPr>
          <m:e>
            <m:r>
              <m:rPr>
                <m:nor/>
              </m:rPr>
              <w:rPr>
                <w:i/>
                <w:spacing w:val="-4"/>
                <w:highlight w:val="yellow"/>
              </w:rPr>
              <m:t>P</m:t>
            </m:r>
          </m:e>
          <m:sub>
            <m:r>
              <m:rPr>
                <m:nor/>
              </m:rPr>
              <w:rPr>
                <w:i/>
                <w:spacing w:val="-4"/>
                <w:highlight w:val="yellow"/>
              </w:rPr>
              <m:t>t</m:t>
            </m:r>
          </m:sub>
        </m:sSub>
      </m:oMath>
      <w:r w:rsidRPr="00CF096E">
        <w:rPr>
          <w:spacing w:val="-4"/>
          <w:highlight w:val="yellow"/>
        </w:rPr>
        <w:t>).</w:t>
      </w:r>
    </w:p>
    <w:p w14:paraId="0EF8849F" w14:textId="77777777" w:rsidR="00830096" w:rsidRPr="00CF096E" w:rsidRDefault="00830096" w:rsidP="00830096">
      <w:pPr>
        <w:pStyle w:val="Nivel4"/>
        <w:ind w:left="1474"/>
        <w:rPr>
          <w:highlight w:val="yellow"/>
        </w:rPr>
      </w:pPr>
      <w:r w:rsidRPr="00CF096E">
        <w:rPr>
          <w:highlight w:val="yellow"/>
        </w:rPr>
        <w:t xml:space="preserve">Otra forma de ver esto es que la inflación depende positivamente del coste marginal real </w:t>
      </w:r>
      <m:oMath>
        <m:sSub>
          <m:sSubPr>
            <m:ctrlPr>
              <w:rPr>
                <w:rFonts w:ascii="Cambria Math" w:hAnsi="Cambria Math"/>
                <w:i/>
                <w:highlight w:val="yellow"/>
              </w:rPr>
            </m:ctrlPr>
          </m:sSubPr>
          <m:e>
            <m:r>
              <m:rPr>
                <m:nor/>
              </m:rPr>
              <w:rPr>
                <w:i/>
                <w:highlight w:val="yellow"/>
              </w:rPr>
              <m:t>CMg</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P</m:t>
            </m:r>
          </m:e>
          <m:sub>
            <m:r>
              <m:rPr>
                <m:nor/>
              </m:rPr>
              <w:rPr>
                <w:i/>
                <w:highlight w:val="yellow"/>
              </w:rPr>
              <m:t>t</m:t>
            </m:r>
          </m:sub>
        </m:sSub>
      </m:oMath>
      <w:r w:rsidRPr="00CF096E">
        <w:rPr>
          <w:highlight w:val="yellow"/>
        </w:rPr>
        <w:t xml:space="preserve">. A las empresas que fijan precios </w:t>
      </w:r>
      <w:r w:rsidRPr="00CF096E">
        <w:rPr>
          <w:i/>
          <w:iCs/>
          <w:highlight w:val="yellow"/>
        </w:rPr>
        <w:t>à la</w:t>
      </w:r>
      <w:r w:rsidRPr="00CF096E">
        <w:rPr>
          <w:highlight w:val="yellow"/>
        </w:rPr>
        <w:t xml:space="preserve"> </w:t>
      </w:r>
      <w:r w:rsidRPr="00CF096E">
        <w:rPr>
          <w:smallCaps/>
          <w:highlight w:val="yellow"/>
        </w:rPr>
        <w:t>Calvo</w:t>
      </w:r>
      <w:r w:rsidRPr="00CF096E">
        <w:rPr>
          <w:highlight w:val="yellow"/>
        </w:rPr>
        <w:t xml:space="preserve"> les gustaría mantener su precio como un </w:t>
      </w:r>
      <w:proofErr w:type="spellStart"/>
      <w:r w:rsidRPr="00CF096E">
        <w:rPr>
          <w:i/>
          <w:highlight w:val="yellow"/>
        </w:rPr>
        <w:t>mark</w:t>
      </w:r>
      <w:proofErr w:type="spellEnd"/>
      <w:r w:rsidRPr="00CF096E">
        <w:rPr>
          <w:i/>
          <w:highlight w:val="yellow"/>
        </w:rPr>
        <w:t>-up</w:t>
      </w:r>
      <w:r w:rsidRPr="00CF096E">
        <w:rPr>
          <w:highlight w:val="yellow"/>
        </w:rPr>
        <w:t xml:space="preserve"> sobre el coste marginal. Si el coste marginal real aumenta, entonces habrá presiones inflacionistas porque todas las empresas tendrán que reajustar sus precios, incrementándolos.</w:t>
      </w:r>
    </w:p>
    <w:p w14:paraId="6F047F22" w14:textId="77777777" w:rsidR="00830096" w:rsidRPr="00CF096E" w:rsidRDefault="00000000" w:rsidP="00830096">
      <w:pPr>
        <w:pStyle w:val="Nivel3SM"/>
        <w:rPr>
          <w:highlight w:val="yellow"/>
        </w:rPr>
      </w:pPr>
      <m:oMath>
        <m:sSub>
          <m:sSubPr>
            <m:ctrlPr>
              <w:rPr>
                <w:rFonts w:ascii="Cambria Math" w:hAnsi="Cambria Math"/>
                <w:i/>
                <w:highlight w:val="yellow"/>
                <w14:glow w14:rad="38100">
                  <w14:srgbClr w14:val="C00000">
                    <w14:alpha w14:val="75000"/>
                  </w14:srgbClr>
                </w14:glow>
              </w:rPr>
            </m:ctrlPr>
          </m:sSubPr>
          <m:e>
            <m:r>
              <m:rPr>
                <m:nor/>
              </m:rPr>
              <w:rPr>
                <w:i/>
                <w:highlight w:val="yellow"/>
                <w14:glow w14:rad="38100">
                  <w14:srgbClr w14:val="C00000">
                    <w14:alpha w14:val="75000"/>
                  </w14:srgbClr>
                </w14:glow>
              </w:rPr>
              <m:t>e</m:t>
            </m:r>
          </m:e>
          <m:sub>
            <m:r>
              <m:rPr>
                <m:nor/>
              </m:rPr>
              <w:rPr>
                <w:i/>
                <w:highlight w:val="yellow"/>
                <w14:glow w14:rad="38100">
                  <w14:srgbClr w14:val="C00000">
                    <w14:alpha w14:val="75000"/>
                  </w14:srgbClr>
                </w14:glow>
              </w:rPr>
              <m:t>t</m:t>
            </m:r>
          </m:sub>
        </m:sSub>
      </m:oMath>
      <w:r w:rsidR="00830096" w:rsidRPr="00CF096E">
        <w:rPr>
          <w:highlight w:val="yellow"/>
          <w14:glow w14:rad="38100">
            <w14:srgbClr w14:val="C00000">
              <w14:alpha w14:val="75000"/>
            </w14:srgbClr>
          </w14:glow>
        </w:rPr>
        <w:t xml:space="preserve"> es un shock de costes</w:t>
      </w:r>
      <w:r w:rsidR="00830096" w:rsidRPr="00CF096E">
        <w:rPr>
          <w:highlight w:val="yellow"/>
        </w:rPr>
        <w:t>.</w:t>
      </w:r>
    </w:p>
    <w:p w14:paraId="1A8E1E1C" w14:textId="77777777" w:rsidR="00830096" w:rsidRPr="00CF096E" w:rsidRDefault="00830096" w:rsidP="00830096">
      <w:pPr>
        <w:pStyle w:val="Nivel2SM"/>
        <w:keepNext/>
        <w:spacing w:after="0"/>
        <w:rPr>
          <w:highlight w:val="yellow"/>
        </w:rPr>
      </w:pPr>
      <w:r w:rsidRPr="00CF096E">
        <w:rPr>
          <w:highlight w:val="yellow"/>
        </w:rPr>
        <w:t>Para simplificar esta expresión y llegar a la Curva de Phillips de la NEK más habitual procedemos en dos pasos:</w:t>
      </w:r>
    </w:p>
    <w:p w14:paraId="5925DB3B" w14:textId="77777777" w:rsidR="00830096" w:rsidRPr="00CF096E" w:rsidRDefault="00830096" w:rsidP="00830096">
      <w:pPr>
        <w:pStyle w:val="Nivel3SM"/>
        <w:rPr>
          <w:highlight w:val="yellow"/>
        </w:rPr>
      </w:pPr>
      <w:r w:rsidRPr="00CF096E">
        <w:rPr>
          <w:highlight w:val="yellow"/>
        </w:rPr>
        <w:t>Se puede simplificar la expresión (</w:t>
      </w:r>
      <m:oMath>
        <m:r>
          <m:rPr>
            <m:nor/>
          </m:rPr>
          <w:rPr>
            <w:i/>
            <w:iCs/>
            <w:highlight w:val="yellow"/>
          </w:rPr>
          <m:t>μ</m:t>
        </m:r>
        <m:r>
          <w:rPr>
            <w:rFonts w:ascii="Cambria Math"/>
            <w:highlight w:val="yellow"/>
          </w:rPr>
          <m:t>+</m:t>
        </m:r>
        <m:sSub>
          <m:sSubPr>
            <m:ctrlPr>
              <w:rPr>
                <w:rFonts w:ascii="Cambria Math" w:hAnsi="Cambria Math"/>
                <w:i/>
                <w:iCs/>
                <w:highlight w:val="yellow"/>
              </w:rPr>
            </m:ctrlPr>
          </m:sSubPr>
          <m:e>
            <m:r>
              <m:rPr>
                <m:nor/>
              </m:rPr>
              <w:rPr>
                <w:i/>
                <w:iCs/>
                <w:highlight w:val="yellow"/>
              </w:rPr>
              <m:t>CMg</m:t>
            </m:r>
          </m:e>
          <m:sub>
            <m:r>
              <m:rPr>
                <m:nor/>
              </m:rPr>
              <w:rPr>
                <w:i/>
                <w:iCs/>
                <w:highlight w:val="yellow"/>
              </w:rPr>
              <m:t>t</m:t>
            </m:r>
          </m:sub>
        </m:sSub>
        <m:r>
          <w:rPr>
            <w:rFonts w:ascii="Cambria Math" w:hAnsi="Cambria Math"/>
            <w:highlight w:val="yellow"/>
          </w:rPr>
          <m:t>-</m:t>
        </m:r>
        <m:sSub>
          <m:sSubPr>
            <m:ctrlPr>
              <w:rPr>
                <w:rFonts w:ascii="Cambria Math" w:hAnsi="Cambria Math"/>
                <w:i/>
                <w:iCs/>
                <w:highlight w:val="yellow"/>
              </w:rPr>
            </m:ctrlPr>
          </m:sSubPr>
          <m:e>
            <m:r>
              <m:rPr>
                <m:nor/>
              </m:rPr>
              <w:rPr>
                <w:i/>
                <w:iCs/>
                <w:highlight w:val="yellow"/>
              </w:rPr>
              <m:t>P</m:t>
            </m:r>
          </m:e>
          <m:sub>
            <m:r>
              <m:rPr>
                <m:nor/>
              </m:rPr>
              <w:rPr>
                <w:i/>
                <w:iCs/>
                <w:highlight w:val="yellow"/>
              </w:rPr>
              <m:t>t</m:t>
            </m:r>
          </m:sub>
        </m:sSub>
      </m:oMath>
      <w:r w:rsidRPr="00CF096E">
        <w:rPr>
          <w:highlight w:val="yellow"/>
        </w:rPr>
        <w:t>), reformulándola como la desviación del coste marginal real (</w:t>
      </w:r>
      <m:oMath>
        <m:sSub>
          <m:sSubPr>
            <m:ctrlPr>
              <w:rPr>
                <w:rFonts w:ascii="Cambria Math" w:hAnsi="Cambria Math"/>
                <w:i/>
                <w:iCs/>
                <w:highlight w:val="yellow"/>
              </w:rPr>
            </m:ctrlPr>
          </m:sSubPr>
          <m:e>
            <m:r>
              <m:rPr>
                <m:nor/>
              </m:rPr>
              <w:rPr>
                <w:i/>
                <w:iCs/>
                <w:highlight w:val="yellow"/>
              </w:rPr>
              <m:t>CMg</m:t>
            </m:r>
          </m:e>
          <m:sub>
            <m:r>
              <m:rPr>
                <m:nor/>
              </m:rPr>
              <w:rPr>
                <w:i/>
                <w:iCs/>
                <w:highlight w:val="yellow"/>
              </w:rPr>
              <m:t>t</m:t>
            </m:r>
          </m:sub>
        </m:sSub>
        <m:r>
          <w:rPr>
            <w:rFonts w:ascii="Cambria Math" w:hAnsi="Cambria Math"/>
            <w:highlight w:val="yellow"/>
          </w:rPr>
          <m:t>-</m:t>
        </m:r>
        <m:sSub>
          <m:sSubPr>
            <m:ctrlPr>
              <w:rPr>
                <w:rFonts w:ascii="Cambria Math" w:hAnsi="Cambria Math"/>
                <w:i/>
                <w:iCs/>
                <w:highlight w:val="yellow"/>
              </w:rPr>
            </m:ctrlPr>
          </m:sSubPr>
          <m:e>
            <m:r>
              <m:rPr>
                <m:nor/>
              </m:rPr>
              <w:rPr>
                <w:i/>
                <w:iCs/>
                <w:highlight w:val="yellow"/>
              </w:rPr>
              <m:t>P</m:t>
            </m:r>
          </m:e>
          <m:sub>
            <m:r>
              <m:rPr>
                <m:nor/>
              </m:rPr>
              <w:rPr>
                <w:i/>
                <w:iCs/>
                <w:highlight w:val="yellow"/>
              </w:rPr>
              <m:t>t</m:t>
            </m:r>
          </m:sub>
        </m:sSub>
      </m:oMath>
      <w:r w:rsidRPr="00CF096E">
        <w:rPr>
          <w:highlight w:val="yellow"/>
        </w:rPr>
        <w:t>) y el coste marginal real óptimo sin fricciones (</w:t>
      </w:r>
      <m:oMath>
        <m:r>
          <m:rPr>
            <m:sty m:val="p"/>
          </m:rPr>
          <w:rPr>
            <w:rFonts w:ascii="Cambria Math" w:hAnsi="Cambria Math"/>
            <w:highlight w:val="yellow"/>
          </w:rPr>
          <m:t>-</m:t>
        </m:r>
        <m:r>
          <m:rPr>
            <m:nor/>
          </m:rPr>
          <w:rPr>
            <w:i/>
            <w:iCs/>
            <w:highlight w:val="yellow"/>
          </w:rPr>
          <m:t>μ</m:t>
        </m:r>
        <m:r>
          <w:rPr>
            <w:rFonts w:ascii="Cambria Math"/>
            <w:highlight w:val="yellow"/>
          </w:rPr>
          <m:t>=</m:t>
        </m:r>
        <m:sSub>
          <m:sSubPr>
            <m:ctrlPr>
              <w:rPr>
                <w:rFonts w:ascii="Cambria Math" w:hAnsi="Cambria Math"/>
                <w:i/>
                <w:iCs/>
                <w:highlight w:val="yellow"/>
              </w:rPr>
            </m:ctrlPr>
          </m:sSubPr>
          <m:e>
            <m:r>
              <m:rPr>
                <m:nor/>
              </m:rPr>
              <w:rPr>
                <w:i/>
                <w:iCs/>
                <w:highlight w:val="yellow"/>
              </w:rPr>
              <m:t>CMg</m:t>
            </m:r>
          </m:e>
          <m:sub>
            <m:r>
              <m:rPr>
                <m:nor/>
              </m:rPr>
              <w:rPr>
                <w:i/>
                <w:iCs/>
                <w:highlight w:val="yellow"/>
              </w:rPr>
              <m:t>t</m:t>
            </m:r>
          </m:sub>
        </m:sSub>
        <m:r>
          <w:rPr>
            <w:rFonts w:ascii="Cambria Math" w:hAnsi="Cambria Math"/>
            <w:highlight w:val="yellow"/>
          </w:rPr>
          <m:t>-</m:t>
        </m:r>
        <m:r>
          <m:rPr>
            <m:nor/>
          </m:rPr>
          <w:rPr>
            <w:rFonts w:eastAsiaTheme="minorEastAsia"/>
            <w:i/>
            <w:iCs/>
            <w:highlight w:val="yellow"/>
          </w:rPr>
          <m:t>P*</m:t>
        </m:r>
      </m:oMath>
      <w:r w:rsidRPr="00CF096E">
        <w:rPr>
          <w:highlight w:val="yellow"/>
        </w:rPr>
        <w:t>). De este modo, podríamos sustituir (</w:t>
      </w:r>
      <m:oMath>
        <m:r>
          <m:rPr>
            <m:nor/>
          </m:rPr>
          <w:rPr>
            <w:i/>
            <w:iCs/>
            <w:highlight w:val="yellow"/>
          </w:rPr>
          <m:t>μ</m:t>
        </m:r>
        <m:r>
          <w:rPr>
            <w:rFonts w:ascii="Cambria Math"/>
            <w:highlight w:val="yellow"/>
          </w:rPr>
          <m:t>+</m:t>
        </m:r>
        <m:sSub>
          <m:sSubPr>
            <m:ctrlPr>
              <w:rPr>
                <w:rFonts w:ascii="Cambria Math" w:hAnsi="Cambria Math"/>
                <w:i/>
                <w:iCs/>
                <w:highlight w:val="yellow"/>
              </w:rPr>
            </m:ctrlPr>
          </m:sSubPr>
          <m:e>
            <m:r>
              <m:rPr>
                <m:nor/>
              </m:rPr>
              <w:rPr>
                <w:i/>
                <w:iCs/>
                <w:highlight w:val="yellow"/>
              </w:rPr>
              <m:t>CMg</m:t>
            </m:r>
          </m:e>
          <m:sub>
            <m:r>
              <m:rPr>
                <m:nor/>
              </m:rPr>
              <w:rPr>
                <w:i/>
                <w:iCs/>
                <w:highlight w:val="yellow"/>
              </w:rPr>
              <m:t>t</m:t>
            </m:r>
          </m:sub>
        </m:sSub>
        <m:r>
          <w:rPr>
            <w:rFonts w:ascii="Cambria Math" w:hAnsi="Cambria Math"/>
            <w:highlight w:val="yellow"/>
          </w:rPr>
          <m:t>-</m:t>
        </m:r>
        <m:sSub>
          <m:sSubPr>
            <m:ctrlPr>
              <w:rPr>
                <w:rFonts w:ascii="Cambria Math" w:hAnsi="Cambria Math"/>
                <w:i/>
                <w:iCs/>
                <w:highlight w:val="yellow"/>
              </w:rPr>
            </m:ctrlPr>
          </m:sSubPr>
          <m:e>
            <m:r>
              <m:rPr>
                <m:nor/>
              </m:rPr>
              <w:rPr>
                <w:i/>
                <w:iCs/>
                <w:highlight w:val="yellow"/>
              </w:rPr>
              <m:t>P</m:t>
            </m:r>
          </m:e>
          <m:sub>
            <m:r>
              <m:rPr>
                <m:nor/>
              </m:rPr>
              <w:rPr>
                <w:i/>
                <w:iCs/>
                <w:highlight w:val="yellow"/>
              </w:rPr>
              <m:t>t</m:t>
            </m:r>
          </m:sub>
        </m:sSub>
      </m:oMath>
      <w:r w:rsidRPr="00CF096E">
        <w:rPr>
          <w:highlight w:val="yellow"/>
        </w:rPr>
        <w:t>) por la desviación del coste marginal (</w:t>
      </w:r>
      <w:proofErr w:type="spellStart"/>
      <m:oMath>
        <m:r>
          <m:rPr>
            <m:nor/>
          </m:rPr>
          <w:rPr>
            <w:i/>
            <w:highlight w:val="yellow"/>
          </w:rPr>
          <m:t>dcmg</m:t>
        </m:r>
        <w:proofErr w:type="spellEnd"/>
        <m:r>
          <w:rPr>
            <w:rFonts w:ascii="Cambria Math" w:hAnsi="Cambria Math"/>
            <w:highlight w:val="yellow"/>
          </w:rPr>
          <m:t>=</m:t>
        </m:r>
        <m:r>
          <m:rPr>
            <m:nor/>
          </m:rPr>
          <w:rPr>
            <w:i/>
            <w:highlight w:val="yellow"/>
          </w:rPr>
          <m:t>μ</m:t>
        </m:r>
        <m:r>
          <w:rPr>
            <w:rFonts w:ascii="Cambria Math"/>
            <w:highlight w:val="yellow"/>
          </w:rPr>
          <m:t>+</m:t>
        </m:r>
        <m:sSub>
          <m:sSubPr>
            <m:ctrlPr>
              <w:rPr>
                <w:rFonts w:ascii="Cambria Math" w:hAnsi="Cambria Math"/>
                <w:i/>
                <w:highlight w:val="yellow"/>
              </w:rPr>
            </m:ctrlPr>
          </m:sSubPr>
          <m:e>
            <m:r>
              <m:rPr>
                <m:nor/>
              </m:rPr>
              <w:rPr>
                <w:i/>
                <w:highlight w:val="yellow"/>
              </w:rPr>
              <m:t>CMg</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P</m:t>
            </m:r>
          </m:e>
          <m:sub>
            <m:r>
              <m:rPr>
                <m:nor/>
              </m:rPr>
              <w:rPr>
                <w:i/>
                <w:highlight w:val="yellow"/>
              </w:rPr>
              <m:t>t</m:t>
            </m:r>
          </m:sub>
        </m:sSub>
      </m:oMath>
      <w:r w:rsidRPr="00CF096E">
        <w:rPr>
          <w:highlight w:val="yellow"/>
        </w:rPr>
        <w:t>).</w:t>
      </w:r>
    </w:p>
    <w:p w14:paraId="1C585614" w14:textId="77777777" w:rsidR="00830096" w:rsidRPr="00CF096E" w:rsidRDefault="00830096" w:rsidP="00830096">
      <w:pPr>
        <w:pStyle w:val="Nivel3SM"/>
        <w:rPr>
          <w:highlight w:val="yellow"/>
        </w:rPr>
      </w:pPr>
      <w:r w:rsidRPr="00CF096E">
        <w:rPr>
          <w:highlight w:val="yellow"/>
        </w:rPr>
        <w:t>Un problema al tratar de implementar el modelo empíricamente es que los datos de los costes marginales reales no son observables. Los sistemas de cuentas nacionales contienen información en relación a los factores que afectan a los costes marginales como los salarios, pero no del coste concreto de producir una unidad más de output. Además, es muy probable que los costes marginales sean procíclicos y mucho más que los precios. De este modo, cuando los niveles de producción son relativamente altos en relación al output potencial, hay más competencia para conseguir los factores de producción disponibles, y esto tiende a incrementar los costes. Por ejemplo, aumentan los costes de los factores por encima de los incrementos en los precios. Por estos motivos, la curva de Phillips se suele reformular usando el output gap (</w:t>
      </w:r>
      <m:oMath>
        <m:sSub>
          <m:sSubPr>
            <m:ctrlPr>
              <w:rPr>
                <w:rFonts w:ascii="Cambria Math" w:hAnsi="Cambria Math"/>
                <w:i/>
                <w:iCs/>
                <w:highlight w:val="yellow"/>
              </w:rPr>
            </m:ctrlPr>
          </m:sSubPr>
          <m:e>
            <m:r>
              <m:rPr>
                <m:nor/>
              </m:rPr>
              <w:rPr>
                <w:i/>
                <w:iCs/>
                <w:highlight w:val="yellow"/>
              </w:rPr>
              <m:t>x</m:t>
            </m:r>
          </m:e>
          <m:sub>
            <m:r>
              <m:rPr>
                <m:nor/>
              </m:rPr>
              <w:rPr>
                <w:i/>
                <w:iCs/>
                <w:highlight w:val="yellow"/>
              </w:rPr>
              <m:t>t</m:t>
            </m:r>
          </m:sub>
        </m:sSub>
      </m:oMath>
      <w:r w:rsidRPr="00CF096E">
        <w:rPr>
          <w:highlight w:val="yellow"/>
        </w:rPr>
        <w:t>) como un proxy de la desviación del coste marginal.</w:t>
      </w:r>
    </w:p>
    <w:p w14:paraId="03EB0979" w14:textId="77777777" w:rsidR="00830096" w:rsidRPr="00CF096E" w:rsidRDefault="00830096" w:rsidP="00830096">
      <w:pPr>
        <w:pStyle w:val="Nivel2SM"/>
        <w:keepNext/>
        <w:spacing w:after="0"/>
        <w:rPr>
          <w:highlight w:val="yellow"/>
        </w:rPr>
      </w:pPr>
      <w:r w:rsidRPr="00CF096E">
        <w:rPr>
          <w:highlight w:val="yellow"/>
        </w:rPr>
        <w:t xml:space="preserve">Así, la </w:t>
      </w:r>
      <w:r w:rsidRPr="00CF096E">
        <w:rPr>
          <w:i/>
          <w:iCs/>
          <w:highlight w:val="yellow"/>
          <w:u w:val="single"/>
          <w14:glow w14:rad="38100">
            <w14:schemeClr w14:val="accent2">
              <w14:alpha w14:val="75000"/>
              <w14:lumMod w14:val="75000"/>
            </w14:schemeClr>
          </w14:glow>
        </w:rPr>
        <w:t>curva de Phillips de la NEK</w:t>
      </w:r>
      <w:r w:rsidRPr="00CF096E">
        <w:rPr>
          <w:highlight w:val="yellow"/>
        </w:rPr>
        <w:t xml:space="preserve"> sería la siguiente:</w:t>
      </w:r>
    </w:p>
    <w:p w14:paraId="6AD71004" w14:textId="77777777" w:rsidR="00830096" w:rsidRPr="00CF096E" w:rsidRDefault="00000000" w:rsidP="00830096">
      <w:pPr>
        <w:pStyle w:val="Nivel2SM"/>
        <w:numPr>
          <w:ilvl w:val="0"/>
          <w:numId w:val="0"/>
        </w:numPr>
        <w:ind w:left="567"/>
        <w:rPr>
          <w:highlight w:val="yellow"/>
          <w:lang w:val="fr-FR"/>
        </w:rPr>
      </w:pPr>
      <m:oMathPara>
        <m:oMath>
          <m:borderBox>
            <m:borderBoxPr>
              <m:ctrlPr>
                <w:rPr>
                  <w:rFonts w:ascii="Cambria Math" w:eastAsiaTheme="minorEastAsia" w:hAnsi="Cambria Math"/>
                  <w:i/>
                  <w:iCs/>
                  <w:highlight w:val="yellow"/>
                </w:rPr>
              </m:ctrlPr>
            </m:borderBoxPr>
            <m:e>
              <m:sSub>
                <m:sSubPr>
                  <m:ctrlPr>
                    <w:rPr>
                      <w:rFonts w:ascii="Cambria Math" w:eastAsiaTheme="minorEastAsia" w:hAnsi="Cambria Math"/>
                      <w:i/>
                      <w:iCs/>
                      <w:highlight w:val="yellow"/>
                    </w:rPr>
                  </m:ctrlPr>
                </m:sSubPr>
                <m:e>
                  <m:r>
                    <m:rPr>
                      <m:nor/>
                    </m:rPr>
                    <w:rPr>
                      <w:rFonts w:eastAsiaTheme="minorEastAsia"/>
                      <w:i/>
                      <w:iCs/>
                      <w:highlight w:val="yellow"/>
                    </w:rPr>
                    <m:t>π</m:t>
                  </m:r>
                </m:e>
                <m:sub>
                  <m:r>
                    <m:rPr>
                      <m:nor/>
                    </m:rPr>
                    <w:rPr>
                      <w:rFonts w:eastAsiaTheme="minorEastAsia"/>
                      <w:i/>
                      <w:iCs/>
                      <w:highlight w:val="yellow"/>
                      <w:lang w:val="fr-FR"/>
                    </w:rPr>
                    <m:t>t</m:t>
                  </m:r>
                </m:sub>
              </m:sSub>
              <m:r>
                <w:rPr>
                  <w:rFonts w:ascii="Cambria Math" w:eastAsiaTheme="minorEastAsia" w:hAnsi="Cambria Math"/>
                  <w:highlight w:val="yellow"/>
                  <w:lang w:val="fr-FR"/>
                </w:rPr>
                <m:t>=</m:t>
              </m:r>
              <m:r>
                <m:rPr>
                  <m:nor/>
                </m:rPr>
                <w:rPr>
                  <w:i/>
                  <w:iCs/>
                  <w:highlight w:val="yellow"/>
                </w:rPr>
                <m:t>β</m:t>
              </m:r>
              <m:r>
                <w:rPr>
                  <w:rFonts w:ascii="Cambria Math" w:eastAsiaTheme="minorEastAsia" w:hAnsi="Cambria Math"/>
                  <w:highlight w:val="yellow"/>
                  <w:lang w:val="fr-FR"/>
                </w:rPr>
                <m:t>∙</m:t>
              </m:r>
              <m:sSub>
                <m:sSubPr>
                  <m:ctrlPr>
                    <w:rPr>
                      <w:rFonts w:ascii="Cambria Math" w:eastAsiaTheme="minorEastAsia" w:hAnsi="Cambria Math"/>
                      <w:i/>
                      <w:iCs/>
                      <w:highlight w:val="yellow"/>
                    </w:rPr>
                  </m:ctrlPr>
                </m:sSubPr>
                <m:e>
                  <m:r>
                    <m:rPr>
                      <m:nor/>
                    </m:rPr>
                    <w:rPr>
                      <w:rFonts w:eastAsiaTheme="minorEastAsia"/>
                      <w:i/>
                      <w:iCs/>
                      <w:highlight w:val="yellow"/>
                      <w:lang w:val="fr-FR"/>
                    </w:rPr>
                    <m:t>E</m:t>
                  </m:r>
                </m:e>
                <m:sub>
                  <m:r>
                    <m:rPr>
                      <m:nor/>
                    </m:rPr>
                    <w:rPr>
                      <w:rFonts w:eastAsiaTheme="minorEastAsia"/>
                      <w:i/>
                      <w:iCs/>
                      <w:highlight w:val="yellow"/>
                      <w:lang w:val="fr-FR"/>
                    </w:rPr>
                    <m:t>t</m:t>
                  </m:r>
                </m:sub>
              </m:sSub>
              <m:d>
                <m:dPr>
                  <m:begChr m:val="["/>
                  <m:endChr m:val="]"/>
                  <m:ctrlPr>
                    <w:rPr>
                      <w:rFonts w:ascii="Cambria Math" w:eastAsiaTheme="minorEastAsia" w:hAnsi="Cambria Math"/>
                      <w:i/>
                      <w:iCs/>
                      <w:highlight w:val="yellow"/>
                    </w:rPr>
                  </m:ctrlPr>
                </m:dPr>
                <m:e>
                  <m:sSub>
                    <m:sSubPr>
                      <m:ctrlPr>
                        <w:rPr>
                          <w:rFonts w:ascii="Cambria Math" w:eastAsiaTheme="minorEastAsia" w:hAnsi="Cambria Math"/>
                          <w:i/>
                          <w:iCs/>
                          <w:highlight w:val="yellow"/>
                        </w:rPr>
                      </m:ctrlPr>
                    </m:sSubPr>
                    <m:e>
                      <m:r>
                        <m:rPr>
                          <m:nor/>
                        </m:rPr>
                        <w:rPr>
                          <w:rFonts w:eastAsiaTheme="minorEastAsia"/>
                          <w:i/>
                          <w:iCs/>
                          <w:highlight w:val="yellow"/>
                        </w:rPr>
                        <m:t>π</m:t>
                      </m:r>
                    </m:e>
                    <m:sub>
                      <m:r>
                        <m:rPr>
                          <m:nor/>
                        </m:rPr>
                        <w:rPr>
                          <w:rFonts w:eastAsiaTheme="minorEastAsia"/>
                          <w:i/>
                          <w:iCs/>
                          <w:highlight w:val="yellow"/>
                          <w:lang w:val="fr-FR"/>
                        </w:rPr>
                        <m:t>t+1</m:t>
                      </m:r>
                    </m:sub>
                  </m:sSub>
                </m:e>
              </m:d>
              <m:r>
                <w:rPr>
                  <w:rFonts w:ascii="Cambria Math" w:eastAsiaTheme="minorEastAsia" w:hAnsi="Cambria Math"/>
                  <w:highlight w:val="yellow"/>
                  <w:lang w:val="fr-FR"/>
                </w:rPr>
                <m:t>+</m:t>
              </m:r>
              <m:limLow>
                <m:limLowPr>
                  <m:ctrlPr>
                    <w:rPr>
                      <w:rFonts w:ascii="Cambria Math" w:eastAsiaTheme="minorEastAsia" w:hAnsi="Cambria Math"/>
                      <w:i/>
                      <w:iCs/>
                      <w:highlight w:val="yellow"/>
                    </w:rPr>
                  </m:ctrlPr>
                </m:limLowPr>
                <m:e>
                  <m:groupChr>
                    <m:groupChrPr>
                      <m:ctrlPr>
                        <w:rPr>
                          <w:rFonts w:ascii="Cambria Math" w:eastAsiaTheme="minorEastAsia" w:hAnsi="Cambria Math"/>
                          <w:i/>
                          <w:iCs/>
                          <w:highlight w:val="yellow"/>
                        </w:rPr>
                      </m:ctrlPr>
                    </m:groupChrPr>
                    <m:e>
                      <m:r>
                        <m:rPr>
                          <m:nor/>
                        </m:rPr>
                        <w:rPr>
                          <w:rFonts w:eastAsiaTheme="minorEastAsia"/>
                          <w:i/>
                          <w:highlight w:val="yellow"/>
                        </w:rPr>
                        <m:t>δ</m:t>
                      </m:r>
                      <m:sSub>
                        <m:sSubPr>
                          <m:ctrlPr>
                            <w:rPr>
                              <w:rFonts w:ascii="Cambria Math" w:eastAsiaTheme="minorEastAsia" w:hAnsi="Cambria Math"/>
                              <w:i/>
                              <w:iCs/>
                              <w:highlight w:val="yellow"/>
                            </w:rPr>
                          </m:ctrlPr>
                        </m:sSubPr>
                        <m:e>
                          <m:r>
                            <w:rPr>
                              <w:rFonts w:ascii="Cambria Math" w:eastAsiaTheme="minorEastAsia" w:hAnsi="Cambria Math"/>
                              <w:highlight w:val="yellow"/>
                              <w:lang w:val="fr-FR"/>
                            </w:rPr>
                            <m:t>∙</m:t>
                          </m:r>
                          <m:r>
                            <m:rPr>
                              <m:nor/>
                            </m:rPr>
                            <w:rPr>
                              <w:rFonts w:eastAsiaTheme="minorEastAsia"/>
                              <w:i/>
                              <w:highlight w:val="yellow"/>
                              <w:lang w:val="fr-FR"/>
                            </w:rPr>
                            <m:t>x</m:t>
                          </m:r>
                        </m:e>
                        <m:sub>
                          <m:r>
                            <m:rPr>
                              <m:nor/>
                            </m:rPr>
                            <w:rPr>
                              <w:rFonts w:eastAsiaTheme="minorEastAsia"/>
                              <w:i/>
                              <w:iCs/>
                              <w:highlight w:val="yellow"/>
                              <w:lang w:val="fr-FR"/>
                            </w:rPr>
                            <m:t>t</m:t>
                          </m:r>
                        </m:sub>
                      </m:sSub>
                    </m:e>
                  </m:groupChr>
                </m:e>
                <m:lim>
                  <m:r>
                    <w:rPr>
                      <w:rFonts w:ascii="Cambria Math" w:eastAsiaTheme="minorEastAsia" w:hAnsi="Cambria Math"/>
                      <w:highlight w:val="yellow"/>
                      <w:lang w:val="fr-FR"/>
                    </w:rPr>
                    <m:t>=</m:t>
                  </m:r>
                  <m:d>
                    <m:dPr>
                      <m:ctrlPr>
                        <w:rPr>
                          <w:rFonts w:ascii="Cambria Math" w:eastAsiaTheme="minorEastAsia" w:hAnsi="Cambria Math"/>
                          <w:i/>
                          <w:iCs/>
                          <w:highlight w:val="yellow"/>
                        </w:rPr>
                      </m:ctrlPr>
                    </m:dPr>
                    <m:e>
                      <m:f>
                        <m:fPr>
                          <m:ctrlPr>
                            <w:rPr>
                              <w:rFonts w:ascii="Cambria Math" w:eastAsiaTheme="minorEastAsia" w:hAnsi="Cambria Math"/>
                              <w:i/>
                              <w:iCs/>
                              <w:highlight w:val="yellow"/>
                            </w:rPr>
                          </m:ctrlPr>
                        </m:fPr>
                        <m:num>
                          <m:d>
                            <m:dPr>
                              <m:ctrlPr>
                                <w:rPr>
                                  <w:rFonts w:ascii="Cambria Math" w:eastAsiaTheme="minorEastAsia" w:hAnsi="Cambria Math"/>
                                  <w:i/>
                                  <w:iCs/>
                                  <w:highlight w:val="yellow"/>
                                </w:rPr>
                              </m:ctrlPr>
                            </m:dPr>
                            <m:e>
                              <m:r>
                                <m:rPr>
                                  <m:nor/>
                                </m:rPr>
                                <w:rPr>
                                  <w:rFonts w:eastAsiaTheme="minorEastAsia"/>
                                  <w:i/>
                                  <w:iCs/>
                                  <w:highlight w:val="yellow"/>
                                  <w:lang w:val="fr-FR"/>
                                </w:rPr>
                                <m:t>1</m:t>
                              </m:r>
                              <m:r>
                                <w:rPr>
                                  <w:rFonts w:ascii="Cambria Math" w:eastAsiaTheme="minorEastAsia" w:hAnsi="Cambria Math"/>
                                  <w:highlight w:val="yellow"/>
                                  <w:lang w:val="fr-FR"/>
                                </w:rPr>
                                <m:t>-</m:t>
                              </m:r>
                              <m:r>
                                <m:rPr>
                                  <m:nor/>
                                </m:rPr>
                                <w:rPr>
                                  <w:i/>
                                  <w:highlight w:val="yellow"/>
                                  <w:lang w:val="fr-FR"/>
                                </w:rPr>
                                <m:t>η</m:t>
                              </m:r>
                            </m:e>
                          </m:d>
                          <m:r>
                            <w:rPr>
                              <w:rFonts w:ascii="Cambria Math" w:eastAsiaTheme="minorEastAsia" w:hAnsi="Cambria Math"/>
                              <w:highlight w:val="yellow"/>
                              <w:lang w:val="fr-FR"/>
                            </w:rPr>
                            <m:t>∙</m:t>
                          </m:r>
                          <m:d>
                            <m:dPr>
                              <m:ctrlPr>
                                <w:rPr>
                                  <w:rFonts w:ascii="Cambria Math" w:eastAsiaTheme="minorEastAsia" w:hAnsi="Cambria Math"/>
                                  <w:i/>
                                  <w:iCs/>
                                  <w:highlight w:val="yellow"/>
                                </w:rPr>
                              </m:ctrlPr>
                            </m:dPr>
                            <m:e>
                              <m:r>
                                <m:rPr>
                                  <m:nor/>
                                </m:rPr>
                                <w:rPr>
                                  <w:rFonts w:eastAsiaTheme="minorEastAsia"/>
                                  <w:i/>
                                  <w:iCs/>
                                  <w:highlight w:val="yellow"/>
                                  <w:lang w:val="fr-FR"/>
                                </w:rPr>
                                <m:t>1</m:t>
                              </m:r>
                              <m:r>
                                <w:rPr>
                                  <w:rFonts w:ascii="Cambria Math" w:eastAsiaTheme="minorEastAsia" w:hAnsi="Cambria Math"/>
                                  <w:highlight w:val="yellow"/>
                                  <w:lang w:val="fr-FR"/>
                                </w:rPr>
                                <m:t>-</m:t>
                              </m:r>
                              <m:r>
                                <m:rPr>
                                  <m:nor/>
                                </m:rPr>
                                <w:rPr>
                                  <w:rFonts w:eastAsiaTheme="minorEastAsia"/>
                                  <w:i/>
                                  <w:iCs/>
                                  <w:highlight w:val="yellow"/>
                                </w:rPr>
                                <m:t>β</m:t>
                              </m:r>
                              <m:r>
                                <w:rPr>
                                  <w:rFonts w:ascii="Cambria Math" w:eastAsiaTheme="minorEastAsia" w:hAnsi="Cambria Math"/>
                                  <w:highlight w:val="yellow"/>
                                  <w:lang w:val="fr-FR"/>
                                </w:rPr>
                                <m:t>∙</m:t>
                              </m:r>
                              <m:r>
                                <m:rPr>
                                  <m:nor/>
                                </m:rPr>
                                <w:rPr>
                                  <w:i/>
                                  <w:highlight w:val="yellow"/>
                                  <w:lang w:val="fr-FR"/>
                                </w:rPr>
                                <m:t>η</m:t>
                              </m:r>
                            </m:e>
                          </m:d>
                        </m:num>
                        <m:den>
                          <m:r>
                            <m:rPr>
                              <m:nor/>
                            </m:rPr>
                            <w:rPr>
                              <w:i/>
                              <w:highlight w:val="yellow"/>
                              <w:lang w:val="fr-FR"/>
                            </w:rPr>
                            <m:t>η</m:t>
                          </m:r>
                        </m:den>
                      </m:f>
                    </m:e>
                  </m:d>
                  <m:r>
                    <w:rPr>
                      <w:rFonts w:ascii="Cambria Math" w:eastAsiaTheme="minorEastAsia" w:hAnsi="Cambria Math"/>
                      <w:highlight w:val="yellow"/>
                      <w:lang w:val="fr-FR"/>
                    </w:rPr>
                    <m:t>∙</m:t>
                  </m:r>
                  <m:d>
                    <m:dPr>
                      <m:ctrlPr>
                        <w:rPr>
                          <w:rFonts w:ascii="Cambria Math" w:eastAsiaTheme="minorEastAsia" w:hAnsi="Cambria Math"/>
                          <w:i/>
                          <w:iCs/>
                          <w:highlight w:val="yellow"/>
                        </w:rPr>
                      </m:ctrlPr>
                    </m:dPr>
                    <m:e>
                      <m:r>
                        <m:rPr>
                          <m:nor/>
                        </m:rPr>
                        <w:rPr>
                          <w:rFonts w:eastAsiaTheme="minorEastAsia"/>
                          <w:i/>
                          <w:highlight w:val="yellow"/>
                        </w:rPr>
                        <m:t>μ</m:t>
                      </m:r>
                      <m:r>
                        <w:rPr>
                          <w:rFonts w:ascii="Cambria Math" w:eastAsiaTheme="minorEastAsia"/>
                          <w:highlight w:val="yellow"/>
                          <w:lang w:val="fr-FR"/>
                        </w:rPr>
                        <m:t>+</m:t>
                      </m:r>
                      <m:r>
                        <m:rPr>
                          <m:nor/>
                        </m:rPr>
                        <w:rPr>
                          <w:rFonts w:eastAsiaTheme="minorEastAsia"/>
                          <w:i/>
                          <w:highlight w:val="yellow"/>
                          <w:lang w:val="fr-FR"/>
                        </w:rPr>
                        <m:t>CMg</m:t>
                      </m:r>
                      <m:r>
                        <w:rPr>
                          <w:rFonts w:ascii="Cambria Math" w:eastAsiaTheme="minorEastAsia" w:hAnsi="Cambria Math"/>
                          <w:highlight w:val="yellow"/>
                          <w:lang w:val="fr-FR"/>
                        </w:rPr>
                        <m:t>-</m:t>
                      </m:r>
                      <m:sSub>
                        <m:sSubPr>
                          <m:ctrlPr>
                            <w:rPr>
                              <w:rFonts w:ascii="Cambria Math" w:eastAsiaTheme="minorEastAsia" w:hAnsi="Cambria Math"/>
                              <w:i/>
                              <w:iCs/>
                              <w:highlight w:val="yellow"/>
                            </w:rPr>
                          </m:ctrlPr>
                        </m:sSubPr>
                        <m:e>
                          <m:r>
                            <m:rPr>
                              <m:nor/>
                            </m:rPr>
                            <w:rPr>
                              <w:rFonts w:eastAsiaTheme="minorEastAsia"/>
                              <w:i/>
                              <w:highlight w:val="yellow"/>
                              <w:lang w:val="fr-FR"/>
                            </w:rPr>
                            <m:t>P</m:t>
                          </m:r>
                        </m:e>
                        <m:sub>
                          <m:r>
                            <m:rPr>
                              <m:nor/>
                            </m:rPr>
                            <w:rPr>
                              <w:rFonts w:eastAsiaTheme="minorEastAsia"/>
                              <w:i/>
                              <w:iCs/>
                              <w:highlight w:val="yellow"/>
                              <w:lang w:val="fr-FR"/>
                            </w:rPr>
                            <m:t>t</m:t>
                          </m:r>
                        </m:sub>
                      </m:sSub>
                    </m:e>
                  </m:d>
                </m:lim>
              </m:limLow>
              <m:r>
                <w:rPr>
                  <w:rFonts w:ascii="Cambria Math" w:eastAsiaTheme="minorEastAsia" w:hAnsi="Cambria Math"/>
                  <w:highlight w:val="yellow"/>
                  <w:lang w:val="fr-FR"/>
                </w:rPr>
                <m:t>+</m:t>
              </m:r>
              <m:sSub>
                <m:sSubPr>
                  <m:ctrlPr>
                    <w:rPr>
                      <w:rFonts w:ascii="Cambria Math" w:eastAsiaTheme="minorEastAsia" w:hAnsi="Cambria Math"/>
                      <w:i/>
                      <w:iCs/>
                      <w:highlight w:val="yellow"/>
                    </w:rPr>
                  </m:ctrlPr>
                </m:sSubPr>
                <m:e>
                  <m:r>
                    <m:rPr>
                      <m:nor/>
                    </m:rPr>
                    <w:rPr>
                      <w:rFonts w:eastAsiaTheme="minorEastAsia"/>
                      <w:i/>
                      <w:iCs/>
                      <w:highlight w:val="yellow"/>
                      <w:lang w:val="fr-FR"/>
                    </w:rPr>
                    <m:t>e</m:t>
                  </m:r>
                </m:e>
                <m:sub>
                  <m:r>
                    <m:rPr>
                      <m:nor/>
                    </m:rPr>
                    <w:rPr>
                      <w:rFonts w:eastAsiaTheme="minorEastAsia"/>
                      <w:i/>
                      <w:iCs/>
                      <w:highlight w:val="yellow"/>
                      <w:lang w:val="fr-FR"/>
                    </w:rPr>
                    <m:t>t</m:t>
                  </m:r>
                </m:sub>
              </m:sSub>
            </m:e>
          </m:borderBox>
        </m:oMath>
      </m:oMathPara>
    </w:p>
    <w:p w14:paraId="578E57F9" w14:textId="77777777" w:rsidR="00830096" w:rsidRPr="00CF096E" w:rsidRDefault="00830096" w:rsidP="00830096">
      <w:pPr>
        <w:pStyle w:val="Ttulo7"/>
        <w:rPr>
          <w:b/>
          <w:highlight w:val="yellow"/>
        </w:rPr>
      </w:pPr>
      <w:bookmarkStart w:id="85" w:name="_Toc142500917"/>
      <w:r w:rsidRPr="00CF096E">
        <w:rPr>
          <w:highlight w:val="yellow"/>
        </w:rPr>
        <w:t>Autoridad monetaria</w:t>
      </w:r>
      <w:r w:rsidRPr="00CF096E">
        <w:rPr>
          <w:i w:val="0"/>
          <w:iCs w:val="0"/>
          <w:sz w:val="19"/>
          <w:szCs w:val="19"/>
          <w:highlight w:val="yellow"/>
          <w:u w:val="none"/>
        </w:rPr>
        <w:t xml:space="preserve"> [Regla de política monetaria] – Regla de Taylor</w:t>
      </w:r>
      <w:bookmarkEnd w:id="85"/>
    </w:p>
    <w:p w14:paraId="0AD1C24D" w14:textId="77777777" w:rsidR="00830096" w:rsidRPr="00CF096E" w:rsidRDefault="00830096" w:rsidP="00830096">
      <w:pPr>
        <w:pStyle w:val="Nivel1SM"/>
        <w:keepNext/>
        <w:spacing w:before="0" w:after="0"/>
        <w:rPr>
          <w:highlight w:val="yellow"/>
        </w:rPr>
      </w:pPr>
      <w:r w:rsidRPr="00CF096E">
        <w:rPr>
          <w:highlight w:val="yellow"/>
        </w:rPr>
        <w:t xml:space="preserve">Como se ha visto, la </w:t>
      </w:r>
      <w:r w:rsidRPr="00CF096E">
        <w:rPr>
          <w:i/>
          <w:iCs/>
          <w:highlight w:val="yellow"/>
        </w:rPr>
        <w:t>IS</w:t>
      </w:r>
      <w:r>
        <w:rPr>
          <w:i/>
          <w:iCs/>
          <w:highlight w:val="yellow"/>
        </w:rPr>
        <w:t> </w:t>
      </w:r>
      <w:r w:rsidRPr="00CF096E">
        <w:rPr>
          <w:i/>
          <w:iCs/>
          <w:highlight w:val="yellow"/>
        </w:rPr>
        <w:t>dinámica</w:t>
      </w:r>
      <w:r w:rsidRPr="00CF096E">
        <w:rPr>
          <w:highlight w:val="yellow"/>
        </w:rPr>
        <w:t xml:space="preserve">, determina el output gap en función de la senda de tipos de interés. Por su parte, la </w:t>
      </w:r>
      <w:r w:rsidRPr="00CF096E">
        <w:rPr>
          <w:i/>
          <w:iCs/>
          <w:highlight w:val="yellow"/>
        </w:rPr>
        <w:t xml:space="preserve">curva de Phillips </w:t>
      </w:r>
      <w:proofErr w:type="spellStart"/>
      <w:r w:rsidRPr="00CF096E">
        <w:rPr>
          <w:i/>
          <w:iCs/>
          <w:highlight w:val="yellow"/>
        </w:rPr>
        <w:t>neokeynesiana</w:t>
      </w:r>
      <w:proofErr w:type="spellEnd"/>
      <w:r w:rsidRPr="00CF096E">
        <w:rPr>
          <w:highlight w:val="yellow"/>
        </w:rPr>
        <w:t xml:space="preserve"> determina la inflación dada una senda de output-gap.</w:t>
      </w:r>
    </w:p>
    <w:p w14:paraId="2C17CB75" w14:textId="77777777" w:rsidR="00830096" w:rsidRPr="00CF096E" w:rsidRDefault="00830096" w:rsidP="00830096">
      <w:pPr>
        <w:pStyle w:val="Nivel2SM"/>
        <w:rPr>
          <w:spacing w:val="-4"/>
          <w:highlight w:val="yellow"/>
        </w:rPr>
      </w:pPr>
      <w:r w:rsidRPr="00CF096E">
        <w:rPr>
          <w:spacing w:val="-4"/>
          <w:highlight w:val="yellow"/>
        </w:rPr>
        <w:t xml:space="preserve">Por lo tanto, para cerrar el modelo, es necesaria una ecuación que describa la evolución del tipo de interés nominal, es decir una ecuación que describa el </w:t>
      </w:r>
      <w:r w:rsidRPr="00CF096E">
        <w:rPr>
          <w:i/>
          <w:iCs/>
          <w:spacing w:val="-2"/>
          <w:highlight w:val="yellow"/>
          <w:u w:val="single"/>
          <w14:glow w14:rad="38100">
            <w14:srgbClr w14:val="CC66FF">
              <w14:alpha w14:val="75294"/>
            </w14:srgbClr>
          </w14:glow>
        </w:rPr>
        <w:t>comportamiento de la política monetaria</w:t>
      </w:r>
      <w:r w:rsidRPr="00CF096E">
        <w:rPr>
          <w:spacing w:val="-4"/>
          <w:highlight w:val="yellow"/>
        </w:rPr>
        <w:t>.</w:t>
      </w:r>
    </w:p>
    <w:p w14:paraId="27E505EC" w14:textId="2D6766BB" w:rsidR="00830096" w:rsidRPr="00CF096E" w:rsidRDefault="00830096" w:rsidP="00830096">
      <w:pPr>
        <w:pStyle w:val="Ttuloimagen"/>
        <w:rPr>
          <w:i/>
          <w:iCs/>
          <w:smallCaps w:val="0"/>
          <w:highlight w:val="yellow"/>
        </w:rPr>
      </w:pPr>
      <w:r w:rsidRPr="00CF096E">
        <w:rPr>
          <w:highlight w:val="yellow"/>
        </w:rPr>
        <w:lastRenderedPageBreak/>
        <w:t>Imagen </w:t>
      </w:r>
      <w:r w:rsidRPr="00CF096E">
        <w:rPr>
          <w:highlight w:val="yellow"/>
        </w:rPr>
        <w:fldChar w:fldCharType="begin"/>
      </w:r>
      <w:r w:rsidRPr="00CF096E">
        <w:rPr>
          <w:highlight w:val="yellow"/>
        </w:rPr>
        <w:instrText xml:space="preserve"> SEQ Ilustración \* ARABIC </w:instrText>
      </w:r>
      <w:r w:rsidRPr="00CF096E">
        <w:rPr>
          <w:highlight w:val="yellow"/>
        </w:rPr>
        <w:fldChar w:fldCharType="separate"/>
      </w:r>
      <w:r w:rsidR="001B0506">
        <w:rPr>
          <w:highlight w:val="yellow"/>
        </w:rPr>
        <w:t>6</w:t>
      </w:r>
      <w:r w:rsidRPr="00CF096E">
        <w:rPr>
          <w:highlight w:val="yellow"/>
        </w:rPr>
        <w:fldChar w:fldCharType="end"/>
      </w:r>
      <w:r w:rsidRPr="00CF096E">
        <w:rPr>
          <w:smallCaps w:val="0"/>
          <w:highlight w:val="yellow"/>
        </w:rPr>
        <w:t xml:space="preserve">.– </w:t>
      </w:r>
      <w:r w:rsidRPr="00CF096E">
        <w:rPr>
          <w:i/>
          <w:iCs/>
          <w:smallCaps w:val="0"/>
          <w:highlight w:val="yellow"/>
        </w:rPr>
        <w:t>La regla de política monetaria para cerrar el modelo</w:t>
      </w:r>
    </w:p>
    <w:p w14:paraId="1820EDFA" w14:textId="77777777" w:rsidR="00830096" w:rsidRPr="00CF096E" w:rsidRDefault="00830096" w:rsidP="00830096">
      <w:pPr>
        <w:pStyle w:val="Imagen"/>
        <w:rPr>
          <w:highlight w:val="yellow"/>
        </w:rPr>
      </w:pPr>
      <w:r w:rsidRPr="00CF096E">
        <w:rPr>
          <w:highlight w:val="yellow"/>
        </w:rPr>
        <w:drawing>
          <wp:inline distT="0" distB="0" distL="0" distR="0" wp14:anchorId="3288C2C3" wp14:editId="43A48C61">
            <wp:extent cx="3591801" cy="1800000"/>
            <wp:effectExtent l="0" t="0" r="8890" b="0"/>
            <wp:docPr id="54" name="Imagen 5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10;&#10;Descripción generada automáticamente"/>
                    <pic:cNvPicPr/>
                  </pic:nvPicPr>
                  <pic:blipFill rotWithShape="1">
                    <a:blip r:embed="rId31"/>
                    <a:srcRect b="10902"/>
                    <a:stretch/>
                  </pic:blipFill>
                  <pic:spPr bwMode="auto">
                    <a:xfrm>
                      <a:off x="0" y="0"/>
                      <a:ext cx="3591801" cy="1800000"/>
                    </a:xfrm>
                    <a:prstGeom prst="rect">
                      <a:avLst/>
                    </a:prstGeom>
                    <a:ln>
                      <a:noFill/>
                    </a:ln>
                    <a:extLst>
                      <a:ext uri="{53640926-AAD7-44D8-BBD7-CCE9431645EC}">
                        <a14:shadowObscured xmlns:a14="http://schemas.microsoft.com/office/drawing/2010/main"/>
                      </a:ext>
                    </a:extLst>
                  </pic:spPr>
                </pic:pic>
              </a:graphicData>
            </a:graphic>
          </wp:inline>
        </w:drawing>
      </w:r>
    </w:p>
    <w:p w14:paraId="42564EFC" w14:textId="77777777" w:rsidR="00830096" w:rsidRPr="00CF096E" w:rsidRDefault="00830096" w:rsidP="00830096">
      <w:pPr>
        <w:pStyle w:val="PiedeImagen"/>
        <w:rPr>
          <w:i w:val="0"/>
          <w:iCs/>
          <w:highlight w:val="yellow"/>
        </w:rPr>
      </w:pPr>
      <w:r w:rsidRPr="00CF096E">
        <w:rPr>
          <w:highlight w:val="yellow"/>
        </w:rPr>
        <w:t>Fuente</w:t>
      </w:r>
      <w:r w:rsidRPr="00CF096E">
        <w:rPr>
          <w:i w:val="0"/>
          <w:iCs/>
          <w:highlight w:val="yellow"/>
        </w:rPr>
        <w:t>: Elaboración propia</w:t>
      </w:r>
    </w:p>
    <w:p w14:paraId="0420F81C" w14:textId="77777777" w:rsidR="00830096" w:rsidRPr="00CF096E" w:rsidRDefault="00830096" w:rsidP="00830096">
      <w:pPr>
        <w:pStyle w:val="Nivel2SM"/>
        <w:keepNext/>
        <w:spacing w:after="0"/>
        <w:rPr>
          <w:highlight w:val="yellow"/>
        </w:rPr>
      </w:pPr>
      <w:r w:rsidRPr="00CF096E">
        <w:rPr>
          <w:highlight w:val="yellow"/>
        </w:rPr>
        <w:t>Los modelos de la NEK se basan en la instrumentación de la política monetaria a través de una regla de política monetaria.</w:t>
      </w:r>
    </w:p>
    <w:p w14:paraId="7FDB067C" w14:textId="77777777" w:rsidR="00830096" w:rsidRPr="00CF096E" w:rsidRDefault="00830096" w:rsidP="00830096">
      <w:pPr>
        <w:pStyle w:val="Nivel3SM"/>
        <w:rPr>
          <w:highlight w:val="yellow"/>
        </w:rPr>
      </w:pPr>
      <w:r w:rsidRPr="00CF096E">
        <w:rPr>
          <w:highlight w:val="yellow"/>
        </w:rPr>
        <w:t xml:space="preserve">Dentro de las reglas de política monetaria, la que más éxito ha tenido en la NEK es la </w:t>
      </w:r>
      <w:r w:rsidRPr="00CF096E">
        <w:rPr>
          <w:i/>
          <w:iCs/>
          <w:highlight w:val="yellow"/>
        </w:rPr>
        <w:t>regla de Taylor</w:t>
      </w:r>
      <w:r w:rsidRPr="00CF096E">
        <w:rPr>
          <w:highlight w:val="yellow"/>
        </w:rPr>
        <w:t>.</w:t>
      </w:r>
    </w:p>
    <w:p w14:paraId="1094CBB8" w14:textId="77777777" w:rsidR="00830096" w:rsidRPr="00CF096E" w:rsidRDefault="00830096" w:rsidP="00830096">
      <w:pPr>
        <w:pStyle w:val="Nivel4"/>
        <w:spacing w:after="40"/>
        <w:ind w:left="1474"/>
        <w:rPr>
          <w:highlight w:val="yellow"/>
        </w:rPr>
      </w:pPr>
      <w:r w:rsidRPr="00CF096E">
        <w:rPr>
          <w:highlight w:val="yellow"/>
        </w:rPr>
        <w:t xml:space="preserve">Esta regla surge de una propuesta realizada por </w:t>
      </w:r>
      <w:r w:rsidRPr="00CF096E">
        <w:rPr>
          <w:smallCaps/>
          <w:highlight w:val="yellow"/>
        </w:rPr>
        <w:t>Taylor</w:t>
      </w:r>
      <w:r w:rsidRPr="00CF096E">
        <w:rPr>
          <w:highlight w:val="yellow"/>
        </w:rPr>
        <w:t xml:space="preserve"> en una conferencia de 1992. </w:t>
      </w:r>
      <w:r w:rsidRPr="00CF096E">
        <w:rPr>
          <w:smallCaps/>
          <w:highlight w:val="yellow"/>
        </w:rPr>
        <w:t>Taylor</w:t>
      </w:r>
      <w:r w:rsidRPr="00CF096E">
        <w:rPr>
          <w:highlight w:val="yellow"/>
        </w:rPr>
        <w:t xml:space="preserve"> introdujo la regla como una regularidad empírica más que como una conjetura teórica e incidió en que la regla se ajustaba a la política monetaria que se había aplicado en los años anteriores. La regla no tardó en generalizarse y aplicarse como una prescripción de política económica.</w:t>
      </w:r>
    </w:p>
    <w:p w14:paraId="3758114F" w14:textId="77777777" w:rsidR="00830096" w:rsidRPr="00CF096E" w:rsidRDefault="00830096" w:rsidP="00830096">
      <w:pPr>
        <w:pStyle w:val="Nivel4"/>
        <w:keepNext/>
        <w:spacing w:after="40"/>
        <w:ind w:left="1474"/>
        <w:rPr>
          <w:highlight w:val="yellow"/>
        </w:rPr>
      </w:pPr>
      <w:r w:rsidRPr="00CF096E">
        <w:rPr>
          <w:highlight w:val="yellow"/>
        </w:rPr>
        <w:t>La regla de Taylor se basa en el tipo de interés nominal a corto plazo del banco central (</w:t>
      </w:r>
      <m:oMath>
        <m:sSub>
          <m:sSubPr>
            <m:ctrlPr>
              <w:rPr>
                <w:rFonts w:ascii="Cambria Math" w:hAnsi="Cambria Math"/>
                <w:i/>
                <w:highlight w:val="yellow"/>
              </w:rPr>
            </m:ctrlPr>
          </m:sSubPr>
          <m:e>
            <m:r>
              <m:rPr>
                <m:nor/>
              </m:rPr>
              <w:rPr>
                <w:i/>
                <w:highlight w:val="yellow"/>
              </w:rPr>
              <m:t>i</m:t>
            </m:r>
          </m:e>
          <m:sub>
            <m:r>
              <m:rPr>
                <m:nor/>
              </m:rPr>
              <w:rPr>
                <w:i/>
                <w:highlight w:val="yellow"/>
              </w:rPr>
              <m:t>t</m:t>
            </m:r>
          </m:sub>
        </m:sSub>
      </m:oMath>
      <w:r w:rsidRPr="00CF096E">
        <w:rPr>
          <w:highlight w:val="yellow"/>
        </w:rPr>
        <w:t xml:space="preserve">), que es usado como instrumento de política económica. De acuerdo con la regla, debería ser fijado como respuesta al output gap, </w:t>
      </w:r>
      <m:oMath>
        <m:sSub>
          <m:sSubPr>
            <m:ctrlPr>
              <w:rPr>
                <w:rFonts w:ascii="Cambria Math" w:hAnsi="Cambria Math"/>
                <w:i/>
                <w:highlight w:val="yellow"/>
              </w:rPr>
            </m:ctrlPr>
          </m:sSubPr>
          <m:e>
            <m:r>
              <m:rPr>
                <m:nor/>
              </m:rPr>
              <w:rPr>
                <w:i/>
                <w:highlight w:val="yellow"/>
              </w:rPr>
              <m:t>x</m:t>
            </m:r>
          </m:e>
          <m:sub>
            <m:r>
              <m:rPr>
                <m:nor/>
              </m:rPr>
              <w:rPr>
                <w:i/>
                <w:highlight w:val="yellow"/>
              </w:rPr>
              <m:t>t</m:t>
            </m:r>
          </m:sub>
        </m:sSub>
        <m:r>
          <w:rPr>
            <w:rFonts w:ascii="Cambria Math" w:hAnsi="Cambria Math"/>
            <w:highlight w:val="yellow"/>
          </w:rPr>
          <m:t>≡</m:t>
        </m:r>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rPr>
                  <m:t>y</m:t>
                </m:r>
              </m:e>
              <m:sub>
                <m:r>
                  <m:rPr>
                    <m:nor/>
                  </m:rPr>
                  <w:rPr>
                    <w:i/>
                    <w:highlight w:val="yellow"/>
                  </w:rPr>
                  <m:t>t</m:t>
                </m:r>
              </m:sub>
            </m:sSub>
            <m:r>
              <w:rPr>
                <w:rFonts w:ascii="Cambria Math" w:hAnsi="Cambria Math"/>
                <w:highlight w:val="yellow"/>
              </w:rPr>
              <m:t>-</m:t>
            </m:r>
            <m:r>
              <m:rPr>
                <m:nor/>
              </m:rPr>
              <w:rPr>
                <w:i/>
                <w:highlight w:val="yellow"/>
              </w:rPr>
              <m:t>y*</m:t>
            </m:r>
          </m:e>
        </m:d>
      </m:oMath>
      <w:r w:rsidRPr="00CF096E">
        <w:rPr>
          <w:highlight w:val="yellow"/>
        </w:rPr>
        <w:t>, y al gap de la inflación, entendida como la diferencia entre la tasa de inflación observada y la deseada (</w:t>
      </w:r>
      <m:oMath>
        <m:r>
          <m:rPr>
            <m:nor/>
          </m:rPr>
          <w:rPr>
            <w:i/>
            <w:iCs/>
            <w:highlight w:val="yellow"/>
          </w:rPr>
          <m:t>π</m:t>
        </m:r>
        <m:r>
          <w:rPr>
            <w:rFonts w:ascii="Cambria Math" w:hAnsi="Cambria Math"/>
            <w:highlight w:val="yellow"/>
          </w:rPr>
          <m:t>=</m:t>
        </m:r>
        <m:sSub>
          <m:sSubPr>
            <m:ctrlPr>
              <w:rPr>
                <w:rFonts w:ascii="Cambria Math" w:hAnsi="Cambria Math"/>
                <w:i/>
                <w:iCs/>
                <w:highlight w:val="yellow"/>
              </w:rPr>
            </m:ctrlPr>
          </m:sSubPr>
          <m:e>
            <m:r>
              <m:rPr>
                <m:nor/>
              </m:rPr>
              <w:rPr>
                <w:i/>
                <w:iCs/>
                <w:highlight w:val="yellow"/>
              </w:rPr>
              <m:t>π</m:t>
            </m:r>
          </m:e>
          <m:sub>
            <m:r>
              <m:rPr>
                <m:nor/>
              </m:rPr>
              <w:rPr>
                <w:i/>
                <w:iCs/>
                <w:highlight w:val="yellow"/>
              </w:rPr>
              <m:t>t</m:t>
            </m:r>
          </m:sub>
        </m:sSub>
        <m:r>
          <w:rPr>
            <w:rFonts w:ascii="Cambria Math" w:hAnsi="Cambria Math"/>
            <w:highlight w:val="yellow"/>
          </w:rPr>
          <m:t>-</m:t>
        </m:r>
        <m:r>
          <m:rPr>
            <m:nor/>
          </m:rPr>
          <w:rPr>
            <w:i/>
            <w:iCs/>
            <w:highlight w:val="yellow"/>
          </w:rPr>
          <m:t>π*</m:t>
        </m:r>
      </m:oMath>
      <w:r w:rsidRPr="00CF096E">
        <w:rPr>
          <w:highlight w:val="yellow"/>
        </w:rPr>
        <w:t>).</w:t>
      </w:r>
    </w:p>
    <w:p w14:paraId="489CD7C5" w14:textId="77777777" w:rsidR="00830096" w:rsidRPr="00CF096E" w:rsidRDefault="00830096" w:rsidP="00830096">
      <w:pPr>
        <w:pStyle w:val="Nivel4"/>
        <w:keepNext/>
        <w:ind w:left="1474"/>
        <w:rPr>
          <w:highlight w:val="yellow"/>
        </w:rPr>
      </w:pPr>
      <w:r w:rsidRPr="00CF096E">
        <w:rPr>
          <w:highlight w:val="yellow"/>
        </w:rPr>
        <w:t>De este modo, la regla indica que si no hay ninguna desviación del output gap, ni de la inflación respecto a su objetivo, el tipo de interés nominal se igualará al tipo de interés real de equilibrio (</w:t>
      </w:r>
      <m:oMath>
        <m:sSub>
          <m:sSubPr>
            <m:ctrlPr>
              <w:rPr>
                <w:rFonts w:ascii="Cambria Math" w:hAnsi="Cambria Math"/>
                <w:i/>
                <w:iCs/>
                <w:highlight w:val="yellow"/>
              </w:rPr>
            </m:ctrlPr>
          </m:sSubPr>
          <m:e>
            <m:r>
              <m:rPr>
                <m:nor/>
              </m:rPr>
              <w:rPr>
                <w:i/>
                <w:iCs/>
                <w:highlight w:val="yellow"/>
              </w:rPr>
              <m:t>r</m:t>
            </m:r>
          </m:e>
          <m:sub>
            <m:r>
              <m:rPr>
                <m:nor/>
              </m:rPr>
              <w:rPr>
                <w:i/>
                <w:iCs/>
                <w:highlight w:val="yellow"/>
              </w:rPr>
              <m:t>t</m:t>
            </m:r>
          </m:sub>
        </m:sSub>
        <m:r>
          <m:rPr>
            <m:nor/>
          </m:rPr>
          <w:rPr>
            <w:i/>
            <w:highlight w:val="yellow"/>
          </w:rPr>
          <m:t>*</m:t>
        </m:r>
      </m:oMath>
      <w:r w:rsidRPr="00CF096E">
        <w:rPr>
          <w:highlight w:val="yellow"/>
        </w:rPr>
        <w:t>) más la inflación. Si se producen desviaciones positivas en el output gap o en la inflación respecto al objetivo, el banco central debería incrementar los tipos nominales</w:t>
      </w:r>
      <w:r w:rsidRPr="00CF096E">
        <w:rPr>
          <w:rStyle w:val="Refdenotaalpie"/>
          <w:highlight w:val="yellow"/>
        </w:rPr>
        <w:footnoteReference w:id="30"/>
      </w:r>
      <w:r w:rsidRPr="00CF096E">
        <w:rPr>
          <w:highlight w:val="yellow"/>
        </w:rPr>
        <w:t>:</w:t>
      </w:r>
    </w:p>
    <w:p w14:paraId="440E72C3" w14:textId="77777777" w:rsidR="00830096" w:rsidRPr="00CF096E" w:rsidRDefault="00000000" w:rsidP="00830096">
      <w:pPr>
        <w:spacing w:after="0"/>
        <w:rPr>
          <w:rFonts w:eastAsiaTheme="minorEastAsia"/>
          <w:highlight w:val="yellow"/>
          <w:lang w:val="fr-FR"/>
        </w:rPr>
      </w:pPr>
      <m:oMathPara>
        <m:oMath>
          <m:sSub>
            <m:sSubPr>
              <m:ctrlPr>
                <w:rPr>
                  <w:rFonts w:ascii="Cambria Math" w:hAnsi="Cambria Math"/>
                  <w:i/>
                  <w:highlight w:val="yellow"/>
                </w:rPr>
              </m:ctrlPr>
            </m:sSubPr>
            <m:e>
              <m:r>
                <m:rPr>
                  <m:nor/>
                </m:rPr>
                <w:rPr>
                  <w:i/>
                  <w:highlight w:val="yellow"/>
                  <w:lang w:val="fr-FR"/>
                </w:rPr>
                <m:t>i</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iCs/>
                  <w:highlight w:val="yellow"/>
                </w:rPr>
              </m:ctrlPr>
            </m:sSubPr>
            <m:e>
              <m:r>
                <m:rPr>
                  <m:nor/>
                </m:rPr>
                <w:rPr>
                  <w:i/>
                  <w:iCs/>
                  <w:highlight w:val="yellow"/>
                  <w:lang w:val="fr-FR"/>
                </w:rPr>
                <m:t>r</m:t>
              </m:r>
            </m:e>
            <m:sub>
              <m:r>
                <m:rPr>
                  <m:nor/>
                </m:rPr>
                <w:rPr>
                  <w:i/>
                  <w:iCs/>
                  <w:highlight w:val="yellow"/>
                  <w:lang w:val="fr-FR"/>
                </w:rPr>
                <m:t>t</m:t>
              </m:r>
            </m:sub>
          </m:sSub>
          <m:r>
            <m:rPr>
              <m:nor/>
            </m:rPr>
            <w:rPr>
              <w:i/>
              <w:highlight w:val="yellow"/>
              <w:lang w:val="fr-FR"/>
            </w:rPr>
            <m:t>*</m:t>
          </m:r>
          <m:r>
            <w:rPr>
              <w:rFonts w:ascii="Cambria Math" w:hAnsi="Cambria Math"/>
              <w:highlight w:val="yellow"/>
              <w:lang w:val="fr-FR"/>
            </w:rPr>
            <m:t>+</m:t>
          </m:r>
          <m:sSub>
            <m:sSubPr>
              <m:ctrlPr>
                <w:rPr>
                  <w:rFonts w:ascii="Cambria Math" w:hAnsi="Cambria Math"/>
                  <w:i/>
                  <w:iCs/>
                  <w:highlight w:val="yellow"/>
                </w:rPr>
              </m:ctrlPr>
            </m:sSubPr>
            <m:e>
              <m:r>
                <m:rPr>
                  <m:nor/>
                </m:rPr>
                <w:rPr>
                  <w:i/>
                  <w:iCs/>
                  <w:highlight w:val="yellow"/>
                </w:rPr>
                <m:t>π</m:t>
              </m:r>
            </m:e>
            <m:sub>
              <m:r>
                <m:rPr>
                  <m:nor/>
                </m:rPr>
                <w:rPr>
                  <w:i/>
                  <w:iCs/>
                  <w:highlight w:val="yellow"/>
                  <w:lang w:val="fr-FR"/>
                </w:rPr>
                <m:t>t</m:t>
              </m:r>
            </m:sub>
          </m:sSub>
          <m:r>
            <w:rPr>
              <w:rFonts w:ascii="Cambria Math" w:hAnsi="Cambria Math"/>
              <w:highlight w:val="yellow"/>
              <w:lang w:val="fr-FR"/>
            </w:rPr>
            <m:t>+</m:t>
          </m:r>
          <m:sSub>
            <m:sSubPr>
              <m:ctrlPr>
                <w:rPr>
                  <w:rFonts w:ascii="Cambria Math" w:hAnsi="Cambria Math"/>
                  <w:i/>
                  <w:iCs/>
                </w:rPr>
              </m:ctrlPr>
            </m:sSubPr>
            <m:e>
              <m:r>
                <m:rPr>
                  <m:nor/>
                </m:rPr>
                <w:rPr>
                  <w:i/>
                  <w:iCs/>
                  <w:lang w:val="fr-FR"/>
                </w:rPr>
                <m:t>ϕ</m:t>
              </m:r>
            </m:e>
            <m:sub>
              <m:r>
                <m:rPr>
                  <m:nor/>
                </m:rPr>
                <w:rPr>
                  <w:i/>
                  <w:iCs/>
                  <w:lang w:val="fr-FR"/>
                </w:rPr>
                <m:t>y</m:t>
              </m:r>
            </m:sub>
          </m:sSub>
          <m:r>
            <w:rPr>
              <w:rFonts w:ascii="Cambria Math" w:hAnsi="Cambria Math"/>
              <w:highlight w:val="yellow"/>
              <w:lang w:val="fr-FR"/>
            </w:rPr>
            <m:t>∙</m:t>
          </m:r>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lang w:val="fr-FR"/>
                    </w:rPr>
                    <m:t>y</m:t>
                  </m:r>
                </m:e>
                <m:sub>
                  <m:r>
                    <m:rPr>
                      <m:nor/>
                    </m:rPr>
                    <w:rPr>
                      <w:i/>
                      <w:highlight w:val="yellow"/>
                      <w:lang w:val="fr-FR"/>
                    </w:rPr>
                    <m:t>t</m:t>
                  </m:r>
                </m:sub>
              </m:sSub>
              <m:r>
                <w:rPr>
                  <w:rFonts w:ascii="Cambria Math" w:hAnsi="Cambria Math"/>
                  <w:highlight w:val="yellow"/>
                  <w:lang w:val="fr-FR"/>
                </w:rPr>
                <m:t>-</m:t>
              </m:r>
              <m:r>
                <m:rPr>
                  <m:nor/>
                </m:rPr>
                <w:rPr>
                  <w:i/>
                  <w:highlight w:val="yellow"/>
                  <w:lang w:val="fr-FR"/>
                </w:rPr>
                <m:t>y*</m:t>
              </m:r>
            </m:e>
          </m:d>
          <m:r>
            <w:rPr>
              <w:rFonts w:ascii="Cambria Math" w:hAnsi="Cambria Math"/>
              <w:highlight w:val="yellow"/>
              <w:lang w:val="fr-FR"/>
            </w:rPr>
            <m:t>+</m:t>
          </m:r>
          <m:sSub>
            <m:sSubPr>
              <m:ctrlPr>
                <w:rPr>
                  <w:rFonts w:ascii="Cambria Math" w:hAnsi="Cambria Math"/>
                  <w:i/>
                  <w:iCs/>
                </w:rPr>
              </m:ctrlPr>
            </m:sSubPr>
            <m:e>
              <m:r>
                <m:rPr>
                  <m:nor/>
                </m:rPr>
                <w:rPr>
                  <w:i/>
                  <w:iCs/>
                  <w:lang w:val="fr-FR"/>
                </w:rPr>
                <m:t>ϕ</m:t>
              </m:r>
            </m:e>
            <m:sub>
              <m:r>
                <m:rPr>
                  <m:nor/>
                </m:rPr>
                <w:rPr>
                  <w:i/>
                  <w:iCs/>
                </w:rPr>
                <m:t>π</m:t>
              </m:r>
            </m:sub>
          </m:sSub>
          <m:r>
            <w:rPr>
              <w:rFonts w:ascii="Cambria Math" w:hAnsi="Cambria Math"/>
              <w:highlight w:val="yellow"/>
              <w:lang w:val="fr-FR"/>
            </w:rPr>
            <m:t>∙</m:t>
          </m:r>
          <m:d>
            <m:dPr>
              <m:ctrlPr>
                <w:rPr>
                  <w:rFonts w:ascii="Cambria Math" w:hAnsi="Cambria Math"/>
                  <w:i/>
                  <w:highlight w:val="yellow"/>
                </w:rPr>
              </m:ctrlPr>
            </m:dPr>
            <m:e>
              <m:sSub>
                <m:sSubPr>
                  <m:ctrlPr>
                    <w:rPr>
                      <w:rFonts w:ascii="Cambria Math" w:hAnsi="Cambria Math"/>
                      <w:i/>
                      <w:highlight w:val="yellow"/>
                    </w:rPr>
                  </m:ctrlPr>
                </m:sSubPr>
                <m:e>
                  <m:r>
                    <m:rPr>
                      <m:nor/>
                    </m:rPr>
                    <w:rPr>
                      <w:i/>
                      <w:iCs/>
                      <w:highlight w:val="yellow"/>
                    </w:rPr>
                    <m:t>π</m:t>
                  </m:r>
                </m:e>
                <m:sub>
                  <m:r>
                    <m:rPr>
                      <m:nor/>
                    </m:rPr>
                    <w:rPr>
                      <w:i/>
                      <w:highlight w:val="yellow"/>
                      <w:lang w:val="fr-FR"/>
                    </w:rPr>
                    <m:t>t</m:t>
                  </m:r>
                </m:sub>
              </m:sSub>
              <m:r>
                <w:rPr>
                  <w:rFonts w:ascii="Cambria Math" w:hAnsi="Cambria Math"/>
                  <w:highlight w:val="yellow"/>
                  <w:lang w:val="fr-FR"/>
                </w:rPr>
                <m:t>-</m:t>
              </m:r>
              <m:r>
                <m:rPr>
                  <m:nor/>
                </m:rPr>
                <w:rPr>
                  <w:i/>
                  <w:iCs/>
                  <w:highlight w:val="yellow"/>
                </w:rPr>
                <m:t>π</m:t>
              </m:r>
              <m:r>
                <m:rPr>
                  <m:nor/>
                </m:rPr>
                <w:rPr>
                  <w:i/>
                  <w:highlight w:val="yellow"/>
                  <w:lang w:val="fr-FR"/>
                </w:rPr>
                <m:t>*</m:t>
              </m:r>
            </m:e>
          </m:d>
        </m:oMath>
      </m:oMathPara>
    </w:p>
    <w:p w14:paraId="795586A4" w14:textId="77777777" w:rsidR="00830096" w:rsidRPr="00CF096E" w:rsidRDefault="00830096" w:rsidP="00830096">
      <w:pPr>
        <w:pStyle w:val="Nivel4"/>
        <w:keepNext/>
        <w:ind w:left="1474"/>
        <w:rPr>
          <w:rFonts w:eastAsiaTheme="minorEastAsia"/>
          <w:highlight w:val="yellow"/>
        </w:rPr>
      </w:pPr>
      <w:r w:rsidRPr="00CF096E">
        <w:rPr>
          <w:highlight w:val="yellow"/>
        </w:rPr>
        <w:t>La regla de Taylor presenta ventajas e inconvenientes.</w:t>
      </w:r>
    </w:p>
    <w:p w14:paraId="611B3FAE" w14:textId="77777777" w:rsidR="00830096" w:rsidRPr="00CF096E" w:rsidRDefault="00830096" w:rsidP="00830096">
      <w:pPr>
        <w:pStyle w:val="Nivel5"/>
        <w:keepNext/>
        <w:ind w:left="1871"/>
        <w:rPr>
          <w:highlight w:val="yellow"/>
        </w:rPr>
      </w:pPr>
      <w:r w:rsidRPr="00CF096E">
        <w:rPr>
          <w:highlight w:val="yellow"/>
        </w:rPr>
        <w:t xml:space="preserve">Por un lado, presenta </w:t>
      </w:r>
      <w:r w:rsidRPr="00CF096E">
        <w:rPr>
          <w:i/>
          <w:iCs/>
          <w:highlight w:val="yellow"/>
        </w:rPr>
        <w:t>numerosas ventajas</w:t>
      </w:r>
      <w:r w:rsidRPr="00CF096E">
        <w:rPr>
          <w:highlight w:val="yellow"/>
        </w:rPr>
        <w:t>,</w:t>
      </w:r>
    </w:p>
    <w:p w14:paraId="6D66EB06" w14:textId="77777777" w:rsidR="00830096" w:rsidRPr="00CF096E" w:rsidRDefault="00830096" w:rsidP="00830096">
      <w:pPr>
        <w:pStyle w:val="Nivel6"/>
        <w:ind w:left="2212"/>
        <w:rPr>
          <w:highlight w:val="yellow"/>
        </w:rPr>
      </w:pPr>
      <w:r w:rsidRPr="00CF096E">
        <w:rPr>
          <w:highlight w:val="yellow"/>
        </w:rPr>
        <w:t>La principal es que es simple.</w:t>
      </w:r>
    </w:p>
    <w:p w14:paraId="205325D7" w14:textId="77777777" w:rsidR="00830096" w:rsidRPr="00CF096E" w:rsidRDefault="00830096" w:rsidP="00830096">
      <w:pPr>
        <w:pStyle w:val="Nivel6"/>
        <w:ind w:left="2212"/>
        <w:rPr>
          <w:highlight w:val="yellow"/>
        </w:rPr>
      </w:pPr>
      <w:r w:rsidRPr="00CF096E">
        <w:rPr>
          <w:highlight w:val="yellow"/>
        </w:rPr>
        <w:t>Además, es que es útil para los bancos centrales a la hora de tomas sus decisiones.</w:t>
      </w:r>
    </w:p>
    <w:p w14:paraId="30DF68DF" w14:textId="77777777" w:rsidR="00830096" w:rsidRPr="00CF096E" w:rsidRDefault="00830096" w:rsidP="00830096">
      <w:pPr>
        <w:pStyle w:val="Nivel6"/>
        <w:ind w:left="2212"/>
        <w:rPr>
          <w:highlight w:val="yellow"/>
        </w:rPr>
      </w:pPr>
      <w:r w:rsidRPr="00CF096E">
        <w:rPr>
          <w:highlight w:val="yellow"/>
        </w:rPr>
        <w:t>Finalmente, su ajuste empírico es excelente.</w:t>
      </w:r>
    </w:p>
    <w:p w14:paraId="05C6FC98" w14:textId="77777777" w:rsidR="00830096" w:rsidRPr="00CF096E" w:rsidRDefault="00830096" w:rsidP="00830096">
      <w:pPr>
        <w:pStyle w:val="Nivel5"/>
        <w:keepNext/>
        <w:ind w:left="1871"/>
        <w:rPr>
          <w:highlight w:val="yellow"/>
        </w:rPr>
      </w:pPr>
      <w:r w:rsidRPr="00CF096E">
        <w:rPr>
          <w:highlight w:val="yellow"/>
        </w:rPr>
        <w:t xml:space="preserve">No obstante, también presenta algunas </w:t>
      </w:r>
      <w:r w:rsidRPr="00CF096E">
        <w:rPr>
          <w:i/>
          <w:iCs/>
          <w:highlight w:val="yellow"/>
        </w:rPr>
        <w:t>desventajas</w:t>
      </w:r>
      <w:r w:rsidRPr="00CF096E">
        <w:rPr>
          <w:highlight w:val="yellow"/>
        </w:rPr>
        <w:t>, por ejemplo</w:t>
      </w:r>
    </w:p>
    <w:p w14:paraId="3DD514EE" w14:textId="77777777" w:rsidR="00830096" w:rsidRPr="00CF096E" w:rsidRDefault="00830096" w:rsidP="00830096">
      <w:pPr>
        <w:pStyle w:val="Nivel6"/>
        <w:ind w:left="2212"/>
        <w:rPr>
          <w:highlight w:val="yellow"/>
        </w:rPr>
      </w:pPr>
      <w:r w:rsidRPr="00CF096E">
        <w:rPr>
          <w:highlight w:val="yellow"/>
        </w:rPr>
        <w:t xml:space="preserve">Su carácter </w:t>
      </w:r>
      <w:proofErr w:type="spellStart"/>
      <w:r w:rsidRPr="00CF096E">
        <w:rPr>
          <w:i/>
          <w:iCs/>
          <w:highlight w:val="yellow"/>
        </w:rPr>
        <w:t>backward-looking</w:t>
      </w:r>
      <w:proofErr w:type="spellEnd"/>
      <w:r w:rsidRPr="00CF096E">
        <w:rPr>
          <w:highlight w:val="yellow"/>
        </w:rPr>
        <w:t>,</w:t>
      </w:r>
    </w:p>
    <w:p w14:paraId="3290D3C4" w14:textId="77777777" w:rsidR="00830096" w:rsidRPr="00CF096E" w:rsidRDefault="00830096" w:rsidP="00830096">
      <w:pPr>
        <w:pStyle w:val="Nivel6"/>
        <w:ind w:left="2212"/>
        <w:rPr>
          <w:highlight w:val="yellow"/>
        </w:rPr>
      </w:pPr>
      <w:r w:rsidRPr="00CF096E">
        <w:rPr>
          <w:highlight w:val="yellow"/>
        </w:rPr>
        <w:t xml:space="preserve">El hecho de que no está </w:t>
      </w:r>
      <w:proofErr w:type="spellStart"/>
      <w:r w:rsidRPr="00CF096E">
        <w:rPr>
          <w:highlight w:val="yellow"/>
        </w:rPr>
        <w:t>microfundamentada</w:t>
      </w:r>
      <w:proofErr w:type="spellEnd"/>
      <w:r w:rsidRPr="00CF096E">
        <w:rPr>
          <w:highlight w:val="yellow"/>
        </w:rPr>
        <w:t xml:space="preserve"> y</w:t>
      </w:r>
    </w:p>
    <w:p w14:paraId="7918CFDB" w14:textId="77777777" w:rsidR="00830096" w:rsidRPr="00CF096E" w:rsidRDefault="00830096" w:rsidP="00830096">
      <w:pPr>
        <w:pStyle w:val="Nivel6"/>
        <w:ind w:left="2212"/>
        <w:rPr>
          <w:highlight w:val="yellow"/>
        </w:rPr>
      </w:pPr>
      <w:r w:rsidRPr="00CF096E">
        <w:rPr>
          <w:highlight w:val="yellow"/>
        </w:rPr>
        <w:t>No tiene un componente no estocástico.</w:t>
      </w:r>
    </w:p>
    <w:p w14:paraId="47EAF39A" w14:textId="77777777" w:rsidR="00830096" w:rsidRPr="00CF096E" w:rsidRDefault="00830096" w:rsidP="00830096">
      <w:pPr>
        <w:pStyle w:val="Nivel3SM"/>
        <w:keepNext/>
        <w:rPr>
          <w:highlight w:val="yellow"/>
        </w:rPr>
      </w:pPr>
      <w:r w:rsidRPr="00CF096E">
        <w:rPr>
          <w:highlight w:val="yellow"/>
        </w:rPr>
        <w:t>En el modelo canónico, es habitual el uso de una regla tipo Taylor modificada de la siguiente forma:</w:t>
      </w:r>
    </w:p>
    <w:p w14:paraId="1B903C48" w14:textId="77777777" w:rsidR="00830096" w:rsidRPr="00CF096E" w:rsidRDefault="00000000" w:rsidP="00830096">
      <w:pPr>
        <w:spacing w:after="0"/>
        <w:ind w:left="963" w:hanging="198"/>
        <w:rPr>
          <w:rFonts w:eastAsiaTheme="minorEastAsia"/>
          <w:highlight w:val="yellow"/>
        </w:rPr>
      </w:pPr>
      <m:oMathPara>
        <m:oMath>
          <m:borderBox>
            <m:borderBoxPr>
              <m:ctrlPr>
                <w:rPr>
                  <w:rFonts w:ascii="Cambria Math" w:hAnsi="Cambria Math"/>
                  <w:i/>
                  <w:highlight w:val="yellow"/>
                </w:rPr>
              </m:ctrlPr>
            </m:borderBoxPr>
            <m:e>
              <m:sSub>
                <m:sSubPr>
                  <m:ctrlPr>
                    <w:rPr>
                      <w:rFonts w:ascii="Cambria Math" w:hAnsi="Cambria Math"/>
                      <w:i/>
                      <w:highlight w:val="yellow"/>
                    </w:rPr>
                  </m:ctrlPr>
                </m:sSubPr>
                <m:e>
                  <m:r>
                    <m:rPr>
                      <m:nor/>
                    </m:rPr>
                    <w:rPr>
                      <w:i/>
                      <w:highlight w:val="yellow"/>
                    </w:rPr>
                    <m:t>i</m:t>
                  </m:r>
                </m:e>
                <m:sub>
                  <m:r>
                    <m:rPr>
                      <m:nor/>
                    </m:rPr>
                    <w:rPr>
                      <w:i/>
                      <w:highlight w:val="yellow"/>
                    </w:rPr>
                    <m:t>t</m:t>
                  </m:r>
                </m:sub>
              </m:sSub>
              <m:r>
                <w:rPr>
                  <w:rFonts w:ascii="Cambria Math" w:hAnsi="Cambria Math"/>
                  <w:highlight w:val="yellow"/>
                </w:rPr>
                <m:t>=</m:t>
              </m:r>
              <m:r>
                <m:rPr>
                  <m:nor/>
                </m:rPr>
                <w:rPr>
                  <w:i/>
                  <w:iCs/>
                  <w:highlight w:val="yellow"/>
                  <w:lang w:val="fr-FR"/>
                </w:rPr>
                <m:t>ν</m:t>
              </m:r>
              <m:r>
                <w:rPr>
                  <w:rFonts w:ascii="Cambria Math" w:hAnsi="Cambria Math"/>
                  <w:highlight w:val="yellow"/>
                </w:rPr>
                <m:t>∙</m:t>
              </m:r>
              <m:sSub>
                <m:sSubPr>
                  <m:ctrlPr>
                    <w:rPr>
                      <w:rFonts w:ascii="Cambria Math" w:hAnsi="Cambria Math"/>
                      <w:i/>
                      <w:highlight w:val="yellow"/>
                    </w:rPr>
                  </m:ctrlPr>
                </m:sSubPr>
                <m:e>
                  <m:r>
                    <m:rPr>
                      <m:nor/>
                    </m:rPr>
                    <w:rPr>
                      <w:i/>
                      <w:highlight w:val="yellow"/>
                    </w:rPr>
                    <m:t>i</m:t>
                  </m:r>
                </m:e>
                <m:sub>
                  <m:r>
                    <m:rPr>
                      <m:nor/>
                    </m:rPr>
                    <w:rPr>
                      <w:i/>
                      <w:highlight w:val="yellow"/>
                    </w:rPr>
                    <m:t>t</m:t>
                  </m:r>
                  <m:r>
                    <w:rPr>
                      <w:rFonts w:ascii="Cambria Math" w:hAnsi="Cambria Math"/>
                      <w:highlight w:val="yellow"/>
                    </w:rPr>
                    <m:t>-</m:t>
                  </m:r>
                  <m:r>
                    <m:rPr>
                      <m:nor/>
                    </m:rPr>
                    <w:rPr>
                      <w:i/>
                      <w:iCs/>
                      <w:highlight w:val="yellow"/>
                    </w:rPr>
                    <m:t>1</m:t>
                  </m:r>
                </m:sub>
              </m:sSub>
              <m:r>
                <w:rPr>
                  <w:rFonts w:ascii="Cambria Math" w:hAnsi="Cambria Math"/>
                  <w:highlight w:val="yellow"/>
                </w:rPr>
                <m:t>+</m:t>
              </m:r>
              <m:r>
                <m:rPr>
                  <m:nor/>
                </m:rPr>
                <w:rPr>
                  <w:i/>
                  <w:iCs/>
                  <w:highlight w:val="yellow"/>
                  <w:lang w:val="fr-FR"/>
                </w:rPr>
                <m:t>ϕ</m:t>
              </m:r>
              <m:r>
                <w:rPr>
                  <w:rFonts w:ascii="Cambria Math" w:hAnsi="Cambria Math"/>
                  <w:highlight w:val="yellow"/>
                </w:rPr>
                <m:t>∙</m:t>
              </m:r>
              <m:sSub>
                <m:sSubPr>
                  <m:ctrlPr>
                    <w:rPr>
                      <w:rFonts w:ascii="Cambria Math" w:hAnsi="Cambria Math"/>
                      <w:i/>
                      <w:iCs/>
                      <w:highlight w:val="yellow"/>
                    </w:rPr>
                  </m:ctrlPr>
                </m:sSubPr>
                <m:e>
                  <m:r>
                    <m:rPr>
                      <m:nor/>
                    </m:rPr>
                    <w:rPr>
                      <w:i/>
                      <w:iCs/>
                      <w:highlight w:val="yellow"/>
                    </w:rPr>
                    <m:t>π</m:t>
                  </m:r>
                </m:e>
                <m:sub>
                  <m:r>
                    <m:rPr>
                      <m:nor/>
                    </m:rPr>
                    <w:rPr>
                      <w:i/>
                      <w:iCs/>
                      <w:highlight w:val="yellow"/>
                    </w:rPr>
                    <m:t>t</m:t>
                  </m:r>
                </m:sub>
              </m:sSub>
              <m:r>
                <w:rPr>
                  <w:rFonts w:ascii="Cambria Math" w:hAnsi="Cambria Math"/>
                  <w:highlight w:val="yellow"/>
                </w:rPr>
                <m:t>+</m:t>
              </m:r>
              <m:sSub>
                <m:sSubPr>
                  <m:ctrlPr>
                    <w:rPr>
                      <w:rFonts w:ascii="Cambria Math" w:hAnsi="Cambria Math"/>
                      <w:i/>
                      <w:iCs/>
                      <w:highlight w:val="yellow"/>
                    </w:rPr>
                  </m:ctrlPr>
                </m:sSubPr>
                <m:e>
                  <m:r>
                    <m:rPr>
                      <m:nor/>
                    </m:rPr>
                    <w:rPr>
                      <w:i/>
                      <w:iCs/>
                      <w:highlight w:val="yellow"/>
                    </w:rPr>
                    <m:t>x</m:t>
                  </m:r>
                </m:e>
                <m:sub>
                  <m:r>
                    <m:rPr>
                      <m:nor/>
                    </m:rPr>
                    <w:rPr>
                      <w:i/>
                      <w:iCs/>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ε</m:t>
                  </m:r>
                </m:e>
                <m:sub>
                  <m:r>
                    <m:rPr>
                      <m:nor/>
                    </m:rPr>
                    <w:rPr>
                      <w:i/>
                      <w:highlight w:val="yellow"/>
                    </w:rPr>
                    <m:t>t</m:t>
                  </m:r>
                </m:sub>
              </m:sSub>
            </m:e>
          </m:borderBox>
          <m:r>
            <m:rPr>
              <m:sty m:val="p"/>
            </m:rPr>
            <w:rPr>
              <w:rFonts w:ascii="Cambria Math" w:eastAsiaTheme="minorEastAsia" w:hAnsi="Cambria Math"/>
              <w:highlight w:val="yellow"/>
            </w:rPr>
            <w:br/>
          </m:r>
        </m:oMath>
      </m:oMathPara>
      <w:r w:rsidR="00830096" w:rsidRPr="00CF096E">
        <w:rPr>
          <w:rFonts w:eastAsiaTheme="minorEastAsia"/>
          <w:highlight w:val="yellow"/>
        </w:rPr>
        <w:t xml:space="preserve">donde </w:t>
      </w:r>
      <m:oMath>
        <m:r>
          <m:rPr>
            <m:nor/>
          </m:rPr>
          <w:rPr>
            <w:i/>
            <w:iCs/>
            <w:highlight w:val="yellow"/>
            <w:lang w:val="fr-FR"/>
          </w:rPr>
          <m:t>ν</m:t>
        </m:r>
      </m:oMath>
      <w:r w:rsidR="00830096" w:rsidRPr="00CF096E">
        <w:rPr>
          <w:rFonts w:eastAsiaTheme="minorEastAsia"/>
          <w:iCs/>
          <w:highlight w:val="yellow"/>
        </w:rPr>
        <w:t xml:space="preserve"> indica el grado de suavización del tipo de interés</w:t>
      </w:r>
      <w:r w:rsidR="00830096" w:rsidRPr="00CF096E">
        <w:rPr>
          <w:rStyle w:val="Refdenotaalpie"/>
          <w:rFonts w:eastAsiaTheme="minorEastAsia"/>
          <w:iCs/>
          <w:highlight w:val="yellow"/>
        </w:rPr>
        <w:footnoteReference w:id="31"/>
      </w:r>
      <w:r w:rsidR="00830096" w:rsidRPr="00CF096E">
        <w:rPr>
          <w:rFonts w:eastAsiaTheme="minorEastAsia"/>
          <w:iCs/>
          <w:highlight w:val="yellow"/>
        </w:rPr>
        <w:t xml:space="preserve">, </w:t>
      </w:r>
      <m:oMath>
        <m:r>
          <m:rPr>
            <m:nor/>
          </m:rPr>
          <w:rPr>
            <w:i/>
            <w:iCs/>
            <w:highlight w:val="yellow"/>
            <w:lang w:val="fr-FR"/>
          </w:rPr>
          <m:t>ϕ</m:t>
        </m:r>
      </m:oMath>
      <w:r w:rsidR="00830096" w:rsidRPr="00CF096E">
        <w:rPr>
          <w:rFonts w:eastAsiaTheme="minorEastAsia"/>
          <w:iCs/>
          <w:highlight w:val="yellow"/>
        </w:rPr>
        <w:t xml:space="preserve"> es el peso relativo que le asigna el banco central al gap de la inflación</w:t>
      </w:r>
      <w:r w:rsidR="00830096" w:rsidRPr="00CF096E">
        <w:rPr>
          <w:rStyle w:val="Refdenotaalpie"/>
          <w:rFonts w:eastAsiaTheme="minorEastAsia"/>
          <w:iCs/>
          <w:highlight w:val="yellow"/>
        </w:rPr>
        <w:footnoteReference w:id="32"/>
      </w:r>
      <w:r w:rsidR="00830096" w:rsidRPr="00CF096E">
        <w:rPr>
          <w:rFonts w:eastAsiaTheme="minorEastAsia"/>
          <w:iCs/>
          <w:highlight w:val="yellow"/>
        </w:rPr>
        <w:t xml:space="preserve"> y </w:t>
      </w:r>
      <m:oMath>
        <m:sSub>
          <m:sSubPr>
            <m:ctrlPr>
              <w:rPr>
                <w:rFonts w:ascii="Cambria Math" w:hAnsi="Cambria Math"/>
                <w:i/>
                <w:highlight w:val="yellow"/>
                <w14:glow w14:rad="38100">
                  <w14:srgbClr w14:val="C00000">
                    <w14:alpha w14:val="75000"/>
                  </w14:srgbClr>
                </w14:glow>
              </w:rPr>
            </m:ctrlPr>
          </m:sSubPr>
          <m:e>
            <m:r>
              <m:rPr>
                <m:nor/>
              </m:rPr>
              <w:rPr>
                <w:i/>
                <w:highlight w:val="yellow"/>
                <w14:glow w14:rad="38100">
                  <w14:srgbClr w14:val="C00000">
                    <w14:alpha w14:val="75000"/>
                  </w14:srgbClr>
                </w14:glow>
              </w:rPr>
              <m:t>ε</m:t>
            </m:r>
          </m:e>
          <m:sub>
            <m:r>
              <m:rPr>
                <m:nor/>
              </m:rPr>
              <w:rPr>
                <w:i/>
                <w:highlight w:val="yellow"/>
                <w14:glow w14:rad="38100">
                  <w14:srgbClr w14:val="C00000">
                    <w14:alpha w14:val="75000"/>
                  </w14:srgbClr>
                </w14:glow>
              </w:rPr>
              <m:t>t</m:t>
            </m:r>
          </m:sub>
        </m:sSub>
      </m:oMath>
      <w:r w:rsidR="00830096" w:rsidRPr="00CF096E">
        <w:rPr>
          <w:rFonts w:eastAsiaTheme="minorEastAsia"/>
          <w:highlight w:val="yellow"/>
          <w14:glow w14:rad="38100">
            <w14:srgbClr w14:val="C00000">
              <w14:alpha w14:val="75000"/>
            </w14:srgbClr>
          </w14:glow>
        </w:rPr>
        <w:t xml:space="preserve"> es un shock monetario</w:t>
      </w:r>
      <w:r w:rsidR="00830096" w:rsidRPr="00CF096E">
        <w:rPr>
          <w:rFonts w:eastAsiaTheme="minorEastAsia"/>
          <w:highlight w:val="yellow"/>
        </w:rPr>
        <w:t xml:space="preserve"> (que puede ser definido como cambios en la política monetaria que no son el resultado de respuestas lógicas de la autoridad monetaria en respuesta a movimientos de otras variables).</w:t>
      </w:r>
    </w:p>
    <w:p w14:paraId="076547C3" w14:textId="77777777" w:rsidR="00830096" w:rsidRPr="00CF096E" w:rsidRDefault="00830096" w:rsidP="00830096">
      <w:pPr>
        <w:spacing w:after="0"/>
        <w:ind w:left="964"/>
        <w:rPr>
          <w:rFonts w:eastAsiaTheme="minorEastAsia"/>
          <w:highlight w:val="yellow"/>
        </w:rPr>
      </w:pPr>
      <w:r w:rsidRPr="00CF096E">
        <w:rPr>
          <w:rFonts w:eastAsiaTheme="minorEastAsia"/>
          <w:highlight w:val="yellow"/>
        </w:rPr>
        <w:t>La autoridad monetaria tiene que ajustar el tipo de interés más que proporcionalmente respecto al cambio en la inflación para asegurar la senda adecuada de los tipos reales.</w:t>
      </w:r>
    </w:p>
    <w:p w14:paraId="537EC0C1" w14:textId="77777777" w:rsidR="00830096" w:rsidRPr="00CF096E" w:rsidRDefault="00830096" w:rsidP="00830096">
      <w:pPr>
        <w:pStyle w:val="Nivel3SM"/>
        <w:rPr>
          <w:spacing w:val="-1"/>
          <w:highlight w:val="yellow"/>
        </w:rPr>
      </w:pPr>
      <w:r w:rsidRPr="00CF096E">
        <w:rPr>
          <w:spacing w:val="-1"/>
          <w:highlight w:val="yellow"/>
        </w:rPr>
        <w:t xml:space="preserve">De este modo, si el Banco Central actúa de esta manera y se asume que el gobierno respeta su restricción presupuestaria </w:t>
      </w:r>
      <w:proofErr w:type="spellStart"/>
      <w:r w:rsidRPr="00CF096E">
        <w:rPr>
          <w:spacing w:val="-1"/>
          <w:highlight w:val="yellow"/>
        </w:rPr>
        <w:t>intertemporal</w:t>
      </w:r>
      <w:proofErr w:type="spellEnd"/>
      <w:r w:rsidRPr="00CF096E">
        <w:rPr>
          <w:spacing w:val="-1"/>
          <w:highlight w:val="yellow"/>
        </w:rPr>
        <w:t>, el modelo genera un equilibrio estable y único.</w:t>
      </w:r>
    </w:p>
    <w:p w14:paraId="40B59FCE" w14:textId="77777777" w:rsidR="00830096" w:rsidRPr="008E1A37" w:rsidRDefault="00830096" w:rsidP="00830096">
      <w:pPr>
        <w:pStyle w:val="Ttulo3"/>
        <w:rPr>
          <w:highlight w:val="yellow"/>
        </w:rPr>
      </w:pPr>
      <w:bookmarkStart w:id="86" w:name="_Toc120176857"/>
      <w:bookmarkStart w:id="87" w:name="_Toc142500918"/>
      <w:bookmarkStart w:id="88" w:name="_Toc151221255"/>
      <w:bookmarkEnd w:id="80"/>
      <w:r w:rsidRPr="008E1A37">
        <w:rPr>
          <w:highlight w:val="yellow"/>
        </w:rPr>
        <w:t>Implicaciones de política económica</w:t>
      </w:r>
      <w:bookmarkEnd w:id="86"/>
      <w:bookmarkEnd w:id="87"/>
      <w:bookmarkEnd w:id="88"/>
    </w:p>
    <w:p w14:paraId="12C066B3" w14:textId="77777777" w:rsidR="00830096" w:rsidRPr="008E1A37" w:rsidRDefault="00830096" w:rsidP="00830096">
      <w:pPr>
        <w:pStyle w:val="Nivel1SM"/>
        <w:keepNext/>
        <w:spacing w:before="0" w:after="0"/>
        <w:rPr>
          <w:highlight w:val="yellow"/>
        </w:rPr>
      </w:pPr>
      <w:r w:rsidRPr="008E1A37">
        <w:rPr>
          <w:highlight w:val="yellow"/>
        </w:rPr>
        <w:t>A partir del modelo canónico, se pueden extraer distintas conclusiones de política económica:</w:t>
      </w:r>
    </w:p>
    <w:p w14:paraId="7A3091BA" w14:textId="77777777" w:rsidR="00830096" w:rsidRPr="008E1A37" w:rsidRDefault="00830096" w:rsidP="00830096">
      <w:pPr>
        <w:pStyle w:val="Prrafodelista"/>
        <w:numPr>
          <w:ilvl w:val="0"/>
          <w:numId w:val="60"/>
        </w:numPr>
        <w:spacing w:after="100"/>
        <w:ind w:left="568" w:hanging="284"/>
        <w:rPr>
          <w:highlight w:val="yellow"/>
        </w:rPr>
      </w:pPr>
      <w:r w:rsidRPr="008E1A37">
        <w:rPr>
          <w:highlight w:val="yellow"/>
        </w:rPr>
        <w:t>Costes de la inflación y beneficios de la estabilidad de precios.</w:t>
      </w:r>
    </w:p>
    <w:p w14:paraId="34538F52" w14:textId="77777777" w:rsidR="00830096" w:rsidRPr="008E1A37" w:rsidRDefault="00830096" w:rsidP="00830096">
      <w:pPr>
        <w:pStyle w:val="Prrafodelista"/>
        <w:numPr>
          <w:ilvl w:val="0"/>
          <w:numId w:val="60"/>
        </w:numPr>
        <w:spacing w:after="100"/>
        <w:ind w:left="568" w:hanging="284"/>
        <w:rPr>
          <w:highlight w:val="yellow"/>
        </w:rPr>
      </w:pPr>
      <w:r w:rsidRPr="008E1A37">
        <w:rPr>
          <w:highlight w:val="yellow"/>
        </w:rPr>
        <w:t>El papel de las expectativas y las ganancias de la credibilidad.</w:t>
      </w:r>
    </w:p>
    <w:p w14:paraId="04AE1549" w14:textId="77777777" w:rsidR="00830096" w:rsidRPr="008E1A37" w:rsidRDefault="00830096" w:rsidP="00830096">
      <w:pPr>
        <w:pStyle w:val="Prrafodelista"/>
        <w:numPr>
          <w:ilvl w:val="0"/>
          <w:numId w:val="60"/>
        </w:numPr>
        <w:spacing w:after="100"/>
        <w:ind w:left="568" w:hanging="284"/>
        <w:rPr>
          <w:highlight w:val="yellow"/>
        </w:rPr>
      </w:pPr>
      <w:r w:rsidRPr="008E1A37">
        <w:rPr>
          <w:highlight w:val="yellow"/>
        </w:rPr>
        <w:t>Importancia de los niveles naturales de output y del tipo de interés como objetivos de política económica.</w:t>
      </w:r>
    </w:p>
    <w:p w14:paraId="2573327D" w14:textId="77777777" w:rsidR="00830096" w:rsidRPr="008E1A37" w:rsidRDefault="00830096" w:rsidP="00830096">
      <w:pPr>
        <w:pStyle w:val="Prrafodelista"/>
        <w:numPr>
          <w:ilvl w:val="0"/>
          <w:numId w:val="60"/>
        </w:numPr>
        <w:spacing w:after="100"/>
        <w:ind w:left="568" w:hanging="284"/>
        <w:rPr>
          <w:highlight w:val="yellow"/>
        </w:rPr>
      </w:pPr>
      <w:r w:rsidRPr="008E1A37">
        <w:rPr>
          <w:highlight w:val="yellow"/>
        </w:rPr>
        <w:t>Divina coincidencia (</w:t>
      </w:r>
      <w:r w:rsidRPr="008E1A37">
        <w:rPr>
          <w:smallCaps/>
          <w:highlight w:val="yellow"/>
        </w:rPr>
        <w:t>Blanchard</w:t>
      </w:r>
      <w:r w:rsidRPr="008E1A37">
        <w:rPr>
          <w:highlight w:val="yellow"/>
        </w:rPr>
        <w:t xml:space="preserve"> y </w:t>
      </w:r>
      <w:r w:rsidRPr="008E1A37">
        <w:rPr>
          <w:smallCaps/>
          <w:highlight w:val="yellow"/>
        </w:rPr>
        <w:t>Galí</w:t>
      </w:r>
      <w:r w:rsidRPr="008E1A37">
        <w:rPr>
          <w:highlight w:val="yellow"/>
        </w:rPr>
        <w:t>, 2005).</w:t>
      </w:r>
    </w:p>
    <w:p w14:paraId="4F64BC40" w14:textId="77777777" w:rsidR="00830096" w:rsidRPr="008E1A37" w:rsidRDefault="00830096" w:rsidP="00830096">
      <w:pPr>
        <w:pStyle w:val="Prrafodelista"/>
        <w:numPr>
          <w:ilvl w:val="0"/>
          <w:numId w:val="60"/>
        </w:numPr>
        <w:spacing w:after="100"/>
        <w:ind w:left="568" w:hanging="284"/>
        <w:rPr>
          <w:highlight w:val="yellow"/>
        </w:rPr>
      </w:pPr>
      <w:r w:rsidRPr="008E1A37">
        <w:rPr>
          <w:highlight w:val="yellow"/>
        </w:rPr>
        <w:t>Política fiscal.</w:t>
      </w:r>
    </w:p>
    <w:p w14:paraId="6696D118" w14:textId="77777777" w:rsidR="00830096" w:rsidRDefault="00830096" w:rsidP="00830096">
      <w:pPr>
        <w:pStyle w:val="Ttulo6"/>
      </w:pPr>
      <w:bookmarkStart w:id="89" w:name="_Toc142500919"/>
      <w:bookmarkStart w:id="90" w:name="_Toc151221256"/>
      <w:r>
        <w:t>Efectos de un aumento del gasto público</w:t>
      </w:r>
      <w:bookmarkEnd w:id="89"/>
      <w:bookmarkEnd w:id="90"/>
    </w:p>
    <w:p w14:paraId="42E06A7F" w14:textId="77777777" w:rsidR="00830096" w:rsidRDefault="00830096" w:rsidP="00830096">
      <w:pPr>
        <w:pStyle w:val="Nivel1SM"/>
        <w:keepNext/>
        <w:spacing w:before="0" w:after="0"/>
      </w:pPr>
      <w:r>
        <w:t>En este modelo, se producirán los siguientes efectos cuando se dé un aumento del gasto público:</w:t>
      </w:r>
    </w:p>
    <w:p w14:paraId="36626FBE" w14:textId="77777777" w:rsidR="00830096" w:rsidRDefault="00830096" w:rsidP="00830096">
      <w:pPr>
        <w:pStyle w:val="Nivel2SM"/>
      </w:pPr>
      <w:r>
        <w:rPr>
          <w:i/>
          <w:iCs/>
          <w:u w:val="single"/>
        </w:rPr>
        <w:t>Efecto riqueza negativo</w:t>
      </w:r>
      <w:r>
        <w:t xml:space="preserve">: Opera de la misma manera que en el modelo del ciclo real. </w:t>
      </w:r>
      <w:r w:rsidRPr="00A158A1">
        <w:t>Un aumento del gasto público corriente se percibirá por los hogares como un aumento futuro de impuestos. De este modo, los hogares perciben que cae su renta permanente produciéndose un efecto riqueza negativo, que los lleva a reducir su consumo y a aumentar su oferta de trabajo.</w:t>
      </w:r>
    </w:p>
    <w:p w14:paraId="79658B2F" w14:textId="77777777" w:rsidR="00830096" w:rsidRPr="00F35A49" w:rsidRDefault="00830096" w:rsidP="00830096">
      <w:pPr>
        <w:pStyle w:val="Nivel2SM"/>
        <w:rPr>
          <w:spacing w:val="-2"/>
        </w:rPr>
      </w:pPr>
      <w:r w:rsidRPr="00F35A49">
        <w:rPr>
          <w:i/>
          <w:iCs/>
          <w:spacing w:val="-2"/>
          <w:u w:val="single"/>
        </w:rPr>
        <w:t>Efecto causado por las rigideces nominales</w:t>
      </w:r>
      <w:r w:rsidRPr="00F35A49">
        <w:rPr>
          <w:spacing w:val="-2"/>
        </w:rPr>
        <w:t xml:space="preserve">: Por otra parte, la existencia de rigideces nominales hace que ante el aumento de la demanda agregada las empresas reaccionen incrementado su producción y aumentando su demanda de trabajo </w:t>
      </w:r>
      <w:bookmarkStart w:id="91" w:name="_Hlk131796757"/>
      <w:r w:rsidRPr="00F35A49">
        <w:rPr>
          <w:spacing w:val="-2"/>
        </w:rPr>
        <w:t>(ajuste en cantidades y en precios). Por lo tanto, este efecto generará una mayor producción, mayores salarios y mayor consumo. Es decir, existe un efecto positivo sobre el output gap y también un efecto positivo sobre la inflación</w:t>
      </w:r>
      <w:r w:rsidRPr="00F35A49">
        <w:rPr>
          <w:rStyle w:val="Refdenotaalpie"/>
          <w:spacing w:val="-2"/>
        </w:rPr>
        <w:footnoteReference w:id="33"/>
      </w:r>
      <w:bookmarkEnd w:id="91"/>
      <w:r w:rsidRPr="00F35A49">
        <w:rPr>
          <w:spacing w:val="-2"/>
        </w:rPr>
        <w:t>.</w:t>
      </w:r>
    </w:p>
    <w:p w14:paraId="47998EFF" w14:textId="77777777" w:rsidR="00830096" w:rsidRDefault="00830096" w:rsidP="00830096">
      <w:pPr>
        <w:pStyle w:val="Nivel2SM"/>
      </w:pPr>
      <w:bookmarkStart w:id="92" w:name="_Hlk131796777"/>
      <w:r>
        <w:rPr>
          <w:i/>
          <w:iCs/>
          <w:u w:val="single"/>
        </w:rPr>
        <w:lastRenderedPageBreak/>
        <w:t>Efecto respuesta de la política monetaria</w:t>
      </w:r>
      <w:r>
        <w:t xml:space="preserve">: La autoridad monetaria, siguiendo la regla de Taylor, responde a las presiones inflacionistas que generan mayores salarios reales y eleva los tipos de interés. La subida de tipos de interés hará que los hogares reaccionen sustituyendo consumo por ahorro (efecto </w:t>
      </w:r>
      <w:proofErr w:type="spellStart"/>
      <w:r>
        <w:rPr>
          <w:i/>
          <w:iCs/>
        </w:rPr>
        <w:t>crowding-out</w:t>
      </w:r>
      <w:proofErr w:type="spellEnd"/>
      <w:r>
        <w:t>), lo que llevará a una disminución del efecto expansivo de la política fiscal.</w:t>
      </w:r>
    </w:p>
    <w:bookmarkEnd w:id="92"/>
    <w:p w14:paraId="690FAF77" w14:textId="77777777" w:rsidR="00830096" w:rsidRPr="00507D8A" w:rsidRDefault="00830096" w:rsidP="00830096">
      <w:pPr>
        <w:pStyle w:val="Nivel1SM"/>
        <w:keepNext/>
        <w:spacing w:after="0"/>
      </w:pPr>
      <w:r>
        <w:t xml:space="preserve">Ante un incremento transitorio del gasto público, el nivel de producción y la inflación se elevan de forma transitoria. El banco central responde elevando también los tipos de interés de forma transitoria. Una vez que el gasto púbico retorna a su nivel anterior, el banco central relaja su política monetaria bajando los tipos de interés. Dada la restricción de recursos se define el peso del gasto sobre el PIB como </w:t>
      </w:r>
      <m:oMath>
        <m:sSub>
          <m:sSubPr>
            <m:ctrlPr>
              <w:rPr>
                <w:rFonts w:ascii="Cambria Math" w:hAnsi="Cambria Math"/>
                <w:i/>
              </w:rPr>
            </m:ctrlPr>
          </m:sSubPr>
          <m:e>
            <m:r>
              <m:rPr>
                <m:nor/>
              </m:rPr>
              <w:rPr>
                <w:i/>
              </w:rPr>
              <m:t>ω</m:t>
            </m:r>
          </m:e>
          <m:sub>
            <m:r>
              <m:rPr>
                <m:nor/>
              </m:rPr>
              <w:rPr>
                <w:i/>
              </w:rPr>
              <m:t>t</m:t>
            </m:r>
          </m:sub>
        </m:sSub>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G</m:t>
                </m:r>
              </m:e>
              <m:sub>
                <m:r>
                  <m:rPr>
                    <m:nor/>
                  </m:rPr>
                  <w:rPr>
                    <w:i/>
                  </w:rPr>
                  <m:t>t</m:t>
                </m:r>
              </m:sub>
            </m:sSub>
          </m:num>
          <m:den>
            <m:sSub>
              <m:sSubPr>
                <m:ctrlPr>
                  <w:rPr>
                    <w:rFonts w:ascii="Cambria Math" w:hAnsi="Cambria Math"/>
                    <w:i/>
                  </w:rPr>
                </m:ctrlPr>
              </m:sSubPr>
              <m:e>
                <m:r>
                  <m:rPr>
                    <m:nor/>
                  </m:rPr>
                  <w:rPr>
                    <w:i/>
                  </w:rPr>
                  <m:t>Y</m:t>
                </m:r>
              </m:e>
              <m:sub>
                <m:r>
                  <m:rPr>
                    <m:nor/>
                  </m:rPr>
                  <w:rPr>
                    <w:i/>
                  </w:rPr>
                  <m:t>t</m:t>
                </m:r>
              </m:sub>
            </m:sSub>
          </m:den>
        </m:f>
      </m:oMath>
      <w:r>
        <w:rPr>
          <w:rFonts w:eastAsiaTheme="minorEastAsia"/>
        </w:rPr>
        <w:t xml:space="preserve">. Teniendo en cuenta el valor de </w:t>
      </w:r>
      <m:oMath>
        <m:sSub>
          <m:sSubPr>
            <m:ctrlPr>
              <w:rPr>
                <w:rFonts w:ascii="Cambria Math" w:hAnsi="Cambria Math"/>
                <w:i/>
              </w:rPr>
            </m:ctrlPr>
          </m:sSubPr>
          <m:e>
            <m:r>
              <m:rPr>
                <m:nor/>
              </m:rPr>
              <w:rPr>
                <w:i/>
              </w:rPr>
              <m:t>ω</m:t>
            </m:r>
          </m:e>
          <m:sub>
            <m:r>
              <m:rPr>
                <m:nor/>
              </m:rPr>
              <w:rPr>
                <w:i/>
              </w:rPr>
              <m:t>t</m:t>
            </m:r>
          </m:sub>
        </m:sSub>
      </m:oMath>
      <w:r>
        <w:rPr>
          <w:rFonts w:eastAsiaTheme="minorEastAsia"/>
        </w:rPr>
        <w:t>, es posible obtener la restricción agregada de recursos en desviaciones del estado estacionario como</w:t>
      </w:r>
      <w:r>
        <w:rPr>
          <w:rStyle w:val="Refdenotaalpie"/>
          <w:rFonts w:eastAsiaTheme="minorEastAsia"/>
        </w:rPr>
        <w:footnoteReference w:id="34"/>
      </w:r>
      <w:r>
        <w:rPr>
          <w:rFonts w:eastAsiaTheme="minorEastAsia"/>
        </w:rPr>
        <w:t xml:space="preserve">: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ω</m:t>
                </m:r>
              </m:e>
              <m:sub>
                <m:r>
                  <m:rPr>
                    <m:nor/>
                  </m:rPr>
                  <w:rPr>
                    <w:i/>
                  </w:rPr>
                  <m:t>t</m:t>
                </m:r>
              </m:sub>
            </m:sSub>
          </m:e>
        </m:d>
        <m:r>
          <w:rPr>
            <w:rFonts w:ascii="Cambria Math" w:hAnsi="Cambria Math"/>
          </w:rPr>
          <m:t>∙</m:t>
        </m:r>
        <m:sSub>
          <m:sSubPr>
            <m:ctrlPr>
              <w:rPr>
                <w:rFonts w:ascii="Cambria Math" w:hAnsi="Cambria Math"/>
                <w:i/>
              </w:rPr>
            </m:ctrlPr>
          </m:sSubPr>
          <m:e>
            <m:r>
              <m:rPr>
                <m:nor/>
              </m:rPr>
              <w:rPr>
                <w:i/>
              </w:rPr>
              <m:t>c</m:t>
            </m:r>
          </m:e>
          <m:sub>
            <m:r>
              <m:rPr>
                <m:nor/>
              </m:rPr>
              <w:rPr>
                <w:i/>
              </w:rPr>
              <m:t>t</m:t>
            </m:r>
          </m:sub>
        </m:sSub>
        <m:r>
          <w:rPr>
            <w:rFonts w:ascii="Cambria Math" w:hAnsi="Cambria Math"/>
          </w:rPr>
          <m:t>+</m:t>
        </m:r>
        <m:sSub>
          <m:sSubPr>
            <m:ctrlPr>
              <w:rPr>
                <w:rFonts w:ascii="Cambria Math" w:hAnsi="Cambria Math"/>
                <w:i/>
              </w:rPr>
            </m:ctrlPr>
          </m:sSubPr>
          <m:e>
            <m:r>
              <m:rPr>
                <m:nor/>
              </m:rPr>
              <w:rPr>
                <w:i/>
              </w:rPr>
              <m:t>ω</m:t>
            </m:r>
          </m:e>
          <m:sub>
            <m:r>
              <m:rPr>
                <m:nor/>
              </m:rPr>
              <w:rPr>
                <w:i/>
              </w:rPr>
              <m:t>t</m:t>
            </m:r>
          </m:sub>
        </m:sSub>
        <m:r>
          <w:rPr>
            <w:rFonts w:ascii="Cambria Math" w:hAnsi="Cambria Math"/>
          </w:rPr>
          <m:t>∙</m:t>
        </m:r>
        <m:sSub>
          <m:sSubPr>
            <m:ctrlPr>
              <w:rPr>
                <w:rFonts w:ascii="Cambria Math" w:hAnsi="Cambria Math"/>
                <w:i/>
              </w:rPr>
            </m:ctrlPr>
          </m:sSubPr>
          <m:e>
            <m:r>
              <m:rPr>
                <m:nor/>
              </m:rPr>
              <w:rPr>
                <w:i/>
              </w:rPr>
              <m:t>g</m:t>
            </m:r>
          </m:e>
          <m:sub>
            <m:r>
              <m:rPr>
                <m:nor/>
              </m:rPr>
              <w:rPr>
                <w:i/>
              </w:rPr>
              <m:t>t</m:t>
            </m:r>
          </m:sub>
        </m:sSub>
      </m:oMath>
      <w:r>
        <w:rPr>
          <w:rFonts w:eastAsiaTheme="minorEastAsia"/>
        </w:rPr>
        <w:t>. Teniendo en cuenta esta ecuación, se obtiene el valor del multiplicador como:</w:t>
      </w:r>
    </w:p>
    <w:p w14:paraId="19CB587A" w14:textId="77777777" w:rsidR="00830096" w:rsidRPr="00507D8A" w:rsidRDefault="00000000" w:rsidP="00830096">
      <w:pPr>
        <w:pStyle w:val="Nivel1SM"/>
        <w:keepNext/>
        <w:numPr>
          <w:ilvl w:val="0"/>
          <w:numId w:val="0"/>
        </w:numPr>
        <w:spacing w:before="0" w:after="0"/>
        <w:rPr>
          <w:lang w:val="fr-FR"/>
        </w:rPr>
      </w:pPr>
      <m:oMathPara>
        <m:oMath>
          <m:f>
            <m:fPr>
              <m:ctrlPr>
                <w:rPr>
                  <w:rFonts w:ascii="Cambria Math" w:hAnsi="Cambria Math"/>
                  <w:i/>
                  <w:lang w:val="fr-FR"/>
                </w:rPr>
              </m:ctrlPr>
            </m:fPr>
            <m:num>
              <m:r>
                <m:rPr>
                  <m:nor/>
                </m:rPr>
                <w:rPr>
                  <w:i/>
                  <w:lang w:val="fr-FR"/>
                </w:rPr>
                <m:t>d</m:t>
              </m:r>
              <m:sSub>
                <m:sSubPr>
                  <m:ctrlPr>
                    <w:rPr>
                      <w:rFonts w:ascii="Cambria Math" w:hAnsi="Cambria Math"/>
                      <w:i/>
                    </w:rPr>
                  </m:ctrlPr>
                </m:sSubPr>
                <m:e>
                  <m:r>
                    <m:rPr>
                      <m:nor/>
                    </m:rPr>
                    <w:rPr>
                      <w:i/>
                      <w:lang w:val="fr-FR"/>
                    </w:rPr>
                    <m:t>Y</m:t>
                  </m:r>
                </m:e>
                <m:sub>
                  <m:r>
                    <m:rPr>
                      <m:nor/>
                    </m:rPr>
                    <w:rPr>
                      <w:i/>
                      <w:lang w:val="fr-FR"/>
                    </w:rPr>
                    <m:t>t</m:t>
                  </m:r>
                </m:sub>
              </m:sSub>
            </m:num>
            <m:den>
              <m:r>
                <m:rPr>
                  <m:nor/>
                </m:rPr>
                <w:rPr>
                  <w:i/>
                  <w:lang w:val="fr-FR"/>
                </w:rPr>
                <m:t>d</m:t>
              </m:r>
              <m:sSub>
                <m:sSubPr>
                  <m:ctrlPr>
                    <w:rPr>
                      <w:rFonts w:ascii="Cambria Math" w:hAnsi="Cambria Math"/>
                      <w:i/>
                    </w:rPr>
                  </m:ctrlPr>
                </m:sSubPr>
                <m:e>
                  <m:r>
                    <m:rPr>
                      <m:nor/>
                    </m:rPr>
                    <w:rPr>
                      <w:i/>
                      <w:lang w:val="fr-FR"/>
                    </w:rPr>
                    <m:t>G</m:t>
                  </m:r>
                </m:e>
                <m:sub>
                  <m:r>
                    <m:rPr>
                      <m:nor/>
                    </m:rPr>
                    <w:rPr>
                      <w:i/>
                      <w:lang w:val="fr-FR"/>
                    </w:rPr>
                    <m:t>t</m:t>
                  </m:r>
                </m:sub>
              </m:sSub>
            </m:den>
          </m:f>
          <m:r>
            <w:rPr>
              <w:rFonts w:ascii="Cambria Math" w:hAnsi="Cambria Math"/>
              <w:lang w:val="fr-FR"/>
            </w:rPr>
            <m:t>=</m:t>
          </m:r>
          <m:f>
            <m:fPr>
              <m:ctrlPr>
                <w:rPr>
                  <w:rFonts w:ascii="Cambria Math" w:hAnsi="Cambria Math"/>
                  <w:i/>
                  <w:lang w:val="fr-FR"/>
                </w:rPr>
              </m:ctrlPr>
            </m:fPr>
            <m:num>
              <m:r>
                <m:rPr>
                  <m:nor/>
                </m:rPr>
                <w:rPr>
                  <w:i/>
                  <w:lang w:val="fr-FR"/>
                </w:rPr>
                <m:t>1</m:t>
              </m:r>
            </m:num>
            <m:den>
              <m:sSub>
                <m:sSubPr>
                  <m:ctrlPr>
                    <w:rPr>
                      <w:rFonts w:ascii="Cambria Math" w:hAnsi="Cambria Math"/>
                      <w:i/>
                    </w:rPr>
                  </m:ctrlPr>
                </m:sSubPr>
                <m:e>
                  <m:r>
                    <m:rPr>
                      <m:nor/>
                    </m:rPr>
                    <w:rPr>
                      <w:i/>
                    </w:rPr>
                    <m:t>ω</m:t>
                  </m:r>
                </m:e>
                <m:sub>
                  <m:r>
                    <m:rPr>
                      <m:nor/>
                    </m:rPr>
                    <w:rPr>
                      <w:i/>
                      <w:lang w:val="fr-FR"/>
                    </w:rPr>
                    <m:t>t</m:t>
                  </m:r>
                </m:sub>
              </m:sSub>
            </m:den>
          </m:f>
          <m:r>
            <w:rPr>
              <w:rFonts w:ascii="Cambria Math" w:hAnsi="Cambria Math"/>
              <w:lang w:val="fr-FR"/>
            </w:rPr>
            <m:t>∙</m:t>
          </m:r>
          <m:f>
            <m:fPr>
              <m:ctrlPr>
                <w:rPr>
                  <w:rFonts w:ascii="Cambria Math" w:hAnsi="Cambria Math"/>
                  <w:i/>
                  <w:lang w:val="fr-FR"/>
                </w:rPr>
              </m:ctrlPr>
            </m:fPr>
            <m:num>
              <m:r>
                <m:rPr>
                  <m:nor/>
                </m:rPr>
                <w:rPr>
                  <w:i/>
                  <w:lang w:val="fr-FR"/>
                </w:rPr>
                <m:t>d</m:t>
              </m:r>
              <m:sSub>
                <m:sSubPr>
                  <m:ctrlPr>
                    <w:rPr>
                      <w:rFonts w:ascii="Cambria Math" w:hAnsi="Cambria Math"/>
                      <w:i/>
                    </w:rPr>
                  </m:ctrlPr>
                </m:sSubPr>
                <m:e>
                  <m:r>
                    <m:rPr>
                      <m:nor/>
                    </m:rPr>
                    <w:rPr>
                      <w:i/>
                      <w:lang w:val="fr-FR"/>
                    </w:rPr>
                    <m:t>y</m:t>
                  </m:r>
                </m:e>
                <m:sub>
                  <m:r>
                    <m:rPr>
                      <m:nor/>
                    </m:rPr>
                    <w:rPr>
                      <w:i/>
                      <w:lang w:val="fr-FR"/>
                    </w:rPr>
                    <m:t>t</m:t>
                  </m:r>
                </m:sub>
              </m:sSub>
            </m:num>
            <m:den>
              <m:r>
                <m:rPr>
                  <m:nor/>
                </m:rPr>
                <w:rPr>
                  <w:i/>
                  <w:lang w:val="fr-FR"/>
                </w:rPr>
                <m:t>d</m:t>
              </m:r>
              <m:sSub>
                <m:sSubPr>
                  <m:ctrlPr>
                    <w:rPr>
                      <w:rFonts w:ascii="Cambria Math" w:hAnsi="Cambria Math"/>
                      <w:i/>
                    </w:rPr>
                  </m:ctrlPr>
                </m:sSubPr>
                <m:e>
                  <m:r>
                    <m:rPr>
                      <m:nor/>
                    </m:rPr>
                    <w:rPr>
                      <w:i/>
                      <w:lang w:val="fr-FR"/>
                    </w:rPr>
                    <m:t>g</m:t>
                  </m:r>
                </m:e>
                <m:sub>
                  <m:r>
                    <m:rPr>
                      <m:nor/>
                    </m:rPr>
                    <w:rPr>
                      <w:i/>
                      <w:lang w:val="fr-FR"/>
                    </w:rPr>
                    <m:t>t</m:t>
                  </m:r>
                </m:sub>
              </m:sSub>
            </m:den>
          </m:f>
          <m:r>
            <w:rPr>
              <w:rFonts w:ascii="Cambria Math" w:hAnsi="Cambria Math"/>
              <w:lang w:val="fr-FR"/>
            </w:rPr>
            <m:t>=</m:t>
          </m:r>
          <m:r>
            <m:rPr>
              <m:nor/>
            </m:rPr>
            <w:rPr>
              <w:i/>
              <w:lang w:val="fr-FR"/>
            </w:rPr>
            <m:t>1</m:t>
          </m:r>
          <m:r>
            <w:rPr>
              <w:rFonts w:ascii="Cambria Math"/>
              <w:lang w:val="fr-FR"/>
            </w:rPr>
            <m:t>+</m:t>
          </m:r>
          <m:f>
            <m:fPr>
              <m:ctrlPr>
                <w:rPr>
                  <w:rFonts w:ascii="Cambria Math" w:hAnsi="Cambria Math"/>
                  <w:i/>
                </w:rPr>
              </m:ctrlPr>
            </m:fPr>
            <m:num>
              <m:d>
                <m:dPr>
                  <m:ctrlPr>
                    <w:rPr>
                      <w:rFonts w:ascii="Cambria Math" w:hAnsi="Cambria Math"/>
                      <w:i/>
                    </w:rPr>
                  </m:ctrlPr>
                </m:dPr>
                <m:e>
                  <m:r>
                    <m:rPr>
                      <m:nor/>
                    </m:rPr>
                    <w:rPr>
                      <w:i/>
                      <w:lang w:val="fr-FR"/>
                    </w:rPr>
                    <m:t>1</m:t>
                  </m:r>
                  <m:r>
                    <w:rPr>
                      <w:rFonts w:ascii="Cambria Math" w:hAnsi="Cambria Math"/>
                      <w:lang w:val="fr-FR"/>
                    </w:rPr>
                    <m:t>-</m:t>
                  </m:r>
                  <m:sSub>
                    <m:sSubPr>
                      <m:ctrlPr>
                        <w:rPr>
                          <w:rFonts w:ascii="Cambria Math" w:hAnsi="Cambria Math"/>
                          <w:i/>
                        </w:rPr>
                      </m:ctrlPr>
                    </m:sSubPr>
                    <m:e>
                      <m:r>
                        <m:rPr>
                          <m:nor/>
                        </m:rPr>
                        <w:rPr>
                          <w:i/>
                        </w:rPr>
                        <m:t>ω</m:t>
                      </m:r>
                    </m:e>
                    <m:sub>
                      <m:r>
                        <m:rPr>
                          <m:nor/>
                        </m:rPr>
                        <w:rPr>
                          <w:i/>
                          <w:lang w:val="fr-FR"/>
                        </w:rPr>
                        <m:t>t</m:t>
                      </m:r>
                    </m:sub>
                  </m:sSub>
                </m:e>
              </m:d>
            </m:num>
            <m:den>
              <m:sSub>
                <m:sSubPr>
                  <m:ctrlPr>
                    <w:rPr>
                      <w:rFonts w:ascii="Cambria Math" w:hAnsi="Cambria Math"/>
                      <w:i/>
                    </w:rPr>
                  </m:ctrlPr>
                </m:sSubPr>
                <m:e>
                  <m:r>
                    <m:rPr>
                      <m:nor/>
                    </m:rPr>
                    <w:rPr>
                      <w:i/>
                    </w:rPr>
                    <m:t>ω</m:t>
                  </m:r>
                </m:e>
                <m:sub>
                  <m:r>
                    <m:rPr>
                      <m:nor/>
                    </m:rPr>
                    <w:rPr>
                      <w:i/>
                      <w:lang w:val="fr-FR"/>
                    </w:rPr>
                    <m:t>t</m:t>
                  </m:r>
                </m:sub>
              </m:sSub>
            </m:den>
          </m:f>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lang w:val="fr-FR"/>
                    </w:rPr>
                    <m:t>c</m:t>
                  </m:r>
                </m:e>
                <m:sub>
                  <m:r>
                    <m:rPr>
                      <m:nor/>
                    </m:rPr>
                    <w:rPr>
                      <w:i/>
                      <w:lang w:val="fr-FR"/>
                    </w:rPr>
                    <m:t>t</m:t>
                  </m:r>
                </m:sub>
              </m:sSub>
            </m:num>
            <m:den>
              <m:sSub>
                <m:sSubPr>
                  <m:ctrlPr>
                    <w:rPr>
                      <w:rFonts w:ascii="Cambria Math" w:hAnsi="Cambria Math"/>
                      <w:i/>
                    </w:rPr>
                  </m:ctrlPr>
                </m:sSubPr>
                <m:e>
                  <m:r>
                    <m:rPr>
                      <m:nor/>
                    </m:rPr>
                    <w:rPr>
                      <w:i/>
                      <w:lang w:val="fr-FR"/>
                    </w:rPr>
                    <m:t>g</m:t>
                  </m:r>
                </m:e>
                <m:sub>
                  <m:r>
                    <m:rPr>
                      <m:nor/>
                    </m:rPr>
                    <w:rPr>
                      <w:i/>
                      <w:lang w:val="fr-FR"/>
                    </w:rPr>
                    <m:t>t</m:t>
                  </m:r>
                </m:sub>
              </m:sSub>
            </m:den>
          </m:f>
        </m:oMath>
      </m:oMathPara>
    </w:p>
    <w:p w14:paraId="290DF78B" w14:textId="77777777" w:rsidR="00830096" w:rsidRPr="00F0313D" w:rsidRDefault="00830096" w:rsidP="00830096">
      <w:pPr>
        <w:pStyle w:val="Nivel2SM"/>
        <w:rPr>
          <w:spacing w:val="-4"/>
        </w:rPr>
      </w:pPr>
      <w:r w:rsidRPr="00F0313D">
        <w:rPr>
          <w:spacing w:val="-4"/>
        </w:rPr>
        <w:t xml:space="preserve">Esta ecuación implica que el multiplicador depende de cómo reacciona el consumo al gasto público. Debido al dominio del </w:t>
      </w:r>
      <w:r w:rsidRPr="00F0313D">
        <w:rPr>
          <w:i/>
          <w:iCs/>
          <w:spacing w:val="-4"/>
        </w:rPr>
        <w:t>efecto riqueza</w:t>
      </w:r>
      <w:r w:rsidRPr="00F0313D">
        <w:rPr>
          <w:spacing w:val="-4"/>
        </w:rPr>
        <w:t xml:space="preserve"> y el </w:t>
      </w:r>
      <w:r w:rsidRPr="00F0313D">
        <w:rPr>
          <w:i/>
          <w:iCs/>
          <w:spacing w:val="-4"/>
        </w:rPr>
        <w:t xml:space="preserve">efecto </w:t>
      </w:r>
      <w:proofErr w:type="spellStart"/>
      <w:r w:rsidRPr="00F0313D">
        <w:rPr>
          <w:i/>
          <w:iCs/>
          <w:spacing w:val="-4"/>
        </w:rPr>
        <w:t>crowding-out</w:t>
      </w:r>
      <w:proofErr w:type="spellEnd"/>
      <w:r w:rsidRPr="00F0313D">
        <w:rPr>
          <w:spacing w:val="-4"/>
        </w:rPr>
        <w:t xml:space="preserve"> sobre el </w:t>
      </w:r>
      <w:r w:rsidRPr="00F0313D">
        <w:rPr>
          <w:i/>
          <w:iCs/>
          <w:spacing w:val="-4"/>
        </w:rPr>
        <w:t>efecto causado por las rigideces nominales</w:t>
      </w:r>
      <w:r w:rsidRPr="00F0313D">
        <w:rPr>
          <w:spacing w:val="-4"/>
        </w:rPr>
        <w:t>, el consumo se reduce al aumentar el gasto y el multiplicador será menor que 1.</w:t>
      </w:r>
    </w:p>
    <w:p w14:paraId="17DE6451" w14:textId="77777777" w:rsidR="00830096" w:rsidRDefault="00830096" w:rsidP="00830096">
      <w:pPr>
        <w:pStyle w:val="Nivel2SM"/>
        <w:keepNext/>
        <w:spacing w:after="0"/>
      </w:pPr>
      <w:bookmarkStart w:id="93" w:name="_Hlk131796841"/>
      <w:r>
        <w:t>El valor del multiplicador (y el efecto total de la política fiscal) dependerá de:</w:t>
      </w:r>
    </w:p>
    <w:p w14:paraId="49BB4294" w14:textId="77777777" w:rsidR="00830096" w:rsidRDefault="00830096" w:rsidP="00830096">
      <w:pPr>
        <w:pStyle w:val="Nmeroromano"/>
        <w:numPr>
          <w:ilvl w:val="0"/>
          <w:numId w:val="55"/>
        </w:numPr>
        <w:spacing w:after="0"/>
        <w:ind w:left="1134" w:hanging="85"/>
      </w:pPr>
      <w:r>
        <w:rPr>
          <w:i/>
          <w:iCs/>
        </w:rPr>
        <w:t xml:space="preserve">Grado de rigidez de precios (correlación entre el </w:t>
      </w:r>
      <w:proofErr w:type="spellStart"/>
      <w:r>
        <w:rPr>
          <w:i/>
          <w:iCs/>
        </w:rPr>
        <w:t>mark</w:t>
      </w:r>
      <w:proofErr w:type="spellEnd"/>
      <w:r>
        <w:rPr>
          <w:i/>
          <w:iCs/>
        </w:rPr>
        <w:t>-up y la posición cíclica)</w:t>
      </w:r>
      <w:r>
        <w:t xml:space="preserve">: Cuanto mayor sea la rigidez de precios, mayor </w:t>
      </w:r>
      <w:proofErr w:type="spellStart"/>
      <w:r>
        <w:t>prociclicidad</w:t>
      </w:r>
      <w:proofErr w:type="spellEnd"/>
      <w:r>
        <w:t xml:space="preserve"> del margen, mayor aumento de la demanda de trabajo por parte de las empresas, mayor aumento de la producción y mayor efectividad de la política fiscal.</w:t>
      </w:r>
    </w:p>
    <w:p w14:paraId="2FF608B9" w14:textId="77777777" w:rsidR="00830096" w:rsidRDefault="00830096" w:rsidP="00830096">
      <w:pPr>
        <w:pStyle w:val="Nmeroromano"/>
        <w:numPr>
          <w:ilvl w:val="0"/>
          <w:numId w:val="55"/>
        </w:numPr>
        <w:spacing w:after="0"/>
        <w:ind w:left="1134" w:hanging="85"/>
      </w:pPr>
      <w:r>
        <w:rPr>
          <w:i/>
          <w:iCs/>
        </w:rPr>
        <w:t>Carácter acomodaticio de la política monetaria</w:t>
      </w:r>
      <w:r>
        <w:t xml:space="preserve">: </w:t>
      </w:r>
      <w:bookmarkStart w:id="94" w:name="_Hlk104280696"/>
      <w:r>
        <w:t>Cuanto menor sea la sensibilidad del banco central a las desviaciones de la inflación y el output gap respecto de su objetivo, menos incrementará los tipos de interés y mayor será la efectividad de la política fiscal.</w:t>
      </w:r>
      <w:bookmarkEnd w:id="94"/>
    </w:p>
    <w:p w14:paraId="0CB97CB3" w14:textId="77777777" w:rsidR="00830096" w:rsidRDefault="00830096" w:rsidP="00830096">
      <w:pPr>
        <w:pStyle w:val="Nmeroromano"/>
        <w:numPr>
          <w:ilvl w:val="0"/>
          <w:numId w:val="55"/>
        </w:numPr>
        <w:spacing w:after="0"/>
        <w:ind w:left="1134" w:hanging="85"/>
      </w:pPr>
      <w:r>
        <w:rPr>
          <w:i/>
          <w:iCs/>
        </w:rPr>
        <w:t>Persistencia del shock de gasto público</w:t>
      </w:r>
      <w:r>
        <w:t>: Cuanto más persistente sea el gasto mayor será la inflación esperada y mayor la respuesta del banco central.</w:t>
      </w:r>
    </w:p>
    <w:bookmarkEnd w:id="93"/>
    <w:p w14:paraId="42F18A30" w14:textId="77777777" w:rsidR="00830096" w:rsidRPr="00C542AC" w:rsidRDefault="00830096" w:rsidP="00830096">
      <w:pPr>
        <w:pStyle w:val="Nivel1SM"/>
        <w:rPr>
          <w:spacing w:val="-1"/>
        </w:rPr>
      </w:pPr>
      <w:r w:rsidRPr="00C542AC">
        <w:rPr>
          <w:spacing w:val="-1"/>
        </w:rPr>
        <w:t xml:space="preserve">Por lo tanto, el efecto expansivo de la política fiscal en el modelo </w:t>
      </w:r>
      <w:proofErr w:type="spellStart"/>
      <w:r w:rsidRPr="00C542AC">
        <w:rPr>
          <w:spacing w:val="-1"/>
        </w:rPr>
        <w:t>neokeynesiano</w:t>
      </w:r>
      <w:proofErr w:type="spellEnd"/>
      <w:r w:rsidRPr="00C542AC">
        <w:rPr>
          <w:spacing w:val="-1"/>
        </w:rPr>
        <w:t xml:space="preserve"> va a depender de la respuesta del consumo y del carácter acomodaticio de la política monetaria. A continuación se analiza, brevemente, bajo qu</w:t>
      </w:r>
      <w:r>
        <w:rPr>
          <w:spacing w:val="-1"/>
        </w:rPr>
        <w:t>é</w:t>
      </w:r>
      <w:r w:rsidRPr="00C542AC">
        <w:rPr>
          <w:spacing w:val="-1"/>
        </w:rPr>
        <w:t xml:space="preserve"> condiciones el multiplicador del gasto público puede ser mayor que 1.</w:t>
      </w:r>
    </w:p>
    <w:p w14:paraId="474F1EE4" w14:textId="77777777" w:rsidR="00830096" w:rsidRDefault="00830096" w:rsidP="00830096">
      <w:pPr>
        <w:pStyle w:val="Ttulo3"/>
      </w:pPr>
      <w:bookmarkStart w:id="95" w:name="_Toc142500920"/>
      <w:bookmarkStart w:id="96" w:name="_Toc151221257"/>
      <w:r>
        <w:t>Evidencia empírica: el valor del multiplicador del gasto público</w:t>
      </w:r>
      <w:bookmarkEnd w:id="95"/>
      <w:bookmarkEnd w:id="96"/>
    </w:p>
    <w:p w14:paraId="4160E74C" w14:textId="77777777" w:rsidR="00830096" w:rsidRPr="00C542AC" w:rsidRDefault="00830096" w:rsidP="00830096">
      <w:pPr>
        <w:pStyle w:val="Nivel1SM"/>
        <w:spacing w:before="0"/>
      </w:pPr>
      <w:r>
        <w:t xml:space="preserve">Como se ha analizado en el modelo </w:t>
      </w:r>
      <w:proofErr w:type="spellStart"/>
      <w:r>
        <w:t>neokeynesiano</w:t>
      </w:r>
      <w:proofErr w:type="spellEnd"/>
      <w:r>
        <w:t xml:space="preserve">, el aumento del gasto público tiene un efecto expansivo cuyo alcance depende, en gran medida, del grado acomodaticio que siga la política monetaria en respuesta a la perturbación fiscal y de la reacción del consumo. En el marco de los modelos </w:t>
      </w:r>
      <w:proofErr w:type="spellStart"/>
      <w:r>
        <w:t>neokeynesianos</w:t>
      </w:r>
      <w:proofErr w:type="spellEnd"/>
      <w:r>
        <w:t xml:space="preserve"> se ha producido un gran desarrollo teórico centrado en estudiar bajo qué condiciones la política fiscal puede ser más expansiva.</w:t>
      </w:r>
    </w:p>
    <w:p w14:paraId="3D96199D" w14:textId="77777777" w:rsidR="00830096" w:rsidRPr="005A7EE5" w:rsidRDefault="00830096" w:rsidP="00830096">
      <w:pPr>
        <w:pStyle w:val="Ttulo6"/>
      </w:pPr>
      <w:bookmarkStart w:id="97" w:name="_Toc142500921"/>
      <w:bookmarkStart w:id="98" w:name="_Toc151221258"/>
      <w:r>
        <w:t>Definición de los multiplicadores fiscales</w:t>
      </w:r>
      <w:bookmarkEnd w:id="97"/>
      <w:bookmarkEnd w:id="98"/>
    </w:p>
    <w:p w14:paraId="42616F0E" w14:textId="77777777" w:rsidR="00830096" w:rsidRPr="00684DD4" w:rsidRDefault="00830096" w:rsidP="00830096">
      <w:pPr>
        <w:pStyle w:val="Nivel1SM"/>
        <w:keepNext/>
        <w:spacing w:before="0" w:after="0"/>
        <w:rPr>
          <w:rFonts w:eastAsiaTheme="minorEastAsia"/>
          <w:iCs/>
        </w:rPr>
      </w:pPr>
      <w:r>
        <w:t xml:space="preserve">Un multiplicador fiscal mide cómo se traslada un cambio en una variable fiscal sobre la actividad económica, normalmente el </w:t>
      </w:r>
      <m:oMath>
        <m:r>
          <m:rPr>
            <m:nor/>
          </m:rPr>
          <w:rPr>
            <w:i/>
            <w:iCs/>
          </w:rPr>
          <m:t>PIB</m:t>
        </m:r>
      </m:oMath>
      <w:r>
        <w:t>.</w:t>
      </w:r>
    </w:p>
    <w:p w14:paraId="2EEE4FD1" w14:textId="77777777" w:rsidR="00830096" w:rsidRDefault="00830096" w:rsidP="00830096">
      <w:pPr>
        <w:pStyle w:val="Nivel2SM"/>
        <w:rPr>
          <w:rFonts w:eastAsiaTheme="minorEastAsia"/>
          <w:iCs/>
        </w:rPr>
      </w:pPr>
      <w:r>
        <w:t>Es decir, con carácter general, el multiplicador fiscal se puede definir como la ratio entre la variación del nivel de producción y la variación exógena de un instrumento fiscal (gasto público o impuestos), con relación a sus respectivos escenarios base</w:t>
      </w:r>
      <w:r>
        <w:rPr>
          <w:rFonts w:eastAsiaTheme="minorEastAsia"/>
          <w:iCs/>
        </w:rPr>
        <w:t>.</w:t>
      </w:r>
    </w:p>
    <w:p w14:paraId="0778D5B4" w14:textId="77777777" w:rsidR="00830096" w:rsidRDefault="00830096" w:rsidP="00830096">
      <w:pPr>
        <w:pStyle w:val="Nivel2SM"/>
        <w:rPr>
          <w:rFonts w:eastAsiaTheme="minorEastAsia"/>
          <w:iCs/>
        </w:rPr>
      </w:pPr>
      <w:r>
        <w:rPr>
          <w:rFonts w:eastAsiaTheme="minorEastAsia"/>
          <w:iCs/>
        </w:rPr>
        <w:t>Sin embargo, dependiendo del horizonte temporal considerado existen distintas definiciones de multiplicador.</w:t>
      </w:r>
    </w:p>
    <w:p w14:paraId="41AB0686" w14:textId="77777777" w:rsidR="00830096" w:rsidRDefault="00830096" w:rsidP="00830096">
      <w:pPr>
        <w:pStyle w:val="Ttulo7"/>
        <w:rPr>
          <w:rFonts w:eastAsiaTheme="minorEastAsia"/>
        </w:rPr>
      </w:pPr>
      <w:bookmarkStart w:id="99" w:name="_Toc142500922"/>
      <w:r>
        <w:rPr>
          <w:rFonts w:eastAsiaTheme="minorEastAsia"/>
        </w:rPr>
        <w:lastRenderedPageBreak/>
        <w:t>Multiplicador de impacto</w:t>
      </w:r>
      <w:bookmarkEnd w:id="99"/>
    </w:p>
    <w:p w14:paraId="59261BFE" w14:textId="77777777" w:rsidR="00830096" w:rsidRDefault="00830096" w:rsidP="00830096">
      <w:pPr>
        <w:pStyle w:val="Nivel1SM"/>
        <w:keepNext/>
        <w:spacing w:before="0" w:after="0"/>
      </w:pPr>
      <w:r>
        <w:t>Formalmente, el multiplicador de impacto se define como la ratio de la variación del nivel de producción respecto a la variación del instrumento fiscal en el momento en el que se produce la variación de éste:</w:t>
      </w:r>
    </w:p>
    <w:p w14:paraId="260CCCE5" w14:textId="77777777" w:rsidR="00830096" w:rsidRPr="00F35A49" w:rsidRDefault="00000000" w:rsidP="00830096">
      <w:pPr>
        <w:pStyle w:val="Nivel1SM"/>
        <w:numPr>
          <w:ilvl w:val="0"/>
          <w:numId w:val="0"/>
        </w:numPr>
        <w:spacing w:before="0"/>
        <w:rPr>
          <w:rFonts w:eastAsiaTheme="minorEastAsia"/>
          <w:lang w:val="fr-FR"/>
        </w:rPr>
      </w:pPr>
      <m:oMathPara>
        <m:oMath>
          <m:sSubSup>
            <m:sSubSupPr>
              <m:ctrlPr>
                <w:rPr>
                  <w:rFonts w:ascii="Cambria Math" w:hAnsi="Cambria Math"/>
                  <w:i/>
                  <w:iCs/>
                  <w:lang w:val="fr-FR"/>
                </w:rPr>
              </m:ctrlPr>
            </m:sSubSupPr>
            <m:e>
              <m:r>
                <m:rPr>
                  <m:nor/>
                </m:rPr>
                <w:rPr>
                  <w:i/>
                  <w:iCs/>
                  <w:lang w:val="fr-FR"/>
                </w:rPr>
                <m:t>m</m:t>
              </m:r>
            </m:e>
            <m:sub>
              <m:r>
                <m:rPr>
                  <m:nor/>
                </m:rPr>
                <w:rPr>
                  <w:i/>
                  <w:lang w:val="fr-FR"/>
                </w:rPr>
                <m:t>t</m:t>
              </m:r>
            </m:sub>
            <m:sup>
              <m:r>
                <m:rPr>
                  <m:nor/>
                </m:rPr>
                <w:rPr>
                  <w:i/>
                  <w:iCs/>
                  <w:lang w:val="fr-FR"/>
                </w:rPr>
                <m:t>t</m:t>
              </m:r>
            </m:sup>
          </m:sSubSup>
          <m:r>
            <w:rPr>
              <w:rFonts w:ascii="Cambria Math" w:eastAsiaTheme="minorEastAsia" w:hAnsi="Cambria Math"/>
              <w:lang w:val="fr-FR"/>
            </w:rPr>
            <m:t>=</m:t>
          </m:r>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lang w:val="fr-FR"/>
                    </w:rPr>
                    <m:t>t</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oMath>
      </m:oMathPara>
    </w:p>
    <w:p w14:paraId="541D3D10" w14:textId="77777777" w:rsidR="00830096" w:rsidRPr="00684DD4" w:rsidRDefault="00830096" w:rsidP="00830096">
      <w:pPr>
        <w:pStyle w:val="Ttulo7"/>
        <w:rPr>
          <w:lang w:val="fr-FR"/>
        </w:rPr>
      </w:pPr>
      <w:r w:rsidRPr="00F35A49">
        <w:t>Multiplicador</w:t>
      </w:r>
      <w:r>
        <w:rPr>
          <w:lang w:val="fr-FR"/>
        </w:rPr>
        <w:t xml:space="preserve"> tras k </w:t>
      </w:r>
      <w:r w:rsidRPr="00F35A49">
        <w:t>períodos</w:t>
      </w:r>
    </w:p>
    <w:p w14:paraId="00BC80C8" w14:textId="77777777" w:rsidR="00830096" w:rsidRPr="00684DD4" w:rsidRDefault="00830096" w:rsidP="00830096">
      <w:pPr>
        <w:pStyle w:val="Nivel1SM"/>
        <w:keepNext/>
        <w:spacing w:before="0" w:after="0"/>
      </w:pPr>
      <w:r>
        <w:t xml:space="preserve">Del mismo modo, se puede definir el multiplicador tras </w:t>
      </w:r>
      <m:oMath>
        <m:r>
          <m:rPr>
            <m:nor/>
          </m:rPr>
          <w:rPr>
            <w:i/>
            <w:iCs/>
          </w:rPr>
          <m:t>k</m:t>
        </m:r>
      </m:oMath>
      <w:r>
        <w:t xml:space="preserve"> períodos, que mide el efecto sobre una variable de interés (p.ej. el </w:t>
      </w:r>
      <m:oMath>
        <m:r>
          <m:rPr>
            <m:nor/>
          </m:rPr>
          <w:rPr>
            <w:i/>
            <w:iCs/>
          </w:rPr>
          <m:t>PIB</m:t>
        </m:r>
      </m:oMath>
      <w:r>
        <w:t>) en el período </w:t>
      </w:r>
      <m:oMath>
        <m:r>
          <m:rPr>
            <m:nor/>
          </m:rPr>
          <w:rPr>
            <w:i/>
            <w:iCs/>
          </w:rPr>
          <m:t>t</m:t>
        </m:r>
        <m:r>
          <w:rPr>
            <w:rFonts w:ascii="Cambria Math" w:hAnsi="Cambria Math"/>
          </w:rPr>
          <m:t>+</m:t>
        </m:r>
        <m:r>
          <m:rPr>
            <m:nor/>
          </m:rPr>
          <w:rPr>
            <w:i/>
            <w:iCs/>
          </w:rPr>
          <m:t>k</m:t>
        </m:r>
      </m:oMath>
      <w:r>
        <w:rPr>
          <w:rFonts w:eastAsiaTheme="minorEastAsia"/>
          <w:iCs/>
        </w:rPr>
        <w:t xml:space="preserve"> de un cambio de política fiscal en el período </w:t>
      </w:r>
      <m:oMath>
        <m:r>
          <m:rPr>
            <m:nor/>
          </m:rPr>
          <w:rPr>
            <w:i/>
            <w:iCs/>
          </w:rPr>
          <m:t>t</m:t>
        </m:r>
      </m:oMath>
      <w:r>
        <w:rPr>
          <w:rFonts w:eastAsiaTheme="minorEastAsia"/>
          <w:iCs/>
        </w:rPr>
        <w:t>:</w:t>
      </w:r>
    </w:p>
    <w:p w14:paraId="5AA536B2" w14:textId="77777777" w:rsidR="00830096" w:rsidRPr="00684DD4" w:rsidRDefault="00000000" w:rsidP="00830096">
      <w:pPr>
        <w:pStyle w:val="Nivel1SM"/>
        <w:numPr>
          <w:ilvl w:val="0"/>
          <w:numId w:val="0"/>
        </w:numPr>
        <w:spacing w:before="0"/>
        <w:rPr>
          <w:lang w:val="fr-FR"/>
        </w:rPr>
      </w:pPr>
      <m:oMathPara>
        <m:oMath>
          <m:sSubSup>
            <m:sSubSupPr>
              <m:ctrlPr>
                <w:rPr>
                  <w:rFonts w:ascii="Cambria Math" w:hAnsi="Cambria Math"/>
                  <w:i/>
                  <w:iCs/>
                  <w:lang w:val="fr-FR"/>
                </w:rPr>
              </m:ctrlPr>
            </m:sSubSupPr>
            <m:e>
              <m:r>
                <m:rPr>
                  <m:nor/>
                </m:rPr>
                <w:rPr>
                  <w:i/>
                  <w:iCs/>
                  <w:lang w:val="fr-FR"/>
                </w:rPr>
                <m:t>m</m:t>
              </m:r>
            </m:e>
            <m:sub>
              <m:r>
                <m:rPr>
                  <m:nor/>
                </m:rPr>
                <w:rPr>
                  <w:i/>
                  <w:lang w:val="fr-FR"/>
                </w:rPr>
                <m:t>t</m:t>
              </m:r>
            </m:sub>
            <m:sup>
              <m:r>
                <m:rPr>
                  <m:nor/>
                </m:rPr>
                <w:rPr>
                  <w:i/>
                  <w:iCs/>
                  <w:lang w:val="fr-FR"/>
                </w:rPr>
                <m:t>t</m:t>
              </m:r>
              <m:r>
                <w:rPr>
                  <w:rFonts w:ascii="Cambria Math" w:hAnsi="Cambria Math"/>
                  <w:lang w:val="fr-FR"/>
                </w:rPr>
                <m:t>+</m:t>
              </m:r>
              <m:r>
                <m:rPr>
                  <m:nor/>
                </m:rPr>
                <w:rPr>
                  <w:i/>
                  <w:iCs/>
                  <w:lang w:val="fr-FR"/>
                </w:rPr>
                <m:t>k</m:t>
              </m:r>
            </m:sup>
          </m:sSubSup>
          <m:r>
            <w:rPr>
              <w:rFonts w:ascii="Cambria Math" w:eastAsiaTheme="minorEastAsia" w:hAnsi="Cambria Math"/>
              <w:lang w:val="fr-FR"/>
            </w:rPr>
            <m:t>=</m:t>
          </m:r>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r>
                    <w:rPr>
                      <w:rFonts w:ascii="Cambria Math" w:hAnsi="Cambria Math"/>
                      <w:lang w:val="fr-FR"/>
                    </w:rPr>
                    <m:t>+</m:t>
                  </m:r>
                  <m:r>
                    <m:rPr>
                      <m:nor/>
                    </m:rPr>
                    <w:rPr>
                      <w:i/>
                      <w:iCs/>
                      <w:lang w:val="fr-FR"/>
                    </w:rPr>
                    <m:t>k</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oMath>
      </m:oMathPara>
    </w:p>
    <w:p w14:paraId="0F3033CB" w14:textId="77777777" w:rsidR="00830096" w:rsidRDefault="00830096" w:rsidP="00830096">
      <w:pPr>
        <w:pStyle w:val="Ttulo7"/>
        <w:rPr>
          <w:rFonts w:eastAsiaTheme="minorEastAsia"/>
        </w:rPr>
      </w:pPr>
      <w:bookmarkStart w:id="100" w:name="_Toc142500923"/>
      <w:r>
        <w:rPr>
          <w:rFonts w:eastAsiaTheme="minorEastAsia"/>
        </w:rPr>
        <w:t>Multiplicado acumulado</w:t>
      </w:r>
      <w:bookmarkEnd w:id="100"/>
    </w:p>
    <w:p w14:paraId="473FAB9E" w14:textId="77777777" w:rsidR="00830096" w:rsidRPr="00684DD4" w:rsidRDefault="00830096" w:rsidP="00830096">
      <w:pPr>
        <w:pStyle w:val="Nivel1SM"/>
        <w:keepNext/>
        <w:spacing w:before="0" w:after="0"/>
      </w:pPr>
      <w:r>
        <w:t xml:space="preserve">Se define como la ratio de la variación acumulada del output tras </w:t>
      </w:r>
      <m:oMath>
        <m:r>
          <m:rPr>
            <m:nor/>
          </m:rPr>
          <w:rPr>
            <w:i/>
            <w:iCs/>
          </w:rPr>
          <m:t>k</m:t>
        </m:r>
      </m:oMath>
      <w:r>
        <w:rPr>
          <w:rFonts w:eastAsiaTheme="minorEastAsia"/>
          <w:iCs/>
        </w:rPr>
        <w:t> períodos.</w:t>
      </w:r>
    </w:p>
    <w:p w14:paraId="70A7A111" w14:textId="77777777" w:rsidR="00830096" w:rsidRPr="00684DD4" w:rsidRDefault="00000000" w:rsidP="00830096">
      <w:pPr>
        <w:pStyle w:val="Nivel1SM"/>
        <w:numPr>
          <w:ilvl w:val="0"/>
          <w:numId w:val="0"/>
        </w:numPr>
        <w:spacing w:before="0"/>
        <w:rPr>
          <w:lang w:val="fr-FR"/>
        </w:rPr>
      </w:pPr>
      <m:oMathPara>
        <m:oMath>
          <m:sSubSup>
            <m:sSubSupPr>
              <m:ctrlPr>
                <w:rPr>
                  <w:rFonts w:ascii="Cambria Math" w:hAnsi="Cambria Math"/>
                  <w:i/>
                  <w:iCs/>
                  <w:lang w:val="fr-FR"/>
                </w:rPr>
              </m:ctrlPr>
            </m:sSubSupPr>
            <m:e>
              <m:sSub>
                <m:sSubPr>
                  <m:ctrlPr>
                    <w:rPr>
                      <w:rFonts w:ascii="Cambria Math" w:hAnsi="Cambria Math"/>
                      <w:i/>
                      <w:iCs/>
                      <w:lang w:val="fr-FR"/>
                    </w:rPr>
                  </m:ctrlPr>
                </m:sSubPr>
                <m:e>
                  <m:r>
                    <m:rPr>
                      <m:nor/>
                    </m:rPr>
                    <w:rPr>
                      <w:i/>
                      <w:iCs/>
                      <w:lang w:val="fr-FR"/>
                    </w:rPr>
                    <m:t>m</m:t>
                  </m:r>
                </m:e>
                <m:sub>
                  <m:r>
                    <m:rPr>
                      <m:nor/>
                    </m:rPr>
                    <w:rPr>
                      <w:i/>
                      <w:iCs/>
                      <w:lang w:val="fr-FR"/>
                    </w:rPr>
                    <m:t>acum</m:t>
                  </m:r>
                </m:sub>
              </m:sSub>
            </m:e>
            <m:sub>
              <m:r>
                <m:rPr>
                  <m:nor/>
                </m:rPr>
                <w:rPr>
                  <w:i/>
                  <w:lang w:val="fr-FR"/>
                </w:rPr>
                <m:t>t</m:t>
              </m:r>
            </m:sub>
            <m:sup>
              <m:r>
                <m:rPr>
                  <m:nor/>
                </m:rPr>
                <w:rPr>
                  <w:i/>
                  <w:iCs/>
                  <w:lang w:val="fr-FR"/>
                </w:rPr>
                <m:t>t</m:t>
              </m:r>
              <m:r>
                <w:rPr>
                  <w:rFonts w:ascii="Cambria Math" w:hAnsi="Cambria Math"/>
                  <w:lang w:val="fr-FR"/>
                </w:rPr>
                <m:t>+</m:t>
              </m:r>
              <m:r>
                <m:rPr>
                  <m:nor/>
                </m:rPr>
                <w:rPr>
                  <w:i/>
                  <w:iCs/>
                  <w:lang w:val="fr-FR"/>
                </w:rPr>
                <m:t>k</m:t>
              </m:r>
            </m:sup>
          </m:sSubSup>
          <m:r>
            <w:rPr>
              <w:rFonts w:ascii="Cambria Math" w:eastAsiaTheme="minorEastAsia" w:hAnsi="Cambria Math"/>
              <w:lang w:val="fr-FR"/>
            </w:rPr>
            <m:t>=</m:t>
          </m:r>
          <m:nary>
            <m:naryPr>
              <m:chr m:val="∑"/>
              <m:limLoc m:val="undOvr"/>
              <m:ctrlPr>
                <w:rPr>
                  <w:rFonts w:ascii="Cambria Math" w:eastAsiaTheme="minorEastAsia" w:hAnsi="Cambria Math"/>
                  <w:i/>
                  <w:iCs/>
                  <w:lang w:val="fr-FR"/>
                </w:rPr>
              </m:ctrlPr>
            </m:naryPr>
            <m:sub>
              <m:r>
                <m:rPr>
                  <m:nor/>
                </m:rPr>
                <w:rPr>
                  <w:i/>
                  <w:iCs/>
                  <w:lang w:val="fr-FR"/>
                </w:rPr>
                <m:t>j</m:t>
              </m:r>
              <m:r>
                <w:rPr>
                  <w:rFonts w:ascii="Cambria Math" w:eastAsiaTheme="minorEastAsia" w:hAnsi="Cambria Math"/>
                  <w:lang w:val="fr-FR"/>
                </w:rPr>
                <m:t>=</m:t>
              </m:r>
              <m:r>
                <m:rPr>
                  <m:nor/>
                </m:rPr>
                <w:rPr>
                  <w:i/>
                  <w:iCs/>
                  <w:lang w:val="fr-FR"/>
                </w:rPr>
                <m:t>0</m:t>
              </m:r>
            </m:sub>
            <m:sup>
              <m:r>
                <m:rPr>
                  <m:nor/>
                </m:rPr>
                <w:rPr>
                  <w:i/>
                  <w:iCs/>
                  <w:lang w:val="fr-FR"/>
                </w:rPr>
                <m:t>k</m:t>
              </m:r>
            </m:sup>
            <m:e>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r>
                        <w:rPr>
                          <w:rFonts w:ascii="Cambria Math" w:hAnsi="Cambria Math"/>
                          <w:lang w:val="fr-FR"/>
                        </w:rPr>
                        <m:t>+</m:t>
                      </m:r>
                      <m:r>
                        <m:rPr>
                          <m:nor/>
                        </m:rPr>
                        <w:rPr>
                          <w:i/>
                          <w:iCs/>
                          <w:lang w:val="fr-FR"/>
                        </w:rPr>
                        <m:t>j</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e>
          </m:nary>
        </m:oMath>
      </m:oMathPara>
    </w:p>
    <w:p w14:paraId="69DAECC1" w14:textId="77777777" w:rsidR="00830096" w:rsidRPr="00684DD4" w:rsidRDefault="00830096" w:rsidP="00830096">
      <w:pPr>
        <w:pStyle w:val="Ttulo7"/>
        <w:rPr>
          <w:rFonts w:eastAsiaTheme="minorEastAsia"/>
        </w:rPr>
      </w:pPr>
      <w:bookmarkStart w:id="101" w:name="_Toc142500924"/>
      <w:r>
        <w:rPr>
          <w:rFonts w:eastAsiaTheme="minorEastAsia"/>
        </w:rPr>
        <w:t>Multiplicador máximo</w:t>
      </w:r>
      <w:bookmarkEnd w:id="101"/>
    </w:p>
    <w:p w14:paraId="0EB99164" w14:textId="77777777" w:rsidR="00830096" w:rsidRPr="0092424B" w:rsidRDefault="00830096" w:rsidP="00830096">
      <w:pPr>
        <w:pStyle w:val="Nivel1SM"/>
        <w:keepNext/>
        <w:spacing w:before="0" w:after="0"/>
        <w:rPr>
          <w:rFonts w:eastAsiaTheme="minorEastAsia"/>
          <w:iCs/>
          <w:spacing w:val="-3"/>
        </w:rPr>
      </w:pPr>
      <w:r w:rsidRPr="0092424B">
        <w:rPr>
          <w:rFonts w:eastAsiaTheme="minorEastAsia"/>
          <w:iCs/>
          <w:spacing w:val="-3"/>
        </w:rPr>
        <w:t>Se define como la ratio entre la máxima variación del output y la variación inicial del instrumento fiscal:</w:t>
      </w:r>
    </w:p>
    <w:p w14:paraId="000B64AD" w14:textId="77777777" w:rsidR="00830096" w:rsidRPr="00684DD4" w:rsidRDefault="00000000" w:rsidP="00830096">
      <w:pPr>
        <w:pStyle w:val="Nivel1SM"/>
        <w:numPr>
          <w:ilvl w:val="0"/>
          <w:numId w:val="0"/>
        </w:numPr>
        <w:spacing w:before="0"/>
        <w:rPr>
          <w:rFonts w:eastAsiaTheme="minorEastAsia"/>
          <w:iCs/>
          <w:lang w:val="fr-FR"/>
        </w:rPr>
      </w:pPr>
      <m:oMathPara>
        <m:oMath>
          <m:sSub>
            <m:sSubPr>
              <m:ctrlPr>
                <w:rPr>
                  <w:rFonts w:ascii="Cambria Math" w:hAnsi="Cambria Math"/>
                  <w:i/>
                  <w:iCs/>
                  <w:lang w:val="fr-FR"/>
                </w:rPr>
              </m:ctrlPr>
            </m:sSubPr>
            <m:e>
              <m:r>
                <m:rPr>
                  <m:nor/>
                </m:rPr>
                <w:rPr>
                  <w:i/>
                  <w:iCs/>
                  <w:lang w:val="fr-FR"/>
                </w:rPr>
                <m:t>m</m:t>
              </m:r>
            </m:e>
            <m:sub>
              <m:r>
                <m:rPr>
                  <m:nor/>
                </m:rPr>
                <w:rPr>
                  <w:i/>
                  <w:iCs/>
                  <w:lang w:val="fr-FR"/>
                </w:rPr>
                <m:t>máx</m:t>
              </m:r>
            </m:sub>
          </m:sSub>
          <m:r>
            <w:rPr>
              <w:rFonts w:ascii="Cambria Math" w:eastAsiaTheme="minorEastAsia" w:hAnsi="Cambria Math"/>
              <w:lang w:val="fr-FR"/>
            </w:rPr>
            <m:t>=</m:t>
          </m:r>
          <m:limLow>
            <m:limLowPr>
              <m:ctrlPr>
                <w:rPr>
                  <w:rFonts w:ascii="Cambria Math" w:eastAsiaTheme="minorEastAsia" w:hAnsi="Cambria Math"/>
                  <w:i/>
                  <w:iCs/>
                  <w:lang w:val="fr-FR"/>
                </w:rPr>
              </m:ctrlPr>
            </m:limLowPr>
            <m:e>
              <m:r>
                <m:rPr>
                  <m:nor/>
                </m:rPr>
                <w:rPr>
                  <w:rFonts w:eastAsiaTheme="minorEastAsia"/>
                  <w:i/>
                  <w:iCs/>
                  <w:lang w:val="fr-FR"/>
                </w:rPr>
                <m:t>max</m:t>
              </m:r>
            </m:e>
            <m:lim>
              <m:r>
                <m:rPr>
                  <m:nor/>
                </m:rPr>
                <w:rPr>
                  <w:rFonts w:eastAsiaTheme="minorEastAsia"/>
                  <w:i/>
                  <w:iCs/>
                  <w:lang w:val="fr-FR"/>
                </w:rPr>
                <m:t>k</m:t>
              </m:r>
            </m:lim>
          </m:limLow>
          <m:d>
            <m:dPr>
              <m:begChr m:val="{"/>
              <m:endChr m:val="}"/>
              <m:ctrlPr>
                <w:rPr>
                  <w:rFonts w:ascii="Cambria Math" w:hAnsi="Cambria Math"/>
                  <w:i/>
                  <w:lang w:val="fr-FR"/>
                </w:rPr>
              </m:ctrlPr>
            </m:dPr>
            <m:e>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r>
                <m:rPr>
                  <m:nor/>
                </m:rPr>
                <w:rPr>
                  <w:i/>
                  <w:lang w:val="fr-FR"/>
                </w:rPr>
                <m:t>,</m:t>
              </m:r>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r>
                        <w:rPr>
                          <w:rFonts w:ascii="Cambria Math" w:hAnsi="Cambria Math"/>
                          <w:lang w:val="fr-FR"/>
                        </w:rPr>
                        <m:t>+</m:t>
                      </m:r>
                      <m:r>
                        <m:rPr>
                          <m:nor/>
                        </m:rPr>
                        <w:rPr>
                          <w:i/>
                          <w:iCs/>
                          <w:lang w:val="fr-FR"/>
                        </w:rPr>
                        <m:t>1</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r>
                <m:rPr>
                  <m:nor/>
                </m:rPr>
                <w:rPr>
                  <w:i/>
                  <w:lang w:val="fr-FR"/>
                </w:rPr>
                <m:t>,</m:t>
              </m:r>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r>
                        <w:rPr>
                          <w:rFonts w:ascii="Cambria Math" w:hAnsi="Cambria Math"/>
                          <w:lang w:val="fr-FR"/>
                        </w:rPr>
                        <m:t>+</m:t>
                      </m:r>
                      <m:r>
                        <m:rPr>
                          <m:nor/>
                        </m:rPr>
                        <w:rPr>
                          <w:i/>
                          <w:iCs/>
                          <w:lang w:val="fr-FR"/>
                        </w:rPr>
                        <m:t>2</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r>
                <m:rPr>
                  <m:nor/>
                </m:rPr>
                <w:rPr>
                  <w:i/>
                  <w:lang w:val="fr-FR"/>
                </w:rPr>
                <m:t>,</m:t>
              </m:r>
              <m:r>
                <w:rPr>
                  <w:rFonts w:ascii="Cambria Math" w:hAnsi="Cambria Math"/>
                  <w:lang w:val="fr-FR"/>
                </w:rPr>
                <m:t>…</m:t>
              </m:r>
              <m:r>
                <m:rPr>
                  <m:nor/>
                </m:rPr>
                <w:rPr>
                  <w:i/>
                  <w:lang w:val="fr-FR"/>
                </w:rPr>
                <m:t>,</m:t>
              </m:r>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r>
                        <w:rPr>
                          <w:rFonts w:ascii="Cambria Math" w:hAnsi="Cambria Math"/>
                          <w:lang w:val="fr-FR"/>
                        </w:rPr>
                        <m:t>+</m:t>
                      </m:r>
                      <m:r>
                        <m:rPr>
                          <m:nor/>
                        </m:rPr>
                        <w:rPr>
                          <w:i/>
                          <w:iCs/>
                          <w:lang w:val="fr-FR"/>
                        </w:rPr>
                        <m:t>k</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e>
          </m:d>
        </m:oMath>
      </m:oMathPara>
    </w:p>
    <w:p w14:paraId="5021EEEE" w14:textId="77777777" w:rsidR="00830096" w:rsidRDefault="00830096" w:rsidP="00830096">
      <w:pPr>
        <w:pStyle w:val="Ttulo6"/>
        <w:rPr>
          <w:rFonts w:eastAsiaTheme="minorEastAsia"/>
        </w:rPr>
      </w:pPr>
      <w:bookmarkStart w:id="102" w:name="_Toc142500925"/>
      <w:bookmarkStart w:id="103" w:name="_Toc151221259"/>
      <w:r>
        <w:rPr>
          <w:rFonts w:eastAsiaTheme="minorEastAsia"/>
        </w:rPr>
        <w:t>Factores a tener en cuenta y evidencia sobre los efectos del gasto público</w:t>
      </w:r>
      <w:bookmarkEnd w:id="102"/>
      <w:bookmarkEnd w:id="103"/>
    </w:p>
    <w:p w14:paraId="40D7EF23" w14:textId="77777777" w:rsidR="00830096" w:rsidRDefault="00830096" w:rsidP="00345A4C">
      <w:pPr>
        <w:pStyle w:val="Ttulo7"/>
        <w:numPr>
          <w:ilvl w:val="0"/>
          <w:numId w:val="57"/>
        </w:numPr>
        <w:spacing w:before="0"/>
        <w:ind w:left="1134" w:hanging="113"/>
        <w:rPr>
          <w:rFonts w:eastAsiaTheme="minorEastAsia"/>
        </w:rPr>
      </w:pPr>
      <w:bookmarkStart w:id="104" w:name="_Toc142500926"/>
      <w:r>
        <w:rPr>
          <w:rFonts w:eastAsiaTheme="minorEastAsia"/>
        </w:rPr>
        <w:t>El horizonte temporal es clave</w:t>
      </w:r>
      <w:r w:rsidRPr="00FD7643">
        <w:rPr>
          <w:sz w:val="19"/>
          <w:szCs w:val="19"/>
          <w:u w:val="none"/>
        </w:rPr>
        <w:t xml:space="preserve"> (</w:t>
      </w:r>
      <w:r w:rsidRPr="00FD7643">
        <w:rPr>
          <w:rFonts w:ascii="Times New Roman" w:hAnsi="Times New Roman" w:cs="Times New Roman"/>
          <w:sz w:val="19"/>
          <w:szCs w:val="19"/>
          <w:u w:val="none"/>
        </w:rPr>
        <w:t>−</w:t>
      </w:r>
      <w:r w:rsidRPr="00FD7643">
        <w:rPr>
          <w:sz w:val="19"/>
          <w:szCs w:val="19"/>
          <w:u w:val="none"/>
        </w:rPr>
        <w:t>)</w:t>
      </w:r>
      <w:bookmarkEnd w:id="104"/>
    </w:p>
    <w:p w14:paraId="36FDEE8D" w14:textId="77777777" w:rsidR="00830096" w:rsidRDefault="00830096" w:rsidP="00830096">
      <w:pPr>
        <w:pStyle w:val="Nivel1SM"/>
        <w:spacing w:before="0" w:after="0"/>
      </w:pPr>
      <w:r>
        <w:t>En los estudios empíricos, el horizonte temporal es clave. No es lo mismo el multiplicador de impacto (el multiplicador en el período en que se lleva a cabo la política fiscal), que el multiplicador de un año o que el multiplicador de medio largo-plazo (5-10 años).</w:t>
      </w:r>
    </w:p>
    <w:p w14:paraId="46B57316" w14:textId="77777777" w:rsidR="00830096" w:rsidRDefault="00830096" w:rsidP="00830096">
      <w:pPr>
        <w:pStyle w:val="Nivel2SM"/>
      </w:pPr>
      <w:r>
        <w:t xml:space="preserve">En un modelo </w:t>
      </w:r>
      <w:proofErr w:type="spellStart"/>
      <w:r>
        <w:t>neokeynesiano</w:t>
      </w:r>
      <w:proofErr w:type="spellEnd"/>
      <w:r>
        <w:t xml:space="preserve"> estándar, el multiplicador de impacto suele ser positivo.</w:t>
      </w:r>
    </w:p>
    <w:p w14:paraId="3A0CE0FE" w14:textId="77777777" w:rsidR="00830096" w:rsidRDefault="00830096" w:rsidP="00830096">
      <w:pPr>
        <w:pStyle w:val="Nivel2SM"/>
      </w:pPr>
      <w:r>
        <w:t>Sin embargo, el multiplicador de largo plazo de un incremento permanente del gasto público financiado con impuestos a la renta o con impuestos al consumo es aproximadamente cero.</w:t>
      </w:r>
    </w:p>
    <w:p w14:paraId="1B204D7D" w14:textId="77777777" w:rsidR="00830096" w:rsidRPr="005A7EE5" w:rsidRDefault="00830096" w:rsidP="00345A4C">
      <w:pPr>
        <w:pStyle w:val="Ttulo7"/>
        <w:numPr>
          <w:ilvl w:val="0"/>
          <w:numId w:val="57"/>
        </w:numPr>
        <w:ind w:left="1134" w:hanging="113"/>
      </w:pPr>
      <w:bookmarkStart w:id="105" w:name="_Toc142500927"/>
      <w:r>
        <w:t xml:space="preserve">La magnitud del efecto sustitución </w:t>
      </w:r>
      <w:proofErr w:type="spellStart"/>
      <w:r>
        <w:t>intertemporal</w:t>
      </w:r>
      <w:proofErr w:type="spellEnd"/>
      <w:r>
        <w:t xml:space="preserve"> es clave</w:t>
      </w:r>
      <w:r w:rsidRPr="00FD7643">
        <w:rPr>
          <w:sz w:val="19"/>
          <w:szCs w:val="19"/>
          <w:u w:val="none"/>
        </w:rPr>
        <w:t xml:space="preserve"> (</w:t>
      </w:r>
      <w:r w:rsidRPr="00FD7643">
        <w:rPr>
          <w:rFonts w:ascii="Times New Roman" w:hAnsi="Times New Roman" w:cs="Times New Roman"/>
          <w:sz w:val="19"/>
          <w:szCs w:val="19"/>
          <w:u w:val="none"/>
        </w:rPr>
        <w:t>+</w:t>
      </w:r>
      <w:r w:rsidRPr="00FD7643">
        <w:rPr>
          <w:sz w:val="19"/>
          <w:szCs w:val="19"/>
          <w:u w:val="none"/>
        </w:rPr>
        <w:t>)</w:t>
      </w:r>
      <w:bookmarkEnd w:id="105"/>
    </w:p>
    <w:p w14:paraId="41496663" w14:textId="77777777" w:rsidR="00830096" w:rsidRDefault="00830096" w:rsidP="00830096">
      <w:pPr>
        <w:pStyle w:val="Nivel1SM"/>
        <w:spacing w:before="0"/>
      </w:pPr>
      <w:r>
        <w:t xml:space="preserve">Si la Elasticidad de Sustitución </w:t>
      </w:r>
      <w:proofErr w:type="spellStart"/>
      <w:r>
        <w:t>Intertemporal</w:t>
      </w:r>
      <w:proofErr w:type="spellEnd"/>
      <w:r>
        <w:t xml:space="preserve"> (ESI) de la oferta de trabajo es muy reducida, el valor del multiplicador es menor que uno (el efecto riqueza negativo gana importancia).</w:t>
      </w:r>
    </w:p>
    <w:p w14:paraId="37E9C3B9" w14:textId="77777777" w:rsidR="00830096" w:rsidRDefault="00830096" w:rsidP="00830096">
      <w:pPr>
        <w:pStyle w:val="Nivel1SM"/>
      </w:pPr>
      <w:r w:rsidRPr="005A7EE5">
        <w:rPr>
          <w:highlight w:val="yellow"/>
        </w:rPr>
        <w:t>En el límite, si la oferta de trabajo fuera perfectamente inelástica, s</w:t>
      </w:r>
      <w:r>
        <w:rPr>
          <w:highlight w:val="yellow"/>
        </w:rPr>
        <w:t>ó</w:t>
      </w:r>
      <w:r w:rsidRPr="005A7EE5">
        <w:rPr>
          <w:highlight w:val="yellow"/>
        </w:rPr>
        <w:t xml:space="preserve">lo existe efecto riqueza negativo. Como resultado, el nivel de producción no se vería afectado y la reducción del consumo sería de igual cuantía al aumento del gasto público, produciéndose un </w:t>
      </w:r>
      <w:r w:rsidRPr="00231716">
        <w:rPr>
          <w:i/>
          <w:iCs/>
          <w:highlight w:val="yellow"/>
        </w:rPr>
        <w:t xml:space="preserve">efecto </w:t>
      </w:r>
      <w:proofErr w:type="spellStart"/>
      <w:r w:rsidRPr="00231716">
        <w:rPr>
          <w:i/>
          <w:iCs/>
          <w:highlight w:val="yellow"/>
        </w:rPr>
        <w:t>crowding-out</w:t>
      </w:r>
      <w:proofErr w:type="spellEnd"/>
      <w:r w:rsidRPr="005A7EE5">
        <w:rPr>
          <w:highlight w:val="yellow"/>
        </w:rPr>
        <w:t xml:space="preserve"> completo.</w:t>
      </w:r>
    </w:p>
    <w:p w14:paraId="1E066F4B" w14:textId="77777777" w:rsidR="00830096" w:rsidRDefault="00830096" w:rsidP="00345A4C">
      <w:pPr>
        <w:pStyle w:val="Ttulo7"/>
        <w:numPr>
          <w:ilvl w:val="0"/>
          <w:numId w:val="57"/>
        </w:numPr>
        <w:ind w:left="1134" w:hanging="113"/>
      </w:pPr>
      <w:bookmarkStart w:id="106" w:name="_Toc142500928"/>
      <w:r>
        <w:t>El grado de distorsiones importa (</w:t>
      </w:r>
      <w:proofErr w:type="spellStart"/>
      <w:r>
        <w:t>Effective</w:t>
      </w:r>
      <w:proofErr w:type="spellEnd"/>
      <w:r>
        <w:t xml:space="preserve"> Lower Bound y restricciones de liquidez)</w:t>
      </w:r>
      <w:r w:rsidRPr="00FD7643">
        <w:rPr>
          <w:sz w:val="19"/>
          <w:szCs w:val="19"/>
          <w:u w:val="none"/>
        </w:rPr>
        <w:t xml:space="preserve"> (</w:t>
      </w:r>
      <w:r w:rsidRPr="00FD7643">
        <w:rPr>
          <w:rFonts w:ascii="Times New Roman" w:hAnsi="Times New Roman" w:cs="Times New Roman"/>
          <w:sz w:val="19"/>
          <w:szCs w:val="19"/>
          <w:u w:val="none"/>
        </w:rPr>
        <w:t>+</w:t>
      </w:r>
      <w:r w:rsidRPr="00FD7643">
        <w:rPr>
          <w:sz w:val="19"/>
          <w:szCs w:val="19"/>
          <w:u w:val="none"/>
        </w:rPr>
        <w:t>)</w:t>
      </w:r>
      <w:bookmarkEnd w:id="106"/>
    </w:p>
    <w:p w14:paraId="77E856FA" w14:textId="77777777" w:rsidR="00830096" w:rsidRDefault="00830096" w:rsidP="00830096">
      <w:pPr>
        <w:pStyle w:val="Nivel1SM"/>
        <w:keepNext/>
        <w:spacing w:before="0" w:after="0"/>
      </w:pPr>
      <w:r>
        <w:t xml:space="preserve">La evidencia de los últimos años apunta a que el multiplicador de impacto de un incremento transitorio del gasto público cuando estamos en el </w:t>
      </w:r>
      <w:proofErr w:type="spellStart"/>
      <w:r>
        <w:rPr>
          <w:i/>
          <w:iCs/>
        </w:rPr>
        <w:t>Effective</w:t>
      </w:r>
      <w:proofErr w:type="spellEnd"/>
      <w:r>
        <w:rPr>
          <w:i/>
          <w:iCs/>
        </w:rPr>
        <w:t xml:space="preserve"> Lower Bound</w:t>
      </w:r>
      <w:r>
        <w:t xml:space="preserve"> de los tipos de interés nominales es más alto de los que pensábamos.</w:t>
      </w:r>
    </w:p>
    <w:p w14:paraId="275DA0A5" w14:textId="77777777" w:rsidR="00830096" w:rsidRDefault="00830096" w:rsidP="00830096">
      <w:pPr>
        <w:pStyle w:val="Nivel2SM"/>
      </w:pPr>
      <w:r>
        <w:rPr>
          <w:smallCaps/>
        </w:rPr>
        <w:t>Robert Hall</w:t>
      </w:r>
      <w:r>
        <w:t xml:space="preserve"> estima que el multiplicador fiscal está entre 0,5 y 1 cuando existe margen para una bajada de los tipos de interés, pero considera que el multiplicador puede alcanzar 1,7 cuando los tipos son cercanos a cero.</w:t>
      </w:r>
    </w:p>
    <w:p w14:paraId="4DE89C1A" w14:textId="77777777" w:rsidR="00830096" w:rsidRDefault="00830096" w:rsidP="00830096">
      <w:pPr>
        <w:pStyle w:val="Nivel2SM"/>
        <w:keepNext/>
        <w:spacing w:after="0"/>
      </w:pPr>
      <w:r>
        <w:rPr>
          <w:smallCaps/>
        </w:rPr>
        <w:t>Christiano</w:t>
      </w:r>
      <w:r>
        <w:t xml:space="preserve"> analiza los efectos de la política fiscal en un modelo DSGE con más distorsiones (costes de ajuste de la inversión y hábitos de consumo) y </w:t>
      </w:r>
      <w:proofErr w:type="spellStart"/>
      <w:r>
        <w:rPr>
          <w:i/>
          <w:iCs/>
        </w:rPr>
        <w:t>Effective</w:t>
      </w:r>
      <w:proofErr w:type="spellEnd"/>
      <w:r>
        <w:rPr>
          <w:i/>
          <w:iCs/>
        </w:rPr>
        <w:t xml:space="preserve"> Lower Bound</w:t>
      </w:r>
      <w:r>
        <w:t>. Encuentra que el valor del multiplicador de impacto puede estar entre 1,2 y 1,3.</w:t>
      </w:r>
    </w:p>
    <w:p w14:paraId="6FB97A31" w14:textId="77777777" w:rsidR="00830096" w:rsidRPr="005A7EE5" w:rsidRDefault="00830096" w:rsidP="00830096">
      <w:pPr>
        <w:pStyle w:val="Nivel3SM"/>
      </w:pPr>
      <w:r>
        <w:t xml:space="preserve">Esto podría deberse a que, en una situación como la vivida recientemente, con </w:t>
      </w:r>
      <w:proofErr w:type="spellStart"/>
      <w:r>
        <w:rPr>
          <w:i/>
          <w:iCs/>
        </w:rPr>
        <w:t>Effective</w:t>
      </w:r>
      <w:proofErr w:type="spellEnd"/>
      <w:r>
        <w:rPr>
          <w:i/>
          <w:iCs/>
        </w:rPr>
        <w:t xml:space="preserve"> Lower Bound</w:t>
      </w:r>
      <w:r>
        <w:t xml:space="preserve"> y gran liquidez en los mercados financieros, se mitiga el efecto </w:t>
      </w:r>
      <w:proofErr w:type="spellStart"/>
      <w:r>
        <w:rPr>
          <w:i/>
          <w:iCs/>
        </w:rPr>
        <w:t>crowding-out</w:t>
      </w:r>
      <w:proofErr w:type="spellEnd"/>
      <w:r>
        <w:t xml:space="preserve"> (expulsión de la inversión privada si el impulso fiscal va acompañado de déficit público).</w:t>
      </w:r>
    </w:p>
    <w:p w14:paraId="3991A775" w14:textId="77777777" w:rsidR="00830096" w:rsidRDefault="00830096" w:rsidP="00830096">
      <w:pPr>
        <w:pStyle w:val="Nivel1SM"/>
        <w:rPr>
          <w:spacing w:val="-3"/>
        </w:rPr>
      </w:pPr>
      <w:r w:rsidRPr="00777B0F">
        <w:rPr>
          <w:smallCaps/>
          <w:spacing w:val="-3"/>
        </w:rPr>
        <w:lastRenderedPageBreak/>
        <w:t>Galí</w:t>
      </w:r>
      <w:r w:rsidRPr="00777B0F">
        <w:rPr>
          <w:spacing w:val="-3"/>
        </w:rPr>
        <w:t xml:space="preserve">, </w:t>
      </w:r>
      <w:r w:rsidRPr="00777B0F">
        <w:rPr>
          <w:smallCaps/>
          <w:spacing w:val="-3"/>
        </w:rPr>
        <w:t>López-Salido</w:t>
      </w:r>
      <w:r w:rsidRPr="00AD21E1">
        <w:rPr>
          <w:spacing w:val="-3"/>
        </w:rPr>
        <w:t xml:space="preserve"> </w:t>
      </w:r>
      <w:r w:rsidRPr="00777B0F">
        <w:rPr>
          <w:spacing w:val="-3"/>
        </w:rPr>
        <w:t xml:space="preserve">y </w:t>
      </w:r>
      <w:r w:rsidRPr="00777B0F">
        <w:rPr>
          <w:smallCaps/>
          <w:spacing w:val="-3"/>
        </w:rPr>
        <w:t>Vallés</w:t>
      </w:r>
      <w:r w:rsidRPr="00777B0F">
        <w:rPr>
          <w:spacing w:val="-3"/>
        </w:rPr>
        <w:t xml:space="preserve"> (2007)</w:t>
      </w:r>
      <w:r>
        <w:rPr>
          <w:rStyle w:val="Refdenotaalpie"/>
          <w:spacing w:val="-3"/>
        </w:rPr>
        <w:footnoteReference w:id="35"/>
      </w:r>
      <w:r w:rsidRPr="00777B0F">
        <w:rPr>
          <w:spacing w:val="-3"/>
        </w:rPr>
        <w:t xml:space="preserve"> encuentran que con restricciones de liquidez los hogares tienen menos posibilidad de suavizar el consumo y también encuentran que el multiplicador es mayor que 1.</w:t>
      </w:r>
    </w:p>
    <w:p w14:paraId="23D1FE82" w14:textId="77777777" w:rsidR="00830096" w:rsidRDefault="00830096" w:rsidP="00345A4C">
      <w:pPr>
        <w:pStyle w:val="Ttulo7"/>
        <w:numPr>
          <w:ilvl w:val="0"/>
          <w:numId w:val="57"/>
        </w:numPr>
        <w:ind w:left="1134" w:hanging="113"/>
      </w:pPr>
      <w:bookmarkStart w:id="107" w:name="_Toc142500929"/>
      <w:r>
        <w:t>La consideración de la respuesta de los impuestos es muy importante</w:t>
      </w:r>
      <w:r w:rsidRPr="00FD7643">
        <w:rPr>
          <w:sz w:val="19"/>
          <w:szCs w:val="19"/>
          <w:u w:val="none"/>
        </w:rPr>
        <w:t xml:space="preserve"> (</w:t>
      </w:r>
      <w:r w:rsidRPr="00FD7643">
        <w:rPr>
          <w:rFonts w:ascii="Times New Roman" w:hAnsi="Times New Roman" w:cs="Times New Roman"/>
          <w:sz w:val="19"/>
          <w:szCs w:val="19"/>
          <w:u w:val="none"/>
        </w:rPr>
        <w:t>−</w:t>
      </w:r>
      <w:r w:rsidRPr="00FD7643">
        <w:rPr>
          <w:sz w:val="19"/>
          <w:szCs w:val="19"/>
          <w:u w:val="none"/>
        </w:rPr>
        <w:t>)</w:t>
      </w:r>
      <w:bookmarkEnd w:id="107"/>
    </w:p>
    <w:p w14:paraId="4A1D943F" w14:textId="77777777" w:rsidR="00830096" w:rsidRDefault="00830096" w:rsidP="00830096">
      <w:pPr>
        <w:pStyle w:val="Nivel1SM"/>
        <w:keepNext/>
        <w:spacing w:before="0" w:after="0"/>
      </w:pPr>
      <w:r>
        <w:t xml:space="preserve">El multiplicador de largo plazo puede ser negativo en algunos modelos </w:t>
      </w:r>
      <w:proofErr w:type="spellStart"/>
      <w:r>
        <w:t>neokeynesianos</w:t>
      </w:r>
      <w:proofErr w:type="spellEnd"/>
      <w:r>
        <w:t xml:space="preserve"> porque el gasto público adicional tiene que ser financiado con impuestos que deprimen la actividad económica en el futuro.</w:t>
      </w:r>
    </w:p>
    <w:p w14:paraId="6BCD189D" w14:textId="77777777" w:rsidR="00830096" w:rsidRDefault="00830096" w:rsidP="00830096">
      <w:pPr>
        <w:pStyle w:val="Nivel2SM"/>
      </w:pPr>
      <w:r>
        <w:rPr>
          <w:smallCaps/>
        </w:rPr>
        <w:t>Alberto Alesina</w:t>
      </w:r>
      <w:r>
        <w:rPr>
          <w:rStyle w:val="Refdenotaalpie"/>
          <w:smallCaps/>
        </w:rPr>
        <w:footnoteReference w:id="36"/>
      </w:r>
      <w:r>
        <w:t xml:space="preserve"> usa un enfoque empírico y encuentra que reducciones permanentes de gasto asociadas a reducciones equivalentes de impuestos suelen tener un efecto expansivo. El italiano también concluye que aumentos de impuestos pueden perjudicar el crecimiento económico más que recortes en el gasto público.</w:t>
      </w:r>
    </w:p>
    <w:p w14:paraId="3636362C" w14:textId="77777777" w:rsidR="00830096" w:rsidRDefault="00830096" w:rsidP="00345A4C">
      <w:pPr>
        <w:pStyle w:val="Ttulo7"/>
        <w:numPr>
          <w:ilvl w:val="0"/>
          <w:numId w:val="57"/>
        </w:numPr>
        <w:ind w:left="1134" w:hanging="113"/>
      </w:pPr>
      <w:bookmarkStart w:id="108" w:name="_Toc142500930"/>
      <w:r>
        <w:t>El nivel de deuda pública</w:t>
      </w:r>
      <w:r w:rsidRPr="00FD7643">
        <w:rPr>
          <w:sz w:val="19"/>
          <w:szCs w:val="19"/>
          <w:u w:val="none"/>
        </w:rPr>
        <w:t xml:space="preserve"> (</w:t>
      </w:r>
      <w:r w:rsidRPr="00FD7643">
        <w:rPr>
          <w:rFonts w:ascii="Times New Roman" w:hAnsi="Times New Roman" w:cs="Times New Roman"/>
          <w:sz w:val="19"/>
          <w:szCs w:val="19"/>
          <w:u w:val="none"/>
        </w:rPr>
        <w:t>−</w:t>
      </w:r>
      <w:r w:rsidRPr="00FD7643">
        <w:rPr>
          <w:sz w:val="19"/>
          <w:szCs w:val="19"/>
          <w:u w:val="none"/>
        </w:rPr>
        <w:t>)</w:t>
      </w:r>
      <w:bookmarkEnd w:id="108"/>
    </w:p>
    <w:p w14:paraId="58C908A1" w14:textId="77777777" w:rsidR="00830096" w:rsidRPr="00964D63" w:rsidRDefault="00830096" w:rsidP="00830096">
      <w:pPr>
        <w:pStyle w:val="Nivel1SM"/>
        <w:spacing w:before="0"/>
      </w:pPr>
      <w:r>
        <w:t>El multiplicador fiscal puede depender negativamente del nivel de deuda pública, pues con una deuda pública elevada, el país puede sufrir problemas de financiación como consecuencia de un estímulo fiscal adicional.</w:t>
      </w:r>
    </w:p>
    <w:p w14:paraId="335CEFBE" w14:textId="77777777" w:rsidR="00830096" w:rsidRDefault="00830096" w:rsidP="00345A4C">
      <w:pPr>
        <w:pStyle w:val="Ttulo7"/>
        <w:numPr>
          <w:ilvl w:val="0"/>
          <w:numId w:val="57"/>
        </w:numPr>
        <w:ind w:left="1134" w:hanging="113"/>
      </w:pPr>
      <w:bookmarkStart w:id="109" w:name="_Toc142500931"/>
      <w:r>
        <w:t>La independencia de la política monetaria es importante (unión monetaria)</w:t>
      </w:r>
      <w:r w:rsidRPr="00FD7643">
        <w:rPr>
          <w:sz w:val="19"/>
          <w:szCs w:val="19"/>
          <w:u w:val="none"/>
        </w:rPr>
        <w:t xml:space="preserve"> (</w:t>
      </w:r>
      <w:r w:rsidRPr="00FD7643">
        <w:rPr>
          <w:rFonts w:ascii="Times New Roman" w:hAnsi="Times New Roman" w:cs="Times New Roman"/>
          <w:sz w:val="19"/>
          <w:szCs w:val="19"/>
          <w:u w:val="none"/>
        </w:rPr>
        <w:t>+</w:t>
      </w:r>
      <w:r w:rsidRPr="00FD7643">
        <w:rPr>
          <w:sz w:val="19"/>
          <w:szCs w:val="19"/>
          <w:u w:val="none"/>
        </w:rPr>
        <w:t>)</w:t>
      </w:r>
      <w:bookmarkEnd w:id="109"/>
    </w:p>
    <w:p w14:paraId="0F660B0B" w14:textId="77777777" w:rsidR="00830096" w:rsidRDefault="00830096" w:rsidP="00830096">
      <w:pPr>
        <w:pStyle w:val="Nivel1SM"/>
        <w:keepNext/>
        <w:spacing w:before="0" w:after="0"/>
      </w:pPr>
      <w:r>
        <w:rPr>
          <w:smallCaps/>
        </w:rPr>
        <w:t>Galí</w:t>
      </w:r>
      <w:r>
        <w:t xml:space="preserve"> y </w:t>
      </w:r>
      <w:r>
        <w:rPr>
          <w:smallCaps/>
        </w:rPr>
        <w:t>Monacelli</w:t>
      </w:r>
      <w:r>
        <w:t xml:space="preserve"> (2005) utilizan el modelo canónico </w:t>
      </w:r>
      <w:proofErr w:type="spellStart"/>
      <w:r>
        <w:t>neokeynesiano</w:t>
      </w:r>
      <w:proofErr w:type="spellEnd"/>
      <w:r>
        <w:t xml:space="preserve"> en economía abierta para analizar el diseño de la política fiscal y de las políticas monetarias óptimas en una unión monetaria. Suponen una unión monetaria en la que cada país conserva el control sobre su política fiscal y la política monetaria es común para todos los países de la unión monetaria. De este modo, el tipo de interés de la relación IS dinámica de cada país será el tipo de interés fijado por el banco central, común a todos los estados miembros de la unión monetaria.</w:t>
      </w:r>
    </w:p>
    <w:p w14:paraId="58C24F41" w14:textId="77777777" w:rsidR="00830096" w:rsidRDefault="00830096" w:rsidP="00830096">
      <w:pPr>
        <w:pStyle w:val="Nivel2SM"/>
      </w:pPr>
      <w:r>
        <w:t xml:space="preserve">En primer lugar, </w:t>
      </w:r>
      <w:r>
        <w:rPr>
          <w:smallCaps/>
        </w:rPr>
        <w:t>Galí</w:t>
      </w:r>
      <w:r>
        <w:t xml:space="preserve"> y </w:t>
      </w:r>
      <w:r>
        <w:rPr>
          <w:smallCaps/>
        </w:rPr>
        <w:t>Monacelli</w:t>
      </w:r>
      <w:r>
        <w:t xml:space="preserve"> analizan los efectos de un aumento del gasto público doméstico. El efecto es expansivo para la economía doméstica y casi no depende del grado de acomodación de la política monetaria, dado que la política monetaria de la unión monetaria no responde únicamente a la inflación doméstica (sino que depende de la del conjunto de la unión) y no se produce un incremento del tipo de interés en respuesta al aumento del gasto público como sucedía en el caso analizado en economía cerrada.</w:t>
      </w:r>
    </w:p>
    <w:p w14:paraId="31675B8A" w14:textId="77777777" w:rsidR="00830096" w:rsidRPr="00964D63" w:rsidRDefault="00830096" w:rsidP="00830096">
      <w:pPr>
        <w:pStyle w:val="Nivel2SM"/>
        <w:rPr>
          <w:spacing w:val="-1"/>
        </w:rPr>
      </w:pPr>
      <w:r w:rsidRPr="00964D63">
        <w:rPr>
          <w:spacing w:val="-1"/>
        </w:rPr>
        <w:t xml:space="preserve">Por otra parte, </w:t>
      </w:r>
      <w:r w:rsidRPr="00964D63">
        <w:rPr>
          <w:smallCaps/>
          <w:spacing w:val="-1"/>
        </w:rPr>
        <w:t>Galí</w:t>
      </w:r>
      <w:r w:rsidRPr="00964D63">
        <w:rPr>
          <w:spacing w:val="-1"/>
        </w:rPr>
        <w:t xml:space="preserve"> y </w:t>
      </w:r>
      <w:r w:rsidRPr="00964D63">
        <w:rPr>
          <w:smallCaps/>
          <w:spacing w:val="-1"/>
        </w:rPr>
        <w:t>Monacelli</w:t>
      </w:r>
      <w:r w:rsidRPr="00964D63">
        <w:rPr>
          <w:spacing w:val="-1"/>
        </w:rPr>
        <w:t xml:space="preserve"> también estudian cuál es la política monetaria y fiscal óptima a nivel de la unión monetaria en respuesta a una perturbación positiva de productividad que afecta a la economía doméstica. Una perturbación positiva de productividad tiende a reducir los precios domésticos, lo que, en presencia de rigideces nominales de precios y en ausencia de ajustes de tipo de cambio nominal entre los miembros de la unión monetaria, genera una respuesta ineficiente de los términos de intercambio, por lo que existe cierto espacio para que la política fiscal de cada país actúe como instrumento de estabilización.</w:t>
      </w:r>
    </w:p>
    <w:p w14:paraId="652F7853" w14:textId="77777777" w:rsidR="00830096" w:rsidRDefault="00830096" w:rsidP="00345A4C">
      <w:pPr>
        <w:pStyle w:val="Ttulo7"/>
        <w:numPr>
          <w:ilvl w:val="0"/>
          <w:numId w:val="57"/>
        </w:numPr>
        <w:ind w:left="1134" w:hanging="113"/>
      </w:pPr>
      <w:bookmarkStart w:id="110" w:name="_Toc142500932"/>
      <w:r>
        <w:lastRenderedPageBreak/>
        <w:t>La apertura de la economía</w:t>
      </w:r>
      <w:r w:rsidRPr="00FD7643">
        <w:rPr>
          <w:sz w:val="19"/>
          <w:szCs w:val="19"/>
          <w:u w:val="none"/>
        </w:rPr>
        <w:t xml:space="preserve"> (</w:t>
      </w:r>
      <w:r w:rsidRPr="00FD7643">
        <w:rPr>
          <w:rFonts w:ascii="Times New Roman" w:hAnsi="Times New Roman" w:cs="Times New Roman"/>
          <w:sz w:val="19"/>
          <w:szCs w:val="19"/>
          <w:u w:val="none"/>
        </w:rPr>
        <w:t>−</w:t>
      </w:r>
      <w:r w:rsidRPr="00FD7643">
        <w:rPr>
          <w:sz w:val="19"/>
          <w:szCs w:val="19"/>
          <w:u w:val="none"/>
        </w:rPr>
        <w:t>)</w:t>
      </w:r>
      <w:bookmarkEnd w:id="110"/>
    </w:p>
    <w:p w14:paraId="6927F505" w14:textId="77777777" w:rsidR="00830096" w:rsidRPr="00F0313D" w:rsidRDefault="00830096" w:rsidP="00830096">
      <w:pPr>
        <w:pStyle w:val="Nivel1SM"/>
        <w:spacing w:before="0"/>
        <w:rPr>
          <w:spacing w:val="-4"/>
        </w:rPr>
      </w:pPr>
      <w:r w:rsidRPr="00F0313D">
        <w:rPr>
          <w:spacing w:val="-4"/>
        </w:rPr>
        <w:t>En economías más abiertas la propensión marginal a importar suele ser mayor, y el multiplicador menor.</w:t>
      </w:r>
    </w:p>
    <w:p w14:paraId="3CEFBE19" w14:textId="77777777" w:rsidR="00830096" w:rsidRDefault="00830096" w:rsidP="00345A4C">
      <w:pPr>
        <w:pStyle w:val="Ttulo7"/>
        <w:numPr>
          <w:ilvl w:val="0"/>
          <w:numId w:val="57"/>
        </w:numPr>
        <w:ind w:left="1134" w:hanging="113"/>
      </w:pPr>
      <w:bookmarkStart w:id="111" w:name="_Toc142500933"/>
      <w:r>
        <w:t>El régimen de tipo de cambio</w:t>
      </w:r>
      <w:r w:rsidRPr="00FD7643">
        <w:rPr>
          <w:u w:val="none"/>
        </w:rPr>
        <w:t xml:space="preserve"> </w:t>
      </w:r>
      <w:r w:rsidRPr="00FD7643">
        <w:rPr>
          <w:sz w:val="19"/>
          <w:szCs w:val="19"/>
          <w:u w:val="none"/>
        </w:rPr>
        <w:t>(</w:t>
      </w:r>
      <w:r w:rsidRPr="00FD7643">
        <w:rPr>
          <w:rFonts w:cs="Times New Roman"/>
          <w:sz w:val="19"/>
          <w:szCs w:val="19"/>
          <w:u w:val="none"/>
        </w:rPr>
        <w:t>Con tipo de cambio flexible el multiplicador es menor</w:t>
      </w:r>
      <w:r w:rsidRPr="00FD7643">
        <w:rPr>
          <w:sz w:val="19"/>
          <w:szCs w:val="19"/>
          <w:u w:val="none"/>
        </w:rPr>
        <w:t>)</w:t>
      </w:r>
      <w:bookmarkEnd w:id="111"/>
    </w:p>
    <w:p w14:paraId="545C9388" w14:textId="77777777" w:rsidR="00830096" w:rsidRPr="00964D63" w:rsidRDefault="00830096" w:rsidP="00830096">
      <w:pPr>
        <w:pStyle w:val="Nivel1SM"/>
        <w:spacing w:before="0"/>
      </w:pPr>
      <w:r>
        <w:t>Países con tipo de cambio flexible tienen menores multiplicadores, pues los efectos se compensan con una variación del tipo de cambio.</w:t>
      </w:r>
    </w:p>
    <w:p w14:paraId="7E94A90F" w14:textId="77777777" w:rsidR="00830096" w:rsidRDefault="00830096" w:rsidP="00345A4C">
      <w:pPr>
        <w:pStyle w:val="Ttulo7"/>
        <w:numPr>
          <w:ilvl w:val="0"/>
          <w:numId w:val="57"/>
        </w:numPr>
        <w:ind w:left="1134" w:hanging="113"/>
      </w:pPr>
      <w:bookmarkStart w:id="112" w:name="_Toc142500934"/>
      <w:r>
        <w:t>El tamaño y eficacia de los estabilizadores automáticos</w:t>
      </w:r>
      <w:bookmarkStart w:id="113" w:name="_Hlk121305688"/>
      <w:r w:rsidRPr="00FD7643">
        <w:rPr>
          <w:sz w:val="19"/>
          <w:szCs w:val="19"/>
          <w:u w:val="none"/>
        </w:rPr>
        <w:t xml:space="preserve"> (</w:t>
      </w:r>
      <w:r w:rsidRPr="00FD7643">
        <w:rPr>
          <w:rFonts w:ascii="Times New Roman" w:hAnsi="Times New Roman" w:cs="Times New Roman"/>
          <w:sz w:val="19"/>
          <w:szCs w:val="19"/>
          <w:u w:val="none"/>
        </w:rPr>
        <w:t>−</w:t>
      </w:r>
      <w:r w:rsidRPr="00FD7643">
        <w:rPr>
          <w:sz w:val="19"/>
          <w:szCs w:val="19"/>
          <w:u w:val="none"/>
        </w:rPr>
        <w:t>)</w:t>
      </w:r>
      <w:bookmarkEnd w:id="112"/>
      <w:bookmarkEnd w:id="113"/>
    </w:p>
    <w:p w14:paraId="2826B0CB" w14:textId="77777777" w:rsidR="00830096" w:rsidRPr="00964D63" w:rsidRDefault="00830096" w:rsidP="00830096">
      <w:pPr>
        <w:pStyle w:val="Nivel1SM"/>
        <w:spacing w:before="0"/>
      </w:pPr>
      <w:r>
        <w:t>Cuanto mayores sean los estabilizadores automáticos, más compensarán el shock y menor será el multiplicador.</w:t>
      </w:r>
    </w:p>
    <w:p w14:paraId="6F591776" w14:textId="77777777" w:rsidR="00830096" w:rsidRDefault="00830096" w:rsidP="00345A4C">
      <w:pPr>
        <w:pStyle w:val="Ttulo7"/>
        <w:numPr>
          <w:ilvl w:val="0"/>
          <w:numId w:val="57"/>
        </w:numPr>
        <w:ind w:left="1134" w:hanging="113"/>
      </w:pPr>
      <w:bookmarkStart w:id="114" w:name="_Toc142500935"/>
      <w:r>
        <w:t>El destino de la política fiscal expansiva</w:t>
      </w:r>
      <w:bookmarkEnd w:id="114"/>
    </w:p>
    <w:p w14:paraId="47E60127" w14:textId="77777777" w:rsidR="00830096" w:rsidRPr="009448E7" w:rsidRDefault="00830096" w:rsidP="00830096">
      <w:pPr>
        <w:pStyle w:val="Nivel1SM"/>
        <w:keepNext/>
        <w:spacing w:before="0" w:after="0"/>
        <w:rPr>
          <w:spacing w:val="-3"/>
        </w:rPr>
      </w:pPr>
      <w:r w:rsidRPr="009448E7">
        <w:rPr>
          <w:spacing w:val="-3"/>
        </w:rPr>
        <w:t xml:space="preserve">En cualquier caso, es crucial tener en cuenta que el tamaño del multiplicador no es exógeno. El gobierno puede incidir en él. </w:t>
      </w:r>
      <w:r w:rsidRPr="009448E7">
        <w:rPr>
          <w:smallCaps/>
          <w:spacing w:val="-3"/>
        </w:rPr>
        <w:t>Blanchard</w:t>
      </w:r>
      <w:r w:rsidRPr="009448E7">
        <w:rPr>
          <w:spacing w:val="-3"/>
        </w:rPr>
        <w:t xml:space="preserve"> y </w:t>
      </w:r>
      <w:r w:rsidRPr="009448E7">
        <w:rPr>
          <w:smallCaps/>
          <w:spacing w:val="-3"/>
        </w:rPr>
        <w:t>Portugal</w:t>
      </w:r>
      <w:r w:rsidRPr="009448E7">
        <w:rPr>
          <w:spacing w:val="-3"/>
        </w:rPr>
        <w:t xml:space="preserve"> sostienen que el gobierno puede elevar el multiplicador:</w:t>
      </w:r>
    </w:p>
    <w:p w14:paraId="3B8FF424" w14:textId="77777777" w:rsidR="00830096" w:rsidRDefault="00830096" w:rsidP="00830096">
      <w:pPr>
        <w:pStyle w:val="Nivel2SM"/>
        <w:rPr>
          <w:spacing w:val="-6"/>
        </w:rPr>
      </w:pPr>
      <w:r w:rsidRPr="00FB0C86">
        <w:rPr>
          <w:spacing w:val="-6"/>
        </w:rPr>
        <w:t>Según el destino de la política fiscal (si se aumenta el gasto público en partidas como infraestructuras, I+D o educación se puede incrementar la productividad de la economía en el largo plazo).</w:t>
      </w:r>
    </w:p>
    <w:p w14:paraId="03D6B84B" w14:textId="3191A5BC" w:rsidR="00830096" w:rsidRPr="00830096" w:rsidRDefault="00830096" w:rsidP="00830096">
      <w:pPr>
        <w:pStyle w:val="Nivel2SM"/>
        <w:rPr>
          <w:spacing w:val="-6"/>
        </w:rPr>
      </w:pPr>
      <w:r>
        <w:t>Acompañando la política fiscal con reformas estructurales.</w:t>
      </w:r>
    </w:p>
    <w:p w14:paraId="31008471" w14:textId="019EFB74" w:rsidR="00095D82" w:rsidRPr="002536A4" w:rsidRDefault="001A771A" w:rsidP="002536A4">
      <w:pPr>
        <w:pStyle w:val="Ttulo2"/>
      </w:pPr>
      <w:bookmarkStart w:id="115" w:name="_Toc151221260"/>
      <w:r w:rsidRPr="001A771A">
        <w:t xml:space="preserve">Efectos no keynesianos de la </w:t>
      </w:r>
      <w:r w:rsidR="00EE4E1D">
        <w:t>política fiscal</w:t>
      </w:r>
      <w:bookmarkEnd w:id="115"/>
    </w:p>
    <w:p w14:paraId="36E59000" w14:textId="1A543D25" w:rsidR="00C30B98" w:rsidRDefault="001A771A" w:rsidP="00D3596B">
      <w:pPr>
        <w:pStyle w:val="Nivel2SM"/>
      </w:pPr>
      <w:r>
        <w:t xml:space="preserve">La idea detrás de un proceso de consolidación presupuestaria son los efectos no keynesianos de la política fiscal, esto es, aceptar que, en determinadas circunstancias, el multiplicador keynesiano de la </w:t>
      </w:r>
      <w:r w:rsidR="00FE1664">
        <w:t>PF</w:t>
      </w:r>
      <w:r>
        <w:t xml:space="preserve"> puede ser negativo.</w:t>
      </w:r>
    </w:p>
    <w:p w14:paraId="1FD2323C" w14:textId="77777777" w:rsidR="00C30B98" w:rsidRDefault="001A771A" w:rsidP="00D3596B">
      <w:pPr>
        <w:pStyle w:val="Nivel2SM"/>
        <w:keepNext/>
        <w:spacing w:after="0"/>
      </w:pPr>
      <w:r>
        <w:t xml:space="preserve">En efecto, en principio una consolidación fiscal (i.e. aumento de impuestos, reducción del gasto público, o ambos) produce un efecto contractivo sobre la demanda agregada. Pero </w:t>
      </w:r>
      <w:r w:rsidRPr="00D3596B">
        <w:rPr>
          <w:i/>
          <w:iCs/>
        </w:rPr>
        <w:t>en momentos de elevada inestabilidad e incertidumbre</w:t>
      </w:r>
      <w:r>
        <w:t>, dicho efecto contractivo puede verse más que compensado por otros efectos expansivos, debido a:</w:t>
      </w:r>
    </w:p>
    <w:p w14:paraId="23F27570" w14:textId="4ACD138D" w:rsidR="001A771A" w:rsidRPr="00D3596B" w:rsidRDefault="00C30B98" w:rsidP="00D3596B">
      <w:pPr>
        <w:pStyle w:val="Nivel3SM"/>
      </w:pPr>
      <w:r w:rsidRPr="00D3596B">
        <w:rPr>
          <w:i/>
          <w:iCs/>
        </w:rPr>
        <w:t>Expectativas de los agentes</w:t>
      </w:r>
      <w:r>
        <w:t>:</w:t>
      </w:r>
      <w:r w:rsidR="00D3596B">
        <w:t xml:space="preserve"> </w:t>
      </w:r>
      <w:r w:rsidR="001A771A">
        <w:t xml:space="preserve">Mejora de las expectativas de agentes racionales, que en sus decisiones de consumo e inversión no sólo responden a su renta actual, sino también a las rentas futuras previstas. Así, si la reducción del déficit es percibida como una forma de evitar correcciones mayores en el futuro o como una forma de prevenir futuras crisis financieras, esta medida podría tener un efecto positivo sobre la </w:t>
      </w:r>
      <w:r w:rsidR="001A771A" w:rsidRPr="00D3596B">
        <w:t>inversión y el consumo privado presentes.</w:t>
      </w:r>
    </w:p>
    <w:p w14:paraId="5D85DA91" w14:textId="65DBCEF4" w:rsidR="001A771A" w:rsidRDefault="00C30B98" w:rsidP="00D3596B">
      <w:pPr>
        <w:pStyle w:val="Nivel3SM"/>
      </w:pPr>
      <w:r w:rsidRPr="00D3596B">
        <w:rPr>
          <w:i/>
          <w:iCs/>
        </w:rPr>
        <w:t>Inversión</w:t>
      </w:r>
      <w:r w:rsidR="00D3596B" w:rsidRPr="00D3596B">
        <w:t xml:space="preserve">: </w:t>
      </w:r>
      <w:r w:rsidR="001A771A" w:rsidRPr="00D3596B">
        <w:t>La reducción del déficit disminuye el tipo de interés, estimulando la inversión</w:t>
      </w:r>
      <w:r w:rsidR="001A771A">
        <w:t>.</w:t>
      </w:r>
    </w:p>
    <w:p w14:paraId="42380CCE" w14:textId="77777777" w:rsidR="008554C2" w:rsidRDefault="004B6ADB" w:rsidP="00944F51">
      <w:pPr>
        <w:pStyle w:val="Ttulo1"/>
      </w:pPr>
      <w:bookmarkStart w:id="116" w:name="_Toc151221261"/>
      <w:r>
        <w:t>LA MEDICIÓN DEL EFECTO MACROECONÓMICO DE</w:t>
      </w:r>
      <w:r w:rsidR="0023712A">
        <w:t>L</w:t>
      </w:r>
      <w:r>
        <w:t xml:space="preserve"> PRESUPUESTO</w:t>
      </w:r>
      <w:bookmarkEnd w:id="116"/>
    </w:p>
    <w:p w14:paraId="34E0ABCB" w14:textId="2B2375DA" w:rsidR="006F4C92" w:rsidRDefault="008554C2" w:rsidP="008554C2">
      <w:pPr>
        <w:pStyle w:val="Ttulo2"/>
      </w:pPr>
      <w:bookmarkStart w:id="117" w:name="_Toc151221262"/>
      <w:r>
        <w:t>Concepto</w:t>
      </w:r>
      <w:bookmarkEnd w:id="117"/>
    </w:p>
    <w:p w14:paraId="64200779" w14:textId="6A0F3B02" w:rsidR="002F13A0" w:rsidRPr="002F13A0" w:rsidRDefault="00A92525" w:rsidP="002F13A0">
      <w:pPr>
        <w:pStyle w:val="Nivel1SM"/>
        <w:keepNext/>
        <w:spacing w:before="0" w:after="0"/>
        <w:rPr>
          <w:u w:val="single"/>
        </w:rPr>
      </w:pPr>
      <w:r>
        <w:t>Hemos visto c</w:t>
      </w:r>
      <w:r w:rsidR="003C5E0E">
        <w:t>ó</w:t>
      </w:r>
      <w:r>
        <w:t xml:space="preserve">mo los efectos estabilizadores del presupuesto son el resultado de los </w:t>
      </w:r>
      <w:r w:rsidRPr="000713E3">
        <w:rPr>
          <w:i/>
          <w:iCs/>
        </w:rPr>
        <w:t>estabilizadores automáticos</w:t>
      </w:r>
      <w:r>
        <w:t xml:space="preserve"> y de la </w:t>
      </w:r>
      <w:r w:rsidRPr="000713E3">
        <w:rPr>
          <w:i/>
          <w:iCs/>
        </w:rPr>
        <w:t>política fiscal discrecional</w:t>
      </w:r>
      <w:r>
        <w:t>.</w:t>
      </w:r>
    </w:p>
    <w:p w14:paraId="2C039490" w14:textId="5246EF47" w:rsidR="00A92525" w:rsidRPr="00944F51" w:rsidRDefault="00A92525" w:rsidP="002F13A0">
      <w:pPr>
        <w:pStyle w:val="Nivel2SM"/>
        <w:rPr>
          <w:u w:val="single"/>
        </w:rPr>
      </w:pPr>
      <w:bookmarkStart w:id="118" w:name="_Hlk154309642"/>
      <w:r>
        <w:t xml:space="preserve">A continuación damos un paso adicional para medir el denominado </w:t>
      </w:r>
      <w:r w:rsidRPr="002F13A0">
        <w:rPr>
          <w:i/>
          <w:iCs/>
        </w:rPr>
        <w:t>efecto macroeconómico del presupuesto</w:t>
      </w:r>
      <w:r w:rsidR="003C5E0E">
        <w:t xml:space="preserve">, </w:t>
      </w:r>
      <w:r>
        <w:t>el cual ha cobrado gran importancia a raíz de la LOEPSF.</w:t>
      </w:r>
    </w:p>
    <w:p w14:paraId="0F03FC8D" w14:textId="7272B168" w:rsidR="00812E07" w:rsidRPr="00CD1CFD" w:rsidRDefault="00812E07" w:rsidP="00046774">
      <w:pPr>
        <w:pStyle w:val="Nivel2SM"/>
        <w:keepNext/>
        <w:spacing w:after="0"/>
        <w:rPr>
          <w:spacing w:val="-4"/>
        </w:rPr>
      </w:pPr>
      <w:r w:rsidRPr="00CD1CFD">
        <w:rPr>
          <w:spacing w:val="-4"/>
        </w:rPr>
        <w:t xml:space="preserve">La </w:t>
      </w:r>
      <w:r w:rsidRPr="00CD1CFD">
        <w:rPr>
          <w:b/>
          <w:spacing w:val="-4"/>
        </w:rPr>
        <w:t>medición del efecto macroeconómico del presupuesto</w:t>
      </w:r>
      <w:r w:rsidRPr="00CD1CFD">
        <w:rPr>
          <w:spacing w:val="-4"/>
        </w:rPr>
        <w:t xml:space="preserve"> trata de determinar la </w:t>
      </w:r>
      <w:r w:rsidRPr="00CD1CFD">
        <w:rPr>
          <w:b/>
          <w:spacing w:val="-4"/>
          <w:u w:val="single"/>
        </w:rPr>
        <w:t>orientación/tono</w:t>
      </w:r>
      <w:r w:rsidRPr="00CD1CFD">
        <w:rPr>
          <w:spacing w:val="-4"/>
        </w:rPr>
        <w:t xml:space="preserve"> de la política fiscal, que viene dada exclusivamente por las actuaciones discrecionales, esto es, por el </w:t>
      </w:r>
      <w:r w:rsidRPr="00CD1CFD">
        <w:rPr>
          <w:b/>
          <w:spacing w:val="-4"/>
          <w:u w:val="single"/>
        </w:rPr>
        <w:t>saldo presupuestario estructural</w:t>
      </w:r>
      <w:r w:rsidRPr="00CD1CFD">
        <w:rPr>
          <w:spacing w:val="-4"/>
        </w:rPr>
        <w:t xml:space="preserve">, que </w:t>
      </w:r>
      <w:r w:rsidRPr="00D7370A">
        <w:rPr>
          <w:spacing w:val="-4"/>
        </w:rPr>
        <w:t>no</w:t>
      </w:r>
      <w:r w:rsidRPr="00CD1CFD">
        <w:rPr>
          <w:spacing w:val="-4"/>
        </w:rPr>
        <w:t xml:space="preserve"> es directamente observable.</w:t>
      </w:r>
    </w:p>
    <w:p w14:paraId="3AA0AA01" w14:textId="1E6762FE" w:rsidR="00812E07" w:rsidRPr="00944F51" w:rsidRDefault="00812E07" w:rsidP="00046774">
      <w:pPr>
        <w:pStyle w:val="Nivel3SM"/>
        <w:rPr>
          <w:u w:val="single"/>
        </w:rPr>
      </w:pPr>
      <w:r>
        <w:t xml:space="preserve">Por lo tanto, tenemos que llevar a cabo un ejercicio de descomposición del saldo presupuestario </w:t>
      </w:r>
      <w:r w:rsidRPr="00720A6A">
        <w:rPr>
          <w:u w:val="single"/>
        </w:rPr>
        <w:t>observable</w:t>
      </w:r>
      <w:r>
        <w:t xml:space="preserve"> en </w:t>
      </w:r>
      <w:r w:rsidRPr="00D333FA">
        <w:rPr>
          <w:i/>
        </w:rPr>
        <w:t>saldo cíclico</w:t>
      </w:r>
      <w:r>
        <w:t xml:space="preserve"> (i.e. efecto de los estabilizadores automáticos) y </w:t>
      </w:r>
      <w:r w:rsidRPr="00D333FA">
        <w:rPr>
          <w:i/>
        </w:rPr>
        <w:t>saldo estructural</w:t>
      </w:r>
      <w:r>
        <w:t>.</w:t>
      </w:r>
    </w:p>
    <w:p w14:paraId="54F71EC8" w14:textId="6BD5E81D" w:rsidR="006F4C92" w:rsidRPr="00944F51" w:rsidRDefault="006F4C92" w:rsidP="00944F51">
      <w:pPr>
        <w:pStyle w:val="Ttulo2"/>
      </w:pPr>
      <w:bookmarkStart w:id="119" w:name="_Toc151221263"/>
      <w:bookmarkEnd w:id="118"/>
      <w:r w:rsidRPr="006F4C92">
        <w:lastRenderedPageBreak/>
        <w:t>Desglose del déficit</w:t>
      </w:r>
      <w:bookmarkEnd w:id="119"/>
    </w:p>
    <w:p w14:paraId="604E378E" w14:textId="564D2A23" w:rsidR="006F4C92" w:rsidRDefault="006F4C92" w:rsidP="00D7370A">
      <w:pPr>
        <w:pStyle w:val="Nivel2SM"/>
        <w:keepNext/>
        <w:spacing w:after="0"/>
      </w:pPr>
      <w:r>
        <w:t>El déficit público puede descomponerse en varios componentes. Concretamente, el déficit total (</w:t>
      </w:r>
      <w:r w:rsidRPr="00D7370A">
        <w:rPr>
          <w:i/>
          <w:iCs/>
        </w:rPr>
        <w:t>B</w:t>
      </w:r>
      <w:r>
        <w:t xml:space="preserve">) es igual al </w:t>
      </w:r>
      <w:r w:rsidR="005419FF">
        <w:t>déficit cíclico (</w:t>
      </w:r>
      <w:r w:rsidR="005419FF" w:rsidRPr="00D7370A">
        <w:rPr>
          <w:i/>
          <w:iCs/>
        </w:rPr>
        <w:t>DC</w:t>
      </w:r>
      <w:r w:rsidR="005419FF">
        <w:t>)</w:t>
      </w:r>
      <w:r>
        <w:t xml:space="preserve"> más el </w:t>
      </w:r>
      <w:r w:rsidR="005419FF">
        <w:t>déficit tendencial (</w:t>
      </w:r>
      <w:r w:rsidR="005419FF" w:rsidRPr="00D7370A">
        <w:rPr>
          <w:i/>
          <w:iCs/>
        </w:rPr>
        <w:t>DT</w:t>
      </w:r>
      <w:r w:rsidR="005419FF">
        <w:t xml:space="preserve">) </w:t>
      </w:r>
      <w:r>
        <w:t>más el déficit discrecional o impulso fiscal (</w:t>
      </w:r>
      <w:r w:rsidRPr="00D7370A">
        <w:rPr>
          <w:i/>
          <w:iCs/>
        </w:rPr>
        <w:t>DD</w:t>
      </w:r>
      <w:r>
        <w:t>):</w:t>
      </w:r>
    </w:p>
    <w:p w14:paraId="6D78A73D" w14:textId="4A1933BE" w:rsidR="006F4C92" w:rsidRPr="00D7370A" w:rsidRDefault="00000000" w:rsidP="0051642F">
      <w:pPr>
        <w:keepNext/>
        <w:spacing w:after="0"/>
        <w:jc w:val="center"/>
        <w:rPr>
          <w:i/>
          <w:iCs/>
          <w:lang w:val="fr-FR"/>
        </w:rPr>
      </w:pPr>
      <m:oMathPara>
        <m:oMath>
          <m:sSub>
            <m:sSubPr>
              <m:ctrlPr>
                <w:rPr>
                  <w:rFonts w:ascii="Cambria Math" w:hAnsi="Cambria Math"/>
                  <w:i/>
                  <w:iCs/>
                </w:rPr>
              </m:ctrlPr>
            </m:sSubPr>
            <m:e>
              <m:r>
                <m:rPr>
                  <m:nor/>
                </m:rPr>
                <w:rPr>
                  <w:i/>
                  <w:iCs/>
                  <w:lang w:val="fr-FR"/>
                </w:rPr>
                <m:t>B</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DC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DT</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DD</m:t>
              </m:r>
            </m:e>
            <m:sub>
              <m:r>
                <m:rPr>
                  <m:nor/>
                </m:rPr>
                <w:rPr>
                  <w:i/>
                  <w:iCs/>
                  <w:lang w:val="fr-FR"/>
                </w:rPr>
                <m:t>t</m:t>
              </m:r>
            </m:sub>
          </m:sSub>
        </m:oMath>
      </m:oMathPara>
    </w:p>
    <w:p w14:paraId="2CE4587E" w14:textId="77777777" w:rsidR="005419FF" w:rsidRDefault="005419FF" w:rsidP="005419FF">
      <w:pPr>
        <w:pStyle w:val="Nivel3SM"/>
        <w:keepNext/>
      </w:pPr>
      <w:r w:rsidRPr="0051642F">
        <w:rPr>
          <w:i/>
          <w:iCs/>
        </w:rPr>
        <w:t>Déficit cíclico</w:t>
      </w:r>
      <w:r>
        <w:t>:</w:t>
      </w:r>
    </w:p>
    <w:p w14:paraId="4F23992A" w14:textId="77777777" w:rsidR="005419FF" w:rsidRDefault="005419FF" w:rsidP="005419FF">
      <w:pPr>
        <w:pStyle w:val="Nivel4"/>
        <w:ind w:left="1474"/>
      </w:pPr>
      <w:r>
        <w:t xml:space="preserve">Es el producido por </w:t>
      </w:r>
      <w:r w:rsidRPr="00063BC7">
        <w:t>oscilaciones del PIB respecto al PIB potencial</w:t>
      </w:r>
      <w:r>
        <w:t>.</w:t>
      </w:r>
    </w:p>
    <w:p w14:paraId="23B7AD5C" w14:textId="77777777" w:rsidR="005419FF" w:rsidRDefault="005419FF" w:rsidP="005419FF">
      <w:pPr>
        <w:pStyle w:val="Nivel4"/>
        <w:ind w:left="1474"/>
      </w:pPr>
      <w:r>
        <w:t>Ejemplo: Aumento de las prestaciones por desempleo durante una fase de recesión.</w:t>
      </w:r>
    </w:p>
    <w:p w14:paraId="48B4CF4A" w14:textId="77777777" w:rsidR="006F4C92" w:rsidRDefault="006F4C92" w:rsidP="0051642F">
      <w:pPr>
        <w:pStyle w:val="Nivel3SM"/>
        <w:keepNext/>
      </w:pPr>
      <w:r w:rsidRPr="0051642F">
        <w:rPr>
          <w:i/>
          <w:iCs/>
        </w:rPr>
        <w:t>Déficit tendencial</w:t>
      </w:r>
      <w:r>
        <w:t>:</w:t>
      </w:r>
    </w:p>
    <w:p w14:paraId="5B8114BC" w14:textId="77777777" w:rsidR="006F4C92" w:rsidRDefault="006F4C92" w:rsidP="0051642F">
      <w:pPr>
        <w:pStyle w:val="Nivel4"/>
        <w:ind w:left="1474"/>
      </w:pPr>
      <w:r>
        <w:t xml:space="preserve">Es el producido por </w:t>
      </w:r>
      <w:r w:rsidRPr="000B6FDB">
        <w:t xml:space="preserve">cambios en la tendencia del </w:t>
      </w:r>
      <w:r>
        <w:t>PIB potencial.</w:t>
      </w:r>
    </w:p>
    <w:p w14:paraId="02055BC0" w14:textId="77777777" w:rsidR="006F4C92" w:rsidRDefault="006F4C92" w:rsidP="0051642F">
      <w:pPr>
        <w:pStyle w:val="Nivel4"/>
        <w:ind w:left="1474"/>
      </w:pPr>
      <w:r>
        <w:t xml:space="preserve">Ejemplo: Aumento de las prestaciones por desempleo en respuesta a un </w:t>
      </w:r>
      <w:r w:rsidRPr="000B6FDB">
        <w:t>aumento del desempleo estructural</w:t>
      </w:r>
      <w:r>
        <w:t>.</w:t>
      </w:r>
    </w:p>
    <w:p w14:paraId="1E721649" w14:textId="77777777" w:rsidR="006F4C92" w:rsidRDefault="006F4C92" w:rsidP="0051642F">
      <w:pPr>
        <w:pStyle w:val="Nivel3SM"/>
        <w:keepNext/>
      </w:pPr>
      <w:r w:rsidRPr="0051642F">
        <w:rPr>
          <w:i/>
          <w:iCs/>
        </w:rPr>
        <w:t>Déficit discrecional</w:t>
      </w:r>
      <w:r>
        <w:t>:</w:t>
      </w:r>
    </w:p>
    <w:p w14:paraId="19CDB2DB" w14:textId="77777777" w:rsidR="006F4C92" w:rsidRDefault="006F4C92" w:rsidP="0051642F">
      <w:pPr>
        <w:pStyle w:val="Nivel4"/>
        <w:ind w:left="1474"/>
      </w:pPr>
      <w:r>
        <w:t>Es el producido por decisiones expresas de política fiscal de las autoridades.</w:t>
      </w:r>
    </w:p>
    <w:p w14:paraId="2D06127D" w14:textId="25835DB1" w:rsidR="006F4C92" w:rsidRDefault="006F4C92" w:rsidP="0051642F">
      <w:pPr>
        <w:pStyle w:val="Nivel4"/>
        <w:ind w:left="1474"/>
      </w:pPr>
      <w:r>
        <w:t>Ejemplo: Aumento del consumo público o de la inversión pública.</w:t>
      </w:r>
    </w:p>
    <w:p w14:paraId="07D7607D" w14:textId="77777777" w:rsidR="005419FF" w:rsidRDefault="00F165F7" w:rsidP="005419FF">
      <w:pPr>
        <w:pStyle w:val="Nivel2SM"/>
        <w:keepNext/>
        <w:spacing w:after="0"/>
      </w:pPr>
      <w:r>
        <w:t xml:space="preserve">La suma del déficit tendencial y el discrecional, restándole las medidas </w:t>
      </w:r>
      <w:proofErr w:type="spellStart"/>
      <w:r w:rsidRPr="00954D9E">
        <w:rPr>
          <w:i/>
          <w:iCs/>
        </w:rPr>
        <w:t>one</w:t>
      </w:r>
      <w:proofErr w:type="spellEnd"/>
      <w:r w:rsidRPr="00954D9E">
        <w:rPr>
          <w:i/>
          <w:iCs/>
        </w:rPr>
        <w:t>-off</w:t>
      </w:r>
      <w:r>
        <w:t xml:space="preserve">, es lo que se conoce como </w:t>
      </w:r>
      <w:r w:rsidRPr="007049BC">
        <w:rPr>
          <w:i/>
          <w:u w:val="single"/>
        </w:rPr>
        <w:t>déficit estructural</w:t>
      </w:r>
      <w:r>
        <w:t>, que es la medida que se suele utilizar para determinar la orientación/tono de la política fiscal del Gobierno y, comparándola con el PIB, su carácter estabilizador o intensificador del ciclo económico.</w:t>
      </w:r>
    </w:p>
    <w:p w14:paraId="682089E8" w14:textId="42EFE2AA" w:rsidR="00804DFD" w:rsidRPr="005419FF" w:rsidRDefault="00F165F7" w:rsidP="005419FF">
      <w:pPr>
        <w:pStyle w:val="Nivel3SM"/>
        <w:rPr>
          <w:i/>
          <w:iCs/>
        </w:rPr>
      </w:pPr>
      <w:r w:rsidRPr="005419FF">
        <w:rPr>
          <w:i/>
          <w:iCs/>
        </w:rPr>
        <w:t>¿Cómo podemos estimar dicho déficit estructural?</w:t>
      </w:r>
    </w:p>
    <w:p w14:paraId="0DAFE956" w14:textId="611A0BAA" w:rsidR="00F165F7" w:rsidRDefault="00580419" w:rsidP="00944F51">
      <w:pPr>
        <w:pStyle w:val="Ttulo2"/>
      </w:pPr>
      <w:bookmarkStart w:id="120" w:name="_Toc151221264"/>
      <w:r>
        <w:t xml:space="preserve">Métodos </w:t>
      </w:r>
      <w:r w:rsidR="006F4C92">
        <w:t>para la obtención del déficit estructural</w:t>
      </w:r>
      <w:bookmarkEnd w:id="120"/>
    </w:p>
    <w:p w14:paraId="5D7C5ACD" w14:textId="7721AC75" w:rsidR="003A76E1" w:rsidRPr="003A76E1" w:rsidRDefault="003A76E1" w:rsidP="003A76E1">
      <w:pPr>
        <w:pStyle w:val="Nivel1SM"/>
        <w:keepNext/>
        <w:spacing w:before="0" w:after="0"/>
      </w:pPr>
      <w:r>
        <w:t xml:space="preserve">Distinguimos </w:t>
      </w:r>
      <w:r w:rsidRPr="003A76E1">
        <w:rPr>
          <w:b/>
          <w:bCs/>
        </w:rPr>
        <w:t>2 métodos</w:t>
      </w:r>
      <w:r>
        <w:t xml:space="preserve"> para la obtención del déficit estructural:</w:t>
      </w:r>
    </w:p>
    <w:p w14:paraId="5C4F2306" w14:textId="5B847E6B" w:rsidR="00A35C1C" w:rsidRDefault="00B3513D" w:rsidP="00A35C1C">
      <w:pPr>
        <w:pStyle w:val="Nivel2SM"/>
        <w:keepNext/>
        <w:spacing w:after="0"/>
      </w:pPr>
      <w:r w:rsidRPr="003A76E1">
        <w:rPr>
          <w:i/>
          <w:iCs/>
          <w:u w:val="single"/>
        </w:rPr>
        <w:t xml:space="preserve">Método </w:t>
      </w:r>
      <w:r w:rsidR="005419FF">
        <w:rPr>
          <w:i/>
          <w:iCs/>
          <w:u w:val="single"/>
        </w:rPr>
        <w:t>d</w:t>
      </w:r>
      <w:r w:rsidRPr="003A76E1">
        <w:rPr>
          <w:i/>
          <w:iCs/>
          <w:u w:val="single"/>
        </w:rPr>
        <w:t>irecto</w:t>
      </w:r>
      <w:r w:rsidR="00A35C1C" w:rsidRPr="00A35C1C">
        <w:t xml:space="preserve">: </w:t>
      </w:r>
      <w:r w:rsidR="00A35C1C">
        <w:t>C</w:t>
      </w:r>
      <w:r w:rsidR="00A35C1C" w:rsidRPr="006F4C92">
        <w:t>onsiste en medir directamente el saldo estructural calculando el impacto sobre el presupuesto de las decisiones discrecionales de política fiscal.</w:t>
      </w:r>
    </w:p>
    <w:p w14:paraId="62FF8148" w14:textId="77777777" w:rsidR="00A35C1C" w:rsidRDefault="00A35C1C" w:rsidP="00A35C1C">
      <w:pPr>
        <w:pStyle w:val="Nivel3SM"/>
      </w:pPr>
      <w:r w:rsidRPr="006F4C92">
        <w:t>Es poco utilizado por la complejidad para determinar qué ingresos y gastos son discrecionales y cuáles no.</w:t>
      </w:r>
    </w:p>
    <w:p w14:paraId="26E6B6F1" w14:textId="77777777" w:rsidR="00A35C1C" w:rsidRDefault="00B3513D" w:rsidP="00A35C1C">
      <w:pPr>
        <w:pStyle w:val="Nivel2SM"/>
      </w:pPr>
      <w:r w:rsidRPr="00ED29D9">
        <w:rPr>
          <w:i/>
          <w:iCs/>
          <w:u w:val="single"/>
        </w:rPr>
        <w:t xml:space="preserve">Método </w:t>
      </w:r>
      <w:r w:rsidR="005419FF">
        <w:rPr>
          <w:i/>
          <w:iCs/>
          <w:u w:val="single"/>
        </w:rPr>
        <w:t>i</w:t>
      </w:r>
      <w:r w:rsidRPr="00ED29D9">
        <w:rPr>
          <w:i/>
          <w:iCs/>
          <w:u w:val="single"/>
        </w:rPr>
        <w:t>ndirecto</w:t>
      </w:r>
      <w:r w:rsidR="00A35C1C">
        <w:t xml:space="preserve">: En vez de calcular el saldo estructural, se calcula el saldo cíclico, y se le resta al total, obteniéndose así el saldo cíclicamente ajustado como residuo. A dicho saldo cíclicamente ajustado se le restan las medidas </w:t>
      </w:r>
      <w:proofErr w:type="spellStart"/>
      <w:r w:rsidR="00A35C1C" w:rsidRPr="004B3ED9">
        <w:rPr>
          <w:i/>
          <w:iCs/>
        </w:rPr>
        <w:t>one</w:t>
      </w:r>
      <w:proofErr w:type="spellEnd"/>
      <w:r w:rsidR="00A35C1C">
        <w:rPr>
          <w:i/>
          <w:iCs/>
        </w:rPr>
        <w:t>-</w:t>
      </w:r>
      <w:r w:rsidR="00A35C1C" w:rsidRPr="004B3ED9">
        <w:rPr>
          <w:i/>
          <w:iCs/>
        </w:rPr>
        <w:t>off</w:t>
      </w:r>
      <w:r w:rsidR="00A35C1C">
        <w:t xml:space="preserve"> para obtener el déficit estructural.</w:t>
      </w:r>
    </w:p>
    <w:p w14:paraId="51D013F4" w14:textId="4979C5CE" w:rsidR="00B3513D" w:rsidRDefault="00A35C1C" w:rsidP="00A35C1C">
      <w:pPr>
        <w:pStyle w:val="Ttulo2"/>
      </w:pPr>
      <w:bookmarkStart w:id="121" w:name="_Toc151221265"/>
      <w:r>
        <w:t>Aplicación del m</w:t>
      </w:r>
      <w:r w:rsidR="00A96249">
        <w:t>étodo indirecto</w:t>
      </w:r>
      <w:r>
        <w:t xml:space="preserve"> en</w:t>
      </w:r>
      <w:r w:rsidR="00F165F7">
        <w:t xml:space="preserve"> España</w:t>
      </w:r>
      <w:bookmarkEnd w:id="121"/>
    </w:p>
    <w:p w14:paraId="3DA52FFE" w14:textId="7023450D" w:rsidR="00974102" w:rsidRPr="00974102" w:rsidRDefault="00974102" w:rsidP="00165D98">
      <w:pPr>
        <w:pStyle w:val="Nivel1SM"/>
        <w:spacing w:before="0"/>
      </w:pPr>
      <w:r>
        <w:t>Vamos a estudiar el indicador utilizado por España.</w:t>
      </w:r>
    </w:p>
    <w:p w14:paraId="5C93068E" w14:textId="749F0DF8" w:rsidR="00F165F7" w:rsidRPr="00944F51" w:rsidRDefault="00F165F7" w:rsidP="001A1790">
      <w:pPr>
        <w:pStyle w:val="Ttulo6"/>
        <w:spacing w:before="0"/>
      </w:pPr>
      <w:bookmarkStart w:id="122" w:name="_Toc151221266"/>
      <w:r w:rsidRPr="00F165F7">
        <w:t>Marco normativo</w:t>
      </w:r>
      <w:bookmarkEnd w:id="122"/>
    </w:p>
    <w:p w14:paraId="025509BF" w14:textId="77777777" w:rsidR="00166379" w:rsidRPr="00166379" w:rsidRDefault="00166379" w:rsidP="00166379">
      <w:pPr>
        <w:pStyle w:val="Nivel1SM"/>
        <w:keepNext/>
        <w:spacing w:before="0" w:after="0"/>
      </w:pPr>
    </w:p>
    <w:p w14:paraId="0475B3D2" w14:textId="636C91E4" w:rsidR="00F165F7" w:rsidRDefault="00F165F7" w:rsidP="007D07ED">
      <w:pPr>
        <w:pStyle w:val="Nivel2SM"/>
      </w:pPr>
      <w:r w:rsidRPr="00166379">
        <w:rPr>
          <w:i/>
          <w:iCs/>
        </w:rPr>
        <w:t>La reforma en 2011 del artículo</w:t>
      </w:r>
      <w:r w:rsidR="00166379" w:rsidRPr="00166379">
        <w:rPr>
          <w:i/>
          <w:iCs/>
        </w:rPr>
        <w:t> </w:t>
      </w:r>
      <w:r w:rsidRPr="00166379">
        <w:rPr>
          <w:i/>
          <w:iCs/>
        </w:rPr>
        <w:t>135 de la Constitución Española introdujo el concepto de déficit estructural</w:t>
      </w:r>
      <w:r>
        <w:t>: El Estado y las Comunidades Autónomas no podrán incurrir en un déficit estructural que supere los márgenes establecidos por la UE, siendo una Ley Orgánica la que fije el déficit estructural máximo permitido.</w:t>
      </w:r>
    </w:p>
    <w:p w14:paraId="5A9C766D" w14:textId="5AEA1E38" w:rsidR="00F165F7" w:rsidRDefault="00F165F7" w:rsidP="008B125C">
      <w:pPr>
        <w:pStyle w:val="Nivel2SM"/>
      </w:pPr>
      <w:r w:rsidRPr="00166379">
        <w:rPr>
          <w:i/>
          <w:iCs/>
        </w:rPr>
        <w:t>Ley Orgánica de 2012 de Estabilidad Presupuestaria y Sostenibilidad Financiera</w:t>
      </w:r>
      <w:r w:rsidR="00166379">
        <w:t xml:space="preserve">: </w:t>
      </w:r>
      <w:r>
        <w:t>La LO 2/2012 señala en su art.</w:t>
      </w:r>
      <w:r w:rsidR="002536A4">
        <w:t> </w:t>
      </w:r>
      <w:r>
        <w:t xml:space="preserve">11 que ninguna Administración </w:t>
      </w:r>
      <w:r w:rsidR="00C10926">
        <w:t>P</w:t>
      </w:r>
      <w:r>
        <w:t xml:space="preserve">ública podrá incurrir en </w:t>
      </w:r>
      <w:r w:rsidRPr="005F4950">
        <w:t>déficit estructural</w:t>
      </w:r>
      <w:r>
        <w:t>, permitiendo en una serie de casos excepcionales un déficit estructural del 0,4</w:t>
      </w:r>
      <w:r w:rsidR="00A50667">
        <w:t> %</w:t>
      </w:r>
      <w:r>
        <w:t xml:space="preserve"> del PIB nominal para el conjunto de las AAPP.</w:t>
      </w:r>
    </w:p>
    <w:p w14:paraId="7B7AC520" w14:textId="0A51EC55" w:rsidR="00F165F7" w:rsidRDefault="00C048BE" w:rsidP="00534460">
      <w:pPr>
        <w:pStyle w:val="Nivel2SM"/>
      </w:pPr>
      <w:r w:rsidRPr="00166379">
        <w:rPr>
          <w:i/>
          <w:iCs/>
        </w:rPr>
        <w:t xml:space="preserve">Metodología de la función de producción: </w:t>
      </w:r>
      <w:r w:rsidRPr="000636A6">
        <w:rPr>
          <w:i/>
          <w:iCs/>
          <w:u w:val="single"/>
        </w:rPr>
        <w:t>Comisión Europea</w:t>
      </w:r>
      <w:r w:rsidR="00166379">
        <w:t xml:space="preserve">: </w:t>
      </w:r>
      <w:r>
        <w:t>La metodología seguida es la aplicada por la Comisión Europea y acordada en el seno del Grupo de Trabajo del Output Gap.</w:t>
      </w:r>
    </w:p>
    <w:p w14:paraId="25A3CDE3" w14:textId="6F769160" w:rsidR="00F165F7" w:rsidRPr="002536A4" w:rsidRDefault="00F165F7" w:rsidP="002536A4">
      <w:pPr>
        <w:pStyle w:val="Ttulo6"/>
      </w:pPr>
      <w:bookmarkStart w:id="123" w:name="_Toc151221267"/>
      <w:r w:rsidRPr="00F165F7">
        <w:t>Introducción</w:t>
      </w:r>
      <w:bookmarkEnd w:id="123"/>
    </w:p>
    <w:p w14:paraId="181E409A" w14:textId="383691F1" w:rsidR="00F165F7" w:rsidRDefault="00C048BE" w:rsidP="00815103">
      <w:pPr>
        <w:pStyle w:val="Nivel2SM"/>
        <w:keepNext/>
        <w:spacing w:after="0"/>
      </w:pPr>
      <w:r>
        <w:t>El esquema que se sigue es el siguiente</w:t>
      </w:r>
      <w:r w:rsidR="00F165F7">
        <w:t>:</w:t>
      </w:r>
    </w:p>
    <w:p w14:paraId="5BA12431" w14:textId="44871CD4" w:rsidR="00F165F7" w:rsidRDefault="00F165F7" w:rsidP="00815103">
      <w:pPr>
        <w:pStyle w:val="Nivel3SM"/>
      </w:pPr>
      <w:r>
        <w:t>Primero</w:t>
      </w:r>
      <w:r w:rsidR="000455ED">
        <w:t>,</w:t>
      </w:r>
      <w:r>
        <w:t xml:space="preserve"> se calcula el </w:t>
      </w:r>
      <w:r w:rsidRPr="000455ED">
        <w:rPr>
          <w:i/>
          <w:iCs/>
        </w:rPr>
        <w:t>output gap</w:t>
      </w:r>
      <w:r>
        <w:t>.</w:t>
      </w:r>
    </w:p>
    <w:p w14:paraId="4FF65A3F" w14:textId="58AB8212" w:rsidR="00F165F7" w:rsidRDefault="00F165F7" w:rsidP="00815103">
      <w:pPr>
        <w:pStyle w:val="Nivel3SM"/>
      </w:pPr>
      <w:r>
        <w:lastRenderedPageBreak/>
        <w:t>Después</w:t>
      </w:r>
      <w:r w:rsidR="000455ED">
        <w:t>,</w:t>
      </w:r>
      <w:r>
        <w:t xml:space="preserve"> se calculan las </w:t>
      </w:r>
      <w:r w:rsidRPr="000455ED">
        <w:rPr>
          <w:i/>
          <w:iCs/>
        </w:rPr>
        <w:t>elasticidades de los ingresos y de los gastos respecto a dicho output gap</w:t>
      </w:r>
      <w:r>
        <w:t>.</w:t>
      </w:r>
    </w:p>
    <w:p w14:paraId="38F0F2B0" w14:textId="208991CF" w:rsidR="00F165F7" w:rsidRDefault="00F165F7" w:rsidP="00815103">
      <w:pPr>
        <w:pStyle w:val="Nivel3SM"/>
        <w:keepNext/>
      </w:pPr>
      <w:r>
        <w:t>Por último</w:t>
      </w:r>
      <w:r w:rsidR="000455ED">
        <w:t>,</w:t>
      </w:r>
      <w:r>
        <w:t xml:space="preserve"> </w:t>
      </w:r>
      <w:r w:rsidRPr="000455ED">
        <w:rPr>
          <w:i/>
          <w:iCs/>
        </w:rPr>
        <w:t>se multiplica el output gap por las elasticidades ponderadas para obtener el saldo cíclico</w:t>
      </w:r>
      <w:r>
        <w:t>.</w:t>
      </w:r>
    </w:p>
    <w:p w14:paraId="6D8ADF90" w14:textId="5CFE4E36" w:rsidR="00F165F7" w:rsidRDefault="00F165F7" w:rsidP="00815103">
      <w:pPr>
        <w:pStyle w:val="Nivel4"/>
        <w:ind w:left="1474"/>
      </w:pPr>
      <w:r>
        <w:t xml:space="preserve">El saldo estructural es el resultado de restar al saldo observado el saldo cíclico y las medidas </w:t>
      </w:r>
      <w:proofErr w:type="spellStart"/>
      <w:r w:rsidRPr="000A4F35">
        <w:rPr>
          <w:i/>
          <w:iCs/>
        </w:rPr>
        <w:t>one</w:t>
      </w:r>
      <w:proofErr w:type="spellEnd"/>
      <w:r w:rsidRPr="000A4F35">
        <w:rPr>
          <w:i/>
          <w:iCs/>
        </w:rPr>
        <w:t>-off</w:t>
      </w:r>
      <w:r>
        <w:t xml:space="preserve"> de política fiscal.</w:t>
      </w:r>
    </w:p>
    <w:p w14:paraId="7ED0BD40" w14:textId="7E01E0BB" w:rsidR="00F165F7" w:rsidRDefault="00F165F7" w:rsidP="00815103">
      <w:pPr>
        <w:pStyle w:val="Nivel2SM"/>
      </w:pPr>
      <w:r>
        <w:t>Veamos a continuación en detalle cada una de estas fases.</w:t>
      </w:r>
    </w:p>
    <w:p w14:paraId="7D0515A4" w14:textId="11F3ACB7" w:rsidR="00F165F7" w:rsidRPr="002536A4" w:rsidRDefault="003F49C4" w:rsidP="002536A4">
      <w:pPr>
        <w:pStyle w:val="Ttulo6"/>
      </w:pPr>
      <w:bookmarkStart w:id="124" w:name="_Toc151221268"/>
      <w:r>
        <w:t>1ª </w:t>
      </w:r>
      <w:r w:rsidR="00F165F7" w:rsidRPr="00F165F7">
        <w:t>fase: Cálculo del Output Gap</w:t>
      </w:r>
      <w:bookmarkEnd w:id="124"/>
    </w:p>
    <w:p w14:paraId="471C2B1D" w14:textId="77777777" w:rsidR="0082528D" w:rsidRDefault="0082528D" w:rsidP="00BD6B5E">
      <w:pPr>
        <w:pStyle w:val="Nivel2SM"/>
        <w:keepNext/>
        <w:spacing w:after="0"/>
      </w:pPr>
      <w:r>
        <w:t xml:space="preserve">Para calcular el output gap se utiliza la </w:t>
      </w:r>
      <w:r w:rsidRPr="0084532C">
        <w:rPr>
          <w:i/>
          <w:u w:val="single"/>
        </w:rPr>
        <w:t>metodología de la función de producción</w:t>
      </w:r>
      <w:r>
        <w:t xml:space="preserve"> desarrollada por la Comisión Europea y acordada en el seno del Grupo de Trabajo del </w:t>
      </w:r>
      <w:r w:rsidR="00A031A7">
        <w:t>O</w:t>
      </w:r>
      <w:r>
        <w:t xml:space="preserve">utput </w:t>
      </w:r>
      <w:r w:rsidR="00A031A7">
        <w:t>G</w:t>
      </w:r>
      <w:r>
        <w:t>ap.</w:t>
      </w:r>
    </w:p>
    <w:p w14:paraId="35B409C0" w14:textId="7E4FA5CC" w:rsidR="0082528D" w:rsidRDefault="0082528D" w:rsidP="00BD6B5E">
      <w:pPr>
        <w:pStyle w:val="Nivel3SM"/>
        <w:keepNext/>
      </w:pPr>
      <w:r w:rsidRPr="00F87ED7">
        <w:rPr>
          <w:b/>
        </w:rPr>
        <w:t>Definición</w:t>
      </w:r>
      <w:r>
        <w:t xml:space="preserve">: </w:t>
      </w:r>
      <w:r w:rsidR="0084532C">
        <w:t>E</w:t>
      </w:r>
      <w:r>
        <w:t xml:space="preserve">l output gap o brecha de producción es la diferencia entre el producto observado y el producto potencial, dividido por el producto potencial. A su vez, el producto potencial es el nivel de producción en términos reales que una economía es capaz de generar utilizando </w:t>
      </w:r>
      <w:r w:rsidRPr="00423453">
        <w:rPr>
          <w:i/>
        </w:rPr>
        <w:t>todos</w:t>
      </w:r>
      <w:r>
        <w:t xml:space="preserve"> los factores productivos </w:t>
      </w:r>
      <w:r w:rsidRPr="00423453">
        <w:rPr>
          <w:i/>
        </w:rPr>
        <w:t>disponibles</w:t>
      </w:r>
      <w:r>
        <w:t xml:space="preserve"> y la tecnología existente, sin generar presiones inflacionistas:</w:t>
      </w:r>
    </w:p>
    <w:p w14:paraId="7423F7C8" w14:textId="631EE92F" w:rsidR="0082528D" w:rsidRDefault="003F49C4" w:rsidP="005D7F70">
      <w:pPr>
        <w:spacing w:after="0"/>
        <w:ind w:left="720"/>
        <w:jc w:val="center"/>
      </w:pPr>
      <m:oMathPara>
        <m:oMath>
          <m:r>
            <m:rPr>
              <m:nor/>
            </m:rPr>
            <w:rPr>
              <w:i/>
              <w:iCs/>
            </w:rPr>
            <m:t>OG</m:t>
          </m:r>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PIB</m:t>
                  </m:r>
                </m:e>
                <m:sub>
                  <m:r>
                    <m:rPr>
                      <m:nor/>
                    </m:rPr>
                    <w:rPr>
                      <w:i/>
                      <w:iCs/>
                    </w:rPr>
                    <m:t>observado</m:t>
                  </m:r>
                </m:sub>
              </m:sSub>
              <m:r>
                <w:rPr>
                  <w:rFonts w:ascii="Cambria Math" w:hAnsi="Cambria Math"/>
                </w:rPr>
                <m:t>-</m:t>
              </m:r>
              <m:sSub>
                <m:sSubPr>
                  <m:ctrlPr>
                    <w:rPr>
                      <w:rFonts w:ascii="Cambria Math" w:hAnsi="Cambria Math"/>
                      <w:i/>
                      <w:iCs/>
                    </w:rPr>
                  </m:ctrlPr>
                </m:sSubPr>
                <m:e>
                  <m:r>
                    <m:rPr>
                      <m:nor/>
                    </m:rPr>
                    <w:rPr>
                      <w:i/>
                      <w:iCs/>
                    </w:rPr>
                    <m:t>PIB</m:t>
                  </m:r>
                </m:e>
                <m:sub>
                  <m:r>
                    <m:rPr>
                      <m:nor/>
                    </m:rPr>
                    <w:rPr>
                      <w:i/>
                      <w:iCs/>
                    </w:rPr>
                    <m:t>potencial</m:t>
                  </m:r>
                </m:sub>
              </m:sSub>
            </m:num>
            <m:den>
              <m:sSub>
                <m:sSubPr>
                  <m:ctrlPr>
                    <w:rPr>
                      <w:rFonts w:ascii="Cambria Math" w:hAnsi="Cambria Math"/>
                      <w:i/>
                      <w:iCs/>
                    </w:rPr>
                  </m:ctrlPr>
                </m:sSubPr>
                <m:e>
                  <m:r>
                    <m:rPr>
                      <m:nor/>
                    </m:rPr>
                    <w:rPr>
                      <w:i/>
                      <w:iCs/>
                    </w:rPr>
                    <m:t>PIB</m:t>
                  </m:r>
                </m:e>
                <m:sub>
                  <m:r>
                    <m:rPr>
                      <m:nor/>
                    </m:rPr>
                    <w:rPr>
                      <w:i/>
                      <w:iCs/>
                    </w:rPr>
                    <m:t>potencial</m:t>
                  </m:r>
                </m:sub>
              </m:sSub>
            </m:den>
          </m:f>
        </m:oMath>
      </m:oMathPara>
    </w:p>
    <w:p w14:paraId="5FB661BD" w14:textId="27A90244" w:rsidR="0082528D" w:rsidRDefault="0082528D" w:rsidP="00BD6B5E">
      <w:pPr>
        <w:pStyle w:val="Nivel3SM"/>
      </w:pPr>
      <w:r w:rsidRPr="0082528D">
        <w:t>De esta manera, un output gap negativo significa que la economía se encuentra por debajo de sus posibilidades</w:t>
      </w:r>
      <w:r w:rsidR="0084532C">
        <w:t xml:space="preserve"> reales de producción</w:t>
      </w:r>
      <w:r w:rsidRPr="0082528D">
        <w:t>.</w:t>
      </w:r>
    </w:p>
    <w:p w14:paraId="426EAE06" w14:textId="60756F63" w:rsidR="0082528D" w:rsidRDefault="0082528D" w:rsidP="00BD6B5E">
      <w:pPr>
        <w:pStyle w:val="Nivel2SM"/>
        <w:keepNext/>
        <w:spacing w:after="0"/>
      </w:pPr>
      <w:r>
        <w:t xml:space="preserve">Para calcular el </w:t>
      </w:r>
      <w:r w:rsidRPr="006F7D1F">
        <w:rPr>
          <w:b/>
          <w:bCs/>
        </w:rPr>
        <w:t>producto potencial</w:t>
      </w:r>
      <w:r>
        <w:t xml:space="preserve"> se utiliza una función de producción Cobb-Douglas que utiliza capital y trabajo</w:t>
      </w:r>
      <w:r w:rsidR="000D3C56">
        <w:t xml:space="preserve"> (medido en horas trabajadas)</w:t>
      </w:r>
      <w:r>
        <w:t>:</w:t>
      </w:r>
    </w:p>
    <w:p w14:paraId="298A3F45" w14:textId="3119C6F2" w:rsidR="0082528D" w:rsidRPr="008D0215" w:rsidRDefault="00000000" w:rsidP="005D7F70">
      <w:pPr>
        <w:spacing w:after="0"/>
        <w:ind w:left="720"/>
        <w:jc w:val="center"/>
        <w:rPr>
          <w:lang w:val="en-US"/>
        </w:rPr>
      </w:pPr>
      <m:oMathPara>
        <m:oMath>
          <m:sSub>
            <m:sSubPr>
              <m:ctrlPr>
                <w:rPr>
                  <w:rFonts w:ascii="Cambria Math" w:hAnsi="Cambria Math"/>
                  <w:i/>
                  <w:iCs/>
                </w:rPr>
              </m:ctrlPr>
            </m:sSubPr>
            <m:e>
              <m:r>
                <m:rPr>
                  <m:nor/>
                </m:rPr>
                <w:rPr>
                  <w:i/>
                  <w:iCs/>
                  <w:lang w:val="en-US"/>
                </w:rPr>
                <m:t>PIB</m:t>
              </m:r>
            </m:e>
            <m:sub>
              <m:r>
                <m:rPr>
                  <m:nor/>
                </m:rPr>
                <w:rPr>
                  <w:i/>
                  <w:iCs/>
                  <w:lang w:val="en-US"/>
                </w:rPr>
                <m:t>pot</m:t>
              </m:r>
            </m:sub>
          </m:sSub>
          <m:r>
            <w:rPr>
              <w:rFonts w:ascii="Cambria Math"/>
              <w:lang w:val="en-US"/>
            </w:rPr>
            <m:t>=</m:t>
          </m:r>
          <m:sSub>
            <m:sSubPr>
              <m:ctrlPr>
                <w:rPr>
                  <w:rFonts w:ascii="Cambria Math" w:hAnsi="Cambria Math"/>
                  <w:i/>
                  <w:iCs/>
                </w:rPr>
              </m:ctrlPr>
            </m:sSubPr>
            <m:e>
              <m:r>
                <m:rPr>
                  <m:nor/>
                </m:rPr>
                <w:rPr>
                  <w:i/>
                  <w:iCs/>
                  <w:lang w:val="en-US"/>
                </w:rPr>
                <m:t>PTF</m:t>
              </m:r>
            </m:e>
            <m:sub>
              <m:r>
                <m:rPr>
                  <m:nor/>
                </m:rPr>
                <w:rPr>
                  <w:i/>
                  <w:iCs/>
                  <w:lang w:val="en-US"/>
                </w:rPr>
                <m:t>pot</m:t>
              </m:r>
            </m:sub>
          </m:sSub>
          <m:r>
            <w:rPr>
              <w:rFonts w:ascii="Cambria Math" w:hAnsi="Cambria Math" w:cs="Cambria Math"/>
              <w:lang w:val="en-US"/>
            </w:rPr>
            <m:t>⋅</m:t>
          </m:r>
          <m:sSup>
            <m:sSupPr>
              <m:ctrlPr>
                <w:rPr>
                  <w:rFonts w:ascii="Cambria Math" w:hAnsi="Cambria Math"/>
                  <w:i/>
                  <w:iCs/>
                </w:rPr>
              </m:ctrlPr>
            </m:sSupPr>
            <m:e>
              <m:sSub>
                <m:sSubPr>
                  <m:ctrlPr>
                    <w:rPr>
                      <w:rFonts w:ascii="Cambria Math" w:hAnsi="Cambria Math"/>
                      <w:i/>
                      <w:iCs/>
                    </w:rPr>
                  </m:ctrlPr>
                </m:sSubPr>
                <m:e>
                  <m:r>
                    <m:rPr>
                      <m:nor/>
                    </m:rPr>
                    <w:rPr>
                      <w:i/>
                      <w:iCs/>
                      <w:lang w:val="en-US"/>
                    </w:rPr>
                    <m:t>K</m:t>
                  </m:r>
                </m:e>
                <m:sub>
                  <m:r>
                    <m:rPr>
                      <m:nor/>
                    </m:rPr>
                    <w:rPr>
                      <w:i/>
                      <w:iCs/>
                      <w:lang w:val="en-US"/>
                    </w:rPr>
                    <m:t>pot</m:t>
                  </m:r>
                </m:sub>
              </m:sSub>
            </m:e>
            <m:sup>
              <m:r>
                <m:rPr>
                  <m:nor/>
                </m:rPr>
                <w:rPr>
                  <w:i/>
                  <w:iCs/>
                  <w:lang w:val="en-US"/>
                </w:rPr>
                <m:t>0,35</m:t>
              </m:r>
            </m:sup>
          </m:sSup>
          <m:r>
            <w:rPr>
              <w:rFonts w:ascii="Cambria Math" w:hAnsi="Cambria Math" w:cs="Cambria Math"/>
              <w:lang w:val="en-US"/>
            </w:rPr>
            <m:t>⋅</m:t>
          </m:r>
          <m:sSup>
            <m:sSupPr>
              <m:ctrlPr>
                <w:rPr>
                  <w:rFonts w:ascii="Cambria Math" w:hAnsi="Cambria Math"/>
                  <w:i/>
                  <w:iCs/>
                </w:rPr>
              </m:ctrlPr>
            </m:sSupPr>
            <m:e>
              <m:sSub>
                <m:sSubPr>
                  <m:ctrlPr>
                    <w:rPr>
                      <w:rFonts w:ascii="Cambria Math" w:hAnsi="Cambria Math"/>
                      <w:i/>
                      <w:iCs/>
                    </w:rPr>
                  </m:ctrlPr>
                </m:sSubPr>
                <m:e>
                  <m:r>
                    <m:rPr>
                      <m:nor/>
                    </m:rPr>
                    <w:rPr>
                      <w:i/>
                      <w:iCs/>
                      <w:lang w:val="en-US"/>
                    </w:rPr>
                    <m:t>L</m:t>
                  </m:r>
                </m:e>
                <m:sub>
                  <m:r>
                    <m:rPr>
                      <m:nor/>
                    </m:rPr>
                    <w:rPr>
                      <w:i/>
                      <w:iCs/>
                      <w:lang w:val="en-US"/>
                    </w:rPr>
                    <m:t>pot</m:t>
                  </m:r>
                </m:sub>
              </m:sSub>
            </m:e>
            <m:sup>
              <m:r>
                <m:rPr>
                  <m:nor/>
                </m:rPr>
                <w:rPr>
                  <w:i/>
                  <w:iCs/>
                  <w:lang w:val="en-US"/>
                </w:rPr>
                <m:t>0,65</m:t>
              </m:r>
            </m:sup>
          </m:sSup>
        </m:oMath>
      </m:oMathPara>
    </w:p>
    <w:p w14:paraId="37A9F124" w14:textId="7AD1CD82" w:rsidR="0082528D" w:rsidRPr="00BD6B5E" w:rsidRDefault="0082528D" w:rsidP="00BD6B5E">
      <w:pPr>
        <w:pStyle w:val="Nivel3SM"/>
        <w:keepNext/>
        <w:rPr>
          <w:u w:val="single"/>
        </w:rPr>
      </w:pPr>
      <w:r w:rsidRPr="00F31526">
        <w:rPr>
          <w:i/>
          <w:iCs/>
          <w:u w:val="single"/>
        </w:rPr>
        <w:t>Elasticidades</w:t>
      </w:r>
      <w:r w:rsidR="00F31526">
        <w:t>:</w:t>
      </w:r>
    </w:p>
    <w:p w14:paraId="0D94B8F7" w14:textId="77777777" w:rsidR="0082528D" w:rsidRDefault="0082528D" w:rsidP="000D3C56">
      <w:pPr>
        <w:pStyle w:val="Nivel4"/>
        <w:ind w:left="1474"/>
      </w:pPr>
      <w:r>
        <w:t>Las elasticidades-producto de los factores capital y trabajo son 0,35 y 0,65, respectivamente, valores fijados de manera uniforme en la UE.</w:t>
      </w:r>
    </w:p>
    <w:p w14:paraId="762EDCCB" w14:textId="74D1EF92" w:rsidR="000D3C56" w:rsidRDefault="000D3C56" w:rsidP="000D3C56">
      <w:pPr>
        <w:pStyle w:val="Nivel4"/>
        <w:ind w:left="1474"/>
      </w:pPr>
      <w:r>
        <w:t>Como la participación de los factores en el PIB es relativamente estable, empíricamente se considera que trabajar con Cobb-Douglas no es tan limitante. Además, a nivel agregado no existe grandes evidencias de rendimientos crecientes o decrecientes a escala.</w:t>
      </w:r>
    </w:p>
    <w:p w14:paraId="3C1B1929" w14:textId="77777777" w:rsidR="003F539B" w:rsidRPr="00BD6B5E" w:rsidRDefault="003F539B" w:rsidP="003F539B">
      <w:pPr>
        <w:pStyle w:val="Nivel3SM"/>
        <w:keepNext/>
        <w:rPr>
          <w:u w:val="single"/>
        </w:rPr>
      </w:pPr>
      <w:r w:rsidRPr="004A3A3F">
        <w:rPr>
          <w:i/>
          <w:iCs/>
          <w:u w:val="single"/>
        </w:rPr>
        <w:t>Productividad Total de los Factores (PTF)</w:t>
      </w:r>
      <w:r w:rsidRPr="00BD6B5E">
        <w:t>:</w:t>
      </w:r>
    </w:p>
    <w:p w14:paraId="76A10CFD" w14:textId="01C40492" w:rsidR="003F539B" w:rsidRDefault="003F539B" w:rsidP="003F539B">
      <w:pPr>
        <w:pStyle w:val="Nivel4"/>
        <w:keepNext/>
        <w:ind w:left="1474"/>
      </w:pPr>
      <w:r>
        <w:t>L</w:t>
      </w:r>
      <w:r w:rsidRPr="005656D1">
        <w:t>a productividad total de los factores potencial se determina extrayendo cada año la productividad total de los factores observada a partir de los valores del PIB, stock de capital y trabajo, y se estima su tendencia</w:t>
      </w:r>
      <w:r>
        <w:t>:</w:t>
      </w:r>
    </w:p>
    <w:p w14:paraId="1B7C309C" w14:textId="77777777" w:rsidR="003F539B" w:rsidRPr="001B0047" w:rsidRDefault="003F539B" w:rsidP="003F539B">
      <w:pPr>
        <w:spacing w:after="0"/>
        <w:ind w:left="2160"/>
        <w:jc w:val="center"/>
        <w:rPr>
          <w:lang w:val="en-US"/>
        </w:rPr>
      </w:pPr>
      <m:oMathPara>
        <m:oMath>
          <m:r>
            <m:rPr>
              <m:nor/>
            </m:rPr>
            <w:rPr>
              <w:i/>
              <w:iCs/>
              <w:lang w:val="en-US"/>
            </w:rPr>
            <m:t>PTF</m:t>
          </m:r>
          <m:r>
            <w:rPr>
              <w:rFonts w:ascii="Cambria Math"/>
              <w:lang w:val="en-US"/>
            </w:rPr>
            <m:t>=</m:t>
          </m:r>
          <m:f>
            <m:fPr>
              <m:ctrlPr>
                <w:rPr>
                  <w:rFonts w:ascii="Cambria Math" w:hAnsi="Cambria Math"/>
                  <w:i/>
                  <w:lang w:val="en-US"/>
                </w:rPr>
              </m:ctrlPr>
            </m:fPr>
            <m:num>
              <m:r>
                <m:rPr>
                  <m:nor/>
                </m:rPr>
                <w:rPr>
                  <w:i/>
                  <w:iCs/>
                  <w:lang w:val="en-US"/>
                </w:rPr>
                <m:t>PIB</m:t>
              </m:r>
            </m:num>
            <m:den>
              <m:sSup>
                <m:sSupPr>
                  <m:ctrlPr>
                    <w:rPr>
                      <w:rFonts w:ascii="Cambria Math" w:hAnsi="Cambria Math"/>
                      <w:i/>
                    </w:rPr>
                  </m:ctrlPr>
                </m:sSupPr>
                <m:e>
                  <m:r>
                    <m:rPr>
                      <m:nor/>
                    </m:rPr>
                    <w:rPr>
                      <w:i/>
                      <w:iCs/>
                      <w:lang w:val="en-US"/>
                    </w:rPr>
                    <m:t>K</m:t>
                  </m:r>
                </m:e>
                <m:sup>
                  <m:r>
                    <m:rPr>
                      <m:nor/>
                    </m:rPr>
                    <w:rPr>
                      <w:i/>
                      <w:iCs/>
                    </w:rPr>
                    <m:t>α</m:t>
                  </m:r>
                </m:sup>
              </m:sSup>
              <m:r>
                <w:rPr>
                  <w:rFonts w:ascii="Cambria Math" w:hAnsi="Cambria Math" w:cs="Cambria Math"/>
                  <w:lang w:val="en-US"/>
                </w:rPr>
                <m:t>⋅</m:t>
              </m:r>
              <m:sSup>
                <m:sSupPr>
                  <m:ctrlPr>
                    <w:rPr>
                      <w:rFonts w:ascii="Cambria Math" w:hAnsi="Cambria Math"/>
                      <w:i/>
                    </w:rPr>
                  </m:ctrlPr>
                </m:sSupPr>
                <m:e>
                  <m:r>
                    <m:rPr>
                      <m:nor/>
                    </m:rPr>
                    <w:rPr>
                      <w:i/>
                      <w:iCs/>
                      <w:lang w:val="en-US"/>
                    </w:rPr>
                    <m:t>L</m:t>
                  </m:r>
                </m:e>
                <m:sup>
                  <m:r>
                    <m:rPr>
                      <m:nor/>
                    </m:rPr>
                    <w:rPr>
                      <w:i/>
                      <w:iCs/>
                      <w:lang w:val="en-US"/>
                    </w:rPr>
                    <m:t>1</m:t>
                  </m:r>
                  <m:r>
                    <w:rPr>
                      <w:rFonts w:ascii="Cambria Math"/>
                      <w:lang w:val="en-US"/>
                    </w:rPr>
                    <m:t>-</m:t>
                  </m:r>
                  <m:r>
                    <m:rPr>
                      <m:nor/>
                    </m:rPr>
                    <w:rPr>
                      <w:i/>
                      <w:iCs/>
                    </w:rPr>
                    <m:t>α</m:t>
                  </m:r>
                </m:sup>
              </m:sSup>
            </m:den>
          </m:f>
        </m:oMath>
      </m:oMathPara>
    </w:p>
    <w:p w14:paraId="3EA76D71" w14:textId="77777777" w:rsidR="003F539B" w:rsidRDefault="003F539B" w:rsidP="003F539B">
      <w:pPr>
        <w:pStyle w:val="Nivel3SM"/>
        <w:keepNext/>
      </w:pPr>
      <w:r w:rsidRPr="004A3A3F">
        <w:rPr>
          <w:i/>
          <w:iCs/>
          <w:u w:val="single"/>
        </w:rPr>
        <w:t>Capital</w:t>
      </w:r>
      <w:r>
        <w:t>:</w:t>
      </w:r>
    </w:p>
    <w:p w14:paraId="381E536E" w14:textId="77777777" w:rsidR="003F539B" w:rsidRPr="002536A4" w:rsidRDefault="003F539B" w:rsidP="003F539B">
      <w:pPr>
        <w:pStyle w:val="Nivel4"/>
        <w:keepNext/>
        <w:ind w:left="1474"/>
      </w:pPr>
      <w:r w:rsidRPr="0082528D">
        <w:t>El stock de capital potencial se corresponde con el capital observado, aplicando la ecuación dinámica de acumulación del capital</w:t>
      </w:r>
      <w:r>
        <w:t>.</w:t>
      </w:r>
    </w:p>
    <w:p w14:paraId="7E737275" w14:textId="77777777" w:rsidR="003F539B" w:rsidRPr="007F6E41" w:rsidRDefault="00000000" w:rsidP="003F539B">
      <w:pPr>
        <w:spacing w:after="0"/>
        <w:ind w:left="709"/>
        <w:jc w:val="center"/>
        <w:rPr>
          <w:u w:val="single"/>
          <w:lang w:val="fr-FR"/>
        </w:rPr>
      </w:pPr>
      <m:oMathPara>
        <m:oMath>
          <m:sSub>
            <m:sSubPr>
              <m:ctrlPr>
                <w:rPr>
                  <w:rFonts w:ascii="Cambria Math" w:hAnsi="Cambria Math"/>
                  <w:i/>
                </w:rPr>
              </m:ctrlPr>
            </m:sSubPr>
            <m:e>
              <m:r>
                <m:rPr>
                  <m:nor/>
                </m:rPr>
                <w:rPr>
                  <w:i/>
                  <w:iCs/>
                  <w:lang w:val="fr-FR"/>
                </w:rPr>
                <m:t>K</m:t>
              </m:r>
            </m:e>
            <m:sub>
              <m:r>
                <m:rPr>
                  <m:nor/>
                </m:rPr>
                <w:rPr>
                  <w:i/>
                  <w:iCs/>
                  <w:lang w:val="fr-FR"/>
                </w:rPr>
                <m:t>pot,t</m:t>
              </m:r>
            </m:sub>
          </m:sSub>
          <m:r>
            <w:rPr>
              <w:rFonts w:ascii="Cambria Math"/>
              <w:lang w:val="fr-FR"/>
            </w:rPr>
            <m:t>=</m:t>
          </m:r>
          <m:sSub>
            <m:sSubPr>
              <m:ctrlPr>
                <w:rPr>
                  <w:rFonts w:ascii="Cambria Math" w:hAnsi="Cambria Math"/>
                  <w:i/>
                </w:rPr>
              </m:ctrlPr>
            </m:sSubPr>
            <m:e>
              <m:r>
                <m:rPr>
                  <m:nor/>
                </m:rPr>
                <w:rPr>
                  <w:i/>
                  <w:iCs/>
                  <w:lang w:val="fr-FR"/>
                </w:rPr>
                <m:t>K</m:t>
              </m:r>
            </m:e>
            <m:sub>
              <m:r>
                <m:rPr>
                  <m:nor/>
                </m:rPr>
                <w:rPr>
                  <w:i/>
                  <w:iCs/>
                  <w:lang w:val="fr-FR"/>
                </w:rPr>
                <m:t>t</m:t>
              </m:r>
              <m:r>
                <w:rPr>
                  <w:rFonts w:ascii="Cambria Math"/>
                  <w:lang w:val="fr-FR"/>
                </w:rPr>
                <m:t>-</m:t>
              </m:r>
              <m:r>
                <m:rPr>
                  <m:nor/>
                </m:rPr>
                <w:rPr>
                  <w:i/>
                  <w:iCs/>
                  <w:lang w:val="fr-FR"/>
                </w:rPr>
                <m:t>1</m:t>
              </m:r>
            </m:sub>
          </m:sSub>
          <m:r>
            <w:rPr>
              <w:rFonts w:ascii="Cambria Math" w:hAnsi="Cambria Math"/>
              <w:lang w:val="fr-FR"/>
            </w:rPr>
            <m:t>∙</m:t>
          </m:r>
          <m:d>
            <m:dPr>
              <m:ctrlPr>
                <w:rPr>
                  <w:rFonts w:ascii="Cambria Math" w:hAnsi="Cambria Math"/>
                  <w:i/>
                </w:rPr>
              </m:ctrlPr>
            </m:dPr>
            <m:e>
              <m:r>
                <m:rPr>
                  <m:nor/>
                </m:rPr>
                <w:rPr>
                  <w:i/>
                  <w:iCs/>
                  <w:lang w:val="fr-FR"/>
                </w:rPr>
                <m:t>1</m:t>
              </m:r>
              <m:r>
                <w:rPr>
                  <w:rFonts w:ascii="Cambria Math"/>
                  <w:lang w:val="fr-FR"/>
                </w:rPr>
                <m:t>-</m:t>
              </m:r>
              <m:r>
                <m:rPr>
                  <m:nor/>
                </m:rPr>
                <w:rPr>
                  <w:i/>
                  <w:iCs/>
                </w:rPr>
                <m:t>δ</m:t>
              </m:r>
            </m:e>
          </m:d>
          <m:r>
            <w:rPr>
              <w:rFonts w:ascii="Cambria Math"/>
              <w:lang w:val="fr-FR"/>
            </w:rPr>
            <m:t>+</m:t>
          </m:r>
          <m:sSub>
            <m:sSubPr>
              <m:ctrlPr>
                <w:rPr>
                  <w:rFonts w:ascii="Cambria Math" w:hAnsi="Cambria Math"/>
                  <w:i/>
                </w:rPr>
              </m:ctrlPr>
            </m:sSubPr>
            <m:e>
              <m:r>
                <m:rPr>
                  <m:nor/>
                </m:rPr>
                <w:rPr>
                  <w:i/>
                  <w:iCs/>
                  <w:lang w:val="fr-FR"/>
                </w:rPr>
                <m:t>I</m:t>
              </m:r>
            </m:e>
            <m:sub>
              <m:r>
                <m:rPr>
                  <m:nor/>
                </m:rPr>
                <w:rPr>
                  <w:i/>
                  <w:iCs/>
                  <w:lang w:val="fr-FR"/>
                </w:rPr>
                <m:t>t</m:t>
              </m:r>
            </m:sub>
          </m:sSub>
        </m:oMath>
      </m:oMathPara>
    </w:p>
    <w:p w14:paraId="1D8888C4" w14:textId="77777777" w:rsidR="0082528D" w:rsidRDefault="0082528D" w:rsidP="00BD6B5E">
      <w:pPr>
        <w:pStyle w:val="Nivel3SM"/>
        <w:keepNext/>
      </w:pPr>
      <w:r w:rsidRPr="00F31526">
        <w:rPr>
          <w:i/>
          <w:iCs/>
          <w:u w:val="single"/>
        </w:rPr>
        <w:t>Trabajo</w:t>
      </w:r>
      <w:r>
        <w:t>:</w:t>
      </w:r>
    </w:p>
    <w:p w14:paraId="2DAA8BE4" w14:textId="6DE0E5F7" w:rsidR="0082528D" w:rsidRDefault="0082528D" w:rsidP="00BD6B5E">
      <w:pPr>
        <w:pStyle w:val="Nivel4"/>
        <w:keepNext/>
        <w:ind w:left="1474"/>
      </w:pPr>
      <w:r>
        <w:t>El empleo potencial se corresponde con el total de horas trabajadas al año por los ocupados de la economía con el supuesto de plena utilización de los recursos disponibles y sin presiones inflacionistas, obteniéndose de la siguiente expresión:</w:t>
      </w:r>
    </w:p>
    <w:p w14:paraId="6D87323B" w14:textId="4E661942" w:rsidR="0082528D" w:rsidRPr="003F49C4" w:rsidRDefault="00000000" w:rsidP="005D7F70">
      <w:pPr>
        <w:spacing w:after="0"/>
        <w:ind w:left="1440"/>
        <w:jc w:val="center"/>
        <w:rPr>
          <w:lang w:val="en-US"/>
        </w:rPr>
      </w:pPr>
      <m:oMathPara>
        <m:oMath>
          <m:sSub>
            <m:sSubPr>
              <m:ctrlPr>
                <w:rPr>
                  <w:rFonts w:ascii="Cambria Math" w:hAnsi="Cambria Math"/>
                  <w:i/>
                  <w:iCs/>
                </w:rPr>
              </m:ctrlPr>
            </m:sSubPr>
            <m:e>
              <m:r>
                <m:rPr>
                  <m:nor/>
                </m:rPr>
                <w:rPr>
                  <w:i/>
                  <w:iCs/>
                  <w:lang w:val="en-US"/>
                </w:rPr>
                <m:t>L</m:t>
              </m:r>
            </m:e>
            <m:sub>
              <m:r>
                <m:rPr>
                  <m:nor/>
                </m:rPr>
                <w:rPr>
                  <w:i/>
                  <w:iCs/>
                  <w:lang w:val="en-US"/>
                </w:rPr>
                <m:t>pot</m:t>
              </m:r>
            </m:sub>
          </m:sSub>
          <m:r>
            <w:rPr>
              <w:rFonts w:ascii="Cambria Math"/>
              <w:lang w:val="en-US"/>
            </w:rPr>
            <m:t>=</m:t>
          </m:r>
          <m:r>
            <m:rPr>
              <m:nor/>
            </m:rPr>
            <w:rPr>
              <w:i/>
              <w:iCs/>
              <w:lang w:val="en-US"/>
            </w:rPr>
            <m:t>POB</m:t>
          </m:r>
          <m:r>
            <w:rPr>
              <w:rFonts w:ascii="Cambria Math" w:hAnsi="Cambria Math" w:cs="Cambria Math"/>
              <w:lang w:val="en-US"/>
            </w:rPr>
            <m:t>⋅</m:t>
          </m:r>
          <m:sSub>
            <m:sSubPr>
              <m:ctrlPr>
                <w:rPr>
                  <w:rFonts w:ascii="Cambria Math" w:hAnsi="Cambria Math"/>
                  <w:i/>
                  <w:iCs/>
                </w:rPr>
              </m:ctrlPr>
            </m:sSubPr>
            <m:e>
              <m:r>
                <m:rPr>
                  <m:nor/>
                </m:rPr>
                <w:rPr>
                  <w:i/>
                  <w:iCs/>
                  <w:lang w:val="en-US"/>
                </w:rPr>
                <m:t>ACT</m:t>
              </m:r>
            </m:e>
            <m:sub>
              <m:r>
                <m:rPr>
                  <m:nor/>
                </m:rPr>
                <w:rPr>
                  <w:i/>
                  <w:iCs/>
                  <w:lang w:val="en-US"/>
                </w:rPr>
                <m:t>pot</m:t>
              </m:r>
            </m:sub>
          </m:sSub>
          <m:r>
            <w:rPr>
              <w:rFonts w:ascii="Cambria Math" w:hAnsi="Cambria Math" w:cs="Cambria Math"/>
              <w:lang w:val="en-US"/>
            </w:rPr>
            <m:t>⋅</m:t>
          </m:r>
          <m:d>
            <m:dPr>
              <m:ctrlPr>
                <w:rPr>
                  <w:rFonts w:ascii="Cambria Math" w:hAnsi="Cambria Math"/>
                  <w:i/>
                </w:rPr>
              </m:ctrlPr>
            </m:dPr>
            <m:e>
              <m:r>
                <m:rPr>
                  <m:nor/>
                </m:rPr>
                <w:rPr>
                  <w:i/>
                  <w:iCs/>
                  <w:lang w:val="en-US"/>
                </w:rPr>
                <m:t>1</m:t>
              </m:r>
              <m:r>
                <w:rPr>
                  <w:rFonts w:ascii="Cambria Math"/>
                  <w:lang w:val="en-US"/>
                </w:rPr>
                <m:t>-</m:t>
              </m:r>
              <m:sSub>
                <m:sSubPr>
                  <m:ctrlPr>
                    <w:rPr>
                      <w:rFonts w:ascii="Cambria Math" w:hAnsi="Cambria Math"/>
                      <w:i/>
                      <w:iCs/>
                    </w:rPr>
                  </m:ctrlPr>
                </m:sSubPr>
                <m:e>
                  <m:r>
                    <m:rPr>
                      <m:nor/>
                    </m:rPr>
                    <w:rPr>
                      <w:i/>
                      <w:iCs/>
                    </w:rPr>
                    <m:t>μ</m:t>
                  </m:r>
                </m:e>
                <m:sub>
                  <m:r>
                    <m:rPr>
                      <m:nor/>
                    </m:rPr>
                    <w:rPr>
                      <w:i/>
                      <w:iCs/>
                      <w:lang w:val="en-US"/>
                    </w:rPr>
                    <m:t>NAWRU</m:t>
                  </m:r>
                </m:sub>
              </m:sSub>
            </m:e>
          </m:d>
          <m:r>
            <w:rPr>
              <w:rFonts w:ascii="Cambria Math" w:hAnsi="Cambria Math" w:cs="Cambria Math"/>
              <w:lang w:val="en-US"/>
            </w:rPr>
            <m:t>⋅</m:t>
          </m:r>
          <m:sSub>
            <m:sSubPr>
              <m:ctrlPr>
                <w:rPr>
                  <w:rFonts w:ascii="Cambria Math" w:hAnsi="Cambria Math"/>
                  <w:i/>
                  <w:iCs/>
                </w:rPr>
              </m:ctrlPr>
            </m:sSubPr>
            <m:e>
              <m:r>
                <m:rPr>
                  <m:nor/>
                </m:rPr>
                <w:rPr>
                  <w:i/>
                  <w:iCs/>
                  <w:lang w:val="en-US"/>
                </w:rPr>
                <m:t>H</m:t>
              </m:r>
            </m:e>
            <m:sub>
              <m:r>
                <m:rPr>
                  <m:nor/>
                </m:rPr>
                <w:rPr>
                  <w:i/>
                  <w:iCs/>
                  <w:lang w:val="en-US"/>
                </w:rPr>
                <m:t>pot</m:t>
              </m:r>
            </m:sub>
          </m:sSub>
        </m:oMath>
      </m:oMathPara>
    </w:p>
    <w:p w14:paraId="769EFB1E" w14:textId="706E347F" w:rsidR="00351C48" w:rsidRDefault="0082528D" w:rsidP="00BD6B5E">
      <w:pPr>
        <w:pStyle w:val="Nivel4"/>
        <w:ind w:left="1474"/>
      </w:pPr>
      <w:r w:rsidRPr="007A502E">
        <w:rPr>
          <w:i/>
          <w:iCs/>
          <w:u w:val="single"/>
        </w:rPr>
        <w:t>POB</w:t>
      </w:r>
      <w:r>
        <w:t xml:space="preserve"> es la población en edad de trabajar (15-64</w:t>
      </w:r>
      <w:r w:rsidR="00BD6B5E">
        <w:t> </w:t>
      </w:r>
      <w:r>
        <w:t>años)</w:t>
      </w:r>
      <w:r w:rsidR="007A502E">
        <w:t>.</w:t>
      </w:r>
    </w:p>
    <w:p w14:paraId="4C149E37" w14:textId="4A59FC6E" w:rsidR="00351C48" w:rsidRDefault="0082528D" w:rsidP="00BD6B5E">
      <w:pPr>
        <w:pStyle w:val="Nivel4"/>
        <w:ind w:left="1474"/>
      </w:pPr>
      <w:proofErr w:type="spellStart"/>
      <w:r w:rsidRPr="007A502E">
        <w:rPr>
          <w:i/>
          <w:iCs/>
          <w:u w:val="single"/>
        </w:rPr>
        <w:t>ACT</w:t>
      </w:r>
      <w:r w:rsidRPr="007A502E">
        <w:rPr>
          <w:i/>
          <w:iCs/>
          <w:u w:val="single"/>
          <w:vertAlign w:val="subscript"/>
        </w:rPr>
        <w:t>pot</w:t>
      </w:r>
      <w:proofErr w:type="spellEnd"/>
      <w:r>
        <w:t xml:space="preserve"> es la tasa de actividad potencial (i.e. la proporción de población en edad de trabajar que trabaja o busca trabajo)</w:t>
      </w:r>
      <w:r w:rsidR="00627B3C">
        <w:t>. Se trata de un dato de tipo demográfic</w:t>
      </w:r>
      <w:r w:rsidR="00432F0D">
        <w:t>o</w:t>
      </w:r>
      <w:r w:rsidR="00627B3C">
        <w:t>, provisto por agencias estadísticas oficiales como Eurostat.</w:t>
      </w:r>
    </w:p>
    <w:p w14:paraId="4E06889C" w14:textId="1CBC418C" w:rsidR="00351C48" w:rsidRDefault="0082528D" w:rsidP="00BD6B5E">
      <w:pPr>
        <w:pStyle w:val="Nivel4"/>
        <w:ind w:left="1474"/>
      </w:pPr>
      <w:proofErr w:type="spellStart"/>
      <w:r w:rsidRPr="007A502E">
        <w:rPr>
          <w:i/>
          <w:iCs/>
          <w:u w:val="single"/>
        </w:rPr>
        <w:lastRenderedPageBreak/>
        <w:t>μ</w:t>
      </w:r>
      <w:r w:rsidRPr="007A502E">
        <w:rPr>
          <w:i/>
          <w:iCs/>
          <w:u w:val="single"/>
          <w:vertAlign w:val="subscript"/>
        </w:rPr>
        <w:t>NA</w:t>
      </w:r>
      <w:r w:rsidR="002A4A9A">
        <w:rPr>
          <w:i/>
          <w:iCs/>
          <w:u w:val="single"/>
          <w:vertAlign w:val="subscript"/>
        </w:rPr>
        <w:t>W</w:t>
      </w:r>
      <w:r w:rsidRPr="007A502E">
        <w:rPr>
          <w:i/>
          <w:iCs/>
          <w:u w:val="single"/>
          <w:vertAlign w:val="subscript"/>
        </w:rPr>
        <w:t>RU</w:t>
      </w:r>
      <w:proofErr w:type="spellEnd"/>
      <w:r>
        <w:t xml:space="preserve"> es la tasa de desempleo asociada a la NA</w:t>
      </w:r>
      <w:r w:rsidR="002A4A9A">
        <w:t>W</w:t>
      </w:r>
      <w:r>
        <w:t>RU (i.e. no aceleradora de la inflación</w:t>
      </w:r>
      <w:r w:rsidR="002A4A9A">
        <w:t xml:space="preserve"> salarial</w:t>
      </w:r>
      <w:r>
        <w:t>)</w:t>
      </w:r>
      <w:r w:rsidR="007A502E">
        <w:t>.</w:t>
      </w:r>
    </w:p>
    <w:p w14:paraId="6BB3A056" w14:textId="77777777" w:rsidR="0082528D" w:rsidRDefault="0082528D" w:rsidP="00354426">
      <w:pPr>
        <w:pStyle w:val="Nivel4"/>
        <w:keepNext/>
        <w:ind w:left="1474"/>
      </w:pPr>
      <w:proofErr w:type="spellStart"/>
      <w:r w:rsidRPr="007A502E">
        <w:rPr>
          <w:i/>
          <w:iCs/>
          <w:u w:val="single"/>
        </w:rPr>
        <w:t>H</w:t>
      </w:r>
      <w:r w:rsidRPr="007A502E">
        <w:rPr>
          <w:i/>
          <w:iCs/>
          <w:u w:val="single"/>
          <w:vertAlign w:val="subscript"/>
        </w:rPr>
        <w:t>pot</w:t>
      </w:r>
      <w:proofErr w:type="spellEnd"/>
      <w:r>
        <w:t xml:space="preserve"> es el número de horas potenciales trabajadas al año por trabajador.</w:t>
      </w:r>
    </w:p>
    <w:p w14:paraId="651AF103" w14:textId="6C7836AB" w:rsidR="0082528D" w:rsidRDefault="00354426" w:rsidP="00432F0D">
      <w:pPr>
        <w:pStyle w:val="Nivel5"/>
        <w:ind w:left="1871"/>
      </w:pPr>
      <w:r>
        <w:t>L</w:t>
      </w:r>
      <w:r w:rsidR="0082528D">
        <w:t xml:space="preserve">a tasa de actividad potencial y el número de horas potenciales trabajadas al año por trabajador se obtienen aplicando un filtro </w:t>
      </w:r>
      <w:r w:rsidR="009A79B7">
        <w:rPr>
          <w:smallCaps/>
        </w:rPr>
        <w:t>Hodrick</w:t>
      </w:r>
      <w:r w:rsidR="0082528D">
        <w:t>-</w:t>
      </w:r>
      <w:r w:rsidR="009A79B7">
        <w:rPr>
          <w:smallCaps/>
        </w:rPr>
        <w:t>Prescott</w:t>
      </w:r>
      <w:r w:rsidR="0082528D">
        <w:t xml:space="preserve"> a las tasas observadas</w:t>
      </w:r>
      <w:r w:rsidR="002558DE">
        <w:t xml:space="preserve"> </w:t>
      </w:r>
      <w:r w:rsidR="002558DE" w:rsidRPr="002558DE">
        <w:rPr>
          <w:color w:val="767171" w:themeColor="background2" w:themeShade="80"/>
          <w:sz w:val="19"/>
          <w:szCs w:val="19"/>
        </w:rPr>
        <w:t>[</w:t>
      </w:r>
      <w:r w:rsidR="002558DE">
        <w:rPr>
          <w:color w:val="767171" w:themeColor="background2" w:themeShade="80"/>
          <w:sz w:val="19"/>
          <w:szCs w:val="19"/>
        </w:rPr>
        <w:t>ver tema 3.A.41</w:t>
      </w:r>
      <w:r w:rsidR="002558DE" w:rsidRPr="002558DE">
        <w:rPr>
          <w:color w:val="767171" w:themeColor="background2" w:themeShade="80"/>
          <w:sz w:val="19"/>
          <w:szCs w:val="19"/>
        </w:rPr>
        <w:t>]</w:t>
      </w:r>
      <w:r w:rsidR="0082528D">
        <w:t>.</w:t>
      </w:r>
    </w:p>
    <w:p w14:paraId="4E3E96F6" w14:textId="77777777" w:rsidR="00354426" w:rsidRPr="00354426" w:rsidRDefault="00354426" w:rsidP="00354426">
      <w:pPr>
        <w:pStyle w:val="Nivel5"/>
        <w:keepNext/>
        <w:ind w:left="1871"/>
      </w:pPr>
      <w:r>
        <w:t xml:space="preserve">A su vez, para medir </w:t>
      </w:r>
      <m:oMath>
        <m:sSub>
          <m:sSubPr>
            <m:ctrlPr>
              <w:rPr>
                <w:rFonts w:ascii="Cambria Math" w:hAnsi="Cambria Math"/>
                <w:i/>
                <w:iCs/>
              </w:rPr>
            </m:ctrlPr>
          </m:sSubPr>
          <m:e>
            <m:r>
              <m:rPr>
                <m:nor/>
              </m:rPr>
              <w:rPr>
                <w:i/>
                <w:iCs/>
              </w:rPr>
              <m:t>μ</m:t>
            </m:r>
          </m:e>
          <m:sub>
            <m:r>
              <m:rPr>
                <m:nor/>
              </m:rPr>
              <w:rPr>
                <w:i/>
                <w:iCs/>
              </w:rPr>
              <m:t>NAWRU</m:t>
            </m:r>
          </m:sub>
        </m:sSub>
      </m:oMath>
      <w:r>
        <w:rPr>
          <w:rFonts w:eastAsiaTheme="minorEastAsia"/>
          <w:iCs/>
        </w:rPr>
        <w:t>, la Comisión Europea:</w:t>
      </w:r>
    </w:p>
    <w:p w14:paraId="342BE074" w14:textId="0658A20E" w:rsidR="00354426" w:rsidRDefault="00354426" w:rsidP="00354426">
      <w:pPr>
        <w:pStyle w:val="Nivel6"/>
        <w:ind w:left="2212"/>
      </w:pPr>
      <w:r>
        <w:t xml:space="preserve">Emplea una </w:t>
      </w:r>
      <w:r w:rsidRPr="00354426">
        <w:rPr>
          <w:i/>
          <w:iCs/>
        </w:rPr>
        <w:t>curva de Phillips</w:t>
      </w:r>
      <w:r>
        <w:t>.</w:t>
      </w:r>
    </w:p>
    <w:p w14:paraId="398DFD67" w14:textId="1989EA30" w:rsidR="00354426" w:rsidRDefault="00354426" w:rsidP="00354426">
      <w:pPr>
        <w:pStyle w:val="Nivel6"/>
        <w:ind w:left="2212"/>
      </w:pPr>
      <w:r>
        <w:t xml:space="preserve">Busca una </w:t>
      </w:r>
      <w:r w:rsidRPr="00354426">
        <w:rPr>
          <w:i/>
          <w:iCs/>
        </w:rPr>
        <w:t>especificación econométrica</w:t>
      </w:r>
      <w:r>
        <w:t xml:space="preserve"> que regresa la inflación salarial (definida como la variación periodo sobre periodo de los CLU) sobre (</w:t>
      </w:r>
      <w:r>
        <w:rPr>
          <w:i/>
        </w:rPr>
        <w:t>i</w:t>
      </w:r>
      <w:r>
        <w:t xml:space="preserve">) el componente cíclico de la tasa de desempleo (a veces con </w:t>
      </w:r>
      <w:proofErr w:type="spellStart"/>
      <w:r>
        <w:t>lags</w:t>
      </w:r>
      <w:proofErr w:type="spellEnd"/>
      <w:r>
        <w:t>) y (</w:t>
      </w:r>
      <w:proofErr w:type="spellStart"/>
      <w:r>
        <w:rPr>
          <w:i/>
        </w:rPr>
        <w:t>ii</w:t>
      </w:r>
      <w:proofErr w:type="spellEnd"/>
      <w:r>
        <w:t>) un vector de variables exógenas que actúan como factores de control para identificar desde un punto de vista estadístico la relación entre inflación salarial y desempleo cíclico. Las variables exógenas son específicas de cada país y para el caso de España son: el nivel de productividad del trabajo y su variación, el nivel de la relación real de intercambio y su variación y el nivel de participación de las rentas salariales en la renta nacional.</w:t>
      </w:r>
    </w:p>
    <w:p w14:paraId="70139768" w14:textId="656A0535" w:rsidR="00354426" w:rsidRDefault="00354426" w:rsidP="00354426">
      <w:pPr>
        <w:pStyle w:val="Nivel6"/>
        <w:ind w:left="2212"/>
      </w:pPr>
      <w:r>
        <w:t>El modelo se completa especificando la dinámica de la tasa de desempleo, tanto de su componente estructural como del cíclico. Para ello, se supone un modelo cuyo componente estructural es un paseo aleatorio. Este componente estructural o permanente del desempleo es el que se aplica para calcular el empleo potencial de la economía.</w:t>
      </w:r>
    </w:p>
    <w:p w14:paraId="4049A9AE" w14:textId="4FCC57AE" w:rsidR="0082528D" w:rsidRPr="002536A4" w:rsidRDefault="0082528D" w:rsidP="00C53705">
      <w:pPr>
        <w:pStyle w:val="Nivel3SM"/>
        <w:keepNext/>
      </w:pPr>
      <w:r w:rsidRPr="0082528D">
        <w:t xml:space="preserve">Una vez obtenidos los diferentes componentes en términos potenciales, se calcula el </w:t>
      </w:r>
      <w:r w:rsidRPr="00CF2C19">
        <w:rPr>
          <w:b/>
          <w:bCs/>
        </w:rPr>
        <w:t>PIB potencial</w:t>
      </w:r>
      <w:r w:rsidRPr="0082528D">
        <w:t>:</w:t>
      </w:r>
    </w:p>
    <w:p w14:paraId="319F9289" w14:textId="5A8963FD" w:rsidR="00366546" w:rsidRPr="002A21AA" w:rsidRDefault="00000000" w:rsidP="005D7F70">
      <w:pPr>
        <w:spacing w:after="0"/>
        <w:jc w:val="center"/>
        <w:rPr>
          <w:rFonts w:eastAsiaTheme="minorEastAsia"/>
          <w:iCs/>
          <w:lang w:val="en-US"/>
        </w:rPr>
      </w:pPr>
      <m:oMathPara>
        <m:oMath>
          <m:sSub>
            <m:sSubPr>
              <m:ctrlPr>
                <w:rPr>
                  <w:rFonts w:ascii="Cambria Math" w:hAnsi="Cambria Math"/>
                  <w:i/>
                  <w:iCs/>
                </w:rPr>
              </m:ctrlPr>
            </m:sSubPr>
            <m:e>
              <m:r>
                <m:rPr>
                  <m:nor/>
                </m:rPr>
                <w:rPr>
                  <w:i/>
                  <w:iCs/>
                  <w:lang w:val="en-US"/>
                </w:rPr>
                <m:t>PIB</m:t>
              </m:r>
            </m:e>
            <m:sub>
              <m:r>
                <m:rPr>
                  <m:nor/>
                </m:rPr>
                <w:rPr>
                  <w:i/>
                  <w:iCs/>
                  <w:lang w:val="en-US"/>
                </w:rPr>
                <m:t>pot</m:t>
              </m:r>
            </m:sub>
          </m:sSub>
          <m:r>
            <w:rPr>
              <w:rFonts w:ascii="Cambria Math"/>
              <w:lang w:val="en-US"/>
            </w:rPr>
            <m:t>=</m:t>
          </m:r>
          <m:sSub>
            <m:sSubPr>
              <m:ctrlPr>
                <w:rPr>
                  <w:rFonts w:ascii="Cambria Math" w:hAnsi="Cambria Math"/>
                  <w:i/>
                  <w:iCs/>
                </w:rPr>
              </m:ctrlPr>
            </m:sSubPr>
            <m:e>
              <m:r>
                <m:rPr>
                  <m:nor/>
                </m:rPr>
                <w:rPr>
                  <w:i/>
                  <w:iCs/>
                  <w:lang w:val="en-US"/>
                </w:rPr>
                <m:t>PTF</m:t>
              </m:r>
            </m:e>
            <m:sub>
              <m:r>
                <m:rPr>
                  <m:nor/>
                </m:rPr>
                <w:rPr>
                  <w:i/>
                  <w:iCs/>
                  <w:lang w:val="en-US"/>
                </w:rPr>
                <m:t>pot</m:t>
              </m:r>
            </m:sub>
          </m:sSub>
          <m:r>
            <w:rPr>
              <w:rFonts w:ascii="Cambria Math" w:hAnsi="Cambria Math" w:cs="Cambria Math"/>
              <w:lang w:val="en-US"/>
            </w:rPr>
            <m:t>⋅</m:t>
          </m:r>
          <m:sSup>
            <m:sSupPr>
              <m:ctrlPr>
                <w:rPr>
                  <w:rFonts w:ascii="Cambria Math" w:hAnsi="Cambria Math"/>
                  <w:i/>
                  <w:iCs/>
                </w:rPr>
              </m:ctrlPr>
            </m:sSupPr>
            <m:e>
              <m:sSub>
                <m:sSubPr>
                  <m:ctrlPr>
                    <w:rPr>
                      <w:rFonts w:ascii="Cambria Math" w:hAnsi="Cambria Math"/>
                      <w:i/>
                      <w:iCs/>
                    </w:rPr>
                  </m:ctrlPr>
                </m:sSubPr>
                <m:e>
                  <m:r>
                    <m:rPr>
                      <m:nor/>
                    </m:rPr>
                    <w:rPr>
                      <w:i/>
                      <w:iCs/>
                      <w:lang w:val="en-US"/>
                    </w:rPr>
                    <m:t>K</m:t>
                  </m:r>
                </m:e>
                <m:sub>
                  <m:r>
                    <m:rPr>
                      <m:nor/>
                    </m:rPr>
                    <w:rPr>
                      <w:i/>
                      <w:iCs/>
                      <w:lang w:val="en-US"/>
                    </w:rPr>
                    <m:t>pot</m:t>
                  </m:r>
                </m:sub>
              </m:sSub>
            </m:e>
            <m:sup>
              <m:r>
                <m:rPr>
                  <m:nor/>
                </m:rPr>
                <w:rPr>
                  <w:i/>
                  <w:iCs/>
                  <w:lang w:val="en-US"/>
                </w:rPr>
                <m:t>0,35</m:t>
              </m:r>
            </m:sup>
          </m:sSup>
          <m:r>
            <w:rPr>
              <w:rFonts w:ascii="Cambria Math" w:hAnsi="Cambria Math" w:cs="Cambria Math"/>
              <w:lang w:val="en-US"/>
            </w:rPr>
            <m:t>⋅</m:t>
          </m:r>
          <m:sSup>
            <m:sSupPr>
              <m:ctrlPr>
                <w:rPr>
                  <w:rFonts w:ascii="Cambria Math" w:hAnsi="Cambria Math"/>
                  <w:i/>
                  <w:iCs/>
                </w:rPr>
              </m:ctrlPr>
            </m:sSupPr>
            <m:e>
              <m:sSub>
                <m:sSubPr>
                  <m:ctrlPr>
                    <w:rPr>
                      <w:rFonts w:ascii="Cambria Math" w:hAnsi="Cambria Math"/>
                      <w:i/>
                      <w:iCs/>
                    </w:rPr>
                  </m:ctrlPr>
                </m:sSubPr>
                <m:e>
                  <m:r>
                    <m:rPr>
                      <m:nor/>
                    </m:rPr>
                    <w:rPr>
                      <w:i/>
                      <w:iCs/>
                      <w:lang w:val="en-US"/>
                    </w:rPr>
                    <m:t>L</m:t>
                  </m:r>
                </m:e>
                <m:sub>
                  <m:r>
                    <m:rPr>
                      <m:nor/>
                    </m:rPr>
                    <w:rPr>
                      <w:i/>
                      <w:iCs/>
                      <w:lang w:val="en-US"/>
                    </w:rPr>
                    <m:t>pot</m:t>
                  </m:r>
                </m:sub>
              </m:sSub>
            </m:e>
            <m:sup>
              <m:r>
                <m:rPr>
                  <m:nor/>
                </m:rPr>
                <w:rPr>
                  <w:i/>
                  <w:iCs/>
                  <w:lang w:val="en-US"/>
                </w:rPr>
                <m:t>0,65</m:t>
              </m:r>
            </m:sup>
          </m:sSup>
        </m:oMath>
      </m:oMathPara>
    </w:p>
    <w:p w14:paraId="3F465280" w14:textId="643FCD7D" w:rsidR="00537B44" w:rsidRDefault="00537B44" w:rsidP="00537B44">
      <w:pPr>
        <w:pStyle w:val="Nivel2SM"/>
        <w:keepNext/>
        <w:spacing w:after="0"/>
      </w:pPr>
      <w:r w:rsidRPr="00537B44">
        <w:t>A partir del PIB p</w:t>
      </w:r>
      <w:r>
        <w:t>otencial obtenemos el Output Gap:</w:t>
      </w:r>
    </w:p>
    <w:p w14:paraId="6AF5F52D" w14:textId="36831856" w:rsidR="00537B44" w:rsidRPr="00537B44" w:rsidRDefault="00537B44" w:rsidP="00537B44">
      <w:pPr>
        <w:pStyle w:val="Nivel2SM"/>
        <w:numPr>
          <w:ilvl w:val="0"/>
          <w:numId w:val="0"/>
        </w:numPr>
        <w:ind w:left="567"/>
      </w:pPr>
      <m:oMathPara>
        <m:oMath>
          <m:r>
            <m:rPr>
              <m:nor/>
            </m:rPr>
            <w:rPr>
              <w:i/>
              <w:iCs/>
            </w:rPr>
            <m:t>OG</m:t>
          </m:r>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PIB</m:t>
                  </m:r>
                </m:e>
                <m:sub>
                  <m:r>
                    <m:rPr>
                      <m:nor/>
                    </m:rPr>
                    <w:rPr>
                      <w:i/>
                      <w:iCs/>
                    </w:rPr>
                    <m:t>observado</m:t>
                  </m:r>
                </m:sub>
              </m:sSub>
              <m:r>
                <w:rPr>
                  <w:rFonts w:ascii="Cambria Math" w:hAnsi="Cambria Math"/>
                </w:rPr>
                <m:t>-</m:t>
              </m:r>
              <m:sSub>
                <m:sSubPr>
                  <m:ctrlPr>
                    <w:rPr>
                      <w:rFonts w:ascii="Cambria Math" w:hAnsi="Cambria Math"/>
                      <w:i/>
                      <w:iCs/>
                    </w:rPr>
                  </m:ctrlPr>
                </m:sSubPr>
                <m:e>
                  <m:r>
                    <m:rPr>
                      <m:nor/>
                    </m:rPr>
                    <w:rPr>
                      <w:i/>
                      <w:iCs/>
                    </w:rPr>
                    <m:t>PIB</m:t>
                  </m:r>
                </m:e>
                <m:sub>
                  <m:r>
                    <m:rPr>
                      <m:nor/>
                    </m:rPr>
                    <w:rPr>
                      <w:i/>
                      <w:iCs/>
                    </w:rPr>
                    <m:t>potencial</m:t>
                  </m:r>
                </m:sub>
              </m:sSub>
            </m:num>
            <m:den>
              <m:sSub>
                <m:sSubPr>
                  <m:ctrlPr>
                    <w:rPr>
                      <w:rFonts w:ascii="Cambria Math" w:hAnsi="Cambria Math"/>
                      <w:i/>
                      <w:iCs/>
                    </w:rPr>
                  </m:ctrlPr>
                </m:sSubPr>
                <m:e>
                  <m:r>
                    <m:rPr>
                      <m:nor/>
                    </m:rPr>
                    <w:rPr>
                      <w:i/>
                      <w:iCs/>
                    </w:rPr>
                    <m:t>PIB</m:t>
                  </m:r>
                </m:e>
                <m:sub>
                  <m:r>
                    <m:rPr>
                      <m:nor/>
                    </m:rPr>
                    <w:rPr>
                      <w:i/>
                      <w:iCs/>
                    </w:rPr>
                    <m:t>potencial</m:t>
                  </m:r>
                </m:sub>
              </m:sSub>
            </m:den>
          </m:f>
        </m:oMath>
      </m:oMathPara>
    </w:p>
    <w:p w14:paraId="1A70F75E" w14:textId="150FB2B3" w:rsidR="00366546" w:rsidRPr="00366546" w:rsidRDefault="00A648E4" w:rsidP="002536A4">
      <w:pPr>
        <w:pStyle w:val="Ttulo6"/>
      </w:pPr>
      <w:bookmarkStart w:id="125" w:name="_Toc151221269"/>
      <w:r w:rsidRPr="00A648E4">
        <w:t>2ª</w:t>
      </w:r>
      <w:r>
        <w:t> </w:t>
      </w:r>
      <w:r w:rsidR="00366546" w:rsidRPr="00A648E4">
        <w:t>fase</w:t>
      </w:r>
      <w:r w:rsidR="00366546" w:rsidRPr="00366546">
        <w:t xml:space="preserve">: </w:t>
      </w:r>
      <w:r w:rsidR="00132A10">
        <w:t>Estimación del saldo cíclico</w:t>
      </w:r>
      <w:bookmarkEnd w:id="125"/>
    </w:p>
    <w:p w14:paraId="7ACE9A80" w14:textId="607CBFBB" w:rsidR="00366546" w:rsidRDefault="00366546" w:rsidP="00BD6B5E">
      <w:pPr>
        <w:pStyle w:val="Nivel2SM"/>
        <w:keepNext/>
        <w:spacing w:after="0"/>
      </w:pPr>
      <w:r>
        <w:t xml:space="preserve">Para la estimación del saldo cíclico tendremos que estimar </w:t>
      </w:r>
      <w:r w:rsidR="00132A10">
        <w:t>los ingresos y los gastos cíclicos.</w:t>
      </w:r>
    </w:p>
    <w:p w14:paraId="159596BA" w14:textId="5F9D92E3" w:rsidR="005656D1" w:rsidRPr="00335E2D" w:rsidRDefault="005656D1" w:rsidP="00335E2D">
      <w:pPr>
        <w:pStyle w:val="Nivel3SM"/>
        <w:keepNext/>
        <w:rPr>
          <w:u w:val="single"/>
        </w:rPr>
      </w:pPr>
      <w:r w:rsidRPr="00537B44">
        <w:rPr>
          <w:i/>
          <w:iCs/>
          <w:u w:val="single"/>
        </w:rPr>
        <w:t>Ingresos cíclicos</w:t>
      </w:r>
      <w:r w:rsidR="00B02923">
        <w:t>:</w:t>
      </w:r>
    </w:p>
    <w:p w14:paraId="4A4D70DA" w14:textId="77773036" w:rsidR="005656D1" w:rsidRPr="008D0215" w:rsidRDefault="00000000" w:rsidP="00335E2D">
      <w:pPr>
        <w:spacing w:after="0"/>
        <w:ind w:left="1080"/>
        <w:jc w:val="center"/>
        <w:rPr>
          <w:lang w:val="fr-FR"/>
        </w:rPr>
      </w:pPr>
      <m:oMathPara>
        <m:oMath>
          <m:sSub>
            <m:sSubPr>
              <m:ctrlPr>
                <w:rPr>
                  <w:rFonts w:ascii="Cambria Math" w:hAnsi="Cambria Math"/>
                  <w:i/>
                  <w:iCs/>
                </w:rPr>
              </m:ctrlPr>
            </m:sSubPr>
            <m:e>
              <m:r>
                <m:rPr>
                  <m:nor/>
                </m:rPr>
                <w:rPr>
                  <w:i/>
                  <w:iCs/>
                  <w:lang w:val="fr-FR"/>
                </w:rPr>
                <m:t>IC</m:t>
              </m:r>
            </m:e>
            <m:sub>
              <m:r>
                <m:rPr>
                  <m:nor/>
                </m:rPr>
                <w:rPr>
                  <w:i/>
                  <w:iCs/>
                  <w:lang w:val="fr-FR"/>
                </w:rPr>
                <m:t>t</m:t>
              </m:r>
            </m:sub>
          </m:sSub>
          <m:r>
            <w:rPr>
              <w:rFonts w:ascii="Cambria Math" w:hAnsi="Cambria Math"/>
              <w:lang w:val="fr-FR"/>
            </w:rPr>
            <m:t>=</m:t>
          </m:r>
          <m:nary>
            <m:naryPr>
              <m:chr m:val="∑"/>
              <m:limLoc m:val="undOvr"/>
              <m:supHide m:val="1"/>
              <m:ctrlPr>
                <w:rPr>
                  <w:rFonts w:ascii="Cambria Math" w:hAnsi="Cambria Math"/>
                  <w:i/>
                  <w:lang w:val="fr-FR"/>
                </w:rPr>
              </m:ctrlPr>
            </m:naryPr>
            <m:sub>
              <m:r>
                <m:rPr>
                  <m:nor/>
                </m:rPr>
                <w:rPr>
                  <w:i/>
                  <w:iCs/>
                  <w:lang w:val="fr-FR"/>
                </w:rPr>
                <m:t>i</m:t>
              </m:r>
            </m:sub>
            <m:sup/>
            <m:e>
              <w:bookmarkStart w:id="126" w:name="_Hlk155885425"/>
              <m:sSub>
                <m:sSubPr>
                  <m:ctrlPr>
                    <w:rPr>
                      <w:rFonts w:ascii="Cambria Math" w:hAnsi="Cambria Math"/>
                      <w:i/>
                      <w:iCs/>
                    </w:rPr>
                  </m:ctrlPr>
                </m:sSubPr>
                <m:e>
                  <m:r>
                    <m:rPr>
                      <m:nor/>
                    </m:rPr>
                    <w:rPr>
                      <w:i/>
                      <w:iCs/>
                      <w:lang w:val="fr-FR"/>
                    </w:rPr>
                    <m:t>T</m:t>
                  </m:r>
                </m:e>
                <m:sub>
                  <m:r>
                    <m:rPr>
                      <m:nor/>
                    </m:rPr>
                    <w:rPr>
                      <w:i/>
                      <w:iCs/>
                      <w:lang w:val="fr-FR"/>
                    </w:rPr>
                    <m:t>i,t</m:t>
                  </m:r>
                </m:sub>
              </m:sSub>
              <w:bookmarkEnd w:id="126"/>
              <m:r>
                <w:rPr>
                  <w:rFonts w:ascii="Cambria Math" w:hAnsi="Cambria Math"/>
                  <w:lang w:val="fr-FR"/>
                </w:rPr>
                <m:t>∙</m:t>
              </m:r>
              <m:sSub>
                <m:sSubPr>
                  <m:ctrlPr>
                    <w:rPr>
                      <w:rFonts w:ascii="Cambria Math" w:hAnsi="Cambria Math"/>
                      <w:i/>
                      <w:iCs/>
                    </w:rPr>
                  </m:ctrlPr>
                </m:sSubPr>
                <m:e>
                  <m:r>
                    <m:rPr>
                      <m:nor/>
                    </m:rPr>
                    <w:rPr>
                      <w:i/>
                      <w:lang w:val="fr-FR"/>
                    </w:rPr>
                    <m:t>ε</m:t>
                  </m:r>
                </m:e>
                <m:sub>
                  <m:r>
                    <m:rPr>
                      <m:nor/>
                    </m:rPr>
                    <w:rPr>
                      <w:i/>
                      <w:iCs/>
                      <w:lang w:val="fr-FR"/>
                    </w:rPr>
                    <m:t>i</m:t>
                  </m:r>
                </m:sub>
              </m:sSub>
              <m:r>
                <w:rPr>
                  <w:rFonts w:ascii="Cambria Math" w:hAnsi="Cambria Math"/>
                  <w:lang w:val="fr-FR"/>
                </w:rPr>
                <m:t>∙</m:t>
              </m:r>
              <m:sSub>
                <m:sSubPr>
                  <m:ctrlPr>
                    <w:rPr>
                      <w:rFonts w:ascii="Cambria Math" w:hAnsi="Cambria Math"/>
                      <w:i/>
                      <w:iCs/>
                    </w:rPr>
                  </m:ctrlPr>
                </m:sSubPr>
                <m:e>
                  <m:r>
                    <m:rPr>
                      <m:nor/>
                    </m:rPr>
                    <w:rPr>
                      <w:i/>
                      <w:iCs/>
                      <w:lang w:val="fr-FR"/>
                    </w:rPr>
                    <m:t>OG</m:t>
                  </m:r>
                </m:e>
                <m:sub>
                  <m:r>
                    <m:rPr>
                      <m:nor/>
                    </m:rPr>
                    <w:rPr>
                      <w:i/>
                      <w:iCs/>
                      <w:lang w:val="fr-FR"/>
                    </w:rPr>
                    <m:t>t</m:t>
                  </m:r>
                </m:sub>
              </m:sSub>
            </m:e>
          </m:nary>
        </m:oMath>
      </m:oMathPara>
    </w:p>
    <w:p w14:paraId="17EF2E38" w14:textId="11EFA8A5" w:rsidR="001C6C0A" w:rsidRDefault="00000000" w:rsidP="00335E2D">
      <w:pPr>
        <w:pStyle w:val="Nivel4"/>
        <w:ind w:left="1474"/>
      </w:pPr>
      <m:oMath>
        <m:sSub>
          <m:sSubPr>
            <m:ctrlPr>
              <w:rPr>
                <w:rFonts w:ascii="Cambria Math" w:hAnsi="Cambria Math"/>
                <w:i/>
                <w:iCs/>
              </w:rPr>
            </m:ctrlPr>
          </m:sSubPr>
          <m:e>
            <m:r>
              <m:rPr>
                <m:nor/>
              </m:rPr>
              <w:rPr>
                <w:i/>
                <w:iCs/>
              </w:rPr>
              <m:t>T</m:t>
            </m:r>
          </m:e>
          <m:sub>
            <m:r>
              <m:rPr>
                <m:nor/>
              </m:rPr>
              <w:rPr>
                <w:i/>
                <w:iCs/>
              </w:rPr>
              <m:t>i,t</m:t>
            </m:r>
          </m:sub>
        </m:sSub>
      </m:oMath>
      <w:r w:rsidR="005656D1" w:rsidRPr="005656D1">
        <w:t xml:space="preserve"> representa el </w:t>
      </w:r>
      <w:bookmarkStart w:id="127" w:name="_Hlk155885443"/>
      <w:r w:rsidR="005656D1" w:rsidRPr="005656D1">
        <w:t xml:space="preserve">porcentaje de peso en el PIB nominal de cada uno de los </w:t>
      </w:r>
      <w:r w:rsidR="00354426">
        <w:t>4 </w:t>
      </w:r>
      <w:r w:rsidR="005656D1" w:rsidRPr="005656D1">
        <w:t xml:space="preserve">ingresos impositivos </w:t>
      </w:r>
      <w:r w:rsidR="001C6C0A">
        <w:t xml:space="preserve">(IRPF, IS, indirectos y cotizaciones sociales) </w:t>
      </w:r>
      <w:r w:rsidR="005656D1" w:rsidRPr="005656D1">
        <w:t>del año</w:t>
      </w:r>
      <w:r w:rsidR="00335E2D">
        <w:t> </w:t>
      </w:r>
      <w:r w:rsidR="005656D1" w:rsidRPr="00335E2D">
        <w:rPr>
          <w:i/>
          <w:iCs/>
        </w:rPr>
        <w:t>t</w:t>
      </w:r>
      <w:r w:rsidR="00132A10">
        <w:t>.</w:t>
      </w:r>
    </w:p>
    <w:p w14:paraId="4DCCD7B6" w14:textId="2D9987C9" w:rsidR="001C6C0A" w:rsidRDefault="00000000" w:rsidP="00335E2D">
      <w:pPr>
        <w:pStyle w:val="Nivel4"/>
        <w:ind w:left="1474"/>
      </w:pPr>
      <m:oMath>
        <m:sSub>
          <m:sSubPr>
            <m:ctrlPr>
              <w:rPr>
                <w:rFonts w:ascii="Cambria Math" w:hAnsi="Cambria Math"/>
                <w:i/>
                <w:iCs/>
              </w:rPr>
            </m:ctrlPr>
          </m:sSubPr>
          <m:e>
            <m:r>
              <m:rPr>
                <m:nor/>
              </m:rPr>
              <w:rPr>
                <w:i/>
                <w:lang w:val="fr-FR"/>
              </w:rPr>
              <m:t>ε</m:t>
            </m:r>
          </m:e>
          <m:sub>
            <m:r>
              <m:rPr>
                <m:nor/>
              </m:rPr>
              <w:rPr>
                <w:i/>
                <w:iCs/>
              </w:rPr>
              <m:t>i</m:t>
            </m:r>
          </m:sub>
        </m:sSub>
      </m:oMath>
      <w:r w:rsidR="005656D1" w:rsidRPr="005656D1">
        <w:t xml:space="preserve"> es la elasticidad de cada tipo de impuesto respecto a la brecha de producción</w:t>
      </w:r>
      <w:r w:rsidR="001231CE">
        <w:t>.</w:t>
      </w:r>
    </w:p>
    <w:bookmarkEnd w:id="127"/>
    <w:p w14:paraId="467C31E4" w14:textId="6FF29AEF" w:rsidR="005656D1" w:rsidRPr="005656D1" w:rsidRDefault="00000000" w:rsidP="00335E2D">
      <w:pPr>
        <w:pStyle w:val="Nivel4"/>
        <w:ind w:left="1474"/>
      </w:pPr>
      <m:oMath>
        <m:sSub>
          <m:sSubPr>
            <m:ctrlPr>
              <w:rPr>
                <w:rFonts w:ascii="Cambria Math" w:hAnsi="Cambria Math"/>
                <w:i/>
                <w:iCs/>
              </w:rPr>
            </m:ctrlPr>
          </m:sSubPr>
          <m:e>
            <m:r>
              <m:rPr>
                <m:nor/>
              </m:rPr>
              <w:rPr>
                <w:i/>
                <w:iCs/>
              </w:rPr>
              <m:t>OG</m:t>
            </m:r>
          </m:e>
          <m:sub>
            <m:r>
              <m:rPr>
                <m:nor/>
              </m:rPr>
              <w:rPr>
                <w:i/>
                <w:iCs/>
              </w:rPr>
              <m:t>t</m:t>
            </m:r>
          </m:sub>
        </m:sSub>
      </m:oMath>
      <w:r w:rsidR="005656D1" w:rsidRPr="005656D1">
        <w:t xml:space="preserve"> es </w:t>
      </w:r>
      <w:r w:rsidR="00132A10">
        <w:t xml:space="preserve">el </w:t>
      </w:r>
      <w:r w:rsidR="005656D1" w:rsidRPr="005656D1">
        <w:t>output gap del año</w:t>
      </w:r>
      <w:r w:rsidR="00335E2D">
        <w:t> </w:t>
      </w:r>
      <w:r w:rsidR="005656D1" w:rsidRPr="00335E2D">
        <w:rPr>
          <w:i/>
          <w:iCs/>
        </w:rPr>
        <w:t>t</w:t>
      </w:r>
      <w:r w:rsidR="005656D1" w:rsidRPr="005656D1">
        <w:t>.</w:t>
      </w:r>
    </w:p>
    <w:p w14:paraId="2592CA53" w14:textId="3B18FA5D" w:rsidR="00366546" w:rsidRPr="008D0215" w:rsidRDefault="001C6C0A" w:rsidP="00335E2D">
      <w:pPr>
        <w:pStyle w:val="Nivel3SM"/>
        <w:keepNext/>
        <w:rPr>
          <w:u w:val="single"/>
        </w:rPr>
      </w:pPr>
      <w:r w:rsidRPr="00537B44">
        <w:rPr>
          <w:i/>
          <w:iCs/>
          <w:u w:val="single"/>
        </w:rPr>
        <w:t>Gastos cíclicos</w:t>
      </w:r>
      <w:r w:rsidR="00B02923">
        <w:t>:</w:t>
      </w:r>
    </w:p>
    <w:p w14:paraId="00D28F90" w14:textId="17011E92" w:rsidR="008D0215" w:rsidRPr="008D0215" w:rsidRDefault="00000000" w:rsidP="0067325E">
      <w:pPr>
        <w:pStyle w:val="Nivel3SM"/>
        <w:keepNext/>
        <w:numPr>
          <w:ilvl w:val="0"/>
          <w:numId w:val="0"/>
        </w:numPr>
        <w:ind w:left="964"/>
        <w:rPr>
          <w:u w:val="single"/>
          <w:lang w:val="fr-FR"/>
        </w:rPr>
      </w:pPr>
      <m:oMathPara>
        <m:oMath>
          <m:sSub>
            <m:sSubPr>
              <m:ctrlPr>
                <w:rPr>
                  <w:rFonts w:ascii="Cambria Math" w:hAnsi="Cambria Math"/>
                  <w:i/>
                  <w:iCs/>
                </w:rPr>
              </m:ctrlPr>
            </m:sSubPr>
            <m:e>
              <m:r>
                <m:rPr>
                  <m:nor/>
                </m:rPr>
                <w:rPr>
                  <w:i/>
                  <w:iCs/>
                  <w:lang w:val="fr-FR"/>
                </w:rPr>
                <m:t>GC</m:t>
              </m:r>
            </m:e>
            <m:sub>
              <m:r>
                <m:rPr>
                  <m:nor/>
                </m:rPr>
                <w:rPr>
                  <w:i/>
                  <w:iCs/>
                  <w:lang w:val="fr-FR"/>
                </w:rPr>
                <m:t>t</m:t>
              </m:r>
            </m:sub>
          </m:sSub>
          <m:r>
            <w:rPr>
              <w:rFonts w:ascii="Cambria Math" w:hAnsi="Cambria Math"/>
              <w:lang w:val="fr-FR"/>
            </w:rPr>
            <m:t>=</m:t>
          </m:r>
          <m:nary>
            <m:naryPr>
              <m:chr m:val="∑"/>
              <m:limLoc m:val="undOvr"/>
              <m:supHide m:val="1"/>
              <m:ctrlPr>
                <w:rPr>
                  <w:rFonts w:ascii="Cambria Math" w:hAnsi="Cambria Math"/>
                  <w:i/>
                  <w:lang w:val="fr-FR"/>
                </w:rPr>
              </m:ctrlPr>
            </m:naryPr>
            <m:sub>
              <m:r>
                <m:rPr>
                  <m:nor/>
                </m:rPr>
                <w:rPr>
                  <w:i/>
                  <w:iCs/>
                  <w:lang w:val="fr-FR"/>
                </w:rPr>
                <m:t>j</m:t>
              </m:r>
            </m:sub>
            <m:sup/>
            <m:e>
              <m:sSub>
                <m:sSubPr>
                  <m:ctrlPr>
                    <w:rPr>
                      <w:rFonts w:ascii="Cambria Math" w:hAnsi="Cambria Math"/>
                      <w:i/>
                      <w:iCs/>
                    </w:rPr>
                  </m:ctrlPr>
                </m:sSubPr>
                <m:e>
                  <m:r>
                    <m:rPr>
                      <m:nor/>
                    </m:rPr>
                    <w:rPr>
                      <w:i/>
                      <w:iCs/>
                      <w:lang w:val="fr-FR"/>
                    </w:rPr>
                    <m:t>G</m:t>
                  </m:r>
                </m:e>
                <m:sub>
                  <m:r>
                    <m:rPr>
                      <m:nor/>
                    </m:rPr>
                    <w:rPr>
                      <w:i/>
                      <w:iCs/>
                      <w:lang w:val="fr-FR"/>
                    </w:rPr>
                    <m:t>j,t</m:t>
                  </m:r>
                </m:sub>
              </m:sSub>
              <m:r>
                <w:rPr>
                  <w:rFonts w:ascii="Cambria Math" w:hAnsi="Cambria Math"/>
                  <w:lang w:val="fr-FR"/>
                </w:rPr>
                <m:t>∙</m:t>
              </m:r>
              <m:sSub>
                <m:sSubPr>
                  <m:ctrlPr>
                    <w:rPr>
                      <w:rFonts w:ascii="Cambria Math" w:hAnsi="Cambria Math"/>
                      <w:i/>
                      <w:iCs/>
                    </w:rPr>
                  </m:ctrlPr>
                </m:sSubPr>
                <m:e>
                  <m:r>
                    <m:rPr>
                      <m:nor/>
                    </m:rPr>
                    <w:rPr>
                      <w:i/>
                      <w:lang w:val="fr-FR"/>
                    </w:rPr>
                    <m:t>ε</m:t>
                  </m:r>
                </m:e>
                <m:sub>
                  <m:r>
                    <m:rPr>
                      <m:nor/>
                    </m:rPr>
                    <w:rPr>
                      <w:i/>
                      <w:iCs/>
                      <w:lang w:val="fr-FR"/>
                    </w:rPr>
                    <m:t>j</m:t>
                  </m:r>
                </m:sub>
              </m:sSub>
              <m:r>
                <w:rPr>
                  <w:rFonts w:ascii="Cambria Math" w:hAnsi="Cambria Math"/>
                  <w:lang w:val="fr-FR"/>
                </w:rPr>
                <m:t>∙</m:t>
              </m:r>
              <m:sSub>
                <m:sSubPr>
                  <m:ctrlPr>
                    <w:rPr>
                      <w:rFonts w:ascii="Cambria Math" w:hAnsi="Cambria Math"/>
                      <w:i/>
                      <w:iCs/>
                    </w:rPr>
                  </m:ctrlPr>
                </m:sSubPr>
                <m:e>
                  <m:r>
                    <m:rPr>
                      <m:nor/>
                    </m:rPr>
                    <w:rPr>
                      <w:i/>
                      <w:iCs/>
                      <w:lang w:val="fr-FR"/>
                    </w:rPr>
                    <m:t>OG</m:t>
                  </m:r>
                </m:e>
                <m:sub>
                  <m:r>
                    <m:rPr>
                      <m:nor/>
                    </m:rPr>
                    <w:rPr>
                      <w:i/>
                      <w:iCs/>
                      <w:lang w:val="fr-FR"/>
                    </w:rPr>
                    <m:t>t</m:t>
                  </m:r>
                </m:sub>
              </m:sSub>
            </m:e>
          </m:nary>
        </m:oMath>
      </m:oMathPara>
    </w:p>
    <w:bookmarkStart w:id="128" w:name="_Hlk155885458"/>
    <w:p w14:paraId="0B68AB78" w14:textId="71B03E4F" w:rsidR="001C6C0A" w:rsidRDefault="00000000" w:rsidP="00335E2D">
      <w:pPr>
        <w:pStyle w:val="Nivel4"/>
        <w:ind w:left="1474"/>
      </w:pPr>
      <m:oMath>
        <m:sSub>
          <m:sSubPr>
            <m:ctrlPr>
              <w:rPr>
                <w:rFonts w:ascii="Cambria Math" w:hAnsi="Cambria Math"/>
                <w:i/>
                <w:iCs/>
              </w:rPr>
            </m:ctrlPr>
          </m:sSubPr>
          <m:e>
            <m:r>
              <m:rPr>
                <m:nor/>
              </m:rPr>
              <w:rPr>
                <w:i/>
                <w:iCs/>
              </w:rPr>
              <m:t>G</m:t>
            </m:r>
          </m:e>
          <m:sub>
            <m:r>
              <m:rPr>
                <m:nor/>
              </m:rPr>
              <w:rPr>
                <w:i/>
                <w:iCs/>
              </w:rPr>
              <m:t>j,t</m:t>
            </m:r>
          </m:sub>
        </m:sSub>
      </m:oMath>
      <w:r w:rsidR="001C6C0A" w:rsidRPr="001C6C0A">
        <w:t xml:space="preserve"> representa </w:t>
      </w:r>
      <w:r w:rsidR="001C6C0A">
        <w:t>el gasto en desempleo</w:t>
      </w:r>
      <w:r w:rsidR="001C6C0A" w:rsidRPr="001C6C0A">
        <w:t xml:space="preserve"> en porcentaje del PIB</w:t>
      </w:r>
      <w:r w:rsidR="00926202">
        <w:t>.</w:t>
      </w:r>
    </w:p>
    <w:p w14:paraId="4986E1DA" w14:textId="4A5C43AD" w:rsidR="001C6C0A" w:rsidRDefault="00000000" w:rsidP="00335E2D">
      <w:pPr>
        <w:pStyle w:val="Nivel4"/>
        <w:ind w:left="1474"/>
      </w:pPr>
      <m:oMath>
        <m:sSub>
          <m:sSubPr>
            <m:ctrlPr>
              <w:rPr>
                <w:rFonts w:ascii="Cambria Math" w:hAnsi="Cambria Math"/>
                <w:i/>
                <w:iCs/>
              </w:rPr>
            </m:ctrlPr>
          </m:sSubPr>
          <m:e>
            <m:r>
              <m:rPr>
                <m:nor/>
              </m:rPr>
              <w:rPr>
                <w:i/>
                <w:lang w:val="fr-FR"/>
              </w:rPr>
              <m:t>ε</m:t>
            </m:r>
          </m:e>
          <m:sub>
            <m:r>
              <m:rPr>
                <m:nor/>
              </m:rPr>
              <w:rPr>
                <w:i/>
                <w:iCs/>
              </w:rPr>
              <m:t>j</m:t>
            </m:r>
          </m:sub>
        </m:sSub>
      </m:oMath>
      <w:r w:rsidR="001C6C0A" w:rsidRPr="001C6C0A">
        <w:t xml:space="preserve"> es la elasticidad respecto a la brecha de producción</w:t>
      </w:r>
      <w:r w:rsidR="00132A10">
        <w:t>.</w:t>
      </w:r>
    </w:p>
    <w:bookmarkEnd w:id="128"/>
    <w:p w14:paraId="68DAD624" w14:textId="46BD22C8" w:rsidR="00554BBB" w:rsidRDefault="00000000" w:rsidP="00335E2D">
      <w:pPr>
        <w:pStyle w:val="Nivel4"/>
        <w:ind w:left="1474"/>
      </w:pPr>
      <m:oMath>
        <m:sSub>
          <m:sSubPr>
            <m:ctrlPr>
              <w:rPr>
                <w:rFonts w:ascii="Cambria Math" w:hAnsi="Cambria Math"/>
                <w:i/>
                <w:iCs/>
              </w:rPr>
            </m:ctrlPr>
          </m:sSubPr>
          <m:e>
            <m:r>
              <m:rPr>
                <m:nor/>
              </m:rPr>
              <w:rPr>
                <w:i/>
                <w:iCs/>
              </w:rPr>
              <m:t>OG</m:t>
            </m:r>
          </m:e>
          <m:sub>
            <m:r>
              <m:rPr>
                <m:nor/>
              </m:rPr>
              <w:rPr>
                <w:i/>
                <w:iCs/>
              </w:rPr>
              <m:t>t</m:t>
            </m:r>
          </m:sub>
        </m:sSub>
      </m:oMath>
      <w:r w:rsidR="001C6C0A" w:rsidRPr="001C6C0A">
        <w:t xml:space="preserve"> es </w:t>
      </w:r>
      <w:r w:rsidR="00132A10">
        <w:t>el output gap</w:t>
      </w:r>
      <w:r w:rsidR="001C6C0A" w:rsidRPr="001C6C0A">
        <w:t xml:space="preserve"> del año</w:t>
      </w:r>
      <w:r w:rsidR="002536A4">
        <w:t> </w:t>
      </w:r>
      <w:r w:rsidR="001C6C0A" w:rsidRPr="00335E2D">
        <w:rPr>
          <w:i/>
          <w:iCs/>
        </w:rPr>
        <w:t>t</w:t>
      </w:r>
      <w:r w:rsidR="001C6C0A" w:rsidRPr="001C6C0A">
        <w:t>.</w:t>
      </w:r>
    </w:p>
    <w:p w14:paraId="362BF0C8" w14:textId="35156AEC" w:rsidR="005656D1" w:rsidRDefault="005656D1" w:rsidP="00335E2D">
      <w:pPr>
        <w:pStyle w:val="Nivel2SM"/>
        <w:keepNext/>
        <w:spacing w:after="0"/>
      </w:pPr>
      <w:r w:rsidRPr="00354426">
        <w:rPr>
          <w:i/>
          <w:iCs/>
          <w:u w:val="single"/>
        </w:rPr>
        <w:t>Estimación del saldo cíclico</w:t>
      </w:r>
      <w:r w:rsidR="00366546">
        <w:t xml:space="preserve"> </w:t>
      </w:r>
      <w:r w:rsidR="001231CE">
        <w:t>(</w:t>
      </w:r>
      <m:oMath>
        <m:sSub>
          <m:sSubPr>
            <m:ctrlPr>
              <w:rPr>
                <w:rFonts w:ascii="Cambria Math" w:hAnsi="Cambria Math"/>
                <w:i/>
                <w:iCs/>
              </w:rPr>
            </m:ctrlPr>
          </m:sSubPr>
          <m:e>
            <m:r>
              <m:rPr>
                <m:nor/>
              </m:rPr>
              <w:rPr>
                <w:i/>
                <w:iCs/>
              </w:rPr>
              <m:t>BC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DC</m:t>
            </m:r>
          </m:e>
          <m:sub>
            <m:r>
              <m:rPr>
                <m:nor/>
              </m:rPr>
              <w:rPr>
                <w:i/>
                <w:iCs/>
              </w:rPr>
              <m:t>t</m:t>
            </m:r>
          </m:sub>
        </m:sSub>
      </m:oMath>
      <w:r w:rsidR="001231CE">
        <w:t>)</w:t>
      </w:r>
      <w:r w:rsidR="00B02923" w:rsidRPr="00C53705">
        <w:t>:</w:t>
      </w:r>
    </w:p>
    <w:p w14:paraId="136D79CC" w14:textId="4E297445" w:rsidR="008D0215" w:rsidRPr="008D0215" w:rsidRDefault="00000000" w:rsidP="008D0215">
      <w:pPr>
        <w:pStyle w:val="Nivel2SM"/>
        <w:numPr>
          <w:ilvl w:val="0"/>
          <w:numId w:val="0"/>
        </w:numPr>
        <w:spacing w:after="0"/>
        <w:ind w:left="567"/>
        <w:rPr>
          <w:lang w:val="fr-FR"/>
        </w:rPr>
      </w:pPr>
      <m:oMathPara>
        <m:oMath>
          <m:sSub>
            <m:sSubPr>
              <m:ctrlPr>
                <w:rPr>
                  <w:rFonts w:ascii="Cambria Math" w:hAnsi="Cambria Math"/>
                  <w:i/>
                  <w:iCs/>
                </w:rPr>
              </m:ctrlPr>
            </m:sSubPr>
            <m:e>
              <m:r>
                <m:rPr>
                  <m:nor/>
                </m:rPr>
                <w:rPr>
                  <w:i/>
                  <w:iCs/>
                  <w:lang w:val="fr-FR"/>
                </w:rPr>
                <m:t>BC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GC</m:t>
              </m:r>
            </m:e>
            <m:sub>
              <m:r>
                <m:rPr>
                  <m:nor/>
                </m:rPr>
                <w:rPr>
                  <w:i/>
                  <w:iCs/>
                  <w:lang w:val="fr-FR"/>
                </w:rPr>
                <m:t>t</m:t>
              </m:r>
            </m:sub>
          </m:sSub>
          <m:r>
            <w:rPr>
              <w:rFonts w:ascii="Cambria Math" w:hAnsi="Cambria Math"/>
              <w:lang w:val="fr-FR"/>
            </w:rPr>
            <m:t>=</m:t>
          </m:r>
          <w:bookmarkStart w:id="129" w:name="_Hlk155885105"/>
          <m:limLow>
            <m:limLowPr>
              <m:ctrlPr>
                <w:rPr>
                  <w:rFonts w:ascii="Cambria Math" w:hAnsi="Cambria Math"/>
                  <w:i/>
                  <w:lang w:val="fr-FR"/>
                </w:rPr>
              </m:ctrlPr>
            </m:limLowPr>
            <m:e>
              <m:groupChr>
                <m:groupChrPr>
                  <m:ctrlPr>
                    <w:rPr>
                      <w:rFonts w:ascii="Cambria Math" w:hAnsi="Cambria Math"/>
                      <w:i/>
                      <w:lang w:val="fr-FR"/>
                    </w:rPr>
                  </m:ctrlPr>
                </m:groupChrPr>
                <m:e>
                  <m:d>
                    <m:dPr>
                      <m:ctrlPr>
                        <w:rPr>
                          <w:rFonts w:ascii="Cambria Math" w:hAnsi="Cambria Math"/>
                          <w:i/>
                          <w:lang w:val="fr-FR"/>
                        </w:rPr>
                      </m:ctrlPr>
                    </m:dPr>
                    <m:e>
                      <m:nary>
                        <m:naryPr>
                          <m:chr m:val="∑"/>
                          <m:limLoc m:val="undOvr"/>
                          <m:supHide m:val="1"/>
                          <m:ctrlPr>
                            <w:rPr>
                              <w:rFonts w:ascii="Cambria Math" w:hAnsi="Cambria Math"/>
                              <w:i/>
                              <w:lang w:val="fr-FR"/>
                            </w:rPr>
                          </m:ctrlPr>
                        </m:naryPr>
                        <m:sub>
                          <m:r>
                            <m:rPr>
                              <m:nor/>
                            </m:rPr>
                            <w:rPr>
                              <w:i/>
                              <w:iCs/>
                              <w:lang w:val="fr-FR"/>
                            </w:rPr>
                            <m:t>i</m:t>
                          </m:r>
                        </m:sub>
                        <m:sup/>
                        <m:e>
                          <m:sSub>
                            <m:sSubPr>
                              <m:ctrlPr>
                                <w:rPr>
                                  <w:rFonts w:ascii="Cambria Math" w:hAnsi="Cambria Math"/>
                                  <w:i/>
                                  <w:iCs/>
                                </w:rPr>
                              </m:ctrlPr>
                            </m:sSubPr>
                            <m:e>
                              <m:r>
                                <m:rPr>
                                  <m:nor/>
                                </m:rPr>
                                <w:rPr>
                                  <w:i/>
                                  <w:iCs/>
                                  <w:lang w:val="fr-FR"/>
                                </w:rPr>
                                <m:t>T</m:t>
                              </m:r>
                            </m:e>
                            <m:sub>
                              <m:r>
                                <m:rPr>
                                  <m:nor/>
                                </m:rPr>
                                <w:rPr>
                                  <w:i/>
                                  <w:iCs/>
                                  <w:lang w:val="fr-FR"/>
                                </w:rPr>
                                <m:t>i,t</m:t>
                              </m:r>
                            </m:sub>
                          </m:sSub>
                          <m:r>
                            <w:rPr>
                              <w:rFonts w:ascii="Cambria Math" w:hAnsi="Cambria Math"/>
                              <w:lang w:val="fr-FR"/>
                            </w:rPr>
                            <m:t>∙</m:t>
                          </m:r>
                          <m:sSub>
                            <m:sSubPr>
                              <m:ctrlPr>
                                <w:rPr>
                                  <w:rFonts w:ascii="Cambria Math" w:hAnsi="Cambria Math"/>
                                  <w:i/>
                                  <w:iCs/>
                                </w:rPr>
                              </m:ctrlPr>
                            </m:sSubPr>
                            <m:e>
                              <m:r>
                                <m:rPr>
                                  <m:nor/>
                                </m:rPr>
                                <w:rPr>
                                  <w:i/>
                                  <w:lang w:val="fr-FR"/>
                                </w:rPr>
                                <m:t>ε</m:t>
                              </m:r>
                            </m:e>
                            <m:sub>
                              <m:r>
                                <m:rPr>
                                  <m:nor/>
                                </m:rPr>
                                <w:rPr>
                                  <w:i/>
                                  <w:iCs/>
                                  <w:lang w:val="fr-FR"/>
                                </w:rPr>
                                <m:t>i</m:t>
                              </m:r>
                            </m:sub>
                          </m:sSub>
                        </m:e>
                      </m:nary>
                      <m:r>
                        <w:rPr>
                          <w:rFonts w:ascii="Cambria Math" w:hAnsi="Cambria Math"/>
                          <w:lang w:val="fr-FR"/>
                        </w:rPr>
                        <m:t>-</m:t>
                      </m:r>
                      <m:nary>
                        <m:naryPr>
                          <m:chr m:val="∑"/>
                          <m:limLoc m:val="undOvr"/>
                          <m:supHide m:val="1"/>
                          <m:ctrlPr>
                            <w:rPr>
                              <w:rFonts w:ascii="Cambria Math" w:hAnsi="Cambria Math"/>
                              <w:i/>
                              <w:lang w:val="fr-FR"/>
                            </w:rPr>
                          </m:ctrlPr>
                        </m:naryPr>
                        <m:sub>
                          <m:r>
                            <m:rPr>
                              <m:nor/>
                            </m:rPr>
                            <w:rPr>
                              <w:i/>
                              <w:iCs/>
                              <w:lang w:val="fr-FR"/>
                            </w:rPr>
                            <m:t>j</m:t>
                          </m:r>
                        </m:sub>
                        <m:sup/>
                        <m:e>
                          <m:sSub>
                            <m:sSubPr>
                              <m:ctrlPr>
                                <w:rPr>
                                  <w:rFonts w:ascii="Cambria Math" w:hAnsi="Cambria Math"/>
                                  <w:i/>
                                  <w:iCs/>
                                </w:rPr>
                              </m:ctrlPr>
                            </m:sSubPr>
                            <m:e>
                              <m:r>
                                <m:rPr>
                                  <m:nor/>
                                </m:rPr>
                                <w:rPr>
                                  <w:i/>
                                  <w:iCs/>
                                  <w:lang w:val="fr-FR"/>
                                </w:rPr>
                                <m:t>G</m:t>
                              </m:r>
                            </m:e>
                            <m:sub>
                              <m:r>
                                <m:rPr>
                                  <m:nor/>
                                </m:rPr>
                                <w:rPr>
                                  <w:i/>
                                  <w:iCs/>
                                  <w:lang w:val="fr-FR"/>
                                </w:rPr>
                                <m:t>j,t</m:t>
                              </m:r>
                            </m:sub>
                          </m:sSub>
                          <m:r>
                            <w:rPr>
                              <w:rFonts w:ascii="Cambria Math" w:hAnsi="Cambria Math"/>
                              <w:lang w:val="fr-FR"/>
                            </w:rPr>
                            <m:t>∙</m:t>
                          </m:r>
                          <m:sSub>
                            <m:sSubPr>
                              <m:ctrlPr>
                                <w:rPr>
                                  <w:rFonts w:ascii="Cambria Math" w:hAnsi="Cambria Math"/>
                                  <w:i/>
                                  <w:iCs/>
                                </w:rPr>
                              </m:ctrlPr>
                            </m:sSubPr>
                            <m:e>
                              <m:r>
                                <m:rPr>
                                  <m:nor/>
                                </m:rPr>
                                <w:rPr>
                                  <w:i/>
                                  <w:lang w:val="fr-FR"/>
                                </w:rPr>
                                <m:t>ε</m:t>
                              </m:r>
                            </m:e>
                            <m:sub>
                              <m:r>
                                <m:rPr>
                                  <m:nor/>
                                </m:rPr>
                                <w:rPr>
                                  <w:i/>
                                  <w:iCs/>
                                  <w:lang w:val="fr-FR"/>
                                </w:rPr>
                                <m:t>j</m:t>
                              </m:r>
                            </m:sub>
                          </m:sSub>
                        </m:e>
                      </m:nary>
                    </m:e>
                  </m:d>
                </m:e>
              </m:groupChr>
            </m:e>
            <m:lim>
              <m:r>
                <m:rPr>
                  <m:nor/>
                </m:rPr>
                <w:rPr>
                  <w:i/>
                  <w:iCs/>
                  <w:lang w:val="fr-FR"/>
                </w:rPr>
                <m:t>Sensibilidad al ciclo económico (η)</m:t>
              </m:r>
            </m:lim>
          </m:limLow>
          <w:bookmarkEnd w:id="129"/>
          <m:r>
            <w:rPr>
              <w:rFonts w:ascii="Cambria Math" w:hAnsi="Cambria Math"/>
              <w:lang w:val="fr-FR"/>
            </w:rPr>
            <m:t>∙</m:t>
          </m:r>
          <m:sSub>
            <m:sSubPr>
              <m:ctrlPr>
                <w:rPr>
                  <w:rFonts w:ascii="Cambria Math" w:hAnsi="Cambria Math"/>
                  <w:i/>
                  <w:iCs/>
                </w:rPr>
              </m:ctrlPr>
            </m:sSubPr>
            <m:e>
              <m:r>
                <m:rPr>
                  <m:nor/>
                </m:rPr>
                <w:rPr>
                  <w:i/>
                  <w:iCs/>
                  <w:lang w:val="fr-FR"/>
                </w:rPr>
                <m:t>OG</m:t>
              </m:r>
            </m:e>
            <m:sub>
              <m:r>
                <m:rPr>
                  <m:nor/>
                </m:rPr>
                <w:rPr>
                  <w:i/>
                  <w:iCs/>
                  <w:lang w:val="fr-FR"/>
                </w:rPr>
                <m:t>t</m:t>
              </m:r>
            </m:sub>
          </m:sSub>
        </m:oMath>
      </m:oMathPara>
    </w:p>
    <w:p w14:paraId="043C80FA" w14:textId="486037C4" w:rsidR="00D06214" w:rsidRPr="00335E2D" w:rsidRDefault="00D06214" w:rsidP="00335E2D">
      <w:pPr>
        <w:pStyle w:val="Nivel2SM"/>
        <w:keepNext/>
        <w:spacing w:after="0"/>
        <w:rPr>
          <w:u w:val="single"/>
        </w:rPr>
      </w:pPr>
      <w:r w:rsidRPr="00354426">
        <w:rPr>
          <w:i/>
          <w:iCs/>
          <w:u w:val="single"/>
        </w:rPr>
        <w:lastRenderedPageBreak/>
        <w:t>Sensibilidad al ciclo económico</w:t>
      </w:r>
      <w:r w:rsidR="00B02923">
        <w:t>:</w:t>
      </w:r>
    </w:p>
    <w:p w14:paraId="6D62ADB5" w14:textId="2C94788E" w:rsidR="00D06214" w:rsidRDefault="00D06214" w:rsidP="00335E2D">
      <w:pPr>
        <w:pStyle w:val="Nivel3SM"/>
        <w:keepNext/>
      </w:pPr>
      <w:r w:rsidRPr="00D06214">
        <w:t xml:space="preserve">Si se divide el saldo cíclico de la expresión por </w:t>
      </w:r>
      <w:r w:rsidR="00132A10">
        <w:t>el OG</w:t>
      </w:r>
      <w:r w:rsidRPr="00D06214">
        <w:t xml:space="preserve">, se obtiene la llamada </w:t>
      </w:r>
      <w:r w:rsidRPr="00354426">
        <w:rPr>
          <w:i/>
          <w:iCs/>
          <w:u w:val="single"/>
        </w:rPr>
        <w:t>sensibilidad al ciclo económico</w:t>
      </w:r>
      <w:r w:rsidRPr="00D06214">
        <w:t xml:space="preserve"> de las finanzas de la administración pública correspondiente:</w:t>
      </w:r>
    </w:p>
    <w:p w14:paraId="3CCB1E2A" w14:textId="0633D59A" w:rsidR="001231CE" w:rsidRPr="002536A4" w:rsidRDefault="00000000" w:rsidP="00335E2D">
      <w:pPr>
        <w:spacing w:after="0"/>
        <w:ind w:left="720"/>
        <w:jc w:val="center"/>
      </w:pPr>
      <m:oMathPara>
        <m:oMath>
          <m:limLow>
            <m:limLowPr>
              <m:ctrlPr>
                <w:rPr>
                  <w:rFonts w:ascii="Cambria Math" w:hAnsi="Cambria Math"/>
                  <w:i/>
                  <w:lang w:val="fr-FR"/>
                </w:rPr>
              </m:ctrlPr>
            </m:limLowPr>
            <m:e>
              <m:groupChr>
                <m:groupChrPr>
                  <m:ctrlPr>
                    <w:rPr>
                      <w:rFonts w:ascii="Cambria Math" w:hAnsi="Cambria Math"/>
                      <w:i/>
                      <w:lang w:val="fr-FR"/>
                    </w:rPr>
                  </m:ctrlPr>
                </m:groupChrPr>
                <m:e>
                  <m:r>
                    <m:rPr>
                      <m:nor/>
                    </m:rPr>
                    <w:rPr>
                      <w:i/>
                      <w:iCs/>
                      <w:lang w:val="fr-FR"/>
                    </w:rPr>
                    <m:t>η</m:t>
                  </m:r>
                </m:e>
              </m:groupChr>
            </m:e>
            <m:lim>
              <m:r>
                <m:rPr>
                  <m:nor/>
                </m:rPr>
                <w:rPr>
                  <w:i/>
                  <w:iCs/>
                </w:rPr>
                <m:t>Sensibilidad al ciclo económico</m:t>
              </m:r>
            </m:lim>
          </m:limLow>
          <m:r>
            <w:rPr>
              <w:rFonts w:ascii="Cambria Math" w:hAnsi="Cambria Math"/>
            </w:rPr>
            <m:t>=</m:t>
          </m:r>
          <m:d>
            <m:dPr>
              <m:ctrlPr>
                <w:rPr>
                  <w:rFonts w:ascii="Cambria Math" w:hAnsi="Cambria Math"/>
                  <w:i/>
                  <w:lang w:val="fr-FR"/>
                </w:rPr>
              </m:ctrlPr>
            </m:dPr>
            <m:e>
              <m:nary>
                <m:naryPr>
                  <m:chr m:val="∑"/>
                  <m:limLoc m:val="undOvr"/>
                  <m:supHide m:val="1"/>
                  <m:ctrlPr>
                    <w:rPr>
                      <w:rFonts w:ascii="Cambria Math" w:hAnsi="Cambria Math"/>
                      <w:i/>
                      <w:lang w:val="fr-FR"/>
                    </w:rPr>
                  </m:ctrlPr>
                </m:naryPr>
                <m:sub>
                  <m:r>
                    <m:rPr>
                      <m:nor/>
                    </m:rPr>
                    <w:rPr>
                      <w:i/>
                      <w:iCs/>
                    </w:rPr>
                    <m:t>i</m:t>
                  </m:r>
                </m:sub>
                <m:sup/>
                <m:e>
                  <m:sSub>
                    <m:sSubPr>
                      <m:ctrlPr>
                        <w:rPr>
                          <w:rFonts w:ascii="Cambria Math" w:hAnsi="Cambria Math"/>
                          <w:i/>
                          <w:iCs/>
                        </w:rPr>
                      </m:ctrlPr>
                    </m:sSubPr>
                    <m:e>
                      <m:r>
                        <m:rPr>
                          <m:nor/>
                        </m:rPr>
                        <w:rPr>
                          <w:i/>
                          <w:iCs/>
                        </w:rPr>
                        <m:t>T</m:t>
                      </m:r>
                    </m:e>
                    <m:sub>
                      <m:r>
                        <m:rPr>
                          <m:nor/>
                        </m:rPr>
                        <w:rPr>
                          <w:i/>
                          <w:iCs/>
                        </w:rPr>
                        <m:t>i,t</m:t>
                      </m:r>
                    </m:sub>
                  </m:sSub>
                  <m:r>
                    <w:rPr>
                      <w:rFonts w:ascii="Cambria Math" w:hAnsi="Cambria Math"/>
                    </w:rPr>
                    <m:t>∙</m:t>
                  </m:r>
                  <m:sSub>
                    <m:sSubPr>
                      <m:ctrlPr>
                        <w:rPr>
                          <w:rFonts w:ascii="Cambria Math" w:hAnsi="Cambria Math"/>
                          <w:i/>
                          <w:iCs/>
                        </w:rPr>
                      </m:ctrlPr>
                    </m:sSubPr>
                    <m:e>
                      <m:r>
                        <m:rPr>
                          <m:nor/>
                        </m:rPr>
                        <w:rPr>
                          <w:i/>
                          <w:lang w:val="fr-FR"/>
                        </w:rPr>
                        <m:t>ε</m:t>
                      </m:r>
                    </m:e>
                    <m:sub>
                      <m:r>
                        <m:rPr>
                          <m:nor/>
                        </m:rPr>
                        <w:rPr>
                          <w:i/>
                          <w:iCs/>
                        </w:rPr>
                        <m:t>i</m:t>
                      </m:r>
                    </m:sub>
                  </m:sSub>
                </m:e>
              </m:nary>
              <m:r>
                <w:rPr>
                  <w:rFonts w:ascii="Cambria Math" w:hAnsi="Cambria Math"/>
                </w:rPr>
                <m:t>-</m:t>
              </m:r>
              <m:nary>
                <m:naryPr>
                  <m:chr m:val="∑"/>
                  <m:limLoc m:val="undOvr"/>
                  <m:supHide m:val="1"/>
                  <m:ctrlPr>
                    <w:rPr>
                      <w:rFonts w:ascii="Cambria Math" w:hAnsi="Cambria Math"/>
                      <w:i/>
                      <w:lang w:val="fr-FR"/>
                    </w:rPr>
                  </m:ctrlPr>
                </m:naryPr>
                <m:sub>
                  <m:r>
                    <m:rPr>
                      <m:nor/>
                    </m:rPr>
                    <w:rPr>
                      <w:i/>
                      <w:iCs/>
                    </w:rPr>
                    <m:t>j</m:t>
                  </m:r>
                </m:sub>
                <m:sup/>
                <m:e>
                  <m:sSub>
                    <m:sSubPr>
                      <m:ctrlPr>
                        <w:rPr>
                          <w:rFonts w:ascii="Cambria Math" w:hAnsi="Cambria Math"/>
                          <w:i/>
                          <w:iCs/>
                        </w:rPr>
                      </m:ctrlPr>
                    </m:sSubPr>
                    <m:e>
                      <m:r>
                        <m:rPr>
                          <m:nor/>
                        </m:rPr>
                        <w:rPr>
                          <w:i/>
                          <w:iCs/>
                        </w:rPr>
                        <m:t>G</m:t>
                      </m:r>
                    </m:e>
                    <m:sub>
                      <m:r>
                        <m:rPr>
                          <m:nor/>
                        </m:rPr>
                        <w:rPr>
                          <w:i/>
                          <w:iCs/>
                        </w:rPr>
                        <m:t>j,t</m:t>
                      </m:r>
                    </m:sub>
                  </m:sSub>
                  <m:r>
                    <w:rPr>
                      <w:rFonts w:ascii="Cambria Math" w:hAnsi="Cambria Math"/>
                    </w:rPr>
                    <m:t>∙</m:t>
                  </m:r>
                  <m:sSub>
                    <m:sSubPr>
                      <m:ctrlPr>
                        <w:rPr>
                          <w:rFonts w:ascii="Cambria Math" w:hAnsi="Cambria Math"/>
                          <w:i/>
                          <w:iCs/>
                        </w:rPr>
                      </m:ctrlPr>
                    </m:sSubPr>
                    <m:e>
                      <m:r>
                        <m:rPr>
                          <m:nor/>
                        </m:rPr>
                        <w:rPr>
                          <w:i/>
                          <w:lang w:val="fr-FR"/>
                        </w:rPr>
                        <m:t>ε</m:t>
                      </m:r>
                    </m:e>
                    <m:sub>
                      <m:r>
                        <m:rPr>
                          <m:nor/>
                        </m:rPr>
                        <w:rPr>
                          <w:i/>
                          <w:iCs/>
                        </w:rPr>
                        <m:t>j</m:t>
                      </m:r>
                    </m:sub>
                  </m:sSub>
                </m:e>
              </m:nary>
            </m:e>
          </m:d>
        </m:oMath>
      </m:oMathPara>
    </w:p>
    <w:p w14:paraId="57510BFF" w14:textId="77777777" w:rsidR="00D06214" w:rsidRDefault="00D06214" w:rsidP="00335E2D">
      <w:pPr>
        <w:pStyle w:val="Nivel3SM"/>
      </w:pPr>
      <w:r w:rsidRPr="00D06214">
        <w:t>Como la sensibilidad cíclica es un valor aceptablemente estable en el tiempo, mientras la estructura de ingresos y gastos no cambie significativamente, el valor de la sensibilidad estimado en un momento determinado servirá como un parámetro fijo para obtener con suficiente aproximación, multiplicándolo por la brecha de producción de cada año, el saldo cíclico correspondiente.</w:t>
      </w:r>
    </w:p>
    <w:p w14:paraId="5B460E33" w14:textId="772F496B" w:rsidR="00D06214" w:rsidRDefault="00D06214" w:rsidP="00335E2D">
      <w:pPr>
        <w:pStyle w:val="Nivel3SM"/>
        <w:keepNext/>
      </w:pPr>
      <w:r w:rsidRPr="00ED5E05">
        <w:rPr>
          <w:i/>
          <w:iCs/>
          <w:u w:val="single"/>
        </w:rPr>
        <w:t>Sensibilidad para España</w:t>
      </w:r>
      <w:r>
        <w:t>: 0</w:t>
      </w:r>
      <w:r w:rsidR="002536A4">
        <w:t>,</w:t>
      </w:r>
      <w:r w:rsidR="00210A2B">
        <w:t>6 desde 2019</w:t>
      </w:r>
      <w:r w:rsidR="00C048BE">
        <w:t>.</w:t>
      </w:r>
    </w:p>
    <w:p w14:paraId="549CBD85" w14:textId="7232832D" w:rsidR="00D06214" w:rsidRPr="002536A4" w:rsidRDefault="00D06214" w:rsidP="00335E2D">
      <w:pPr>
        <w:pStyle w:val="Nivel4"/>
        <w:ind w:left="1474"/>
      </w:pPr>
      <w:r>
        <w:t>Esto implica que ante un variación del output gap de un 1</w:t>
      </w:r>
      <w:r w:rsidR="00A50667">
        <w:t> %</w:t>
      </w:r>
      <w:r>
        <w:t xml:space="preserve"> el saldo cíclico variará en 0</w:t>
      </w:r>
      <w:r w:rsidR="002536A4">
        <w:t>,</w:t>
      </w:r>
      <w:r w:rsidR="00210A2B">
        <w:t>6</w:t>
      </w:r>
      <w:r w:rsidR="00A50667">
        <w:t> %</w:t>
      </w:r>
      <w:r w:rsidR="002536A4">
        <w:t>.</w:t>
      </w:r>
    </w:p>
    <w:p w14:paraId="0052BA08" w14:textId="1C8218FB" w:rsidR="008E1D6F" w:rsidRPr="002536A4" w:rsidRDefault="00A648E4" w:rsidP="002536A4">
      <w:pPr>
        <w:pStyle w:val="Ttulo6"/>
      </w:pPr>
      <w:bookmarkStart w:id="130" w:name="_Toc151221270"/>
      <w:r>
        <w:t>3ª </w:t>
      </w:r>
      <w:r w:rsidR="00366546" w:rsidRPr="00366546">
        <w:t>fase: Estimación del saldo estructural</w:t>
      </w:r>
      <w:bookmarkEnd w:id="130"/>
    </w:p>
    <w:p w14:paraId="00B76F8B" w14:textId="77777777" w:rsidR="00366546" w:rsidRDefault="00366546" w:rsidP="00BD6B5E">
      <w:pPr>
        <w:pStyle w:val="Nivel2SM"/>
        <w:keepNext/>
        <w:spacing w:after="0"/>
      </w:pPr>
      <w:r w:rsidRPr="00BD6B5E">
        <w:rPr>
          <w:i/>
          <w:iCs/>
          <w:u w:val="single"/>
        </w:rPr>
        <w:t>Saldo cíclicamente ajustado</w:t>
      </w:r>
      <w:r>
        <w:t>:</w:t>
      </w:r>
    </w:p>
    <w:p w14:paraId="406BAB18" w14:textId="22F119B8" w:rsidR="00366546" w:rsidRPr="00366546" w:rsidRDefault="00366546" w:rsidP="00BD6B5E">
      <w:pPr>
        <w:pStyle w:val="Nivel3SM"/>
      </w:pPr>
      <w:r w:rsidRPr="00366546">
        <w:t>Al saldo presupuestario observado le restamos el saldo cíclico para obtener el saldo cíclicamente ajustado.</w:t>
      </w:r>
    </w:p>
    <w:p w14:paraId="7D8F9646" w14:textId="77777777" w:rsidR="00366546" w:rsidRDefault="00366546" w:rsidP="00BD6B5E">
      <w:pPr>
        <w:pStyle w:val="Nivel2SM"/>
        <w:keepNext/>
        <w:spacing w:after="0"/>
      </w:pPr>
      <w:r w:rsidRPr="00BD6B5E">
        <w:rPr>
          <w:i/>
          <w:iCs/>
          <w:u w:val="single"/>
        </w:rPr>
        <w:t>Saldo estructural</w:t>
      </w:r>
      <w:r>
        <w:t>:</w:t>
      </w:r>
    </w:p>
    <w:p w14:paraId="0885047A" w14:textId="2855F8DD" w:rsidR="00366546" w:rsidRDefault="00366546" w:rsidP="00BD6B5E">
      <w:pPr>
        <w:pStyle w:val="Nivel3SM"/>
        <w:keepNext/>
      </w:pPr>
      <w:r>
        <w:t xml:space="preserve">Al saldo cíclicamente ajustado le restamos las medidas de política fiscal </w:t>
      </w:r>
      <w:proofErr w:type="spellStart"/>
      <w:r w:rsidRPr="00292C7D">
        <w:rPr>
          <w:i/>
          <w:iCs/>
        </w:rPr>
        <w:t>one</w:t>
      </w:r>
      <w:proofErr w:type="spellEnd"/>
      <w:r w:rsidRPr="00292C7D">
        <w:rPr>
          <w:i/>
          <w:iCs/>
        </w:rPr>
        <w:t>-off</w:t>
      </w:r>
      <w:r>
        <w:t xml:space="preserve"> (no</w:t>
      </w:r>
      <w:r w:rsidR="00292C7D">
        <w:t> </w:t>
      </w:r>
      <w:r>
        <w:t xml:space="preserve">recurrentes) para calcular el saldo estructural, esto es, la magnitud </w:t>
      </w:r>
      <w:r w:rsidR="00132A10">
        <w:t xml:space="preserve">del efecto macroeconómico </w:t>
      </w:r>
      <w:r>
        <w:t>de la política fiscal del Gobierno.</w:t>
      </w:r>
    </w:p>
    <w:p w14:paraId="705A6809" w14:textId="7142EDAA" w:rsidR="00810F80" w:rsidRPr="002536A4" w:rsidRDefault="00366546" w:rsidP="00BD6B5E">
      <w:pPr>
        <w:pStyle w:val="Nivel4"/>
        <w:ind w:left="1474"/>
      </w:pPr>
      <w:r>
        <w:t xml:space="preserve">Ejemplos de medidas </w:t>
      </w:r>
      <w:proofErr w:type="spellStart"/>
      <w:r w:rsidRPr="00292C7D">
        <w:rPr>
          <w:i/>
          <w:iCs/>
        </w:rPr>
        <w:t>one</w:t>
      </w:r>
      <w:proofErr w:type="spellEnd"/>
      <w:r w:rsidRPr="00292C7D">
        <w:rPr>
          <w:i/>
          <w:iCs/>
        </w:rPr>
        <w:t>-off</w:t>
      </w:r>
      <w:r>
        <w:t>: bajadas de impuestos al tiempo que se anuncia una subida en la misma magnitud para el año siguiente, costes de reestructuración del sistema bancario, etc.</w:t>
      </w:r>
    </w:p>
    <w:p w14:paraId="1CD381C7" w14:textId="62C68837" w:rsidR="005F4950" w:rsidRDefault="005F4950" w:rsidP="002536A4">
      <w:pPr>
        <w:pStyle w:val="Ttulo2"/>
      </w:pPr>
      <w:bookmarkStart w:id="131" w:name="_Toc151221271"/>
      <w:r>
        <w:t xml:space="preserve">¿Y si el déficit </w:t>
      </w:r>
      <w:r w:rsidR="00210A2B">
        <w:t xml:space="preserve">estructural </w:t>
      </w:r>
      <w:r>
        <w:t>de España fuese inferior?</w:t>
      </w:r>
      <w:bookmarkEnd w:id="131"/>
    </w:p>
    <w:p w14:paraId="52AA7A17" w14:textId="5F966FBE" w:rsidR="008543EB" w:rsidRPr="002536A4" w:rsidRDefault="005F4950" w:rsidP="009A79B7">
      <w:pPr>
        <w:pStyle w:val="Ttulo6"/>
        <w:spacing w:before="0"/>
      </w:pPr>
      <w:bookmarkStart w:id="132" w:name="_Toc151221272"/>
      <w:r w:rsidRPr="005F4950">
        <w:t xml:space="preserve">Impacto macroeconómico de la Política </w:t>
      </w:r>
      <w:r w:rsidR="008543EB" w:rsidRPr="005F4950">
        <w:t>en España en 20</w:t>
      </w:r>
      <w:r w:rsidR="00260FA5">
        <w:t>23</w:t>
      </w:r>
      <w:bookmarkEnd w:id="132"/>
    </w:p>
    <w:p w14:paraId="711A950D" w14:textId="29F68342" w:rsidR="00C048BE" w:rsidRDefault="00C048BE" w:rsidP="00815103">
      <w:pPr>
        <w:pStyle w:val="Nivel2SM"/>
        <w:keepNext/>
        <w:spacing w:after="0"/>
      </w:pPr>
      <w:r>
        <w:t>De acuerdo al Programa de Estabilidad 20</w:t>
      </w:r>
      <w:r w:rsidR="00260FA5">
        <w:t>23</w:t>
      </w:r>
      <w:r w:rsidR="005D7F70">
        <w:t>-</w:t>
      </w:r>
      <w:r>
        <w:t>202</w:t>
      </w:r>
      <w:r w:rsidR="00260FA5">
        <w:t>6</w:t>
      </w:r>
      <w:r>
        <w:t xml:space="preserve"> el cual utiliza el método de la función de producción para el análisis cíclico de la economía tenemos para 20</w:t>
      </w:r>
      <w:r w:rsidR="00260FA5">
        <w:t>22</w:t>
      </w:r>
      <w:r>
        <w:t>:</w:t>
      </w:r>
    </w:p>
    <w:p w14:paraId="23D5059E" w14:textId="370E262F" w:rsidR="00C048BE" w:rsidRPr="00C048BE" w:rsidRDefault="00C048BE" w:rsidP="00815103">
      <w:pPr>
        <w:pStyle w:val="Nivel3SM"/>
        <w:keepNext/>
      </w:pPr>
      <w:r w:rsidRPr="00790B70">
        <w:rPr>
          <w:i/>
          <w:iCs/>
        </w:rPr>
        <w:t>Output gap</w:t>
      </w:r>
      <w:r w:rsidRPr="00C048BE">
        <w:t xml:space="preserve">: </w:t>
      </w:r>
      <w:r w:rsidR="00260FA5">
        <w:t>−1</w:t>
      </w:r>
      <w:r w:rsidR="00815103">
        <w:t>,</w:t>
      </w:r>
      <w:r w:rsidR="00260FA5">
        <w:t>7</w:t>
      </w:r>
    </w:p>
    <w:p w14:paraId="3E453579" w14:textId="618445AB" w:rsidR="00C048BE" w:rsidRDefault="00C048BE" w:rsidP="00815103">
      <w:pPr>
        <w:pStyle w:val="Nivel4"/>
        <w:ind w:left="1474"/>
      </w:pPr>
      <w:r>
        <w:t>Esto quiere decir que el output en 20</w:t>
      </w:r>
      <w:r w:rsidR="00260FA5">
        <w:t>22</w:t>
      </w:r>
      <w:r>
        <w:t xml:space="preserve"> se situó por </w:t>
      </w:r>
      <w:r w:rsidR="00260FA5">
        <w:t>debajo</w:t>
      </w:r>
      <w:r>
        <w:t xml:space="preserve"> de su nivel potencial.</w:t>
      </w:r>
    </w:p>
    <w:p w14:paraId="134EF081" w14:textId="01EB10F3" w:rsidR="00C048BE" w:rsidRDefault="00C048BE" w:rsidP="00790B70">
      <w:pPr>
        <w:pStyle w:val="Nivel3SM"/>
      </w:pPr>
      <w:r>
        <w:t xml:space="preserve">Al mismo tiempo, el </w:t>
      </w:r>
      <w:r w:rsidRPr="00790B70">
        <w:rPr>
          <w:i/>
          <w:iCs/>
        </w:rPr>
        <w:t>déficit total</w:t>
      </w:r>
      <w:r>
        <w:t xml:space="preserve"> fue en 20</w:t>
      </w:r>
      <w:r w:rsidR="00260FA5">
        <w:t>22</w:t>
      </w:r>
      <w:r>
        <w:t xml:space="preserve"> del </w:t>
      </w:r>
      <w:r w:rsidR="00260FA5">
        <w:t>−4</w:t>
      </w:r>
      <w:r w:rsidR="00815103">
        <w:t>,</w:t>
      </w:r>
      <w:r w:rsidR="00260FA5">
        <w:t>8</w:t>
      </w:r>
      <w:r w:rsidR="00A50667">
        <w:t> %</w:t>
      </w:r>
      <w:r>
        <w:t>.</w:t>
      </w:r>
    </w:p>
    <w:p w14:paraId="566D3EB5" w14:textId="5D31041D" w:rsidR="00C048BE" w:rsidRDefault="00C048BE" w:rsidP="00815103">
      <w:pPr>
        <w:pStyle w:val="Nivel3SM"/>
      </w:pPr>
      <w:r w:rsidRPr="00790B70">
        <w:rPr>
          <w:i/>
          <w:iCs/>
        </w:rPr>
        <w:t>Sensibilidad al ciclo económico</w:t>
      </w:r>
      <w:r w:rsidR="00210A2B">
        <w:t>: 0</w:t>
      </w:r>
      <w:r w:rsidR="00815103">
        <w:t>,</w:t>
      </w:r>
      <w:r w:rsidR="00210A2B">
        <w:t>6</w:t>
      </w:r>
    </w:p>
    <w:p w14:paraId="2F9F5C1C" w14:textId="43C2CA5F" w:rsidR="00C048BE" w:rsidRDefault="00210A2B" w:rsidP="00815103">
      <w:pPr>
        <w:pStyle w:val="Nivel3SM"/>
      </w:pPr>
      <w:proofErr w:type="spellStart"/>
      <w:r w:rsidRPr="00292C7D">
        <w:rPr>
          <w:i/>
          <w:iCs/>
        </w:rPr>
        <w:t>One</w:t>
      </w:r>
      <w:r w:rsidR="00292C7D" w:rsidRPr="00292C7D">
        <w:rPr>
          <w:i/>
          <w:iCs/>
        </w:rPr>
        <w:t>-</w:t>
      </w:r>
      <w:r w:rsidRPr="00292C7D">
        <w:rPr>
          <w:i/>
          <w:iCs/>
        </w:rPr>
        <w:t>offs</w:t>
      </w:r>
      <w:proofErr w:type="spellEnd"/>
      <w:r w:rsidRPr="00210A2B">
        <w:t>:</w:t>
      </w:r>
      <w:r>
        <w:t xml:space="preserve"> </w:t>
      </w:r>
      <w:r w:rsidR="00292C7D">
        <w:rPr>
          <w:rFonts w:ascii="Times New Roman" w:hAnsi="Times New Roman" w:cs="Times New Roman"/>
        </w:rPr>
        <w:t>−</w:t>
      </w:r>
      <w:r>
        <w:t>0</w:t>
      </w:r>
      <w:r w:rsidR="00815103">
        <w:t>,</w:t>
      </w:r>
      <w:r w:rsidR="00260FA5">
        <w:t>2</w:t>
      </w:r>
    </w:p>
    <w:p w14:paraId="0F9D770A" w14:textId="77777777" w:rsidR="00C048BE" w:rsidRDefault="00C048BE" w:rsidP="00815103">
      <w:pPr>
        <w:pStyle w:val="Nivel2SM"/>
        <w:keepNext/>
        <w:spacing w:after="0"/>
      </w:pPr>
      <w:r>
        <w:t xml:space="preserve">Por tanto dados estos datos: </w:t>
      </w:r>
    </w:p>
    <w:p w14:paraId="26EC7E72" w14:textId="32D42319" w:rsidR="00C048BE" w:rsidRDefault="00260FA5" w:rsidP="00815103">
      <w:pPr>
        <w:pStyle w:val="Nivel3SM"/>
      </w:pPr>
      <w:r>
        <w:t>Déficit</w:t>
      </w:r>
      <w:r w:rsidR="00C048BE">
        <w:t xml:space="preserve"> cíclico: </w:t>
      </w:r>
      <w:r>
        <w:t>−1</w:t>
      </w:r>
      <w:r w:rsidR="00815103">
        <w:t>,</w:t>
      </w:r>
      <w:r>
        <w:t>7</w:t>
      </w:r>
      <w:r w:rsidR="00A50667">
        <w:t> %</w:t>
      </w:r>
      <w:r w:rsidR="00C048BE">
        <w:t xml:space="preserve"> </w:t>
      </w:r>
      <w:r w:rsidR="00292C7D">
        <w:t>×</w:t>
      </w:r>
      <w:r w:rsidR="00C048BE">
        <w:t xml:space="preserve"> 0</w:t>
      </w:r>
      <w:r w:rsidR="00815103">
        <w:t>,</w:t>
      </w:r>
      <w:r w:rsidR="00210A2B">
        <w:t>6</w:t>
      </w:r>
      <w:r w:rsidR="00C048BE">
        <w:t xml:space="preserve"> = </w:t>
      </w:r>
      <w:r>
        <w:t>−1 %</w:t>
      </w:r>
    </w:p>
    <w:p w14:paraId="59BB9DA6" w14:textId="2EF82026" w:rsidR="00C048BE" w:rsidRDefault="00210A2B" w:rsidP="00815103">
      <w:pPr>
        <w:pStyle w:val="Nivel3SM"/>
      </w:pPr>
      <w:r>
        <w:t xml:space="preserve">Déficit cíclicamente ajustado = </w:t>
      </w:r>
      <w:r w:rsidR="00260FA5">
        <w:t>−4</w:t>
      </w:r>
      <w:r w:rsidR="00815103">
        <w:t>,</w:t>
      </w:r>
      <w:r w:rsidR="00260FA5">
        <w:t>8</w:t>
      </w:r>
      <w:r w:rsidR="00A50667">
        <w:t> %</w:t>
      </w:r>
      <w:r>
        <w:t xml:space="preserve"> </w:t>
      </w:r>
      <w:r w:rsidR="00260FA5">
        <w:t>−</w:t>
      </w:r>
      <w:r>
        <w:t xml:space="preserve"> </w:t>
      </w:r>
      <w:r w:rsidR="00260FA5">
        <w:t>1</w:t>
      </w:r>
      <w:r w:rsidR="00A50667">
        <w:t> %</w:t>
      </w:r>
      <w:r>
        <w:t xml:space="preserve"> = </w:t>
      </w:r>
      <w:r w:rsidR="00260FA5">
        <w:t>−5</w:t>
      </w:r>
      <w:r w:rsidR="00815103">
        <w:t>,</w:t>
      </w:r>
      <w:r w:rsidR="00260FA5">
        <w:t>8</w:t>
      </w:r>
      <w:r w:rsidR="00A50667">
        <w:t> %</w:t>
      </w:r>
    </w:p>
    <w:p w14:paraId="2EE18E5A" w14:textId="73327B79" w:rsidR="00210A2B" w:rsidRDefault="00210A2B" w:rsidP="00815103">
      <w:pPr>
        <w:pStyle w:val="Nivel3SM"/>
      </w:pPr>
      <w:r>
        <w:t xml:space="preserve">Déficit estructural = </w:t>
      </w:r>
      <w:r w:rsidR="00260FA5">
        <w:t>−5</w:t>
      </w:r>
      <w:r w:rsidR="00815103">
        <w:t>,</w:t>
      </w:r>
      <w:r w:rsidR="00260FA5">
        <w:t>8</w:t>
      </w:r>
      <w:r w:rsidR="00A50667">
        <w:t> %</w:t>
      </w:r>
      <w:r>
        <w:t xml:space="preserve"> </w:t>
      </w:r>
      <w:r w:rsidR="00292C7D">
        <w:rPr>
          <w:rFonts w:ascii="Times New Roman" w:hAnsi="Times New Roman" w:cs="Times New Roman"/>
        </w:rPr>
        <w:t>−</w:t>
      </w:r>
      <w:r>
        <w:t xml:space="preserve"> 0</w:t>
      </w:r>
      <w:r w:rsidR="00815103">
        <w:t>,</w:t>
      </w:r>
      <w:r w:rsidR="00260FA5">
        <w:t>2 %</w:t>
      </w:r>
      <w:r>
        <w:t xml:space="preserve"> = </w:t>
      </w:r>
      <w:r w:rsidR="00260FA5">
        <w:t>−</w:t>
      </w:r>
      <w:r>
        <w:t>6</w:t>
      </w:r>
      <w:r w:rsidR="00A50667">
        <w:t> %</w:t>
      </w:r>
    </w:p>
    <w:p w14:paraId="595F0237" w14:textId="21F4A350" w:rsidR="000D3298" w:rsidRDefault="00210A2B" w:rsidP="00815103">
      <w:pPr>
        <w:pStyle w:val="Nivel2SM"/>
      </w:pPr>
      <w:r>
        <w:t>Por tanto</w:t>
      </w:r>
      <w:r w:rsidR="00F14142">
        <w:t>,</w:t>
      </w:r>
      <w:r>
        <w:t xml:space="preserve"> según los datos</w:t>
      </w:r>
      <w:r w:rsidR="00F14142">
        <w:t>,</w:t>
      </w:r>
      <w:r>
        <w:t xml:space="preserve"> el gobierno estaría llevando a cabo una </w:t>
      </w:r>
      <w:r w:rsidRPr="00F14142">
        <w:rPr>
          <w:b/>
          <w:bCs/>
        </w:rPr>
        <w:t xml:space="preserve">política fiscal estructural </w:t>
      </w:r>
      <w:r w:rsidR="000D3298" w:rsidRPr="00F14142">
        <w:rPr>
          <w:b/>
          <w:bCs/>
        </w:rPr>
        <w:t>expansiva</w:t>
      </w:r>
      <w:r w:rsidR="00F14142">
        <w:t xml:space="preserve"> </w:t>
      </w:r>
      <w:r w:rsidR="00F14142" w:rsidRPr="00F14142">
        <w:rPr>
          <w:sz w:val="19"/>
          <w:szCs w:val="19"/>
        </w:rPr>
        <w:t>(pues el déficit estructural es negativ</w:t>
      </w:r>
      <w:r w:rsidR="00F14142">
        <w:rPr>
          <w:sz w:val="19"/>
          <w:szCs w:val="19"/>
        </w:rPr>
        <w:t>o</w:t>
      </w:r>
      <w:r w:rsidR="00F14142" w:rsidRPr="00F14142">
        <w:rPr>
          <w:sz w:val="19"/>
          <w:szCs w:val="19"/>
        </w:rPr>
        <w:t>)</w:t>
      </w:r>
      <w:r w:rsidR="00F14142">
        <w:t xml:space="preserve"> </w:t>
      </w:r>
      <w:proofErr w:type="spellStart"/>
      <w:r w:rsidR="00F14142" w:rsidRPr="00F14142">
        <w:rPr>
          <w:b/>
          <w:bCs/>
        </w:rPr>
        <w:t>contracíclica</w:t>
      </w:r>
      <w:proofErr w:type="spellEnd"/>
      <w:r w:rsidR="00F14142">
        <w:t xml:space="preserve"> </w:t>
      </w:r>
      <w:r w:rsidR="00F14142" w:rsidRPr="00F14142">
        <w:rPr>
          <w:sz w:val="19"/>
          <w:szCs w:val="19"/>
        </w:rPr>
        <w:t xml:space="preserve">(pues el </w:t>
      </w:r>
      <w:r w:rsidR="00F14142" w:rsidRPr="00F14142">
        <w:rPr>
          <w:i/>
          <w:iCs/>
          <w:sz w:val="19"/>
          <w:szCs w:val="19"/>
        </w:rPr>
        <w:t>output gap</w:t>
      </w:r>
      <w:r w:rsidR="00F14142" w:rsidRPr="00F14142">
        <w:rPr>
          <w:sz w:val="19"/>
          <w:szCs w:val="19"/>
        </w:rPr>
        <w:t xml:space="preserve"> es negativo)</w:t>
      </w:r>
      <w:r w:rsidR="000D3298">
        <w:t>.</w:t>
      </w:r>
    </w:p>
    <w:p w14:paraId="21376E88" w14:textId="4E1AD1AF" w:rsidR="00210A2B" w:rsidRDefault="000D3298" w:rsidP="000D3298">
      <w:pPr>
        <w:pStyle w:val="Nivel1SM"/>
      </w:pPr>
      <w:r>
        <w:t>Sin embargo, en 2018 en un periodo de output gap positivo, el Programa de Estabilidad calculaba un déficit estructural del −2,6 % (i.e. política estructural expansiva procíclica)</w:t>
      </w:r>
      <w:r w:rsidR="00210A2B">
        <w:t xml:space="preserve"> en contra del pensamiento ortodoxo.</w:t>
      </w:r>
    </w:p>
    <w:p w14:paraId="76A91AF0" w14:textId="15CA7A2D" w:rsidR="00210A2B" w:rsidRPr="002536A4" w:rsidRDefault="00210A2B" w:rsidP="002536A4">
      <w:pPr>
        <w:pStyle w:val="Ttulo6"/>
      </w:pPr>
      <w:bookmarkStart w:id="133" w:name="_Toc151221273"/>
      <w:r w:rsidRPr="00210A2B">
        <w:t>Controversia</w:t>
      </w:r>
      <w:bookmarkEnd w:id="133"/>
    </w:p>
    <w:p w14:paraId="2650D810" w14:textId="10CEA429" w:rsidR="00172AA1" w:rsidRDefault="00065480" w:rsidP="00815103">
      <w:pPr>
        <w:pStyle w:val="Nivel2SM"/>
      </w:pPr>
      <w:r>
        <w:t xml:space="preserve">Según los datos </w:t>
      </w:r>
      <w:r w:rsidR="00941186">
        <w:t>de 2018</w:t>
      </w:r>
      <w:r>
        <w:t>,</w:t>
      </w:r>
      <w:r w:rsidR="00F059A6">
        <w:t xml:space="preserve"> aplicando el procedimiento de</w:t>
      </w:r>
      <w:r>
        <w:t xml:space="preserve"> la </w:t>
      </w:r>
      <w:r w:rsidR="00790B70">
        <w:t>Comisión Europea</w:t>
      </w:r>
      <w:r>
        <w:t>, la economía española estaría produciendo por encima de su output potencial</w:t>
      </w:r>
      <w:r w:rsidR="002C4B02">
        <w:t xml:space="preserve"> (i.e. se producía un output </w:t>
      </w:r>
      <w:r w:rsidR="002C4B02">
        <w:lastRenderedPageBreak/>
        <w:t>gap positivo)</w:t>
      </w:r>
      <w:r>
        <w:t>. Si esto fuese cierto, significaría que la economía española estaría produciendo por encima de su NAWRU por lo que deberían existir presiones salaria</w:t>
      </w:r>
      <w:r w:rsidR="00790B70">
        <w:t>le</w:t>
      </w:r>
      <w:r>
        <w:t xml:space="preserve">s e inflacionistas, sobre todo de la </w:t>
      </w:r>
      <w:r w:rsidR="00BD6685">
        <w:t xml:space="preserve">inflación </w:t>
      </w:r>
      <w:r>
        <w:t xml:space="preserve">subyacente. </w:t>
      </w:r>
      <w:r>
        <w:rPr>
          <w:u w:val="single"/>
        </w:rPr>
        <w:t>No obstante</w:t>
      </w:r>
      <w:r w:rsidR="00790B70">
        <w:rPr>
          <w:u w:val="single"/>
        </w:rPr>
        <w:t>,</w:t>
      </w:r>
      <w:r>
        <w:rPr>
          <w:u w:val="single"/>
        </w:rPr>
        <w:t xml:space="preserve"> la evidencia indica</w:t>
      </w:r>
      <w:r w:rsidR="00BD6685">
        <w:rPr>
          <w:u w:val="single"/>
        </w:rPr>
        <w:t>ba</w:t>
      </w:r>
      <w:r>
        <w:rPr>
          <w:u w:val="single"/>
        </w:rPr>
        <w:t xml:space="preserve"> todo lo contrario</w:t>
      </w:r>
      <w:r>
        <w:t>.</w:t>
      </w:r>
    </w:p>
    <w:p w14:paraId="56984A02" w14:textId="638F72BF" w:rsidR="00172AA1" w:rsidRDefault="00172AA1" w:rsidP="00815103">
      <w:pPr>
        <w:pStyle w:val="Nivel2SM"/>
      </w:pPr>
      <w:r>
        <w:t>Además las previsiones tanto del FMI, de la OCDE y de la AIRe</w:t>
      </w:r>
      <w:r w:rsidR="00292C7D">
        <w:t>F</w:t>
      </w:r>
      <w:r>
        <w:t xml:space="preserve"> </w:t>
      </w:r>
      <w:r w:rsidR="00BD6685">
        <w:t>era</w:t>
      </w:r>
      <w:r>
        <w:t>n todas inferiores a los datos obtenidos por la C</w:t>
      </w:r>
      <w:r w:rsidR="00790B70">
        <w:t xml:space="preserve">omisión </w:t>
      </w:r>
      <w:r>
        <w:t>E</w:t>
      </w:r>
      <w:r w:rsidR="00790B70">
        <w:t>uropea</w:t>
      </w:r>
      <w:r>
        <w:t>.</w:t>
      </w:r>
    </w:p>
    <w:p w14:paraId="05AD29BF" w14:textId="16E34F7F" w:rsidR="00172AA1" w:rsidRDefault="00296791" w:rsidP="009A79B7">
      <w:pPr>
        <w:ind w:left="720"/>
        <w:jc w:val="center"/>
      </w:pPr>
      <w:r>
        <w:rPr>
          <w:noProof/>
        </w:rPr>
        <w:drawing>
          <wp:inline distT="0" distB="0" distL="0" distR="0" wp14:anchorId="1DFD021D" wp14:editId="31ED131F">
            <wp:extent cx="3283275" cy="2035522"/>
            <wp:effectExtent l="0" t="0" r="0" b="3175"/>
            <wp:docPr id="3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93376" cy="2041784"/>
                    </a:xfrm>
                    <a:prstGeom prst="rect">
                      <a:avLst/>
                    </a:prstGeom>
                    <a:noFill/>
                    <a:ln>
                      <a:noFill/>
                    </a:ln>
                  </pic:spPr>
                </pic:pic>
              </a:graphicData>
            </a:graphic>
          </wp:inline>
        </w:drawing>
      </w:r>
    </w:p>
    <w:p w14:paraId="7F9F5F0E" w14:textId="27D407F7" w:rsidR="00065480" w:rsidRDefault="00172AA1" w:rsidP="00815103">
      <w:pPr>
        <w:pStyle w:val="Nivel3SM"/>
      </w:pPr>
      <w:r>
        <w:t>Por ejemplo</w:t>
      </w:r>
      <w:r w:rsidR="00790B70">
        <w:t>,</w:t>
      </w:r>
      <w:r>
        <w:t xml:space="preserve"> para el año 2019</w:t>
      </w:r>
      <w:r w:rsidRPr="00172AA1">
        <w:t xml:space="preserve"> </w:t>
      </w:r>
      <w:r>
        <w:t>l</w:t>
      </w:r>
      <w:r w:rsidRPr="00172AA1">
        <w:t>a horquilla inferior de la banda de estimaciones de la AIReF sitúa el output gap en niveles aún negativos en 2019 y en 2020 frente a las estimaciones de la Comisión Europea que son del 1,8</w:t>
      </w:r>
      <w:r w:rsidR="00A50667">
        <w:t> %</w:t>
      </w:r>
      <w:r w:rsidRPr="00172AA1">
        <w:t xml:space="preserve"> y 2,2</w:t>
      </w:r>
      <w:r w:rsidR="00A50667">
        <w:t> %</w:t>
      </w:r>
      <w:r w:rsidRPr="00172AA1">
        <w:t xml:space="preserve"> respectivamente. Entre esos dos extremos están las estimaciones del FMI y de la OCDE</w:t>
      </w:r>
      <w:r w:rsidR="000352DD">
        <w:rPr>
          <w:rStyle w:val="Refdenotaalpie"/>
        </w:rPr>
        <w:footnoteReference w:id="37"/>
      </w:r>
      <w:r w:rsidRPr="00172AA1">
        <w:t>.</w:t>
      </w:r>
    </w:p>
    <w:p w14:paraId="200EA056" w14:textId="32EEB276" w:rsidR="00172AA1" w:rsidRDefault="00172AA1" w:rsidP="00815103">
      <w:pPr>
        <w:pStyle w:val="Nivel2SM"/>
        <w:keepNext/>
        <w:spacing w:after="0"/>
      </w:pPr>
      <w:r>
        <w:t>Por tanto</w:t>
      </w:r>
      <w:r w:rsidR="00790B70">
        <w:t>,</w:t>
      </w:r>
      <w:r>
        <w:t xml:space="preserve"> según tanto la actual administración como la anterior</w:t>
      </w:r>
      <w:r w:rsidR="00790B70">
        <w:t>,</w:t>
      </w:r>
      <w:r>
        <w:t xml:space="preserve"> la NAWRU utilizada por Bruselas está sobreestimando la tasa de paro estructural al no estar teniendo en cuenta importantes reformas como por ejemplo la Reforma Laboral 2012. Teniendo éstas en cuenta, la NAWRU debería de ser menor. </w:t>
      </w:r>
    </w:p>
    <w:p w14:paraId="1AC31AF2" w14:textId="5C74C2D6" w:rsidR="00172AA1" w:rsidRDefault="00172AA1" w:rsidP="00815103">
      <w:pPr>
        <w:pStyle w:val="Nivel3SM"/>
      </w:pPr>
      <w:r>
        <w:t>Implicaciones de la Reforma Laboral de 2012 sobre la NAWRU.</w:t>
      </w:r>
    </w:p>
    <w:p w14:paraId="349D6B3E" w14:textId="357A71B8" w:rsidR="00065480" w:rsidRDefault="00296791" w:rsidP="009A79B7">
      <w:pPr>
        <w:ind w:left="720"/>
        <w:jc w:val="center"/>
      </w:pPr>
      <w:r>
        <w:rPr>
          <w:noProof/>
          <w:lang w:val="en-GB" w:eastAsia="en-GB"/>
        </w:rPr>
        <mc:AlternateContent>
          <mc:Choice Requires="wps">
            <w:drawing>
              <wp:anchor distT="0" distB="0" distL="114300" distR="114300" simplePos="0" relativeHeight="251657728" behindDoc="0" locked="0" layoutInCell="1" allowOverlap="1" wp14:anchorId="3D1E07E8" wp14:editId="4A3C4552">
                <wp:simplePos x="0" y="0"/>
                <wp:positionH relativeFrom="column">
                  <wp:posOffset>2545080</wp:posOffset>
                </wp:positionH>
                <wp:positionV relativeFrom="paragraph">
                  <wp:posOffset>410210</wp:posOffset>
                </wp:positionV>
                <wp:extent cx="1042035" cy="755015"/>
                <wp:effectExtent l="17145" t="9525" r="17145" b="16510"/>
                <wp:wrapNone/>
                <wp:docPr id="209328658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2035" cy="755015"/>
                        </a:xfrm>
                        <a:prstGeom prst="straightConnector1">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C8F6E8" id="_x0000_t32" coordsize="21600,21600" o:spt="32" o:oned="t" path="m,l21600,21600e" filled="f">
                <v:path arrowok="t" fillok="f" o:connecttype="none"/>
                <o:lock v:ext="edit" shapetype="t"/>
              </v:shapetype>
              <v:shape id="AutoShape 2" o:spid="_x0000_s1026" type="#_x0000_t32" style="position:absolute;margin-left:200.4pt;margin-top:32.3pt;width:82.05pt;height:59.4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" strokecolor="#00b050" strokeweight="1.5pt"/>
            </w:pict>
          </mc:Fallback>
        </mc:AlternateContent>
      </w:r>
      <w:r>
        <w:rPr>
          <w:noProof/>
        </w:rPr>
        <w:drawing>
          <wp:inline distT="0" distB="0" distL="0" distR="0" wp14:anchorId="0E46C796" wp14:editId="26832889">
            <wp:extent cx="2045970" cy="1490142"/>
            <wp:effectExtent l="0" t="0" r="0" b="0"/>
            <wp:docPr id="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46563" cy="1490574"/>
                    </a:xfrm>
                    <a:prstGeom prst="rect">
                      <a:avLst/>
                    </a:prstGeom>
                    <a:noFill/>
                    <a:ln>
                      <a:noFill/>
                    </a:ln>
                  </pic:spPr>
                </pic:pic>
              </a:graphicData>
            </a:graphic>
          </wp:inline>
        </w:drawing>
      </w:r>
    </w:p>
    <w:p w14:paraId="157536B9" w14:textId="7B70545D" w:rsidR="003C2CB4" w:rsidRDefault="00172AA1" w:rsidP="00815103">
      <w:pPr>
        <w:pStyle w:val="Nivel3SM"/>
      </w:pPr>
      <w:r>
        <w:t>Entre las muchas medidas de la reforma laboral destaca el paso de un modelo sindical intermedio a uno descentralizado</w:t>
      </w:r>
      <w:r w:rsidR="003C2CB4">
        <w:t>,</w:t>
      </w:r>
      <w:r>
        <w:t xml:space="preserve"> la reducción de</w:t>
      </w:r>
      <w:r w:rsidR="003C2CB4">
        <w:t xml:space="preserve"> la ultraactividad y la reducción de la indización salarial. Esto provocaría un desplazamiento hacia la derecha de la SRN al reducirse el poder sindical lo que llevaría a una menor NAIRU. </w:t>
      </w:r>
    </w:p>
    <w:p w14:paraId="257BA4F9" w14:textId="437CC33E" w:rsidR="00D06214" w:rsidRPr="002536A4" w:rsidRDefault="003C2CB4" w:rsidP="00815103">
      <w:pPr>
        <w:pStyle w:val="Nivel2SM"/>
      </w:pPr>
      <w:r>
        <w:t>Por tanto</w:t>
      </w:r>
      <w:r w:rsidR="00790B70">
        <w:t>,</w:t>
      </w:r>
      <w:r>
        <w:t xml:space="preserve"> una menor NAWRU llevaría a un mayor empleo potencial, lo que elevaría el output potencial y volvería a reducir el output gap pudiendo pasar a ser negativo. La obtención de un output gap aun negativo podría por tanto abogar por la obtención de déficits estructurales negativos.</w:t>
      </w:r>
    </w:p>
    <w:p w14:paraId="7B9C35FE" w14:textId="65C02574" w:rsidR="00E5497C" w:rsidRDefault="00684BD7" w:rsidP="002536A4">
      <w:pPr>
        <w:pStyle w:val="Ttulo1"/>
      </w:pPr>
      <w:bookmarkStart w:id="134" w:name="_Toc151221274"/>
      <w:r>
        <w:t>CONCLUSION</w:t>
      </w:r>
      <w:r w:rsidR="00E5497C">
        <w:t>: DEBATE POLÍTICA INSTRUMENTACIÓN DE LA POLÍTICA FISCAL</w:t>
      </w:r>
      <w:bookmarkEnd w:id="134"/>
    </w:p>
    <w:p w14:paraId="7B6E171A" w14:textId="703BD497" w:rsidR="00E5497C" w:rsidRPr="002536A4" w:rsidRDefault="00E5497C" w:rsidP="00FE1664">
      <w:pPr>
        <w:pStyle w:val="Ttulo2"/>
      </w:pPr>
      <w:bookmarkStart w:id="135" w:name="_Toc151221275"/>
      <w:r>
        <w:t xml:space="preserve">Consenso </w:t>
      </w:r>
      <w:proofErr w:type="spellStart"/>
      <w:r>
        <w:t>pre</w:t>
      </w:r>
      <w:r w:rsidR="009A79B7">
        <w:t>-</w:t>
      </w:r>
      <w:r>
        <w:t>crisis</w:t>
      </w:r>
      <w:proofErr w:type="spellEnd"/>
      <w:r>
        <w:t xml:space="preserve"> económica</w:t>
      </w:r>
      <w:bookmarkEnd w:id="135"/>
    </w:p>
    <w:p w14:paraId="48C3B3E1" w14:textId="291F542D" w:rsidR="00E5497C" w:rsidRDefault="00E5497C" w:rsidP="009A79B7">
      <w:pPr>
        <w:pStyle w:val="Nivel2SM"/>
      </w:pPr>
      <w:r>
        <w:t>Previo a la crisis</w:t>
      </w:r>
      <w:r w:rsidRPr="009E1ED2">
        <w:t>, existe un cierto consenso acerca de</w:t>
      </w:r>
      <w:r>
        <w:t xml:space="preserve"> ciertos problemas inherentes de la política económica discrecional. </w:t>
      </w:r>
      <w:r w:rsidRPr="009E1ED2">
        <w:t>Por ello, se considera en general que la estabilización debe llevarse a cabo a través de estabilizadores automáticos.</w:t>
      </w:r>
    </w:p>
    <w:p w14:paraId="16D8A77E" w14:textId="77777777" w:rsidR="00E5497C" w:rsidRPr="009E1ED2" w:rsidRDefault="00E5497C" w:rsidP="009A79B7">
      <w:pPr>
        <w:pStyle w:val="Nivel2SM"/>
        <w:keepNext/>
        <w:spacing w:after="0"/>
      </w:pPr>
      <w:r>
        <w:lastRenderedPageBreak/>
        <w:t>Los problemas son:</w:t>
      </w:r>
    </w:p>
    <w:p w14:paraId="109E3DB4" w14:textId="0B626343" w:rsidR="00E5497C" w:rsidRDefault="00E5497C" w:rsidP="009A79B7">
      <w:pPr>
        <w:pStyle w:val="Nivel3SM"/>
      </w:pPr>
      <w:r>
        <w:t>E</w:t>
      </w:r>
      <w:r w:rsidRPr="009E1ED2">
        <w:t>l tamaño reducido del efecto multiplicador</w:t>
      </w:r>
      <w:r>
        <w:t>.</w:t>
      </w:r>
    </w:p>
    <w:p w14:paraId="21B1ED52" w14:textId="77777777" w:rsidR="00E5497C" w:rsidRDefault="00E5497C" w:rsidP="009A79B7">
      <w:pPr>
        <w:pStyle w:val="Nivel3SM"/>
      </w:pPr>
      <w:r>
        <w:t>L</w:t>
      </w:r>
      <w:r w:rsidRPr="009E1ED2">
        <w:t>os errores en su instrumentación debidos a la existencia de información imperfecta</w:t>
      </w:r>
      <w:r>
        <w:t>.</w:t>
      </w:r>
    </w:p>
    <w:p w14:paraId="5013D5F5" w14:textId="7A4ECEA3" w:rsidR="00E5497C" w:rsidRDefault="00E5497C" w:rsidP="009A79B7">
      <w:pPr>
        <w:pStyle w:val="Nivel3SM"/>
      </w:pPr>
      <w:r>
        <w:t>L</w:t>
      </w:r>
      <w:r w:rsidRPr="009E1ED2">
        <w:t>a existencia de retardos en su puesta en marcha y efectos.</w:t>
      </w:r>
    </w:p>
    <w:p w14:paraId="2403E867" w14:textId="64FF5EFA" w:rsidR="00E5497C" w:rsidRDefault="00E5497C" w:rsidP="009A79B7">
      <w:pPr>
        <w:pStyle w:val="Nivel2SM"/>
        <w:keepNext/>
        <w:spacing w:after="0"/>
      </w:pPr>
      <w:r w:rsidRPr="009E1ED2">
        <w:t xml:space="preserve">No obstante, la crisis ha reavivado el debate sobre el tamaño de los multiplicadores fiscales, y autores como </w:t>
      </w:r>
      <w:r w:rsidRPr="009A79B7">
        <w:rPr>
          <w:smallCaps/>
        </w:rPr>
        <w:t>Blanchard</w:t>
      </w:r>
      <w:r w:rsidRPr="009E1ED2">
        <w:t xml:space="preserve"> (2013) señalan su mayor importancia en un contexto recesivo o de crecimiento débil debido a 2</w:t>
      </w:r>
      <w:r w:rsidR="009A79B7">
        <w:t> </w:t>
      </w:r>
      <w:r w:rsidRPr="009E1ED2">
        <w:t>factores:</w:t>
      </w:r>
    </w:p>
    <w:p w14:paraId="44F78D70" w14:textId="77777777" w:rsidR="00E5497C" w:rsidRDefault="00E5497C" w:rsidP="009A79B7">
      <w:pPr>
        <w:pStyle w:val="Nivel3SM"/>
      </w:pPr>
      <w:r w:rsidRPr="009E1ED2">
        <w:t>La aparición de restricciones crediticias.</w:t>
      </w:r>
    </w:p>
    <w:p w14:paraId="74AA3B44" w14:textId="3875DDC7" w:rsidR="00E5497C" w:rsidRDefault="00E5497C" w:rsidP="009A79B7">
      <w:pPr>
        <w:pStyle w:val="Nivel3SM"/>
      </w:pPr>
      <w:r w:rsidRPr="009E1ED2">
        <w:t xml:space="preserve">El hecho de que la </w:t>
      </w:r>
      <w:r w:rsidR="00974102">
        <w:t>política monetaria</w:t>
      </w:r>
      <w:r w:rsidRPr="009E1ED2">
        <w:t xml:space="preserve"> puede ver reducido su margen de actuación</w:t>
      </w:r>
      <w:r w:rsidRPr="009E1ED2">
        <w:rPr>
          <w:b/>
          <w:bCs/>
        </w:rPr>
        <w:t xml:space="preserve"> </w:t>
      </w:r>
      <w:r w:rsidRPr="009E1ED2">
        <w:t>(</w:t>
      </w:r>
      <w:proofErr w:type="spellStart"/>
      <w:r w:rsidR="00974102" w:rsidRPr="00974102">
        <w:rPr>
          <w:i/>
          <w:iCs/>
        </w:rPr>
        <w:t>effective</w:t>
      </w:r>
      <w:proofErr w:type="spellEnd"/>
      <w:r w:rsidR="00974102" w:rsidRPr="00974102">
        <w:rPr>
          <w:i/>
          <w:iCs/>
        </w:rPr>
        <w:t xml:space="preserve"> </w:t>
      </w:r>
      <w:proofErr w:type="spellStart"/>
      <w:r w:rsidR="00974102" w:rsidRPr="00974102">
        <w:rPr>
          <w:i/>
          <w:iCs/>
        </w:rPr>
        <w:t>lower</w:t>
      </w:r>
      <w:proofErr w:type="spellEnd"/>
      <w:r w:rsidR="00974102" w:rsidRPr="00974102">
        <w:rPr>
          <w:i/>
          <w:iCs/>
        </w:rPr>
        <w:t xml:space="preserve"> </w:t>
      </w:r>
      <w:proofErr w:type="spellStart"/>
      <w:r w:rsidR="00974102" w:rsidRPr="00974102">
        <w:rPr>
          <w:i/>
          <w:iCs/>
        </w:rPr>
        <w:t>bound</w:t>
      </w:r>
      <w:proofErr w:type="spellEnd"/>
      <w:r w:rsidRPr="009E1ED2">
        <w:t>)</w:t>
      </w:r>
      <w:r>
        <w:t xml:space="preserve"> debido a la trampa de liquidez.</w:t>
      </w:r>
    </w:p>
    <w:p w14:paraId="591AB1FF" w14:textId="77777777" w:rsidR="00815103" w:rsidRPr="009530EF" w:rsidRDefault="00815103" w:rsidP="00815103">
      <w:pPr>
        <w:pStyle w:val="Ttulo2"/>
      </w:pPr>
      <w:bookmarkStart w:id="136" w:name="_Toc151221276"/>
      <w:bookmarkStart w:id="137" w:name="_Hlk146471018"/>
      <w:r>
        <w:t>Comodín: La política fiscal y el estancamiento secular</w:t>
      </w:r>
      <w:bookmarkEnd w:id="136"/>
    </w:p>
    <w:p w14:paraId="702B5B73" w14:textId="77777777" w:rsidR="00815103" w:rsidRDefault="00815103" w:rsidP="00815103">
      <w:pPr>
        <w:pStyle w:val="Ttulo3"/>
        <w:spacing w:before="0"/>
      </w:pPr>
      <w:bookmarkStart w:id="138" w:name="_Toc146266693"/>
      <w:bookmarkStart w:id="139" w:name="_Toc151221277"/>
      <w:r>
        <w:t>Estancamiento secular y tipos de interés reales negativos</w:t>
      </w:r>
      <w:bookmarkEnd w:id="138"/>
      <w:bookmarkEnd w:id="139"/>
    </w:p>
    <w:p w14:paraId="4A60467C" w14:textId="77777777" w:rsidR="00815103" w:rsidRDefault="00815103" w:rsidP="00815103">
      <w:pPr>
        <w:pStyle w:val="Nivel2SM"/>
        <w:keepNext/>
        <w:spacing w:after="0"/>
      </w:pPr>
      <w:r>
        <w:t xml:space="preserve">En marzo de 2019 </w:t>
      </w:r>
      <w:r w:rsidRPr="009530EF">
        <w:rPr>
          <w:smallCaps/>
        </w:rPr>
        <w:t>Larry Summers</w:t>
      </w:r>
      <w:r>
        <w:t xml:space="preserve"> y </w:t>
      </w:r>
      <w:r w:rsidRPr="009530EF">
        <w:rPr>
          <w:smallCaps/>
        </w:rPr>
        <w:t>Lukasz Rachel</w:t>
      </w:r>
      <w:r>
        <w:t xml:space="preserve"> publicaron un artículo donde han advertido de la </w:t>
      </w:r>
      <w:r w:rsidRPr="009530EF">
        <w:rPr>
          <w:i/>
          <w:iCs/>
          <w:u w:val="single"/>
        </w:rPr>
        <w:t>situación de estancamiento secular</w:t>
      </w:r>
      <w:r>
        <w:t xml:space="preserve"> en la que se encuentran las principales economías desarrolladas a raíz de un exceso de ahorro privado y una falta de inversión privada provocado por factores como:</w:t>
      </w:r>
    </w:p>
    <w:p w14:paraId="6A7CD8B0" w14:textId="77777777" w:rsidR="00815103" w:rsidRDefault="00815103" w:rsidP="00815103">
      <w:pPr>
        <w:pStyle w:val="Nivel3SM"/>
        <w:keepNext/>
      </w:pPr>
      <w:r w:rsidRPr="000A384D">
        <w:t>Ahorro</w:t>
      </w:r>
    </w:p>
    <w:p w14:paraId="5291C961" w14:textId="77777777" w:rsidR="00815103" w:rsidRDefault="00815103" w:rsidP="00815103">
      <w:pPr>
        <w:pStyle w:val="Nivel4"/>
        <w:ind w:left="1474"/>
      </w:pPr>
      <w:r>
        <w:t>Envejecimiento población y reducción de la natalidad (al tener menos hijos se ahorra más).</w:t>
      </w:r>
    </w:p>
    <w:p w14:paraId="3DE7683A" w14:textId="77777777" w:rsidR="00815103" w:rsidRDefault="00815103" w:rsidP="00815103">
      <w:pPr>
        <w:pStyle w:val="Nivel4"/>
        <w:ind w:left="1474"/>
      </w:pPr>
      <w:r>
        <w:t>Incertidumbre: Ahorro precautorio.</w:t>
      </w:r>
    </w:p>
    <w:p w14:paraId="719658AD" w14:textId="77777777" w:rsidR="00815103" w:rsidRPr="000A384D" w:rsidRDefault="00815103" w:rsidP="00815103">
      <w:pPr>
        <w:pStyle w:val="Nivel3SM"/>
        <w:keepNext/>
      </w:pPr>
      <w:r w:rsidRPr="00E63DC6">
        <w:t>Inversión</w:t>
      </w:r>
    </w:p>
    <w:p w14:paraId="2FD4DC5C" w14:textId="77777777" w:rsidR="00815103" w:rsidRDefault="00815103" w:rsidP="00815103">
      <w:pPr>
        <w:pStyle w:val="Nivel4"/>
        <w:ind w:left="1474"/>
      </w:pPr>
      <w:r>
        <w:t xml:space="preserve">Incertidumbre: Afecta los animal </w:t>
      </w:r>
      <w:proofErr w:type="spellStart"/>
      <w:r>
        <w:t>spirits</w:t>
      </w:r>
      <w:proofErr w:type="spellEnd"/>
      <w:r>
        <w:t>.</w:t>
      </w:r>
    </w:p>
    <w:p w14:paraId="14168479" w14:textId="77777777" w:rsidR="00815103" w:rsidRDefault="00815103" w:rsidP="00815103">
      <w:pPr>
        <w:pStyle w:val="Nivel4"/>
        <w:ind w:left="1474"/>
      </w:pPr>
      <w:r>
        <w:t>Histéresis</w:t>
      </w:r>
    </w:p>
    <w:p w14:paraId="3EE4E1A3" w14:textId="77777777" w:rsidR="00815103" w:rsidRDefault="00815103" w:rsidP="00815103">
      <w:pPr>
        <w:pStyle w:val="Nivel4"/>
        <w:ind w:left="1474"/>
      </w:pPr>
      <w:r>
        <w:t>Aumento del e-</w:t>
      </w:r>
      <w:proofErr w:type="spellStart"/>
      <w:r>
        <w:t>commerce</w:t>
      </w:r>
      <w:proofErr w:type="spellEnd"/>
      <w:r>
        <w:t xml:space="preserve"> (reduce la inversión real).</w:t>
      </w:r>
    </w:p>
    <w:p w14:paraId="6DB0EF39" w14:textId="77777777" w:rsidR="00815103" w:rsidRPr="009530EF" w:rsidRDefault="00815103" w:rsidP="00815103">
      <w:pPr>
        <w:pStyle w:val="Nivel2SM"/>
      </w:pPr>
      <w:r>
        <w:t>Estos aspectos han llevado a reducciones de hasta un 3 % en el tipo de interés real neutral, aquel que iguala el ahorro y la inversión en el mercado de fondos prestables, haciendo que se encuentre en niveles cercanos a cero o negativos en muchos países desarrollados.</w:t>
      </w:r>
    </w:p>
    <w:p w14:paraId="37D642B6" w14:textId="77777777" w:rsidR="00815103" w:rsidRPr="009530EF" w:rsidRDefault="00815103" w:rsidP="00815103">
      <w:pPr>
        <w:ind w:left="720"/>
        <w:jc w:val="center"/>
      </w:pPr>
      <w:r>
        <w:rPr>
          <w:noProof/>
        </w:rPr>
        <w:drawing>
          <wp:inline distT="0" distB="0" distL="0" distR="0" wp14:anchorId="11E7834B" wp14:editId="79A495BB">
            <wp:extent cx="1362075" cy="1476375"/>
            <wp:effectExtent l="0" t="0" r="0" b="0"/>
            <wp:docPr id="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62075" cy="1476375"/>
                    </a:xfrm>
                    <a:prstGeom prst="rect">
                      <a:avLst/>
                    </a:prstGeom>
                    <a:noFill/>
                    <a:ln>
                      <a:noFill/>
                    </a:ln>
                  </pic:spPr>
                </pic:pic>
              </a:graphicData>
            </a:graphic>
          </wp:inline>
        </w:drawing>
      </w:r>
    </w:p>
    <w:p w14:paraId="31CA1443" w14:textId="77777777" w:rsidR="00815103" w:rsidRDefault="00815103" w:rsidP="00815103">
      <w:pPr>
        <w:pStyle w:val="Nivel2SM"/>
        <w:keepNext/>
        <w:spacing w:after="0"/>
      </w:pPr>
      <w:r>
        <w:t>Por tanto, en caso de no implementarse soluciones no podrá asegurarse en el largo plazo que las economías por sí solas (mediante fuerzas de mercado) alcancen el pleno empleo:</w:t>
      </w:r>
    </w:p>
    <w:p w14:paraId="30782781" w14:textId="77777777" w:rsidR="00815103" w:rsidRDefault="00815103" w:rsidP="00815103">
      <w:pPr>
        <w:pStyle w:val="Nivel3SM"/>
      </w:pPr>
      <w:r>
        <w:t>Subyace en esta idea el pensamiento keynesiano, el cual postula que una depresión permanente es posible en caso de no intervención.</w:t>
      </w:r>
    </w:p>
    <w:p w14:paraId="0C905F8D" w14:textId="77777777" w:rsidR="00815103" w:rsidRPr="009530EF" w:rsidRDefault="00815103" w:rsidP="00815103">
      <w:pPr>
        <w:pStyle w:val="Nivel3SM"/>
      </w:pPr>
      <w:r>
        <w:t>Además rechaza el pensamiento de la NEK, la cual se apoya en rigidices de precios temporales para justificar el desempleo involuntario.</w:t>
      </w:r>
    </w:p>
    <w:p w14:paraId="19AE55FA" w14:textId="77777777" w:rsidR="00815103" w:rsidRDefault="00815103" w:rsidP="00815103">
      <w:pPr>
        <w:pStyle w:val="Ttulo3"/>
      </w:pPr>
      <w:bookmarkStart w:id="140" w:name="_Toc146266694"/>
      <w:bookmarkStart w:id="141" w:name="_Toc151221278"/>
      <w:r>
        <w:t>Soluciones iniciales: Política monetaria</w:t>
      </w:r>
      <w:bookmarkEnd w:id="140"/>
      <w:bookmarkEnd w:id="141"/>
    </w:p>
    <w:p w14:paraId="502522AC" w14:textId="77777777" w:rsidR="00815103" w:rsidRDefault="00815103" w:rsidP="00815103">
      <w:pPr>
        <w:pStyle w:val="Nivel2SM"/>
        <w:keepNext/>
        <w:spacing w:after="0"/>
      </w:pPr>
      <w:r>
        <w:t>La solución llevada a cabo en la mayoría de los países fue en el ámbito de la política monetaria con el objetivo de aumentar la inflación para reducir así los tipos de interés reales.</w:t>
      </w:r>
    </w:p>
    <w:p w14:paraId="3BB00BEF" w14:textId="77777777" w:rsidR="00815103" w:rsidRPr="00954DB0" w:rsidRDefault="00815103" w:rsidP="00815103">
      <w:pPr>
        <w:pStyle w:val="Nivel3SM"/>
        <w:keepNext/>
      </w:pPr>
      <w:r>
        <w:t>Política monetaria convencional</w:t>
      </w:r>
    </w:p>
    <w:p w14:paraId="6BC6956E" w14:textId="77777777" w:rsidR="00815103" w:rsidRPr="009D1870" w:rsidRDefault="00815103" w:rsidP="00815103">
      <w:pPr>
        <w:pStyle w:val="Nivel4"/>
        <w:ind w:left="1474"/>
      </w:pPr>
      <w:r>
        <w:t>Los bancos centrales de los principales países desarrollados han reducido los tipos de interés de referencia (nominales) muy cercanos al 0 %.</w:t>
      </w:r>
    </w:p>
    <w:p w14:paraId="3C5F9359" w14:textId="77777777" w:rsidR="00815103" w:rsidRDefault="00815103" w:rsidP="00815103">
      <w:pPr>
        <w:pStyle w:val="Nivel3SM"/>
        <w:keepNext/>
      </w:pPr>
      <w:r w:rsidRPr="00954DB0">
        <w:lastRenderedPageBreak/>
        <w:t>Política monetaria no</w:t>
      </w:r>
      <w:r>
        <w:t> </w:t>
      </w:r>
      <w:r w:rsidRPr="00954DB0">
        <w:t>convencional</w:t>
      </w:r>
    </w:p>
    <w:p w14:paraId="39A496DF" w14:textId="77777777" w:rsidR="00815103" w:rsidRPr="009530EF" w:rsidRDefault="00815103" w:rsidP="00815103">
      <w:pPr>
        <w:pStyle w:val="Nivel4"/>
        <w:ind w:left="1474"/>
      </w:pPr>
      <w:r>
        <w:t>Además se han llevado múltiples rondas de QE y otras políticas monetarias de tipo no convencional. No obstante tampoco han tenido el éxito esperado en términos de inflación.</w:t>
      </w:r>
    </w:p>
    <w:p w14:paraId="7A3CC52C" w14:textId="77777777" w:rsidR="00815103" w:rsidRPr="009530EF" w:rsidRDefault="00815103" w:rsidP="00815103">
      <w:pPr>
        <w:pStyle w:val="Nivel2SM"/>
        <w:rPr>
          <w:u w:val="single"/>
        </w:rPr>
      </w:pPr>
      <w:r>
        <w:t>Además esta solución de reducción de tipos de interés podría no solo ser insuficiente para hacer despegar la inversión privada sino que además podría llevar a situaciones de sobrevaloración de activos.</w:t>
      </w:r>
    </w:p>
    <w:p w14:paraId="086512DD" w14:textId="77777777" w:rsidR="00815103" w:rsidRPr="009530EF" w:rsidRDefault="00815103" w:rsidP="00815103">
      <w:pPr>
        <w:pStyle w:val="Ttulo3"/>
        <w:rPr>
          <w:u w:val="none"/>
        </w:rPr>
      </w:pPr>
      <w:bookmarkStart w:id="142" w:name="_Toc146266695"/>
      <w:bookmarkStart w:id="143" w:name="_Toc151221279"/>
      <w:r>
        <w:t>Solución alternativa: Política fiscal</w:t>
      </w:r>
      <w:bookmarkEnd w:id="142"/>
      <w:bookmarkEnd w:id="143"/>
    </w:p>
    <w:p w14:paraId="28914EBA" w14:textId="77777777" w:rsidR="00815103" w:rsidRPr="002B00DF" w:rsidRDefault="00815103" w:rsidP="00815103">
      <w:pPr>
        <w:pStyle w:val="Nivel2SM"/>
        <w:keepNext/>
        <w:spacing w:after="0"/>
        <w:rPr>
          <w:u w:val="single"/>
        </w:rPr>
      </w:pPr>
      <w:r w:rsidRPr="00017197">
        <w:rPr>
          <w:smallCaps/>
        </w:rPr>
        <w:t>Summers</w:t>
      </w:r>
      <w:r>
        <w:t xml:space="preserve"> urge a la implementación de políticas fiscales expansivas y presupuesto desequilibrado para salir de la situación del estancamiento secular. </w:t>
      </w:r>
    </w:p>
    <w:p w14:paraId="6985F003" w14:textId="77777777" w:rsidR="00815103" w:rsidRPr="00254BC8" w:rsidRDefault="00815103" w:rsidP="00815103">
      <w:pPr>
        <w:pStyle w:val="Nivel3SM"/>
        <w:rPr>
          <w:u w:val="single"/>
        </w:rPr>
      </w:pPr>
      <w:r>
        <w:t>A nivel gráfico esto supondría desplazar la curva de demanda de fondos prestables hacia la derecha.</w:t>
      </w:r>
    </w:p>
    <w:p w14:paraId="52559701" w14:textId="77777777" w:rsidR="00815103" w:rsidRPr="00017197" w:rsidRDefault="00815103" w:rsidP="00815103">
      <w:pPr>
        <w:pStyle w:val="Nivel3SM"/>
        <w:rPr>
          <w:u w:val="single"/>
        </w:rPr>
      </w:pPr>
      <w:r>
        <w:t>Pone como ejemplo a la economía de Estados Unidos y cómo ésta experimentó un freno en el crecimiento económico cuando dejó de implementar políticas fiscales expansivas.</w:t>
      </w:r>
    </w:p>
    <w:p w14:paraId="388EDB21" w14:textId="77777777" w:rsidR="00815103" w:rsidRPr="00050981" w:rsidRDefault="00815103" w:rsidP="00815103">
      <w:pPr>
        <w:pStyle w:val="Nivel2SM"/>
        <w:rPr>
          <w:u w:val="single"/>
        </w:rPr>
      </w:pPr>
      <w:r>
        <w:t xml:space="preserve">Como respuesta a las críticas en términos de peligro de insostenibilidad de la deuda, </w:t>
      </w:r>
      <w:r w:rsidRPr="00050981">
        <w:rPr>
          <w:smallCaps/>
        </w:rPr>
        <w:t>Summers</w:t>
      </w:r>
      <w:r>
        <w:t xml:space="preserve"> aboga que en un mundo en donde el gobierno puede endeudarse a tipos de interés reales negativos o cercanos a cero, el peligro no reside en la sostenibilidad de la deuda total sino en la sostenibilidad en términos del servicio de la deuda.</w:t>
      </w:r>
    </w:p>
    <w:p w14:paraId="5B794BB1" w14:textId="77777777" w:rsidR="00815103" w:rsidRDefault="00815103" w:rsidP="00815103">
      <w:pPr>
        <w:pStyle w:val="Nivel2SM"/>
      </w:pPr>
      <w:r>
        <w:t>Sin embargo, no todos los autores están de acuerdo.</w:t>
      </w:r>
    </w:p>
    <w:p w14:paraId="5759A2CF" w14:textId="77777777" w:rsidR="00815103" w:rsidRPr="00050981" w:rsidRDefault="00815103" w:rsidP="00815103">
      <w:pPr>
        <w:pStyle w:val="Ttulo6"/>
      </w:pPr>
      <w:bookmarkStart w:id="144" w:name="_Toc146266696"/>
      <w:bookmarkStart w:id="145" w:name="_Toc151221280"/>
      <w:r>
        <w:rPr>
          <w:smallCaps/>
        </w:rPr>
        <w:t>John Cochrane</w:t>
      </w:r>
      <w:r>
        <w:t>: No es un problema de demanda</w:t>
      </w:r>
      <w:bookmarkEnd w:id="144"/>
      <w:bookmarkEnd w:id="145"/>
    </w:p>
    <w:p w14:paraId="24C7D36A" w14:textId="77777777" w:rsidR="00815103" w:rsidRDefault="00815103" w:rsidP="00815103">
      <w:pPr>
        <w:pStyle w:val="Nivel2SM"/>
      </w:pPr>
      <w:r>
        <w:t xml:space="preserve">En el momento en que </w:t>
      </w:r>
      <w:r w:rsidRPr="00193736">
        <w:rPr>
          <w:smallCaps/>
        </w:rPr>
        <w:t>Summers</w:t>
      </w:r>
      <w:r>
        <w:t xml:space="preserve"> recomendaba estímulos, la tasa desempleo de Estados Unidos estaba en niveles menores que el 4 %. No hay un problema de demanda.</w:t>
      </w:r>
    </w:p>
    <w:p w14:paraId="210658C9" w14:textId="77777777" w:rsidR="00815103" w:rsidRDefault="00815103" w:rsidP="00815103">
      <w:pPr>
        <w:pStyle w:val="Nivel2SM"/>
      </w:pPr>
      <w:r>
        <w:t>Recomienda ser más cautos en recomendar expansiones fiscales.</w:t>
      </w:r>
    </w:p>
    <w:p w14:paraId="0B88D13E" w14:textId="77777777" w:rsidR="00815103" w:rsidRPr="00365C91" w:rsidRDefault="00815103" w:rsidP="00815103">
      <w:pPr>
        <w:pStyle w:val="Ttulo6"/>
        <w:rPr>
          <w:lang w:val="en-US"/>
        </w:rPr>
      </w:pPr>
      <w:bookmarkStart w:id="146" w:name="_Toc145421446"/>
      <w:bookmarkStart w:id="147" w:name="_Toc146266697"/>
      <w:bookmarkStart w:id="148" w:name="_Toc151221281"/>
      <w:r w:rsidRPr="00365C91">
        <w:rPr>
          <w:smallCaps/>
          <w:lang w:val="en-US"/>
        </w:rPr>
        <w:t>Blanchard</w:t>
      </w:r>
      <w:r w:rsidRPr="00365C91">
        <w:rPr>
          <w:lang w:val="en-US"/>
        </w:rPr>
        <w:t xml:space="preserve"> vs </w:t>
      </w:r>
      <w:r w:rsidRPr="00365C91">
        <w:rPr>
          <w:smallCaps/>
          <w:lang w:val="en-US"/>
        </w:rPr>
        <w:t>Summers</w:t>
      </w:r>
      <w:r w:rsidRPr="00365C91">
        <w:rPr>
          <w:lang w:val="en-US"/>
        </w:rPr>
        <w:t>: Is secular stagnation over?</w:t>
      </w:r>
      <w:bookmarkEnd w:id="146"/>
      <w:bookmarkEnd w:id="147"/>
      <w:bookmarkEnd w:id="148"/>
    </w:p>
    <w:p w14:paraId="1ACFF02C" w14:textId="66E8D634" w:rsidR="00815103" w:rsidRPr="00616BBF" w:rsidRDefault="00815103" w:rsidP="00815103">
      <w:pPr>
        <w:pStyle w:val="Cajadeanotaciones"/>
        <w:spacing w:after="0"/>
        <w:rPr>
          <w:lang w:val="en-US"/>
        </w:rPr>
      </w:pPr>
      <w:hyperlink r:id="rId35" w:history="1">
        <w:r w:rsidRPr="00365C91">
          <w:rPr>
            <w:rStyle w:val="Hipervnculo"/>
            <w:lang w:val="en-US"/>
          </w:rPr>
          <w:t>https://www.piie.com/blogs/realtime-economics/secular-stagnation-not-over</w:t>
        </w:r>
      </w:hyperlink>
    </w:p>
    <w:p w14:paraId="363D87C0" w14:textId="62076C7D" w:rsidR="00815103" w:rsidRPr="005B0050" w:rsidRDefault="00815103" w:rsidP="00815103">
      <w:pPr>
        <w:pStyle w:val="Cajadeanotaciones"/>
        <w:spacing w:after="0"/>
        <w:rPr>
          <w:lang w:val="en-US"/>
        </w:rPr>
      </w:pPr>
      <w:hyperlink r:id="rId36" w:history="1">
        <w:r w:rsidRPr="005B0050">
          <w:rPr>
            <w:rStyle w:val="Hipervnculo"/>
            <w:lang w:val="en-US"/>
          </w:rPr>
          <w:t>https://www.piie.com/events/summers-and-blanchard-debate-future-interest-rates</w:t>
        </w:r>
      </w:hyperlink>
    </w:p>
    <w:p w14:paraId="718D9A54" w14:textId="2D262B73" w:rsidR="00815103" w:rsidRDefault="00815103" w:rsidP="00815103">
      <w:pPr>
        <w:pStyle w:val="Cajadeanotaciones"/>
        <w:spacing w:after="0"/>
        <w:rPr>
          <w:lang w:val="fr-FR"/>
        </w:rPr>
      </w:pPr>
      <w:hyperlink r:id="rId37" w:history="1">
        <w:r w:rsidRPr="00616BBF">
          <w:rPr>
            <w:rStyle w:val="Hipervnculo"/>
            <w:lang w:val="fr-FR"/>
          </w:rPr>
          <w:t>https://youtu.be/df5csVeBcrQ?t=538</w:t>
        </w:r>
      </w:hyperlink>
      <w:r w:rsidRPr="00616BBF">
        <w:rPr>
          <w:lang w:val="fr-FR"/>
        </w:rPr>
        <w:t xml:space="preserve"> </w:t>
      </w:r>
      <w:r>
        <w:rPr>
          <w:lang w:val="fr-FR"/>
        </w:rPr>
        <w:t>–</w:t>
      </w:r>
      <w:r w:rsidRPr="00616BBF">
        <w:rPr>
          <w:lang w:val="fr-FR"/>
        </w:rPr>
        <w:t xml:space="preserve"> </w:t>
      </w:r>
      <w:r w:rsidRPr="00616BBF">
        <w:rPr>
          <w:smallCaps/>
          <w:lang w:val="fr-FR"/>
        </w:rPr>
        <w:t>Blanchard</w:t>
      </w:r>
    </w:p>
    <w:p w14:paraId="60667097" w14:textId="1DCDB247" w:rsidR="00815103" w:rsidRPr="00616BBF" w:rsidRDefault="00815103" w:rsidP="00815103">
      <w:pPr>
        <w:pStyle w:val="Cajadeanotaciones"/>
        <w:rPr>
          <w:lang w:val="en-US"/>
        </w:rPr>
      </w:pPr>
      <w:hyperlink r:id="rId38" w:history="1">
        <w:r w:rsidRPr="003561D8">
          <w:rPr>
            <w:rStyle w:val="Hipervnculo"/>
            <w:lang w:val="en-US"/>
          </w:rPr>
          <w:t>https://youtu.be/df5csVeBcrQ?t=1140</w:t>
        </w:r>
      </w:hyperlink>
      <w:r w:rsidRPr="00616BBF">
        <w:rPr>
          <w:lang w:val="en-US"/>
        </w:rPr>
        <w:t xml:space="preserve"> </w:t>
      </w:r>
      <w:r>
        <w:rPr>
          <w:lang w:val="en-US"/>
        </w:rPr>
        <w:t>–</w:t>
      </w:r>
      <w:r w:rsidRPr="00616BBF">
        <w:rPr>
          <w:lang w:val="en-US"/>
        </w:rPr>
        <w:t xml:space="preserve"> </w:t>
      </w:r>
      <w:r w:rsidRPr="00616BBF">
        <w:rPr>
          <w:smallCaps/>
          <w:lang w:val="en-US"/>
        </w:rPr>
        <w:t>Summers</w:t>
      </w:r>
    </w:p>
    <w:p w14:paraId="54FA363C" w14:textId="77777777" w:rsidR="00815103" w:rsidRDefault="00815103" w:rsidP="00815103">
      <w:pPr>
        <w:pStyle w:val="Nivel1SM"/>
        <w:keepNext/>
        <w:spacing w:before="0" w:after="0"/>
      </w:pPr>
      <w:r>
        <w:t>Idea principal:</w:t>
      </w:r>
    </w:p>
    <w:p w14:paraId="1DFF6C6C" w14:textId="77777777" w:rsidR="00815103" w:rsidRDefault="00815103" w:rsidP="00815103">
      <w:pPr>
        <w:pStyle w:val="Nivel2SM"/>
        <w:keepNext/>
        <w:spacing w:after="0"/>
      </w:pPr>
      <w:r>
        <w:t xml:space="preserve">Paradójicamente, </w:t>
      </w:r>
      <w:r>
        <w:rPr>
          <w:smallCaps/>
        </w:rPr>
        <w:t>Larry Summers</w:t>
      </w:r>
      <w:r>
        <w:t xml:space="preserve"> </w:t>
      </w:r>
      <w:r w:rsidRPr="00365C91">
        <w:rPr>
          <w:sz w:val="19"/>
          <w:szCs w:val="19"/>
        </w:rPr>
        <w:t xml:space="preserve">(primer economista en rescatar el concepto introducido por </w:t>
      </w:r>
      <w:r w:rsidRPr="00365C91">
        <w:rPr>
          <w:smallCaps/>
          <w:sz w:val="19"/>
          <w:szCs w:val="19"/>
        </w:rPr>
        <w:t>Alvin Hansen</w:t>
      </w:r>
      <w:r w:rsidRPr="00365C91">
        <w:rPr>
          <w:sz w:val="19"/>
          <w:szCs w:val="19"/>
        </w:rPr>
        <w:t xml:space="preserve"> y considerar que la economía se encuentra ante un problema de estancamiento secular en 2013)</w:t>
      </w:r>
      <w:r>
        <w:t xml:space="preserve"> afirma en 2022 que el mundo ya no se encuentra en una situación de estancamiento secular. Por el contrario, </w:t>
      </w:r>
      <w:r>
        <w:rPr>
          <w:smallCaps/>
        </w:rPr>
        <w:t>Olivier Blanchard</w:t>
      </w:r>
      <w:r>
        <w:t xml:space="preserve"> considera que aún no se ha acabado dicho escenario y que son circunstancias excepcionales las que han llevado a mayores tipos de interés.</w:t>
      </w:r>
    </w:p>
    <w:p w14:paraId="6AEF2FCB" w14:textId="77777777" w:rsidR="00815103" w:rsidRDefault="00815103" w:rsidP="00815103">
      <w:pPr>
        <w:pStyle w:val="Nivel3SM"/>
        <w:keepNext/>
      </w:pPr>
      <w:r w:rsidRPr="00616BBF">
        <w:rPr>
          <w:smallCaps/>
        </w:rPr>
        <w:t>Blanchard</w:t>
      </w:r>
      <w:r>
        <w:t>:</w:t>
      </w:r>
    </w:p>
    <w:p w14:paraId="7509604D" w14:textId="77777777" w:rsidR="00815103" w:rsidRPr="00BA1A85" w:rsidRDefault="00815103" w:rsidP="00815103">
      <w:pPr>
        <w:pStyle w:val="Nivel4"/>
        <w:keepNext/>
        <w:ind w:left="1474"/>
        <w:rPr>
          <w:spacing w:val="-1"/>
        </w:rPr>
      </w:pPr>
      <w:r w:rsidRPr="00BA1A85">
        <w:rPr>
          <w:spacing w:val="-1"/>
        </w:rPr>
        <w:t>En los 35 años previos a la pandemia los tipos de interés reales caen en todo el mundo.</w:t>
      </w:r>
    </w:p>
    <w:p w14:paraId="03C056FF" w14:textId="77777777" w:rsidR="00815103" w:rsidRDefault="00815103" w:rsidP="00815103">
      <w:pPr>
        <w:pStyle w:val="Nivel5"/>
        <w:keepNext/>
        <w:ind w:left="1871"/>
      </w:pPr>
      <w:r>
        <w:t>Factores clave:</w:t>
      </w:r>
    </w:p>
    <w:p w14:paraId="04D63335" w14:textId="77777777" w:rsidR="00815103" w:rsidRDefault="00815103" w:rsidP="00815103">
      <w:pPr>
        <w:pStyle w:val="Nivel6"/>
        <w:ind w:left="2212"/>
      </w:pPr>
      <w:r w:rsidRPr="00BF7ED9">
        <w:rPr>
          <w:i/>
          <w:iCs/>
        </w:rPr>
        <w:t xml:space="preserve">Demand </w:t>
      </w:r>
      <w:proofErr w:type="spellStart"/>
      <w:r w:rsidRPr="00BF7ED9">
        <w:rPr>
          <w:i/>
          <w:iCs/>
        </w:rPr>
        <w:t>for</w:t>
      </w:r>
      <w:proofErr w:type="spellEnd"/>
      <w:r w:rsidRPr="00BF7ED9">
        <w:rPr>
          <w:i/>
          <w:iCs/>
        </w:rPr>
        <w:t xml:space="preserve"> safety</w:t>
      </w:r>
      <w:r w:rsidRPr="00BF7ED9">
        <w:t>,</w:t>
      </w:r>
    </w:p>
    <w:p w14:paraId="28771F12" w14:textId="77777777" w:rsidR="00815103" w:rsidRDefault="00815103" w:rsidP="00815103">
      <w:pPr>
        <w:pStyle w:val="Nivel6"/>
        <w:ind w:left="2212"/>
      </w:pPr>
      <w:r w:rsidRPr="00BF7ED9">
        <w:t>Envejecimiento de la población</w:t>
      </w:r>
      <w:r>
        <w:t>; y</w:t>
      </w:r>
    </w:p>
    <w:p w14:paraId="7CEFAC75" w14:textId="77777777" w:rsidR="00815103" w:rsidRDefault="00815103" w:rsidP="00815103">
      <w:pPr>
        <w:pStyle w:val="Nivel6"/>
        <w:keepNext/>
        <w:ind w:left="2212"/>
      </w:pPr>
      <w:r>
        <w:t>Demanda de inversión débil. Esto podría cambiar debido a:</w:t>
      </w:r>
    </w:p>
    <w:p w14:paraId="11B80A2E" w14:textId="77777777" w:rsidR="00815103" w:rsidRDefault="00815103" w:rsidP="00815103">
      <w:pPr>
        <w:pStyle w:val="Nivel7"/>
        <w:ind w:left="2438"/>
      </w:pPr>
      <w:r>
        <w:t xml:space="preserve">Inteligencia artificial (que lleve a un mayor crecimiento de la PTF, </w:t>
      </w:r>
      <w:proofErr w:type="gramStart"/>
      <w:r>
        <w:t xml:space="preserve">mayor </w:t>
      </w:r>
      <w:r>
        <w:rPr>
          <w:i/>
          <w:iCs/>
        </w:rPr>
        <w:t>g</w:t>
      </w:r>
      <w:r>
        <w:t xml:space="preserve"> y mayor </w:t>
      </w:r>
      <w:r>
        <w:rPr>
          <w:i/>
          <w:iCs/>
        </w:rPr>
        <w:t>r</w:t>
      </w:r>
      <w:proofErr w:type="gramEnd"/>
      <w:r>
        <w:t xml:space="preserve"> y, por lo </w:t>
      </w:r>
      <w:proofErr w:type="gramStart"/>
      <w:r>
        <w:t>tanto</w:t>
      </w:r>
      <w:proofErr w:type="gramEnd"/>
      <w:r>
        <w:t xml:space="preserve"> generando efectos ambiguos)</w:t>
      </w:r>
      <w:r w:rsidRPr="00BF7ED9">
        <w:t>.</w:t>
      </w:r>
    </w:p>
    <w:p w14:paraId="5C6B3BFC" w14:textId="77777777" w:rsidR="00815103" w:rsidRDefault="00815103" w:rsidP="00815103">
      <w:pPr>
        <w:pStyle w:val="Nivel7"/>
        <w:ind w:left="2438"/>
      </w:pPr>
      <w:proofErr w:type="spellStart"/>
      <w:r>
        <w:t>Re-shoring</w:t>
      </w:r>
      <w:proofErr w:type="spellEnd"/>
      <w:r>
        <w:t>.</w:t>
      </w:r>
    </w:p>
    <w:p w14:paraId="18E91202" w14:textId="77777777" w:rsidR="00815103" w:rsidRPr="00BF7ED9" w:rsidRDefault="00815103" w:rsidP="00815103">
      <w:pPr>
        <w:pStyle w:val="Nivel7"/>
        <w:ind w:left="2438"/>
        <w:rPr>
          <w:spacing w:val="-2"/>
        </w:rPr>
      </w:pPr>
      <w:r w:rsidRPr="00BF7ED9">
        <w:rPr>
          <w:spacing w:val="-2"/>
        </w:rPr>
        <w:t xml:space="preserve">Gasto público en defensa y en adaptación al cambio climático </w:t>
      </w:r>
      <w:r w:rsidRPr="00BF7ED9">
        <w:rPr>
          <w:spacing w:val="-2"/>
          <w:sz w:val="19"/>
          <w:szCs w:val="19"/>
        </w:rPr>
        <w:t>(más inversión)</w:t>
      </w:r>
      <w:r w:rsidRPr="00BF7ED9">
        <w:rPr>
          <w:spacing w:val="-2"/>
        </w:rPr>
        <w:t>.</w:t>
      </w:r>
    </w:p>
    <w:p w14:paraId="406499F0" w14:textId="77777777" w:rsidR="00815103" w:rsidRDefault="00815103" w:rsidP="00815103">
      <w:pPr>
        <w:pStyle w:val="Nivel4"/>
        <w:ind w:left="1474"/>
      </w:pPr>
      <w:r>
        <w:t xml:space="preserve">Incluso en el momento álgido de la lucha contra la inflación y las subidas de tipos de interés, </w:t>
      </w:r>
      <w:r w:rsidRPr="00F65165">
        <w:rPr>
          <w:i/>
          <w:iCs/>
        </w:rPr>
        <w:t>r</w:t>
      </w:r>
      <w:r>
        <w:rPr>
          <w:i/>
          <w:iCs/>
        </w:rPr>
        <w:t> </w:t>
      </w:r>
      <w:r>
        <w:rPr>
          <w:rFonts w:ascii="Times New Roman" w:hAnsi="Times New Roman" w:cs="Times New Roman"/>
          <w:i/>
          <w:iCs/>
        </w:rPr>
        <w:t>&lt; </w:t>
      </w:r>
      <w:r w:rsidRPr="00F65165">
        <w:rPr>
          <w:i/>
          <w:iCs/>
        </w:rPr>
        <w:t>g</w:t>
      </w:r>
      <w:r>
        <w:t xml:space="preserve"> </w:t>
      </w:r>
      <w:r w:rsidRPr="00616BBF">
        <w:rPr>
          <w:sz w:val="19"/>
          <w:szCs w:val="19"/>
        </w:rPr>
        <w:t>(aunque la diferencia se ha reducido y podría revertir en los próximos meses)</w:t>
      </w:r>
      <w:r>
        <w:t>.</w:t>
      </w:r>
    </w:p>
    <w:p w14:paraId="6E726367" w14:textId="77777777" w:rsidR="00815103" w:rsidRPr="00BF7ED9" w:rsidRDefault="00815103" w:rsidP="00815103">
      <w:pPr>
        <w:pStyle w:val="Nivel4"/>
        <w:ind w:left="1474"/>
      </w:pPr>
      <w:r>
        <w:lastRenderedPageBreak/>
        <w:t xml:space="preserve">Como consecuencia de todo lo anterior, </w:t>
      </w:r>
      <w:r>
        <w:rPr>
          <w:smallCaps/>
        </w:rPr>
        <w:t>Blanchard</w:t>
      </w:r>
      <w:r>
        <w:t xml:space="preserve"> anticipa que </w:t>
      </w:r>
      <w:r>
        <w:rPr>
          <w:i/>
          <w:iCs/>
        </w:rPr>
        <w:t>r</w:t>
      </w:r>
      <w:r>
        <w:t xml:space="preserve"> tenderá a valores reducidos e inferiores a </w:t>
      </w:r>
      <w:r>
        <w:rPr>
          <w:i/>
          <w:iCs/>
        </w:rPr>
        <w:t>g</w:t>
      </w:r>
      <w:r>
        <w:t xml:space="preserve"> (aunque mayores que tras la crisis financiera global debido a los factores que podrían llevar a una mayor demanda de inversión).</w:t>
      </w:r>
    </w:p>
    <w:p w14:paraId="355C50BE" w14:textId="77777777" w:rsidR="00815103" w:rsidRDefault="00815103" w:rsidP="00815103">
      <w:pPr>
        <w:pStyle w:val="Nivel3SM"/>
        <w:keepNext/>
      </w:pPr>
      <w:r>
        <w:rPr>
          <w:smallCaps/>
        </w:rPr>
        <w:t>Summers</w:t>
      </w:r>
      <w:r>
        <w:t>:</w:t>
      </w:r>
    </w:p>
    <w:p w14:paraId="31925946" w14:textId="77777777" w:rsidR="00815103" w:rsidRDefault="00815103" w:rsidP="00815103">
      <w:pPr>
        <w:pStyle w:val="Nivel4"/>
        <w:keepNext/>
        <w:ind w:left="1474"/>
      </w:pPr>
      <w:r>
        <w:t xml:space="preserve">Están de acuerdo en la manera de razonar, pero de acuerdo con </w:t>
      </w:r>
      <w:r>
        <w:rPr>
          <w:smallCaps/>
        </w:rPr>
        <w:t>Summers</w:t>
      </w:r>
      <w:r>
        <w:t xml:space="preserve"> hay una diferencia semántica:</w:t>
      </w:r>
    </w:p>
    <w:p w14:paraId="56779A82" w14:textId="77777777" w:rsidR="00815103" w:rsidRDefault="00815103" w:rsidP="00815103">
      <w:pPr>
        <w:pStyle w:val="Nivel5"/>
        <w:ind w:left="1871"/>
      </w:pPr>
      <w:r>
        <w:t xml:space="preserve">Para </w:t>
      </w:r>
      <w:r>
        <w:rPr>
          <w:smallCaps/>
        </w:rPr>
        <w:t>Summers</w:t>
      </w:r>
      <w:r>
        <w:t xml:space="preserve"> la era de estancamiento secular ha concluido porque la Reserva Federal ha identificado el tipo de interés real neutral en 0,5 %, mientras que el tipo de interés real se encuentra en 1,5 % </w:t>
      </w:r>
      <w:r w:rsidRPr="00D373A7">
        <w:rPr>
          <w:sz w:val="19"/>
          <w:szCs w:val="19"/>
        </w:rPr>
        <w:t>(significativamente superior al nivel neutral)</w:t>
      </w:r>
      <w:r>
        <w:t>.</w:t>
      </w:r>
    </w:p>
    <w:p w14:paraId="456F6363" w14:textId="77777777" w:rsidR="00815103" w:rsidRDefault="00815103" w:rsidP="00815103">
      <w:pPr>
        <w:pStyle w:val="Nivel5"/>
        <w:keepNext/>
        <w:ind w:left="1871"/>
      </w:pPr>
      <w:r>
        <w:t xml:space="preserve">Para </w:t>
      </w:r>
      <w:r>
        <w:rPr>
          <w:smallCaps/>
        </w:rPr>
        <w:t>Blanchard</w:t>
      </w:r>
      <w:r>
        <w:t xml:space="preserve">, en cambio, aún sigue en pie porque se cumple la condición </w:t>
      </w:r>
      <w:r w:rsidRPr="00F65165">
        <w:rPr>
          <w:i/>
          <w:iCs/>
        </w:rPr>
        <w:t>r</w:t>
      </w:r>
      <w:r>
        <w:rPr>
          <w:i/>
          <w:iCs/>
        </w:rPr>
        <w:t> </w:t>
      </w:r>
      <w:r>
        <w:rPr>
          <w:rFonts w:ascii="Times New Roman" w:hAnsi="Times New Roman" w:cs="Times New Roman"/>
          <w:i/>
          <w:iCs/>
        </w:rPr>
        <w:t>&lt; </w:t>
      </w:r>
      <w:r w:rsidRPr="00F65165">
        <w:rPr>
          <w:i/>
          <w:iCs/>
        </w:rPr>
        <w:t>g</w:t>
      </w:r>
      <w:r>
        <w:t>.</w:t>
      </w:r>
    </w:p>
    <w:p w14:paraId="5D44B7F6" w14:textId="77777777" w:rsidR="00815103" w:rsidRDefault="00815103" w:rsidP="00815103">
      <w:pPr>
        <w:pStyle w:val="Nivel6"/>
        <w:ind w:left="2212"/>
      </w:pPr>
      <w:r>
        <w:t xml:space="preserve">Según </w:t>
      </w:r>
      <w:r>
        <w:rPr>
          <w:smallCaps/>
        </w:rPr>
        <w:t>Summers</w:t>
      </w:r>
      <w:r>
        <w:t xml:space="preserve">, si aplicamos el criterio de </w:t>
      </w:r>
      <w:r>
        <w:rPr>
          <w:smallCaps/>
        </w:rPr>
        <w:t>Blanchard</w:t>
      </w:r>
      <w:r>
        <w:t xml:space="preserve"> existiría estancamiento secular en la década de 1950 y 1960, cuando no parecía haber un problema de demanda (i.e. no había estancamiento secular).</w:t>
      </w:r>
    </w:p>
    <w:p w14:paraId="305240E5" w14:textId="77777777" w:rsidR="00815103" w:rsidRPr="00F715C8" w:rsidRDefault="00815103" w:rsidP="00815103">
      <w:pPr>
        <w:pStyle w:val="Nivel4"/>
        <w:keepNext/>
        <w:ind w:left="1474"/>
        <w:rPr>
          <w:spacing w:val="-2"/>
        </w:rPr>
      </w:pPr>
      <w:r w:rsidRPr="00F715C8">
        <w:rPr>
          <w:spacing w:val="-2"/>
        </w:rPr>
        <w:t xml:space="preserve">Además </w:t>
      </w:r>
      <w:r w:rsidRPr="00F715C8">
        <w:rPr>
          <w:smallCaps/>
          <w:spacing w:val="-2"/>
        </w:rPr>
        <w:t>Summers</w:t>
      </w:r>
      <w:r w:rsidRPr="00F715C8">
        <w:rPr>
          <w:spacing w:val="-2"/>
        </w:rPr>
        <w:t xml:space="preserve"> pondera de distinta manera los factores señalados por </w:t>
      </w:r>
      <w:r w:rsidRPr="00F715C8">
        <w:rPr>
          <w:smallCaps/>
          <w:spacing w:val="-2"/>
        </w:rPr>
        <w:t>Blanchard</w:t>
      </w:r>
      <w:r w:rsidRPr="00F715C8">
        <w:rPr>
          <w:spacing w:val="-2"/>
        </w:rPr>
        <w:t>:</w:t>
      </w:r>
    </w:p>
    <w:p w14:paraId="5E905394" w14:textId="77777777" w:rsidR="00815103" w:rsidRDefault="00815103" w:rsidP="00815103">
      <w:pPr>
        <w:pStyle w:val="Nivel5"/>
        <w:ind w:left="1871"/>
      </w:pPr>
      <w:r w:rsidRPr="00F715C8">
        <w:rPr>
          <w:smallCaps/>
        </w:rPr>
        <w:t>Summers</w:t>
      </w:r>
      <w:r>
        <w:t xml:space="preserve"> considera que </w:t>
      </w:r>
      <w:r w:rsidRPr="00F715C8">
        <w:t>hay</w:t>
      </w:r>
      <w:r>
        <w:t xml:space="preserve"> una mayor aversión al riesgo por parte de los inversores y no una mayor </w:t>
      </w:r>
      <w:proofErr w:type="spellStart"/>
      <w:r w:rsidRPr="00F715C8">
        <w:rPr>
          <w:i/>
          <w:iCs/>
        </w:rPr>
        <w:t>demand</w:t>
      </w:r>
      <w:proofErr w:type="spellEnd"/>
      <w:r w:rsidRPr="00F715C8">
        <w:rPr>
          <w:i/>
          <w:iCs/>
        </w:rPr>
        <w:t xml:space="preserve"> </w:t>
      </w:r>
      <w:proofErr w:type="spellStart"/>
      <w:r>
        <w:rPr>
          <w:i/>
          <w:iCs/>
        </w:rPr>
        <w:t>for</w:t>
      </w:r>
      <w:proofErr w:type="spellEnd"/>
      <w:r>
        <w:rPr>
          <w:i/>
          <w:iCs/>
        </w:rPr>
        <w:t xml:space="preserve"> safety</w:t>
      </w:r>
      <w:r>
        <w:t xml:space="preserve"> (lo que parece un fenómeno de largo plazo y lleva a aumentos del tipo de interés neutral).</w:t>
      </w:r>
    </w:p>
    <w:p w14:paraId="61E32C0E" w14:textId="77777777" w:rsidR="00815103" w:rsidRDefault="00815103" w:rsidP="00815103">
      <w:pPr>
        <w:pStyle w:val="Nivel5"/>
        <w:ind w:left="1871"/>
      </w:pPr>
      <w:r>
        <w:t xml:space="preserve">La tendencia hacia el aumento de la esperanza de vida ha perdido fuerza. Además, </w:t>
      </w:r>
      <w:r>
        <w:rPr>
          <w:smallCaps/>
        </w:rPr>
        <w:t>Larry Summers</w:t>
      </w:r>
      <w:r>
        <w:t xml:space="preserve"> afirma que lo realmente relevante es la relación entre la esperanza de vida y la edad de jubilación (que también ha aumentado), pues es lo que marca la ratio entre ahorradores y demandantes de fondos prestables.</w:t>
      </w:r>
    </w:p>
    <w:p w14:paraId="3534D144" w14:textId="631E0660" w:rsidR="00815103" w:rsidRDefault="00815103" w:rsidP="00815103">
      <w:pPr>
        <w:pStyle w:val="Nivel2SM"/>
      </w:pPr>
      <w:r>
        <w:t xml:space="preserve">Con respecto a la inversión, </w:t>
      </w:r>
      <w:r>
        <w:rPr>
          <w:smallCaps/>
        </w:rPr>
        <w:t>Summers</w:t>
      </w:r>
      <w:r>
        <w:t xml:space="preserve"> considera que la demanda de inversión aumentará</w:t>
      </w:r>
      <w:r>
        <w:rPr>
          <w:rStyle w:val="Refdenotaalpie"/>
        </w:rPr>
        <w:footnoteReference w:id="38"/>
      </w:r>
      <w:r>
        <w:t>.</w:t>
      </w:r>
      <w:bookmarkEnd w:id="137"/>
    </w:p>
    <w:p w14:paraId="0E055F8D" w14:textId="57599B2F" w:rsidR="002536A4" w:rsidRDefault="002536A4" w:rsidP="002536A4">
      <w:pPr>
        <w:pStyle w:val="Introduccinyconclusin"/>
      </w:pPr>
      <w:r>
        <w:t>CONCLUSIÓN</w:t>
      </w:r>
    </w:p>
    <w:p w14:paraId="5B03D505" w14:textId="0D7459FB" w:rsidR="001B702F" w:rsidRPr="001B702F" w:rsidRDefault="001B702F" w:rsidP="001B702F">
      <w:pPr>
        <w:pStyle w:val="Nivel1"/>
        <w:spacing w:before="0"/>
      </w:pPr>
      <w:r>
        <w:t xml:space="preserve">A lo </w:t>
      </w:r>
      <w:r w:rsidRPr="001B702F">
        <w:t xml:space="preserve">largo de esta exposición hemos profundizado en el análisis de la función estabilizadora del presupuesto, una función especialmente relevante </w:t>
      </w:r>
      <w:r w:rsidRPr="001B702F">
        <w:rPr>
          <w:i/>
          <w:iCs/>
        </w:rPr>
        <w:t>(i)</w:t>
      </w:r>
      <w:r>
        <w:t> </w:t>
      </w:r>
      <w:r w:rsidRPr="001B702F">
        <w:t xml:space="preserve">en periodos de marcadas fluctuaciones económicas como la que estamos viviendo; y </w:t>
      </w:r>
      <w:r w:rsidRPr="001B702F">
        <w:rPr>
          <w:i/>
          <w:iCs/>
        </w:rPr>
        <w:t>(</w:t>
      </w:r>
      <w:proofErr w:type="spellStart"/>
      <w:r w:rsidRPr="001B702F">
        <w:rPr>
          <w:i/>
          <w:iCs/>
        </w:rPr>
        <w:t>ii</w:t>
      </w:r>
      <w:proofErr w:type="spellEnd"/>
      <w:r w:rsidRPr="001B702F">
        <w:rPr>
          <w:i/>
          <w:iCs/>
        </w:rPr>
        <w:t>)</w:t>
      </w:r>
      <w:r>
        <w:t> </w:t>
      </w:r>
      <w:r w:rsidRPr="001B702F">
        <w:t>en el caso de España y el resto de países de la UEM, que han cedido sus competencias en materia monetaria y cambiaria a una entidad supranacional.</w:t>
      </w:r>
    </w:p>
    <w:p w14:paraId="2CECA437" w14:textId="3F0E5B86" w:rsidR="001B702F" w:rsidRPr="001B702F" w:rsidRDefault="001B702F" w:rsidP="001B702F">
      <w:pPr>
        <w:pStyle w:val="Nivel1"/>
      </w:pPr>
      <w:r w:rsidRPr="001B702F">
        <w:t xml:space="preserve">Como hemos visto, la función estabilizadora de la </w:t>
      </w:r>
      <w:r w:rsidR="001C7A20">
        <w:t>política fiscal</w:t>
      </w:r>
      <w:r w:rsidRPr="001B702F">
        <w:t xml:space="preserve"> puede derivar de la propia existencia del presupuesto (estabilizadores automáticos) o de las decisiones discrecionales de las autoridades.</w:t>
      </w:r>
    </w:p>
    <w:p w14:paraId="395AF0CA" w14:textId="643986C7" w:rsidR="001B702F" w:rsidRPr="001B702F" w:rsidRDefault="001B702F" w:rsidP="001B702F">
      <w:pPr>
        <w:pStyle w:val="Nivel1"/>
      </w:pPr>
      <w:r w:rsidRPr="001B702F">
        <w:t xml:space="preserve">La evidencia empírica muestra que la </w:t>
      </w:r>
      <w:r w:rsidR="0016190E">
        <w:t>política fiscal</w:t>
      </w:r>
      <w:r w:rsidRPr="001B702F">
        <w:t xml:space="preserve"> tiene efectos expansivos sobre el PIB, en línea con las conclusiones de los modelos macro</w:t>
      </w:r>
      <w:r w:rsidR="0016190E">
        <w:t>económicos</w:t>
      </w:r>
      <w:r w:rsidRPr="001B702F">
        <w:t xml:space="preserve"> de Ciclo Real y </w:t>
      </w:r>
      <w:proofErr w:type="spellStart"/>
      <w:r w:rsidR="0016190E">
        <w:t>neokeynesianos</w:t>
      </w:r>
      <w:proofErr w:type="spellEnd"/>
      <w:r w:rsidRPr="001B702F">
        <w:t xml:space="preserve">, si bien en los </w:t>
      </w:r>
      <w:proofErr w:type="spellStart"/>
      <w:r w:rsidR="0016190E">
        <w:t>neokeynesianos</w:t>
      </w:r>
      <w:proofErr w:type="spellEnd"/>
      <w:r w:rsidRPr="001B702F">
        <w:t xml:space="preserve"> los efectos son mayores al añadir rigideces nominales de precios. Sin embargo, dependiendo del enfoque empírico utilizado existen divergencias sobre la intensidad de estos efectos expansivos. Ahora bien</w:t>
      </w:r>
      <w:r>
        <w:t>,</w:t>
      </w:r>
      <w:r w:rsidRPr="001B702F">
        <w:t xml:space="preserve"> los retardos en su implementación y la dependencia de decisiones discrecionales del </w:t>
      </w:r>
      <w:proofErr w:type="spellStart"/>
      <w:r w:rsidRPr="001B702F">
        <w:t>policymaker</w:t>
      </w:r>
      <w:proofErr w:type="spellEnd"/>
      <w:r w:rsidRPr="001B702F">
        <w:t xml:space="preserve"> provocan una advertencia de prudencia por los economistas a la realización de una </w:t>
      </w:r>
      <w:r w:rsidR="0016190E">
        <w:t>política fiscal</w:t>
      </w:r>
      <w:r w:rsidRPr="001B702F">
        <w:t xml:space="preserve"> con objetivos de </w:t>
      </w:r>
      <w:r w:rsidR="0016190E" w:rsidRPr="0016190E">
        <w:rPr>
          <w:i/>
          <w:iCs/>
        </w:rPr>
        <w:t>f</w:t>
      </w:r>
      <w:r w:rsidRPr="0016190E">
        <w:rPr>
          <w:i/>
          <w:iCs/>
        </w:rPr>
        <w:t xml:space="preserve">ine </w:t>
      </w:r>
      <w:proofErr w:type="spellStart"/>
      <w:r w:rsidR="0016190E">
        <w:rPr>
          <w:i/>
          <w:iCs/>
        </w:rPr>
        <w:t>t</w:t>
      </w:r>
      <w:r w:rsidRPr="0016190E">
        <w:rPr>
          <w:i/>
          <w:iCs/>
        </w:rPr>
        <w:t>uning</w:t>
      </w:r>
      <w:proofErr w:type="spellEnd"/>
      <w:r w:rsidRPr="001B702F">
        <w:t xml:space="preserve">. En contraposición se ponía el énfasis en una </w:t>
      </w:r>
      <w:r w:rsidR="001C7A20">
        <w:t>política fiscal</w:t>
      </w:r>
      <w:r w:rsidRPr="001B702F">
        <w:t xml:space="preserve"> neutral que dejase actuar a los estabilizadores presupuestarios y con objetivo a la consolidación presupuestaria a medio y largo plazo,</w:t>
      </w:r>
    </w:p>
    <w:p w14:paraId="3D3070B5" w14:textId="43943A57" w:rsidR="001B702F" w:rsidRDefault="001B702F" w:rsidP="001B702F">
      <w:pPr>
        <w:pStyle w:val="Nivel1"/>
        <w:keepNext/>
        <w:spacing w:after="0"/>
      </w:pPr>
      <w:r w:rsidRPr="001B702F">
        <w:lastRenderedPageBreak/>
        <w:t xml:space="preserve">Sin embargo, la crisis global y la crisis del </w:t>
      </w:r>
      <w:proofErr w:type="spellStart"/>
      <w:r w:rsidRPr="001B702F">
        <w:t>Covid</w:t>
      </w:r>
      <w:proofErr w:type="spellEnd"/>
      <w:r w:rsidRPr="001B702F">
        <w:t xml:space="preserve"> ha devuelto a la </w:t>
      </w:r>
      <w:r w:rsidR="0016190E">
        <w:t>política fiscal</w:t>
      </w:r>
      <w:r w:rsidRPr="001B702F">
        <w:t xml:space="preserve"> al eje central en los debates de pol</w:t>
      </w:r>
      <w:r>
        <w:t>ítica</w:t>
      </w:r>
      <w:r w:rsidRPr="001B702F">
        <w:t xml:space="preserve"> eco</w:t>
      </w:r>
      <w:r>
        <w:t>nómica</w:t>
      </w:r>
      <w:r w:rsidRPr="001B702F">
        <w:t xml:space="preserve"> por </w:t>
      </w:r>
      <w:r>
        <w:t>2 </w:t>
      </w:r>
      <w:r w:rsidRPr="001B702F">
        <w:t>razones</w:t>
      </w:r>
      <w:r>
        <w:t>:</w:t>
      </w:r>
    </w:p>
    <w:p w14:paraId="6B27CA35" w14:textId="26049E5E" w:rsidR="001B702F" w:rsidRDefault="001B702F" w:rsidP="001B702F">
      <w:pPr>
        <w:pStyle w:val="Nivel2"/>
      </w:pPr>
      <w:r w:rsidRPr="001B702F">
        <w:t xml:space="preserve">Las limitaciones de la </w:t>
      </w:r>
      <w:r w:rsidR="001C7A20">
        <w:t>política monetaria</w:t>
      </w:r>
      <w:r w:rsidRPr="001B702F">
        <w:t xml:space="preserve"> para seguir estimulando la economía a partir del ZLB</w:t>
      </w:r>
      <w:r>
        <w:t xml:space="preserve">; </w:t>
      </w:r>
      <w:r w:rsidRPr="001B702F">
        <w:t>y</w:t>
      </w:r>
    </w:p>
    <w:p w14:paraId="1B3537CA" w14:textId="442A94E9" w:rsidR="001B702F" w:rsidRPr="001B702F" w:rsidRDefault="001B702F" w:rsidP="001B702F">
      <w:pPr>
        <w:pStyle w:val="Nivel2"/>
      </w:pPr>
      <w:r>
        <w:t>L</w:t>
      </w:r>
      <w:r w:rsidRPr="001B702F">
        <w:t>a expectativa de que los efectos de la crisis iban a ser de larga duración, existiendo por tanto margen para que un estímulo fiscal pudiera tener un impacto beneficioso a pesar de sus retardos</w:t>
      </w:r>
      <w:r>
        <w:t xml:space="preserve"> </w:t>
      </w:r>
      <w:r w:rsidRPr="001B702F">
        <w:t>(reducción tipos de interés- menos problemas de financiación</w:t>
      </w:r>
      <w:r>
        <w:t>.</w:t>
      </w:r>
    </w:p>
    <w:p w14:paraId="7CD07BC0" w14:textId="77777777" w:rsidR="001C7A20" w:rsidRDefault="001B702F" w:rsidP="001C7A20">
      <w:pPr>
        <w:pStyle w:val="Nivel1"/>
        <w:keepNext/>
        <w:spacing w:after="0"/>
      </w:pPr>
      <w:r w:rsidRPr="001B702F">
        <w:t>Por otro lado, se ha revisado la metodología de la Comisi</w:t>
      </w:r>
      <w:r>
        <w:t>ó</w:t>
      </w:r>
      <w:r w:rsidRPr="001B702F">
        <w:t>n Europea para separar el componente discrecional y automático del presupuesto:</w:t>
      </w:r>
    </w:p>
    <w:p w14:paraId="54FA7D65" w14:textId="77777777" w:rsidR="001C7A20" w:rsidRDefault="001C7A20" w:rsidP="001C7A20">
      <w:pPr>
        <w:pStyle w:val="Nivel2"/>
      </w:pPr>
      <w:r>
        <w:t>P</w:t>
      </w:r>
      <w:r w:rsidR="001B702F" w:rsidRPr="001B702F">
        <w:t>rimero se calcula el output gap</w:t>
      </w:r>
      <w:r>
        <w:t>.</w:t>
      </w:r>
    </w:p>
    <w:p w14:paraId="1AB22A2E" w14:textId="77777777" w:rsidR="001C7A20" w:rsidRDefault="001C7A20" w:rsidP="001C7A20">
      <w:pPr>
        <w:pStyle w:val="Nivel2"/>
      </w:pPr>
      <w:r>
        <w:t>D</w:t>
      </w:r>
      <w:r w:rsidR="001B702F" w:rsidRPr="001B702F">
        <w:t>espués se calculan las elasticidades de los ingresos y de los gastos respecto a dicho output gap</w:t>
      </w:r>
      <w:r>
        <w:t>.</w:t>
      </w:r>
    </w:p>
    <w:p w14:paraId="58895A9C" w14:textId="77777777" w:rsidR="0016190E" w:rsidRDefault="001C7A20" w:rsidP="001C7A20">
      <w:pPr>
        <w:pStyle w:val="Nivel2"/>
      </w:pPr>
      <w:r>
        <w:t>P</w:t>
      </w:r>
      <w:r w:rsidR="001B702F" w:rsidRPr="001B702F">
        <w:t>or último</w:t>
      </w:r>
      <w:r>
        <w:t>,</w:t>
      </w:r>
      <w:r w:rsidR="001B702F" w:rsidRPr="001B702F">
        <w:t xml:space="preserve"> se multiplica el output gap por las semielasticidades ponderadas para obtener el saldo cíclico.</w:t>
      </w:r>
    </w:p>
    <w:p w14:paraId="16B89EFD" w14:textId="286609F6" w:rsidR="001B702F" w:rsidRPr="001B702F" w:rsidRDefault="001B702F" w:rsidP="001C7A20">
      <w:pPr>
        <w:pStyle w:val="Nivel2"/>
      </w:pPr>
      <w:r w:rsidRPr="001B702F">
        <w:t xml:space="preserve">El saldo estructural es el resultado de restar al saldo observado el saldo cíclico y las medidas </w:t>
      </w:r>
      <w:proofErr w:type="spellStart"/>
      <w:r w:rsidRPr="001B702F">
        <w:t>one</w:t>
      </w:r>
      <w:proofErr w:type="spellEnd"/>
      <w:r w:rsidRPr="001B702F">
        <w:t>-off de política fiscal y nos permitirá ver la política fiscal discrecional</w:t>
      </w:r>
      <w:r w:rsidR="0016190E">
        <w:t>.</w:t>
      </w:r>
    </w:p>
    <w:p w14:paraId="494A4FD0" w14:textId="46862B8A" w:rsidR="002536A4" w:rsidRDefault="001B702F" w:rsidP="002536A4">
      <w:pPr>
        <w:pStyle w:val="Nivel1"/>
      </w:pPr>
      <w:r w:rsidRPr="001B702F">
        <w:rPr>
          <w:smallCaps/>
        </w:rPr>
        <w:t>Blanchard</w:t>
      </w:r>
      <w:r w:rsidRPr="001B702F">
        <w:t xml:space="preserve"> (1990) critica los supuestos sobre la naturaleza de las fluctuaciones cíclicas sobre los que se basan estos indicadores. En efecto, estos indicadores se basan en la existencia de una tendencia clara en la evolución de la economía</w:t>
      </w:r>
      <w:r>
        <w:t>, alrededor de la cual se producen fluctuaciones regulares. Sin embargo, ni la investigación econométrica ni la realidad parecen apoyar esta idea: el producto potencial puede cambiar como consecuencia del ciclo (p.ej. tras la última crisis el producto potencial de los países más afectados se ha ido revisando a la baja).</w:t>
      </w:r>
    </w:p>
    <w:p w14:paraId="12A36BE0" w14:textId="0F184FA6" w:rsidR="00F62712" w:rsidRPr="00F62712" w:rsidRDefault="00F62712" w:rsidP="001C4C4C">
      <w:pPr>
        <w:pStyle w:val="Nivel1"/>
        <w:keepNext/>
        <w:spacing w:after="0"/>
        <w:rPr>
          <w:sz w:val="24"/>
          <w:szCs w:val="24"/>
          <w:lang w:eastAsia="es-ES"/>
        </w:rPr>
      </w:pPr>
      <w:r w:rsidRPr="00F62712">
        <w:rPr>
          <w:lang w:eastAsia="es-ES"/>
        </w:rPr>
        <w:t xml:space="preserve">Debido al </w:t>
      </w:r>
      <w:r w:rsidRPr="001C4C4C">
        <w:rPr>
          <w:i/>
          <w:iCs/>
          <w:lang w:eastAsia="es-ES"/>
        </w:rPr>
        <w:t>impacto que la pandemia del Covid-19</w:t>
      </w:r>
      <w:r w:rsidRPr="00F62712">
        <w:rPr>
          <w:lang w:eastAsia="es-ES"/>
        </w:rPr>
        <w:t xml:space="preserve"> ha tenido sobre los modelos de previsión se ha hecho necesario modificar puntualmente la metodología de la f</w:t>
      </w:r>
      <w:r>
        <w:rPr>
          <w:lang w:eastAsia="es-ES"/>
        </w:rPr>
        <w:t>unción</w:t>
      </w:r>
      <w:r w:rsidRPr="00F62712">
        <w:rPr>
          <w:lang w:eastAsia="es-ES"/>
        </w:rPr>
        <w:t xml:space="preserve"> de producción.</w:t>
      </w:r>
    </w:p>
    <w:p w14:paraId="4647FD71" w14:textId="10728CE3" w:rsidR="00F62712" w:rsidRPr="001E57C2" w:rsidRDefault="00F62712" w:rsidP="00455C90">
      <w:pPr>
        <w:pStyle w:val="Nivel2"/>
        <w:keepNext/>
        <w:spacing w:after="0"/>
        <w:rPr>
          <w:sz w:val="24"/>
          <w:szCs w:val="24"/>
          <w:lang w:eastAsia="es-ES"/>
        </w:rPr>
      </w:pPr>
      <w:r w:rsidRPr="00F62712">
        <w:rPr>
          <w:lang w:eastAsia="es-ES"/>
        </w:rPr>
        <w:t>Problema</w:t>
      </w:r>
      <w:r w:rsidR="001E57C2">
        <w:rPr>
          <w:lang w:eastAsia="es-ES"/>
        </w:rPr>
        <w:t xml:space="preserve">: </w:t>
      </w:r>
      <w:r w:rsidRPr="00F62712">
        <w:rPr>
          <w:lang w:eastAsia="es-ES"/>
        </w:rPr>
        <w:t>La aplicación mecánica de las reglas de la metodología común conduce a una desagregación de los componentes cíclico y estructural del déficit en 2020 de difícil interpretación.</w:t>
      </w:r>
    </w:p>
    <w:p w14:paraId="77D9EB2E" w14:textId="4513C0AA" w:rsidR="00F62712" w:rsidRPr="00F62712" w:rsidRDefault="00F62712" w:rsidP="001E57C2">
      <w:pPr>
        <w:pStyle w:val="Nivel3"/>
        <w:rPr>
          <w:sz w:val="24"/>
          <w:szCs w:val="24"/>
          <w:lang w:eastAsia="es-ES"/>
        </w:rPr>
      </w:pPr>
      <w:r w:rsidRPr="00F62712">
        <w:rPr>
          <w:lang w:eastAsia="es-ES"/>
        </w:rPr>
        <w:t>Invalidez de la semielasticidad h</w:t>
      </w:r>
      <w:r w:rsidR="001E57C2">
        <w:rPr>
          <w:lang w:eastAsia="es-ES"/>
        </w:rPr>
        <w:t>istóri</w:t>
      </w:r>
      <w:r w:rsidRPr="00F62712">
        <w:rPr>
          <w:lang w:eastAsia="es-ES"/>
        </w:rPr>
        <w:t>ca utilizada para calcular el déficit cíclico, debido a que las medidas de apoyo han modificado la relación de largo plazo entre variables macro</w:t>
      </w:r>
      <w:r w:rsidR="00100EDD">
        <w:rPr>
          <w:lang w:eastAsia="es-ES"/>
        </w:rPr>
        <w:t>económicas</w:t>
      </w:r>
      <w:r w:rsidRPr="00F62712">
        <w:rPr>
          <w:lang w:eastAsia="es-ES"/>
        </w:rPr>
        <w:t xml:space="preserve"> y variables fiscales. Desde el inicio de la crisis </w:t>
      </w:r>
      <w:proofErr w:type="spellStart"/>
      <w:r w:rsidRPr="00F62712">
        <w:rPr>
          <w:lang w:eastAsia="es-ES"/>
        </w:rPr>
        <w:t>Covid</w:t>
      </w:r>
      <w:proofErr w:type="spellEnd"/>
      <w:r w:rsidRPr="00F62712">
        <w:rPr>
          <w:lang w:eastAsia="es-ES"/>
        </w:rPr>
        <w:t xml:space="preserve"> hasta finales de 2020, los </w:t>
      </w:r>
      <w:proofErr w:type="spellStart"/>
      <w:r w:rsidRPr="00F62712">
        <w:rPr>
          <w:lang w:eastAsia="es-ES"/>
        </w:rPr>
        <w:t>ERTEs</w:t>
      </w:r>
      <w:proofErr w:type="spellEnd"/>
      <w:r w:rsidRPr="00F62712">
        <w:rPr>
          <w:lang w:eastAsia="es-ES"/>
        </w:rPr>
        <w:t xml:space="preserve"> absorbieron un promedio del 70</w:t>
      </w:r>
      <w:r w:rsidR="00696ADE">
        <w:rPr>
          <w:lang w:eastAsia="es-ES"/>
        </w:rPr>
        <w:t> </w:t>
      </w:r>
      <w:r w:rsidRPr="00F62712">
        <w:rPr>
          <w:lang w:eastAsia="es-ES"/>
        </w:rPr>
        <w:t>% del ajuste en el mercado de trabajo. Asimismo, el amplio abanico de medidas de mantenimiento de rentas y el menor efecto en el empleo frente a crisis anteriores ha amortiguado el impacto negativo en la recaudación.</w:t>
      </w:r>
    </w:p>
    <w:p w14:paraId="64D78F2B" w14:textId="4BF6FDAC" w:rsidR="00F62712" w:rsidRPr="00B77F53" w:rsidRDefault="00F62712" w:rsidP="0064749A">
      <w:pPr>
        <w:pStyle w:val="Nivel3"/>
        <w:rPr>
          <w:sz w:val="24"/>
          <w:szCs w:val="24"/>
          <w:lang w:eastAsia="es-ES"/>
        </w:rPr>
      </w:pPr>
      <w:r w:rsidRPr="00F62712">
        <w:rPr>
          <w:lang w:eastAsia="es-ES"/>
        </w:rPr>
        <w:t>En segundo lugar, la existencia de medidas discrecionales esencialmente de corte sanitario, debería diferenciarse de otra medidas cuyo impacto en el déficit se mantiene en el tiempo</w:t>
      </w:r>
      <w:r>
        <w:rPr>
          <w:lang w:eastAsia="es-ES"/>
        </w:rPr>
        <w:t xml:space="preserve"> </w:t>
      </w:r>
      <w:r w:rsidRPr="00F62712">
        <w:rPr>
          <w:lang w:eastAsia="es-ES"/>
        </w:rPr>
        <w:t>(déficit estructural) como IMV.</w:t>
      </w:r>
      <w:r w:rsidR="001E57C2">
        <w:rPr>
          <w:lang w:eastAsia="es-ES"/>
        </w:rPr>
        <w:t xml:space="preserve"> </w:t>
      </w:r>
      <w:r w:rsidRPr="00F62712">
        <w:rPr>
          <w:lang w:eastAsia="es-ES"/>
        </w:rPr>
        <w:t>De hecho, las medidas nuevas y con finalidad expresa de lucha contra el COVID, tuvieron un impacto en el déficit público de más del 1,4</w:t>
      </w:r>
      <w:r w:rsidR="00696ADE">
        <w:rPr>
          <w:lang w:eastAsia="es-ES"/>
        </w:rPr>
        <w:t> </w:t>
      </w:r>
      <w:r w:rsidRPr="00F62712">
        <w:rPr>
          <w:lang w:eastAsia="es-ES"/>
        </w:rPr>
        <w:t>% del PIB en 2020.</w:t>
      </w:r>
    </w:p>
    <w:p w14:paraId="539EA94F" w14:textId="430AC3E8" w:rsidR="00F62712" w:rsidRPr="00F62712" w:rsidRDefault="00F62712" w:rsidP="001E57C2">
      <w:pPr>
        <w:pStyle w:val="Nivel2"/>
        <w:keepNext/>
        <w:spacing w:after="0"/>
        <w:rPr>
          <w:sz w:val="24"/>
          <w:szCs w:val="24"/>
          <w:lang w:eastAsia="es-ES"/>
        </w:rPr>
      </w:pPr>
      <w:r w:rsidRPr="00F62712">
        <w:rPr>
          <w:lang w:eastAsia="es-ES"/>
        </w:rPr>
        <w:t xml:space="preserve">Teniendo en cuenta estos </w:t>
      </w:r>
      <w:r w:rsidR="001E57C2">
        <w:rPr>
          <w:lang w:eastAsia="es-ES"/>
        </w:rPr>
        <w:t>2 </w:t>
      </w:r>
      <w:r w:rsidRPr="00F62712">
        <w:rPr>
          <w:lang w:eastAsia="es-ES"/>
        </w:rPr>
        <w:t>elementos, puede proponerse una descomposición alternativa</w:t>
      </w:r>
      <w:r w:rsidR="00797A28">
        <w:rPr>
          <w:lang w:eastAsia="es-ES"/>
        </w:rPr>
        <w:t xml:space="preserve"> </w:t>
      </w:r>
      <w:r w:rsidR="00797A28" w:rsidRPr="00F62712">
        <w:rPr>
          <w:lang w:eastAsia="es-ES"/>
        </w:rPr>
        <w:t>de manera temporal</w:t>
      </w:r>
      <w:r w:rsidRPr="00F62712">
        <w:rPr>
          <w:lang w:eastAsia="es-ES"/>
        </w:rPr>
        <w:t xml:space="preserve">, con una estimación atenuada del déficit cíclico y un saldo estructural dividido en </w:t>
      </w:r>
      <w:r w:rsidR="001E57C2">
        <w:rPr>
          <w:lang w:eastAsia="es-ES"/>
        </w:rPr>
        <w:t>2 </w:t>
      </w:r>
      <w:r w:rsidRPr="00F62712">
        <w:rPr>
          <w:lang w:eastAsia="es-ES"/>
        </w:rPr>
        <w:t xml:space="preserve">componentes, </w:t>
      </w:r>
      <w:r w:rsidR="00797A28" w:rsidRPr="00797A28">
        <w:rPr>
          <w:i/>
          <w:iCs/>
          <w:lang w:eastAsia="es-ES"/>
        </w:rPr>
        <w:t>(i)</w:t>
      </w:r>
      <w:r w:rsidR="00797A28">
        <w:rPr>
          <w:lang w:eastAsia="es-ES"/>
        </w:rPr>
        <w:t> </w:t>
      </w:r>
      <w:r w:rsidRPr="00F62712">
        <w:rPr>
          <w:lang w:eastAsia="es-ES"/>
        </w:rPr>
        <w:t xml:space="preserve">el tradicional y </w:t>
      </w:r>
      <w:r w:rsidR="00797A28" w:rsidRPr="00797A28">
        <w:rPr>
          <w:i/>
          <w:iCs/>
          <w:lang w:eastAsia="es-ES"/>
        </w:rPr>
        <w:t>(</w:t>
      </w:r>
      <w:proofErr w:type="spellStart"/>
      <w:r w:rsidR="00797A28" w:rsidRPr="00797A28">
        <w:rPr>
          <w:i/>
          <w:iCs/>
          <w:lang w:eastAsia="es-ES"/>
        </w:rPr>
        <w:t>i</w:t>
      </w:r>
      <w:r w:rsidR="00797A28">
        <w:rPr>
          <w:i/>
          <w:iCs/>
          <w:lang w:eastAsia="es-ES"/>
        </w:rPr>
        <w:t>i</w:t>
      </w:r>
      <w:proofErr w:type="spellEnd"/>
      <w:r w:rsidR="00797A28" w:rsidRPr="00797A28">
        <w:rPr>
          <w:i/>
          <w:iCs/>
          <w:lang w:eastAsia="es-ES"/>
        </w:rPr>
        <w:t>)</w:t>
      </w:r>
      <w:r w:rsidR="00797A28">
        <w:rPr>
          <w:lang w:eastAsia="es-ES"/>
        </w:rPr>
        <w:t> </w:t>
      </w:r>
      <w:r w:rsidRPr="00F62712">
        <w:rPr>
          <w:lang w:eastAsia="es-ES"/>
        </w:rPr>
        <w:t>el asociado al COVID.</w:t>
      </w:r>
    </w:p>
    <w:p w14:paraId="02A771BC" w14:textId="570EB658" w:rsidR="00F62712" w:rsidRPr="001E57C2" w:rsidRDefault="00F62712" w:rsidP="001E57C2">
      <w:pPr>
        <w:pStyle w:val="Prrafodelista"/>
        <w:numPr>
          <w:ilvl w:val="0"/>
          <w:numId w:val="75"/>
        </w:numPr>
        <w:spacing w:after="0"/>
        <w:ind w:left="1701" w:hanging="113"/>
        <w:rPr>
          <w:sz w:val="24"/>
          <w:szCs w:val="24"/>
          <w:lang w:eastAsia="es-ES"/>
        </w:rPr>
      </w:pPr>
      <w:r w:rsidRPr="00F62712">
        <w:rPr>
          <w:lang w:eastAsia="es-ES"/>
        </w:rPr>
        <w:t xml:space="preserve">Se usan horas trabajadas por ocupado la media de las horas de 2019 y 2021 para corregir los efectos de los </w:t>
      </w:r>
      <w:proofErr w:type="spellStart"/>
      <w:r w:rsidRPr="00F62712">
        <w:rPr>
          <w:lang w:eastAsia="es-ES"/>
        </w:rPr>
        <w:t>ERTEs</w:t>
      </w:r>
      <w:proofErr w:type="spellEnd"/>
      <w:r w:rsidRPr="00F62712">
        <w:rPr>
          <w:lang w:eastAsia="es-ES"/>
        </w:rPr>
        <w:t>.</w:t>
      </w:r>
    </w:p>
    <w:p w14:paraId="0C5B811C" w14:textId="14602C10" w:rsidR="00F62712" w:rsidRPr="001E57C2" w:rsidRDefault="00696ADE" w:rsidP="001E57C2">
      <w:pPr>
        <w:pStyle w:val="Prrafodelista"/>
        <w:numPr>
          <w:ilvl w:val="0"/>
          <w:numId w:val="75"/>
        </w:numPr>
        <w:spacing w:after="0"/>
        <w:ind w:left="1701" w:hanging="113"/>
        <w:rPr>
          <w:sz w:val="24"/>
          <w:szCs w:val="24"/>
          <w:lang w:eastAsia="es-ES"/>
        </w:rPr>
      </w:pPr>
      <w:r>
        <w:rPr>
          <w:lang w:eastAsia="es-ES"/>
        </w:rPr>
        <w:t>S</w:t>
      </w:r>
      <w:r w:rsidR="00F62712" w:rsidRPr="00F62712">
        <w:rPr>
          <w:lang w:eastAsia="es-ES"/>
        </w:rPr>
        <w:t xml:space="preserve">e han utilizado variables </w:t>
      </w:r>
      <w:proofErr w:type="spellStart"/>
      <w:r w:rsidR="00F62712" w:rsidRPr="00797A28">
        <w:rPr>
          <w:i/>
          <w:iCs/>
          <w:lang w:eastAsia="es-ES"/>
        </w:rPr>
        <w:t>dummy</w:t>
      </w:r>
      <w:proofErr w:type="spellEnd"/>
      <w:r w:rsidR="00F62712" w:rsidRPr="00F62712">
        <w:rPr>
          <w:lang w:eastAsia="es-ES"/>
        </w:rPr>
        <w:t xml:space="preserve"> para limitar el cambio de la NAWRU ante las variaciones esperadas de los Costes Laborales Unitarios reales.</w:t>
      </w:r>
    </w:p>
    <w:p w14:paraId="25274310" w14:textId="30AA361E" w:rsidR="002536A4" w:rsidRPr="0067325E" w:rsidRDefault="00F62712" w:rsidP="0067325E">
      <w:pPr>
        <w:pStyle w:val="Prrafodelista"/>
        <w:numPr>
          <w:ilvl w:val="0"/>
          <w:numId w:val="75"/>
        </w:numPr>
        <w:spacing w:after="0"/>
        <w:ind w:left="1701" w:hanging="113"/>
        <w:rPr>
          <w:sz w:val="24"/>
          <w:szCs w:val="24"/>
          <w:lang w:eastAsia="es-ES"/>
        </w:rPr>
      </w:pPr>
      <w:r w:rsidRPr="00F62712">
        <w:rPr>
          <w:lang w:eastAsia="es-ES"/>
        </w:rPr>
        <w:t>Emplear una semielasticidad ajustada</w:t>
      </w:r>
      <w:r w:rsidR="00696ADE">
        <w:rPr>
          <w:lang w:eastAsia="es-ES"/>
        </w:rPr>
        <w:t>.</w:t>
      </w:r>
      <w:r w:rsidR="002536A4" w:rsidRPr="0067325E">
        <w:rPr>
          <w:b/>
        </w:rPr>
        <w:br w:type="page"/>
      </w:r>
    </w:p>
    <w:p w14:paraId="08058358" w14:textId="77777777" w:rsidR="002536A4" w:rsidRDefault="002536A4" w:rsidP="002536A4">
      <w:pPr>
        <w:pStyle w:val="Ttulo4"/>
      </w:pPr>
      <w:bookmarkStart w:id="149" w:name="_Hlk146183784"/>
      <w:r>
        <w:lastRenderedPageBreak/>
        <w:t>Bibliografía</w:t>
      </w:r>
    </w:p>
    <w:p w14:paraId="568C7559" w14:textId="77777777" w:rsidR="002536A4" w:rsidRDefault="002536A4" w:rsidP="002536A4">
      <w:r>
        <w:t>Tema María Palacios Carrere</w:t>
      </w:r>
    </w:p>
    <w:p w14:paraId="0761117E" w14:textId="494A462C" w:rsidR="004124C9" w:rsidRPr="004124C9" w:rsidRDefault="004124C9" w:rsidP="002536A4">
      <w:r>
        <w:t>Tema Juan Luis Cordero Tarifa</w:t>
      </w:r>
    </w:p>
    <w:p w14:paraId="59E6C8D0" w14:textId="2B1608EC" w:rsidR="002536A4" w:rsidRDefault="002536A4" w:rsidP="002536A4">
      <w:r w:rsidRPr="002536A4">
        <w:rPr>
          <w:i/>
          <w:iCs/>
        </w:rPr>
        <w:t>“Indicadores de discrecionalidad fiscal. Medidas alternativas”</w:t>
      </w:r>
      <w:r>
        <w:t xml:space="preserve"> (Fernández, Nadal y Sanz). Disponible en Google </w:t>
      </w:r>
      <w:r w:rsidR="004124C9">
        <w:t>L</w:t>
      </w:r>
      <w:r>
        <w:t>ibros.</w:t>
      </w:r>
    </w:p>
    <w:p w14:paraId="6CB3FACD" w14:textId="2D05B659" w:rsidR="00635AE5" w:rsidRDefault="00635AE5" w:rsidP="002536A4">
      <w:hyperlink r:id="rId39" w:history="1">
        <w:r w:rsidRPr="00066EBF">
          <w:rPr>
            <w:rStyle w:val="Hipervnculo"/>
          </w:rPr>
          <w:t>https://www.bizkaia.eus/home2/archivos/DPTO7/Temas/O%20ECC27412012%2020%20diciembre(1).pdf?hash=2b7eb0b6ba3014e19b2f4af73c80985a&amp;idioma=EU</w:t>
        </w:r>
      </w:hyperlink>
    </w:p>
    <w:p w14:paraId="657EC1E1" w14:textId="77777777" w:rsidR="002536A4" w:rsidRDefault="002536A4" w:rsidP="002536A4">
      <w:pPr>
        <w:pStyle w:val="Ttulo4"/>
      </w:pPr>
      <w:r>
        <w:t>Preguntas de otros exámenes</w:t>
      </w:r>
    </w:p>
    <w:p w14:paraId="4AE0B9D1" w14:textId="77777777" w:rsidR="002536A4" w:rsidRPr="002908B3" w:rsidRDefault="002536A4" w:rsidP="002536A4">
      <w:pPr>
        <w:pStyle w:val="Nivel2SM"/>
      </w:pPr>
    </w:p>
    <w:p w14:paraId="2A45620A" w14:textId="77777777" w:rsidR="002536A4" w:rsidRDefault="002536A4" w:rsidP="002536A4">
      <w:pPr>
        <w:pStyle w:val="Ttulo4"/>
      </w:pPr>
      <w:r w:rsidRPr="00342648">
        <w:t>Anexos</w:t>
      </w:r>
    </w:p>
    <w:p w14:paraId="42CEEEAD" w14:textId="216657E5" w:rsidR="002536A4" w:rsidRDefault="002536A4" w:rsidP="002536A4">
      <w:pPr>
        <w:pStyle w:val="Ttulo5"/>
        <w:rPr>
          <w:u w:val="none"/>
        </w:rPr>
      </w:pPr>
      <w:r w:rsidRPr="0002549F">
        <w:t>Anexo</w:t>
      </w:r>
      <w:r>
        <w:t> </w:t>
      </w:r>
      <w:r w:rsidRPr="0002549F">
        <w:t>1</w:t>
      </w:r>
      <w:r w:rsidRPr="00AF1FE6">
        <w:rPr>
          <w:u w:val="none"/>
        </w:rPr>
        <w:t xml:space="preserve">: </w:t>
      </w:r>
      <w:r w:rsidR="002A21AA">
        <w:rPr>
          <w:u w:val="none"/>
        </w:rPr>
        <w:t>Estabilizadores automáticos de segunda generación</w:t>
      </w:r>
    </w:p>
    <w:p w14:paraId="2EE7BB9B" w14:textId="2E1E475C" w:rsidR="002A21AA" w:rsidRPr="002A21AA" w:rsidRDefault="002A21AA" w:rsidP="002A21AA">
      <w:pPr>
        <w:pStyle w:val="Cajadeanotaciones"/>
        <w:keepNext/>
        <w:rPr>
          <w:sz w:val="19"/>
          <w:szCs w:val="19"/>
        </w:rPr>
      </w:pPr>
      <w:hyperlink r:id="rId40" w:history="1">
        <w:r w:rsidRPr="002A21AA">
          <w:rPr>
            <w:rStyle w:val="Hipervnculo"/>
            <w:sz w:val="19"/>
            <w:szCs w:val="19"/>
          </w:rPr>
          <w:t>https://www.ecb.europa.eu/pub/economic-bulletin/articles/2020/html/ecb.ebart202006_03~3175750a6d.es.html</w:t>
        </w:r>
      </w:hyperlink>
    </w:p>
    <w:bookmarkEnd w:id="149"/>
    <w:p w14:paraId="54448ACD" w14:textId="3B691EEC" w:rsidR="002A21AA" w:rsidRPr="002A21AA" w:rsidRDefault="002A21AA" w:rsidP="002A21AA">
      <w:pPr>
        <w:rPr>
          <w:lang w:val="en-US"/>
        </w:rPr>
      </w:pPr>
      <w:r w:rsidRPr="002A21AA">
        <w:rPr>
          <w:lang w:val="en-US"/>
        </w:rPr>
        <w:t xml:space="preserve">So-called second generation automatic fiscal </w:t>
      </w:r>
      <w:proofErr w:type="spellStart"/>
      <w:r w:rsidRPr="002A21AA">
        <w:rPr>
          <w:lang w:val="en-US"/>
        </w:rPr>
        <w:t>stabilisers</w:t>
      </w:r>
      <w:proofErr w:type="spellEnd"/>
      <w:r w:rsidRPr="002A21AA">
        <w:rPr>
          <w:lang w:val="en-US"/>
        </w:rPr>
        <w:t xml:space="preserve"> could help deliver more timely, targeted and sizeable policy responses. In contrast to traditional automatic fiscal </w:t>
      </w:r>
      <w:proofErr w:type="spellStart"/>
      <w:r w:rsidRPr="002A21AA">
        <w:rPr>
          <w:lang w:val="en-US"/>
        </w:rPr>
        <w:t>stabilisers</w:t>
      </w:r>
      <w:proofErr w:type="spellEnd"/>
      <w:r w:rsidRPr="002A21AA">
        <w:rPr>
          <w:lang w:val="en-US"/>
        </w:rPr>
        <w:t xml:space="preserve">, which are mostly a by-product of the structure and size-of-government revenues and expenditures, second generation automatic fiscal </w:t>
      </w:r>
      <w:proofErr w:type="spellStart"/>
      <w:r w:rsidRPr="002A21AA">
        <w:rPr>
          <w:lang w:val="en-US"/>
        </w:rPr>
        <w:t>stabilisers</w:t>
      </w:r>
      <w:proofErr w:type="spellEnd"/>
      <w:r w:rsidRPr="002A21AA">
        <w:rPr>
          <w:lang w:val="en-US"/>
        </w:rPr>
        <w:t xml:space="preserve"> – also referred to as “asymmetric” or “quasi-automatic” fiscal </w:t>
      </w:r>
      <w:proofErr w:type="spellStart"/>
      <w:r w:rsidRPr="002A21AA">
        <w:rPr>
          <w:lang w:val="en-US"/>
        </w:rPr>
        <w:t>stabilisers</w:t>
      </w:r>
      <w:proofErr w:type="spellEnd"/>
      <w:r w:rsidRPr="002A21AA">
        <w:rPr>
          <w:lang w:val="en-US"/>
        </w:rPr>
        <w:t xml:space="preserve"> – are fiscal tools specifically designed and implemented to provide macroeconomic </w:t>
      </w:r>
      <w:proofErr w:type="spellStart"/>
      <w:r w:rsidRPr="002A21AA">
        <w:rPr>
          <w:lang w:val="en-US"/>
        </w:rPr>
        <w:t>stabilisation</w:t>
      </w:r>
      <w:proofErr w:type="spellEnd"/>
      <w:r w:rsidRPr="002A21AA">
        <w:rPr>
          <w:lang w:val="en-US"/>
        </w:rPr>
        <w:t xml:space="preserve">. Second-generation automatic </w:t>
      </w:r>
      <w:proofErr w:type="spellStart"/>
      <w:r w:rsidRPr="002A21AA">
        <w:rPr>
          <w:lang w:val="en-US"/>
        </w:rPr>
        <w:t>stabilisers</w:t>
      </w:r>
      <w:proofErr w:type="spellEnd"/>
      <w:r w:rsidRPr="002A21AA">
        <w:rPr>
          <w:lang w:val="en-US"/>
        </w:rPr>
        <w:t xml:space="preserve"> work as </w:t>
      </w:r>
      <w:proofErr w:type="spellStart"/>
      <w:r w:rsidRPr="002A21AA">
        <w:rPr>
          <w:lang w:val="en-US"/>
        </w:rPr>
        <w:t>programmes</w:t>
      </w:r>
      <w:proofErr w:type="spellEnd"/>
      <w:r w:rsidRPr="002A21AA">
        <w:rPr>
          <w:lang w:val="en-US"/>
        </w:rPr>
        <w:t xml:space="preserve"> that only turn active when the economy heads into deep recession and automatically revert to normal levels once specific indicators are back to pre-crisis levels. They are automatic in that their activation is rules-based rather than subject to a government decision. In contrast to traditional automatic </w:t>
      </w:r>
      <w:proofErr w:type="spellStart"/>
      <w:r w:rsidRPr="002A21AA">
        <w:rPr>
          <w:lang w:val="en-US"/>
        </w:rPr>
        <w:t>stabilisers</w:t>
      </w:r>
      <w:proofErr w:type="spellEnd"/>
      <w:r w:rsidRPr="002A21AA">
        <w:rPr>
          <w:lang w:val="en-US"/>
        </w:rPr>
        <w:t>, they are asymmetric in that they are activated only in case of a severe downturn of the economy.</w:t>
      </w:r>
    </w:p>
    <w:p w14:paraId="6D26BD84" w14:textId="78CDA0BF" w:rsidR="00E56BC1" w:rsidRDefault="002A21AA" w:rsidP="002A21AA">
      <w:pPr>
        <w:rPr>
          <w:lang w:val="en-US"/>
        </w:rPr>
      </w:pPr>
      <w:r w:rsidRPr="002A21AA">
        <w:rPr>
          <w:lang w:val="en-US"/>
        </w:rPr>
        <w:t xml:space="preserve">Two types of asymmetric automatic fiscal </w:t>
      </w:r>
      <w:proofErr w:type="spellStart"/>
      <w:r w:rsidRPr="002A21AA">
        <w:rPr>
          <w:lang w:val="en-US"/>
        </w:rPr>
        <w:t>stabilisers</w:t>
      </w:r>
      <w:proofErr w:type="spellEnd"/>
      <w:r w:rsidRPr="002A21AA">
        <w:rPr>
          <w:lang w:val="en-US"/>
        </w:rPr>
        <w:t xml:space="preserve"> can be identified, depending on whether they work via public expenditure or via revenues. First, on the expenditure side, asymmetric automatic fiscal </w:t>
      </w:r>
      <w:proofErr w:type="spellStart"/>
      <w:r w:rsidRPr="002A21AA">
        <w:rPr>
          <w:lang w:val="en-US"/>
        </w:rPr>
        <w:t>stabilisers</w:t>
      </w:r>
      <w:proofErr w:type="spellEnd"/>
      <w:r w:rsidRPr="002A21AA">
        <w:rPr>
          <w:lang w:val="en-US"/>
        </w:rPr>
        <w:t xml:space="preserve"> can mainly help to </w:t>
      </w:r>
      <w:proofErr w:type="spellStart"/>
      <w:r w:rsidRPr="002A21AA">
        <w:rPr>
          <w:lang w:val="en-US"/>
        </w:rPr>
        <w:t>stabilise</w:t>
      </w:r>
      <w:proofErr w:type="spellEnd"/>
      <w:r w:rsidRPr="002A21AA">
        <w:rPr>
          <w:lang w:val="en-US"/>
        </w:rPr>
        <w:t xml:space="preserve"> household spending, e.g. through higher or longer individual unemployment benefit or social assistance payments once a certain pre-defined threshold is reached. Short-time work schemes that activate in deep recessions are a notable example. Alternatively, asymmetric automatic fiscal </w:t>
      </w:r>
      <w:proofErr w:type="spellStart"/>
      <w:r w:rsidRPr="002A21AA">
        <w:rPr>
          <w:lang w:val="en-US"/>
        </w:rPr>
        <w:t>stabilisers</w:t>
      </w:r>
      <w:proofErr w:type="spellEnd"/>
      <w:r w:rsidRPr="002A21AA">
        <w:rPr>
          <w:lang w:val="en-US"/>
        </w:rPr>
        <w:t xml:space="preserve"> can work directly through higher government spending, e.g. on infrastructure investment projects. Second, asymmetric </w:t>
      </w:r>
      <w:proofErr w:type="spellStart"/>
      <w:r w:rsidRPr="002A21AA">
        <w:rPr>
          <w:lang w:val="en-US"/>
        </w:rPr>
        <w:t>stabilisers</w:t>
      </w:r>
      <w:proofErr w:type="spellEnd"/>
      <w:r w:rsidRPr="002A21AA">
        <w:rPr>
          <w:lang w:val="en-US"/>
        </w:rPr>
        <w:t xml:space="preserve"> that work via the revenue side can influence the timing of household spending through intertemporal substitution effects. Typical examples are temporary tax deferrals or tax credits, such as a temporary decrease in the VAT rate to boost consumption in the short run.</w:t>
      </w:r>
    </w:p>
    <w:p w14:paraId="420DD521" w14:textId="40E63464" w:rsidR="002A21AA" w:rsidRPr="002A21AA" w:rsidRDefault="002A21AA" w:rsidP="002A21AA">
      <w:pPr>
        <w:pStyle w:val="Ttulo5"/>
        <w:rPr>
          <w:u w:val="none"/>
        </w:rPr>
      </w:pPr>
      <w:r w:rsidRPr="0002549F">
        <w:t>Anexo</w:t>
      </w:r>
      <w:r>
        <w:t> 2</w:t>
      </w:r>
      <w:r w:rsidRPr="002A21AA">
        <w:rPr>
          <w:u w:val="none"/>
        </w:rPr>
        <w:t xml:space="preserve">: Estabilizadores automáticos </w:t>
      </w:r>
      <w:r>
        <w:rPr>
          <w:u w:val="none"/>
        </w:rPr>
        <w:t>durante la crisis de la Covid-19</w:t>
      </w:r>
    </w:p>
    <w:p w14:paraId="27B636B8" w14:textId="344D3AEA" w:rsidR="002A21AA" w:rsidRPr="002A21AA" w:rsidRDefault="002A21AA" w:rsidP="002A21AA">
      <w:pPr>
        <w:pStyle w:val="Cajadeanotaciones"/>
        <w:keepNext/>
        <w:rPr>
          <w:sz w:val="19"/>
          <w:szCs w:val="19"/>
        </w:rPr>
      </w:pPr>
      <w:hyperlink r:id="rId41" w:history="1">
        <w:r w:rsidRPr="002A21AA">
          <w:rPr>
            <w:rStyle w:val="Hipervnculo"/>
            <w:sz w:val="19"/>
            <w:szCs w:val="19"/>
          </w:rPr>
          <w:t>https://www.ecb.europa.eu/pub/economic-bulletin/articles/2020/html/ecb.ebart202006_03~3175750a6d.es.html</w:t>
        </w:r>
      </w:hyperlink>
    </w:p>
    <w:p w14:paraId="6B05D818" w14:textId="1D30E231" w:rsidR="00BA3F3F" w:rsidRPr="00BA3F3F" w:rsidRDefault="00BA3F3F" w:rsidP="00BA3F3F">
      <w:pPr>
        <w:rPr>
          <w:lang w:val="en-US"/>
        </w:rPr>
      </w:pPr>
      <w:r w:rsidRPr="00BA3F3F">
        <w:rPr>
          <w:lang w:val="en-US"/>
        </w:rPr>
        <w:t xml:space="preserve">In normal times automatic fiscal </w:t>
      </w:r>
      <w:proofErr w:type="spellStart"/>
      <w:r w:rsidRPr="00BA3F3F">
        <w:rPr>
          <w:lang w:val="en-US"/>
        </w:rPr>
        <w:t>stabilisers</w:t>
      </w:r>
      <w:proofErr w:type="spellEnd"/>
      <w:r w:rsidRPr="00BA3F3F">
        <w:rPr>
          <w:lang w:val="en-US"/>
        </w:rPr>
        <w:t xml:space="preserve"> play an important role for macroeconomic </w:t>
      </w:r>
      <w:proofErr w:type="spellStart"/>
      <w:r w:rsidRPr="00BA3F3F">
        <w:rPr>
          <w:lang w:val="en-US"/>
        </w:rPr>
        <w:t>stabilisation</w:t>
      </w:r>
      <w:proofErr w:type="spellEnd"/>
      <w:r w:rsidRPr="00BA3F3F">
        <w:rPr>
          <w:lang w:val="en-US"/>
        </w:rPr>
        <w:t xml:space="preserve"> in the euro area. According to ESCB estimates, automatic fiscal </w:t>
      </w:r>
      <w:proofErr w:type="spellStart"/>
      <w:r w:rsidRPr="00BA3F3F">
        <w:rPr>
          <w:lang w:val="en-US"/>
        </w:rPr>
        <w:t>stabilisers</w:t>
      </w:r>
      <w:proofErr w:type="spellEnd"/>
      <w:r w:rsidRPr="00BA3F3F">
        <w:rPr>
          <w:lang w:val="en-US"/>
        </w:rPr>
        <w:t xml:space="preserve"> are generally sizeable in the euro </w:t>
      </w:r>
      <w:proofErr w:type="gramStart"/>
      <w:r w:rsidRPr="00BA3F3F">
        <w:rPr>
          <w:lang w:val="en-US"/>
        </w:rPr>
        <w:t>area, but</w:t>
      </w:r>
      <w:proofErr w:type="gramEnd"/>
      <w:r w:rsidRPr="00BA3F3F">
        <w:rPr>
          <w:lang w:val="en-US"/>
        </w:rPr>
        <w:t xml:space="preserve"> vary significantly across Member States. They are particularly sizeable in some western European countries, which typically have in place more generous transfer schemes and a larger size of the government sector. In normal times they seem sufficient to cushion between 10% and 30% of an economic shock.</w:t>
      </w:r>
    </w:p>
    <w:p w14:paraId="663506B9" w14:textId="2D407763" w:rsidR="00BA3F3F" w:rsidRPr="00BA3F3F" w:rsidRDefault="00BA3F3F" w:rsidP="00BA3F3F">
      <w:pPr>
        <w:rPr>
          <w:lang w:val="en-US"/>
        </w:rPr>
      </w:pPr>
      <w:r w:rsidRPr="00BA3F3F">
        <w:rPr>
          <w:lang w:val="en-US"/>
        </w:rPr>
        <w:t xml:space="preserve">The effectiveness of automatic fiscal </w:t>
      </w:r>
      <w:proofErr w:type="spellStart"/>
      <w:r w:rsidRPr="00BA3F3F">
        <w:rPr>
          <w:lang w:val="en-US"/>
        </w:rPr>
        <w:t>stabilisers</w:t>
      </w:r>
      <w:proofErr w:type="spellEnd"/>
      <w:r w:rsidRPr="00BA3F3F">
        <w:rPr>
          <w:lang w:val="en-US"/>
        </w:rPr>
        <w:t xml:space="preserve"> in cushioning the economy is less apparent during the COVID-19 crisis, especially during the lockdown phase. Due to the massive economic downturn experienced by the euro area, and with monetary policy close to the effective lower bound, this gives cause to review the role of fiscal policy. So-called second generation automatic fiscal </w:t>
      </w:r>
      <w:proofErr w:type="spellStart"/>
      <w:r w:rsidRPr="00BA3F3F">
        <w:rPr>
          <w:lang w:val="en-US"/>
        </w:rPr>
        <w:t>stabilisers</w:t>
      </w:r>
      <w:proofErr w:type="spellEnd"/>
      <w:r w:rsidRPr="00BA3F3F">
        <w:rPr>
          <w:lang w:val="en-US"/>
        </w:rPr>
        <w:t xml:space="preserve"> could </w:t>
      </w:r>
      <w:r w:rsidRPr="00BA3F3F">
        <w:rPr>
          <w:lang w:val="en-US"/>
        </w:rPr>
        <w:lastRenderedPageBreak/>
        <w:t>help deliver more timely, targeted and sizeable policy responses to preserve potential growth and avoid hysteresis effects. During the COVID-19 crisis, most euro area countries adopted measures aimed at protecting potential output by preserving those economic structures expected to remain viable after the crisis. More specifically, authorities in some countries provided short-time work schemes to keep employees in their jobs and offered liquidity support to firms to prevent them from going out of business.</w:t>
      </w:r>
    </w:p>
    <w:p w14:paraId="216530CC" w14:textId="1B4FC82B" w:rsidR="002A21AA" w:rsidRPr="002A21AA" w:rsidRDefault="00BA3F3F" w:rsidP="00BA3F3F">
      <w:pPr>
        <w:rPr>
          <w:lang w:val="en-US"/>
        </w:rPr>
      </w:pPr>
      <w:r w:rsidRPr="00BA3F3F">
        <w:rPr>
          <w:lang w:val="en-US"/>
        </w:rPr>
        <w:t xml:space="preserve">Looking ahead, there are strong arguments for efficient second generation automatic fiscal </w:t>
      </w:r>
      <w:proofErr w:type="spellStart"/>
      <w:r w:rsidRPr="00BA3F3F">
        <w:rPr>
          <w:lang w:val="en-US"/>
        </w:rPr>
        <w:t>stabilisers</w:t>
      </w:r>
      <w:proofErr w:type="spellEnd"/>
      <w:r w:rsidRPr="00BA3F3F">
        <w:rPr>
          <w:lang w:val="en-US"/>
        </w:rPr>
        <w:t xml:space="preserve"> to play a more prominent role. The </w:t>
      </w:r>
      <w:proofErr w:type="spellStart"/>
      <w:r w:rsidRPr="00BA3F3F">
        <w:rPr>
          <w:lang w:val="en-US"/>
        </w:rPr>
        <w:t>institutionalisation</w:t>
      </w:r>
      <w:proofErr w:type="spellEnd"/>
      <w:r w:rsidRPr="00BA3F3F">
        <w:rPr>
          <w:lang w:val="en-US"/>
        </w:rPr>
        <w:t xml:space="preserve"> of asymmetric automatic fiscal </w:t>
      </w:r>
      <w:proofErr w:type="spellStart"/>
      <w:r w:rsidRPr="00BA3F3F">
        <w:rPr>
          <w:lang w:val="en-US"/>
        </w:rPr>
        <w:t>stabilisers</w:t>
      </w:r>
      <w:proofErr w:type="spellEnd"/>
      <w:r w:rsidRPr="00BA3F3F">
        <w:rPr>
          <w:lang w:val="en-US"/>
        </w:rPr>
        <w:t xml:space="preserve"> – such as a statutory short-time work schemes – could provide for more macroeconomic stability without overburdening the government sector. However, such instruments would need to be well designed to ensure that incentive structures are in place. Moreover, to mitigate sustainability risk, it is important that all euro area countries build up fiscal buffer in good times.</w:t>
      </w:r>
    </w:p>
    <w:sectPr w:rsidR="002A21AA" w:rsidRPr="002A21AA" w:rsidSect="00C27580">
      <w:headerReference w:type="even" r:id="rId42"/>
      <w:headerReference w:type="default" r:id="rId43"/>
      <w:footerReference w:type="even" r:id="rId44"/>
      <w:footerReference w:type="default" r:id="rId45"/>
      <w:headerReference w:type="first" r:id="rId46"/>
      <w:footerReference w:type="first" r:id="rId47"/>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D4A5C" w14:textId="77777777" w:rsidR="00591076" w:rsidRDefault="00591076">
      <w:r>
        <w:separator/>
      </w:r>
    </w:p>
  </w:endnote>
  <w:endnote w:type="continuationSeparator" w:id="0">
    <w:p w14:paraId="33EBDD4B" w14:textId="77777777" w:rsidR="00591076" w:rsidRDefault="00591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296791" w:rsidRPr="009B5FC2" w14:paraId="0D6FCC5F" w14:textId="77777777" w:rsidTr="00296791">
      <w:trPr>
        <w:trHeight w:val="138"/>
        <w:jc w:val="center"/>
      </w:trPr>
      <w:tc>
        <w:tcPr>
          <w:tcW w:w="1134" w:type="dxa"/>
        </w:tcPr>
        <w:p w14:paraId="2314EB0D" w14:textId="77777777" w:rsidR="00296791" w:rsidRPr="00296791" w:rsidRDefault="00296791" w:rsidP="00296791">
          <w:pPr>
            <w:pStyle w:val="Encabezado"/>
            <w:tabs>
              <w:tab w:val="clear" w:pos="4252"/>
              <w:tab w:val="clear" w:pos="8504"/>
              <w:tab w:val="right" w:pos="924"/>
              <w:tab w:val="center" w:pos="1310"/>
            </w:tabs>
            <w:spacing w:after="0"/>
            <w:contextualSpacing/>
            <w:jc w:val="left"/>
            <w:rPr>
              <w:i/>
              <w:iCs/>
              <w:color w:val="5F2987"/>
              <w:sz w:val="18"/>
              <w:szCs w:val="18"/>
            </w:rPr>
          </w:pPr>
          <w:r w:rsidRPr="00296791">
            <w:rPr>
              <w:b/>
              <w:bCs/>
              <w:i/>
              <w:iCs/>
              <w:color w:val="5F2987"/>
              <w:spacing w:val="-6"/>
              <w:sz w:val="18"/>
              <w:szCs w:val="18"/>
            </w:rPr>
            <w:fldChar w:fldCharType="begin"/>
          </w:r>
          <w:r w:rsidRPr="00296791">
            <w:rPr>
              <w:b/>
              <w:bCs/>
              <w:i/>
              <w:iCs/>
              <w:color w:val="5F2987"/>
              <w:spacing w:val="-6"/>
              <w:sz w:val="18"/>
              <w:szCs w:val="18"/>
            </w:rPr>
            <w:instrText>PAGE  \* Arabic  \* MERGEFORMAT</w:instrText>
          </w:r>
          <w:r w:rsidRPr="00296791">
            <w:rPr>
              <w:b/>
              <w:bCs/>
              <w:i/>
              <w:iCs/>
              <w:color w:val="5F2987"/>
              <w:spacing w:val="-6"/>
              <w:sz w:val="18"/>
              <w:szCs w:val="18"/>
            </w:rPr>
            <w:fldChar w:fldCharType="separate"/>
          </w:r>
          <w:r w:rsidRPr="00296791">
            <w:rPr>
              <w:b/>
              <w:bCs/>
              <w:i/>
              <w:iCs/>
              <w:color w:val="5F2987"/>
              <w:spacing w:val="-6"/>
              <w:sz w:val="18"/>
              <w:szCs w:val="18"/>
            </w:rPr>
            <w:t>2</w:t>
          </w:r>
          <w:r w:rsidRPr="00296791">
            <w:rPr>
              <w:b/>
              <w:bCs/>
              <w:i/>
              <w:iCs/>
              <w:color w:val="5F2987"/>
              <w:spacing w:val="-6"/>
              <w:sz w:val="18"/>
              <w:szCs w:val="18"/>
            </w:rPr>
            <w:fldChar w:fldCharType="end"/>
          </w:r>
          <w:r w:rsidRPr="00296791">
            <w:rPr>
              <w:b/>
              <w:bCs/>
              <w:i/>
              <w:iCs/>
              <w:color w:val="5F2987"/>
              <w:spacing w:val="-6"/>
              <w:sz w:val="18"/>
              <w:szCs w:val="18"/>
            </w:rPr>
            <w:t>/</w:t>
          </w:r>
          <w:r w:rsidRPr="00296791">
            <w:rPr>
              <w:b/>
              <w:bCs/>
              <w:i/>
              <w:iCs/>
              <w:color w:val="5F2987"/>
              <w:spacing w:val="-6"/>
              <w:sz w:val="18"/>
              <w:szCs w:val="18"/>
            </w:rPr>
            <w:fldChar w:fldCharType="begin"/>
          </w:r>
          <w:r w:rsidRPr="00296791">
            <w:rPr>
              <w:b/>
              <w:bCs/>
              <w:i/>
              <w:iCs/>
              <w:color w:val="5F2987"/>
              <w:spacing w:val="-6"/>
              <w:sz w:val="18"/>
              <w:szCs w:val="18"/>
            </w:rPr>
            <w:instrText>NUMPAGES  \* Arabic  \* MERGEFORMAT</w:instrText>
          </w:r>
          <w:r w:rsidRPr="00296791">
            <w:rPr>
              <w:b/>
              <w:bCs/>
              <w:i/>
              <w:iCs/>
              <w:color w:val="5F2987"/>
              <w:spacing w:val="-6"/>
              <w:sz w:val="18"/>
              <w:szCs w:val="18"/>
            </w:rPr>
            <w:fldChar w:fldCharType="separate"/>
          </w:r>
          <w:r w:rsidRPr="00296791">
            <w:rPr>
              <w:b/>
              <w:bCs/>
              <w:i/>
              <w:iCs/>
              <w:color w:val="5F2987"/>
              <w:spacing w:val="-6"/>
              <w:sz w:val="18"/>
              <w:szCs w:val="18"/>
            </w:rPr>
            <w:t>9</w:t>
          </w:r>
          <w:r w:rsidRPr="00296791">
            <w:rPr>
              <w:b/>
              <w:bCs/>
              <w:i/>
              <w:iCs/>
              <w:color w:val="5F2987"/>
              <w:spacing w:val="-6"/>
              <w:sz w:val="18"/>
              <w:szCs w:val="18"/>
            </w:rPr>
            <w:fldChar w:fldCharType="end"/>
          </w:r>
        </w:p>
      </w:tc>
      <w:tc>
        <w:tcPr>
          <w:tcW w:w="7088" w:type="dxa"/>
          <w:vAlign w:val="center"/>
        </w:tcPr>
        <w:p w14:paraId="748A27E3" w14:textId="77777777" w:rsidR="00296791" w:rsidRPr="00296791" w:rsidRDefault="00296791" w:rsidP="00296791">
          <w:pPr>
            <w:pStyle w:val="Encabezado"/>
            <w:spacing w:after="0"/>
            <w:ind w:right="-110"/>
            <w:contextualSpacing/>
            <w:jc w:val="center"/>
            <w:rPr>
              <w:i/>
              <w:iCs/>
              <w:color w:val="5F2987"/>
              <w:sz w:val="18"/>
              <w:szCs w:val="18"/>
            </w:rPr>
          </w:pPr>
        </w:p>
      </w:tc>
      <w:tc>
        <w:tcPr>
          <w:tcW w:w="2551" w:type="dxa"/>
          <w:vAlign w:val="center"/>
        </w:tcPr>
        <w:p w14:paraId="73292B52" w14:textId="77777777" w:rsidR="00296791" w:rsidRPr="00296791" w:rsidRDefault="00296791" w:rsidP="00296791">
          <w:pPr>
            <w:pStyle w:val="Encabezado"/>
            <w:spacing w:after="0"/>
            <w:contextualSpacing/>
            <w:jc w:val="right"/>
            <w:rPr>
              <w:b/>
              <w:bCs/>
              <w:i/>
              <w:iCs/>
              <w:color w:val="5F2987"/>
              <w:spacing w:val="-6"/>
              <w:sz w:val="18"/>
              <w:szCs w:val="18"/>
            </w:rPr>
          </w:pPr>
        </w:p>
      </w:tc>
    </w:tr>
  </w:tbl>
  <w:p w14:paraId="15001B6D" w14:textId="77777777" w:rsidR="00296791" w:rsidRPr="009C61AF" w:rsidRDefault="00296791"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296791" w:rsidRPr="00C44422" w14:paraId="291843BB" w14:textId="77777777" w:rsidTr="00296791">
      <w:trPr>
        <w:trHeight w:val="138"/>
        <w:jc w:val="center"/>
      </w:trPr>
      <w:tc>
        <w:tcPr>
          <w:tcW w:w="1134" w:type="dxa"/>
          <w:vAlign w:val="center"/>
        </w:tcPr>
        <w:p w14:paraId="35FEA373" w14:textId="77777777" w:rsidR="00296791" w:rsidRPr="00296791" w:rsidRDefault="00296791" w:rsidP="00296791">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4D13624" w14:textId="77777777" w:rsidR="00296791" w:rsidRPr="00296791" w:rsidRDefault="00296791" w:rsidP="00296791">
          <w:pPr>
            <w:pStyle w:val="Encabezado"/>
            <w:spacing w:after="0"/>
            <w:ind w:right="-110"/>
            <w:contextualSpacing/>
            <w:jc w:val="center"/>
            <w:rPr>
              <w:i/>
              <w:iCs/>
              <w:color w:val="5F2987"/>
              <w:sz w:val="18"/>
              <w:szCs w:val="18"/>
            </w:rPr>
          </w:pPr>
        </w:p>
      </w:tc>
      <w:tc>
        <w:tcPr>
          <w:tcW w:w="2551" w:type="dxa"/>
          <w:vAlign w:val="center"/>
        </w:tcPr>
        <w:p w14:paraId="6916C1DE" w14:textId="77777777" w:rsidR="00296791" w:rsidRPr="00296791" w:rsidRDefault="00296791" w:rsidP="00296791">
          <w:pPr>
            <w:pStyle w:val="Encabezado"/>
            <w:spacing w:after="0"/>
            <w:contextualSpacing/>
            <w:jc w:val="right"/>
            <w:rPr>
              <w:b/>
              <w:bCs/>
              <w:i/>
              <w:iCs/>
              <w:color w:val="5F2987"/>
              <w:spacing w:val="-6"/>
              <w:sz w:val="18"/>
              <w:szCs w:val="18"/>
            </w:rPr>
          </w:pPr>
          <w:r w:rsidRPr="00296791">
            <w:rPr>
              <w:b/>
              <w:bCs/>
              <w:i/>
              <w:iCs/>
              <w:color w:val="5F2987"/>
              <w:spacing w:val="-6"/>
              <w:sz w:val="18"/>
              <w:szCs w:val="18"/>
            </w:rPr>
            <w:fldChar w:fldCharType="begin"/>
          </w:r>
          <w:r w:rsidRPr="00296791">
            <w:rPr>
              <w:b/>
              <w:bCs/>
              <w:i/>
              <w:iCs/>
              <w:color w:val="5F2987"/>
              <w:spacing w:val="-6"/>
              <w:sz w:val="18"/>
              <w:szCs w:val="18"/>
            </w:rPr>
            <w:instrText>PAGE  \* Arabic  \* MERGEFORMAT</w:instrText>
          </w:r>
          <w:r w:rsidRPr="00296791">
            <w:rPr>
              <w:b/>
              <w:bCs/>
              <w:i/>
              <w:iCs/>
              <w:color w:val="5F2987"/>
              <w:spacing w:val="-6"/>
              <w:sz w:val="18"/>
              <w:szCs w:val="18"/>
            </w:rPr>
            <w:fldChar w:fldCharType="separate"/>
          </w:r>
          <w:r w:rsidRPr="00296791">
            <w:rPr>
              <w:b/>
              <w:bCs/>
              <w:i/>
              <w:iCs/>
              <w:color w:val="5F2987"/>
              <w:spacing w:val="-6"/>
              <w:sz w:val="18"/>
              <w:szCs w:val="18"/>
            </w:rPr>
            <w:t>1</w:t>
          </w:r>
          <w:r w:rsidRPr="00296791">
            <w:rPr>
              <w:b/>
              <w:bCs/>
              <w:i/>
              <w:iCs/>
              <w:color w:val="5F2987"/>
              <w:spacing w:val="-6"/>
              <w:sz w:val="18"/>
              <w:szCs w:val="18"/>
            </w:rPr>
            <w:fldChar w:fldCharType="end"/>
          </w:r>
          <w:r w:rsidRPr="00296791">
            <w:rPr>
              <w:b/>
              <w:bCs/>
              <w:i/>
              <w:iCs/>
              <w:color w:val="5F2987"/>
              <w:spacing w:val="-6"/>
              <w:sz w:val="18"/>
              <w:szCs w:val="18"/>
            </w:rPr>
            <w:t>/</w:t>
          </w:r>
          <w:r w:rsidRPr="00296791">
            <w:rPr>
              <w:b/>
              <w:bCs/>
              <w:i/>
              <w:iCs/>
              <w:color w:val="5F2987"/>
              <w:spacing w:val="-6"/>
              <w:sz w:val="18"/>
              <w:szCs w:val="18"/>
            </w:rPr>
            <w:fldChar w:fldCharType="begin"/>
          </w:r>
          <w:r w:rsidRPr="00296791">
            <w:rPr>
              <w:b/>
              <w:bCs/>
              <w:i/>
              <w:iCs/>
              <w:color w:val="5F2987"/>
              <w:spacing w:val="-6"/>
              <w:sz w:val="18"/>
              <w:szCs w:val="18"/>
            </w:rPr>
            <w:instrText>NUMPAGES  \* Arabic  \* MERGEFORMAT</w:instrText>
          </w:r>
          <w:r w:rsidRPr="00296791">
            <w:rPr>
              <w:b/>
              <w:bCs/>
              <w:i/>
              <w:iCs/>
              <w:color w:val="5F2987"/>
              <w:spacing w:val="-6"/>
              <w:sz w:val="18"/>
              <w:szCs w:val="18"/>
            </w:rPr>
            <w:fldChar w:fldCharType="separate"/>
          </w:r>
          <w:r w:rsidRPr="00296791">
            <w:rPr>
              <w:b/>
              <w:bCs/>
              <w:i/>
              <w:iCs/>
              <w:color w:val="5F2987"/>
              <w:spacing w:val="-6"/>
              <w:sz w:val="18"/>
              <w:szCs w:val="18"/>
            </w:rPr>
            <w:t>2</w:t>
          </w:r>
          <w:r w:rsidRPr="00296791">
            <w:rPr>
              <w:b/>
              <w:bCs/>
              <w:i/>
              <w:iCs/>
              <w:color w:val="5F2987"/>
              <w:spacing w:val="-6"/>
              <w:sz w:val="18"/>
              <w:szCs w:val="18"/>
            </w:rPr>
            <w:fldChar w:fldCharType="end"/>
          </w:r>
        </w:p>
      </w:tc>
    </w:tr>
  </w:tbl>
  <w:p w14:paraId="22EB2DDC" w14:textId="77777777" w:rsidR="00296791" w:rsidRPr="00BE1B62" w:rsidRDefault="00296791"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296791" w:rsidRPr="00C44422" w14:paraId="0CE4515C" w14:textId="77777777" w:rsidTr="00296791">
      <w:trPr>
        <w:trHeight w:val="138"/>
        <w:jc w:val="center"/>
      </w:trPr>
      <w:tc>
        <w:tcPr>
          <w:tcW w:w="1134" w:type="dxa"/>
          <w:vAlign w:val="center"/>
        </w:tcPr>
        <w:p w14:paraId="28CC7435" w14:textId="77777777" w:rsidR="00296791" w:rsidRPr="00296791" w:rsidRDefault="00296791" w:rsidP="00296791">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692E92C" w14:textId="77777777" w:rsidR="00296791" w:rsidRPr="00296791" w:rsidRDefault="00296791" w:rsidP="00296791">
          <w:pPr>
            <w:pStyle w:val="Encabezado"/>
            <w:spacing w:after="0"/>
            <w:ind w:right="-110"/>
            <w:contextualSpacing/>
            <w:jc w:val="center"/>
            <w:rPr>
              <w:i/>
              <w:iCs/>
              <w:color w:val="5F2987"/>
              <w:sz w:val="18"/>
              <w:szCs w:val="18"/>
            </w:rPr>
          </w:pPr>
        </w:p>
      </w:tc>
      <w:tc>
        <w:tcPr>
          <w:tcW w:w="2551" w:type="dxa"/>
          <w:vAlign w:val="center"/>
        </w:tcPr>
        <w:p w14:paraId="0D08279C" w14:textId="77777777" w:rsidR="00296791" w:rsidRPr="00296791" w:rsidRDefault="00296791" w:rsidP="00296791">
          <w:pPr>
            <w:pStyle w:val="Encabezado"/>
            <w:spacing w:after="0"/>
            <w:contextualSpacing/>
            <w:jc w:val="right"/>
            <w:rPr>
              <w:b/>
              <w:bCs/>
              <w:i/>
              <w:iCs/>
              <w:color w:val="5F2987"/>
              <w:spacing w:val="-6"/>
              <w:sz w:val="18"/>
              <w:szCs w:val="18"/>
            </w:rPr>
          </w:pPr>
          <w:r w:rsidRPr="00296791">
            <w:rPr>
              <w:b/>
              <w:bCs/>
              <w:i/>
              <w:iCs/>
              <w:color w:val="5F2987"/>
              <w:spacing w:val="-6"/>
              <w:sz w:val="18"/>
              <w:szCs w:val="18"/>
            </w:rPr>
            <w:fldChar w:fldCharType="begin"/>
          </w:r>
          <w:r w:rsidRPr="00296791">
            <w:rPr>
              <w:b/>
              <w:bCs/>
              <w:i/>
              <w:iCs/>
              <w:color w:val="5F2987"/>
              <w:spacing w:val="-6"/>
              <w:sz w:val="18"/>
              <w:szCs w:val="18"/>
            </w:rPr>
            <w:instrText>PAGE  \* Arabic  \* MERGEFORMAT</w:instrText>
          </w:r>
          <w:r w:rsidRPr="00296791">
            <w:rPr>
              <w:b/>
              <w:bCs/>
              <w:i/>
              <w:iCs/>
              <w:color w:val="5F2987"/>
              <w:spacing w:val="-6"/>
              <w:sz w:val="18"/>
              <w:szCs w:val="18"/>
            </w:rPr>
            <w:fldChar w:fldCharType="separate"/>
          </w:r>
          <w:r w:rsidRPr="00296791">
            <w:rPr>
              <w:b/>
              <w:bCs/>
              <w:i/>
              <w:iCs/>
              <w:color w:val="5F2987"/>
              <w:spacing w:val="-6"/>
              <w:sz w:val="18"/>
              <w:szCs w:val="18"/>
            </w:rPr>
            <w:t>1</w:t>
          </w:r>
          <w:r w:rsidRPr="00296791">
            <w:rPr>
              <w:b/>
              <w:bCs/>
              <w:i/>
              <w:iCs/>
              <w:color w:val="5F2987"/>
              <w:spacing w:val="-6"/>
              <w:sz w:val="18"/>
              <w:szCs w:val="18"/>
            </w:rPr>
            <w:fldChar w:fldCharType="end"/>
          </w:r>
          <w:r w:rsidRPr="00296791">
            <w:rPr>
              <w:b/>
              <w:bCs/>
              <w:i/>
              <w:iCs/>
              <w:color w:val="5F2987"/>
              <w:spacing w:val="-6"/>
              <w:sz w:val="18"/>
              <w:szCs w:val="18"/>
            </w:rPr>
            <w:t>/</w:t>
          </w:r>
          <w:r w:rsidRPr="00296791">
            <w:rPr>
              <w:b/>
              <w:bCs/>
              <w:i/>
              <w:iCs/>
              <w:color w:val="5F2987"/>
              <w:spacing w:val="-6"/>
              <w:sz w:val="18"/>
              <w:szCs w:val="18"/>
            </w:rPr>
            <w:fldChar w:fldCharType="begin"/>
          </w:r>
          <w:r w:rsidRPr="00296791">
            <w:rPr>
              <w:b/>
              <w:bCs/>
              <w:i/>
              <w:iCs/>
              <w:color w:val="5F2987"/>
              <w:spacing w:val="-6"/>
              <w:sz w:val="18"/>
              <w:szCs w:val="18"/>
            </w:rPr>
            <w:instrText>NUMPAGES  \* Arabic  \* MERGEFORMAT</w:instrText>
          </w:r>
          <w:r w:rsidRPr="00296791">
            <w:rPr>
              <w:b/>
              <w:bCs/>
              <w:i/>
              <w:iCs/>
              <w:color w:val="5F2987"/>
              <w:spacing w:val="-6"/>
              <w:sz w:val="18"/>
              <w:szCs w:val="18"/>
            </w:rPr>
            <w:fldChar w:fldCharType="separate"/>
          </w:r>
          <w:r w:rsidRPr="00296791">
            <w:rPr>
              <w:b/>
              <w:bCs/>
              <w:i/>
              <w:iCs/>
              <w:color w:val="5F2987"/>
              <w:spacing w:val="-6"/>
              <w:sz w:val="18"/>
              <w:szCs w:val="18"/>
            </w:rPr>
            <w:t>2</w:t>
          </w:r>
          <w:r w:rsidRPr="00296791">
            <w:rPr>
              <w:b/>
              <w:bCs/>
              <w:i/>
              <w:iCs/>
              <w:color w:val="5F2987"/>
              <w:spacing w:val="-6"/>
              <w:sz w:val="18"/>
              <w:szCs w:val="18"/>
            </w:rPr>
            <w:fldChar w:fldCharType="end"/>
          </w:r>
        </w:p>
      </w:tc>
    </w:tr>
  </w:tbl>
  <w:p w14:paraId="2E11E70D" w14:textId="77777777" w:rsidR="00296791" w:rsidRPr="00BE1B62" w:rsidRDefault="00296791"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ADB19" w14:textId="77777777" w:rsidR="00591076" w:rsidRPr="005232F7" w:rsidRDefault="00591076" w:rsidP="005232F7">
      <w:pPr>
        <w:spacing w:after="0" w:line="240" w:lineRule="auto"/>
        <w:rPr>
          <w:sz w:val="16"/>
          <w:szCs w:val="16"/>
        </w:rPr>
      </w:pPr>
      <w:r w:rsidRPr="005232F7">
        <w:rPr>
          <w:sz w:val="16"/>
          <w:szCs w:val="16"/>
        </w:rPr>
        <w:separator/>
      </w:r>
    </w:p>
  </w:footnote>
  <w:footnote w:type="continuationSeparator" w:id="0">
    <w:p w14:paraId="31DC3B33" w14:textId="77777777" w:rsidR="00591076" w:rsidRPr="005232F7" w:rsidRDefault="00591076" w:rsidP="005232F7">
      <w:pPr>
        <w:spacing w:after="0" w:line="240" w:lineRule="auto"/>
        <w:rPr>
          <w:sz w:val="16"/>
          <w:szCs w:val="16"/>
        </w:rPr>
      </w:pPr>
      <w:r w:rsidRPr="005232F7">
        <w:rPr>
          <w:sz w:val="16"/>
          <w:szCs w:val="16"/>
        </w:rPr>
        <w:continuationSeparator/>
      </w:r>
    </w:p>
  </w:footnote>
  <w:footnote w:type="continuationNotice" w:id="1">
    <w:p w14:paraId="3D9D6DA0" w14:textId="77777777" w:rsidR="00591076" w:rsidRPr="005232F7" w:rsidRDefault="00591076" w:rsidP="005232F7">
      <w:pPr>
        <w:spacing w:after="0" w:line="192" w:lineRule="auto"/>
        <w:jc w:val="right"/>
        <w:rPr>
          <w:sz w:val="16"/>
          <w:szCs w:val="16"/>
        </w:rPr>
      </w:pPr>
      <w:r w:rsidRPr="005232F7">
        <w:rPr>
          <w:rFonts w:ascii="Cambria Math" w:hAnsi="Cambria Math" w:cs="Cambria Math"/>
          <w:color w:val="202122"/>
          <w:sz w:val="16"/>
          <w:szCs w:val="16"/>
          <w:shd w:val="clear" w:color="auto" w:fill="FFFFFF"/>
        </w:rPr>
        <w:t>↪</w:t>
      </w:r>
    </w:p>
  </w:footnote>
  <w:footnote w:id="2">
    <w:p w14:paraId="00D93374" w14:textId="77777777" w:rsidR="00B93977" w:rsidRDefault="00B93977" w:rsidP="00B93977">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27978A8F" w14:textId="77777777" w:rsidR="00B93977" w:rsidRDefault="00B93977" w:rsidP="00B93977">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7BAB6A3C" w14:textId="77777777" w:rsidR="00B93977" w:rsidRPr="00446C0D" w:rsidRDefault="00B93977" w:rsidP="00B93977">
      <w:pPr>
        <w:pStyle w:val="Textonotapie"/>
      </w:pPr>
      <w:r>
        <w:t>Además, la microeconomía también estudia a otros agentes como las instituciones financieras o el Estado.</w:t>
      </w:r>
    </w:p>
  </w:footnote>
  <w:footnote w:id="4">
    <w:p w14:paraId="7A1786C7" w14:textId="77777777" w:rsidR="00B93977" w:rsidRDefault="00B93977" w:rsidP="00B93977">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“Modern Microeconomics”</w:t>
      </w:r>
      <w:r>
        <w:t>), las tareas de la teoría económica del bienestar son:</w:t>
      </w:r>
    </w:p>
    <w:p w14:paraId="739A7601" w14:textId="77777777" w:rsidR="00B93977" w:rsidRDefault="00B93977" w:rsidP="00B93977">
      <w:pPr>
        <w:pStyle w:val="Textonotapie"/>
        <w:numPr>
          <w:ilvl w:val="0"/>
          <w:numId w:val="68"/>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07ADEBFE" w14:textId="77777777" w:rsidR="00B93977" w:rsidRDefault="00B93977" w:rsidP="00B93977">
      <w:pPr>
        <w:pStyle w:val="Textonotapie"/>
        <w:numPr>
          <w:ilvl w:val="0"/>
          <w:numId w:val="68"/>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36432AD8" w14:textId="77777777" w:rsidR="00B93977" w:rsidRPr="002A08C4" w:rsidRDefault="00B93977" w:rsidP="00B93977">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49CF6374" w14:textId="77777777" w:rsidR="00B93977" w:rsidRPr="002A08C4" w:rsidRDefault="00B93977" w:rsidP="00B93977">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0FA63DEA" w14:textId="5E4B65AD" w:rsidR="00172D53" w:rsidRPr="00172D53" w:rsidRDefault="00172D53" w:rsidP="00172D53">
      <w:pPr>
        <w:pStyle w:val="Nivel1SM"/>
        <w:keepNext/>
        <w:numPr>
          <w:ilvl w:val="0"/>
          <w:numId w:val="0"/>
        </w:numPr>
        <w:spacing w:before="0" w:after="0"/>
        <w:ind w:left="-198"/>
        <w:rPr>
          <w:spacing w:val="-2"/>
          <w:sz w:val="16"/>
          <w:szCs w:val="16"/>
        </w:rPr>
      </w:pPr>
      <w:r w:rsidRPr="00172D53">
        <w:rPr>
          <w:spacing w:val="-2"/>
          <w:sz w:val="16"/>
          <w:szCs w:val="16"/>
          <w:vertAlign w:val="superscript"/>
        </w:rPr>
        <w:footnoteRef/>
      </w:r>
      <w:r w:rsidRPr="00172D53">
        <w:rPr>
          <w:spacing w:val="-2"/>
          <w:sz w:val="16"/>
          <w:szCs w:val="16"/>
        </w:rPr>
        <w:t xml:space="preserve"> En la década de 1930, los econometristas </w:t>
      </w:r>
      <w:r w:rsidRPr="00172D53">
        <w:rPr>
          <w:smallCaps/>
          <w:spacing w:val="-2"/>
          <w:sz w:val="16"/>
          <w:szCs w:val="16"/>
        </w:rPr>
        <w:t>Arthur Frank Burns</w:t>
      </w:r>
      <w:r w:rsidRPr="00172D53">
        <w:rPr>
          <w:spacing w:val="-2"/>
          <w:sz w:val="16"/>
          <w:szCs w:val="16"/>
        </w:rPr>
        <w:t xml:space="preserve"> y </w:t>
      </w:r>
      <w:r w:rsidRPr="00172D53">
        <w:rPr>
          <w:smallCaps/>
          <w:spacing w:val="-2"/>
          <w:sz w:val="16"/>
          <w:szCs w:val="16"/>
        </w:rPr>
        <w:t>Wesley Clair Mitchell</w:t>
      </w:r>
      <w:r w:rsidRPr="00172D53">
        <w:rPr>
          <w:spacing w:val="-2"/>
          <w:sz w:val="16"/>
          <w:szCs w:val="16"/>
        </w:rPr>
        <w:t xml:space="preserve"> empezaron a documentar la existencia de un conjunto de </w:t>
      </w:r>
      <w:r w:rsidRPr="00172D53">
        <w:rPr>
          <w:spacing w:val="-2"/>
          <w:sz w:val="16"/>
          <w:szCs w:val="16"/>
          <w:u w:val="single"/>
        </w:rPr>
        <w:t>regularidades empíricas del ciclo económico</w:t>
      </w:r>
      <w:r w:rsidRPr="00172D53">
        <w:rPr>
          <w:spacing w:val="-2"/>
          <w:sz w:val="16"/>
          <w:szCs w:val="16"/>
        </w:rPr>
        <w:t xml:space="preserve">. Esta investigación culminó en su tratado de 1946, </w:t>
      </w:r>
      <w:r w:rsidRPr="00172D53">
        <w:rPr>
          <w:i/>
          <w:spacing w:val="-2"/>
          <w:sz w:val="16"/>
          <w:szCs w:val="16"/>
        </w:rPr>
        <w:t>Measuring Business Cycles</w:t>
      </w:r>
      <w:r w:rsidRPr="00172D53">
        <w:rPr>
          <w:iCs/>
          <w:spacing w:val="-2"/>
          <w:sz w:val="16"/>
          <w:szCs w:val="16"/>
        </w:rPr>
        <w:t>,</w:t>
      </w:r>
      <w:r w:rsidRPr="00172D53">
        <w:rPr>
          <w:spacing w:val="-2"/>
          <w:sz w:val="16"/>
          <w:szCs w:val="16"/>
        </w:rPr>
        <w:t xml:space="preserve"> en la que aparece una definición del ciclo de negocios que se ha hecho clásica. De esa definición destacan </w:t>
      </w:r>
      <w:r w:rsidRPr="00172D53">
        <w:rPr>
          <w:spacing w:val="-2"/>
          <w:sz w:val="16"/>
          <w:szCs w:val="16"/>
          <w:u w:val="single"/>
        </w:rPr>
        <w:t>5 características definitorias de los ciclos</w:t>
      </w:r>
      <w:r w:rsidRPr="00172D53">
        <w:rPr>
          <w:spacing w:val="-2"/>
          <w:sz w:val="16"/>
          <w:szCs w:val="16"/>
        </w:rPr>
        <w:t>:</w:t>
      </w:r>
    </w:p>
    <w:p w14:paraId="77A1FF77" w14:textId="77777777" w:rsidR="00172D53" w:rsidRPr="00172D53" w:rsidRDefault="00172D53" w:rsidP="00172D53">
      <w:pPr>
        <w:pStyle w:val="Prrafodelista"/>
        <w:numPr>
          <w:ilvl w:val="2"/>
          <w:numId w:val="69"/>
        </w:numPr>
        <w:spacing w:after="0"/>
        <w:ind w:left="284" w:hanging="57"/>
        <w:contextualSpacing w:val="0"/>
        <w:rPr>
          <w:sz w:val="16"/>
          <w:szCs w:val="16"/>
        </w:rPr>
      </w:pPr>
      <w:r w:rsidRPr="00172D53">
        <w:rPr>
          <w:i/>
          <w:iCs/>
          <w:sz w:val="16"/>
          <w:szCs w:val="16"/>
        </w:rPr>
        <w:t>Afectan a la actividad agregada</w:t>
      </w:r>
      <w:r w:rsidRPr="00172D53">
        <w:rPr>
          <w:sz w:val="16"/>
          <w:szCs w:val="16"/>
        </w:rPr>
        <w:t xml:space="preserve"> (no sólo PIB, sino movimiento simultáneo de gran número de variables: empleo, componentes del PIB, precios…);</w:t>
      </w:r>
    </w:p>
    <w:p w14:paraId="1CD260AF" w14:textId="77777777" w:rsidR="00172D53" w:rsidRPr="00172D53" w:rsidRDefault="00172D53" w:rsidP="00172D53">
      <w:pPr>
        <w:pStyle w:val="Prrafodelista"/>
        <w:numPr>
          <w:ilvl w:val="2"/>
          <w:numId w:val="69"/>
        </w:numPr>
        <w:spacing w:after="0"/>
        <w:ind w:left="284" w:hanging="57"/>
        <w:contextualSpacing w:val="0"/>
        <w:rPr>
          <w:sz w:val="16"/>
          <w:szCs w:val="16"/>
        </w:rPr>
      </w:pPr>
      <w:r w:rsidRPr="00172D53">
        <w:rPr>
          <w:i/>
          <w:iCs/>
          <w:sz w:val="16"/>
          <w:szCs w:val="16"/>
        </w:rPr>
        <w:t>Tiene lugar en</w:t>
      </w:r>
      <w:r w:rsidRPr="00172D53">
        <w:rPr>
          <w:rFonts w:cstheme="minorHAnsi"/>
          <w:i/>
          <w:iCs/>
          <w:sz w:val="16"/>
          <w:szCs w:val="16"/>
        </w:rPr>
        <w:t xml:space="preserve"> economías de mercado</w:t>
      </w:r>
      <w:r w:rsidRPr="00172D53">
        <w:rPr>
          <w:rFonts w:cstheme="minorHAnsi"/>
          <w:sz w:val="16"/>
          <w:szCs w:val="16"/>
        </w:rPr>
        <w:t xml:space="preserve"> (naciones que se organizan en “empresas de negocios”</w:t>
      </w:r>
      <w:r w:rsidRPr="00172D53">
        <w:rPr>
          <w:sz w:val="16"/>
          <w:szCs w:val="16"/>
        </w:rPr>
        <w:t>);</w:t>
      </w:r>
    </w:p>
    <w:p w14:paraId="4DD3D524" w14:textId="77777777" w:rsidR="00172D53" w:rsidRPr="00172D53" w:rsidRDefault="00172D53" w:rsidP="00172D53">
      <w:pPr>
        <w:pStyle w:val="Prrafodelista"/>
        <w:numPr>
          <w:ilvl w:val="2"/>
          <w:numId w:val="69"/>
        </w:numPr>
        <w:spacing w:after="0"/>
        <w:ind w:left="284" w:hanging="57"/>
        <w:contextualSpacing w:val="0"/>
        <w:rPr>
          <w:sz w:val="16"/>
          <w:szCs w:val="16"/>
        </w:rPr>
      </w:pPr>
      <w:r w:rsidRPr="00172D53">
        <w:rPr>
          <w:i/>
          <w:iCs/>
          <w:sz w:val="16"/>
          <w:szCs w:val="16"/>
        </w:rPr>
        <w:t>Expansiones seguidas de contracciones</w:t>
      </w:r>
      <w:r w:rsidRPr="00172D53">
        <w:rPr>
          <w:sz w:val="16"/>
          <w:szCs w:val="16"/>
        </w:rPr>
        <w:t>: Patrón pico–valle;</w:t>
      </w:r>
    </w:p>
    <w:p w14:paraId="52A4AF6D" w14:textId="5BAFD9B0" w:rsidR="00172D53" w:rsidRPr="00172D53" w:rsidRDefault="00172D53" w:rsidP="00172D53">
      <w:pPr>
        <w:pStyle w:val="Prrafodelista"/>
        <w:numPr>
          <w:ilvl w:val="2"/>
          <w:numId w:val="69"/>
        </w:numPr>
        <w:spacing w:after="0"/>
        <w:ind w:left="284" w:hanging="57"/>
        <w:contextualSpacing w:val="0"/>
        <w:rPr>
          <w:sz w:val="16"/>
          <w:szCs w:val="16"/>
        </w:rPr>
      </w:pPr>
      <w:r w:rsidRPr="00172D53">
        <w:rPr>
          <w:i/>
          <w:iCs/>
          <w:sz w:val="16"/>
          <w:szCs w:val="16"/>
        </w:rPr>
        <w:t>Recurrentes, pero no periódicos</w:t>
      </w:r>
      <w:r w:rsidRPr="00172D53">
        <w:rPr>
          <w:sz w:val="16"/>
          <w:szCs w:val="16"/>
        </w:rPr>
        <w:t>: Ausencia de patrón regular sencillo, pues ni la ocurrencia ni la amplitud son regulares. Se ha desistido de explicar los ciclos como combinación de ciclos deterministas de diferente periodicidad.</w:t>
      </w:r>
    </w:p>
    <w:p w14:paraId="12EAD147" w14:textId="77777777" w:rsidR="00172D53" w:rsidRPr="00172D53" w:rsidRDefault="00172D53" w:rsidP="00172D53">
      <w:pPr>
        <w:pStyle w:val="Prrafodelista"/>
        <w:keepNext/>
        <w:numPr>
          <w:ilvl w:val="2"/>
          <w:numId w:val="69"/>
        </w:numPr>
        <w:spacing w:after="0"/>
        <w:ind w:left="284" w:hanging="57"/>
        <w:rPr>
          <w:sz w:val="16"/>
          <w:szCs w:val="16"/>
        </w:rPr>
      </w:pPr>
      <w:r w:rsidRPr="00172D53">
        <w:rPr>
          <w:i/>
          <w:iCs/>
          <w:sz w:val="16"/>
          <w:szCs w:val="16"/>
        </w:rPr>
        <w:t>Duración superior al año</w:t>
      </w:r>
      <w:r w:rsidRPr="00172D53">
        <w:rPr>
          <w:sz w:val="16"/>
          <w:szCs w:val="16"/>
        </w:rPr>
        <w:t>, lo que implica:</w:t>
      </w:r>
    </w:p>
    <w:p w14:paraId="556B3AC0" w14:textId="77777777" w:rsidR="00172D53" w:rsidRPr="00172D53" w:rsidRDefault="00172D53" w:rsidP="00172D53">
      <w:pPr>
        <w:pStyle w:val="Prrafodelista"/>
        <w:numPr>
          <w:ilvl w:val="0"/>
          <w:numId w:val="70"/>
        </w:numPr>
        <w:spacing w:after="0"/>
        <w:ind w:left="567" w:hanging="170"/>
        <w:rPr>
          <w:spacing w:val="-2"/>
          <w:sz w:val="16"/>
          <w:szCs w:val="16"/>
        </w:rPr>
      </w:pPr>
      <w:r w:rsidRPr="00172D53">
        <w:rPr>
          <w:spacing w:val="-2"/>
          <w:sz w:val="16"/>
          <w:szCs w:val="16"/>
        </w:rPr>
        <w:t xml:space="preserve">Las fluctuaciones inferiores al año, de carácter </w:t>
      </w:r>
      <w:r w:rsidRPr="00172D53">
        <w:rPr>
          <w:i/>
          <w:iCs/>
          <w:spacing w:val="-2"/>
          <w:sz w:val="16"/>
          <w:szCs w:val="16"/>
        </w:rPr>
        <w:t>estacional</w:t>
      </w:r>
      <w:r w:rsidRPr="00172D53">
        <w:rPr>
          <w:spacing w:val="-2"/>
          <w:sz w:val="16"/>
          <w:szCs w:val="16"/>
        </w:rPr>
        <w:t>, no tienen la consideración de ciclos,</w:t>
      </w:r>
    </w:p>
    <w:p w14:paraId="7BF37FF3" w14:textId="2865C007" w:rsidR="00172D53" w:rsidRPr="00172D53" w:rsidRDefault="00172D53" w:rsidP="00172D53">
      <w:pPr>
        <w:pStyle w:val="Prrafodelista"/>
        <w:numPr>
          <w:ilvl w:val="0"/>
          <w:numId w:val="70"/>
        </w:numPr>
        <w:spacing w:after="0"/>
        <w:ind w:left="567" w:hanging="170"/>
        <w:rPr>
          <w:sz w:val="16"/>
          <w:szCs w:val="16"/>
        </w:rPr>
      </w:pPr>
      <w:r w:rsidRPr="00172D53">
        <w:rPr>
          <w:sz w:val="16"/>
          <w:szCs w:val="16"/>
        </w:rPr>
        <w:t xml:space="preserve">Existe persistencia de unos supuestos </w:t>
      </w:r>
      <w:r w:rsidRPr="00172D53">
        <w:rPr>
          <w:i/>
          <w:sz w:val="16"/>
          <w:szCs w:val="16"/>
        </w:rPr>
        <w:t>shocks</w:t>
      </w:r>
      <w:r w:rsidRPr="00172D53">
        <w:rPr>
          <w:sz w:val="16"/>
          <w:szCs w:val="16"/>
        </w:rPr>
        <w:t xml:space="preserve"> puntuales iniciadores del ciclo (elevada autocorrelación serial).</w:t>
      </w:r>
    </w:p>
  </w:footnote>
  <w:footnote w:id="7">
    <w:p w14:paraId="497408A8" w14:textId="77777777" w:rsidR="00FD5CBA" w:rsidRDefault="00FD5CBA" w:rsidP="00FD5CBA">
      <w:pPr>
        <w:pStyle w:val="Textonotapie"/>
      </w:pPr>
      <w:r>
        <w:rPr>
          <w:rStyle w:val="Refdenotaalpie"/>
        </w:rPr>
        <w:footnoteRef/>
      </w:r>
      <w:r>
        <w:t xml:space="preserve"> Las </w:t>
      </w:r>
      <w:r w:rsidRPr="00FD5CBA">
        <w:rPr>
          <w:b/>
          <w:bCs/>
        </w:rPr>
        <w:t>rigideces nominales</w:t>
      </w:r>
      <w:r>
        <w:t xml:space="preserve"> son aquellas que impiden el cambio de los precios nominales ante un cambio en sus determinantes.</w:t>
      </w:r>
    </w:p>
    <w:p w14:paraId="63C5876D" w14:textId="037CEA74" w:rsidR="00FD5CBA" w:rsidRDefault="00FD5CBA" w:rsidP="00FD5CBA">
      <w:pPr>
        <w:pStyle w:val="Textonotapie"/>
      </w:pPr>
      <w:r>
        <w:t xml:space="preserve">Las </w:t>
      </w:r>
      <w:r w:rsidRPr="00FD5CBA">
        <w:rPr>
          <w:b/>
          <w:bCs/>
        </w:rPr>
        <w:t>rigideces reales</w:t>
      </w:r>
      <w:r>
        <w:t xml:space="preserve"> son todas aquellas que provoquen que el precio óptimo diste del walrasiano, siendo generalmente superior y provocando un intercambio menor de cantidades y, a su vez, un menor nivel de empleo. Es decir, las rigideces reales son aquéllas que, incluso en ausencia de rigideces nominales, evitan que los precios se igualen a los de vaciado de mercado.</w:t>
      </w:r>
    </w:p>
  </w:footnote>
  <w:footnote w:id="8">
    <w:p w14:paraId="2E107513" w14:textId="77777777" w:rsidR="00830096" w:rsidRPr="00F05970" w:rsidRDefault="00830096" w:rsidP="00830096">
      <w:pPr>
        <w:pStyle w:val="Textonotapie"/>
        <w:rPr>
          <w:rFonts w:cs="Times New Roman"/>
        </w:rPr>
      </w:pPr>
      <w:r w:rsidRPr="00E5331B">
        <w:rPr>
          <w:rStyle w:val="Refdenotaalpie"/>
          <w:rFonts w:cs="Times New Roman"/>
        </w:rPr>
        <w:footnoteRef/>
      </w:r>
      <w:r w:rsidRPr="00E5331B">
        <w:rPr>
          <w:rFonts w:cs="Times New Roman"/>
        </w:rPr>
        <w:t xml:space="preserve"> Implica que las empresas no seguirán un comportamiento maximizador cuando el coste de no ajustar es pequeño. En esas ocasiones, </w:t>
      </w:r>
      <w:r w:rsidRPr="00F05970">
        <w:rPr>
          <w:rFonts w:cs="Times New Roman"/>
        </w:rPr>
        <w:t>puede no merecer la pena seguir un comportamiento perfectamente optimizador. En su lugar, la empresa podría actuar siguiendo alguna regla práctica de comportamiento que le ahorrase los costes de obtención de información y de cálculo.</w:t>
      </w:r>
    </w:p>
  </w:footnote>
  <w:footnote w:id="9">
    <w:p w14:paraId="48682F2C" w14:textId="0034EE5E" w:rsidR="00830096" w:rsidRPr="00F05970" w:rsidRDefault="00830096" w:rsidP="00830096">
      <w:pPr>
        <w:pStyle w:val="Textonotapie"/>
        <w:rPr>
          <w:rFonts w:cs="Times New Roman"/>
        </w:rPr>
      </w:pPr>
      <w:r w:rsidRPr="00F05970">
        <w:rPr>
          <w:rStyle w:val="Refdenotaalpie"/>
          <w:rFonts w:cs="Times New Roman"/>
        </w:rPr>
        <w:footnoteRef/>
      </w:r>
      <w:r w:rsidRPr="00F05970">
        <w:rPr>
          <w:rFonts w:cs="Times New Roman"/>
        </w:rPr>
        <w:t xml:space="preserve"> Se trata de un término ilustrativo que incluye todos los costes asociados a la actualización de precios, como son costes de recogida de información, impresión de nuevos catálogos, pérdida de clientela…</w:t>
      </w:r>
    </w:p>
  </w:footnote>
  <w:footnote w:id="10">
    <w:p w14:paraId="5FE67995" w14:textId="4B673D8B" w:rsidR="00830096" w:rsidRPr="00F05970" w:rsidRDefault="00830096" w:rsidP="00830096">
      <w:pPr>
        <w:pStyle w:val="Textonotapie"/>
      </w:pPr>
      <w:r w:rsidRPr="00F05970">
        <w:rPr>
          <w:rStyle w:val="Refdenotaalpie"/>
          <w:rFonts w:cs="Times New Roman"/>
        </w:rPr>
        <w:footnoteRef/>
      </w:r>
      <w:r w:rsidRPr="00F05970">
        <w:rPr>
          <w:rFonts w:cs="Times New Roman"/>
        </w:rPr>
        <w:t xml:space="preserve"> Los incentivos a ajustar precios pueden ser analizados gráficamente en un contexto de competencia monopolística. Así, si partimos de una situación de equilibrio y se produce una contracción de la demanda y la empresa decide mantener el precio, el </w:t>
      </w:r>
      <w:r w:rsidRPr="003E3371">
        <w:rPr>
          <w:rFonts w:cs="Times New Roman"/>
          <w:i/>
          <w:iCs/>
        </w:rPr>
        <w:t>I</w:t>
      </w:r>
      <w:r w:rsidR="00FA2123" w:rsidRPr="003E3371">
        <w:rPr>
          <w:rFonts w:cs="Times New Roman"/>
          <w:i/>
          <w:iCs/>
        </w:rPr>
        <w:t>M</w:t>
      </w:r>
      <w:r w:rsidRPr="003E3371">
        <w:rPr>
          <w:rFonts w:cs="Times New Roman"/>
          <w:i/>
          <w:iCs/>
        </w:rPr>
        <w:t>g</w:t>
      </w:r>
      <w:r w:rsidRPr="00F05970">
        <w:rPr>
          <w:rFonts w:cs="Times New Roman"/>
        </w:rPr>
        <w:t xml:space="preserve"> será superior al </w:t>
      </w:r>
      <w:r w:rsidRPr="003E3371">
        <w:rPr>
          <w:rFonts w:cs="Times New Roman"/>
          <w:i/>
          <w:iCs/>
        </w:rPr>
        <w:t>C</w:t>
      </w:r>
      <w:r w:rsidR="00FA2123" w:rsidRPr="003E3371">
        <w:rPr>
          <w:rFonts w:cs="Times New Roman"/>
          <w:i/>
          <w:iCs/>
        </w:rPr>
        <w:t>M</w:t>
      </w:r>
      <w:r w:rsidRPr="003E3371">
        <w:rPr>
          <w:rFonts w:cs="Times New Roman"/>
          <w:i/>
          <w:iCs/>
        </w:rPr>
        <w:t>g</w:t>
      </w:r>
      <w:r w:rsidRPr="00F05970">
        <w:rPr>
          <w:rFonts w:cs="Times New Roman"/>
        </w:rPr>
        <w:t>. Por tanto, la diferencia entre estas dos curvas serán los beneficios del ajuste de precios.</w:t>
      </w:r>
    </w:p>
  </w:footnote>
  <w:footnote w:id="11">
    <w:p w14:paraId="08EEE081" w14:textId="3C32FECF" w:rsidR="009A4893" w:rsidRPr="009A4893" w:rsidRDefault="009A4893">
      <w:pPr>
        <w:pStyle w:val="Textonotapie"/>
      </w:pPr>
      <w:r>
        <w:rPr>
          <w:rStyle w:val="Refdenotaalpie"/>
        </w:rPr>
        <w:footnoteRef/>
      </w:r>
      <w:r>
        <w:t xml:space="preserve"> El gasto y los impuestos no son variables homogéneas y perfectamente controlables por la autoridad fiscal. Por ello, el análisis de los efectos de la política fiscal es más complejo ya que van a existir algunas partidas de ingresos y gastos que están claramente vinculadas a la actividad económica. Por tanto, no todas las variaciones de </w:t>
      </w:r>
      <w:r>
        <w:rPr>
          <w:i/>
          <w:iCs/>
        </w:rPr>
        <w:t>G</w:t>
      </w:r>
      <w:r>
        <w:t xml:space="preserve"> y </w:t>
      </w:r>
      <w:r>
        <w:rPr>
          <w:i/>
          <w:iCs/>
        </w:rPr>
        <w:t>T</w:t>
      </w:r>
      <w:r>
        <w:t xml:space="preserve"> son el resultado de decisiones discrecionales de la autoridad fiscal sino el resultado del momento cíclico.</w:t>
      </w:r>
    </w:p>
  </w:footnote>
  <w:footnote w:id="12">
    <w:p w14:paraId="2B1539F5" w14:textId="77777777" w:rsidR="00D7370A" w:rsidRDefault="00D7370A" w:rsidP="00D7370A">
      <w:pPr>
        <w:pStyle w:val="Textonotapie"/>
      </w:pPr>
      <w:r>
        <w:rPr>
          <w:rStyle w:val="Refdenotaalpie"/>
        </w:rPr>
        <w:footnoteRef/>
      </w:r>
      <w:r>
        <w:t xml:space="preserve"> Nótese que por el lado del gasto, una gran parte está vinculado con factores más estructurales o permanentes. Así, el gasto en sanidad, educación y muchos servicios sociales dependen de características demográficas cuya sensibilidad cíclica es muy reducida.</w:t>
      </w:r>
    </w:p>
  </w:footnote>
  <w:footnote w:id="13">
    <w:p w14:paraId="219C0245" w14:textId="0A992605" w:rsidR="00934DB7" w:rsidRDefault="00934DB7">
      <w:pPr>
        <w:pStyle w:val="Textonotapie"/>
      </w:pPr>
      <w:r>
        <w:rPr>
          <w:rStyle w:val="Refdenotaalpie"/>
        </w:rPr>
        <w:footnoteRef/>
      </w:r>
      <w:r>
        <w:t xml:space="preserve"> </w:t>
      </w:r>
      <w:r>
        <w:rPr>
          <w:noProof/>
        </w:rPr>
        <w:drawing>
          <wp:inline distT="0" distB="0" distL="0" distR="0" wp14:anchorId="694DCDA3" wp14:editId="59AE8405">
            <wp:extent cx="3024000" cy="2019037"/>
            <wp:effectExtent l="0" t="0" r="5080" b="635"/>
            <wp:docPr id="123646398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463983" name="Imagen 1" descr="Texto&#10;&#10;Descripción generada automáticamente"/>
                    <pic:cNvPicPr/>
                  </pic:nvPicPr>
                  <pic:blipFill rotWithShape="1">
                    <a:blip r:embed="rId1"/>
                    <a:srcRect b="35823"/>
                    <a:stretch/>
                  </pic:blipFill>
                  <pic:spPr bwMode="auto">
                    <a:xfrm>
                      <a:off x="0" y="0"/>
                      <a:ext cx="3024000" cy="201903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0543C0C" wp14:editId="78C00493">
            <wp:extent cx="2988000" cy="1091384"/>
            <wp:effectExtent l="0" t="0" r="3175" b="0"/>
            <wp:docPr id="122629848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298482" name="Imagen 1" descr="Texto&#10;&#10;Descripción generada automáticamente"/>
                    <pic:cNvPicPr/>
                  </pic:nvPicPr>
                  <pic:blipFill rotWithShape="1">
                    <a:blip r:embed="rId1"/>
                    <a:srcRect t="64891"/>
                    <a:stretch/>
                  </pic:blipFill>
                  <pic:spPr bwMode="auto">
                    <a:xfrm>
                      <a:off x="0" y="0"/>
                      <a:ext cx="2988000" cy="1091384"/>
                    </a:xfrm>
                    <a:prstGeom prst="rect">
                      <a:avLst/>
                    </a:prstGeom>
                    <a:ln>
                      <a:noFill/>
                    </a:ln>
                    <a:extLst>
                      <a:ext uri="{53640926-AAD7-44D8-BBD7-CCE9431645EC}">
                        <a14:shadowObscured xmlns:a14="http://schemas.microsoft.com/office/drawing/2010/main"/>
                      </a:ext>
                    </a:extLst>
                  </pic:spPr>
                </pic:pic>
              </a:graphicData>
            </a:graphic>
          </wp:inline>
        </w:drawing>
      </w:r>
    </w:p>
  </w:footnote>
  <w:footnote w:id="14">
    <w:p w14:paraId="5CE47659" w14:textId="77777777" w:rsidR="007E2D63" w:rsidRDefault="007E2D63" w:rsidP="007E2D63">
      <w:pPr>
        <w:pStyle w:val="Textonotapie"/>
        <w:keepNext/>
        <w:spacing w:after="0"/>
      </w:pPr>
      <w:r>
        <w:rPr>
          <w:rStyle w:val="Refdenotaalpie"/>
        </w:rPr>
        <w:footnoteRef/>
      </w:r>
      <w:r>
        <w:t xml:space="preserve"> Además, al analizar los efectos expansivos del gasto público y de los impuestos hay que destacar el </w:t>
      </w:r>
      <w:r w:rsidRPr="005C3D2F">
        <w:rPr>
          <w:i/>
          <w:iCs/>
          <w:u w:val="single"/>
        </w:rPr>
        <w:t xml:space="preserve">Teorema del Presupuesto Equilibrado de </w:t>
      </w:r>
      <w:r w:rsidRPr="005C3D2F">
        <w:rPr>
          <w:i/>
          <w:iCs/>
          <w:smallCaps/>
          <w:u w:val="single"/>
        </w:rPr>
        <w:t>Haavelmo</w:t>
      </w:r>
      <w:r w:rsidRPr="005C3D2F">
        <w:rPr>
          <w:i/>
          <w:iCs/>
          <w:u w:val="single"/>
        </w:rPr>
        <w:t xml:space="preserve"> (1945)</w:t>
      </w:r>
      <w:r>
        <w:t xml:space="preserve"> que establece que un incremento de gasto público financiado con impuestos de igual cuantía da lugar a un efecto sobre el nivel de producción de la misma magnitud que el incremento del gasto. Es decir, el multiplicador del presupuesto equilibrado sería igual a uno:</w:t>
      </w:r>
    </w:p>
    <w:p w14:paraId="439D1716" w14:textId="77777777" w:rsidR="007E2D63" w:rsidRPr="00EA4EBD" w:rsidRDefault="00000000" w:rsidP="007E2D63">
      <w:pPr>
        <w:pStyle w:val="Textonotapie"/>
        <w:spacing w:after="0"/>
        <w:rPr>
          <w:rFonts w:eastAsiaTheme="minorEastAsia"/>
          <w:iCs/>
        </w:rPr>
      </w:pPr>
      <m:oMathPara>
        <m:oMath>
          <m:sSub>
            <m:sSubPr>
              <m:ctrlPr>
                <w:rPr>
                  <w:rFonts w:ascii="Cambria Math" w:hAnsi="Cambria Math"/>
                  <w:i/>
                  <w:iCs/>
                  <w:lang w:val="en-US"/>
                </w:rPr>
              </m:ctrlPr>
            </m:sSubPr>
            <m:e>
              <m:d>
                <m:dPr>
                  <m:begChr m:val=""/>
                  <m:endChr m:val="|"/>
                  <m:ctrlPr>
                    <w:rPr>
                      <w:rFonts w:ascii="Cambria Math" w:hAnsi="Cambria Math"/>
                      <w:i/>
                      <w:iCs/>
                      <w:lang w:val="en-US"/>
                    </w:rPr>
                  </m:ctrlPr>
                </m:dPr>
                <m:e>
                  <m:f>
                    <m:fPr>
                      <m:ctrlPr>
                        <w:rPr>
                          <w:rFonts w:ascii="Cambria Math" w:hAnsi="Cambria Math"/>
                          <w:i/>
                          <w:iCs/>
                          <w:lang w:val="en-US"/>
                        </w:rPr>
                      </m:ctrlPr>
                    </m:fPr>
                    <m:num>
                      <m:r>
                        <w:rPr>
                          <w:rFonts w:ascii="Cambria Math" w:hAnsi="Cambria Math"/>
                        </w:rPr>
                        <m:t>∆</m:t>
                      </m:r>
                      <m:r>
                        <m:rPr>
                          <m:nor/>
                        </m:rPr>
                        <w:rPr>
                          <w:i/>
                          <w:iCs/>
                        </w:rPr>
                        <m:t>Y</m:t>
                      </m:r>
                    </m:num>
                    <m:den>
                      <m:r>
                        <w:rPr>
                          <w:rFonts w:ascii="Cambria Math" w:hAnsi="Cambria Math"/>
                        </w:rPr>
                        <m:t>∆</m:t>
                      </m:r>
                      <m:r>
                        <m:rPr>
                          <m:nor/>
                        </m:rPr>
                        <w:rPr>
                          <w:i/>
                          <w:iCs/>
                        </w:rPr>
                        <m:t>G</m:t>
                      </m:r>
                    </m:den>
                  </m:f>
                </m:e>
              </m:d>
            </m:e>
            <m:sub>
              <m:r>
                <w:rPr>
                  <w:rFonts w:ascii="Cambria Math" w:hAnsi="Cambria Math"/>
                </w:rPr>
                <m:t>∆</m:t>
              </m:r>
              <m:r>
                <m:rPr>
                  <m:nor/>
                </m:rPr>
                <w:rPr>
                  <w:i/>
                  <w:iCs/>
                </w:rPr>
                <m:t>G</m:t>
              </m:r>
              <m:r>
                <w:rPr>
                  <w:rFonts w:ascii="Cambria Math"/>
                </w:rPr>
                <m:t>=</m:t>
              </m:r>
              <m:r>
                <w:rPr>
                  <w:rFonts w:ascii="Cambria Math" w:hAnsi="Cambria Math"/>
                </w:rPr>
                <m:t>∆</m:t>
              </m:r>
              <m:r>
                <m:rPr>
                  <m:nor/>
                </m:rPr>
                <w:rPr>
                  <w:i/>
                  <w:iCs/>
                </w:rPr>
                <m:t>T</m:t>
              </m:r>
            </m:sub>
          </m:sSub>
          <m:r>
            <w:rPr>
              <w:rFonts w:ascii="Cambria Math"/>
            </w:rPr>
            <m:t>=</m:t>
          </m:r>
          <m:r>
            <m:rPr>
              <m:nor/>
            </m:rPr>
            <w:rPr>
              <w:i/>
              <w:iCs/>
            </w:rPr>
            <m:t>1</m:t>
          </m:r>
        </m:oMath>
      </m:oMathPara>
    </w:p>
    <w:p w14:paraId="7C8B9043" w14:textId="77777777" w:rsidR="007E2D63" w:rsidRDefault="007E2D63" w:rsidP="007E2D63">
      <w:pPr>
        <w:pStyle w:val="Textonotapie"/>
        <w:keepNext/>
        <w:spacing w:after="0"/>
        <w:rPr>
          <w:rFonts w:eastAsiaTheme="minorEastAsia"/>
        </w:rPr>
      </w:pPr>
      <w:r>
        <w:rPr>
          <w:rFonts w:eastAsiaTheme="minorEastAsia"/>
        </w:rPr>
        <w:t>Podemos demostrar el teorema del presupuesto equilibrado (</w:t>
      </w:r>
      <w:hyperlink r:id="rId2" w:history="1">
        <w:r w:rsidRPr="00CD747C">
          <w:rPr>
            <w:rStyle w:val="Hipervnculo"/>
            <w:rFonts w:eastAsiaTheme="minorEastAsia"/>
          </w:rPr>
          <w:t>https://en.wikipedia.org/wiki/Balanced_budget</w:t>
        </w:r>
      </w:hyperlink>
      <w:r>
        <w:rPr>
          <w:rFonts w:eastAsiaTheme="minorEastAsia"/>
        </w:rPr>
        <w:t>) de la siguiente forma:</w:t>
      </w:r>
    </w:p>
    <w:p w14:paraId="112A626A" w14:textId="77777777" w:rsidR="007E2D63" w:rsidRDefault="007E2D63" w:rsidP="007E2D63">
      <w:pPr>
        <w:pStyle w:val="Textonotapie"/>
        <w:keepNext/>
        <w:numPr>
          <w:ilvl w:val="0"/>
          <w:numId w:val="48"/>
        </w:numPr>
        <w:tabs>
          <w:tab w:val="left" w:pos="3683"/>
        </w:tabs>
        <w:spacing w:after="0"/>
        <w:ind w:left="283" w:hanging="113"/>
        <w:rPr>
          <w:rFonts w:eastAsiaTheme="minorEastAsia"/>
        </w:rPr>
      </w:pPr>
      <w:r w:rsidRPr="00E9204F">
        <w:rPr>
          <w:rFonts w:eastAsiaTheme="minorEastAsia"/>
        </w:rPr>
        <w:t>Partiendo</w:t>
      </w:r>
      <w:r>
        <w:rPr>
          <w:rFonts w:eastAsiaTheme="minorEastAsia"/>
        </w:rPr>
        <w:t xml:space="preserve"> de la ecuación inicial:</w:t>
      </w:r>
    </w:p>
    <w:p w14:paraId="220E2A97" w14:textId="77777777" w:rsidR="007E2D63" w:rsidRPr="00C96D5C" w:rsidRDefault="007E2D63" w:rsidP="007E2D63">
      <w:pPr>
        <w:pStyle w:val="Textonotapie"/>
        <w:keepNext/>
        <w:spacing w:after="0"/>
        <w:rPr>
          <w:rFonts w:eastAsiaTheme="minorEastAsia"/>
          <w:iCs/>
          <w:szCs w:val="16"/>
          <w:lang w:val="fr-FR"/>
        </w:rPr>
      </w:pPr>
      <m:oMathPara>
        <m:oMath>
          <m:r>
            <m:rPr>
              <m:nor/>
            </m:rPr>
            <w:rPr>
              <w:rFonts w:ascii="Cambria Math"/>
              <w:szCs w:val="16"/>
            </w:rPr>
            <m:t xml:space="preserve"> </m:t>
          </m:r>
          <m:r>
            <m:rPr>
              <m:nor/>
            </m:rPr>
            <w:rPr>
              <w:i/>
              <w:iCs/>
              <w:szCs w:val="16"/>
              <w:lang w:val="fr-FR"/>
            </w:rPr>
            <m:t>Y</m:t>
          </m:r>
          <m:r>
            <w:rPr>
              <w:rFonts w:ascii="Cambria Math" w:hAnsi="Cambria Math"/>
              <w:szCs w:val="16"/>
              <w:lang w:val="fr-FR"/>
            </w:rPr>
            <m:t>=</m:t>
          </m:r>
          <m:sSub>
            <m:sSubPr>
              <m:ctrlPr>
                <w:rPr>
                  <w:rFonts w:ascii="Cambria Math" w:hAnsi="Cambria Math"/>
                  <w:i/>
                  <w:iCs/>
                  <w:szCs w:val="16"/>
                </w:rPr>
              </m:ctrlPr>
            </m:sSubPr>
            <m:e>
              <m:r>
                <m:rPr>
                  <m:nor/>
                </m:rPr>
                <w:rPr>
                  <w:i/>
                  <w:iCs/>
                  <w:szCs w:val="16"/>
                  <w:lang w:val="fr-FR"/>
                </w:rPr>
                <m:t>C</m:t>
              </m:r>
            </m:e>
            <m:sub>
              <m:r>
                <m:rPr>
                  <m:nor/>
                </m:rPr>
                <w:rPr>
                  <w:i/>
                  <w:iCs/>
                  <w:szCs w:val="16"/>
                  <w:lang w:val="fr-FR"/>
                </w:rPr>
                <m:t>0</m:t>
              </m:r>
            </m:sub>
          </m:sSub>
          <m:r>
            <w:rPr>
              <w:rFonts w:ascii="Cambria Math" w:hAnsi="Cambria Math"/>
              <w:szCs w:val="16"/>
              <w:lang w:val="fr-FR"/>
            </w:rPr>
            <m:t>+</m:t>
          </m:r>
          <m:r>
            <m:rPr>
              <m:nor/>
            </m:rPr>
            <w:rPr>
              <w:i/>
              <w:iCs/>
              <w:szCs w:val="16"/>
              <w:lang w:val="fr-FR"/>
            </w:rPr>
            <m:t>c</m:t>
          </m:r>
          <m:r>
            <w:rPr>
              <w:rFonts w:ascii="Cambria Math" w:hAnsi="Cambria Math"/>
              <w:szCs w:val="16"/>
              <w:lang w:val="fr-FR"/>
            </w:rPr>
            <m:t>∙</m:t>
          </m:r>
          <m:d>
            <m:dPr>
              <m:ctrlPr>
                <w:rPr>
                  <w:rFonts w:ascii="Cambria Math" w:hAnsi="Cambria Math"/>
                  <w:i/>
                  <w:iCs/>
                  <w:szCs w:val="16"/>
                  <w:lang w:val="en-US"/>
                </w:rPr>
              </m:ctrlPr>
            </m:dPr>
            <m:e>
              <m:r>
                <m:rPr>
                  <m:nor/>
                </m:rPr>
                <w:rPr>
                  <w:i/>
                  <w:iCs/>
                  <w:szCs w:val="16"/>
                  <w:lang w:val="fr-FR"/>
                </w:rPr>
                <m:t>Y</m:t>
              </m:r>
              <m:r>
                <w:rPr>
                  <w:rFonts w:ascii="Cambria Math" w:hAnsi="Cambria Math"/>
                  <w:szCs w:val="16"/>
                  <w:lang w:val="fr-FR"/>
                </w:rPr>
                <m:t>-</m:t>
              </m:r>
              <m:r>
                <m:rPr>
                  <m:nor/>
                </m:rPr>
                <w:rPr>
                  <w:i/>
                  <w:iCs/>
                  <w:szCs w:val="16"/>
                  <w:lang w:val="fr-FR"/>
                </w:rPr>
                <m:t>T</m:t>
              </m:r>
            </m:e>
          </m:d>
          <m:r>
            <w:rPr>
              <w:rFonts w:ascii="Cambria Math" w:hAnsi="Cambria Math"/>
              <w:szCs w:val="16"/>
              <w:lang w:val="fr-FR"/>
            </w:rPr>
            <m:t>+</m:t>
          </m:r>
          <m:r>
            <m:rPr>
              <m:nor/>
            </m:rPr>
            <w:rPr>
              <w:i/>
              <w:iCs/>
              <w:szCs w:val="16"/>
              <w:lang w:val="fr-FR"/>
            </w:rPr>
            <m:t>I</m:t>
          </m:r>
          <m:r>
            <w:rPr>
              <w:rFonts w:ascii="Cambria Math" w:hAnsi="Cambria Math"/>
              <w:szCs w:val="16"/>
              <w:lang w:val="fr-FR"/>
            </w:rPr>
            <m:t>+</m:t>
          </m:r>
          <m:r>
            <m:rPr>
              <m:nor/>
            </m:rPr>
            <w:rPr>
              <w:i/>
              <w:iCs/>
              <w:szCs w:val="16"/>
              <w:lang w:val="fr-FR"/>
            </w:rPr>
            <m:t>G</m:t>
          </m:r>
        </m:oMath>
      </m:oMathPara>
    </w:p>
    <w:p w14:paraId="1484B188" w14:textId="77777777" w:rsidR="007E2D63" w:rsidRPr="003043A0" w:rsidRDefault="007E2D63" w:rsidP="007E2D63">
      <w:pPr>
        <w:pStyle w:val="Textonotapie"/>
        <w:keepNext/>
        <w:numPr>
          <w:ilvl w:val="0"/>
          <w:numId w:val="48"/>
        </w:numPr>
        <w:spacing w:after="0"/>
        <w:ind w:left="283" w:hanging="113"/>
        <w:rPr>
          <w:rFonts w:eastAsiaTheme="minorEastAsia"/>
          <w:iCs/>
          <w:spacing w:val="-1"/>
          <w:szCs w:val="16"/>
        </w:rPr>
      </w:pPr>
      <w:r w:rsidRPr="003043A0">
        <w:rPr>
          <w:rFonts w:eastAsiaTheme="minorEastAsia"/>
          <w:iCs/>
          <w:spacing w:val="-1"/>
          <w:szCs w:val="16"/>
        </w:rPr>
        <w:t xml:space="preserve">Si </w:t>
      </w:r>
      <m:oMath>
        <m:r>
          <w:rPr>
            <w:rFonts w:ascii="Cambria Math" w:hAnsi="Cambria Math"/>
            <w:spacing w:val="-1"/>
            <w:szCs w:val="16"/>
          </w:rPr>
          <m:t>∆</m:t>
        </m:r>
        <m:r>
          <m:rPr>
            <m:nor/>
          </m:rPr>
          <w:rPr>
            <w:i/>
            <w:iCs/>
            <w:spacing w:val="-1"/>
            <w:szCs w:val="16"/>
          </w:rPr>
          <m:t>G</m:t>
        </m:r>
        <m:r>
          <w:rPr>
            <w:rFonts w:ascii="Cambria Math"/>
            <w:spacing w:val="-1"/>
            <w:szCs w:val="16"/>
          </w:rPr>
          <m:t>=</m:t>
        </m:r>
        <m:r>
          <w:rPr>
            <w:rFonts w:ascii="Cambria Math" w:hAnsi="Cambria Math"/>
            <w:spacing w:val="-1"/>
            <w:szCs w:val="16"/>
          </w:rPr>
          <m:t>∆</m:t>
        </m:r>
        <m:r>
          <m:rPr>
            <m:nor/>
          </m:rPr>
          <w:rPr>
            <w:i/>
            <w:iCs/>
            <w:spacing w:val="-1"/>
            <w:szCs w:val="16"/>
          </w:rPr>
          <m:t>T</m:t>
        </m:r>
      </m:oMath>
      <w:r w:rsidRPr="003043A0">
        <w:rPr>
          <w:rFonts w:eastAsiaTheme="minorEastAsia"/>
          <w:iCs/>
          <w:spacing w:val="-1"/>
          <w:szCs w:val="16"/>
        </w:rPr>
        <w:t xml:space="preserve"> </w:t>
      </w:r>
      <w:r w:rsidRPr="003043A0">
        <w:rPr>
          <w:rFonts w:eastAsiaTheme="minorEastAsia"/>
          <w:spacing w:val="-1"/>
        </w:rPr>
        <w:t xml:space="preserve">y suponiendo que </w:t>
      </w:r>
      <m:oMath>
        <m:r>
          <m:rPr>
            <m:nor/>
          </m:rPr>
          <w:rPr>
            <w:i/>
            <w:iCs/>
            <w:spacing w:val="-1"/>
            <w:szCs w:val="16"/>
          </w:rPr>
          <m:t>I</m:t>
        </m:r>
      </m:oMath>
      <w:r w:rsidRPr="003043A0">
        <w:rPr>
          <w:rFonts w:eastAsiaTheme="minorEastAsia"/>
          <w:iCs/>
          <w:spacing w:val="-1"/>
          <w:szCs w:val="16"/>
        </w:rPr>
        <w:t xml:space="preserve"> permanece constante (¡ojo!, en nuestro modelo IS-LM esto no se cumpliría, pues el aumento en </w:t>
      </w:r>
      <m:oMath>
        <m:r>
          <m:rPr>
            <m:nor/>
          </m:rPr>
          <w:rPr>
            <w:i/>
            <w:iCs/>
            <w:spacing w:val="-1"/>
            <w:szCs w:val="16"/>
          </w:rPr>
          <m:t>Y</m:t>
        </m:r>
      </m:oMath>
      <w:r w:rsidRPr="003043A0">
        <w:rPr>
          <w:rFonts w:eastAsiaTheme="minorEastAsia"/>
          <w:iCs/>
          <w:spacing w:val="-1"/>
          <w:szCs w:val="16"/>
        </w:rPr>
        <w:t xml:space="preserve"> llevaría a un aumento de la demanda de saldos reales y con ello a un aumento del tipo de interés y a una caída de la inversión (</w:t>
      </w:r>
      <w:r w:rsidRPr="003043A0">
        <w:rPr>
          <w:rFonts w:eastAsiaTheme="minorEastAsia"/>
          <w:i/>
          <w:spacing w:val="-1"/>
          <w:szCs w:val="16"/>
        </w:rPr>
        <w:t>crowding-out</w:t>
      </w:r>
      <w:r w:rsidRPr="003043A0">
        <w:rPr>
          <w:rFonts w:eastAsiaTheme="minorEastAsia"/>
          <w:iCs/>
          <w:spacing w:val="-1"/>
          <w:szCs w:val="16"/>
        </w:rPr>
        <w:t>)):</w:t>
      </w:r>
    </w:p>
    <w:p w14:paraId="419B7D9B" w14:textId="77777777" w:rsidR="007E2D63" w:rsidRPr="00EA4EBD" w:rsidRDefault="007E2D63" w:rsidP="007E2D63">
      <w:pPr>
        <w:pStyle w:val="Textonotapie"/>
        <w:spacing w:after="0"/>
        <w:rPr>
          <w:lang w:val="fr-FR"/>
        </w:rPr>
      </w:pPr>
      <m:oMathPara>
        <m:oMath>
          <m:r>
            <w:rPr>
              <w:rFonts w:ascii="Cambria Math" w:hAnsi="Cambria Math"/>
              <w:szCs w:val="16"/>
              <w:lang w:val="fr-FR"/>
            </w:rPr>
            <m:t>∆</m:t>
          </m:r>
          <m:r>
            <m:rPr>
              <m:nor/>
            </m:rPr>
            <w:rPr>
              <w:i/>
              <w:iCs/>
              <w:szCs w:val="16"/>
              <w:lang w:val="fr-FR"/>
            </w:rPr>
            <m:t>Y</m:t>
          </m:r>
          <m:r>
            <w:rPr>
              <w:rFonts w:ascii="Cambria Math" w:hAnsi="Cambria Math"/>
              <w:szCs w:val="16"/>
              <w:lang w:val="fr-FR"/>
            </w:rPr>
            <m:t>=</m:t>
          </m:r>
          <m:limLow>
            <m:limLowPr>
              <m:ctrlPr>
                <w:rPr>
                  <w:rFonts w:ascii="Cambria Math" w:hAnsi="Cambria Math"/>
                  <w:i/>
                  <w:iCs/>
                  <w:szCs w:val="16"/>
                  <w:lang w:val="en-US"/>
                </w:rPr>
              </m:ctrlPr>
            </m:limLowPr>
            <m:e>
              <m:groupChr>
                <m:groupChrPr>
                  <m:ctrlPr>
                    <w:rPr>
                      <w:rFonts w:ascii="Cambria Math" w:hAnsi="Cambria Math"/>
                      <w:i/>
                      <w:iCs/>
                      <w:szCs w:val="16"/>
                      <w:lang w:val="en-US"/>
                    </w:rPr>
                  </m:ctrlPr>
                </m:groupChrPr>
                <m:e>
                  <m:r>
                    <w:rPr>
                      <w:rFonts w:ascii="Cambria Math" w:hAnsi="Cambria Math"/>
                      <w:szCs w:val="16"/>
                      <w:lang w:val="fr-FR"/>
                    </w:rPr>
                    <m:t>∆</m:t>
                  </m:r>
                  <m:sSub>
                    <m:sSubPr>
                      <m:ctrlPr>
                        <w:rPr>
                          <w:rFonts w:ascii="Cambria Math" w:hAnsi="Cambria Math"/>
                          <w:i/>
                          <w:iCs/>
                          <w:szCs w:val="16"/>
                        </w:rPr>
                      </m:ctrlPr>
                    </m:sSubPr>
                    <m:e>
                      <m:r>
                        <m:rPr>
                          <m:nor/>
                        </m:rPr>
                        <w:rPr>
                          <w:i/>
                          <w:iCs/>
                          <w:szCs w:val="16"/>
                          <w:lang w:val="fr-FR"/>
                        </w:rPr>
                        <m:t>C</m:t>
                      </m:r>
                    </m:e>
                    <m:sub>
                      <m:r>
                        <m:rPr>
                          <m:nor/>
                        </m:rPr>
                        <w:rPr>
                          <w:i/>
                          <w:iCs/>
                          <w:szCs w:val="16"/>
                          <w:lang w:val="fr-FR"/>
                        </w:rPr>
                        <m:t>0</m:t>
                      </m:r>
                    </m:sub>
                  </m:sSub>
                </m:e>
              </m:groupChr>
            </m:e>
            <m:lim>
              <m:r>
                <w:rPr>
                  <w:rFonts w:ascii="Cambria Math" w:hAnsi="Cambria Math"/>
                  <w:szCs w:val="16"/>
                  <w:lang w:val="fr-FR"/>
                </w:rPr>
                <m:t>=</m:t>
              </m:r>
              <m:r>
                <m:rPr>
                  <m:nor/>
                </m:rPr>
                <w:rPr>
                  <w:i/>
                  <w:iCs/>
                  <w:szCs w:val="16"/>
                  <w:lang w:val="fr-FR"/>
                </w:rPr>
                <m:t>0</m:t>
              </m:r>
            </m:lim>
          </m:limLow>
          <m:r>
            <w:rPr>
              <w:rFonts w:ascii="Cambria Math" w:hAnsi="Cambria Math"/>
              <w:szCs w:val="16"/>
              <w:lang w:val="fr-FR"/>
            </w:rPr>
            <m:t>+</m:t>
          </m:r>
          <m:r>
            <m:rPr>
              <m:nor/>
            </m:rPr>
            <w:rPr>
              <w:i/>
              <w:iCs/>
              <w:szCs w:val="16"/>
              <w:lang w:val="fr-FR"/>
            </w:rPr>
            <m:t>c</m:t>
          </m:r>
          <m:r>
            <w:rPr>
              <w:rFonts w:ascii="Cambria Math" w:hAnsi="Cambria Math"/>
              <w:szCs w:val="16"/>
              <w:lang w:val="fr-FR"/>
            </w:rPr>
            <m:t>∙</m:t>
          </m:r>
          <m:d>
            <m:dPr>
              <m:ctrlPr>
                <w:rPr>
                  <w:rFonts w:ascii="Cambria Math" w:hAnsi="Cambria Math"/>
                  <w:i/>
                  <w:iCs/>
                  <w:szCs w:val="16"/>
                  <w:lang w:val="en-US"/>
                </w:rPr>
              </m:ctrlPr>
            </m:dPr>
            <m:e>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T</m:t>
              </m:r>
            </m:e>
          </m:d>
          <m:r>
            <w:rPr>
              <w:rFonts w:ascii="Cambria Math" w:hAnsi="Cambria Math"/>
              <w:szCs w:val="16"/>
              <w:lang w:val="fr-FR"/>
            </w:rPr>
            <m:t>+</m:t>
          </m:r>
          <m:limLow>
            <m:limLowPr>
              <m:ctrlPr>
                <w:rPr>
                  <w:rFonts w:ascii="Cambria Math" w:hAnsi="Cambria Math"/>
                  <w:i/>
                  <w:iCs/>
                  <w:szCs w:val="16"/>
                  <w:lang w:val="en-US"/>
                </w:rPr>
              </m:ctrlPr>
            </m:limLowPr>
            <m:e>
              <m:groupChr>
                <m:groupChrPr>
                  <m:ctrlPr>
                    <w:rPr>
                      <w:rFonts w:ascii="Cambria Math" w:hAnsi="Cambria Math"/>
                      <w:i/>
                      <w:iCs/>
                      <w:szCs w:val="16"/>
                      <w:lang w:val="en-US"/>
                    </w:rPr>
                  </m:ctrlPr>
                </m:groupChrPr>
                <m:e>
                  <m:r>
                    <w:rPr>
                      <w:rFonts w:ascii="Cambria Math" w:hAnsi="Cambria Math"/>
                      <w:szCs w:val="16"/>
                      <w:lang w:val="fr-FR"/>
                    </w:rPr>
                    <m:t>∆</m:t>
                  </m:r>
                  <m:r>
                    <m:rPr>
                      <m:nor/>
                    </m:rPr>
                    <w:rPr>
                      <w:i/>
                      <w:iCs/>
                      <w:szCs w:val="16"/>
                      <w:lang w:val="fr-FR"/>
                    </w:rPr>
                    <m:t>I</m:t>
                  </m:r>
                </m:e>
              </m:groupChr>
            </m:e>
            <m:lim>
              <m:r>
                <w:rPr>
                  <w:rFonts w:ascii="Cambria Math" w:hAnsi="Cambria Math"/>
                  <w:szCs w:val="16"/>
                  <w:lang w:val="fr-FR"/>
                </w:rPr>
                <m:t>=</m:t>
              </m:r>
              <m:r>
                <m:rPr>
                  <m:nor/>
                </m:rPr>
                <w:rPr>
                  <w:i/>
                  <w:iCs/>
                  <w:szCs w:val="16"/>
                  <w:lang w:val="fr-FR"/>
                </w:rPr>
                <m:t>0</m:t>
              </m:r>
            </m:lim>
          </m:limLow>
          <m:r>
            <w:rPr>
              <w:rFonts w:ascii="Cambria Math" w:hAnsi="Cambria Math"/>
              <w:szCs w:val="16"/>
              <w:lang w:val="fr-FR"/>
            </w:rPr>
            <m:t>+∆</m:t>
          </m:r>
          <m:r>
            <m:rPr>
              <m:nor/>
            </m:rPr>
            <w:rPr>
              <w:i/>
              <w:iCs/>
              <w:szCs w:val="16"/>
              <w:lang w:val="fr-FR"/>
            </w:rPr>
            <m:t>G</m:t>
          </m:r>
          <m:r>
            <w:rPr>
              <w:rFonts w:ascii="Cambria Math" w:eastAsiaTheme="minorEastAsia" w:hAnsi="Cambria Math"/>
              <w:szCs w:val="16"/>
              <w:lang w:val="en-US"/>
            </w:rPr>
            <m:t>⟹</m:t>
          </m:r>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c</m:t>
          </m:r>
          <m:r>
            <w:rPr>
              <w:rFonts w:ascii="Cambria Math" w:hAnsi="Cambria Math"/>
              <w:szCs w:val="16"/>
              <w:lang w:val="fr-FR"/>
            </w:rPr>
            <m:t>∙</m:t>
          </m:r>
          <m:d>
            <m:dPr>
              <m:ctrlPr>
                <w:rPr>
                  <w:rFonts w:ascii="Cambria Math" w:hAnsi="Cambria Math"/>
                  <w:i/>
                  <w:iCs/>
                  <w:szCs w:val="16"/>
                  <w:lang w:val="en-US"/>
                </w:rPr>
              </m:ctrlPr>
            </m:dPr>
            <m:e>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T</m:t>
              </m:r>
            </m:e>
          </m:d>
          <m:r>
            <w:rPr>
              <w:rFonts w:ascii="Cambria Math" w:hAnsi="Cambria Math"/>
              <w:szCs w:val="16"/>
              <w:lang w:val="fr-FR"/>
            </w:rPr>
            <m:t>+∆</m:t>
          </m:r>
          <m:r>
            <m:rPr>
              <m:nor/>
            </m:rPr>
            <w:rPr>
              <w:i/>
              <w:iCs/>
              <w:szCs w:val="16"/>
              <w:lang w:val="fr-FR"/>
            </w:rPr>
            <m:t>G</m:t>
          </m:r>
          <m:r>
            <w:rPr>
              <w:rFonts w:ascii="Cambria Math" w:eastAsiaTheme="minorEastAsia" w:hAnsi="Cambria Math"/>
              <w:szCs w:val="16"/>
              <w:lang w:val="en-US"/>
            </w:rPr>
            <m:t>⟹</m:t>
          </m:r>
          <m:r>
            <m:rPr>
              <m:sty m:val="p"/>
            </m:rPr>
            <w:rPr>
              <w:rFonts w:ascii="Cambria Math" w:eastAsiaTheme="minorEastAsia" w:hAnsi="Cambria Math"/>
              <w:szCs w:val="16"/>
              <w:lang w:val="fr-FR"/>
            </w:rPr>
            <w:br/>
          </m:r>
        </m:oMath>
        <m:oMath>
          <m:r>
            <w:rPr>
              <w:rFonts w:ascii="Cambria Math" w:eastAsiaTheme="minorEastAsia" w:hAnsi="Cambria Math"/>
              <w:szCs w:val="16"/>
              <w:lang w:val="en-US"/>
            </w:rPr>
            <m:t>⟹</m:t>
          </m:r>
          <m:d>
            <m:dPr>
              <m:ctrlPr>
                <w:rPr>
                  <w:rFonts w:ascii="Cambria Math" w:hAnsi="Cambria Math"/>
                  <w:i/>
                  <w:iCs/>
                  <w:szCs w:val="16"/>
                  <w:lang w:val="en-US"/>
                </w:rPr>
              </m:ctrlPr>
            </m:dPr>
            <m:e>
              <m:r>
                <m:rPr>
                  <m:nor/>
                </m:rPr>
                <w:rPr>
                  <w:i/>
                  <w:iCs/>
                  <w:szCs w:val="16"/>
                  <w:lang w:val="fr-FR"/>
                </w:rPr>
                <m:t>1</m:t>
              </m:r>
              <m:r>
                <w:rPr>
                  <w:rFonts w:ascii="Cambria Math" w:hAnsi="Cambria Math"/>
                  <w:szCs w:val="16"/>
                  <w:lang w:val="fr-FR"/>
                </w:rPr>
                <m:t>-</m:t>
              </m:r>
              <m:r>
                <m:rPr>
                  <m:nor/>
                </m:rPr>
                <w:rPr>
                  <w:i/>
                  <w:iCs/>
                  <w:szCs w:val="16"/>
                  <w:lang w:val="fr-FR"/>
                </w:rPr>
                <m:t>c</m:t>
              </m:r>
            </m:e>
          </m:d>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c</m:t>
          </m:r>
          <m:r>
            <w:rPr>
              <w:rFonts w:ascii="Cambria Math" w:hAnsi="Cambria Math"/>
              <w:szCs w:val="16"/>
              <w:lang w:val="fr-FR"/>
            </w:rPr>
            <m:t>∙∆</m:t>
          </m:r>
          <m:r>
            <m:rPr>
              <m:nor/>
            </m:rPr>
            <w:rPr>
              <w:i/>
              <w:iCs/>
              <w:szCs w:val="16"/>
              <w:lang w:val="fr-FR"/>
            </w:rPr>
            <m:t>T</m:t>
          </m:r>
          <m:r>
            <w:rPr>
              <w:rFonts w:ascii="Cambria Math" w:hAnsi="Cambria Math"/>
              <w:szCs w:val="16"/>
              <w:lang w:val="fr-FR"/>
            </w:rPr>
            <m:t>+∆</m:t>
          </m:r>
          <m:r>
            <m:rPr>
              <m:nor/>
            </m:rPr>
            <w:rPr>
              <w:i/>
              <w:iCs/>
              <w:szCs w:val="16"/>
              <w:lang w:val="fr-FR"/>
            </w:rPr>
            <m:t>G</m:t>
          </m:r>
          <m:box>
            <m:boxPr>
              <m:opEmu m:val="1"/>
              <m:ctrlPr>
                <w:rPr>
                  <w:rFonts w:ascii="Cambria Math" w:eastAsiaTheme="minorEastAsia" w:hAnsi="Cambria Math"/>
                  <w:i/>
                  <w:iCs/>
                  <w:szCs w:val="16"/>
                  <w:lang w:val="fr-FR"/>
                </w:rPr>
              </m:ctrlPr>
            </m:boxPr>
            <m:e>
              <m:groupChr>
                <m:groupChrPr>
                  <m:chr m:val="⇒"/>
                  <m:vertJc m:val="bot"/>
                  <m:ctrlPr>
                    <w:rPr>
                      <w:rFonts w:ascii="Cambria Math" w:eastAsiaTheme="minorEastAsia" w:hAnsi="Cambria Math"/>
                      <w:i/>
                      <w:iCs/>
                      <w:szCs w:val="16"/>
                      <w:lang w:val="fr-FR"/>
                    </w:rPr>
                  </m:ctrlPr>
                </m:groupChrPr>
                <m:e>
                  <m:r>
                    <w:rPr>
                      <w:rFonts w:ascii="Cambria Math" w:eastAsiaTheme="minorEastAsia" w:hAnsi="Cambria Math"/>
                      <w:szCs w:val="16"/>
                      <w:lang w:val="fr-FR"/>
                    </w:rPr>
                    <m:t xml:space="preserve">   </m:t>
                  </m:r>
                  <m:r>
                    <w:rPr>
                      <w:rFonts w:ascii="Cambria Math" w:hAnsi="Cambria Math"/>
                      <w:szCs w:val="16"/>
                      <w:lang w:val="fr-FR"/>
                    </w:rPr>
                    <m:t>∆</m:t>
                  </m:r>
                  <m:r>
                    <m:rPr>
                      <m:nor/>
                    </m:rPr>
                    <w:rPr>
                      <w:i/>
                      <w:iCs/>
                      <w:szCs w:val="16"/>
                      <w:lang w:val="fr-FR"/>
                    </w:rPr>
                    <m:t>G</m:t>
                  </m:r>
                  <m:r>
                    <w:rPr>
                      <w:rFonts w:ascii="Cambria Math"/>
                      <w:szCs w:val="16"/>
                      <w:lang w:val="fr-FR"/>
                    </w:rPr>
                    <m:t>=</m:t>
                  </m:r>
                  <m:r>
                    <w:rPr>
                      <w:rFonts w:ascii="Cambria Math" w:hAnsi="Cambria Math"/>
                      <w:szCs w:val="16"/>
                      <w:lang w:val="fr-FR"/>
                    </w:rPr>
                    <m:t>∆</m:t>
                  </m:r>
                  <m:r>
                    <m:rPr>
                      <m:nor/>
                    </m:rPr>
                    <w:rPr>
                      <w:i/>
                      <w:iCs/>
                      <w:szCs w:val="16"/>
                      <w:lang w:val="fr-FR"/>
                    </w:rPr>
                    <m:t>T</m:t>
                  </m:r>
                  <m:r>
                    <m:rPr>
                      <m:nor/>
                    </m:rPr>
                    <w:rPr>
                      <w:rFonts w:ascii="Cambria Math"/>
                      <w:i/>
                      <w:iCs/>
                      <w:szCs w:val="16"/>
                      <w:lang w:val="fr-FR"/>
                    </w:rPr>
                    <m:t xml:space="preserve">   </m:t>
                  </m:r>
                </m:e>
              </m:groupChr>
              <m:d>
                <m:dPr>
                  <m:ctrlPr>
                    <w:rPr>
                      <w:rFonts w:ascii="Cambria Math" w:hAnsi="Cambria Math"/>
                      <w:i/>
                      <w:iCs/>
                      <w:szCs w:val="16"/>
                      <w:lang w:val="en-US"/>
                    </w:rPr>
                  </m:ctrlPr>
                </m:dPr>
                <m:e>
                  <m:r>
                    <m:rPr>
                      <m:nor/>
                    </m:rPr>
                    <w:rPr>
                      <w:i/>
                      <w:iCs/>
                      <w:szCs w:val="16"/>
                      <w:lang w:val="fr-FR"/>
                    </w:rPr>
                    <m:t>1</m:t>
                  </m:r>
                  <m:r>
                    <w:rPr>
                      <w:rFonts w:ascii="Cambria Math" w:hAnsi="Cambria Math"/>
                      <w:szCs w:val="16"/>
                      <w:lang w:val="fr-FR"/>
                    </w:rPr>
                    <m:t>-</m:t>
                  </m:r>
                  <m:r>
                    <m:rPr>
                      <m:nor/>
                    </m:rPr>
                    <w:rPr>
                      <w:i/>
                      <w:iCs/>
                      <w:szCs w:val="16"/>
                      <w:lang w:val="fr-FR"/>
                    </w:rPr>
                    <m:t>c</m:t>
                  </m:r>
                </m:e>
              </m:d>
              <m:r>
                <w:rPr>
                  <w:rFonts w:ascii="Cambria Math" w:hAnsi="Cambria Math"/>
                  <w:szCs w:val="16"/>
                  <w:lang w:val="fr-FR"/>
                </w:rPr>
                <m:t>∙∆</m:t>
              </m:r>
              <m:r>
                <m:rPr>
                  <m:nor/>
                </m:rPr>
                <w:rPr>
                  <w:i/>
                  <w:iCs/>
                  <w:szCs w:val="16"/>
                  <w:lang w:val="fr-FR"/>
                </w:rPr>
                <m:t>Y</m:t>
              </m:r>
              <m:r>
                <w:rPr>
                  <w:rFonts w:ascii="Cambria Math" w:hAnsi="Cambria Math"/>
                  <w:szCs w:val="16"/>
                  <w:lang w:val="fr-FR"/>
                </w:rPr>
                <m:t>=</m:t>
              </m:r>
              <m:d>
                <m:dPr>
                  <m:ctrlPr>
                    <w:rPr>
                      <w:rFonts w:ascii="Cambria Math" w:hAnsi="Cambria Math"/>
                      <w:i/>
                      <w:iCs/>
                      <w:szCs w:val="16"/>
                      <w:lang w:val="en-US"/>
                    </w:rPr>
                  </m:ctrlPr>
                </m:dPr>
                <m:e>
                  <m:r>
                    <m:rPr>
                      <m:nor/>
                    </m:rPr>
                    <w:rPr>
                      <w:i/>
                      <w:iCs/>
                      <w:szCs w:val="16"/>
                      <w:lang w:val="fr-FR"/>
                    </w:rPr>
                    <m:t>1</m:t>
                  </m:r>
                  <m:r>
                    <w:rPr>
                      <w:rFonts w:ascii="Cambria Math" w:hAnsi="Cambria Math"/>
                      <w:szCs w:val="16"/>
                      <w:lang w:val="fr-FR"/>
                    </w:rPr>
                    <m:t>-</m:t>
                  </m:r>
                  <m:r>
                    <m:rPr>
                      <m:nor/>
                    </m:rPr>
                    <w:rPr>
                      <w:i/>
                      <w:iCs/>
                      <w:szCs w:val="16"/>
                      <w:lang w:val="fr-FR"/>
                    </w:rPr>
                    <m:t>c</m:t>
                  </m:r>
                </m:e>
              </m:d>
              <m:r>
                <w:rPr>
                  <w:rFonts w:ascii="Cambria Math" w:hAnsi="Cambria Math"/>
                  <w:szCs w:val="16"/>
                  <w:lang w:val="fr-FR"/>
                </w:rPr>
                <m:t>∙</m:t>
              </m:r>
              <m:limLow>
                <m:limLowPr>
                  <m:ctrlPr>
                    <w:rPr>
                      <w:rFonts w:ascii="Cambria Math" w:hAnsi="Cambria Math"/>
                      <w:i/>
                      <w:iCs/>
                      <w:szCs w:val="16"/>
                      <w:lang w:val="fr-FR"/>
                    </w:rPr>
                  </m:ctrlPr>
                </m:limLowPr>
                <m:e>
                  <m:groupChr>
                    <m:groupChrPr>
                      <m:ctrlPr>
                        <w:rPr>
                          <w:rFonts w:ascii="Cambria Math" w:hAnsi="Cambria Math"/>
                          <w:i/>
                          <w:iCs/>
                          <w:szCs w:val="16"/>
                          <w:lang w:val="fr-FR"/>
                        </w:rPr>
                      </m:ctrlPr>
                    </m:groupChrPr>
                    <m:e>
                      <m:r>
                        <w:rPr>
                          <w:rFonts w:ascii="Cambria Math" w:hAnsi="Cambria Math"/>
                          <w:szCs w:val="16"/>
                          <w:lang w:val="fr-FR"/>
                        </w:rPr>
                        <m:t>∆</m:t>
                      </m:r>
                      <m:r>
                        <m:rPr>
                          <m:nor/>
                        </m:rPr>
                        <w:rPr>
                          <w:i/>
                          <w:iCs/>
                          <w:szCs w:val="16"/>
                          <w:lang w:val="fr-FR"/>
                        </w:rPr>
                        <m:t>G</m:t>
                      </m:r>
                    </m:e>
                  </m:groupChr>
                </m:e>
                <m:lim>
                  <m:r>
                    <w:rPr>
                      <w:rFonts w:ascii="Cambria Math" w:hAnsi="Cambria Math"/>
                      <w:szCs w:val="16"/>
                      <w:lang w:val="fr-FR"/>
                    </w:rPr>
                    <m:t>=∆</m:t>
                  </m:r>
                  <m:r>
                    <m:rPr>
                      <m:nor/>
                    </m:rPr>
                    <w:rPr>
                      <w:i/>
                      <w:iCs/>
                      <w:szCs w:val="16"/>
                      <w:lang w:val="fr-FR"/>
                    </w:rPr>
                    <m:t>T</m:t>
                  </m:r>
                </m:lim>
              </m:limLow>
            </m:e>
          </m:box>
          <m:r>
            <w:rPr>
              <w:rFonts w:ascii="Cambria Math" w:eastAsiaTheme="minorEastAsia" w:hAnsi="Cambria Math"/>
              <w:szCs w:val="16"/>
              <w:lang w:val="fr-FR"/>
            </w:rPr>
            <m:t>⟹</m:t>
          </m:r>
          <m:borderBox>
            <m:borderBoxPr>
              <m:ctrlPr>
                <w:rPr>
                  <w:rFonts w:ascii="Cambria Math" w:hAnsi="Cambria Math"/>
                  <w:i/>
                  <w:iCs/>
                  <w:sz w:val="22"/>
                  <w:szCs w:val="22"/>
                  <w:lang w:val="en-US"/>
                </w:rPr>
              </m:ctrlPr>
            </m:borderBoxPr>
            <m:e>
              <m:sSub>
                <m:sSubPr>
                  <m:ctrlPr>
                    <w:rPr>
                      <w:rFonts w:ascii="Cambria Math" w:hAnsi="Cambria Math"/>
                      <w:i/>
                      <w:iCs/>
                      <w:sz w:val="22"/>
                      <w:szCs w:val="22"/>
                      <w:lang w:val="en-US"/>
                    </w:rPr>
                  </m:ctrlPr>
                </m:sSubPr>
                <m:e>
                  <m:d>
                    <m:dPr>
                      <m:begChr m:val=""/>
                      <m:endChr m:val="|"/>
                      <m:ctrlPr>
                        <w:rPr>
                          <w:rFonts w:ascii="Cambria Math" w:hAnsi="Cambria Math"/>
                          <w:i/>
                          <w:iCs/>
                          <w:sz w:val="22"/>
                          <w:szCs w:val="22"/>
                          <w:lang w:val="en-US"/>
                        </w:rPr>
                      </m:ctrlPr>
                    </m:dPr>
                    <m:e>
                      <m:f>
                        <m:fPr>
                          <m:ctrlPr>
                            <w:rPr>
                              <w:rFonts w:ascii="Cambria Math" w:hAnsi="Cambria Math"/>
                              <w:i/>
                              <w:iCs/>
                              <w:sz w:val="22"/>
                              <w:szCs w:val="22"/>
                              <w:lang w:val="en-US"/>
                            </w:rPr>
                          </m:ctrlPr>
                        </m:fPr>
                        <m:num>
                          <m:r>
                            <w:rPr>
                              <w:rFonts w:ascii="Cambria Math" w:hAnsi="Cambria Math"/>
                              <w:lang w:val="fr-FR"/>
                            </w:rPr>
                            <m:t>∆</m:t>
                          </m:r>
                          <m:r>
                            <m:rPr>
                              <m:nor/>
                            </m:rPr>
                            <w:rPr>
                              <w:i/>
                              <w:iCs/>
                              <w:lang w:val="fr-FR"/>
                            </w:rPr>
                            <m:t>Y</m:t>
                          </m:r>
                        </m:num>
                        <m:den>
                          <m:r>
                            <w:rPr>
                              <w:rFonts w:ascii="Cambria Math" w:hAnsi="Cambria Math"/>
                              <w:lang w:val="fr-FR"/>
                            </w:rPr>
                            <m:t>∆</m:t>
                          </m:r>
                          <m:r>
                            <m:rPr>
                              <m:nor/>
                            </m:rPr>
                            <w:rPr>
                              <w:i/>
                              <w:iCs/>
                              <w:lang w:val="fr-FR"/>
                            </w:rPr>
                            <m:t>G</m:t>
                          </m:r>
                        </m:den>
                      </m:f>
                    </m:e>
                  </m:d>
                </m:e>
                <m:sub>
                  <m:r>
                    <w:rPr>
                      <w:rFonts w:ascii="Cambria Math" w:hAnsi="Cambria Math"/>
                      <w:lang w:val="fr-FR"/>
                    </w:rPr>
                    <m:t>∆</m:t>
                  </m:r>
                  <m:r>
                    <m:rPr>
                      <m:nor/>
                    </m:rPr>
                    <w:rPr>
                      <w:i/>
                      <w:iCs/>
                      <w:lang w:val="fr-FR"/>
                    </w:rPr>
                    <m:t>G</m:t>
                  </m:r>
                  <m:r>
                    <w:rPr>
                      <w:rFonts w:ascii="Cambria Math"/>
                      <w:lang w:val="fr-FR"/>
                    </w:rPr>
                    <m:t>=</m:t>
                  </m:r>
                  <m:r>
                    <w:rPr>
                      <w:rFonts w:ascii="Cambria Math" w:hAnsi="Cambria Math"/>
                      <w:lang w:val="fr-FR"/>
                    </w:rPr>
                    <m:t>∆</m:t>
                  </m:r>
                  <m:r>
                    <m:rPr>
                      <m:nor/>
                    </m:rPr>
                    <w:rPr>
                      <w:i/>
                      <w:iCs/>
                      <w:lang w:val="fr-FR"/>
                    </w:rPr>
                    <m:t>T</m:t>
                  </m:r>
                </m:sub>
              </m:sSub>
              <m:r>
                <w:rPr>
                  <w:rFonts w:ascii="Cambria Math" w:hAnsi="Cambria Math"/>
                  <w:szCs w:val="16"/>
                  <w:lang w:val="fr-FR"/>
                </w:rPr>
                <m:t>=</m:t>
              </m:r>
              <m:r>
                <m:rPr>
                  <m:nor/>
                </m:rPr>
                <w:rPr>
                  <w:i/>
                  <w:iCs/>
                  <w:szCs w:val="16"/>
                  <w:lang w:val="fr-FR"/>
                </w:rPr>
                <m:t>1</m:t>
              </m:r>
            </m:e>
          </m:borderBox>
        </m:oMath>
      </m:oMathPara>
    </w:p>
  </w:footnote>
  <w:footnote w:id="15">
    <w:p w14:paraId="052E7CED" w14:textId="77777777" w:rsidR="007E2D63" w:rsidRDefault="007E2D63" w:rsidP="007E2D63">
      <w:pPr>
        <w:pStyle w:val="Textonotapie"/>
        <w:keepNext/>
        <w:spacing w:after="0"/>
      </w:pPr>
      <w:r>
        <w:rPr>
          <w:rStyle w:val="Refdenotaalpie"/>
        </w:rPr>
        <w:footnoteRef/>
      </w:r>
      <w:r>
        <w:t xml:space="preserve"> ¿Cuál es el multiplicador de los impuestos? Tendríamos que hacer la derivada </w:t>
      </w:r>
      <m:oMath>
        <m:f>
          <m:fPr>
            <m:type m:val="lin"/>
            <m:ctrlPr>
              <w:rPr>
                <w:rFonts w:ascii="Cambria Math" w:hAnsi="Cambria Math"/>
                <w:i/>
              </w:rPr>
            </m:ctrlPr>
          </m:fPr>
          <m:num>
            <m:r>
              <m:rPr>
                <m:nor/>
              </m:rPr>
              <w:rPr>
                <w:i/>
              </w:rPr>
              <m:t>∂Y</m:t>
            </m:r>
          </m:num>
          <m:den>
            <m:r>
              <m:rPr>
                <m:nor/>
              </m:rPr>
              <w:rPr>
                <w:i/>
              </w:rPr>
              <m:t>∂t</m:t>
            </m:r>
          </m:den>
        </m:f>
      </m:oMath>
      <w:r>
        <w:t xml:space="preserve">, lo cual puede ser muy complejo por cómo hemos introducido los impuestos en el modelo. Si el impuesto no hubiera sido proporcional a la renta sino a tanto alzado (es decir, </w:t>
      </w:r>
      <m:oMath>
        <m:r>
          <m:rPr>
            <m:nor/>
          </m:rPr>
          <w:rPr>
            <w:i/>
            <w:iCs/>
          </w:rPr>
          <m:t>T</m:t>
        </m:r>
      </m:oMath>
      <w:r>
        <w:t xml:space="preserve"> en lugar de </w:t>
      </w:r>
      <m:oMath>
        <m:r>
          <m:rPr>
            <m:nor/>
          </m:rPr>
          <w:rPr>
            <w:i/>
            <w:iCs/>
          </w:rPr>
          <m:t>t</m:t>
        </m:r>
        <m:r>
          <w:rPr>
            <w:rFonts w:ascii="Cambria Math" w:hAnsi="Cambria Math"/>
          </w:rPr>
          <m:t>∙</m:t>
        </m:r>
        <m:r>
          <m:rPr>
            <m:nor/>
          </m:rPr>
          <w:rPr>
            <w:i/>
            <w:iCs/>
          </w:rPr>
          <m:t>Y</m:t>
        </m:r>
      </m:oMath>
      <w:r>
        <w:t>), sería más sencillo:</w:t>
      </w:r>
    </w:p>
    <w:p w14:paraId="637B4CDD" w14:textId="77777777" w:rsidR="007E2D63" w:rsidRPr="00A34E4D" w:rsidRDefault="007E2D63" w:rsidP="007E2D63">
      <w:pPr>
        <w:pStyle w:val="Textonotapie"/>
        <w:spacing w:after="0"/>
        <w:ind w:right="-142"/>
        <w:jc w:val="center"/>
        <w:rPr>
          <w:oMath/>
        </w:rPr>
      </w:pPr>
      <m:oMathPara>
        <m:oMath>
          <m:r>
            <w:rPr>
              <w:rFonts w:ascii="Cambria Math" w:eastAsiaTheme="minorEastAsia" w:hAnsi="Cambria Math"/>
            </w:rPr>
            <m:t xml:space="preserve"> </m:t>
          </m:r>
          <m:r>
            <m:rPr>
              <m:nor/>
            </m:rPr>
            <w:rPr>
              <w:i/>
              <w:iCs/>
            </w:rPr>
            <m:t>Y</m:t>
          </m:r>
          <m:r>
            <w:rPr>
              <w:rFonts w:ascii="Cambria Math" w:hAnsi="Cambria Math"/>
            </w:rPr>
            <m:t>=</m:t>
          </m:r>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r>
            <m:rPr>
              <m:nor/>
            </m:rPr>
            <w:rPr>
              <w:i/>
              <w:iCs/>
            </w:rPr>
            <m:t>c</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rPr>
                        <m:t>Y</m:t>
                      </m:r>
                      <m:r>
                        <w:rPr>
                          <w:rFonts w:ascii="Cambria Math" w:hAnsi="Cambria Math"/>
                        </w:rPr>
                        <m:t>-</m:t>
                      </m:r>
                      <m:r>
                        <m:rPr>
                          <m:nor/>
                        </m:rPr>
                        <w:rPr>
                          <w:i/>
                          <w:iCs/>
                        </w:rPr>
                        <m:t>T</m:t>
                      </m:r>
                    </m:e>
                  </m:d>
                </m:e>
              </m:groupChr>
            </m:e>
            <m:lim>
              <m:sSup>
                <m:sSupPr>
                  <m:ctrlPr>
                    <w:rPr>
                      <w:rFonts w:ascii="Cambria Math" w:hAnsi="Cambria Math"/>
                      <w:i/>
                      <w:iCs/>
                    </w:rPr>
                  </m:ctrlPr>
                </m:sSupPr>
                <m:e>
                  <m:r>
                    <m:rPr>
                      <m:nor/>
                    </m:rPr>
                    <w:rPr>
                      <w:i/>
                      <w:iCs/>
                    </w:rPr>
                    <m:t>Y</m:t>
                  </m:r>
                </m:e>
                <m:sup>
                  <m:r>
                    <m:rPr>
                      <m:nor/>
                    </m:rPr>
                    <w:rPr>
                      <w:i/>
                      <w:iCs/>
                    </w:rPr>
                    <m:t>d</m:t>
                  </m:r>
                </m:sup>
              </m:sSup>
            </m:lim>
          </m:limLow>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v</m:t>
          </m:r>
          <m:r>
            <w:rPr>
              <w:rFonts w:ascii="Cambria Math" w:hAnsi="Cambria Math"/>
            </w:rPr>
            <m:t>·</m:t>
          </m:r>
          <m:r>
            <m:rPr>
              <m:nor/>
            </m:rPr>
            <w:rPr>
              <w:i/>
              <w:iCs/>
            </w:rPr>
            <m:t>r</m:t>
          </m:r>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oMath>
      </m:oMathPara>
    </w:p>
    <w:p w14:paraId="0C40A00B" w14:textId="77777777" w:rsidR="007E2D63" w:rsidRPr="00A34E4D" w:rsidRDefault="007E2D63" w:rsidP="007E2D63">
      <w:pPr>
        <w:pStyle w:val="Textonotapie"/>
        <w:spacing w:after="0"/>
        <w:ind w:right="-142"/>
        <w:jc w:val="center"/>
        <w:rPr>
          <w:i/>
          <w:iCs/>
          <w:lang w:val="en-US"/>
        </w:rPr>
      </w:pPr>
      <m:oMathPara>
        <m:oMath>
          <m:r>
            <w:rPr>
              <w:rFonts w:ascii="Cambria Math" w:eastAsiaTheme="minorEastAsia" w:hAnsi="Cambria Math"/>
              <w:lang w:val="en-US"/>
            </w:rPr>
            <m:t xml:space="preserve"> </m:t>
          </m:r>
          <m:r>
            <m:rPr>
              <m:nor/>
            </m:rPr>
            <w:rPr>
              <w:i/>
              <w:iCs/>
              <w:lang w:val="en-US"/>
            </w:rPr>
            <m:t>Y</m:t>
          </m:r>
          <m:r>
            <w:rPr>
              <w:rFonts w:ascii="Cambria Math" w:hAnsi="Cambria Math"/>
              <w:lang w:val="en-US"/>
            </w:rPr>
            <m:t>=</m:t>
          </m:r>
          <m:f>
            <m:fPr>
              <m:ctrlPr>
                <w:rPr>
                  <w:rFonts w:ascii="Cambria Math" w:hAnsi="Cambria Math"/>
                  <w:i/>
                  <w:iCs/>
                </w:rPr>
              </m:ctrlPr>
            </m:fPr>
            <m:num>
              <m:r>
                <m:rPr>
                  <m:nor/>
                </m:rPr>
                <w:rPr>
                  <w:i/>
                  <w:iCs/>
                  <w:lang w:val="en-US"/>
                </w:rPr>
                <m:t>1</m:t>
              </m:r>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r>
                <m:rPr>
                  <m:nor/>
                </m:rPr>
                <w:rPr>
                  <w:i/>
                  <w:iCs/>
                  <w:lang w:val="en-US"/>
                </w:rPr>
                <m:t>v</m:t>
              </m:r>
              <m:r>
                <w:rPr>
                  <w:rFonts w:ascii="Cambria Math" w:hAnsi="Cambria Math"/>
                  <w:lang w:val="en-US"/>
                </w:rPr>
                <m:t>·</m:t>
              </m:r>
              <m:f>
                <m:fPr>
                  <m:ctrlPr>
                    <w:rPr>
                      <w:rFonts w:ascii="Cambria Math" w:hAnsi="Cambria Math"/>
                      <w:i/>
                      <w:iCs/>
                    </w:rPr>
                  </m:ctrlPr>
                </m:fPr>
                <m:num>
                  <m:r>
                    <m:rPr>
                      <m:nor/>
                    </m:rPr>
                    <w:rPr>
                      <w:i/>
                      <w:iCs/>
                      <w:lang w:val="en-US"/>
                    </w:rPr>
                    <m:t>k</m:t>
                  </m:r>
                </m:num>
                <m:den>
                  <m:r>
                    <m:rPr>
                      <m:nor/>
                    </m:rPr>
                    <w:rPr>
                      <w:rFonts w:cs="Times New Roman"/>
                      <w:i/>
                      <w:iCs/>
                      <w:lang w:val="en-US"/>
                    </w:rPr>
                    <m:t>h</m:t>
                  </m:r>
                </m:den>
              </m:f>
            </m:den>
          </m:f>
          <m:r>
            <w:rPr>
              <w:rFonts w:ascii="Cambria Math" w:hAnsi="Cambria Math"/>
              <w:lang w:val="en-US"/>
            </w:rPr>
            <m:t>·</m:t>
          </m:r>
          <m:d>
            <m:dPr>
              <m:begChr m:val="["/>
              <m:endChr m:val="]"/>
              <m:ctrlPr>
                <w:rPr>
                  <w:rFonts w:ascii="Cambria Math" w:hAnsi="Cambria Math"/>
                  <w:i/>
                  <w:iC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r>
                <m:rPr>
                  <m:nor/>
                </m:rPr>
                <w:rPr>
                  <w:i/>
                  <w:iCs/>
                  <w:lang w:val="en-US"/>
                </w:rPr>
                <m:t>c</m:t>
              </m:r>
              <m:r>
                <w:rPr>
                  <w:rFonts w:ascii="Cambria Math" w:hAnsi="Cambria Math"/>
                  <w:lang w:val="en-US"/>
                </w:rPr>
                <m:t>·</m:t>
              </m:r>
              <m:r>
                <m:rPr>
                  <m:nor/>
                </m:rPr>
                <w:rPr>
                  <w:i/>
                  <w:iCs/>
                  <w:lang w:val="en-US"/>
                </w:rPr>
                <m:t>T</m:t>
              </m:r>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G</m:t>
                  </m:r>
                </m:e>
                <m:sub>
                  <m:r>
                    <m:rPr>
                      <m:nor/>
                    </m:rPr>
                    <w:rPr>
                      <w:i/>
                      <w:iCs/>
                      <w:lang w:val="en-US"/>
                    </w:rPr>
                    <m:t>0</m:t>
                  </m:r>
                </m:sub>
              </m:sSub>
              <m:r>
                <w:rPr>
                  <w:rFonts w:ascii="Cambria Math" w:hAnsi="Cambria Math"/>
                  <w:lang w:val="en-US"/>
                </w:rPr>
                <m:t>+</m:t>
              </m:r>
              <m:f>
                <m:fPr>
                  <m:ctrlPr>
                    <w:rPr>
                      <w:rFonts w:ascii="Cambria Math" w:hAnsi="Cambria Math"/>
                      <w:i/>
                      <w:iCs/>
                    </w:rPr>
                  </m:ctrlPr>
                </m:fPr>
                <m:num>
                  <m:r>
                    <m:rPr>
                      <m:nor/>
                    </m:rPr>
                    <w:rPr>
                      <w:i/>
                      <w:iCs/>
                      <w:lang w:val="en-US"/>
                    </w:rPr>
                    <m:t>v</m:t>
                  </m:r>
                </m:num>
                <m:den>
                  <m:r>
                    <m:rPr>
                      <m:nor/>
                    </m:rPr>
                    <w:rPr>
                      <w:rFonts w:cs="Times New Roman"/>
                      <w:i/>
                      <w:iCs/>
                      <w:lang w:val="en-US"/>
                    </w:rPr>
                    <m:t>h</m:t>
                  </m:r>
                </m:den>
              </m:f>
              <m:r>
                <w:rPr>
                  <w:rFonts w:ascii="Cambria Math" w:hAnsi="Cambria Math"/>
                  <w:lang w:val="en-US"/>
                </w:rPr>
                <m:t>·</m:t>
              </m:r>
              <m:f>
                <m:fPr>
                  <m:ctrlPr>
                    <w:rPr>
                      <w:rFonts w:ascii="Cambria Math" w:hAnsi="Cambria Math"/>
                      <w:i/>
                      <w:iCs/>
                    </w:rPr>
                  </m:ctrlPr>
                </m:fPr>
                <m:num>
                  <m:sSup>
                    <m:sSupPr>
                      <m:ctrlPr>
                        <w:rPr>
                          <w:rFonts w:ascii="Cambria Math" w:hAnsi="Cambria Math"/>
                          <w:i/>
                          <w:iCs/>
                        </w:rPr>
                      </m:ctrlPr>
                    </m:sSupPr>
                    <m:e>
                      <m:r>
                        <m:rPr>
                          <m:nor/>
                        </m:rPr>
                        <w:rPr>
                          <w:i/>
                          <w:iCs/>
                          <w:lang w:val="en-US"/>
                        </w:rPr>
                        <m:t>M</m:t>
                      </m:r>
                    </m:e>
                    <m:sup>
                      <m:r>
                        <m:rPr>
                          <m:nor/>
                        </m:rPr>
                        <w:rPr>
                          <w:i/>
                          <w:iCs/>
                          <w:lang w:val="en-US"/>
                        </w:rPr>
                        <m:t>S</m:t>
                      </m:r>
                    </m:sup>
                  </m:sSup>
                </m:num>
                <m:den>
                  <m:r>
                    <m:rPr>
                      <m:nor/>
                    </m:rPr>
                    <w:rPr>
                      <w:i/>
                      <w:iCs/>
                      <w:lang w:val="en-US"/>
                    </w:rPr>
                    <m:t>P</m:t>
                  </m:r>
                </m:den>
              </m:f>
            </m:e>
          </m:d>
        </m:oMath>
      </m:oMathPara>
    </w:p>
    <w:p w14:paraId="26486CBC" w14:textId="77777777" w:rsidR="007E2D63" w:rsidRPr="007F61AA" w:rsidRDefault="00000000" w:rsidP="007E2D63">
      <w:pPr>
        <w:pStyle w:val="Textonotapie"/>
        <w:rPr>
          <w:rFonts w:eastAsiaTheme="minorEastAsia"/>
          <w:iCs/>
        </w:rPr>
      </w:pPr>
      <m:oMathPara>
        <m:oMath>
          <m:borderBox>
            <m:borderBoxPr>
              <m:ctrlPr>
                <w:rPr>
                  <w:rFonts w:ascii="Cambria Math" w:hAnsi="Cambria Math"/>
                  <w:i/>
                  <w:iCs/>
                </w:rPr>
              </m:ctrlPr>
            </m:borderBoxPr>
            <m:e>
              <m:f>
                <m:fPr>
                  <m:ctrlPr>
                    <w:rPr>
                      <w:rFonts w:ascii="Cambria Math" w:hAnsi="Cambria Math"/>
                      <w:i/>
                      <w:iCs/>
                    </w:rPr>
                  </m:ctrlPr>
                </m:fPr>
                <m:num>
                  <m:r>
                    <m:rPr>
                      <m:nor/>
                    </m:rPr>
                    <w:rPr>
                      <w:i/>
                      <w:iCs/>
                    </w:rPr>
                    <m:t>∂Y</m:t>
                  </m:r>
                </m:num>
                <m:den>
                  <m:r>
                    <m:rPr>
                      <m:nor/>
                    </m:rPr>
                    <w:rPr>
                      <w:i/>
                      <w:iCs/>
                    </w:rPr>
                    <m:t>∂T</m:t>
                  </m:r>
                </m:den>
              </m:f>
              <m:r>
                <w:rPr>
                  <w:rFonts w:ascii="Cambria Math" w:hAnsi="Cambria Math"/>
                </w:rPr>
                <m:t>=</m:t>
              </m:r>
              <m:f>
                <m:fPr>
                  <m:ctrlPr>
                    <w:rPr>
                      <w:rFonts w:ascii="Cambria Math" w:hAnsi="Cambria Math"/>
                      <w:i/>
                      <w:iCs/>
                    </w:rPr>
                  </m:ctrlPr>
                </m:fPr>
                <m:num>
                  <m:r>
                    <w:rPr>
                      <w:rFonts w:ascii="Cambria Math" w:hAnsi="Cambria Math"/>
                    </w:rPr>
                    <m:t>-</m:t>
                  </m:r>
                  <m:r>
                    <m:rPr>
                      <m:nor/>
                    </m:rPr>
                    <w:rPr>
                      <w:i/>
                      <w:iCs/>
                    </w:rPr>
                    <m:t>c</m:t>
                  </m:r>
                </m:num>
                <m:den>
                  <m:r>
                    <m:rPr>
                      <m:nor/>
                    </m:rPr>
                    <w:rPr>
                      <w:i/>
                      <w:iCs/>
                    </w:rPr>
                    <m:t>1</m:t>
                  </m:r>
                  <m:r>
                    <w:rPr>
                      <w:rFonts w:ascii="Cambria Math" w:hAnsi="Cambria Math"/>
                    </w:rPr>
                    <m:t>-</m:t>
                  </m:r>
                  <m:r>
                    <m:rPr>
                      <m:nor/>
                    </m:rPr>
                    <w:rPr>
                      <w:i/>
                      <w:iCs/>
                    </w:rPr>
                    <m:t>c</m:t>
                  </m:r>
                  <m:r>
                    <w:rPr>
                      <w:rFonts w:ascii="Cambria Math" w:hAnsi="Cambria Math"/>
                    </w:rPr>
                    <m:t>+</m:t>
                  </m:r>
                  <m:r>
                    <m:rPr>
                      <m:nor/>
                    </m:rPr>
                    <w:rPr>
                      <w:i/>
                      <w:iCs/>
                    </w:rPr>
                    <m:t>v</m:t>
                  </m:r>
                  <m:r>
                    <w:rPr>
                      <w:rFonts w:ascii="Cambria Math" w:hAnsi="Cambria Math"/>
                    </w:rPr>
                    <m:t>·</m:t>
                  </m:r>
                  <m:f>
                    <m:fPr>
                      <m:ctrlPr>
                        <w:rPr>
                          <w:rFonts w:ascii="Cambria Math" w:hAnsi="Cambria Math"/>
                          <w:i/>
                          <w:iCs/>
                        </w:rPr>
                      </m:ctrlPr>
                    </m:fPr>
                    <m:num>
                      <m:r>
                        <m:rPr>
                          <m:nor/>
                        </m:rPr>
                        <w:rPr>
                          <w:i/>
                          <w:iCs/>
                        </w:rPr>
                        <m:t>k</m:t>
                      </m:r>
                    </m:num>
                    <m:den>
                      <m:r>
                        <m:rPr>
                          <m:nor/>
                        </m:rPr>
                        <w:rPr>
                          <w:rFonts w:cs="Times New Roman"/>
                          <w:i/>
                          <w:iCs/>
                        </w:rPr>
                        <m:t>h</m:t>
                      </m:r>
                    </m:den>
                  </m:f>
                </m:den>
              </m:f>
            </m:e>
          </m:borderBox>
        </m:oMath>
      </m:oMathPara>
    </w:p>
    <w:p w14:paraId="43803E9D" w14:textId="77777777" w:rsidR="007E2D63" w:rsidRDefault="007E2D63" w:rsidP="007E2D63">
      <w:pPr>
        <w:pStyle w:val="Textonotapie"/>
        <w:rPr>
          <w:rFonts w:eastAsiaTheme="minorEastAsia"/>
          <w:iCs/>
        </w:rPr>
      </w:pPr>
      <w:r>
        <w:rPr>
          <w:rFonts w:eastAsiaTheme="minorEastAsia"/>
          <w:iCs/>
        </w:rPr>
        <w:t xml:space="preserve">Aun así, el procedimiento con el impuesto </w:t>
      </w:r>
      <w:r w:rsidRPr="000929A3">
        <w:rPr>
          <w:rFonts w:eastAsiaTheme="minorEastAsia"/>
          <w:iCs/>
        </w:rPr>
        <w:t>p</w:t>
      </w:r>
      <w:r>
        <w:rPr>
          <w:rFonts w:eastAsiaTheme="minorEastAsia"/>
          <w:iCs/>
        </w:rPr>
        <w:t xml:space="preserve">roporcional a la renta (i.e. </w:t>
      </w:r>
      <m:oMath>
        <m:r>
          <m:rPr>
            <m:nor/>
          </m:rPr>
          <w:rPr>
            <w:i/>
            <w:iCs/>
          </w:rPr>
          <m:t>t</m:t>
        </m:r>
        <m:r>
          <w:rPr>
            <w:rFonts w:ascii="Cambria Math" w:hAnsi="Cambria Math"/>
          </w:rPr>
          <m:t>∙</m:t>
        </m:r>
        <m:r>
          <m:rPr>
            <m:nor/>
          </m:rPr>
          <w:rPr>
            <w:i/>
            <w:iCs/>
          </w:rPr>
          <m:t>Y</m:t>
        </m:r>
      </m:oMath>
      <w:r>
        <w:rPr>
          <w:rFonts w:eastAsiaTheme="minorEastAsia"/>
          <w:iCs/>
        </w:rPr>
        <w:t>) ha sido calculado:</w:t>
      </w:r>
    </w:p>
    <w:p w14:paraId="29EEF077" w14:textId="77777777" w:rsidR="007E2D63" w:rsidRPr="007B2A22" w:rsidRDefault="007E2D63" w:rsidP="007E2D63">
      <w:pPr>
        <w:pStyle w:val="Textonotapie"/>
        <w:rPr>
          <w:iCs/>
        </w:rPr>
      </w:pPr>
      <m:oMathPara>
        <m:oMath>
          <m:r>
            <w:rPr>
              <w:rFonts w:ascii="Cambria Math" w:eastAsiaTheme="minorEastAsia" w:hAnsi="Cambria Math"/>
            </w:rPr>
            <m:t xml:space="preserve"> </m:t>
          </m:r>
          <m:r>
            <m:rPr>
              <m:nor/>
            </m:rPr>
            <w:rPr>
              <w:i/>
              <w:iCs/>
            </w:rPr>
            <m:t>Y</m:t>
          </m:r>
          <m:r>
            <w:rPr>
              <w:rFonts w:ascii="Cambria Math" w:hAnsi="Cambria Math"/>
            </w:rPr>
            <m:t>=</m:t>
          </m:r>
          <m:f>
            <m:fPr>
              <m:ctrlPr>
                <w:rPr>
                  <w:rFonts w:ascii="Cambria Math" w:hAnsi="Cambria Math"/>
                  <w:i/>
                  <w:iCs/>
                  <w:lang w:val="en-US"/>
                </w:rPr>
              </m:ctrlPr>
            </m:fPr>
            <m:num>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num>
            <m:den>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den>
          </m:f>
          <m:r>
            <w:rPr>
              <w:rFonts w:ascii="Cambria Math" w:hAnsi="Cambria Math"/>
              <w:lang w:val="en-US"/>
            </w:rPr>
            <m:t>⟹</m:t>
          </m:r>
          <m:r>
            <m:rPr>
              <m:nor/>
            </m:rPr>
            <w:rPr>
              <w:i/>
              <w:color w:val="767171" w:themeColor="background2" w:themeShade="80"/>
              <w:sz w:val="14"/>
              <w:szCs w:val="14"/>
            </w:rPr>
            <m:t>(tomamos la derivada)</m:t>
          </m:r>
          <m:r>
            <m:rPr>
              <m:sty m:val="p"/>
            </m:rPr>
            <w:rPr>
              <w:rFonts w:ascii="Cambria Math" w:hAnsi="Cambria Math"/>
            </w:rPr>
            <w:br/>
          </m:r>
        </m:oMath>
        <m:oMath>
          <m:r>
            <w:rPr>
              <w:rFonts w:ascii="Cambria Math" w:hAnsi="Cambria Math"/>
              <w:lang w:val="en-US"/>
            </w:rPr>
            <m:t>⟹</m:t>
          </m:r>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f>
            <m:fPr>
              <m:ctrlPr>
                <w:rPr>
                  <w:rFonts w:ascii="Cambria Math" w:hAnsi="Cambria Math"/>
                  <w:i/>
                  <w:iCs/>
                  <w:lang w:val="en-US"/>
                </w:rPr>
              </m:ctrlPr>
            </m:fPr>
            <m:num>
              <m:r>
                <m:rPr>
                  <m:nor/>
                </m:rPr>
                <w:rPr>
                  <w:i/>
                  <w:iCs/>
                </w:rPr>
                <m:t>∂</m:t>
              </m:r>
              <m:d>
                <m:dPr>
                  <m:begChr m:val="["/>
                  <m:endChr m:val="]"/>
                  <m:ctrlPr>
                    <w:rPr>
                      <w:rFonts w:ascii="Cambria Math" w:hAnsi="Cambria Math"/>
                      <w:i/>
                      <w:iCs/>
                      <w:lang w:val="en-US"/>
                    </w:rPr>
                  </m:ctrlPr>
                </m:dPr>
                <m:e>
                  <m:f>
                    <m:fPr>
                      <m:type m:val="lin"/>
                      <m:ctrlPr>
                        <w:rPr>
                          <w:rFonts w:ascii="Cambria Math" w:hAnsi="Cambria Math"/>
                          <w:i/>
                          <w:iCs/>
                          <w:lang w:val="en-US"/>
                        </w:rPr>
                      </m:ctrlPr>
                    </m:fPr>
                    <m:num>
                      <m:d>
                        <m:dPr>
                          <m:ctrlPr>
                            <w:rPr>
                              <w:rFonts w:ascii="Cambria Math" w:hAnsi="Cambria Math"/>
                              <w:i/>
                              <w:iC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num>
                    <m:den>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den>
                  </m:f>
                </m:e>
              </m:d>
            </m:num>
            <m:den>
              <m:r>
                <m:rPr>
                  <m:nor/>
                </m:rPr>
                <w:rPr>
                  <w:i/>
                  <w:iCs/>
                </w:rPr>
                <m:t>∂t</m:t>
              </m:r>
            </m:den>
          </m:f>
          <m:r>
            <w:rPr>
              <w:rFonts w:ascii="Cambria Math" w:hAnsi="Cambria Math"/>
              <w:lang w:val="en-US"/>
            </w:rPr>
            <m:t>⟹</m:t>
          </m:r>
          <m:r>
            <m:rPr>
              <m:nor/>
            </m:rPr>
            <w:rPr>
              <w:i/>
              <w:color w:val="767171" w:themeColor="background2" w:themeShade="80"/>
              <w:sz w:val="14"/>
              <w:szCs w:val="14"/>
            </w:rPr>
            <m:t>(sacamos las constantes del numerador multiplicando)</m:t>
          </m:r>
          <m:r>
            <m:rPr>
              <m:sty m:val="p"/>
            </m:rPr>
            <w:rPr>
              <w:rFonts w:ascii="Cambria Math" w:eastAsiaTheme="minorEastAsia" w:hAnsi="Cambria Math"/>
            </w:rPr>
            <w:br/>
          </m:r>
        </m:oMath>
        <m:oMath>
          <m:r>
            <w:rPr>
              <w:rFonts w:ascii="Cambria Math" w:hAnsi="Cambria Math"/>
              <w:sz w:val="12"/>
              <w:szCs w:val="12"/>
              <w:lang w:val="en-US"/>
            </w:rPr>
            <m:t>⟹</m:t>
          </m:r>
          <m:f>
            <m:fPr>
              <m:ctrlPr>
                <w:rPr>
                  <w:rFonts w:ascii="Cambria Math" w:hAnsi="Cambria Math"/>
                  <w:i/>
                  <w:iCs/>
                  <w:sz w:val="12"/>
                  <w:szCs w:val="12"/>
                  <w:lang w:val="en-US"/>
                </w:rPr>
              </m:ctrlPr>
            </m:fPr>
            <m:num>
              <m:r>
                <m:rPr>
                  <m:nor/>
                </m:rPr>
                <w:rPr>
                  <w:i/>
                  <w:iCs/>
                  <w:sz w:val="12"/>
                  <w:szCs w:val="12"/>
                </w:rPr>
                <m:t>∂Y</m:t>
              </m:r>
            </m:num>
            <m:den>
              <m:r>
                <m:rPr>
                  <m:nor/>
                </m:rPr>
                <w:rPr>
                  <w:i/>
                  <w:iCs/>
                  <w:sz w:val="12"/>
                  <w:szCs w:val="12"/>
                </w:rPr>
                <m:t>∂t</m:t>
              </m:r>
            </m:den>
          </m:f>
          <m:r>
            <w:rPr>
              <w:rFonts w:ascii="Cambria Math" w:eastAsiaTheme="minorEastAsia" w:hAnsi="Cambria Math"/>
              <w:sz w:val="12"/>
              <w:szCs w:val="12"/>
            </w:rPr>
            <m:t>=</m:t>
          </m:r>
          <m:d>
            <m:dPr>
              <m:begChr m:val="["/>
              <m:endChr m:val="]"/>
              <m:ctrlPr>
                <w:rPr>
                  <w:rFonts w:ascii="Cambria Math" w:eastAsiaTheme="minorEastAsia" w:hAnsi="Cambria Math"/>
                  <w:i/>
                  <w:iCs/>
                  <w:sz w:val="12"/>
                  <w:szCs w:val="12"/>
                  <w:lang w:val="en-US"/>
                </w:rPr>
              </m:ctrlPr>
            </m:dPr>
            <m:e>
              <m:d>
                <m:dPr>
                  <m:ctrlPr>
                    <w:rPr>
                      <w:rFonts w:ascii="Cambria Math" w:hAnsi="Cambria Math"/>
                      <w:i/>
                      <w:iCs/>
                      <w:sz w:val="12"/>
                      <w:szCs w:val="12"/>
                      <w:lang w:val="en-US"/>
                    </w:rPr>
                  </m:ctrlPr>
                </m:dPr>
                <m:e>
                  <m:sSub>
                    <m:sSubPr>
                      <m:ctrlPr>
                        <w:rPr>
                          <w:rFonts w:ascii="Cambria Math" w:hAnsi="Cambria Math"/>
                          <w:i/>
                          <w:iCs/>
                          <w:sz w:val="12"/>
                          <w:szCs w:val="12"/>
                        </w:rPr>
                      </m:ctrlPr>
                    </m:sSubPr>
                    <m:e>
                      <m:r>
                        <m:rPr>
                          <m:nor/>
                        </m:rPr>
                        <w:rPr>
                          <w:i/>
                          <w:iCs/>
                          <w:sz w:val="12"/>
                          <w:szCs w:val="12"/>
                        </w:rPr>
                        <m:t>C</m:t>
                      </m:r>
                    </m:e>
                    <m:sub>
                      <m:r>
                        <m:rPr>
                          <m:nor/>
                        </m:rPr>
                        <w:rPr>
                          <w:i/>
                          <w:iCs/>
                          <w:sz w:val="12"/>
                          <w:szCs w:val="12"/>
                        </w:rPr>
                        <m:t>0</m:t>
                      </m:r>
                    </m:sub>
                  </m:sSub>
                  <m:r>
                    <w:rPr>
                      <w:rFonts w:ascii="Cambria Math" w:hAnsi="Cambria Math"/>
                      <w:sz w:val="12"/>
                      <w:szCs w:val="12"/>
                    </w:rPr>
                    <m:t>+</m:t>
                  </m:r>
                  <m:sSub>
                    <m:sSubPr>
                      <m:ctrlPr>
                        <w:rPr>
                          <w:rFonts w:ascii="Cambria Math" w:hAnsi="Cambria Math"/>
                          <w:i/>
                          <w:iCs/>
                          <w:sz w:val="12"/>
                          <w:szCs w:val="12"/>
                        </w:rPr>
                      </m:ctrlPr>
                    </m:sSubPr>
                    <m:e>
                      <m:r>
                        <m:rPr>
                          <m:nor/>
                        </m:rPr>
                        <w:rPr>
                          <w:i/>
                          <w:iCs/>
                          <w:sz w:val="12"/>
                          <w:szCs w:val="12"/>
                        </w:rPr>
                        <m:t>I</m:t>
                      </m:r>
                    </m:e>
                    <m:sub>
                      <m:r>
                        <m:rPr>
                          <m:nor/>
                        </m:rPr>
                        <w:rPr>
                          <w:i/>
                          <w:iCs/>
                          <w:sz w:val="12"/>
                          <w:szCs w:val="12"/>
                        </w:rPr>
                        <m:t>0</m:t>
                      </m:r>
                    </m:sub>
                  </m:sSub>
                  <m:r>
                    <w:rPr>
                      <w:rFonts w:ascii="Cambria Math" w:hAnsi="Cambria Math"/>
                      <w:sz w:val="12"/>
                      <w:szCs w:val="12"/>
                    </w:rPr>
                    <m:t>+</m:t>
                  </m:r>
                  <m:sSub>
                    <m:sSubPr>
                      <m:ctrlPr>
                        <w:rPr>
                          <w:rFonts w:ascii="Cambria Math" w:hAnsi="Cambria Math"/>
                          <w:i/>
                          <w:iCs/>
                          <w:sz w:val="12"/>
                          <w:szCs w:val="12"/>
                        </w:rPr>
                      </m:ctrlPr>
                    </m:sSubPr>
                    <m:e>
                      <m:r>
                        <m:rPr>
                          <m:nor/>
                        </m:rPr>
                        <w:rPr>
                          <w:i/>
                          <w:iCs/>
                          <w:sz w:val="12"/>
                          <w:szCs w:val="12"/>
                        </w:rPr>
                        <m:t>G</m:t>
                      </m:r>
                    </m:e>
                    <m:sub>
                      <m:r>
                        <m:rPr>
                          <m:nor/>
                        </m:rPr>
                        <w:rPr>
                          <w:i/>
                          <w:iCs/>
                          <w:sz w:val="12"/>
                          <w:szCs w:val="12"/>
                        </w:rPr>
                        <m:t>0</m:t>
                      </m:r>
                    </m:sub>
                  </m:sSub>
                </m:e>
              </m:d>
              <m:r>
                <w:rPr>
                  <w:rFonts w:ascii="Cambria Math" w:hAnsi="Cambria Math"/>
                  <w:sz w:val="12"/>
                  <w:szCs w:val="12"/>
                </w:rPr>
                <m:t>+</m:t>
              </m:r>
              <m:f>
                <m:fPr>
                  <m:type m:val="lin"/>
                  <m:ctrlPr>
                    <w:rPr>
                      <w:rFonts w:ascii="Cambria Math" w:hAnsi="Cambria Math"/>
                      <w:i/>
                      <w:iCs/>
                      <w:sz w:val="12"/>
                      <w:szCs w:val="12"/>
                      <w:lang w:val="en-US"/>
                    </w:rPr>
                  </m:ctrlPr>
                </m:fPr>
                <m:num>
                  <m:r>
                    <m:rPr>
                      <m:nor/>
                    </m:rPr>
                    <w:rPr>
                      <w:i/>
                      <w:iCs/>
                      <w:sz w:val="12"/>
                      <w:szCs w:val="12"/>
                    </w:rPr>
                    <m:t>v</m:t>
                  </m:r>
                </m:num>
                <m:den>
                  <m:r>
                    <m:rPr>
                      <m:nor/>
                    </m:rPr>
                    <w:rPr>
                      <w:i/>
                      <w:iCs/>
                      <w:sz w:val="12"/>
                      <w:szCs w:val="12"/>
                    </w:rPr>
                    <m:t>h</m:t>
                  </m:r>
                </m:den>
              </m:f>
              <m:r>
                <w:rPr>
                  <w:rFonts w:ascii="Cambria Math" w:hAnsi="Cambria Math"/>
                  <w:sz w:val="12"/>
                  <w:szCs w:val="12"/>
                </w:rPr>
                <m:t>∙</m:t>
              </m:r>
              <m:d>
                <m:dPr>
                  <m:ctrlPr>
                    <w:rPr>
                      <w:rFonts w:ascii="Cambria Math" w:hAnsi="Cambria Math"/>
                      <w:i/>
                      <w:iCs/>
                      <w:sz w:val="12"/>
                      <w:szCs w:val="12"/>
                      <w:lang w:val="en-US"/>
                    </w:rPr>
                  </m:ctrlPr>
                </m:dPr>
                <m:e>
                  <m:f>
                    <m:fPr>
                      <m:type m:val="lin"/>
                      <m:ctrlPr>
                        <w:rPr>
                          <w:rFonts w:ascii="Cambria Math" w:hAnsi="Cambria Math"/>
                          <w:i/>
                          <w:iCs/>
                          <w:sz w:val="12"/>
                          <w:szCs w:val="12"/>
                          <w:lang w:val="en-US"/>
                        </w:rPr>
                      </m:ctrlPr>
                    </m:fPr>
                    <m:num>
                      <m:sSup>
                        <m:sSupPr>
                          <m:ctrlPr>
                            <w:rPr>
                              <w:rFonts w:ascii="Cambria Math" w:hAnsi="Cambria Math"/>
                              <w:i/>
                              <w:iCs/>
                              <w:sz w:val="12"/>
                              <w:szCs w:val="12"/>
                              <w:lang w:val="en-US"/>
                            </w:rPr>
                          </m:ctrlPr>
                        </m:sSupPr>
                        <m:e>
                          <m:r>
                            <m:rPr>
                              <m:nor/>
                            </m:rPr>
                            <w:rPr>
                              <w:i/>
                              <w:iCs/>
                              <w:sz w:val="12"/>
                              <w:szCs w:val="12"/>
                            </w:rPr>
                            <m:t>M</m:t>
                          </m:r>
                        </m:e>
                        <m:sup>
                          <m:r>
                            <m:rPr>
                              <m:nor/>
                            </m:rPr>
                            <w:rPr>
                              <w:i/>
                              <w:iCs/>
                              <w:sz w:val="12"/>
                              <w:szCs w:val="12"/>
                            </w:rPr>
                            <m:t>S</m:t>
                          </m:r>
                        </m:sup>
                      </m:sSup>
                    </m:num>
                    <m:den>
                      <m:r>
                        <m:rPr>
                          <m:nor/>
                        </m:rPr>
                        <w:rPr>
                          <w:i/>
                          <w:iCs/>
                          <w:sz w:val="12"/>
                          <w:szCs w:val="12"/>
                        </w:rPr>
                        <m:t>P</m:t>
                      </m:r>
                    </m:den>
                  </m:f>
                </m:e>
              </m:d>
            </m:e>
          </m:d>
          <m:r>
            <w:rPr>
              <w:rFonts w:ascii="Cambria Math" w:eastAsiaTheme="minorEastAsia" w:hAnsi="Cambria Math"/>
              <w:sz w:val="12"/>
              <w:szCs w:val="12"/>
            </w:rPr>
            <m:t>∙</m:t>
          </m:r>
          <m:f>
            <m:fPr>
              <m:ctrlPr>
                <w:rPr>
                  <w:rFonts w:ascii="Cambria Math" w:hAnsi="Cambria Math"/>
                  <w:i/>
                  <w:iCs/>
                  <w:sz w:val="12"/>
                  <w:szCs w:val="12"/>
                  <w:lang w:val="en-US"/>
                </w:rPr>
              </m:ctrlPr>
            </m:fPr>
            <m:num>
              <m:r>
                <m:rPr>
                  <m:nor/>
                </m:rPr>
                <w:rPr>
                  <w:i/>
                  <w:iCs/>
                  <w:sz w:val="12"/>
                  <w:szCs w:val="12"/>
                </w:rPr>
                <m:t>∂</m:t>
              </m:r>
              <m:d>
                <m:dPr>
                  <m:begChr m:val="["/>
                  <m:endChr m:val="]"/>
                  <m:ctrlPr>
                    <w:rPr>
                      <w:rFonts w:ascii="Cambria Math" w:hAnsi="Cambria Math"/>
                      <w:i/>
                      <w:iCs/>
                      <w:sz w:val="12"/>
                      <w:szCs w:val="12"/>
                      <w:lang w:val="en-US"/>
                    </w:rPr>
                  </m:ctrlPr>
                </m:dPr>
                <m:e>
                  <m:f>
                    <m:fPr>
                      <m:type m:val="lin"/>
                      <m:ctrlPr>
                        <w:rPr>
                          <w:rFonts w:ascii="Cambria Math" w:hAnsi="Cambria Math"/>
                          <w:i/>
                          <w:iCs/>
                          <w:sz w:val="12"/>
                          <w:szCs w:val="12"/>
                          <w:lang w:val="en-US"/>
                        </w:rPr>
                      </m:ctrlPr>
                    </m:fPr>
                    <m:num>
                      <m:r>
                        <m:rPr>
                          <m:nor/>
                        </m:rPr>
                        <w:rPr>
                          <w:i/>
                          <w:iCs/>
                          <w:sz w:val="12"/>
                          <w:szCs w:val="12"/>
                        </w:rPr>
                        <m:t>1</m:t>
                      </m:r>
                    </m:num>
                    <m:den>
                      <m:d>
                        <m:dPr>
                          <m:ctrlPr>
                            <w:rPr>
                              <w:rFonts w:ascii="Cambria Math" w:hAnsi="Cambria Math"/>
                              <w:i/>
                              <w:iCs/>
                              <w:sz w:val="12"/>
                              <w:szCs w:val="12"/>
                              <w:lang w:val="en-US"/>
                            </w:rPr>
                          </m:ctrlPr>
                        </m:dPr>
                        <m:e>
                          <m:r>
                            <m:rPr>
                              <m:nor/>
                            </m:rPr>
                            <w:rPr>
                              <w:i/>
                              <w:iCs/>
                              <w:sz w:val="12"/>
                              <w:szCs w:val="12"/>
                            </w:rPr>
                            <m:t>1</m:t>
                          </m:r>
                          <m:r>
                            <w:rPr>
                              <w:rFonts w:ascii="Cambria Math" w:hAnsi="Cambria Math"/>
                              <w:sz w:val="12"/>
                              <w:szCs w:val="12"/>
                            </w:rPr>
                            <m:t>-</m:t>
                          </m:r>
                          <m:r>
                            <m:rPr>
                              <m:nor/>
                            </m:rPr>
                            <w:rPr>
                              <w:i/>
                              <w:iCs/>
                              <w:sz w:val="12"/>
                              <w:szCs w:val="12"/>
                            </w:rPr>
                            <m:t>c</m:t>
                          </m:r>
                          <m:r>
                            <w:rPr>
                              <w:rFonts w:ascii="Cambria Math" w:hAnsi="Cambria Math"/>
                              <w:sz w:val="12"/>
                              <w:szCs w:val="12"/>
                            </w:rPr>
                            <m:t>∙</m:t>
                          </m:r>
                          <m:d>
                            <m:dPr>
                              <m:ctrlPr>
                                <w:rPr>
                                  <w:rFonts w:ascii="Cambria Math" w:hAnsi="Cambria Math"/>
                                  <w:i/>
                                  <w:iCs/>
                                  <w:sz w:val="12"/>
                                  <w:szCs w:val="12"/>
                                  <w:lang w:val="en-US"/>
                                </w:rPr>
                              </m:ctrlPr>
                            </m:dPr>
                            <m:e>
                              <m:r>
                                <m:rPr>
                                  <m:nor/>
                                </m:rPr>
                                <w:rPr>
                                  <w:i/>
                                  <w:iCs/>
                                  <w:sz w:val="12"/>
                                  <w:szCs w:val="12"/>
                                </w:rPr>
                                <m:t>1</m:t>
                              </m:r>
                              <m:r>
                                <w:rPr>
                                  <w:rFonts w:ascii="Cambria Math" w:hAnsi="Cambria Math"/>
                                  <w:sz w:val="12"/>
                                  <w:szCs w:val="12"/>
                                </w:rPr>
                                <m:t>-</m:t>
                              </m:r>
                              <m:r>
                                <m:rPr>
                                  <m:nor/>
                                </m:rPr>
                                <w:rPr>
                                  <w:i/>
                                  <w:iCs/>
                                  <w:sz w:val="12"/>
                                  <w:szCs w:val="12"/>
                                </w:rPr>
                                <m:t>t</m:t>
                              </m:r>
                            </m:e>
                          </m:d>
                          <m:r>
                            <w:rPr>
                              <w:rFonts w:ascii="Cambria Math" w:hAnsi="Cambria Math"/>
                              <w:sz w:val="12"/>
                              <w:szCs w:val="12"/>
                            </w:rPr>
                            <m:t>+</m:t>
                          </m:r>
                          <m:r>
                            <m:rPr>
                              <m:nor/>
                            </m:rPr>
                            <w:rPr>
                              <w:i/>
                              <w:iCs/>
                              <w:sz w:val="12"/>
                              <w:szCs w:val="12"/>
                            </w:rPr>
                            <m:t>v</m:t>
                          </m:r>
                          <m:r>
                            <w:rPr>
                              <w:rFonts w:ascii="Cambria Math" w:hAnsi="Cambria Math"/>
                              <w:sz w:val="12"/>
                              <w:szCs w:val="12"/>
                            </w:rPr>
                            <m:t>∙</m:t>
                          </m:r>
                          <m:f>
                            <m:fPr>
                              <m:type m:val="lin"/>
                              <m:ctrlPr>
                                <w:rPr>
                                  <w:rFonts w:ascii="Cambria Math" w:hAnsi="Cambria Math"/>
                                  <w:i/>
                                  <w:iCs/>
                                  <w:sz w:val="12"/>
                                  <w:szCs w:val="12"/>
                                  <w:lang w:val="en-US"/>
                                </w:rPr>
                              </m:ctrlPr>
                            </m:fPr>
                            <m:num>
                              <m:r>
                                <m:rPr>
                                  <m:nor/>
                                </m:rPr>
                                <w:rPr>
                                  <w:i/>
                                  <w:iCs/>
                                  <w:sz w:val="12"/>
                                  <w:szCs w:val="12"/>
                                </w:rPr>
                                <m:t>k</m:t>
                              </m:r>
                            </m:num>
                            <m:den>
                              <m:r>
                                <m:rPr>
                                  <m:nor/>
                                </m:rPr>
                                <w:rPr>
                                  <w:i/>
                                  <w:iCs/>
                                  <w:sz w:val="12"/>
                                  <w:szCs w:val="12"/>
                                </w:rPr>
                                <m:t>h</m:t>
                              </m:r>
                            </m:den>
                          </m:f>
                        </m:e>
                      </m:d>
                    </m:den>
                  </m:f>
                </m:e>
              </m:d>
            </m:num>
            <m:den>
              <w:bookmarkStart w:id="33" w:name="_Hlk130452504"/>
              <m:r>
                <m:rPr>
                  <m:nor/>
                </m:rPr>
                <w:rPr>
                  <w:i/>
                  <w:iCs/>
                  <w:sz w:val="12"/>
                  <w:szCs w:val="12"/>
                </w:rPr>
                <m:t>∂t</m:t>
              </m:r>
              <w:bookmarkEnd w:id="33"/>
            </m:den>
          </m:f>
          <m:r>
            <w:rPr>
              <w:rFonts w:ascii="Cambria Math" w:hAnsi="Cambria Math"/>
              <w:sz w:val="12"/>
              <w:szCs w:val="12"/>
              <w:lang w:val="en-US"/>
            </w:rPr>
            <m:t>⟹</m:t>
          </m:r>
          <m:r>
            <m:rPr>
              <m:nor/>
            </m:rPr>
            <w:rPr>
              <w:i/>
              <w:color w:val="767171" w:themeColor="background2" w:themeShade="80"/>
              <w:sz w:val="12"/>
              <w:szCs w:val="12"/>
            </w:rPr>
            <m:t>(aplicamos la regla de la cadena:</m:t>
          </m:r>
          <m:f>
            <m:fPr>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m:t>
              </m:r>
              <m:d>
                <m:dPr>
                  <m:begChr m:val="["/>
                  <m:endChr m:val="]"/>
                  <m:ctrlPr>
                    <w:rPr>
                      <w:rFonts w:ascii="Cambria Math" w:hAnsi="Cambria Math"/>
                      <w:i/>
                      <w:iCs/>
                      <w:color w:val="767171" w:themeColor="background2" w:themeShade="80"/>
                      <w:sz w:val="12"/>
                      <w:szCs w:val="12"/>
                      <w:lang w:val="en-US"/>
                    </w:rPr>
                  </m:ctrlPr>
                </m:dPr>
                <m:e>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1</m:t>
                      </m:r>
                    </m:num>
                    <m:den>
                      <m:d>
                        <m:dPr>
                          <m:ctrlPr>
                            <w:rPr>
                              <w:rFonts w:ascii="Cambria Math" w:hAnsi="Cambria Math"/>
                              <w:i/>
                              <w:iCs/>
                              <w:color w:val="767171" w:themeColor="background2" w:themeShade="80"/>
                              <w:sz w:val="12"/>
                              <w:szCs w:val="12"/>
                              <w:lang w:val="en-US"/>
                            </w:rPr>
                          </m:ctrlPr>
                        </m:dPr>
                        <m:e>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c</m:t>
                          </m:r>
                          <m:r>
                            <w:rPr>
                              <w:rFonts w:ascii="Cambria Math" w:hAnsi="Cambria Math"/>
                              <w:color w:val="767171" w:themeColor="background2" w:themeShade="80"/>
                              <w:sz w:val="12"/>
                              <w:szCs w:val="12"/>
                            </w:rPr>
                            <m:t>∙</m:t>
                          </m:r>
                          <m:d>
                            <m:dPr>
                              <m:ctrlPr>
                                <w:rPr>
                                  <w:rFonts w:ascii="Cambria Math" w:hAnsi="Cambria Math"/>
                                  <w:i/>
                                  <w:iCs/>
                                  <w:color w:val="767171" w:themeColor="background2" w:themeShade="80"/>
                                  <w:sz w:val="12"/>
                                  <w:szCs w:val="12"/>
                                  <w:lang w:val="en-US"/>
                                </w:rPr>
                              </m:ctrlPr>
                            </m:dPr>
                            <m:e>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t</m:t>
                              </m:r>
                            </m:e>
                          </m:d>
                          <m:r>
                            <w:rPr>
                              <w:rFonts w:ascii="Cambria Math" w:hAnsi="Cambria Math"/>
                              <w:color w:val="767171" w:themeColor="background2" w:themeShade="80"/>
                              <w:sz w:val="12"/>
                              <w:szCs w:val="12"/>
                            </w:rPr>
                            <m:t>+</m:t>
                          </m:r>
                          <m:r>
                            <m:rPr>
                              <m:nor/>
                            </m:rPr>
                            <w:rPr>
                              <w:i/>
                              <w:iCs/>
                              <w:color w:val="767171" w:themeColor="background2" w:themeShade="80"/>
                              <w:sz w:val="12"/>
                              <w:szCs w:val="12"/>
                            </w:rPr>
                            <m:t>v</m:t>
                          </m:r>
                          <m:r>
                            <w:rPr>
                              <w:rFonts w:ascii="Cambria Math" w:hAnsi="Cambria Math"/>
                              <w:color w:val="767171" w:themeColor="background2" w:themeShade="80"/>
                              <w:sz w:val="12"/>
                              <w:szCs w:val="12"/>
                            </w:rPr>
                            <m:t>∙</m:t>
                          </m:r>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k</m:t>
                              </m:r>
                            </m:num>
                            <m:den>
                              <m:r>
                                <m:rPr>
                                  <m:nor/>
                                </m:rPr>
                                <w:rPr>
                                  <w:i/>
                                  <w:iCs/>
                                  <w:color w:val="767171" w:themeColor="background2" w:themeShade="80"/>
                                  <w:sz w:val="12"/>
                                  <w:szCs w:val="12"/>
                                </w:rPr>
                                <m:t>h</m:t>
                              </m:r>
                            </m:den>
                          </m:f>
                        </m:e>
                      </m:d>
                    </m:den>
                  </m:f>
                </m:e>
              </m:d>
            </m:num>
            <m:den>
              <m:r>
                <m:rPr>
                  <m:nor/>
                </m:rPr>
                <w:rPr>
                  <w:i/>
                  <w:iCs/>
                  <w:color w:val="767171" w:themeColor="background2" w:themeShade="80"/>
                  <w:sz w:val="12"/>
                  <w:szCs w:val="12"/>
                </w:rPr>
                <m:t>∂t</m:t>
              </m:r>
            </m:den>
          </m:f>
          <m:r>
            <w:rPr>
              <w:rFonts w:ascii="Cambria Math"/>
              <w:color w:val="767171" w:themeColor="background2" w:themeShade="80"/>
              <w:sz w:val="12"/>
              <w:szCs w:val="12"/>
            </w:rPr>
            <m:t>=</m:t>
          </m:r>
          <m:f>
            <m:fPr>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m:t>
              </m:r>
              <m:d>
                <m:dPr>
                  <m:begChr m:val="["/>
                  <m:endChr m:val="]"/>
                  <m:ctrlPr>
                    <w:rPr>
                      <w:rFonts w:ascii="Cambria Math" w:hAnsi="Cambria Math"/>
                      <w:i/>
                      <w:iCs/>
                      <w:color w:val="767171" w:themeColor="background2" w:themeShade="80"/>
                      <w:sz w:val="12"/>
                      <w:szCs w:val="12"/>
                      <w:lang w:val="en-US"/>
                    </w:rPr>
                  </m:ctrlPr>
                </m:dPr>
                <m:e>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1</m:t>
                      </m:r>
                    </m:num>
                    <m:den>
                      <m:r>
                        <m:rPr>
                          <m:nor/>
                        </m:rPr>
                        <w:rPr>
                          <w:i/>
                          <w:iCs/>
                          <w:color w:val="767171" w:themeColor="background2" w:themeShade="80"/>
                          <w:sz w:val="12"/>
                          <w:szCs w:val="12"/>
                        </w:rPr>
                        <m:t>u</m:t>
                      </m:r>
                    </m:den>
                  </m:f>
                </m:e>
              </m:d>
            </m:num>
            <m:den>
              <m:r>
                <m:rPr>
                  <m:nor/>
                </m:rPr>
                <w:rPr>
                  <w:i/>
                  <w:iCs/>
                  <w:color w:val="767171" w:themeColor="background2" w:themeShade="80"/>
                  <w:sz w:val="12"/>
                  <w:szCs w:val="12"/>
                </w:rPr>
                <m:t>∂u</m:t>
              </m:r>
            </m:den>
          </m:f>
          <m:r>
            <w:rPr>
              <w:rFonts w:ascii="Cambria Math" w:hAnsi="Cambria Math"/>
              <w:color w:val="767171" w:themeColor="background2" w:themeShade="80"/>
              <w:sz w:val="12"/>
              <w:szCs w:val="12"/>
            </w:rPr>
            <m:t>∙</m:t>
          </m:r>
          <m:f>
            <m:fPr>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∂u</m:t>
              </m:r>
            </m:num>
            <m:den>
              <m:r>
                <m:rPr>
                  <m:nor/>
                </m:rPr>
                <w:rPr>
                  <w:i/>
                  <w:iCs/>
                  <w:color w:val="767171" w:themeColor="background2" w:themeShade="80"/>
                  <w:sz w:val="12"/>
                  <w:szCs w:val="12"/>
                </w:rPr>
                <m:t>∂t</m:t>
              </m:r>
            </m:den>
          </m:f>
          <m:r>
            <m:rPr>
              <m:nor/>
            </m:rPr>
            <w:rPr>
              <w:i/>
              <w:color w:val="767171" w:themeColor="background2" w:themeShade="80"/>
              <w:sz w:val="12"/>
              <w:szCs w:val="12"/>
            </w:rPr>
            <m:t>, con u</m:t>
          </m:r>
          <m:r>
            <w:rPr>
              <w:rFonts w:ascii="Cambria Math"/>
              <w:color w:val="767171" w:themeColor="background2" w:themeShade="80"/>
              <w:sz w:val="12"/>
              <w:szCs w:val="12"/>
            </w:rPr>
            <m:t>=</m:t>
          </m:r>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c</m:t>
          </m:r>
          <m:r>
            <w:rPr>
              <w:rFonts w:ascii="Cambria Math" w:hAnsi="Cambria Math"/>
              <w:color w:val="767171" w:themeColor="background2" w:themeShade="80"/>
              <w:sz w:val="12"/>
              <w:szCs w:val="12"/>
            </w:rPr>
            <m:t>∙</m:t>
          </m:r>
          <m:d>
            <m:dPr>
              <m:ctrlPr>
                <w:rPr>
                  <w:rFonts w:ascii="Cambria Math" w:hAnsi="Cambria Math"/>
                  <w:i/>
                  <w:iCs/>
                  <w:color w:val="767171" w:themeColor="background2" w:themeShade="80"/>
                  <w:sz w:val="12"/>
                  <w:szCs w:val="12"/>
                  <w:lang w:val="en-US"/>
                </w:rPr>
              </m:ctrlPr>
            </m:dPr>
            <m:e>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t</m:t>
              </m:r>
            </m:e>
          </m:d>
          <m:r>
            <w:rPr>
              <w:rFonts w:ascii="Cambria Math" w:hAnsi="Cambria Math"/>
              <w:color w:val="767171" w:themeColor="background2" w:themeShade="80"/>
              <w:sz w:val="12"/>
              <w:szCs w:val="12"/>
            </w:rPr>
            <m:t>+</m:t>
          </m:r>
          <m:r>
            <m:rPr>
              <m:nor/>
            </m:rPr>
            <w:rPr>
              <w:i/>
              <w:iCs/>
              <w:color w:val="767171" w:themeColor="background2" w:themeShade="80"/>
              <w:sz w:val="12"/>
              <w:szCs w:val="12"/>
            </w:rPr>
            <m:t>v</m:t>
          </m:r>
          <m:r>
            <w:rPr>
              <w:rFonts w:ascii="Cambria Math" w:hAnsi="Cambria Math"/>
              <w:color w:val="767171" w:themeColor="background2" w:themeShade="80"/>
              <w:sz w:val="12"/>
              <w:szCs w:val="12"/>
            </w:rPr>
            <m:t>∙</m:t>
          </m:r>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k</m:t>
              </m:r>
            </m:num>
            <m:den>
              <m:r>
                <m:rPr>
                  <m:nor/>
                </m:rPr>
                <w:rPr>
                  <w:i/>
                  <w:iCs/>
                  <w:color w:val="767171" w:themeColor="background2" w:themeShade="80"/>
                  <w:sz w:val="12"/>
                  <w:szCs w:val="12"/>
                </w:rPr>
                <m:t>h</m:t>
              </m:r>
            </m:den>
          </m:f>
          <m:r>
            <m:rPr>
              <m:nor/>
            </m:rPr>
            <w:rPr>
              <w:i/>
              <w:color w:val="767171" w:themeColor="background2" w:themeShade="80"/>
              <w:sz w:val="12"/>
              <w:szCs w:val="12"/>
            </w:rPr>
            <m:t>)</m:t>
          </m:r>
          <m:r>
            <m:rPr>
              <m:sty m:val="p"/>
            </m:rPr>
            <w:rPr>
              <w:rFonts w:ascii="Cambria Math" w:hAnsi="Cambria Math"/>
              <w:sz w:val="12"/>
              <w:szCs w:val="12"/>
            </w:rPr>
            <w:br/>
          </m:r>
        </m:oMath>
        <m:oMath>
          <m:r>
            <w:rPr>
              <w:rFonts w:ascii="Cambria Math" w:hAnsi="Cambria Math"/>
              <w:lang w:val="en-US"/>
            </w:rPr>
            <m:t>⟹</m:t>
          </m:r>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d>
            <m:dPr>
              <m:begChr m:val="["/>
              <m:endChr m:val="]"/>
              <m:ctrlPr>
                <w:rPr>
                  <w:rFonts w:ascii="Cambria Math" w:eastAsiaTheme="minorEastAsia"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r>
            <w:rPr>
              <w:rFonts w:ascii="Cambria Math" w:eastAsiaTheme="minorEastAsia" w:hAnsi="Cambria Math"/>
            </w:rPr>
            <m:t>∙</m:t>
          </m:r>
          <m:d>
            <m:dPr>
              <m:begChr m:val="["/>
              <m:endChr m:val="]"/>
              <m:ctrlPr>
                <w:rPr>
                  <w:rFonts w:ascii="Cambria Math" w:eastAsiaTheme="minorEastAsia" w:hAnsi="Cambria Math"/>
                  <w:i/>
                  <w:iCs/>
                  <w:lang w:val="en-US"/>
                </w:rPr>
              </m:ctrlPr>
            </m:dPr>
            <m:e>
              <m:r>
                <w:rPr>
                  <w:rFonts w:ascii="Cambria Math" w:hAnsi="Cambria Math"/>
                </w:rPr>
                <m:t>-</m:t>
              </m:r>
              <m:f>
                <m:fPr>
                  <m:ctrlPr>
                    <w:rPr>
                      <w:rFonts w:ascii="Cambria Math" w:hAnsi="Cambria Math"/>
                      <w:i/>
                      <w:iCs/>
                      <w:lang w:val="en-US"/>
                    </w:rPr>
                  </m:ctrlPr>
                </m:fPr>
                <m:num>
                  <m:f>
                    <m:fPr>
                      <m:type m:val="lin"/>
                      <m:ctrlPr>
                        <w:rPr>
                          <w:rFonts w:ascii="Cambria Math" w:hAnsi="Cambria Math"/>
                          <w:i/>
                          <w:iCs/>
                          <w:lang w:val="en-US"/>
                        </w:rPr>
                      </m:ctrlPr>
                    </m:fPr>
                    <m:num>
                      <m:r>
                        <m:rPr>
                          <m:nor/>
                        </m:rPr>
                        <w:rPr>
                          <w:i/>
                          <w:iCs/>
                        </w:rPr>
                        <m:t>∂</m:t>
                      </m:r>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num>
                    <m:den>
                      <m:r>
                        <m:rPr>
                          <m:nor/>
                        </m:rPr>
                        <w:rPr>
                          <w:i/>
                          <w:iCs/>
                        </w:rPr>
                        <m:t>∂t</m:t>
                      </m:r>
                    </m:den>
                  </m:f>
                </m:num>
                <m:den>
                  <m:sSup>
                    <m:sSupPr>
                      <m:ctrlPr>
                        <w:rPr>
                          <w:rFonts w:ascii="Cambria Math" w:hAnsi="Cambria Math"/>
                          <w:i/>
                          <w:iCs/>
                          <w:lang w:val="en-US"/>
                        </w:rPr>
                      </m:ctrlPr>
                    </m:sSupPr>
                    <m:e>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e>
                    <m:sup>
                      <m:r>
                        <m:rPr>
                          <m:nor/>
                        </m:rPr>
                        <w:rPr>
                          <w:i/>
                          <w:iCs/>
                        </w:rPr>
                        <m:t>2</m:t>
                      </m:r>
                    </m:sup>
                  </m:sSup>
                </m:den>
              </m:f>
            </m:e>
          </m:d>
          <m:r>
            <w:rPr>
              <w:rFonts w:ascii="Cambria Math" w:hAnsi="Cambria Math"/>
              <w:lang w:val="en-US"/>
            </w:rPr>
            <m:t>⟹</m:t>
          </m:r>
          <m:r>
            <m:rPr>
              <m:nor/>
            </m:rPr>
            <w:rPr>
              <w:i/>
              <w:color w:val="767171" w:themeColor="background2" w:themeShade="80"/>
              <w:sz w:val="14"/>
              <w:szCs w:val="14"/>
            </w:rPr>
            <m:t>(resolvemos)</m:t>
          </m:r>
          <m:r>
            <m:rPr>
              <m:sty m:val="p"/>
            </m:rPr>
            <w:rPr>
              <w:rFonts w:ascii="Cambria Math" w:hAnsi="Cambria Math"/>
            </w:rPr>
            <w:br/>
          </m:r>
        </m:oMath>
        <m:oMath>
          <m:r>
            <w:rPr>
              <w:rFonts w:ascii="Cambria Math" w:hAnsi="Cambria Math"/>
              <w:lang w:val="en-US"/>
            </w:rPr>
            <m:t>⟹</m:t>
          </m:r>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d>
            <m:dPr>
              <m:begChr m:val="["/>
              <m:endChr m:val="]"/>
              <m:ctrlPr>
                <w:rPr>
                  <w:rFonts w:ascii="Cambria Math" w:eastAsiaTheme="minorEastAsia"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r>
            <w:rPr>
              <w:rFonts w:ascii="Cambria Math" w:eastAsiaTheme="minorEastAsia" w:hAnsi="Cambria Math"/>
            </w:rPr>
            <m:t>∙</m:t>
          </m:r>
          <m:d>
            <m:dPr>
              <m:begChr m:val="["/>
              <m:endChr m:val="]"/>
              <m:ctrlPr>
                <w:rPr>
                  <w:rFonts w:ascii="Cambria Math" w:eastAsiaTheme="minorEastAsia" w:hAnsi="Cambria Math"/>
                  <w:i/>
                  <w:iCs/>
                  <w:lang w:val="en-US"/>
                </w:rPr>
              </m:ctrlPr>
            </m:dPr>
            <m:e>
              <m:r>
                <w:rPr>
                  <w:rFonts w:ascii="Cambria Math" w:hAnsi="Cambria Math"/>
                </w:rPr>
                <m:t>-</m:t>
              </m:r>
              <m:f>
                <m:fPr>
                  <m:ctrlPr>
                    <w:rPr>
                      <w:rFonts w:ascii="Cambria Math" w:hAnsi="Cambria Math"/>
                      <w:i/>
                      <w:iCs/>
                      <w:lang w:val="en-US"/>
                    </w:rPr>
                  </m:ctrlPr>
                </m:fPr>
                <m:num>
                  <m:r>
                    <m:rPr>
                      <m:nor/>
                    </m:rPr>
                    <w:rPr>
                      <w:i/>
                      <w:iCs/>
                    </w:rPr>
                    <m:t>c</m:t>
                  </m:r>
                </m:num>
                <m:den>
                  <m:sSup>
                    <m:sSupPr>
                      <m:ctrlPr>
                        <w:rPr>
                          <w:rFonts w:ascii="Cambria Math" w:hAnsi="Cambria Math"/>
                          <w:i/>
                          <w:iCs/>
                          <w:lang w:val="en-US"/>
                        </w:rPr>
                      </m:ctrlPr>
                    </m:sSupPr>
                    <m:e>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e>
                    <m:sup>
                      <m:r>
                        <m:rPr>
                          <m:nor/>
                        </m:rPr>
                        <w:rPr>
                          <w:i/>
                          <w:iCs/>
                        </w:rPr>
                        <m:t>2</m:t>
                      </m:r>
                    </m:sup>
                  </m:sSup>
                </m:den>
              </m:f>
            </m:e>
          </m:d>
          <m:r>
            <w:rPr>
              <w:rFonts w:ascii="Cambria Math" w:hAnsi="Cambria Math"/>
              <w:lang w:val="en-US"/>
            </w:rPr>
            <m:t>⟹</m:t>
          </m:r>
          <m:r>
            <m:rPr>
              <m:sty m:val="p"/>
            </m:rPr>
            <w:rPr>
              <w:rFonts w:ascii="Cambria Math" w:hAnsi="Cambria Math"/>
            </w:rPr>
            <w:br/>
          </m:r>
        </m:oMath>
        <m:oMath>
          <m:r>
            <w:rPr>
              <w:rFonts w:ascii="Cambria Math" w:hAnsi="Cambria Math"/>
              <w:lang w:val="en-US"/>
            </w:rPr>
            <m:t>⟹</m:t>
          </m:r>
          <m:borderBox>
            <m:borderBoxPr>
              <m:ctrlPr>
                <w:rPr>
                  <w:rFonts w:ascii="Cambria Math" w:hAnsi="Cambria Math"/>
                  <w:i/>
                  <w:iCs/>
                  <w:lang w:val="en-US"/>
                </w:rPr>
              </m:ctrlPr>
            </m:borderBoxPr>
            <m:e>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r>
                <w:rPr>
                  <w:rFonts w:ascii="Cambria Math" w:hAnsi="Cambria Math"/>
                </w:rPr>
                <m:t>-</m:t>
              </m:r>
              <m:f>
                <m:fPr>
                  <m:ctrlPr>
                    <w:rPr>
                      <w:rFonts w:ascii="Cambria Math" w:hAnsi="Cambria Math"/>
                      <w:i/>
                      <w:iCs/>
                      <w:lang w:val="en-US"/>
                    </w:rPr>
                  </m:ctrlPr>
                </m:fPr>
                <m:num>
                  <m:r>
                    <m:rPr>
                      <m:nor/>
                    </m:rPr>
                    <w:rPr>
                      <w:i/>
                      <w:iCs/>
                    </w:rPr>
                    <m:t>c</m:t>
                  </m:r>
                  <m:r>
                    <w:rPr>
                      <w:rFonts w:ascii="Cambria Math" w:eastAsiaTheme="minorEastAsia" w:hAnsi="Cambria Math"/>
                    </w:rPr>
                    <m:t>∙</m:t>
                  </m:r>
                  <m:d>
                    <m:dPr>
                      <m:begChr m:val="["/>
                      <m:endChr m:val="]"/>
                      <m:ctrlPr>
                        <w:rPr>
                          <w:rFonts w:ascii="Cambria Math" w:eastAsiaTheme="minorEastAsia"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num>
                <m:den>
                  <m:sSup>
                    <m:sSupPr>
                      <m:ctrlPr>
                        <w:rPr>
                          <w:rFonts w:ascii="Cambria Math" w:hAnsi="Cambria Math"/>
                          <w:i/>
                          <w:iCs/>
                          <w:lang w:val="en-US"/>
                        </w:rPr>
                      </m:ctrlPr>
                    </m:sSupPr>
                    <m:e>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e>
                    <m:sup>
                      <m:r>
                        <m:rPr>
                          <m:nor/>
                        </m:rPr>
                        <w:rPr>
                          <w:i/>
                          <w:iCs/>
                        </w:rPr>
                        <m:t>2</m:t>
                      </m:r>
                    </m:sup>
                  </m:sSup>
                </m:den>
              </m:f>
            </m:e>
          </m:borderBox>
        </m:oMath>
      </m:oMathPara>
    </w:p>
  </w:footnote>
  <w:footnote w:id="16">
    <w:p w14:paraId="03CCA41A" w14:textId="77777777" w:rsidR="007E2D63" w:rsidRDefault="007E2D63" w:rsidP="007E2D63">
      <w:pPr>
        <w:pStyle w:val="Textonotapie"/>
        <w:keepNext/>
        <w:spacing w:after="0"/>
      </w:pPr>
      <w:r>
        <w:rPr>
          <w:rStyle w:val="Refdenotaalpie"/>
        </w:rPr>
        <w:footnoteRef/>
      </w:r>
      <w:r>
        <w:t xml:space="preserve"> Realmente lo que hemos supuesto es lo siguiente:</w:t>
      </w:r>
    </w:p>
    <w:p w14:paraId="5CC02C52" w14:textId="77777777" w:rsidR="007E2D63" w:rsidRPr="00AE0C47" w:rsidRDefault="00000000" w:rsidP="007E2D63">
      <w:pPr>
        <w:pStyle w:val="Textonotapie"/>
        <w:keepNext/>
        <w:spacing w:after="0"/>
        <w:rPr>
          <w:lang w:val="en-US"/>
        </w:rPr>
      </w:pPr>
      <m:oMathPara>
        <m:oMath>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lang w:val="en-US"/>
                    </w:rPr>
                    <m:t>CC</m:t>
                  </m:r>
                </m:e>
              </m:groupChr>
            </m:e>
            <m:lim>
              <m:r>
                <m:rPr>
                  <m:nor/>
                </m:rPr>
                <w:rPr>
                  <w:rStyle w:val="Hipervnculo"/>
                  <w:i/>
                  <w:lang w:val="en-US"/>
                </w:rPr>
                <m:t>CB&amp;S</m:t>
              </m:r>
              <m:r>
                <w:rPr>
                  <w:rStyle w:val="Hipervnculo"/>
                  <w:rFonts w:ascii="Cambria Math" w:hAnsi="Cambria Math"/>
                  <w:lang w:val="en-US"/>
                </w:rPr>
                <m:t>+</m:t>
              </m:r>
              <m:limLow>
                <m:limLowPr>
                  <m:ctrlPr>
                    <w:rPr>
                      <w:rStyle w:val="Hipervnculo"/>
                      <w:rFonts w:ascii="Cambria Math" w:hAnsi="Cambria Math"/>
                      <w:i/>
                      <w:color w:val="auto"/>
                      <w:u w:val="none"/>
                      <w:lang w:val="fr-FR"/>
                    </w:rPr>
                  </m:ctrlPr>
                </m:limLowPr>
                <m:e>
                  <m:groupChr>
                    <m:groupChrPr>
                      <m:ctrlPr>
                        <w:rPr>
                          <w:rStyle w:val="Hipervnculo"/>
                          <w:rFonts w:ascii="Cambria Math" w:hAnsi="Cambria Math"/>
                          <w:i/>
                          <w:color w:val="auto"/>
                          <w:u w:val="none"/>
                          <w:lang w:val="fr-FR"/>
                        </w:rPr>
                      </m:ctrlPr>
                    </m:groupChrPr>
                    <m:e>
                      <m:r>
                        <m:rPr>
                          <m:nor/>
                        </m:rPr>
                        <w:rPr>
                          <w:rStyle w:val="Hipervnculo"/>
                          <w:i/>
                          <w:strike/>
                          <w:color w:val="C00000"/>
                          <w:lang w:val="en-US"/>
                        </w:rPr>
                        <m:t>CR1</m:t>
                      </m:r>
                      <m:r>
                        <m:rPr>
                          <m:nor/>
                        </m:rPr>
                        <w:rPr>
                          <w:rStyle w:val="Hipervnculo"/>
                          <w:i/>
                          <w:color w:val="C00000"/>
                          <w:vertAlign w:val="superscript"/>
                          <w:lang w:val="en-US"/>
                        </w:rPr>
                        <m:t>as</m:t>
                      </m:r>
                    </m:e>
                  </m:groupChr>
                </m:e>
                <m:lim>
                  <m:sSub>
                    <m:sSubPr>
                      <m:ctrlPr>
                        <w:rPr>
                          <w:rStyle w:val="Hipervnculo"/>
                          <w:rFonts w:ascii="Cambria Math" w:hAnsi="Cambria Math"/>
                          <w:i/>
                          <w:strike/>
                          <w:color w:val="C00000"/>
                          <w:u w:val="none"/>
                          <w:lang w:val="fr-FR"/>
                        </w:rPr>
                      </m:ctrlPr>
                    </m:sSubPr>
                    <m:e>
                      <m:r>
                        <m:rPr>
                          <m:nor/>
                        </m:rPr>
                        <w:rPr>
                          <w:rStyle w:val="Hipervnculo"/>
                          <w:i/>
                          <w:strike/>
                          <w:color w:val="C00000"/>
                          <w:lang w:val="en-US"/>
                        </w:rPr>
                        <m:t>CR1</m:t>
                      </m:r>
                      <m:r>
                        <m:rPr>
                          <m:nor/>
                        </m:rPr>
                        <w:rPr>
                          <w:rStyle w:val="Hipervnculo"/>
                          <w:i/>
                          <w:color w:val="C00000"/>
                          <w:vertAlign w:val="superscript"/>
                          <w:lang w:val="en-US"/>
                        </w:rPr>
                        <m:t>as</m:t>
                      </m:r>
                    </m:e>
                    <m:sub>
                      <m:r>
                        <m:rPr>
                          <m:nor/>
                        </m:rPr>
                        <w:rPr>
                          <w:rStyle w:val="Hipervnculo"/>
                          <w:i/>
                          <w:color w:val="C00000"/>
                          <w:lang w:val="en-US"/>
                        </w:rPr>
                        <m:t>K</m:t>
                      </m:r>
                    </m:sub>
                  </m:sSub>
                  <m:r>
                    <w:rPr>
                      <w:rStyle w:val="Hipervnculo"/>
                      <w:rFonts w:ascii="Cambria Math" w:hAnsi="Cambria Math"/>
                      <w:lang w:val="en-US"/>
                    </w:rPr>
                    <m:t>+</m:t>
                  </m:r>
                  <m:sSub>
                    <m:sSubPr>
                      <m:ctrlPr>
                        <w:rPr>
                          <w:rStyle w:val="Hipervnculo"/>
                          <w:rFonts w:ascii="Cambria Math" w:hAnsi="Cambria Math"/>
                          <w:i/>
                          <w:strike/>
                          <w:color w:val="C00000"/>
                          <w:u w:val="none"/>
                          <w:lang w:val="fr-FR"/>
                        </w:rPr>
                      </m:ctrlPr>
                    </m:sSubPr>
                    <m:e>
                      <m:r>
                        <m:rPr>
                          <m:nor/>
                        </m:rPr>
                        <w:rPr>
                          <w:rStyle w:val="Hipervnculo"/>
                          <w:i/>
                          <w:strike/>
                          <w:color w:val="C00000"/>
                          <w:lang w:val="en-US"/>
                        </w:rPr>
                        <m:t>CR1</m:t>
                      </m:r>
                      <m:r>
                        <m:rPr>
                          <m:nor/>
                        </m:rPr>
                        <w:rPr>
                          <w:rStyle w:val="Hipervnculo"/>
                          <w:i/>
                          <w:color w:val="C00000"/>
                          <w:vertAlign w:val="superscript"/>
                          <w:lang w:val="en-US"/>
                        </w:rPr>
                        <m:t>as</m:t>
                      </m:r>
                    </m:e>
                    <m:sub>
                      <m:r>
                        <m:rPr>
                          <m:nor/>
                        </m:rPr>
                        <w:rPr>
                          <w:rStyle w:val="Hipervnculo"/>
                          <w:i/>
                          <w:color w:val="C00000"/>
                          <w:lang w:val="en-US"/>
                        </w:rPr>
                        <m:t>L</m:t>
                      </m:r>
                    </m:sub>
                  </m:sSub>
                </m:lim>
              </m:limLow>
              <m:r>
                <w:rPr>
                  <w:rStyle w:val="Hipervnculo"/>
                  <w:rFonts w:ascii="Cambria Math" w:hAnsi="Cambria Math"/>
                  <w:lang w:val="en-US"/>
                </w:rPr>
                <m:t>+</m:t>
              </m:r>
              <m:r>
                <m:rPr>
                  <m:nor/>
                </m:rPr>
                <w:rPr>
                  <w:rStyle w:val="Hipervnculo"/>
                  <w:i/>
                  <w:strike/>
                  <w:color w:val="C00000"/>
                  <w:lang w:val="en-US"/>
                </w:rPr>
                <m:t>CR2</m:t>
              </m:r>
              <m:r>
                <m:rPr>
                  <m:nor/>
                </m:rPr>
                <w:rPr>
                  <w:rStyle w:val="Hipervnculo"/>
                  <w:i/>
                  <w:color w:val="C00000"/>
                  <w:vertAlign w:val="superscript"/>
                  <w:lang w:val="en-US"/>
                </w:rPr>
                <m:t>as</m:t>
              </m:r>
            </m:lim>
          </m:limLow>
          <m:r>
            <w:rPr>
              <w:rStyle w:val="Hipervnculo"/>
              <w:rFonts w:ascii="Cambria Math" w:hAnsi="Cambria Math"/>
              <w:lang w:val="en-US"/>
            </w:rPr>
            <m:t>+</m:t>
          </m:r>
          <m:r>
            <m:rPr>
              <m:nor/>
            </m:rPr>
            <w:rPr>
              <w:rStyle w:val="Hipervnculo"/>
              <w:i/>
              <w:strike/>
              <w:color w:val="C00000"/>
              <w:lang w:val="en-US"/>
            </w:rPr>
            <m:t>CK</m:t>
          </m:r>
          <m:r>
            <w:rPr>
              <w:rStyle w:val="Hipervnculo"/>
              <w:rFonts w:ascii="Cambria Math" w:hAnsi="Cambria Math"/>
              <w:lang w:val="en-US"/>
            </w:rPr>
            <m:t>+</m:t>
          </m:r>
          <m:r>
            <m:rPr>
              <m:nor/>
            </m:rPr>
            <w:rPr>
              <w:rStyle w:val="Hipervnculo"/>
              <w:i/>
              <w:strike/>
              <w:color w:val="C00000"/>
              <w:lang w:val="en-US"/>
            </w:rPr>
            <m:t>EO</m:t>
          </m:r>
          <m:r>
            <w:rPr>
              <w:rStyle w:val="Hipervnculo"/>
              <w:rFonts w:ascii="Cambria Math" w:hAnsi="Cambria Math"/>
              <w:lang w:val="en-US"/>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lang w:val="en-US"/>
                    </w:rPr>
                    <m:t>CF</m:t>
                  </m:r>
                </m:e>
              </m:groupChr>
            </m:e>
            <m:lim>
              <m:r>
                <m:rPr>
                  <m:nor/>
                </m:rPr>
                <w:rPr>
                  <w:rStyle w:val="Hipervnculo"/>
                  <w:i/>
                  <w:lang w:val="en-US"/>
                </w:rPr>
                <m:t>ID</m:t>
              </m:r>
              <m:r>
                <w:rPr>
                  <w:rStyle w:val="Hipervnculo"/>
                  <w:rFonts w:ascii="Cambria Math" w:hAnsi="Cambria Math"/>
                  <w:lang w:val="en-US"/>
                </w:rPr>
                <m:t>+</m:t>
              </m:r>
              <m:r>
                <m:rPr>
                  <m:nor/>
                </m:rPr>
                <w:rPr>
                  <w:rStyle w:val="Hipervnculo"/>
                  <w:i/>
                  <w:lang w:val="en-US"/>
                </w:rPr>
                <m:t>IC</m:t>
              </m:r>
              <m:r>
                <w:rPr>
                  <w:rStyle w:val="Hipervnculo"/>
                  <w:rFonts w:ascii="Cambria Math" w:hAnsi="Cambria Math"/>
                  <w:lang w:val="en-US"/>
                </w:rPr>
                <m:t>+</m:t>
              </m:r>
              <m:r>
                <m:rPr>
                  <m:nor/>
                </m:rPr>
                <w:rPr>
                  <w:rStyle w:val="Hipervnculo"/>
                  <w:i/>
                  <w:lang w:val="en-US"/>
                </w:rPr>
                <m:t>Otra inversión</m:t>
              </m:r>
              <m:r>
                <w:rPr>
                  <w:rStyle w:val="Hipervnculo"/>
                  <w:rFonts w:ascii="Cambria Math" w:hAnsi="Cambria Math"/>
                  <w:lang w:val="en-US"/>
                </w:rPr>
                <m:t>+</m:t>
              </m:r>
              <m:r>
                <m:rPr>
                  <m:nor/>
                </m:rPr>
                <w:rPr>
                  <w:rStyle w:val="Hipervnculo"/>
                  <w:i/>
                  <w:lang w:val="en-US"/>
                </w:rPr>
                <m:t>Derivados</m:t>
              </m:r>
              <m:r>
                <w:rPr>
                  <w:rStyle w:val="Hipervnculo"/>
                  <w:rFonts w:ascii="Cambria Math" w:hAnsi="Cambria Math"/>
                  <w:lang w:val="en-US"/>
                </w:rPr>
                <m:t>+</m:t>
              </m:r>
              <m:r>
                <m:rPr>
                  <m:nor/>
                </m:rPr>
                <w:rPr>
                  <w:iCs/>
                  <w:szCs w:val="16"/>
                  <w:lang w:val="en-US"/>
                </w:rPr>
                <m:t>∆R</m:t>
              </m:r>
            </m:lim>
          </m:limLow>
        </m:oMath>
      </m:oMathPara>
    </w:p>
    <w:p w14:paraId="53712C71" w14:textId="77777777" w:rsidR="007E2D63" w:rsidRDefault="007E2D63" w:rsidP="007E2D63">
      <w:pPr>
        <w:pStyle w:val="Textonotapie"/>
      </w:pPr>
      <w:r>
        <w:t xml:space="preserve">Así, el saldo por cuenta corriente queda reflejado en las exportaciones netas (que como ya hemos introducido en la curva </w:t>
      </w:r>
      <w:r>
        <w:rPr>
          <w:i/>
          <w:iCs/>
        </w:rPr>
        <w:t>IS</w:t>
      </w:r>
      <w:r>
        <w:t xml:space="preserve"> depende positivamente de la renta extranjera y del tipo de cambio real, y negativamente de la renta nacional).</w:t>
      </w:r>
    </w:p>
    <w:p w14:paraId="37C2BF0C" w14:textId="77777777" w:rsidR="007E2D63" w:rsidRPr="00AE0C47" w:rsidRDefault="007E2D63" w:rsidP="007E2D63">
      <w:pPr>
        <w:pStyle w:val="Textonotapie"/>
      </w:pPr>
      <w:r>
        <w:t xml:space="preserve">Por su parte, la cuenta financiera dependerá del diferencial de tipos de interés, de modo que si los tipos de interés nacionales son mayores que los internacionales se producirá una entrada de capitales. Estos flujos de capitales dependerán del grado de movilidad de capitales </w:t>
      </w:r>
      <m:oMath>
        <m:r>
          <m:rPr>
            <m:nor/>
          </m:rPr>
          <w:rPr>
            <w:i/>
            <w:lang w:val="en-US"/>
          </w:rPr>
          <m:t>β</m:t>
        </m:r>
      </m:oMath>
      <w:r w:rsidRPr="00AE0C47">
        <w:rPr>
          <w:rFonts w:eastAsiaTheme="minorEastAsia"/>
        </w:rPr>
        <w:t>.</w:t>
      </w:r>
    </w:p>
  </w:footnote>
  <w:footnote w:id="17">
    <w:p w14:paraId="38A2F3E5" w14:textId="77777777" w:rsidR="00D3596B" w:rsidRPr="00CF2220" w:rsidRDefault="00D3596B" w:rsidP="00D3596B">
      <w:pPr>
        <w:pStyle w:val="Textonotapie"/>
      </w:pPr>
      <w:r>
        <w:rPr>
          <w:rStyle w:val="Refdenotaalpie"/>
        </w:rPr>
        <w:footnoteRef/>
      </w:r>
      <w:r w:rsidRPr="00313BDD">
        <w:rPr>
          <w:lang w:val="en-US"/>
        </w:rPr>
        <w:t xml:space="preserve"> Sims, E. (2015). </w:t>
      </w:r>
      <w:r w:rsidRPr="00313BDD">
        <w:rPr>
          <w:i/>
          <w:iCs/>
          <w:lang w:val="en-US"/>
        </w:rPr>
        <w:t>Graduate Macro Theory II: Fiscal Policy in the RBC Model</w:t>
      </w:r>
      <w:r w:rsidRPr="00313BDD">
        <w:rPr>
          <w:lang w:val="en-US"/>
        </w:rPr>
        <w:t xml:space="preserve">. </w:t>
      </w:r>
      <w:hyperlink r:id="rId3" w:history="1">
        <w:r w:rsidRPr="00CF2220">
          <w:rPr>
            <w:rStyle w:val="Hipervnculo"/>
          </w:rPr>
          <w:t>https://www3.nd.edu/~esims1/fiscal_policy_sp2015.pdf</w:t>
        </w:r>
      </w:hyperlink>
      <w:r>
        <w:rPr>
          <w:rStyle w:val="Hipervnculo"/>
        </w:rPr>
        <w:t xml:space="preserve"> </w:t>
      </w:r>
      <w:hyperlink r:id="rId4" w:history="1">
        <w:r w:rsidRPr="00834278">
          <w:rPr>
            <w:rStyle w:val="Hipervnculo"/>
          </w:rPr>
          <w:t>https://www3.nd.edu/~esims1/GLS_may_2021.pdf</w:t>
        </w:r>
      </w:hyperlink>
    </w:p>
  </w:footnote>
  <w:footnote w:id="18">
    <w:p w14:paraId="5E737BB2" w14:textId="77777777" w:rsidR="00D3596B" w:rsidRPr="008010ED" w:rsidRDefault="00D3596B" w:rsidP="00D3596B">
      <w:pPr>
        <w:pStyle w:val="Textonotapie"/>
        <w:rPr>
          <w:spacing w:val="-2"/>
        </w:rPr>
      </w:pPr>
      <w:r w:rsidRPr="008010ED">
        <w:rPr>
          <w:rStyle w:val="Refdenotaalpie"/>
          <w:spacing w:val="-2"/>
        </w:rPr>
        <w:footnoteRef/>
      </w:r>
      <w:r w:rsidRPr="008010ED">
        <w:rPr>
          <w:spacing w:val="-2"/>
        </w:rPr>
        <w:t xml:space="preserve"> Nótese q</w:t>
      </w:r>
      <w:r w:rsidRPr="008010ED">
        <w:rPr>
          <w:spacing w:val="-2"/>
          <w:szCs w:val="16"/>
        </w:rPr>
        <w:t xml:space="preserve">ue en el problema de maximización de las empresas no incorporamos el término que denota la esperanza matemática, </w:t>
      </w:r>
      <m:oMath>
        <m:sSub>
          <m:sSubPr>
            <m:ctrlPr>
              <w:rPr>
                <w:rFonts w:ascii="Cambria Math" w:hAnsi="Cambria Math"/>
                <w:i/>
                <w:iCs/>
                <w:spacing w:val="-2"/>
                <w:szCs w:val="16"/>
                <w:lang w:val="fr-FR"/>
              </w:rPr>
            </m:ctrlPr>
          </m:sSubPr>
          <m:e>
            <m:r>
              <m:rPr>
                <m:nor/>
              </m:rPr>
              <w:rPr>
                <w:i/>
                <w:iCs/>
                <w:spacing w:val="-2"/>
                <w:szCs w:val="16"/>
              </w:rPr>
              <m:t>E</m:t>
            </m:r>
          </m:e>
          <m:sub>
            <m:r>
              <m:rPr>
                <m:nor/>
              </m:rPr>
              <w:rPr>
                <w:i/>
                <w:iCs/>
                <w:spacing w:val="-2"/>
                <w:szCs w:val="16"/>
              </w:rPr>
              <m:t>0</m:t>
            </m:r>
          </m:sub>
        </m:sSub>
        <m:d>
          <m:dPr>
            <m:begChr m:val="["/>
            <m:endChr m:val="]"/>
            <m:ctrlPr>
              <w:rPr>
                <w:rFonts w:ascii="Cambria Math" w:hAnsi="Cambria Math"/>
                <w:i/>
                <w:iCs/>
                <w:spacing w:val="-2"/>
                <w:szCs w:val="16"/>
              </w:rPr>
            </m:ctrlPr>
          </m:dPr>
          <m:e>
            <m:r>
              <m:rPr>
                <m:nor/>
              </m:rPr>
              <w:rPr>
                <w:rFonts w:ascii="Cambria Math" w:hAnsi="Cambria Math" w:cs="Cambria Math"/>
                <w:iCs/>
                <w:spacing w:val="-2"/>
                <w:szCs w:val="16"/>
              </w:rPr>
              <m:t>⋯</m:t>
            </m:r>
          </m:e>
        </m:d>
      </m:oMath>
      <w:r w:rsidRPr="008010ED">
        <w:rPr>
          <w:rFonts w:eastAsiaTheme="minorEastAsia"/>
          <w:iCs/>
          <w:spacing w:val="-2"/>
          <w:szCs w:val="16"/>
        </w:rPr>
        <w:t xml:space="preserve">, </w:t>
      </w:r>
      <w:r w:rsidRPr="008010ED">
        <w:rPr>
          <w:spacing w:val="-2"/>
          <w:szCs w:val="16"/>
        </w:rPr>
        <w:t>que sí que será necesario en el caso de los hogares. Esto es así ya que el problema de las empresas no es genuinamente intertemporal y toman las decisiones en cada período en un contexto de certidumbre perfecta, en el que conocen todos los parámetros necesarios a la hora de maximizar.</w:t>
      </w:r>
    </w:p>
  </w:footnote>
  <w:footnote w:id="19">
    <w:p w14:paraId="0F5D3DE6" w14:textId="77777777" w:rsidR="00D3596B" w:rsidRDefault="00D3596B" w:rsidP="00D3596B">
      <w:pPr>
        <w:pStyle w:val="Textonotapie"/>
      </w:pPr>
      <w:r>
        <w:rPr>
          <w:rStyle w:val="Refdenotaalpie"/>
        </w:rPr>
        <w:footnoteRef/>
      </w:r>
      <w:r>
        <w:t xml:space="preserve"> Se podría convertir en un problema genuinamente intertemporal introduciendo algún tipo de rigidez, como por ejemplo, costes de ajuste </w:t>
      </w:r>
      <w:r w:rsidRPr="002D728A">
        <w:rPr>
          <w:color w:val="767171" w:themeColor="background2" w:themeShade="80"/>
          <w:sz w:val="14"/>
          <w:szCs w:val="14"/>
        </w:rPr>
        <w:t>[ver tema 3.A.33]</w:t>
      </w:r>
      <w:r>
        <w:t>.</w:t>
      </w:r>
    </w:p>
  </w:footnote>
  <w:footnote w:id="20">
    <w:p w14:paraId="071C590E" w14:textId="77777777" w:rsidR="00D3596B" w:rsidRDefault="00D3596B" w:rsidP="00D3596B">
      <w:pPr>
        <w:pStyle w:val="Textonotapie"/>
        <w:rPr>
          <w:rFonts w:eastAsiaTheme="minorEastAsia"/>
          <w:iCs/>
          <w:szCs w:val="16"/>
        </w:rPr>
      </w:pPr>
      <w:r>
        <w:rPr>
          <w:rStyle w:val="Refdenotaalpie"/>
        </w:rPr>
        <w:footnoteRef/>
      </w:r>
      <w:r>
        <w:t xml:space="preserve"> </w:t>
      </w:r>
      <w:r>
        <w:rPr>
          <w:smallCaps/>
        </w:rPr>
        <w:t>Sims</w:t>
      </w:r>
      <w:r>
        <w:t xml:space="preserve"> (2015) supone que el hogar puede recibir una utilidad,</w:t>
      </w:r>
      <m:oMath>
        <m:r>
          <w:rPr>
            <w:rFonts w:ascii="Cambria Math" w:hAnsi="Cambria Math"/>
            <w:szCs w:val="16"/>
          </w:rPr>
          <m:t xml:space="preserve"> </m:t>
        </m:r>
        <m:r>
          <m:rPr>
            <m:nor/>
          </m:rPr>
          <w:rPr>
            <w:i/>
            <w:iCs/>
            <w:szCs w:val="16"/>
          </w:rPr>
          <m:t>h</m:t>
        </m:r>
        <m:d>
          <m:dPr>
            <m:ctrlPr>
              <w:rPr>
                <w:rFonts w:ascii="Cambria Math" w:hAnsi="Cambria Math"/>
                <w:i/>
                <w:iCs/>
                <w:szCs w:val="16"/>
                <w:lang w:val="fr-FR"/>
              </w:rPr>
            </m:ctrlPr>
          </m:dPr>
          <m:e>
            <m:sSub>
              <m:sSubPr>
                <m:ctrlPr>
                  <w:rPr>
                    <w:rFonts w:ascii="Cambria Math" w:hAnsi="Cambria Math"/>
                    <w:i/>
                    <w:iCs/>
                    <w:szCs w:val="16"/>
                  </w:rPr>
                </m:ctrlPr>
              </m:sSubPr>
              <m:e>
                <m:r>
                  <m:rPr>
                    <m:nor/>
                  </m:rPr>
                  <w:rPr>
                    <w:i/>
                    <w:iCs/>
                    <w:szCs w:val="16"/>
                  </w:rPr>
                  <m:t>G</m:t>
                </m:r>
              </m:e>
              <m:sub>
                <m:r>
                  <m:rPr>
                    <m:nor/>
                  </m:rPr>
                  <w:rPr>
                    <w:i/>
                    <w:iCs/>
                    <w:szCs w:val="16"/>
                  </w:rPr>
                  <m:t>t</m:t>
                </m:r>
              </m:sub>
            </m:sSub>
          </m:e>
        </m:d>
      </m:oMath>
      <w:r w:rsidRPr="002051ED">
        <w:rPr>
          <w:rFonts w:eastAsiaTheme="minorEastAsia"/>
          <w:iCs/>
          <w:szCs w:val="16"/>
        </w:rPr>
        <w:t>,</w:t>
      </w:r>
      <w:r>
        <w:rPr>
          <w:rFonts w:eastAsiaTheme="minorEastAsia"/>
          <w:iCs/>
          <w:szCs w:val="16"/>
        </w:rPr>
        <w:t xml:space="preserve"> del gasto público, de forma que no sea </w:t>
      </w:r>
      <w:r>
        <w:rPr>
          <w:rFonts w:eastAsiaTheme="minorEastAsia"/>
          <w:i/>
          <w:szCs w:val="16"/>
        </w:rPr>
        <w:t>pure waste</w:t>
      </w:r>
      <w:r>
        <w:rPr>
          <w:rFonts w:eastAsiaTheme="minorEastAsia"/>
          <w:iCs/>
          <w:szCs w:val="16"/>
        </w:rPr>
        <w:t xml:space="preserve">. Esto no afectará a las decisiones del hogar siempre que este incorporado de forma separable y aditiva en la función de utilidad (por lo tanto, se podría omitir sin ningún problema, las conclusiones del análisis no cambian). El hogar toma </w:t>
      </w:r>
      <m:oMath>
        <m:sSub>
          <m:sSubPr>
            <m:ctrlPr>
              <w:rPr>
                <w:rFonts w:ascii="Cambria Math" w:hAnsi="Cambria Math"/>
                <w:i/>
                <w:iCs/>
                <w:szCs w:val="16"/>
              </w:rPr>
            </m:ctrlPr>
          </m:sSubPr>
          <m:e>
            <m:r>
              <m:rPr>
                <m:nor/>
              </m:rPr>
              <w:rPr>
                <w:i/>
                <w:iCs/>
                <w:szCs w:val="16"/>
              </w:rPr>
              <m:t>G</m:t>
            </m:r>
          </m:e>
          <m:sub>
            <m:r>
              <m:rPr>
                <m:nor/>
              </m:rPr>
              <w:rPr>
                <w:i/>
                <w:iCs/>
                <w:szCs w:val="16"/>
              </w:rPr>
              <m:t>t</m:t>
            </m:r>
          </m:sub>
        </m:sSub>
      </m:oMath>
      <w:r>
        <w:rPr>
          <w:rFonts w:eastAsiaTheme="minorEastAsia"/>
          <w:iCs/>
          <w:szCs w:val="16"/>
        </w:rPr>
        <w:t xml:space="preserve"> como dado, al igual que </w:t>
      </w:r>
      <m:oMath>
        <m:sSub>
          <m:sSubPr>
            <m:ctrlPr>
              <w:rPr>
                <w:rFonts w:ascii="Cambria Math" w:hAnsi="Cambria Math"/>
                <w:i/>
                <w:iCs/>
                <w:szCs w:val="16"/>
              </w:rPr>
            </m:ctrlPr>
          </m:sSubPr>
          <m:e>
            <m:r>
              <m:rPr>
                <m:nor/>
              </m:rPr>
              <w:rPr>
                <w:i/>
                <w:lang w:val="fr-FR"/>
              </w:rPr>
              <m:t>τ</m:t>
            </m:r>
          </m:e>
          <m:sub>
            <m:r>
              <m:rPr>
                <m:nor/>
              </m:rPr>
              <w:rPr>
                <w:i/>
                <w:iCs/>
                <w:szCs w:val="16"/>
              </w:rPr>
              <m:t>t</m:t>
            </m:r>
          </m:sub>
        </m:sSub>
      </m:oMath>
      <w:r>
        <w:rPr>
          <w:rFonts w:eastAsiaTheme="minorEastAsia"/>
          <w:iCs/>
          <w:szCs w:val="16"/>
        </w:rPr>
        <w:t>, es decir, paga los mismos impuestos haga lo que haga (impuestos de suma fija).</w:t>
      </w:r>
    </w:p>
    <w:p w14:paraId="65911FE9" w14:textId="77777777" w:rsidR="00D3596B" w:rsidRPr="00DA62F2" w:rsidRDefault="00D3596B" w:rsidP="00D3596B">
      <w:pPr>
        <w:pStyle w:val="Textonotapie"/>
        <w:rPr>
          <w:iCs/>
        </w:rPr>
      </w:pPr>
      <w:r>
        <w:rPr>
          <w:rFonts w:eastAsiaTheme="minorEastAsia"/>
          <w:iCs/>
          <w:smallCaps/>
          <w:szCs w:val="16"/>
        </w:rPr>
        <w:t>Baxter</w:t>
      </w:r>
      <w:r>
        <w:rPr>
          <w:rFonts w:eastAsiaTheme="minorEastAsia"/>
          <w:iCs/>
          <w:szCs w:val="16"/>
        </w:rPr>
        <w:t xml:space="preserve"> y </w:t>
      </w:r>
      <w:r>
        <w:rPr>
          <w:rFonts w:eastAsiaTheme="minorEastAsia"/>
          <w:iCs/>
          <w:smallCaps/>
          <w:szCs w:val="16"/>
        </w:rPr>
        <w:t>King</w:t>
      </w:r>
      <w:r>
        <w:rPr>
          <w:rFonts w:eastAsiaTheme="minorEastAsia"/>
          <w:iCs/>
          <w:szCs w:val="16"/>
        </w:rPr>
        <w:t xml:space="preserve"> (1993) distinguen entre </w:t>
      </w:r>
      <w:r>
        <w:rPr>
          <w:rFonts w:eastAsiaTheme="minorEastAsia"/>
          <w:b/>
          <w:bCs/>
          <w:iCs/>
          <w:szCs w:val="16"/>
        </w:rPr>
        <w:t>consumo</w:t>
      </w:r>
      <w:r w:rsidRPr="00966620">
        <w:rPr>
          <w:rFonts w:eastAsiaTheme="minorEastAsia"/>
          <w:b/>
          <w:bCs/>
          <w:iCs/>
          <w:szCs w:val="16"/>
        </w:rPr>
        <w:t xml:space="preserve"> público</w:t>
      </w:r>
      <w:r w:rsidRPr="00313BDD">
        <w:rPr>
          <w:rFonts w:eastAsiaTheme="minorEastAsia"/>
          <w:iCs/>
          <w:szCs w:val="16"/>
        </w:rPr>
        <w:t>,</w:t>
      </w:r>
      <w:r>
        <w:rPr>
          <w:rFonts w:eastAsiaTheme="minorEastAsia"/>
          <w:iCs/>
          <w:szCs w:val="16"/>
        </w:rPr>
        <w:t xml:space="preserve"> cuando las compras realizadas por el sector público no afectan a la capacidad productiva de la economía (que sería en este caso), e </w:t>
      </w:r>
      <w:r>
        <w:rPr>
          <w:rFonts w:eastAsiaTheme="minorEastAsia"/>
          <w:b/>
          <w:bCs/>
          <w:iCs/>
          <w:szCs w:val="16"/>
        </w:rPr>
        <w:t>inversión pública</w:t>
      </w:r>
      <w:r>
        <w:rPr>
          <w:rFonts w:eastAsiaTheme="minorEastAsia"/>
          <w:iCs/>
          <w:szCs w:val="16"/>
        </w:rPr>
        <w:t xml:space="preserve">, que sí que puede ser productiva y es incorporada en la función de producción de las empresas. </w:t>
      </w:r>
      <w:r>
        <w:rPr>
          <w:rFonts w:eastAsiaTheme="minorEastAsia"/>
          <w:iCs/>
          <w:smallCaps/>
          <w:szCs w:val="16"/>
        </w:rPr>
        <w:t>Baxter</w:t>
      </w:r>
      <w:r>
        <w:rPr>
          <w:rFonts w:eastAsiaTheme="minorEastAsia"/>
          <w:iCs/>
          <w:szCs w:val="16"/>
        </w:rPr>
        <w:t xml:space="preserve"> y </w:t>
      </w:r>
      <w:r>
        <w:rPr>
          <w:rFonts w:eastAsiaTheme="minorEastAsia"/>
          <w:iCs/>
          <w:smallCaps/>
          <w:szCs w:val="16"/>
        </w:rPr>
        <w:t>King</w:t>
      </w:r>
      <w:r w:rsidRPr="00DA62F2">
        <w:rPr>
          <w:rFonts w:eastAsiaTheme="minorEastAsia"/>
          <w:iCs/>
          <w:szCs w:val="16"/>
        </w:rPr>
        <w:t xml:space="preserve"> (1993)</w:t>
      </w:r>
      <w:r>
        <w:rPr>
          <w:rFonts w:eastAsiaTheme="minorEastAsia"/>
          <w:iCs/>
          <w:szCs w:val="16"/>
        </w:rPr>
        <w:t xml:space="preserve"> analizan los efectos de cada uno de estos dos casos.</w:t>
      </w:r>
    </w:p>
  </w:footnote>
  <w:footnote w:id="21">
    <w:p w14:paraId="0B8225D5" w14:textId="77777777" w:rsidR="00D3596B" w:rsidRPr="00A93FCF" w:rsidRDefault="00D3596B" w:rsidP="00D3596B">
      <w:pPr>
        <w:pStyle w:val="Textonotapie"/>
      </w:pPr>
      <w:r>
        <w:rPr>
          <w:rStyle w:val="Refdenotaalpie"/>
        </w:rPr>
        <w:footnoteRef/>
      </w:r>
      <w:r>
        <w:t xml:space="preserve"> A pesar de que </w:t>
      </w:r>
      <w:r>
        <w:rPr>
          <w:smallCaps/>
        </w:rPr>
        <w:t>Robert Barro</w:t>
      </w:r>
      <w:r>
        <w:rPr>
          <w:bCs/>
        </w:rPr>
        <w:t xml:space="preserve"> </w:t>
      </w:r>
      <w:r w:rsidRPr="00961B77">
        <w:rPr>
          <w:bCs/>
        </w:rPr>
        <w:t>no</w:t>
      </w:r>
      <w:r>
        <w:t xml:space="preserve"> utiliza en su artículo de 1974 el término “equivalencia ricardiana” como tal. El término “teorema de la equivalencia ricardiana” fue acuñado por </w:t>
      </w:r>
      <w:r>
        <w:rPr>
          <w:smallCaps/>
        </w:rPr>
        <w:t>Buchanan</w:t>
      </w:r>
      <w:r>
        <w:t xml:space="preserve"> (1976).</w:t>
      </w:r>
    </w:p>
  </w:footnote>
  <w:footnote w:id="22">
    <w:p w14:paraId="1AF21D58" w14:textId="77777777" w:rsidR="00D3596B" w:rsidRDefault="00D3596B" w:rsidP="00D3596B">
      <w:pPr>
        <w:pStyle w:val="Textonotapie"/>
      </w:pPr>
      <w:r>
        <w:rPr>
          <w:rStyle w:val="Refdenotaalpie"/>
        </w:rPr>
        <w:footnoteRef/>
      </w:r>
      <w:r>
        <w:t xml:space="preserve"> No obstante, en caso de que la política fiscal expansiva se lleve a cabo mediante una reducción de impuestos, financiada vía deuda, el efecto será nulo.</w:t>
      </w:r>
    </w:p>
  </w:footnote>
  <w:footnote w:id="23">
    <w:p w14:paraId="555C7EF3" w14:textId="77777777" w:rsidR="00D3596B" w:rsidRDefault="00D3596B" w:rsidP="00D3596B">
      <w:pPr>
        <w:pStyle w:val="Textonotapie"/>
      </w:pPr>
      <w:r>
        <w:rPr>
          <w:rStyle w:val="Refdenotaalpie"/>
        </w:rPr>
        <w:footnoteRef/>
      </w:r>
      <w:r>
        <w:t xml:space="preserve"> </w:t>
      </w:r>
      <w:r w:rsidRPr="00F477C1">
        <w:rPr>
          <w:spacing w:val="-2"/>
        </w:rPr>
        <w:t>Los efectos no keynesianos de la política fiscal han sido esgrimidos como argumento en favor de las recientes experiencias de consolidación en numerosos países de la zona euro. Con agentes que forman sus expectativas de forma racional, conociendo a restricción presupuestaria del Gobierno, una política fiscal contractiva puede tener efectos expansivos al acompañar las reducciones de gasto de reducciones creíbles equivalentes en impuestos a través de un “crowding-in” de la actividad del sector privado o incluso reducciones en las primas de riesgo.</w:t>
      </w:r>
    </w:p>
  </w:footnote>
  <w:footnote w:id="24">
    <w:p w14:paraId="587F2324" w14:textId="77777777" w:rsidR="00D3596B" w:rsidRDefault="00D3596B" w:rsidP="00D3596B">
      <w:pPr>
        <w:pStyle w:val="Textonotapie"/>
      </w:pPr>
      <w:r>
        <w:rPr>
          <w:rStyle w:val="Refdenotaalpie"/>
        </w:rPr>
        <w:footnoteRef/>
      </w:r>
      <w:r>
        <w:t xml:space="preserve"> Esta discusión sugiere que hay pocos motivos para esperar que la equivalencia ricardiana provea una buena aproximación en la práctica. El resultado de la equivalencia ricardiana depende de la hipótesis de la renta permanente, y la hipótesis de la renta permanente falla en muchos aspectos relevantes. Sin embargo, por su carácter sencillo y lógico, la equivalencia ricardiana (como la hipótesis de la renta permanente) es un valioso punto de partida teórico.</w:t>
      </w:r>
    </w:p>
    <w:p w14:paraId="20740761" w14:textId="77777777" w:rsidR="00D3596B" w:rsidRDefault="00D3596B" w:rsidP="00D3596B">
      <w:pPr>
        <w:pStyle w:val="Textonotapie"/>
      </w:pPr>
      <w:r>
        <w:t xml:space="preserve">La equivalencia ricardiana ha sido sujeto de mucha literatura empírica desde que fue propuesta por </w:t>
      </w:r>
      <w:r>
        <w:rPr>
          <w:smallCaps/>
        </w:rPr>
        <w:t>Barro</w:t>
      </w:r>
      <w:r>
        <w:t xml:space="preserve"> (1974). Dos influyentes revisiones de la literatura fueron realizadas por </w:t>
      </w:r>
      <w:r>
        <w:rPr>
          <w:smallCaps/>
        </w:rPr>
        <w:t>Bernheim</w:t>
      </w:r>
      <w:r>
        <w:t xml:space="preserve"> (1987) y </w:t>
      </w:r>
      <w:r>
        <w:rPr>
          <w:smallCaps/>
        </w:rPr>
        <w:t>Seater</w:t>
      </w:r>
      <w:r>
        <w:t xml:space="preserve"> (1993). A pesar de que </w:t>
      </w:r>
      <w:r>
        <w:rPr>
          <w:smallCaps/>
        </w:rPr>
        <w:t>Seater</w:t>
      </w:r>
      <w:r>
        <w:t xml:space="preserve"> concluye que la equivalencia de deuda es una buena aproximación, </w:t>
      </w:r>
      <w:r>
        <w:rPr>
          <w:smallCaps/>
        </w:rPr>
        <w:t>Bernheim</w:t>
      </w:r>
      <w:r>
        <w:t xml:space="preserve"> (1987) llega a la conclusión de que la equivalencia de deuda no se da en la realidad. A pesar de que la equivalencia de deuda es inválida desde un punto de vista teórico, y de acuerdo con la mayoría de los macroeconomistas también desde un punto de vista empírico, podríamos darles a los defensores de la equivalencia ricardiana el beneficio de la duda cuando argumentan que desde el punto de vista empírico no está tan mal.</w:t>
      </w:r>
    </w:p>
  </w:footnote>
  <w:footnote w:id="25">
    <w:p w14:paraId="1E4BCBEA" w14:textId="77777777" w:rsidR="00D3596B" w:rsidRDefault="00D3596B" w:rsidP="00D3596B">
      <w:pPr>
        <w:pStyle w:val="Textonotapie"/>
      </w:pPr>
      <w:r>
        <w:rPr>
          <w:rStyle w:val="Refdenotaalpie"/>
        </w:rPr>
        <w:footnoteRef/>
      </w:r>
      <w:r>
        <w:t xml:space="preserve"> </w:t>
      </w:r>
      <w:r w:rsidRPr="00500243">
        <w:t xml:space="preserve">En el modelo de ciclo real de </w:t>
      </w:r>
      <w:r>
        <w:rPr>
          <w:smallCaps/>
        </w:rPr>
        <w:t>Romer</w:t>
      </w:r>
      <w:r w:rsidRPr="00500243">
        <w:t xml:space="preserve"> debido a los parámetros con los que trabaja se produce una reducción inicial del stock de capital y un aumento del tipo de interés (</w:t>
      </w:r>
      <w:r w:rsidRPr="00500243">
        <w:rPr>
          <w:i/>
          <w:iCs/>
        </w:rPr>
        <w:t>efecto crowding-out</w:t>
      </w:r>
      <w:r w:rsidRPr="00500243">
        <w:t xml:space="preserve">). Este aumento del tipo de interés inicial aumenta la oferta de trabajo relativa en el primer período. Intuitivamente, un aumento del tipo de interés incrementa el atractivo de trabajar hoy porque la renta salarial ganada se puede ahorran y el rendimiento del ahorro es mayor. Por lo tanto, también se puede producir un </w:t>
      </w:r>
      <w:r w:rsidRPr="00500243">
        <w:rPr>
          <w:i/>
          <w:iCs/>
          <w:u w:val="single"/>
        </w:rPr>
        <w:t>efecto sustitución intertemporal</w:t>
      </w:r>
      <w:r w:rsidRPr="00500243">
        <w:t xml:space="preserve"> de la oferta de trabajo que opere en sentido favorable al empleo.</w:t>
      </w:r>
    </w:p>
  </w:footnote>
  <w:footnote w:id="26">
    <w:p w14:paraId="1AAA4167" w14:textId="77777777" w:rsidR="00830096" w:rsidRPr="00ED0B4E" w:rsidRDefault="00830096" w:rsidP="00830096">
      <w:pPr>
        <w:pStyle w:val="Textonotapie"/>
        <w:rPr>
          <w:lang w:val="en-US"/>
        </w:rPr>
      </w:pPr>
      <w:r>
        <w:rPr>
          <w:rStyle w:val="Refdenotaalpie"/>
        </w:rPr>
        <w:footnoteRef/>
      </w:r>
      <w:r w:rsidRPr="00F92BE8">
        <w:rPr>
          <w:lang w:val="en-US"/>
        </w:rPr>
        <w:t xml:space="preserve"> </w:t>
      </w:r>
      <w:r w:rsidRPr="00F92BE8">
        <w:rPr>
          <w:smallCaps/>
          <w:lang w:val="en-US"/>
        </w:rPr>
        <w:t>G. Calvo</w:t>
      </w:r>
      <w:r w:rsidRPr="00F92BE8">
        <w:rPr>
          <w:lang w:val="en-US"/>
        </w:rPr>
        <w:t xml:space="preserve">, (1983), </w:t>
      </w:r>
      <w:r w:rsidRPr="00F92BE8">
        <w:rPr>
          <w:i/>
          <w:lang w:val="en-US"/>
        </w:rPr>
        <w:t>Staggered Prices in a Utility Maximizing Framework</w:t>
      </w:r>
      <w:r w:rsidRPr="00F92BE8">
        <w:rPr>
          <w:lang w:val="en-US"/>
        </w:rPr>
        <w:t xml:space="preserve">, Journal of Monetary Economics, 12 (B), págs. </w:t>
      </w:r>
      <w:r w:rsidRPr="00ED0B4E">
        <w:rPr>
          <w:lang w:val="en-US"/>
        </w:rPr>
        <w:t>383-398.</w:t>
      </w:r>
    </w:p>
  </w:footnote>
  <w:footnote w:id="27">
    <w:p w14:paraId="109BCFEE" w14:textId="77777777" w:rsidR="00830096" w:rsidRPr="0047771C" w:rsidRDefault="00830096" w:rsidP="00830096">
      <w:pPr>
        <w:pStyle w:val="Textonotapie"/>
      </w:pPr>
      <w:r>
        <w:rPr>
          <w:rStyle w:val="Refdenotaalpie"/>
        </w:rPr>
        <w:footnoteRef/>
      </w:r>
      <w:r w:rsidRPr="00310181">
        <w:rPr>
          <w:lang w:val="en-US"/>
        </w:rPr>
        <w:t xml:space="preserve"> J. </w:t>
      </w:r>
      <w:r w:rsidRPr="005B1BD1">
        <w:rPr>
          <w:smallCaps/>
          <w:lang w:val="en-US"/>
        </w:rPr>
        <w:t>Rotemberg</w:t>
      </w:r>
      <w:r w:rsidRPr="00310181">
        <w:rPr>
          <w:lang w:val="en-US"/>
        </w:rPr>
        <w:t xml:space="preserve"> (1982), </w:t>
      </w:r>
      <w:r w:rsidRPr="00310181">
        <w:rPr>
          <w:i/>
          <w:lang w:val="en-US"/>
        </w:rPr>
        <w:t>Monopolistic Price Adjustment and Agregated Output</w:t>
      </w:r>
      <w:r>
        <w:rPr>
          <w:lang w:val="en-US"/>
        </w:rPr>
        <w:t xml:space="preserve">, Review of Economic Studies, 49, págs. </w:t>
      </w:r>
      <w:r w:rsidRPr="0047771C">
        <w:t>517-531.</w:t>
      </w:r>
    </w:p>
  </w:footnote>
  <w:footnote w:id="28">
    <w:p w14:paraId="4484AA30" w14:textId="77777777" w:rsidR="00830096" w:rsidRDefault="00830096" w:rsidP="00830096">
      <w:pPr>
        <w:pStyle w:val="Textonotapie"/>
      </w:pPr>
      <w:r>
        <w:rPr>
          <w:rStyle w:val="Refdenotaalpie"/>
        </w:rPr>
        <w:footnoteRef/>
      </w:r>
      <w:r>
        <w:t xml:space="preserve"> La misma clase de poder de me</w:t>
      </w:r>
      <w:r w:rsidRPr="0047771C">
        <w:t>rcado y fricciones pueden ser introducidas en el mercado de trabajo para obtener salarios rígidos.</w:t>
      </w:r>
    </w:p>
  </w:footnote>
  <w:footnote w:id="29">
    <w:p w14:paraId="3081CD47" w14:textId="77777777" w:rsidR="00830096" w:rsidRDefault="00830096" w:rsidP="00830096">
      <w:pPr>
        <w:pStyle w:val="Textonotapie"/>
        <w:keepNext/>
        <w:spacing w:after="0"/>
      </w:pPr>
      <w:r>
        <w:rPr>
          <w:rStyle w:val="Refdenotaalpie"/>
        </w:rPr>
        <w:footnoteRef/>
      </w:r>
      <w:r>
        <w:t xml:space="preserve"> De acuerdo con </w:t>
      </w:r>
      <w:r>
        <w:rPr>
          <w:smallCaps/>
        </w:rPr>
        <w:t>Galí</w:t>
      </w:r>
      <w:r w:rsidRPr="00B50701">
        <w:t xml:space="preserve"> </w:t>
      </w:r>
      <w:r>
        <w:t>(2008), la IS dinámica del modelo canónico (sin gasto público) se encuentra de la siguiente manera:</w:t>
      </w:r>
    </w:p>
    <w:p w14:paraId="7EACEE76" w14:textId="77777777" w:rsidR="00830096" w:rsidRDefault="00000000" w:rsidP="00830096">
      <w:pPr>
        <w:pStyle w:val="Textonotapie"/>
        <w:keepNext/>
        <w:spacing w:after="0"/>
        <w:rPr>
          <w:rFonts w:eastAsiaTheme="minorEastAsia"/>
        </w:rPr>
      </w:pPr>
      <m:oMathPara>
        <m:oMath>
          <m:sSub>
            <m:sSubPr>
              <m:ctrlPr>
                <w:rPr>
                  <w:rFonts w:ascii="Cambria Math" w:hAnsi="Cambria Math"/>
                  <w:i/>
                </w:rPr>
              </m:ctrlPr>
            </m:sSubPr>
            <m:e>
              <m:r>
                <m:rPr>
                  <m:nor/>
                </m:rPr>
                <w:rPr>
                  <w:i/>
                </w:rPr>
                <m:t>y</m:t>
              </m:r>
            </m:e>
            <m:sub>
              <m:r>
                <m:rPr>
                  <m:nor/>
                </m:rPr>
                <w:rPr>
                  <w:i/>
                </w:rPr>
                <m:t>t</m:t>
              </m:r>
            </m:sub>
          </m:sSub>
          <m:r>
            <w:rPr>
              <w:rFonts w:ascii="Cambria Math" w:hAnsi="Cambria Math"/>
            </w:rPr>
            <m:t>=-</m:t>
          </m:r>
          <m:f>
            <m:fPr>
              <m:ctrlPr>
                <w:rPr>
                  <w:rFonts w:ascii="Cambria Math" w:hAnsi="Cambria Math"/>
                  <w:i/>
                </w:rPr>
              </m:ctrlPr>
            </m:fPr>
            <m:num>
              <m:r>
                <m:rPr>
                  <m:nor/>
                </m:rPr>
                <w:rPr>
                  <w:i/>
                  <w:iCs/>
                </w:rPr>
                <m:t>1</m:t>
              </m:r>
            </m:num>
            <m:den>
              <m:r>
                <m:rPr>
                  <m:nor/>
                </m:rPr>
                <w:rPr>
                  <w:rFonts w:eastAsiaTheme="minorEastAsia"/>
                  <w:i/>
                  <w:iCs/>
                </w:rPr>
                <m:t>θ</m:t>
              </m:r>
            </m:den>
          </m:f>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r>
                <w:rPr>
                  <w:rFonts w:ascii="Cambria Math" w:hAnsi="Cambria Math"/>
                </w:rPr>
                <m:t>-</m:t>
              </m:r>
              <m:r>
                <m:rPr>
                  <m:nor/>
                </m:rPr>
                <w:rPr>
                  <w:i/>
                  <w:iCs/>
                </w:rPr>
                <m:t>ρ</m:t>
              </m:r>
            </m:e>
          </m:d>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y</m:t>
                  </m:r>
                </m:e>
                <m:sub>
                  <m:r>
                    <m:rPr>
                      <m:nor/>
                    </m:rPr>
                    <w:rPr>
                      <w:i/>
                      <w:iCs/>
                    </w:rPr>
                    <m:t>t+1</m:t>
                  </m:r>
                </m:sub>
              </m:sSub>
            </m:e>
          </m:d>
          <m:r>
            <m:rPr>
              <m:sty m:val="p"/>
            </m:rPr>
            <w:rPr>
              <w:rFonts w:eastAsiaTheme="minorEastAsia"/>
            </w:rPr>
            <w:br/>
          </m:r>
        </m:oMath>
      </m:oMathPara>
      <w:r w:rsidR="00830096" w:rsidRPr="00B50701">
        <w:rPr>
          <w:rFonts w:eastAsiaTheme="minorEastAsia"/>
          <w:iCs/>
        </w:rPr>
        <w:t xml:space="preserve">donde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oMath>
      <w:r w:rsidR="00830096" w:rsidRPr="00B50701">
        <w:rPr>
          <w:rFonts w:eastAsiaTheme="minorEastAsia"/>
        </w:rPr>
        <w:t xml:space="preserve"> es la producción total (no el output gap). </w:t>
      </w:r>
      <w:r w:rsidR="00830096">
        <w:rPr>
          <w:rFonts w:eastAsiaTheme="minorEastAsia"/>
        </w:rPr>
        <w:t>Esta ecuación puede ser convertida en nuestra IS dinámica reescribiendo en términos del output gap:</w:t>
      </w:r>
    </w:p>
    <w:p w14:paraId="4B45249F" w14:textId="77777777" w:rsidR="00830096" w:rsidRPr="00701D78" w:rsidRDefault="00000000" w:rsidP="00830096">
      <w:pPr>
        <w:pStyle w:val="Textonotapie"/>
        <w:keepNext/>
        <w:spacing w:after="0"/>
        <w:rPr>
          <w:rFonts w:eastAsiaTheme="minorEastAsia"/>
          <w:iCs/>
        </w:rPr>
      </w:pPr>
      <m:oMathPara>
        <m:oMath>
          <m:sSub>
            <m:sSubPr>
              <m:ctrlPr>
                <w:rPr>
                  <w:rFonts w:ascii="Cambria Math" w:hAnsi="Cambria Math"/>
                  <w:i/>
                </w:rPr>
              </m:ctrlPr>
            </m:sSubPr>
            <m:e>
              <m:r>
                <m:rPr>
                  <m:nor/>
                </m:rPr>
                <w:rPr>
                  <w:i/>
                  <w:lang w:val="fr-FR"/>
                </w:rPr>
                <m:t>x</m:t>
              </m:r>
            </m:e>
            <m:sub>
              <m:r>
                <m:rPr>
                  <m:nor/>
                </m:rPr>
                <w:rPr>
                  <w:i/>
                  <w:lang w:val="fr-FR"/>
                </w:rPr>
                <m:t>t</m:t>
              </m:r>
            </m:sub>
          </m:sSub>
          <m:r>
            <w:rPr>
              <w:rFonts w:ascii="Cambria Math" w:hAnsi="Cambria Math"/>
              <w:lang w:val="fr-FR"/>
            </w:rPr>
            <m:t>=-</m:t>
          </m:r>
          <m:f>
            <m:fPr>
              <m:ctrlPr>
                <w:rPr>
                  <w:rFonts w:ascii="Cambria Math" w:hAnsi="Cambria Math"/>
                  <w:i/>
                </w:rPr>
              </m:ctrlPr>
            </m:fPr>
            <m:num>
              <m:r>
                <m:rPr>
                  <m:nor/>
                </m:rPr>
                <w:rPr>
                  <w:i/>
                  <w:iCs/>
                  <w:lang w:val="fr-FR"/>
                </w:rPr>
                <m:t>1</m:t>
              </m:r>
            </m:num>
            <m:den>
              <m:r>
                <m:rPr>
                  <m:nor/>
                </m:rPr>
                <w:rPr>
                  <w:rFonts w:eastAsiaTheme="minorEastAsia"/>
                  <w:i/>
                  <w:iCs/>
                </w:rPr>
                <m:t>θ</m:t>
              </m:r>
            </m:den>
          </m:f>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lang w:val="fr-FR"/>
                        </w:rPr>
                        <m:t>t+1</m:t>
                      </m:r>
                    </m:sub>
                  </m:sSub>
                </m:e>
              </m:d>
              <m:r>
                <w:rPr>
                  <w:rFonts w:ascii="Cambria Math" w:hAnsi="Cambria Math"/>
                  <w:lang w:val="fr-FR"/>
                </w:rPr>
                <m:t>-</m:t>
              </m:r>
              <m:sSubSup>
                <m:sSubSupPr>
                  <m:ctrlPr>
                    <w:rPr>
                      <w:rFonts w:ascii="Cambria Math" w:hAnsi="Cambria Math"/>
                      <w:i/>
                    </w:rPr>
                  </m:ctrlPr>
                </m:sSubSupPr>
                <m:e>
                  <m:r>
                    <m:rPr>
                      <m:nor/>
                    </m:rPr>
                    <w:rPr>
                      <w:i/>
                      <w:lang w:val="fr-FR"/>
                    </w:rPr>
                    <m:t>r</m:t>
                  </m:r>
                </m:e>
                <m:sub>
                  <m:r>
                    <m:rPr>
                      <m:nor/>
                    </m:rPr>
                    <w:rPr>
                      <w:i/>
                      <w:lang w:val="fr-FR"/>
                    </w:rPr>
                    <m:t>t</m:t>
                  </m:r>
                </m:sub>
                <m:sup>
                  <m:r>
                    <m:rPr>
                      <m:nor/>
                    </m:rPr>
                    <w:rPr>
                      <w:i/>
                      <w:lang w:val="fr-FR"/>
                    </w:rPr>
                    <m:t>n</m:t>
                  </m:r>
                </m:sup>
              </m:sSubSup>
            </m:e>
          </m:d>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x</m:t>
                  </m:r>
                </m:e>
                <m:sub>
                  <m:r>
                    <m:rPr>
                      <m:nor/>
                    </m:rPr>
                    <w:rPr>
                      <w:i/>
                      <w:iCs/>
                      <w:lang w:val="fr-FR"/>
                    </w:rPr>
                    <m:t>t+1</m:t>
                  </m:r>
                </m:sub>
              </m:sSub>
            </m:e>
          </m:d>
          <m:r>
            <m:rPr>
              <m:sty m:val="p"/>
            </m:rPr>
            <w:rPr>
              <w:rFonts w:ascii="Cambria Math" w:hAnsi="Cambria Math"/>
              <w:lang w:val="fr-FR"/>
            </w:rPr>
            <w:br/>
          </m:r>
        </m:oMath>
      </m:oMathPara>
      <w:r w:rsidR="00830096">
        <w:rPr>
          <w:lang w:val="fr-FR"/>
        </w:rPr>
        <w:t xml:space="preserve">donde </w:t>
      </w:r>
      <m:oMath>
        <m:sSubSup>
          <m:sSubSupPr>
            <m:ctrlPr>
              <w:rPr>
                <w:rFonts w:ascii="Cambria Math" w:hAnsi="Cambria Math"/>
                <w:i/>
              </w:rPr>
            </m:ctrlPr>
          </m:sSubSupPr>
          <m:e>
            <m:r>
              <m:rPr>
                <m:nor/>
              </m:rPr>
              <w:rPr>
                <w:i/>
                <w:lang w:val="fr-FR"/>
              </w:rPr>
              <m:t>r</m:t>
            </m:r>
          </m:e>
          <m:sub>
            <m:r>
              <m:rPr>
                <m:nor/>
              </m:rPr>
              <w:rPr>
                <w:i/>
                <w:lang w:val="fr-FR"/>
              </w:rPr>
              <m:t>t</m:t>
            </m:r>
          </m:sub>
          <m:sup>
            <m:r>
              <m:rPr>
                <m:nor/>
              </m:rPr>
              <w:rPr>
                <w:i/>
                <w:lang w:val="fr-FR"/>
              </w:rPr>
              <m:t>n</m:t>
            </m:r>
          </m:sup>
        </m:sSubSup>
        <m:r>
          <w:rPr>
            <w:rFonts w:ascii="Cambria Math" w:hAnsi="Cambria Math"/>
            <w:lang w:val="fr-FR"/>
          </w:rPr>
          <m:t>≡</m:t>
        </m:r>
        <m:r>
          <m:rPr>
            <m:nor/>
          </m:rPr>
          <w:rPr>
            <w:i/>
            <w:iCs/>
          </w:rPr>
          <m:t>ρ</m:t>
        </m:r>
        <m:r>
          <w:rPr>
            <w:rFonts w:ascii="Cambria Math" w:eastAsiaTheme="minorEastAsia" w:hAnsi="Cambria Math"/>
            <w:lang w:val="fr-FR"/>
          </w:rPr>
          <m:t>+</m:t>
        </m:r>
        <m:r>
          <m:rPr>
            <m:nor/>
          </m:rPr>
          <w:rPr>
            <w:i/>
            <w:iCs/>
          </w:rPr>
          <m:t>η</m:t>
        </m:r>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r>
              <w:rPr>
                <w:rFonts w:ascii="Cambria Math" w:hAnsi="Cambria Math"/>
                <w:lang w:val="fr-FR"/>
              </w:rPr>
              <m:t>∆</m:t>
            </m:r>
            <m:sSubSup>
              <m:sSubSupPr>
                <m:ctrlPr>
                  <w:rPr>
                    <w:rFonts w:ascii="Cambria Math" w:hAnsi="Cambria Math"/>
                    <w:i/>
                    <w:iCs/>
                  </w:rPr>
                </m:ctrlPr>
              </m:sSubSupPr>
              <m:e>
                <m:r>
                  <m:rPr>
                    <m:nor/>
                  </m:rPr>
                  <w:rPr>
                    <w:i/>
                    <w:lang w:val="fr-FR"/>
                  </w:rPr>
                  <m:t>y</m:t>
                </m:r>
              </m:e>
              <m:sub>
                <m:r>
                  <m:rPr>
                    <m:nor/>
                  </m:rPr>
                  <w:rPr>
                    <w:i/>
                    <w:lang w:val="fr-FR"/>
                  </w:rPr>
                  <m:t>t+1</m:t>
                </m:r>
              </m:sub>
              <m:sup>
                <m:r>
                  <m:rPr>
                    <m:nor/>
                  </m:rPr>
                  <w:rPr>
                    <w:i/>
                    <w:lang w:val="fr-FR"/>
                  </w:rPr>
                  <m:t>n</m:t>
                </m:r>
              </m:sup>
            </m:sSubSup>
          </m:e>
        </m:d>
      </m:oMath>
      <w:r w:rsidR="00830096" w:rsidRPr="00701D78">
        <w:rPr>
          <w:rFonts w:eastAsiaTheme="minorEastAsia"/>
          <w:iCs/>
          <w:lang w:val="fr-FR"/>
        </w:rPr>
        <w:t>.</w:t>
      </w:r>
      <w:r w:rsidR="00830096" w:rsidRPr="00701D78">
        <w:rPr>
          <w:rFonts w:eastAsiaTheme="minorEastAsia"/>
          <w:lang w:val="fr-FR"/>
        </w:rPr>
        <w:t xml:space="preserve"> </w:t>
      </w:r>
      <w:r w:rsidR="00830096">
        <w:rPr>
          <w:rFonts w:eastAsiaTheme="minorEastAsia"/>
        </w:rPr>
        <w:t xml:space="preserve">Para ver la derivación completa, ver </w:t>
      </w:r>
      <w:r w:rsidR="00830096" w:rsidRPr="00B50701">
        <w:rPr>
          <w:rFonts w:eastAsiaTheme="minorEastAsia"/>
          <w:smallCaps/>
        </w:rPr>
        <w:t>Galí</w:t>
      </w:r>
      <w:r w:rsidR="00830096">
        <w:rPr>
          <w:rFonts w:eastAsiaTheme="minorEastAsia"/>
        </w:rPr>
        <w:t xml:space="preserve"> (2008), págs. 41-49.</w:t>
      </w:r>
    </w:p>
    <w:p w14:paraId="369AB610" w14:textId="77777777" w:rsidR="00830096" w:rsidRDefault="00830096" w:rsidP="00830096">
      <w:pPr>
        <w:pStyle w:val="Textonotapie"/>
        <w:keepNext/>
        <w:spacing w:after="0"/>
        <w:rPr>
          <w:rFonts w:eastAsiaTheme="minorEastAsia"/>
        </w:rPr>
      </w:pPr>
      <w:r>
        <w:t xml:space="preserve">Por lo tanto, teniendo en cuenta, que en el modelo con gasto público se parte de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r>
          <w:rPr>
            <w:rFonts w:ascii="Cambria Math" w:hAnsi="Cambria Math"/>
          </w:rPr>
          <m:t>+</m:t>
        </m:r>
        <m:sSub>
          <m:sSubPr>
            <m:ctrlPr>
              <w:rPr>
                <w:rFonts w:ascii="Cambria Math" w:hAnsi="Cambria Math"/>
                <w:i/>
              </w:rPr>
            </m:ctrlPr>
          </m:sSubPr>
          <m:e>
            <m:r>
              <m:rPr>
                <m:nor/>
              </m:rPr>
              <w:rPr>
                <w:i/>
              </w:rPr>
              <m:t>g</m:t>
            </m:r>
          </m:e>
          <m:sub>
            <m:r>
              <m:rPr>
                <m:nor/>
              </m:rPr>
              <w:rPr>
                <w:i/>
              </w:rPr>
              <m:t>t</m:t>
            </m:r>
          </m:sub>
        </m:sSub>
      </m:oMath>
      <w:r>
        <w:rPr>
          <w:rFonts w:eastAsiaTheme="minorEastAsia"/>
        </w:rPr>
        <w:t>, podemos partir de la primera ecuación para obtener:</w:t>
      </w:r>
    </w:p>
    <w:p w14:paraId="68475688" w14:textId="77777777" w:rsidR="00830096" w:rsidRPr="006E758A" w:rsidRDefault="00000000" w:rsidP="00830096">
      <w:pPr>
        <w:pStyle w:val="Textonotapie"/>
        <w:rPr>
          <w:rFonts w:eastAsiaTheme="minorEastAsia"/>
          <w:lang w:val="fr-FR"/>
        </w:rPr>
      </w:pPr>
      <m:oMathPara>
        <m:oMath>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c</m:t>
                      </m:r>
                    </m:e>
                    <m:sub>
                      <m:r>
                        <m:rPr>
                          <m:nor/>
                        </m:rPr>
                        <w:rPr>
                          <w:i/>
                          <w:lang w:val="fr-FR"/>
                        </w:rPr>
                        <m:t>t</m:t>
                      </m:r>
                    </m:sub>
                  </m:sSub>
                </m:e>
              </m:groupChr>
            </m:e>
            <m:lim>
              <m:r>
                <w:rPr>
                  <w:rFonts w:ascii="Cambria Math" w:hAnsi="Cambria Math"/>
                  <w:lang w:val="fr-FR"/>
                </w:rPr>
                <m:t>-</m:t>
              </m:r>
              <m:f>
                <m:fPr>
                  <m:ctrlPr>
                    <w:rPr>
                      <w:rFonts w:ascii="Cambria Math" w:hAnsi="Cambria Math"/>
                      <w:i/>
                    </w:rPr>
                  </m:ctrlPr>
                </m:fPr>
                <m:num>
                  <m:r>
                    <m:rPr>
                      <m:nor/>
                    </m:rPr>
                    <w:rPr>
                      <w:i/>
                      <w:iCs/>
                      <w:lang w:val="fr-FR"/>
                    </w:rPr>
                    <m:t>1</m:t>
                  </m:r>
                </m:num>
                <m:den>
                  <m:r>
                    <m:rPr>
                      <m:nor/>
                    </m:rPr>
                    <w:rPr>
                      <w:rFonts w:eastAsiaTheme="minorEastAsia"/>
                      <w:i/>
                      <w:iCs/>
                    </w:rPr>
                    <m:t>θ</m:t>
                  </m:r>
                </m:den>
              </m:f>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lang w:val="fr-FR"/>
                            </w:rPr>
                            <m:t>t+1</m:t>
                          </m:r>
                        </m:sub>
                      </m:sSub>
                    </m:e>
                  </m:d>
                  <m:r>
                    <w:rPr>
                      <w:rFonts w:ascii="Cambria Math" w:hAnsi="Cambria Math"/>
                      <w:lang w:val="fr-FR"/>
                    </w:rPr>
                    <m:t>-</m:t>
                  </m:r>
                  <m:r>
                    <m:rPr>
                      <m:nor/>
                    </m:rPr>
                    <w:rPr>
                      <w:i/>
                      <w:iCs/>
                    </w:rPr>
                    <m:t>ρ</m:t>
                  </m:r>
                </m:e>
              </m:d>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t+1</m:t>
                      </m:r>
                    </m:sub>
                  </m:sSub>
                </m:e>
              </m:d>
            </m:lim>
          </m:limLow>
          <m:r>
            <w:rPr>
              <w:rFonts w:ascii="Cambria Math" w:hAnsi="Cambria Math"/>
            </w:rPr>
            <m:t>⟹</m:t>
          </m:r>
          <m:borderBox>
            <m:borderBoxPr>
              <m:ctrlPr>
                <w:rPr>
                  <w:rFonts w:ascii="Cambria Math" w:hAnsi="Cambria Math"/>
                  <w:i/>
                </w:rPr>
              </m:ctrlPr>
            </m:borderBoxPr>
            <m:e>
              <m:sSub>
                <m:sSubPr>
                  <m:ctrlPr>
                    <w:rPr>
                      <w:rFonts w:ascii="Cambria Math" w:hAnsi="Cambria Math"/>
                      <w:i/>
                      <w:color w:val="C00000"/>
                    </w:rPr>
                  </m:ctrlPr>
                </m:sSubPr>
                <m:e>
                  <m:r>
                    <m:rPr>
                      <m:nor/>
                    </m:rPr>
                    <w:rPr>
                      <w:i/>
                      <w:color w:val="C00000"/>
                      <w:lang w:val="fr-FR"/>
                    </w:rPr>
                    <m:t>y</m:t>
                  </m:r>
                </m:e>
                <m:sub>
                  <m:r>
                    <m:rPr>
                      <m:nor/>
                    </m:rPr>
                    <w:rPr>
                      <w:i/>
                      <w:color w:val="C00000"/>
                      <w:lang w:val="fr-FR"/>
                    </w:rPr>
                    <m:t>t</m:t>
                  </m:r>
                </m:sub>
              </m:sSub>
              <m:r>
                <w:rPr>
                  <w:rFonts w:ascii="Cambria Math" w:hAnsi="Cambria Math"/>
                  <w:lang w:val="fr-FR"/>
                </w:rPr>
                <m:t>=</m:t>
              </m:r>
              <m:sSub>
                <m:sSubPr>
                  <m:ctrlPr>
                    <w:rPr>
                      <w:rFonts w:ascii="Cambria Math" w:hAnsi="Cambria Math"/>
                      <w:i/>
                      <w:color w:val="C00000"/>
                    </w:rPr>
                  </m:ctrlPr>
                </m:sSubPr>
                <m:e>
                  <m:r>
                    <m:rPr>
                      <m:nor/>
                    </m:rPr>
                    <w:rPr>
                      <w:i/>
                      <w:color w:val="C00000"/>
                      <w:lang w:val="fr-FR"/>
                    </w:rPr>
                    <m:t>g</m:t>
                  </m:r>
                </m:e>
                <m:sub>
                  <m:r>
                    <m:rPr>
                      <m:nor/>
                    </m:rPr>
                    <w:rPr>
                      <w:i/>
                      <w:color w:val="C00000"/>
                      <w:lang w:val="fr-FR"/>
                    </w:rPr>
                    <m:t>t</m:t>
                  </m:r>
                </m:sub>
              </m:sSub>
              <m:r>
                <w:rPr>
                  <w:rFonts w:ascii="Cambria Math" w:hAnsi="Cambria Math"/>
                  <w:lang w:val="fr-FR"/>
                </w:rPr>
                <m:t>-</m:t>
              </m:r>
              <m:f>
                <m:fPr>
                  <m:ctrlPr>
                    <w:rPr>
                      <w:rFonts w:ascii="Cambria Math" w:hAnsi="Cambria Math"/>
                      <w:i/>
                    </w:rPr>
                  </m:ctrlPr>
                </m:fPr>
                <m:num>
                  <m:r>
                    <m:rPr>
                      <m:nor/>
                    </m:rPr>
                    <w:rPr>
                      <w:i/>
                      <w:iCs/>
                      <w:lang w:val="fr-FR"/>
                    </w:rPr>
                    <m:t>1</m:t>
                  </m:r>
                </m:num>
                <m:den>
                  <m:r>
                    <m:rPr>
                      <m:nor/>
                    </m:rPr>
                    <w:rPr>
                      <w:rFonts w:eastAsiaTheme="minorEastAsia"/>
                      <w:i/>
                      <w:iCs/>
                    </w:rPr>
                    <m:t>θ</m:t>
                  </m:r>
                </m:den>
              </m:f>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lang w:val="fr-FR"/>
                            </w:rPr>
                            <m:t>t+1</m:t>
                          </m:r>
                        </m:sub>
                      </m:sSub>
                    </m:e>
                  </m:d>
                  <m:r>
                    <w:rPr>
                      <w:rFonts w:ascii="Cambria Math" w:hAnsi="Cambria Math"/>
                      <w:lang w:val="fr-FR"/>
                    </w:rPr>
                    <m:t>-</m:t>
                  </m:r>
                  <m:r>
                    <m:rPr>
                      <m:nor/>
                    </m:rPr>
                    <w:rPr>
                      <w:i/>
                      <w:iCs/>
                      <w:color w:val="C00000"/>
                    </w:rPr>
                    <m:t>ρ</m:t>
                  </m:r>
                </m:e>
              </m:d>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iCs/>
                                  <w:color w:val="C00000"/>
                                </w:rPr>
                              </m:ctrlPr>
                            </m:sSubPr>
                            <m:e>
                              <m:r>
                                <m:rPr>
                                  <m:nor/>
                                </m:rPr>
                                <w:rPr>
                                  <w:i/>
                                  <w:iCs/>
                                  <w:color w:val="C00000"/>
                                  <w:lang w:val="fr-FR"/>
                                </w:rPr>
                                <m:t>c</m:t>
                              </m:r>
                            </m:e>
                            <m:sub>
                              <m:r>
                                <m:rPr>
                                  <m:nor/>
                                </m:rPr>
                                <w:rPr>
                                  <w:i/>
                                  <w:iCs/>
                                  <w:color w:val="C00000"/>
                                  <w:lang w:val="fr-FR"/>
                                </w:rPr>
                                <m:t>t+1</m:t>
                              </m:r>
                            </m:sub>
                          </m:sSub>
                        </m:e>
                      </m:d>
                    </m:e>
                  </m:groupChr>
                </m:e>
                <m:lim>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t+1</m:t>
                          </m:r>
                        </m:sub>
                      </m:sSub>
                      <m:r>
                        <w:rPr>
                          <w:rFonts w:ascii="Cambria Math" w:hAnsi="Cambria Math"/>
                          <w:lang w:val="fr-FR"/>
                        </w:rPr>
                        <m:t>-</m:t>
                      </m:r>
                      <m:sSub>
                        <m:sSubPr>
                          <m:ctrlPr>
                            <w:rPr>
                              <w:rFonts w:ascii="Cambria Math" w:hAnsi="Cambria Math"/>
                              <w:i/>
                              <w:iCs/>
                            </w:rPr>
                          </m:ctrlPr>
                        </m:sSubPr>
                        <m:e>
                          <m:r>
                            <m:rPr>
                              <m:nor/>
                            </m:rPr>
                            <w:rPr>
                              <w:i/>
                              <w:iCs/>
                              <w:lang w:val="fr-FR"/>
                            </w:rPr>
                            <m:t>g</m:t>
                          </m:r>
                        </m:e>
                        <m:sub>
                          <m:r>
                            <m:rPr>
                              <m:nor/>
                            </m:rPr>
                            <w:rPr>
                              <w:i/>
                              <w:iCs/>
                              <w:lang w:val="fr-FR"/>
                            </w:rPr>
                            <m:t>t+1</m:t>
                          </m:r>
                        </m:sub>
                      </m:sSub>
                    </m:e>
                  </m:d>
                </m:lim>
              </m:limLow>
            </m:e>
          </m:borderBox>
        </m:oMath>
      </m:oMathPara>
    </w:p>
    <w:p w14:paraId="13CF8DA1" w14:textId="77777777" w:rsidR="00830096" w:rsidRPr="006E758A" w:rsidRDefault="00830096" w:rsidP="00830096">
      <w:pPr>
        <w:pStyle w:val="Textonotapie"/>
      </w:pPr>
      <w:r>
        <w:rPr>
          <w:rFonts w:eastAsiaTheme="minorEastAsia"/>
        </w:rPr>
        <w:t xml:space="preserve">Para ver la derivación completa, ver </w:t>
      </w:r>
      <w:r w:rsidRPr="00B50701">
        <w:rPr>
          <w:rFonts w:eastAsiaTheme="minorEastAsia"/>
          <w:smallCaps/>
        </w:rPr>
        <w:t>Galí</w:t>
      </w:r>
      <w:r>
        <w:rPr>
          <w:rFonts w:eastAsiaTheme="minorEastAsia"/>
        </w:rPr>
        <w:t xml:space="preserve"> (2008), págs. 41-49</w:t>
      </w:r>
    </w:p>
  </w:footnote>
  <w:footnote w:id="30">
    <w:p w14:paraId="1C791462" w14:textId="77777777" w:rsidR="00830096" w:rsidRDefault="00830096" w:rsidP="00830096">
      <w:pPr>
        <w:pStyle w:val="Textonotapie"/>
        <w:spacing w:after="0"/>
        <w:rPr>
          <w:rFonts w:eastAsiaTheme="minorEastAsia"/>
        </w:rPr>
      </w:pPr>
      <w:r>
        <w:rPr>
          <w:rStyle w:val="Refdenotaalpie"/>
        </w:rPr>
        <w:footnoteRef/>
      </w:r>
      <w:r>
        <w:t xml:space="preserve"> La regl</w:t>
      </w:r>
      <w:r w:rsidRPr="00DC2CD3">
        <w:t xml:space="preserve">a propuesta por Taylor originalmente fue: </w:t>
      </w:r>
      <m:oMath>
        <m:sSub>
          <m:sSubPr>
            <m:ctrlPr>
              <w:rPr>
                <w:rFonts w:ascii="Cambria Math" w:hAnsi="Cambria Math"/>
              </w:rPr>
            </m:ctrlPr>
          </m:sSubPr>
          <m:e>
            <m:r>
              <m:rPr>
                <m:nor/>
              </m:rPr>
              <w:rPr>
                <w:i/>
              </w:rPr>
              <m:t>i</m:t>
            </m:r>
          </m:e>
          <m:sub>
            <m:r>
              <m:rPr>
                <m:nor/>
              </m:rPr>
              <w:rPr>
                <w:i/>
              </w:rPr>
              <m:t>t</m:t>
            </m:r>
          </m:sub>
        </m:sSub>
        <m:r>
          <w:rPr>
            <w:rFonts w:ascii="Cambria Math" w:hAnsi="Cambria Math"/>
          </w:rPr>
          <m:t>=</m:t>
        </m:r>
        <m:r>
          <m:rPr>
            <m:nor/>
          </m:rPr>
          <w:rPr>
            <w:i/>
          </w:rPr>
          <m:t>2%</m:t>
        </m:r>
        <m:r>
          <w:rPr>
            <w:rFonts w:ascii="Cambria Math" w:hAnsi="Cambria Math"/>
          </w:rPr>
          <m:t>+</m:t>
        </m:r>
        <m:sSub>
          <m:sSubPr>
            <m:ctrlPr>
              <w:rPr>
                <w:rFonts w:ascii="Cambria Math" w:hAnsi="Cambria Math"/>
              </w:rPr>
            </m:ctrlPr>
          </m:sSubPr>
          <m:e>
            <m:r>
              <m:rPr>
                <m:nor/>
              </m:rPr>
              <w:rPr>
                <w:i/>
              </w:rPr>
              <m:t>π</m:t>
            </m:r>
          </m:e>
          <m:sub>
            <m:r>
              <m:rPr>
                <m:nor/>
              </m:rPr>
              <w:rPr>
                <w:i/>
              </w:rPr>
              <m:t>t</m:t>
            </m:r>
          </m:sub>
        </m:sSub>
        <m:r>
          <w:rPr>
            <w:rFonts w:ascii="Cambria Math" w:hAnsi="Cambria Math"/>
          </w:rPr>
          <m:t>+</m:t>
        </m:r>
        <m:r>
          <m:rPr>
            <m:nor/>
          </m:rPr>
          <w:rPr>
            <w:i/>
            <w:iCs/>
          </w:rPr>
          <m:t>0,5</m:t>
        </m:r>
        <m:r>
          <w:rPr>
            <w:rFonts w:ascii="Cambria Math" w:hAnsi="Cambria Math"/>
          </w:rPr>
          <m:t>∙</m:t>
        </m:r>
        <m:d>
          <m:dPr>
            <m:ctrlPr>
              <w:rPr>
                <w:rFonts w:ascii="Cambria Math" w:hAnsi="Cambria Math"/>
              </w:rPr>
            </m:ctrlPr>
          </m:dPr>
          <m:e>
            <m:sSub>
              <m:sSubPr>
                <m:ctrlPr>
                  <w:rPr>
                    <w:rFonts w:ascii="Cambria Math" w:hAnsi="Cambria Math"/>
                  </w:rPr>
                </m:ctrlPr>
              </m:sSubPr>
              <m:e>
                <m:r>
                  <m:rPr>
                    <m:nor/>
                  </m:rPr>
                  <w:rPr>
                    <w:i/>
                  </w:rPr>
                  <m:t>y</m:t>
                </m:r>
              </m:e>
              <m:sub>
                <m:r>
                  <m:rPr>
                    <m:nor/>
                  </m:rPr>
                  <w:rPr>
                    <w:i/>
                  </w:rPr>
                  <m:t>t</m:t>
                </m:r>
              </m:sub>
            </m:sSub>
            <m:r>
              <w:rPr>
                <w:rFonts w:ascii="Cambria Math" w:hAnsi="Cambria Math"/>
              </w:rPr>
              <m:t>-</m:t>
            </m:r>
            <m:r>
              <m:rPr>
                <m:nor/>
              </m:rPr>
              <w:rPr>
                <w:i/>
              </w:rPr>
              <m:t>y*</m:t>
            </m:r>
          </m:e>
        </m:d>
        <m:r>
          <w:rPr>
            <w:rFonts w:ascii="Cambria Math" w:hAnsi="Cambria Math"/>
          </w:rPr>
          <m:t>+</m:t>
        </m:r>
        <m:r>
          <m:rPr>
            <m:nor/>
          </m:rPr>
          <w:rPr>
            <w:i/>
            <w:iCs/>
          </w:rPr>
          <m:t>0,5</m:t>
        </m:r>
        <m:r>
          <w:rPr>
            <w:rFonts w:ascii="Cambria Math" w:hAnsi="Cambria Math"/>
          </w:rPr>
          <m:t>∙</m:t>
        </m:r>
        <m:d>
          <m:dPr>
            <m:ctrlPr>
              <w:rPr>
                <w:rFonts w:ascii="Cambria Math" w:hAnsi="Cambria Math"/>
              </w:rPr>
            </m:ctrlPr>
          </m:dPr>
          <m:e>
            <m:sSub>
              <m:sSubPr>
                <m:ctrlPr>
                  <w:rPr>
                    <w:rFonts w:ascii="Cambria Math" w:hAnsi="Cambria Math"/>
                  </w:rPr>
                </m:ctrlPr>
              </m:sSubPr>
              <m:e>
                <m:r>
                  <m:rPr>
                    <m:nor/>
                  </m:rPr>
                  <w:rPr>
                    <w:i/>
                  </w:rPr>
                  <m:t>π</m:t>
                </m:r>
              </m:e>
              <m:sub>
                <m:r>
                  <m:rPr>
                    <m:nor/>
                  </m:rPr>
                  <w:rPr>
                    <w:i/>
                  </w:rPr>
                  <m:t>t</m:t>
                </m:r>
              </m:sub>
            </m:sSub>
            <m:r>
              <w:rPr>
                <w:rFonts w:ascii="Cambria Math" w:hAnsi="Cambria Math"/>
              </w:rPr>
              <m:t>-</m:t>
            </m:r>
            <m:r>
              <m:rPr>
                <m:nor/>
              </m:rPr>
              <w:rPr>
                <w:i/>
              </w:rPr>
              <m:t>2%</m:t>
            </m:r>
          </m:e>
        </m:d>
      </m:oMath>
      <w:r>
        <w:rPr>
          <w:rFonts w:eastAsiaTheme="minorEastAsia"/>
        </w:rPr>
        <w:t>.</w:t>
      </w:r>
    </w:p>
    <w:p w14:paraId="6C0FC499" w14:textId="77777777" w:rsidR="00830096" w:rsidRPr="00DC2CD3" w:rsidRDefault="00830096" w:rsidP="00830096">
      <w:pPr>
        <w:pStyle w:val="Textonotapie"/>
      </w:pPr>
      <w:r>
        <w:rPr>
          <w:rFonts w:eastAsiaTheme="minorEastAsia"/>
        </w:rPr>
        <w:t xml:space="preserve">Es decir, </w:t>
      </w:r>
      <m:oMath>
        <m:sSub>
          <m:sSubPr>
            <m:ctrlPr>
              <w:rPr>
                <w:rFonts w:ascii="Cambria Math" w:hAnsi="Cambria Math"/>
                <w:i/>
                <w:iCs/>
              </w:rPr>
            </m:ctrlPr>
          </m:sSubPr>
          <m:e>
            <m:r>
              <m:rPr>
                <m:nor/>
              </m:rPr>
              <w:rPr>
                <w:i/>
                <w:iCs/>
                <w:lang w:val="fr-FR"/>
              </w:rPr>
              <m:t>ϕ</m:t>
            </m:r>
          </m:e>
          <m:sub>
            <m:r>
              <m:rPr>
                <m:nor/>
              </m:rPr>
              <w:rPr>
                <w:i/>
                <w:iCs/>
              </w:rPr>
              <m:t>π</m:t>
            </m:r>
          </m:sub>
        </m:sSub>
        <m:r>
          <w:rPr>
            <w:rFonts w:ascii="Cambria Math" w:hAnsi="Cambria Math"/>
          </w:rPr>
          <m:t>=</m:t>
        </m:r>
        <m:sSub>
          <m:sSubPr>
            <m:ctrlPr>
              <w:rPr>
                <w:rFonts w:ascii="Cambria Math" w:hAnsi="Cambria Math"/>
                <w:i/>
                <w:iCs/>
              </w:rPr>
            </m:ctrlPr>
          </m:sSubPr>
          <m:e>
            <m:r>
              <m:rPr>
                <m:nor/>
              </m:rPr>
              <w:rPr>
                <w:i/>
                <w:iCs/>
                <w:lang w:val="fr-FR"/>
              </w:rPr>
              <m:t>ϕ</m:t>
            </m:r>
          </m:e>
          <m:sub>
            <m:r>
              <m:rPr>
                <m:nor/>
              </m:rPr>
              <w:rPr>
                <w:i/>
                <w:iCs/>
              </w:rPr>
              <m:t>π</m:t>
            </m:r>
          </m:sub>
        </m:sSub>
        <m:r>
          <w:rPr>
            <w:rFonts w:ascii="Cambria Math" w:hAnsi="Cambria Math"/>
          </w:rPr>
          <m:t>=</m:t>
        </m:r>
        <m:r>
          <m:rPr>
            <m:nor/>
          </m:rPr>
          <w:rPr>
            <w:i/>
            <w:iCs/>
          </w:rPr>
          <m:t>0,5</m:t>
        </m:r>
      </m:oMath>
      <w:r>
        <w:rPr>
          <w:rFonts w:eastAsiaTheme="minorEastAsia"/>
          <w:iCs/>
        </w:rPr>
        <w:t xml:space="preserve"> y el objetivo de inflación y los tipos reales eran el 2 %.</w:t>
      </w:r>
    </w:p>
  </w:footnote>
  <w:footnote w:id="31">
    <w:p w14:paraId="33F608FC" w14:textId="77777777" w:rsidR="00830096" w:rsidRDefault="00830096" w:rsidP="00830096">
      <w:pPr>
        <w:pStyle w:val="Textonotapie"/>
      </w:pPr>
      <w:r>
        <w:rPr>
          <w:rStyle w:val="Refdenotaalpie"/>
        </w:rPr>
        <w:footnoteRef/>
      </w:r>
      <w:r>
        <w:t xml:space="preserve"> En el modelo canónico se suele usar una regla tipo Taylor modificada, incluyéndose un retardo del tipo nominal con el objeto de capturar el efecto suavización de los tipos de interés que caracteriza el diseño de la política monetaria en la era moderna.</w:t>
      </w:r>
    </w:p>
  </w:footnote>
  <w:footnote w:id="32">
    <w:p w14:paraId="00C37881" w14:textId="77777777" w:rsidR="00830096" w:rsidRPr="00F0313D" w:rsidRDefault="00830096" w:rsidP="00830096">
      <w:pPr>
        <w:pStyle w:val="Textonotapie"/>
        <w:rPr>
          <w:rFonts w:eastAsiaTheme="minorEastAsia"/>
          <w:iCs/>
          <w:spacing w:val="-4"/>
          <w:lang w:val="en-US"/>
        </w:rPr>
      </w:pPr>
      <w:r w:rsidRPr="00F0313D">
        <w:rPr>
          <w:rStyle w:val="Refdenotaalpie"/>
          <w:spacing w:val="-4"/>
        </w:rPr>
        <w:footnoteRef/>
      </w:r>
      <w:r w:rsidRPr="00F0313D">
        <w:rPr>
          <w:spacing w:val="-4"/>
        </w:rPr>
        <w:t xml:space="preserve"> Para evitar entrar en una región de indeterminación o de equilibrio múltiples debe satisfacerse el Principio de Taylor, de acuerdo al cual </w:t>
      </w:r>
      <m:oMath>
        <m:sSub>
          <m:sSubPr>
            <m:ctrlPr>
              <w:rPr>
                <w:rFonts w:ascii="Cambria Math" w:hAnsi="Cambria Math"/>
                <w:i/>
                <w:spacing w:val="-4"/>
              </w:rPr>
            </m:ctrlPr>
          </m:sSubPr>
          <m:e>
            <m:r>
              <m:rPr>
                <m:nor/>
              </m:rPr>
              <w:rPr>
                <w:i/>
                <w:spacing w:val="-4"/>
              </w:rPr>
              <m:t>i</m:t>
            </m:r>
          </m:e>
          <m:sub>
            <m:r>
              <m:rPr>
                <m:nor/>
              </m:rPr>
              <w:rPr>
                <w:i/>
                <w:spacing w:val="-4"/>
              </w:rPr>
              <m:t>t</m:t>
            </m:r>
          </m:sub>
        </m:sSub>
      </m:oMath>
      <w:r w:rsidRPr="00F0313D">
        <w:rPr>
          <w:rFonts w:eastAsiaTheme="minorEastAsia"/>
          <w:spacing w:val="-4"/>
        </w:rPr>
        <w:t xml:space="preserve"> debe reaccionar más que proporcionalmente ante desviaciones de la inflación con respecto a su nivel objetivo. </w:t>
      </w:r>
      <w:r w:rsidRPr="00F0313D">
        <w:rPr>
          <w:rFonts w:eastAsiaTheme="minorEastAsia"/>
          <w:spacing w:val="-4"/>
          <w:lang w:val="en-US"/>
        </w:rPr>
        <w:t xml:space="preserve">Es decir, debe cumplirse que </w:t>
      </w:r>
      <m:oMath>
        <m:r>
          <m:rPr>
            <m:nor/>
          </m:rPr>
          <w:rPr>
            <w:i/>
            <w:iCs/>
            <w:spacing w:val="-4"/>
            <w:lang w:val="fr-FR"/>
          </w:rPr>
          <m:t>ϕ</m:t>
        </m:r>
        <m:r>
          <w:rPr>
            <w:rFonts w:ascii="Cambria Math" w:hAnsi="Cambria Math"/>
            <w:spacing w:val="-4"/>
            <w:lang w:val="en-US"/>
          </w:rPr>
          <m:t>&gt;</m:t>
        </m:r>
        <m:r>
          <m:rPr>
            <m:nor/>
          </m:rPr>
          <w:rPr>
            <w:i/>
            <w:iCs/>
            <w:spacing w:val="-4"/>
            <w:lang w:val="en-US"/>
          </w:rPr>
          <m:t>1</m:t>
        </m:r>
      </m:oMath>
      <w:r w:rsidRPr="00F0313D">
        <w:rPr>
          <w:rFonts w:eastAsiaTheme="minorEastAsia"/>
          <w:iCs/>
          <w:spacing w:val="-4"/>
          <w:lang w:val="en-US"/>
        </w:rPr>
        <w:t>.</w:t>
      </w:r>
    </w:p>
    <w:p w14:paraId="65F28EE1" w14:textId="77777777" w:rsidR="00830096" w:rsidRDefault="00830096" w:rsidP="00830096">
      <w:pPr>
        <w:pStyle w:val="Textonotapie"/>
        <w:rPr>
          <w:lang w:val="en-US"/>
        </w:rPr>
      </w:pPr>
      <w:r w:rsidRPr="001508A3">
        <w:rPr>
          <w:lang w:val="en-US"/>
        </w:rPr>
        <w:t>The Taylor principle that the nominal interest rate should be raised more than point-for</w:t>
      </w:r>
      <w:r>
        <w:rPr>
          <w:lang w:val="en-US"/>
        </w:rPr>
        <w:t>-</w:t>
      </w:r>
      <w:r w:rsidRPr="001508A3">
        <w:rPr>
          <w:lang w:val="en-US"/>
        </w:rPr>
        <w:t>point when inflation rises, so that the real interest rate increases, has become a central tenet of monetary policy. Satisfying the Taylor principle is both necessary and sufficient for stabilizing inflation in a “textbook” model with an IS Curve, Phillips Curve, and Taylor rule, and is the dominant factor for determinacy of inflation in a model with a forward-looking IS Curve, a New Keynesian Phillips Curve, and a Taylor rule.</w:t>
      </w:r>
    </w:p>
    <w:p w14:paraId="2560396A" w14:textId="77777777" w:rsidR="00830096" w:rsidRDefault="00830096" w:rsidP="00830096">
      <w:pPr>
        <w:pStyle w:val="Textonotapie"/>
        <w:rPr>
          <w:lang w:val="en-US"/>
        </w:rPr>
      </w:pPr>
      <w:r w:rsidRPr="001508A3">
        <w:rPr>
          <w:lang w:val="en-US"/>
        </w:rPr>
        <w:t xml:space="preserve">The Taylor principle is embedded in the </w:t>
      </w:r>
      <w:r w:rsidRPr="00B43C80">
        <w:rPr>
          <w:smallCaps/>
          <w:lang w:val="en-US"/>
        </w:rPr>
        <w:t>Taylor</w:t>
      </w:r>
      <w:r w:rsidRPr="001508A3">
        <w:rPr>
          <w:lang w:val="en-US"/>
        </w:rPr>
        <w:t xml:space="preserve"> (1993) rule. According to the Taylor rule, the policy interest rate (the federal funds rate in the U.S.) equals the inflation rate plus 0.5 times the inflation gap</w:t>
      </w:r>
      <w:r>
        <w:rPr>
          <w:lang w:val="en-US"/>
        </w:rPr>
        <w:t xml:space="preserve"> (i.e.</w:t>
      </w:r>
      <w:r w:rsidRPr="001508A3">
        <w:rPr>
          <w:lang w:val="en-US"/>
        </w:rPr>
        <w:t xml:space="preserve"> inflation minus the target inflation rate</w:t>
      </w:r>
      <w:r>
        <w:rPr>
          <w:lang w:val="en-US"/>
        </w:rPr>
        <w:t>)</w:t>
      </w:r>
      <w:r w:rsidRPr="001508A3">
        <w:rPr>
          <w:lang w:val="en-US"/>
        </w:rPr>
        <w:t xml:space="preserve"> plus 0.5 times the output gap</w:t>
      </w:r>
      <w:r>
        <w:rPr>
          <w:lang w:val="en-US"/>
        </w:rPr>
        <w:t xml:space="preserve"> (i.e. </w:t>
      </w:r>
      <w:r w:rsidRPr="001508A3">
        <w:rPr>
          <w:lang w:val="en-US"/>
        </w:rPr>
        <w:t>the percentage difference between GDP and potential GDP</w:t>
      </w:r>
      <w:r>
        <w:rPr>
          <w:lang w:val="en-US"/>
        </w:rPr>
        <w:t>)</w:t>
      </w:r>
      <w:r w:rsidRPr="001508A3">
        <w:rPr>
          <w:lang w:val="en-US"/>
        </w:rPr>
        <w:t xml:space="preserve"> plus the equilibrium real interest rate.</w:t>
      </w:r>
    </w:p>
    <w:p w14:paraId="7787571E" w14:textId="77777777" w:rsidR="00830096" w:rsidRPr="00B43C80" w:rsidRDefault="00830096" w:rsidP="00830096">
      <w:pPr>
        <w:pStyle w:val="Textonotapie"/>
        <w:keepNext/>
        <w:spacing w:after="0"/>
        <w:rPr>
          <w:spacing w:val="-3"/>
          <w:lang w:val="en-US"/>
        </w:rPr>
      </w:pPr>
      <w:r w:rsidRPr="00B43C80">
        <w:rPr>
          <w:spacing w:val="-3"/>
          <w:lang w:val="en-US"/>
        </w:rPr>
        <w:t xml:space="preserve">With the target inflation rate and the equilibrium real interest rate both set equal to 2 %, the rule simplifies to the </w:t>
      </w:r>
      <w:r w:rsidRPr="00B43C80">
        <w:rPr>
          <w:i/>
          <w:iCs/>
          <w:spacing w:val="-3"/>
          <w:lang w:val="en-US"/>
        </w:rPr>
        <w:t>policy rate = 1 % + 1.5 * inflation + 0.5 * output gap</w:t>
      </w:r>
      <w:r w:rsidRPr="00B43C80">
        <w:rPr>
          <w:spacing w:val="-3"/>
          <w:lang w:val="en-US"/>
        </w:rPr>
        <w:t>. With the coefficient on inflation being greater than one, the Taylor rule necessarily satisfies the Taylor principle:</w:t>
      </w:r>
    </w:p>
    <w:p w14:paraId="1E262245" w14:textId="77777777" w:rsidR="00830096" w:rsidRPr="0015294A" w:rsidRDefault="00000000" w:rsidP="00830096">
      <w:pPr>
        <w:pStyle w:val="Textonotapie"/>
        <w:spacing w:after="0"/>
        <w:rPr>
          <w:rFonts w:eastAsiaTheme="minorEastAsia"/>
          <w:lang w:val="fr-FR"/>
        </w:rPr>
      </w:pPr>
      <m:oMathPara>
        <m:oMath>
          <m:sSub>
            <m:sSubPr>
              <m:ctrlPr>
                <w:rPr>
                  <w:rFonts w:ascii="Cambria Math" w:hAnsi="Cambria Math"/>
                </w:rPr>
              </m:ctrlPr>
            </m:sSubPr>
            <m:e>
              <m:r>
                <m:rPr>
                  <m:nor/>
                </m:rPr>
                <w:rPr>
                  <w:i/>
                  <w:lang w:val="fr-FR"/>
                </w:rPr>
                <m:t>i</m:t>
              </m:r>
            </m:e>
            <m:sub>
              <m:r>
                <m:rPr>
                  <m:nor/>
                </m:rPr>
                <w:rPr>
                  <w:i/>
                  <w:lang w:val="fr-FR"/>
                </w:rPr>
                <m:t>t</m:t>
              </m:r>
            </m:sub>
          </m:sSub>
          <m:r>
            <w:rPr>
              <w:rFonts w:ascii="Cambria Math" w:hAnsi="Cambria Math"/>
              <w:lang w:val="fr-FR"/>
            </w:rPr>
            <m:t>=</m:t>
          </m:r>
          <m:r>
            <m:rPr>
              <m:nor/>
            </m:rPr>
            <w:rPr>
              <w:i/>
              <w:lang w:val="fr-FR"/>
            </w:rPr>
            <m:t>2%</m:t>
          </m:r>
          <m:r>
            <w:rPr>
              <w:rFonts w:ascii="Cambria Math" w:hAnsi="Cambria Math"/>
              <w:lang w:val="fr-FR"/>
            </w:rPr>
            <m:t>+</m:t>
          </m:r>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y*</m:t>
              </m:r>
            </m:e>
          </m:d>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lang w:val="fr-FR"/>
                </w:rPr>
                <m:t>2%</m:t>
              </m:r>
            </m:e>
          </m:d>
          <m:r>
            <m:rPr>
              <m:sty m:val="p"/>
            </m:rPr>
            <w:rPr>
              <w:rFonts w:ascii="Cambria Math" w:hAnsi="Cambria Math"/>
              <w:lang w:val="fr-FR"/>
            </w:rPr>
            <w:br/>
          </m:r>
        </m:oMath>
        <m:oMath>
          <m:sSub>
            <m:sSubPr>
              <m:ctrlPr>
                <w:rPr>
                  <w:rFonts w:ascii="Cambria Math" w:hAnsi="Cambria Math"/>
                </w:rPr>
              </m:ctrlPr>
            </m:sSubPr>
            <m:e>
              <m:r>
                <m:rPr>
                  <m:nor/>
                </m:rPr>
                <w:rPr>
                  <w:i/>
                  <w:lang w:val="fr-FR"/>
                </w:rPr>
                <m:t>i</m:t>
              </m:r>
            </m:e>
            <m:sub>
              <m:r>
                <m:rPr>
                  <m:nor/>
                </m:rPr>
                <w:rPr>
                  <w:i/>
                  <w:lang w:val="fr-FR"/>
                </w:rPr>
                <m:t>t</m:t>
              </m:r>
            </m:sub>
          </m:sSub>
          <m:r>
            <w:rPr>
              <w:rFonts w:ascii="Cambria Math" w:hAnsi="Cambria Math"/>
              <w:lang w:val="fr-FR"/>
            </w:rPr>
            <m:t>=</m:t>
          </m:r>
          <m:r>
            <m:rPr>
              <m:nor/>
            </m:rPr>
            <w:rPr>
              <w:i/>
              <w:lang w:val="fr-FR"/>
            </w:rPr>
            <m:t>1%</m:t>
          </m:r>
          <m:r>
            <w:rPr>
              <w:rFonts w:ascii="Cambria Math" w:hAnsi="Cambria Math"/>
              <w:lang w:val="fr-FR"/>
            </w:rPr>
            <m:t>+</m:t>
          </m:r>
          <m:r>
            <m:rPr>
              <m:nor/>
            </m:rPr>
            <w:rPr>
              <w:i/>
              <w:iCs/>
              <w:lang w:val="fr-FR"/>
            </w:rPr>
            <m:t>1,5</m:t>
          </m:r>
          <m:r>
            <w:rPr>
              <w:rFonts w:ascii="Cambria Math" w:hAnsi="Cambria Math"/>
              <w:lang w:val="fr-FR"/>
            </w:rPr>
            <m:t>∙</m:t>
          </m:r>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y*</m:t>
              </m:r>
            </m:e>
          </m:d>
        </m:oMath>
      </m:oMathPara>
    </w:p>
    <w:p w14:paraId="37FD7B05" w14:textId="77777777" w:rsidR="00830096" w:rsidRPr="001508A3" w:rsidRDefault="00830096" w:rsidP="00830096">
      <w:pPr>
        <w:pStyle w:val="Textonotapie"/>
        <w:rPr>
          <w:rFonts w:eastAsiaTheme="minorEastAsia"/>
        </w:rPr>
      </w:pPr>
      <w:r>
        <w:rPr>
          <w:rFonts w:eastAsiaTheme="minorEastAsia"/>
        </w:rPr>
        <w:t xml:space="preserve">Las condiciones de determinación del equilibrio pueden ser realizadas mediante el método de </w:t>
      </w:r>
      <w:r w:rsidRPr="001508A3">
        <w:rPr>
          <w:rFonts w:eastAsiaTheme="minorEastAsia"/>
        </w:rPr>
        <w:t>Blanchard</w:t>
      </w:r>
      <w:r>
        <w:rPr>
          <w:rFonts w:eastAsiaTheme="minorEastAsia"/>
        </w:rPr>
        <w:t>-</w:t>
      </w:r>
      <w:r w:rsidRPr="001508A3">
        <w:rPr>
          <w:rFonts w:eastAsiaTheme="minorEastAsia"/>
        </w:rPr>
        <w:t>Kahn</w:t>
      </w:r>
      <w:r>
        <w:rPr>
          <w:rFonts w:eastAsiaTheme="minorEastAsia"/>
        </w:rPr>
        <w:t>.</w:t>
      </w:r>
    </w:p>
  </w:footnote>
  <w:footnote w:id="33">
    <w:p w14:paraId="12655360" w14:textId="77777777" w:rsidR="00830096" w:rsidRDefault="00830096" w:rsidP="00830096">
      <w:pPr>
        <w:pStyle w:val="Textonotapie"/>
      </w:pPr>
      <w:r>
        <w:rPr>
          <w:rStyle w:val="Refdenotaalpie"/>
        </w:rPr>
        <w:footnoteRef/>
      </w:r>
      <w:r>
        <w:t xml:space="preserve"> </w:t>
      </w:r>
      <w:r w:rsidRPr="00484B84">
        <w:t>En el modelo neokeynesiano canónico, la existencia de competencia monopolística implica que el salario real no queda determinado sólo por la productividad marginal, sino que depende también del margen, por lo que puede existir una divergencia entre la productividad marginal y el salario real</w:t>
      </w:r>
      <w:r>
        <w:t xml:space="preserve"> (</w:t>
      </w:r>
      <m:oMath>
        <m:f>
          <m:fPr>
            <m:type m:val="lin"/>
            <m:ctrlPr>
              <w:rPr>
                <w:rFonts w:ascii="Cambria Math" w:hAnsi="Cambria Math"/>
                <w:i/>
              </w:rPr>
            </m:ctrlPr>
          </m:fPr>
          <m:num>
            <m:r>
              <m:rPr>
                <m:nor/>
              </m:rPr>
              <w:rPr>
                <w:i/>
                <w:iCs/>
              </w:rPr>
              <m:t>∂F</m:t>
            </m:r>
          </m:num>
          <m:den>
            <m:r>
              <m:rPr>
                <m:nor/>
              </m:rPr>
              <w:rPr>
                <w:i/>
                <w:iCs/>
              </w:rPr>
              <m:t>∂</m:t>
            </m:r>
            <m:sSub>
              <m:sSubPr>
                <m:ctrlPr>
                  <w:rPr>
                    <w:rFonts w:ascii="Cambria Math" w:hAnsi="Cambria Math"/>
                    <w:i/>
                    <w:iCs/>
                  </w:rPr>
                </m:ctrlPr>
              </m:sSubPr>
              <m:e>
                <m:r>
                  <m:rPr>
                    <m:nor/>
                  </m:rPr>
                  <w:rPr>
                    <w:i/>
                    <w:iCs/>
                  </w:rPr>
                  <m:t>L</m:t>
                </m:r>
              </m:e>
              <m:sub>
                <m:r>
                  <m:rPr>
                    <m:nor/>
                  </m:rPr>
                  <w:rPr>
                    <w:i/>
                    <w:iCs/>
                  </w:rPr>
                  <m:t>t</m:t>
                </m:r>
              </m:sub>
            </m:sSub>
          </m:den>
        </m:f>
        <m:r>
          <w:rPr>
            <w:rFonts w:ascii="Cambria Math" w:hAnsi="Cambria Math"/>
          </w:rPr>
          <m:t>=</m:t>
        </m:r>
        <m:r>
          <m:rPr>
            <m:nor/>
          </m:rPr>
          <w:rPr>
            <w:i/>
          </w:rPr>
          <m:t>μ</m:t>
        </m:r>
        <m:r>
          <w:rPr>
            <w:rFonts w:ascii="Cambria Math" w:eastAsiaTheme="minorEastAsia" w:hAnsi="Cambria Math"/>
          </w:rPr>
          <m:t>∙</m:t>
        </m:r>
        <m:f>
          <m:fPr>
            <m:type m:val="lin"/>
            <m:ctrlPr>
              <w:rPr>
                <w:rFonts w:ascii="Cambria Math" w:hAnsi="Cambria Math"/>
                <w:i/>
              </w:rPr>
            </m:ctrlPr>
          </m:fPr>
          <m:num>
            <m:sSub>
              <m:sSubPr>
                <m:ctrlPr>
                  <w:rPr>
                    <w:rFonts w:ascii="Cambria Math" w:hAnsi="Cambria Math"/>
                    <w:i/>
                    <w:iCs/>
                  </w:rPr>
                </m:ctrlPr>
              </m:sSubPr>
              <m:e>
                <m:r>
                  <m:rPr>
                    <m:nor/>
                  </m:rPr>
                  <w:rPr>
                    <w:i/>
                    <w:iCs/>
                  </w:rPr>
                  <m:t>W</m:t>
                </m:r>
              </m:e>
              <m:sub>
                <m:r>
                  <m:rPr>
                    <m:nor/>
                  </m:rPr>
                  <w:rPr>
                    <w:i/>
                    <w:iCs/>
                  </w:rPr>
                  <m:t>t</m:t>
                </m:r>
              </m:sub>
            </m:sSub>
          </m:num>
          <m:den>
            <m:sSub>
              <m:sSubPr>
                <m:ctrlPr>
                  <w:rPr>
                    <w:rFonts w:ascii="Cambria Math" w:hAnsi="Cambria Math"/>
                    <w:i/>
                    <w:iCs/>
                  </w:rPr>
                </m:ctrlPr>
              </m:sSubPr>
              <m:e>
                <m:r>
                  <m:rPr>
                    <m:nor/>
                  </m:rPr>
                  <w:rPr>
                    <w:i/>
                    <w:iCs/>
                  </w:rPr>
                  <m:t>P</m:t>
                </m:r>
              </m:e>
              <m:sub>
                <m:r>
                  <m:rPr>
                    <m:nor/>
                  </m:rPr>
                  <w:rPr>
                    <w:i/>
                    <w:iCs/>
                  </w:rPr>
                  <m:t>t</m:t>
                </m:r>
              </m:sub>
            </m:sSub>
          </m:den>
        </m:f>
      </m:oMath>
      <w:r>
        <w:t>)</w:t>
      </w:r>
      <w:r w:rsidRPr="00484B84">
        <w:t>.</w:t>
      </w:r>
      <w:r>
        <w:t xml:space="preserve"> Por lo tanto, si ante expansiones de la demanda el margen se reduce, se mantendrá el equilibrio en el mercado de trabajo sin necesidad de que se reduzca el salario real. </w:t>
      </w:r>
      <w:r w:rsidRPr="00484B84">
        <w:t>La presencia de rigideces nominales de precios implica que, ante un incremento del coste marginal, los precios no podrán ajustarse en la misma proporción, por lo que el margen se reducirá (será contracíclico).</w:t>
      </w:r>
      <w:r>
        <w:t xml:space="preserve"> </w:t>
      </w:r>
      <w:r w:rsidRPr="00484B84">
        <w:t>Por lo tanto, si ante expansiones de la demanda el margen se reduce, se mantendrá equilibrio en el mercado de trabajo sin necesidad de que se reduzca el salario real.</w:t>
      </w:r>
    </w:p>
    <w:p w14:paraId="543C3435" w14:textId="77777777" w:rsidR="00830096" w:rsidRDefault="00830096" w:rsidP="00830096">
      <w:pPr>
        <w:pStyle w:val="Textonotapie"/>
      </w:pPr>
      <w:r w:rsidRPr="00484B84">
        <w:t>Así, ante una expansión del gasto público, las empresas elevarán su producción y su demanda de trabajo. El aumento de la demanda de trabajo podrá compensar la mayor oferta de trabajo generada por el efecto riqueza, produciéndose elevaciones de los salarios reales que compensarán parcialmente la caída del consumo por el efecto riqueza negativo.</w:t>
      </w:r>
    </w:p>
  </w:footnote>
  <w:footnote w:id="34">
    <w:p w14:paraId="24ABC726" w14:textId="77777777" w:rsidR="00830096" w:rsidRPr="00FA2D1C" w:rsidRDefault="00830096" w:rsidP="00830096">
      <w:pPr>
        <w:pStyle w:val="Textonotapie"/>
      </w:pPr>
      <w:r>
        <w:rPr>
          <w:rStyle w:val="Refdenotaalpie"/>
        </w:rPr>
        <w:footnoteRef/>
      </w:r>
      <w:r w:rsidRPr="00FA2D1C">
        <w:t xml:space="preserve"> Basta con consider</w:t>
      </w:r>
      <w:r>
        <w:t>a</w:t>
      </w:r>
      <w:r w:rsidRPr="00FA2D1C">
        <w:t>r que l</w:t>
      </w:r>
      <w:r>
        <w:t xml:space="preserve">as desviaciones respecto al estado estacionario se pueden aproximar por </w:t>
      </w:r>
      <m:oMath>
        <m:sSub>
          <m:sSubPr>
            <m:ctrlPr>
              <w:rPr>
                <w:rFonts w:ascii="Cambria Math" w:hAnsi="Cambria Math"/>
                <w:i/>
                <w:szCs w:val="16"/>
              </w:rPr>
            </m:ctrlPr>
          </m:sSubPr>
          <m:e>
            <m:r>
              <m:rPr>
                <m:nor/>
              </m:rPr>
              <w:rPr>
                <w:i/>
                <w:szCs w:val="16"/>
              </w:rPr>
              <m:t>y</m:t>
            </m:r>
          </m:e>
          <m:sub>
            <m:r>
              <m:rPr>
                <m:nor/>
              </m:rPr>
              <w:rPr>
                <w:i/>
                <w:szCs w:val="16"/>
              </w:rPr>
              <m:t>t</m:t>
            </m:r>
          </m:sub>
        </m:sSub>
        <m:r>
          <w:rPr>
            <w:rFonts w:ascii="Cambria Math" w:hAnsi="Cambria Math"/>
            <w:szCs w:val="16"/>
          </w:rPr>
          <m:t>≈</m:t>
        </m:r>
        <m:f>
          <m:fPr>
            <m:type m:val="lin"/>
            <m:ctrlPr>
              <w:rPr>
                <w:rFonts w:ascii="Cambria Math" w:hAnsi="Cambria Math"/>
                <w:i/>
                <w:szCs w:val="16"/>
              </w:rPr>
            </m:ctrlPr>
          </m:fPr>
          <m:num>
            <m:r>
              <m:rPr>
                <m:nor/>
              </m:rPr>
              <w:rPr>
                <w:i/>
                <w:szCs w:val="16"/>
              </w:rPr>
              <m:t>d</m:t>
            </m:r>
            <m:sSub>
              <m:sSubPr>
                <m:ctrlPr>
                  <w:rPr>
                    <w:rFonts w:ascii="Cambria Math" w:hAnsi="Cambria Math"/>
                    <w:i/>
                    <w:szCs w:val="16"/>
                  </w:rPr>
                </m:ctrlPr>
              </m:sSubPr>
              <m:e>
                <m:r>
                  <m:rPr>
                    <m:nor/>
                  </m:rPr>
                  <w:rPr>
                    <w:i/>
                    <w:szCs w:val="16"/>
                  </w:rPr>
                  <m:t>Y</m:t>
                </m:r>
              </m:e>
              <m:sub>
                <m:r>
                  <m:rPr>
                    <m:nor/>
                  </m:rPr>
                  <w:rPr>
                    <w:i/>
                    <w:szCs w:val="16"/>
                  </w:rPr>
                  <m:t>t</m:t>
                </m:r>
              </m:sub>
            </m:sSub>
          </m:num>
          <m:den>
            <m:sSup>
              <m:sSupPr>
                <m:ctrlPr>
                  <w:rPr>
                    <w:rFonts w:ascii="Cambria Math" w:hAnsi="Cambria Math"/>
                    <w:i/>
                    <w:szCs w:val="16"/>
                  </w:rPr>
                </m:ctrlPr>
              </m:sSupPr>
              <m:e>
                <m:r>
                  <m:rPr>
                    <m:nor/>
                  </m:rPr>
                  <w:rPr>
                    <w:i/>
                    <w:szCs w:val="16"/>
                  </w:rPr>
                  <m:t>y</m:t>
                </m:r>
              </m:e>
              <m:sup>
                <m:r>
                  <m:rPr>
                    <m:nor/>
                  </m:rPr>
                  <w:rPr>
                    <w:i/>
                    <w:szCs w:val="16"/>
                  </w:rPr>
                  <m:t>SS</m:t>
                </m:r>
              </m:sup>
            </m:sSup>
          </m:den>
        </m:f>
      </m:oMath>
    </w:p>
  </w:footnote>
  <w:footnote w:id="35">
    <w:p w14:paraId="6D03B3E0" w14:textId="77777777" w:rsidR="00830096" w:rsidRDefault="00830096" w:rsidP="00830096">
      <w:pPr>
        <w:pStyle w:val="Textonotapie"/>
      </w:pPr>
      <w:r>
        <w:rPr>
          <w:rStyle w:val="Refdenotaalpie"/>
        </w:rPr>
        <w:footnoteRef/>
      </w:r>
      <w:r>
        <w:t xml:space="preserve"> </w:t>
      </w:r>
      <w:r>
        <w:rPr>
          <w:smallCaps/>
        </w:rPr>
        <w:t>Galí</w:t>
      </w:r>
      <w:r>
        <w:t>, L</w:t>
      </w:r>
      <w:r>
        <w:rPr>
          <w:smallCaps/>
        </w:rPr>
        <w:t>ópez-Salido</w:t>
      </w:r>
      <w:r>
        <w:t xml:space="preserve"> y </w:t>
      </w:r>
      <w:r>
        <w:rPr>
          <w:smallCaps/>
        </w:rPr>
        <w:t>Vallés</w:t>
      </w:r>
      <w:r>
        <w:t xml:space="preserve"> (2007) plantean la existencia de restricciones de liquidez como mecanismo que puede amplificar los efectos expansivos de la política fiscal. Consideran un modelo neokeynesiano estándar con competencia monopolística y rigideces normales de precios e introducen la existencia de dos tipos de consumidores: ricardianos y no ricardianos. Los consumidores ricardianos tienen un comportamiento optimizador estándar y pueden tomar decisiones de inversión en capital físico y títulos de deuda pública, lo que les permite suavizar su consumo intertemporal. Por el contrario, los consumidores no ricardianos no pueden ahorrar o endeudarse debido a la existencia de restricciones de liquidez. Así, los consumidores no ricardianos en cada período dedicarán a consumo todos los ingresos salariales que reciban. Esto implica que ante una perturbación de gasto público no sufren un efecto riqueza negativo generado por un aumento de gasto público.</w:t>
      </w:r>
    </w:p>
    <w:p w14:paraId="4218859F" w14:textId="77777777" w:rsidR="00830096" w:rsidRPr="003F064D" w:rsidRDefault="00830096" w:rsidP="00830096">
      <w:pPr>
        <w:pStyle w:val="Textonotapie"/>
      </w:pPr>
      <w:r>
        <w:t xml:space="preserve">La existencia de competencia monopolística y de rigideces de precios hace que, como se ha visto, el salario real puede elevarse en respuesta a una perturbación política de gasto público. Así, un aumento del gasto público que eleve los salarios y el empleo incrementa la renta salarial de los consumidores no ricardianos que, dada la restricción de liquidez reaccionarán consumiendo más. De este modo, la interacción de rigideces de precios, competencia monopolística y consumidores no ricardianos hace que el consumo responda positivamente a las perturbaciones expansivas de gasto. </w:t>
      </w:r>
      <w:r>
        <w:rPr>
          <w:smallCaps/>
        </w:rPr>
        <w:t>Galí</w:t>
      </w:r>
      <w:r>
        <w:t xml:space="preserve"> </w:t>
      </w:r>
      <w:r>
        <w:rPr>
          <w:i/>
          <w:iCs/>
        </w:rPr>
        <w:t>et al.</w:t>
      </w:r>
      <w:r>
        <w:t xml:space="preserve"> (2007) muestran que es posible que el multiplicador del gasto sea mayor que uno para un determinado rango de porcentaje de consumidores no ricardianos de la economía.</w:t>
      </w:r>
    </w:p>
  </w:footnote>
  <w:footnote w:id="36">
    <w:p w14:paraId="41CAF84F" w14:textId="77777777" w:rsidR="00830096" w:rsidRPr="00FA2D1C" w:rsidRDefault="00830096" w:rsidP="00830096">
      <w:pPr>
        <w:pStyle w:val="Textonotapie"/>
      </w:pPr>
      <w:r>
        <w:rPr>
          <w:rStyle w:val="Refdenotaalpie"/>
        </w:rPr>
        <w:footnoteRef/>
      </w:r>
      <w:r w:rsidRPr="00FA2D1C">
        <w:t xml:space="preserve"> </w:t>
      </w:r>
      <w:hyperlink r:id="rId5" w:history="1">
        <w:r w:rsidRPr="00FA2D1C">
          <w:rPr>
            <w:rStyle w:val="Hipervnculo"/>
          </w:rPr>
          <w:t>https://www.economist.com/finance-and-economics/2020/05/28/the-legacy-of-alberto-alesina</w:t>
        </w:r>
      </w:hyperlink>
    </w:p>
  </w:footnote>
  <w:footnote w:id="37">
    <w:p w14:paraId="0C424F9F" w14:textId="747372D9" w:rsidR="000352DD" w:rsidRPr="000352DD" w:rsidRDefault="000352DD">
      <w:pPr>
        <w:pStyle w:val="Textonotapie"/>
      </w:pPr>
      <w:r>
        <w:rPr>
          <w:rStyle w:val="Refdenotaalpie"/>
        </w:rPr>
        <w:footnoteRef/>
      </w:r>
      <w:r w:rsidRPr="000352DD">
        <w:t xml:space="preserve"> </w:t>
      </w:r>
      <w:hyperlink r:id="rId6" w:history="1">
        <w:r w:rsidRPr="000352DD">
          <w:rPr>
            <w:rStyle w:val="Hipervnculo"/>
            <w:sz w:val="14"/>
            <w:szCs w:val="14"/>
          </w:rPr>
          <w:t>https://www.linkedin.com/pulse/hay-brecha-para-mayor-crecimiento-antonio-pulido-san-rom%C3%A1n/?trk=articles_directory&amp;originalSubdomain=es</w:t>
        </w:r>
      </w:hyperlink>
    </w:p>
  </w:footnote>
  <w:footnote w:id="38">
    <w:p w14:paraId="3A111DB2" w14:textId="77777777" w:rsidR="00815103" w:rsidRPr="000B1DFB" w:rsidRDefault="00815103" w:rsidP="00815103">
      <w:pPr>
        <w:pStyle w:val="Textonotapie"/>
        <w:keepNext/>
        <w:spacing w:after="0"/>
        <w:rPr>
          <w:spacing w:val="-4"/>
          <w:lang w:val="en-US"/>
        </w:rPr>
      </w:pPr>
      <w:r w:rsidRPr="000B1DFB">
        <w:rPr>
          <w:rStyle w:val="Refdenotaalpie"/>
        </w:rPr>
        <w:footnoteRef/>
      </w:r>
      <w:r w:rsidRPr="000B1DFB">
        <w:rPr>
          <w:spacing w:val="-4"/>
          <w:lang w:val="en-US"/>
        </w:rPr>
        <w:t xml:space="preserve"> And I am mindful as I think about this and it's hardly a conclusive consideration that if </w:t>
      </w:r>
      <w:r w:rsidRPr="000B1DFB">
        <w:rPr>
          <w:smallCaps/>
          <w:spacing w:val="-4"/>
          <w:lang w:val="en-US"/>
        </w:rPr>
        <w:t>Olivier</w:t>
      </w:r>
      <w:r w:rsidRPr="000B1DFB">
        <w:rPr>
          <w:spacing w:val="-4"/>
          <w:lang w:val="en-US"/>
        </w:rPr>
        <w:t xml:space="preserve"> </w:t>
      </w:r>
      <w:r w:rsidRPr="000B1DFB">
        <w:rPr>
          <w:smallCaps/>
          <w:spacing w:val="-4"/>
          <w:lang w:val="en-US"/>
        </w:rPr>
        <w:t>Blanchard</w:t>
      </w:r>
      <w:r w:rsidRPr="000B1DFB">
        <w:rPr>
          <w:spacing w:val="-4"/>
          <w:lang w:val="en-US"/>
        </w:rPr>
        <w:t xml:space="preserve"> and I were practicing economists in 1943, we would have for sure been worried deeply worried about </w:t>
      </w:r>
      <w:r w:rsidRPr="000B1DFB">
        <w:rPr>
          <w:i/>
          <w:iCs/>
          <w:spacing w:val="-4"/>
          <w:lang w:val="en-US"/>
        </w:rPr>
        <w:t>secular stagnation</w:t>
      </w:r>
      <w:r w:rsidRPr="000B1DFB">
        <w:rPr>
          <w:spacing w:val="-4"/>
          <w:lang w:val="en-US"/>
        </w:rPr>
        <w:t xml:space="preserve"> and a return to depression after the Second World War, because all the smart Keynesian economists were quite convinced that that was going to happen. And it proved to be wrong, in part because </w:t>
      </w:r>
      <w:r w:rsidRPr="000B1DFB">
        <w:rPr>
          <w:i/>
          <w:iCs/>
          <w:spacing w:val="-4"/>
          <w:lang w:val="en-US"/>
        </w:rPr>
        <w:t>the buildup of assets and the change in habits that took place during the Second World War proved to be more durable than people had expected</w:t>
      </w:r>
      <w:r w:rsidRPr="000B1DFB">
        <w:rPr>
          <w:spacing w:val="-4"/>
          <w:lang w:val="en-US"/>
        </w:rPr>
        <w:t xml:space="preserve">. And so I would be a little bit more skeptical about a return to secular stagnation. But again, I don't think </w:t>
      </w:r>
      <w:r w:rsidRPr="000B1DFB">
        <w:rPr>
          <w:smallCaps/>
          <w:spacing w:val="-4"/>
          <w:lang w:val="en-US"/>
        </w:rPr>
        <w:t>Olivier Blanchard</w:t>
      </w:r>
      <w:r w:rsidRPr="000B1DFB">
        <w:rPr>
          <w:spacing w:val="-4"/>
          <w:lang w:val="en-US"/>
        </w:rPr>
        <w:t xml:space="preserve"> and I are very far apart.</w:t>
      </w:r>
    </w:p>
    <w:p w14:paraId="3DAD0BC2" w14:textId="77777777" w:rsidR="00815103" w:rsidRPr="005B0050" w:rsidRDefault="00815103" w:rsidP="00815103">
      <w:pPr>
        <w:pStyle w:val="Textonotapie"/>
        <w:jc w:val="right"/>
      </w:pPr>
      <w:r w:rsidRPr="005B0050">
        <w:rPr>
          <w:smallCaps/>
        </w:rPr>
        <w:t>Lawrence Summers</w:t>
      </w:r>
      <w:r w:rsidRPr="005B0050">
        <w:t xml:space="preserv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2D41D7" w:rsidRPr="002D41D7" w14:paraId="5E255B89" w14:textId="77777777" w:rsidTr="00296791">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68AA402" w14:textId="41AC36A5" w:rsidR="00296791" w:rsidRPr="002D41D7" w:rsidRDefault="00296791" w:rsidP="00296791">
              <w:pPr>
                <w:pStyle w:val="Encabezado"/>
                <w:tabs>
                  <w:tab w:val="clear" w:pos="4252"/>
                  <w:tab w:val="clear" w:pos="8504"/>
                  <w:tab w:val="right" w:pos="924"/>
                  <w:tab w:val="center" w:pos="1310"/>
                </w:tabs>
                <w:spacing w:after="0"/>
                <w:contextualSpacing/>
                <w:rPr>
                  <w:i/>
                  <w:iCs/>
                  <w:color w:val="5F2987"/>
                  <w:sz w:val="18"/>
                  <w:szCs w:val="18"/>
                </w:rPr>
              </w:pPr>
              <w:r w:rsidRPr="002D41D7">
                <w:rPr>
                  <w:b/>
                  <w:bCs/>
                  <w:i/>
                  <w:iCs/>
                  <w:caps/>
                  <w:color w:val="5F2987"/>
                  <w:sz w:val="18"/>
                  <w:szCs w:val="18"/>
                </w:rPr>
                <w:t>4.B.5</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4FC2BC10" w14:textId="52602C66" w:rsidR="00296791" w:rsidRPr="002D41D7" w:rsidRDefault="00663156" w:rsidP="00296791">
              <w:pPr>
                <w:pStyle w:val="Encabezado"/>
                <w:spacing w:after="0"/>
                <w:ind w:right="-110"/>
                <w:contextualSpacing/>
                <w:jc w:val="center"/>
                <w:rPr>
                  <w:i/>
                  <w:iCs/>
                  <w:color w:val="5F2987"/>
                  <w:sz w:val="18"/>
                  <w:szCs w:val="18"/>
                </w:rPr>
              </w:pPr>
              <w:r>
                <w:rPr>
                  <w:i/>
                  <w:iCs/>
                  <w:color w:val="5F2987"/>
                  <w:sz w:val="18"/>
                  <w:szCs w:val="18"/>
                </w:rPr>
                <w:t>El presupuesto como elemento compensador de la actividad económica. Efectos discrecionales y automáticos del presupuesto. La medición del efecto macroeconómico del presupuesto.</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CB59BC2" w14:textId="5372F2E7" w:rsidR="00296791" w:rsidRPr="002D41D7" w:rsidRDefault="002D41D7" w:rsidP="00296791">
              <w:pPr>
                <w:pStyle w:val="Encabezado"/>
                <w:spacing w:after="0"/>
                <w:contextualSpacing/>
                <w:jc w:val="right"/>
                <w:rPr>
                  <w:b/>
                  <w:bCs/>
                  <w:i/>
                  <w:iCs/>
                  <w:color w:val="5F2987"/>
                  <w:spacing w:val="-6"/>
                  <w:sz w:val="18"/>
                  <w:szCs w:val="18"/>
                </w:rPr>
              </w:pPr>
              <w:r w:rsidRPr="002D41D7">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2D41D7" w:rsidRPr="002D41D7" w14:paraId="6A6AA0F3" w14:textId="77777777" w:rsidTr="00296791">
      <w:trPr>
        <w:trHeight w:val="136"/>
        <w:jc w:val="center"/>
      </w:trPr>
      <w:bookmarkStart w:id="150" w:name="_Hlk72149218" w:displacedByCustomXml="next"/>
      <w:sdt>
        <w:sdtPr>
          <w:rPr>
            <w:b/>
            <w:bCs/>
            <w:i/>
            <w:iCs/>
            <w:caps/>
            <w:color w:val="5F2987"/>
            <w:sz w:val="18"/>
            <w:szCs w:val="18"/>
          </w:rPr>
          <w:alias w:val="Title"/>
          <w:tag w:val=""/>
          <w:id w:val="-1753119931"/>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8F85489" w14:textId="27A98651" w:rsidR="00296791" w:rsidRPr="002D41D7" w:rsidRDefault="00296791" w:rsidP="00296791">
              <w:pPr>
                <w:pStyle w:val="Encabezado"/>
                <w:tabs>
                  <w:tab w:val="clear" w:pos="4252"/>
                  <w:tab w:val="clear" w:pos="8504"/>
                  <w:tab w:val="right" w:pos="924"/>
                  <w:tab w:val="center" w:pos="1310"/>
                </w:tabs>
                <w:spacing w:after="0"/>
                <w:contextualSpacing/>
                <w:rPr>
                  <w:i/>
                  <w:iCs/>
                  <w:color w:val="5F2987"/>
                  <w:sz w:val="18"/>
                  <w:szCs w:val="18"/>
                </w:rPr>
              </w:pPr>
              <w:r w:rsidRPr="002D41D7">
                <w:rPr>
                  <w:b/>
                  <w:bCs/>
                  <w:i/>
                  <w:iCs/>
                  <w:caps/>
                  <w:color w:val="5F2987"/>
                  <w:sz w:val="18"/>
                  <w:szCs w:val="18"/>
                </w:rPr>
                <w:t>4.B.5</w:t>
              </w:r>
            </w:p>
          </w:tc>
        </w:sdtContent>
      </w:sdt>
      <w:tc>
        <w:tcPr>
          <w:tcW w:w="7088" w:type="dxa"/>
          <w:vAlign w:val="center"/>
        </w:tcPr>
        <w:sdt>
          <w:sdtPr>
            <w:rPr>
              <w:i/>
              <w:iCs/>
              <w:color w:val="5F2987"/>
              <w:sz w:val="18"/>
              <w:szCs w:val="18"/>
            </w:rPr>
            <w:alias w:val="Subject"/>
            <w:tag w:val=""/>
            <w:id w:val="1091587183"/>
            <w:dataBinding w:prefixMappings="xmlns:ns0='http://purl.org/dc/elements/1.1/' xmlns:ns1='http://schemas.openxmlformats.org/package/2006/metadata/core-properties' " w:xpath="/ns1:coreProperties[1]/ns0:subject[1]" w:storeItemID="{6C3C8BC8-F283-45AE-878A-BAB7291924A1}"/>
            <w:text/>
          </w:sdtPr>
          <w:sdtContent>
            <w:p w14:paraId="29CFE277" w14:textId="250A3680" w:rsidR="00296791" w:rsidRPr="002D41D7" w:rsidRDefault="00663156" w:rsidP="00296791">
              <w:pPr>
                <w:pStyle w:val="Encabezado"/>
                <w:spacing w:after="0"/>
                <w:ind w:right="-110"/>
                <w:contextualSpacing/>
                <w:jc w:val="center"/>
                <w:rPr>
                  <w:i/>
                  <w:iCs/>
                  <w:color w:val="5F2987"/>
                  <w:sz w:val="18"/>
                  <w:szCs w:val="18"/>
                </w:rPr>
              </w:pPr>
              <w:r>
                <w:rPr>
                  <w:i/>
                  <w:iCs/>
                  <w:color w:val="5F2987"/>
                  <w:sz w:val="18"/>
                  <w:szCs w:val="18"/>
                </w:rPr>
                <w:t>El presupuesto como elemento compensador de la actividad económica. Efectos discrecionales y automáticos del presupuesto. La medición del efecto macroeconómico del presupuesto.</w:t>
              </w:r>
            </w:p>
          </w:sdtContent>
        </w:sdt>
      </w:tc>
      <w:sdt>
        <w:sdtPr>
          <w:rPr>
            <w:b/>
            <w:bCs/>
            <w:i/>
            <w:iCs/>
            <w:color w:val="5F2987"/>
            <w:spacing w:val="-6"/>
            <w:sz w:val="18"/>
            <w:szCs w:val="18"/>
          </w:rPr>
          <w:alias w:val="Author"/>
          <w:tag w:val=""/>
          <w:id w:val="-2077730969"/>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72FA8C7" w14:textId="42FD4B2D" w:rsidR="00296791" w:rsidRPr="002D41D7" w:rsidRDefault="002D41D7" w:rsidP="00296791">
              <w:pPr>
                <w:pStyle w:val="Encabezado"/>
                <w:spacing w:after="0"/>
                <w:contextualSpacing/>
                <w:jc w:val="right"/>
                <w:rPr>
                  <w:b/>
                  <w:bCs/>
                  <w:i/>
                  <w:iCs/>
                  <w:color w:val="5F2987"/>
                  <w:spacing w:val="-6"/>
                  <w:sz w:val="18"/>
                  <w:szCs w:val="18"/>
                </w:rPr>
              </w:pPr>
              <w:r w:rsidRPr="002D41D7">
                <w:rPr>
                  <w:b/>
                  <w:bCs/>
                  <w:i/>
                  <w:iCs/>
                  <w:color w:val="5F2987"/>
                  <w:spacing w:val="-6"/>
                  <w:sz w:val="18"/>
                  <w:szCs w:val="18"/>
                </w:rPr>
                <w:t>Víctor Gutiérrez Marcos</w:t>
              </w:r>
            </w:p>
          </w:tc>
        </w:sdtContent>
      </w:sdt>
    </w:tr>
    <w:bookmarkEnd w:id="150"/>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24" w:type="dxa"/>
      <w:tblInd w:w="-993" w:type="dxa"/>
      <w:tblBorders>
        <w:bottom w:val="single" w:sz="4" w:space="0" w:color="5F2987"/>
      </w:tblBorders>
      <w:tblLook w:val="04A0" w:firstRow="1" w:lastRow="0" w:firstColumn="1" w:lastColumn="0" w:noHBand="0" w:noVBand="1"/>
    </w:tblPr>
    <w:tblGrid>
      <w:gridCol w:w="3261"/>
      <w:gridCol w:w="4819"/>
      <w:gridCol w:w="3544"/>
    </w:tblGrid>
    <w:tr w:rsidR="00296791" w:rsidRPr="00296791" w14:paraId="7D947F50" w14:textId="77777777" w:rsidTr="00296791">
      <w:tc>
        <w:tcPr>
          <w:tcW w:w="3261" w:type="dxa"/>
          <w:tcBorders>
            <w:bottom w:val="thickThinSmallGap" w:sz="12" w:space="0" w:color="5F2987"/>
          </w:tcBorders>
        </w:tcPr>
        <w:p w14:paraId="57BBC9A1" w14:textId="71C5377F" w:rsidR="00296791" w:rsidRPr="00296791" w:rsidRDefault="00296791" w:rsidP="00296791">
          <w:pPr>
            <w:pStyle w:val="Encabezado"/>
            <w:spacing w:after="0"/>
            <w:jc w:val="left"/>
            <w:rPr>
              <w:i/>
              <w:iCs/>
              <w:color w:val="5F2987"/>
              <w:spacing w:val="-6"/>
              <w:sz w:val="18"/>
              <w:szCs w:val="18"/>
            </w:rPr>
          </w:pPr>
          <w:r w:rsidRPr="00296791">
            <w:rPr>
              <w:i/>
              <w:iCs/>
              <w:color w:val="5F2987"/>
              <w:spacing w:val="-6"/>
              <w:sz w:val="14"/>
              <w:szCs w:val="14"/>
            </w:rPr>
            <w:t>Fecha de la última actualización:</w:t>
          </w:r>
          <w:r w:rsidRPr="00296791">
            <w:rPr>
              <w:i/>
              <w:iCs/>
              <w:color w:val="5F2987"/>
              <w:spacing w:val="-6"/>
              <w:sz w:val="18"/>
              <w:szCs w:val="18"/>
            </w:rPr>
            <w:t xml:space="preserve"> </w:t>
          </w:r>
          <w:r w:rsidRPr="00296791">
            <w:rPr>
              <w:i/>
              <w:iCs/>
              <w:color w:val="5F2987"/>
              <w:spacing w:val="-6"/>
              <w:sz w:val="18"/>
              <w:szCs w:val="18"/>
            </w:rPr>
            <w:fldChar w:fldCharType="begin"/>
          </w:r>
          <w:r w:rsidRPr="00296791">
            <w:rPr>
              <w:i/>
              <w:iCs/>
              <w:color w:val="5F2987"/>
              <w:spacing w:val="-6"/>
              <w:sz w:val="18"/>
              <w:szCs w:val="18"/>
            </w:rPr>
            <w:instrText xml:space="preserve"> SAVEDATE  \@ "dd/MM/yyyy"  \* MERGEFORMAT </w:instrText>
          </w:r>
          <w:r w:rsidRPr="00296791">
            <w:rPr>
              <w:i/>
              <w:iCs/>
              <w:color w:val="5F2987"/>
              <w:spacing w:val="-6"/>
              <w:sz w:val="18"/>
              <w:szCs w:val="18"/>
            </w:rPr>
            <w:fldChar w:fldCharType="separate"/>
          </w:r>
          <w:r w:rsidR="001B0506">
            <w:rPr>
              <w:i/>
              <w:iCs/>
              <w:noProof/>
              <w:color w:val="5F2987"/>
              <w:spacing w:val="-6"/>
              <w:sz w:val="18"/>
              <w:szCs w:val="18"/>
            </w:rPr>
            <w:t>16/01/2026</w:t>
          </w:r>
          <w:r w:rsidRPr="00296791">
            <w:rPr>
              <w:i/>
              <w:iCs/>
              <w:color w:val="5F2987"/>
              <w:spacing w:val="-6"/>
              <w:sz w:val="18"/>
              <w:szCs w:val="18"/>
            </w:rPr>
            <w:fldChar w:fldCharType="end"/>
          </w:r>
        </w:p>
      </w:tc>
      <w:tc>
        <w:tcPr>
          <w:tcW w:w="4819" w:type="dxa"/>
          <w:tcBorders>
            <w:bottom w:val="thickThinSmallGap" w:sz="12" w:space="0" w:color="5F2987"/>
          </w:tcBorders>
        </w:tcPr>
        <w:p w14:paraId="5A330AA4" w14:textId="77777777" w:rsidR="00296791" w:rsidRPr="00296791" w:rsidRDefault="00296791" w:rsidP="00296791">
          <w:pPr>
            <w:pStyle w:val="Encabezado"/>
            <w:spacing w:after="0"/>
            <w:jc w:val="center"/>
            <w:rPr>
              <w:i/>
              <w:iCs/>
              <w:color w:val="5F2987"/>
              <w:spacing w:val="-6"/>
              <w:sz w:val="18"/>
              <w:szCs w:val="18"/>
            </w:rPr>
          </w:pPr>
          <w:r w:rsidRPr="00296791">
            <w:rPr>
              <w:i/>
              <w:iCs/>
              <w:color w:val="5F2987"/>
              <w:spacing w:val="-6"/>
              <w:sz w:val="18"/>
              <w:szCs w:val="18"/>
            </w:rPr>
            <w:t>Oposición a Técnico Comercial y Economista del Estado</w:t>
          </w:r>
        </w:p>
      </w:tc>
      <w:sdt>
        <w:sdtPr>
          <w:rPr>
            <w:i/>
            <w:iCs/>
            <w:color w:val="5F2987"/>
            <w:spacing w:val="-6"/>
            <w:sz w:val="18"/>
            <w:szCs w:val="18"/>
          </w:rPr>
          <w:alias w:val="Título"/>
          <w:tag w:val=""/>
          <w:id w:val="-432435049"/>
          <w:placeholder>
            <w:docPart w:val="258AF9C413B44D6B83DA2C5D454D8051"/>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732C17A8" w14:textId="388C5B26" w:rsidR="00296791" w:rsidRPr="00296791" w:rsidRDefault="00296791" w:rsidP="00296791">
              <w:pPr>
                <w:pStyle w:val="Encabezado"/>
                <w:spacing w:after="0"/>
                <w:jc w:val="right"/>
                <w:rPr>
                  <w:i/>
                  <w:iCs/>
                  <w:color w:val="5F2987"/>
                  <w:spacing w:val="-6"/>
                  <w:sz w:val="18"/>
                  <w:szCs w:val="18"/>
                </w:rPr>
              </w:pPr>
              <w:r w:rsidRPr="00296791">
                <w:rPr>
                  <w:i/>
                  <w:iCs/>
                  <w:color w:val="5F2987"/>
                  <w:spacing w:val="-6"/>
                  <w:sz w:val="18"/>
                  <w:szCs w:val="18"/>
                </w:rPr>
                <w:t>4.B.5</w:t>
              </w:r>
            </w:p>
          </w:tc>
        </w:sdtContent>
      </w:sdt>
    </w:tr>
  </w:tbl>
  <w:p w14:paraId="44E526DC" w14:textId="77777777" w:rsidR="00296791" w:rsidRPr="00C80BBD" w:rsidRDefault="00296791"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A36319"/>
    <w:multiLevelType w:val="hybridMultilevel"/>
    <w:tmpl w:val="6AD60CBA"/>
    <w:lvl w:ilvl="0" w:tplc="4A32B06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0EC003FB"/>
    <w:multiLevelType w:val="hybridMultilevel"/>
    <w:tmpl w:val="F8D23604"/>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0AC4767"/>
    <w:multiLevelType w:val="hybridMultilevel"/>
    <w:tmpl w:val="831E78B8"/>
    <w:lvl w:ilvl="0" w:tplc="7780DD2C">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37CCEC5C">
      <w:start w:val="1"/>
      <w:numFmt w:val="lowerRoman"/>
      <w:lvlText w:val="%3."/>
      <w:lvlJc w:val="right"/>
      <w:pPr>
        <w:ind w:left="2160" w:hanging="180"/>
      </w:pPr>
      <w:rPr>
        <w:i/>
        <w:iCs/>
      </w:rPr>
    </w:lvl>
    <w:lvl w:ilvl="3" w:tplc="0C0A000F">
      <w:start w:val="1"/>
      <w:numFmt w:val="decimal"/>
      <w:lvlText w:val="%4."/>
      <w:lvlJc w:val="left"/>
      <w:pPr>
        <w:ind w:left="2880" w:hanging="360"/>
      </w:pPr>
    </w:lvl>
    <w:lvl w:ilvl="4" w:tplc="85383A44">
      <w:start w:val="1"/>
      <w:numFmt w:val="lowerLetter"/>
      <w:lvlText w:val="%5)"/>
      <w:lvlJc w:val="left"/>
      <w:pPr>
        <w:ind w:left="3600" w:hanging="360"/>
      </w:pPr>
      <w:rPr>
        <w:rFonts w:hint="default"/>
        <w:i w:val="0"/>
        <w:iCs w:val="0"/>
      </w:rPr>
    </w:lvl>
    <w:lvl w:ilvl="5" w:tplc="D8D03654">
      <w:start w:val="1"/>
      <w:numFmt w:val="lowerRoman"/>
      <w:lvlText w:val="%6."/>
      <w:lvlJc w:val="right"/>
      <w:pPr>
        <w:ind w:left="4320" w:hanging="180"/>
      </w:pPr>
      <w:rPr>
        <w:i/>
        <w:iCs/>
      </w:rPr>
    </w:lvl>
    <w:lvl w:ilvl="6" w:tplc="F23ECD64">
      <w:start w:val="1"/>
      <w:numFmt w:val="bullet"/>
      <w:lvlText w:val="▫"/>
      <w:lvlJc w:val="left"/>
      <w:pPr>
        <w:ind w:left="5040" w:hanging="360"/>
      </w:pPr>
      <w:rPr>
        <w:rFonts w:ascii="Palatino Linotype" w:hAnsi="Palatino Linotype" w:hint="default"/>
      </w:r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6B609C2"/>
    <w:multiLevelType w:val="hybridMultilevel"/>
    <w:tmpl w:val="1528F2B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8"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9A50543"/>
    <w:multiLevelType w:val="hybridMultilevel"/>
    <w:tmpl w:val="326252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B2479C7"/>
    <w:multiLevelType w:val="hybridMultilevel"/>
    <w:tmpl w:val="5CEE78E6"/>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7B447FEE">
      <w:start w:val="1"/>
      <w:numFmt w:val="bullet"/>
      <w:lvlText w:val=""/>
      <w:lvlJc w:val="left"/>
      <w:pPr>
        <w:tabs>
          <w:tab w:val="num" w:pos="2160"/>
        </w:tabs>
        <w:ind w:left="2160" w:hanging="360"/>
      </w:pPr>
      <w:rPr>
        <w:rFonts w:ascii="Wingdings" w:hAnsi="Wingdings" w:hint="default"/>
        <w:lang w:val="es-ES"/>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B600AC"/>
    <w:multiLevelType w:val="hybridMultilevel"/>
    <w:tmpl w:val="68723BC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1DE34BF4"/>
    <w:multiLevelType w:val="hybridMultilevel"/>
    <w:tmpl w:val="8D6860A2"/>
    <w:lvl w:ilvl="0" w:tplc="B8CE5E8E">
      <w:numFmt w:val="bullet"/>
      <w:pStyle w:val="Primer"/>
      <w:lvlText w:val="-"/>
      <w:lvlJc w:val="left"/>
      <w:pPr>
        <w:ind w:left="502" w:hanging="360"/>
      </w:pPr>
      <w:rPr>
        <w:rFonts w:ascii="Times New Roman" w:eastAsia="Calibri" w:hAnsi="Times New Roman" w:cs="Times New Roman" w:hint="default"/>
      </w:rPr>
    </w:lvl>
    <w:lvl w:ilvl="1" w:tplc="9DE862A6">
      <w:numFmt w:val="bullet"/>
      <w:pStyle w:val="Segundo"/>
      <w:lvlText w:val="o"/>
      <w:lvlJc w:val="left"/>
      <w:pPr>
        <w:ind w:left="1920" w:hanging="360"/>
      </w:pPr>
      <w:rPr>
        <w:rFonts w:ascii="Courier New" w:hAnsi="Courier New" w:hint="default"/>
      </w:rPr>
    </w:lvl>
    <w:lvl w:ilvl="2" w:tplc="FFD42700">
      <w:start w:val="1"/>
      <w:numFmt w:val="decimal"/>
      <w:lvlText w:val="%3."/>
      <w:lvlJc w:val="left"/>
      <w:pPr>
        <w:ind w:left="5606" w:hanging="360"/>
      </w:pPr>
      <w:rPr>
        <w:rFonts w:ascii="Times New Roman" w:eastAsia="Calibri" w:hAnsi="Times New Roman" w:cs="Times New Roman" w:hint="default"/>
        <w:b w:val="0"/>
        <w:sz w:val="14"/>
        <w:szCs w:val="14"/>
      </w:rPr>
    </w:lvl>
    <w:lvl w:ilvl="3" w:tplc="0C0A0001">
      <w:start w:val="1"/>
      <w:numFmt w:val="bullet"/>
      <w:lvlText w:val=""/>
      <w:lvlJc w:val="left"/>
      <w:pPr>
        <w:ind w:left="2662" w:hanging="360"/>
      </w:pPr>
      <w:rPr>
        <w:rFonts w:ascii="Symbol" w:hAnsi="Symbol" w:hint="default"/>
      </w:rPr>
    </w:lvl>
    <w:lvl w:ilvl="4" w:tplc="98265502">
      <w:start w:val="1"/>
      <w:numFmt w:val="decimal"/>
      <w:lvlText w:val="%5."/>
      <w:lvlJc w:val="left"/>
      <w:pPr>
        <w:ind w:left="928" w:hanging="360"/>
      </w:pPr>
      <w:rPr>
        <w:rFonts w:hint="default"/>
        <w:b w:val="0"/>
        <w:u w:val="none"/>
      </w:rPr>
    </w:lvl>
    <w:lvl w:ilvl="5" w:tplc="0C0A0005">
      <w:start w:val="1"/>
      <w:numFmt w:val="bullet"/>
      <w:lvlText w:val=""/>
      <w:lvlJc w:val="left"/>
      <w:pPr>
        <w:ind w:left="4102" w:hanging="360"/>
      </w:pPr>
      <w:rPr>
        <w:rFonts w:ascii="Wingdings" w:hAnsi="Wingdings" w:hint="default"/>
      </w:rPr>
    </w:lvl>
    <w:lvl w:ilvl="6" w:tplc="B770E446">
      <w:start w:val="1"/>
      <w:numFmt w:val="lowerLetter"/>
      <w:pStyle w:val="Letras"/>
      <w:lvlText w:val="%7."/>
      <w:lvlJc w:val="left"/>
      <w:pPr>
        <w:ind w:left="2487" w:hanging="360"/>
      </w:pPr>
      <w:rPr>
        <w:rFonts w:hint="default"/>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23" w15:restartNumberingAfterBreak="0">
    <w:nsid w:val="1F8730AC"/>
    <w:multiLevelType w:val="hybridMultilevel"/>
    <w:tmpl w:val="F1B0A69C"/>
    <w:lvl w:ilvl="0" w:tplc="0B028EF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20742819"/>
    <w:multiLevelType w:val="hybridMultilevel"/>
    <w:tmpl w:val="505AF2D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654215F"/>
    <w:multiLevelType w:val="hybridMultilevel"/>
    <w:tmpl w:val="E13E91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31" w15:restartNumberingAfterBreak="0">
    <w:nsid w:val="286B5C80"/>
    <w:multiLevelType w:val="hybridMultilevel"/>
    <w:tmpl w:val="1C265BB6"/>
    <w:lvl w:ilvl="0" w:tplc="AFF61252">
      <w:start w:val="1"/>
      <w:numFmt w:val="decimal"/>
      <w:lvlText w:val="%1º."/>
      <w:lvlJc w:val="left"/>
      <w:pPr>
        <w:ind w:left="1931" w:hanging="360"/>
      </w:pPr>
      <w:rPr>
        <w:rFonts w:hint="default"/>
      </w:rPr>
    </w:lvl>
    <w:lvl w:ilvl="1" w:tplc="0C0A0019" w:tentative="1">
      <w:start w:val="1"/>
      <w:numFmt w:val="lowerLetter"/>
      <w:lvlText w:val="%2."/>
      <w:lvlJc w:val="left"/>
      <w:pPr>
        <w:ind w:left="2651" w:hanging="360"/>
      </w:pPr>
    </w:lvl>
    <w:lvl w:ilvl="2" w:tplc="0C0A001B" w:tentative="1">
      <w:start w:val="1"/>
      <w:numFmt w:val="lowerRoman"/>
      <w:lvlText w:val="%3."/>
      <w:lvlJc w:val="right"/>
      <w:pPr>
        <w:ind w:left="3371" w:hanging="180"/>
      </w:pPr>
    </w:lvl>
    <w:lvl w:ilvl="3" w:tplc="0C0A000F" w:tentative="1">
      <w:start w:val="1"/>
      <w:numFmt w:val="decimal"/>
      <w:lvlText w:val="%4."/>
      <w:lvlJc w:val="left"/>
      <w:pPr>
        <w:ind w:left="4091" w:hanging="360"/>
      </w:pPr>
    </w:lvl>
    <w:lvl w:ilvl="4" w:tplc="0C0A0019" w:tentative="1">
      <w:start w:val="1"/>
      <w:numFmt w:val="lowerLetter"/>
      <w:lvlText w:val="%5."/>
      <w:lvlJc w:val="left"/>
      <w:pPr>
        <w:ind w:left="4811" w:hanging="360"/>
      </w:pPr>
    </w:lvl>
    <w:lvl w:ilvl="5" w:tplc="0C0A001B" w:tentative="1">
      <w:start w:val="1"/>
      <w:numFmt w:val="lowerRoman"/>
      <w:lvlText w:val="%6."/>
      <w:lvlJc w:val="right"/>
      <w:pPr>
        <w:ind w:left="5531" w:hanging="180"/>
      </w:pPr>
    </w:lvl>
    <w:lvl w:ilvl="6" w:tplc="0C0A000F" w:tentative="1">
      <w:start w:val="1"/>
      <w:numFmt w:val="decimal"/>
      <w:lvlText w:val="%7."/>
      <w:lvlJc w:val="left"/>
      <w:pPr>
        <w:ind w:left="6251" w:hanging="360"/>
      </w:pPr>
    </w:lvl>
    <w:lvl w:ilvl="7" w:tplc="0C0A0019" w:tentative="1">
      <w:start w:val="1"/>
      <w:numFmt w:val="lowerLetter"/>
      <w:lvlText w:val="%8."/>
      <w:lvlJc w:val="left"/>
      <w:pPr>
        <w:ind w:left="6971" w:hanging="360"/>
      </w:pPr>
    </w:lvl>
    <w:lvl w:ilvl="8" w:tplc="0C0A001B" w:tentative="1">
      <w:start w:val="1"/>
      <w:numFmt w:val="lowerRoman"/>
      <w:lvlText w:val="%9."/>
      <w:lvlJc w:val="right"/>
      <w:pPr>
        <w:ind w:left="7691" w:hanging="180"/>
      </w:pPr>
    </w:lvl>
  </w:abstractNum>
  <w:abstractNum w:abstractNumId="32"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2C487448"/>
    <w:multiLevelType w:val="hybridMultilevel"/>
    <w:tmpl w:val="59BCF878"/>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2D293470"/>
    <w:multiLevelType w:val="multilevel"/>
    <w:tmpl w:val="E4901C82"/>
    <w:styleLink w:val="WW8Num17"/>
    <w:lvl w:ilvl="0">
      <w:numFmt w:val="bullet"/>
      <w:lvlText w:val=""/>
      <w:lvlJc w:val="left"/>
      <w:rPr>
        <w:rFonts w:ascii="Wingdings" w:hAnsi="Wingdings"/>
      </w:rPr>
    </w:lvl>
    <w:lvl w:ilvl="1">
      <w:numFmt w:val="bullet"/>
      <w:lvlText w:val=""/>
      <w:lvlJc w:val="left"/>
      <w:rPr>
        <w:rFonts w:ascii="Symbol" w:hAnsi="Symbol"/>
        <w:sz w:val="24"/>
      </w:rPr>
    </w:lvl>
    <w:lvl w:ilvl="2">
      <w:start w:val="1"/>
      <w:numFmt w:val="upperRoman"/>
      <w:lvlText w:val="%3."/>
      <w:lvlJc w:val="right"/>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2EA94FC0"/>
    <w:multiLevelType w:val="hybridMultilevel"/>
    <w:tmpl w:val="328219BA"/>
    <w:lvl w:ilvl="0" w:tplc="E64EED1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36E242D8"/>
    <w:multiLevelType w:val="hybridMultilevel"/>
    <w:tmpl w:val="D0F287F4"/>
    <w:lvl w:ilvl="0" w:tplc="46A6BF6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36F22274"/>
    <w:multiLevelType w:val="hybridMultilevel"/>
    <w:tmpl w:val="748A3B72"/>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91817F4"/>
    <w:multiLevelType w:val="hybridMultilevel"/>
    <w:tmpl w:val="7A708304"/>
    <w:lvl w:ilvl="0" w:tplc="9946BF48">
      <w:start w:val="1"/>
      <w:numFmt w:val="lowerRoman"/>
      <w:lvlText w:val="%1)"/>
      <w:lvlJc w:val="right"/>
      <w:pPr>
        <w:ind w:left="1080" w:hanging="720"/>
      </w:pPr>
      <w:rPr>
        <w:rFonts w:hint="default"/>
        <w:i/>
        <w:iCs/>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395362B2"/>
    <w:multiLevelType w:val="multilevel"/>
    <w:tmpl w:val="DC5A0D14"/>
    <w:lvl w:ilvl="0">
      <w:start w:val="1"/>
      <w:numFmt w:val="decimal"/>
      <w:pStyle w:val="Tercernive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211" w:hanging="36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571" w:hanging="720"/>
      </w:pPr>
      <w:rPr>
        <w:rFonts w:hint="default"/>
      </w:rPr>
    </w:lvl>
    <w:lvl w:ilvl="5">
      <w:start w:val="1"/>
      <w:numFmt w:val="decimal"/>
      <w:isLgl/>
      <w:lvlText w:val="%1.%2.%3.%4.%5.%6."/>
      <w:lvlJc w:val="left"/>
      <w:pPr>
        <w:ind w:left="1571" w:hanging="720"/>
      </w:pPr>
      <w:rPr>
        <w:rFonts w:hint="default"/>
      </w:rPr>
    </w:lvl>
    <w:lvl w:ilvl="6">
      <w:start w:val="1"/>
      <w:numFmt w:val="decimal"/>
      <w:isLgl/>
      <w:lvlText w:val="%1.%2.%3.%4.%5.%6.%7."/>
      <w:lvlJc w:val="left"/>
      <w:pPr>
        <w:ind w:left="1931" w:hanging="1080"/>
      </w:pPr>
      <w:rPr>
        <w:rFonts w:hint="default"/>
      </w:rPr>
    </w:lvl>
    <w:lvl w:ilvl="7">
      <w:start w:val="1"/>
      <w:numFmt w:val="decimal"/>
      <w:isLgl/>
      <w:lvlText w:val="%1.%2.%3.%4.%5.%6.%7.%8."/>
      <w:lvlJc w:val="left"/>
      <w:pPr>
        <w:ind w:left="1931" w:hanging="1080"/>
      </w:pPr>
      <w:rPr>
        <w:rFonts w:hint="default"/>
      </w:rPr>
    </w:lvl>
    <w:lvl w:ilvl="8">
      <w:start w:val="1"/>
      <w:numFmt w:val="decimal"/>
      <w:isLgl/>
      <w:lvlText w:val="%1.%2.%3.%4.%5.%6.%7.%8.%9."/>
      <w:lvlJc w:val="left"/>
      <w:pPr>
        <w:ind w:left="1931" w:hanging="1080"/>
      </w:pPr>
      <w:rPr>
        <w:rFonts w:hint="default"/>
      </w:rPr>
    </w:lvl>
  </w:abstractNum>
  <w:abstractNum w:abstractNumId="42" w15:restartNumberingAfterBreak="0">
    <w:nsid w:val="3C0D72C8"/>
    <w:multiLevelType w:val="hybridMultilevel"/>
    <w:tmpl w:val="7CDA4D80"/>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40246E8D"/>
    <w:multiLevelType w:val="hybridMultilevel"/>
    <w:tmpl w:val="BADE5510"/>
    <w:lvl w:ilvl="0" w:tplc="C3F075A8">
      <w:start w:val="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0FB7C1A"/>
    <w:multiLevelType w:val="multilevel"/>
    <w:tmpl w:val="0809001D"/>
    <w:numStyleLink w:val="Lista1"/>
  </w:abstractNum>
  <w:abstractNum w:abstractNumId="46" w15:restartNumberingAfterBreak="0">
    <w:nsid w:val="54F62FBF"/>
    <w:multiLevelType w:val="hybridMultilevel"/>
    <w:tmpl w:val="B0622EE8"/>
    <w:lvl w:ilvl="0" w:tplc="CA20E98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590439C"/>
    <w:multiLevelType w:val="hybridMultilevel"/>
    <w:tmpl w:val="D8F82E36"/>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8"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EE257E3"/>
    <w:multiLevelType w:val="hybridMultilevel"/>
    <w:tmpl w:val="340C17DC"/>
    <w:lvl w:ilvl="0" w:tplc="9AF4F196">
      <w:start w:val="1"/>
      <w:numFmt w:val="bullet"/>
      <w:lvlText w:val=""/>
      <w:lvlJc w:val="left"/>
      <w:pPr>
        <w:ind w:left="862" w:hanging="360"/>
      </w:pPr>
      <w:rPr>
        <w:rFonts w:ascii="Wingdings" w:hAnsi="Wingdings" w:hint="default"/>
      </w:rPr>
    </w:lvl>
    <w:lvl w:ilvl="1" w:tplc="0C0A0001">
      <w:start w:val="1"/>
      <w:numFmt w:val="bullet"/>
      <w:lvlText w:val=""/>
      <w:lvlJc w:val="left"/>
      <w:pPr>
        <w:ind w:left="1582" w:hanging="360"/>
      </w:pPr>
      <w:rPr>
        <w:rFonts w:ascii="Symbol" w:hAnsi="Symbol" w:hint="default"/>
      </w:rPr>
    </w:lvl>
    <w:lvl w:ilvl="2" w:tplc="0C0A0003">
      <w:start w:val="1"/>
      <w:numFmt w:val="bullet"/>
      <w:lvlText w:val="o"/>
      <w:lvlJc w:val="left"/>
      <w:pPr>
        <w:ind w:left="2302" w:hanging="360"/>
      </w:pPr>
      <w:rPr>
        <w:rFonts w:ascii="Courier New" w:hAnsi="Courier New" w:cs="Courier New" w:hint="default"/>
      </w:rPr>
    </w:lvl>
    <w:lvl w:ilvl="3" w:tplc="0C0A000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53" w15:restartNumberingAfterBreak="0">
    <w:nsid w:val="5FCC4DD2"/>
    <w:multiLevelType w:val="hybridMultilevel"/>
    <w:tmpl w:val="620017D0"/>
    <w:lvl w:ilvl="0" w:tplc="46AECF9E">
      <w:start w:val="1"/>
      <w:numFmt w:val="decimal"/>
      <w:lvlText w:val="%1)"/>
      <w:lvlJc w:val="righ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4" w15:restartNumberingAfterBreak="0">
    <w:nsid w:val="628E26DB"/>
    <w:multiLevelType w:val="hybridMultilevel"/>
    <w:tmpl w:val="C8588F5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5" w15:restartNumberingAfterBreak="0">
    <w:nsid w:val="636D0E5C"/>
    <w:multiLevelType w:val="hybridMultilevel"/>
    <w:tmpl w:val="118EB5E2"/>
    <w:lvl w:ilvl="0" w:tplc="E31C4A7E">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6"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64810199"/>
    <w:multiLevelType w:val="hybridMultilevel"/>
    <w:tmpl w:val="A58203DA"/>
    <w:lvl w:ilvl="0" w:tplc="3FAC120A">
      <w:start w:val="1"/>
      <w:numFmt w:val="lowerLetter"/>
      <w:lvlText w:val="%1."/>
      <w:lvlJc w:val="lef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651348BF"/>
    <w:multiLevelType w:val="hybridMultilevel"/>
    <w:tmpl w:val="A0E63C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15:restartNumberingAfterBreak="0">
    <w:nsid w:val="661D3A1F"/>
    <w:multiLevelType w:val="hybridMultilevel"/>
    <w:tmpl w:val="FFE6B88E"/>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1"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D704385"/>
    <w:multiLevelType w:val="hybridMultilevel"/>
    <w:tmpl w:val="F74EF5D8"/>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70D60538"/>
    <w:multiLevelType w:val="hybridMultilevel"/>
    <w:tmpl w:val="78E44974"/>
    <w:lvl w:ilvl="0" w:tplc="E8CC5CFC">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53C431A"/>
    <w:multiLevelType w:val="hybridMultilevel"/>
    <w:tmpl w:val="E794CB00"/>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67" w15:restartNumberingAfterBreak="0">
    <w:nsid w:val="759649DF"/>
    <w:multiLevelType w:val="hybridMultilevel"/>
    <w:tmpl w:val="BF5E004E"/>
    <w:lvl w:ilvl="0" w:tplc="97982B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 w15:restartNumberingAfterBreak="0">
    <w:nsid w:val="766D762E"/>
    <w:multiLevelType w:val="hybridMultilevel"/>
    <w:tmpl w:val="14D6A1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70"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573850605">
    <w:abstractNumId w:val="26"/>
  </w:num>
  <w:num w:numId="2" w16cid:durableId="1858228873">
    <w:abstractNumId w:val="32"/>
  </w:num>
  <w:num w:numId="3" w16cid:durableId="361637444">
    <w:abstractNumId w:val="20"/>
  </w:num>
  <w:num w:numId="4" w16cid:durableId="834758090">
    <w:abstractNumId w:val="13"/>
  </w:num>
  <w:num w:numId="5" w16cid:durableId="1132021172">
    <w:abstractNumId w:val="61"/>
  </w:num>
  <w:num w:numId="6" w16cid:durableId="1353412317">
    <w:abstractNumId w:val="10"/>
  </w:num>
  <w:num w:numId="7" w16cid:durableId="1851334731">
    <w:abstractNumId w:val="49"/>
  </w:num>
  <w:num w:numId="8" w16cid:durableId="45959421">
    <w:abstractNumId w:val="25"/>
  </w:num>
  <w:num w:numId="9" w16cid:durableId="1256329312">
    <w:abstractNumId w:val="34"/>
  </w:num>
  <w:num w:numId="10" w16cid:durableId="1425802125">
    <w:abstractNumId w:val="54"/>
  </w:num>
  <w:num w:numId="11" w16cid:durableId="1481844046">
    <w:abstractNumId w:val="22"/>
  </w:num>
  <w:num w:numId="12" w16cid:durableId="1651212188">
    <w:abstractNumId w:val="43"/>
  </w:num>
  <w:num w:numId="13" w16cid:durableId="1636518413">
    <w:abstractNumId w:val="42"/>
  </w:num>
  <w:num w:numId="14" w16cid:durableId="715660817">
    <w:abstractNumId w:val="41"/>
  </w:num>
  <w:num w:numId="15" w16cid:durableId="662900107">
    <w:abstractNumId w:val="31"/>
  </w:num>
  <w:num w:numId="16" w16cid:durableId="1362435527">
    <w:abstractNumId w:val="52"/>
  </w:num>
  <w:num w:numId="17" w16cid:durableId="6176883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640673">
    <w:abstractNumId w:val="63"/>
  </w:num>
  <w:num w:numId="19" w16cid:durableId="1586495991">
    <w:abstractNumId w:val="14"/>
  </w:num>
  <w:num w:numId="20" w16cid:durableId="2145542093">
    <w:abstractNumId w:val="65"/>
  </w:num>
  <w:num w:numId="21" w16cid:durableId="365447824">
    <w:abstractNumId w:val="71"/>
  </w:num>
  <w:num w:numId="22" w16cid:durableId="684749964">
    <w:abstractNumId w:val="70"/>
  </w:num>
  <w:num w:numId="23" w16cid:durableId="1779985561">
    <w:abstractNumId w:val="27"/>
  </w:num>
  <w:num w:numId="24" w16cid:durableId="1952081840">
    <w:abstractNumId w:val="51"/>
  </w:num>
  <w:num w:numId="25" w16cid:durableId="369376093">
    <w:abstractNumId w:val="29"/>
  </w:num>
  <w:num w:numId="26" w16cid:durableId="605621252">
    <w:abstractNumId w:val="45"/>
  </w:num>
  <w:num w:numId="27" w16cid:durableId="582639686">
    <w:abstractNumId w:val="60"/>
  </w:num>
  <w:num w:numId="28" w16cid:durableId="401832533">
    <w:abstractNumId w:val="30"/>
  </w:num>
  <w:num w:numId="29" w16cid:durableId="1395002889">
    <w:abstractNumId w:val="9"/>
  </w:num>
  <w:num w:numId="30" w16cid:durableId="644630370">
    <w:abstractNumId w:val="7"/>
  </w:num>
  <w:num w:numId="31" w16cid:durableId="883565725">
    <w:abstractNumId w:val="6"/>
  </w:num>
  <w:num w:numId="32" w16cid:durableId="1448113861">
    <w:abstractNumId w:val="5"/>
  </w:num>
  <w:num w:numId="33" w16cid:durableId="818035630">
    <w:abstractNumId w:val="4"/>
  </w:num>
  <w:num w:numId="34" w16cid:durableId="977030017">
    <w:abstractNumId w:val="8"/>
  </w:num>
  <w:num w:numId="35" w16cid:durableId="1791849992">
    <w:abstractNumId w:val="3"/>
  </w:num>
  <w:num w:numId="36" w16cid:durableId="1889998427">
    <w:abstractNumId w:val="2"/>
  </w:num>
  <w:num w:numId="37" w16cid:durableId="1440563286">
    <w:abstractNumId w:val="1"/>
  </w:num>
  <w:num w:numId="38" w16cid:durableId="1634561506">
    <w:abstractNumId w:val="0"/>
  </w:num>
  <w:num w:numId="39" w16cid:durableId="1186823296">
    <w:abstractNumId w:val="69"/>
  </w:num>
  <w:num w:numId="40" w16cid:durableId="439035349">
    <w:abstractNumId w:val="39"/>
  </w:num>
  <w:num w:numId="41" w16cid:durableId="591664992">
    <w:abstractNumId w:val="44"/>
  </w:num>
  <w:num w:numId="42" w16cid:durableId="7665390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6563761">
    <w:abstractNumId w:val="48"/>
  </w:num>
  <w:num w:numId="44" w16cid:durableId="317075395">
    <w:abstractNumId w:val="12"/>
  </w:num>
  <w:num w:numId="45" w16cid:durableId="2131628151">
    <w:abstractNumId w:val="18"/>
  </w:num>
  <w:num w:numId="46" w16cid:durableId="1658609858">
    <w:abstractNumId w:val="56"/>
  </w:num>
  <w:num w:numId="47" w16cid:durableId="44835557">
    <w:abstractNumId w:val="38"/>
  </w:num>
  <w:num w:numId="48" w16cid:durableId="379061268">
    <w:abstractNumId w:val="58"/>
  </w:num>
  <w:num w:numId="49" w16cid:durableId="457800298">
    <w:abstractNumId w:val="68"/>
  </w:num>
  <w:num w:numId="50" w16cid:durableId="184291193">
    <w:abstractNumId w:val="21"/>
  </w:num>
  <w:num w:numId="51" w16cid:durableId="1721322097">
    <w:abstractNumId w:val="57"/>
  </w:num>
  <w:num w:numId="52" w16cid:durableId="265619452">
    <w:abstractNumId w:val="36"/>
  </w:num>
  <w:num w:numId="53" w16cid:durableId="1870604192">
    <w:abstractNumId w:val="28"/>
  </w:num>
  <w:num w:numId="54" w16cid:durableId="1566179710">
    <w:abstractNumId w:val="15"/>
  </w:num>
  <w:num w:numId="55" w16cid:durableId="921916112">
    <w:abstractNumId w:val="12"/>
    <w:lvlOverride w:ilvl="0">
      <w:startOverride w:val="1"/>
    </w:lvlOverride>
  </w:num>
  <w:num w:numId="56" w16cid:durableId="1699240023">
    <w:abstractNumId w:val="64"/>
  </w:num>
  <w:num w:numId="57" w16cid:durableId="1341808599">
    <w:abstractNumId w:val="53"/>
  </w:num>
  <w:num w:numId="58" w16cid:durableId="197663118">
    <w:abstractNumId w:val="55"/>
  </w:num>
  <w:num w:numId="59" w16cid:durableId="320471713">
    <w:abstractNumId w:val="35"/>
  </w:num>
  <w:num w:numId="60" w16cid:durableId="174615594">
    <w:abstractNumId w:val="37"/>
  </w:num>
  <w:num w:numId="61" w16cid:durableId="1593050927">
    <w:abstractNumId w:val="24"/>
  </w:num>
  <w:num w:numId="62" w16cid:durableId="1981954538">
    <w:abstractNumId w:val="19"/>
  </w:num>
  <w:num w:numId="63" w16cid:durableId="148180020">
    <w:abstractNumId w:val="66"/>
  </w:num>
  <w:num w:numId="64" w16cid:durableId="1710564079">
    <w:abstractNumId w:val="47"/>
  </w:num>
  <w:num w:numId="65" w16cid:durableId="1794328598">
    <w:abstractNumId w:val="33"/>
  </w:num>
  <w:num w:numId="66" w16cid:durableId="140464178">
    <w:abstractNumId w:val="17"/>
  </w:num>
  <w:num w:numId="67" w16cid:durableId="167528459">
    <w:abstractNumId w:val="23"/>
  </w:num>
  <w:num w:numId="68" w16cid:durableId="1146898022">
    <w:abstractNumId w:val="50"/>
  </w:num>
  <w:num w:numId="69" w16cid:durableId="2118600709">
    <w:abstractNumId w:val="16"/>
  </w:num>
  <w:num w:numId="70" w16cid:durableId="955983795">
    <w:abstractNumId w:val="67"/>
  </w:num>
  <w:num w:numId="71" w16cid:durableId="1813327133">
    <w:abstractNumId w:val="59"/>
  </w:num>
  <w:num w:numId="72" w16cid:durableId="1556047347">
    <w:abstractNumId w:val="62"/>
  </w:num>
  <w:num w:numId="73" w16cid:durableId="1906185451">
    <w:abstractNumId w:val="46"/>
  </w:num>
  <w:num w:numId="74" w16cid:durableId="846288021">
    <w:abstractNumId w:val="11"/>
  </w:num>
  <w:num w:numId="75" w16cid:durableId="515114225">
    <w:abstractNumId w:val="40"/>
  </w:num>
  <w:num w:numId="76" w16cid:durableId="973752346">
    <w:abstractNumId w:val="7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DF9"/>
    <w:rsid w:val="00001448"/>
    <w:rsid w:val="0000166E"/>
    <w:rsid w:val="000016B5"/>
    <w:rsid w:val="000016E3"/>
    <w:rsid w:val="00001E3D"/>
    <w:rsid w:val="00002267"/>
    <w:rsid w:val="000023C4"/>
    <w:rsid w:val="00002A09"/>
    <w:rsid w:val="00002B76"/>
    <w:rsid w:val="00002E3A"/>
    <w:rsid w:val="00002EB6"/>
    <w:rsid w:val="000032B1"/>
    <w:rsid w:val="00003A25"/>
    <w:rsid w:val="00003E49"/>
    <w:rsid w:val="000040EA"/>
    <w:rsid w:val="00004264"/>
    <w:rsid w:val="00005005"/>
    <w:rsid w:val="000051EF"/>
    <w:rsid w:val="000053F9"/>
    <w:rsid w:val="00005501"/>
    <w:rsid w:val="00005F38"/>
    <w:rsid w:val="00005F55"/>
    <w:rsid w:val="00006470"/>
    <w:rsid w:val="0000663D"/>
    <w:rsid w:val="000066BD"/>
    <w:rsid w:val="000066C0"/>
    <w:rsid w:val="0000675F"/>
    <w:rsid w:val="00006E30"/>
    <w:rsid w:val="000076BF"/>
    <w:rsid w:val="000077E2"/>
    <w:rsid w:val="00007F0E"/>
    <w:rsid w:val="00010D0C"/>
    <w:rsid w:val="00011356"/>
    <w:rsid w:val="00012220"/>
    <w:rsid w:val="00012701"/>
    <w:rsid w:val="00012CD0"/>
    <w:rsid w:val="00013A71"/>
    <w:rsid w:val="00013BF9"/>
    <w:rsid w:val="000146D2"/>
    <w:rsid w:val="0001470D"/>
    <w:rsid w:val="00015630"/>
    <w:rsid w:val="0001569A"/>
    <w:rsid w:val="000157F5"/>
    <w:rsid w:val="0001583F"/>
    <w:rsid w:val="00015997"/>
    <w:rsid w:val="000160C9"/>
    <w:rsid w:val="000161D0"/>
    <w:rsid w:val="00016574"/>
    <w:rsid w:val="0001668B"/>
    <w:rsid w:val="00017700"/>
    <w:rsid w:val="00017B40"/>
    <w:rsid w:val="00017C10"/>
    <w:rsid w:val="0002076A"/>
    <w:rsid w:val="00020816"/>
    <w:rsid w:val="00021052"/>
    <w:rsid w:val="000214D2"/>
    <w:rsid w:val="00021719"/>
    <w:rsid w:val="00021872"/>
    <w:rsid w:val="000219B4"/>
    <w:rsid w:val="00021E32"/>
    <w:rsid w:val="00022463"/>
    <w:rsid w:val="00022923"/>
    <w:rsid w:val="00022B5C"/>
    <w:rsid w:val="000230C3"/>
    <w:rsid w:val="000233DD"/>
    <w:rsid w:val="0002361F"/>
    <w:rsid w:val="0002386C"/>
    <w:rsid w:val="0002394F"/>
    <w:rsid w:val="0002399C"/>
    <w:rsid w:val="00024095"/>
    <w:rsid w:val="00024146"/>
    <w:rsid w:val="000247D3"/>
    <w:rsid w:val="00024A80"/>
    <w:rsid w:val="00024CD1"/>
    <w:rsid w:val="0002514A"/>
    <w:rsid w:val="000254B1"/>
    <w:rsid w:val="0002599D"/>
    <w:rsid w:val="00025A5C"/>
    <w:rsid w:val="00025C78"/>
    <w:rsid w:val="0002613E"/>
    <w:rsid w:val="000267DC"/>
    <w:rsid w:val="00026E2C"/>
    <w:rsid w:val="000272EA"/>
    <w:rsid w:val="00027DD5"/>
    <w:rsid w:val="00030BE9"/>
    <w:rsid w:val="00030E22"/>
    <w:rsid w:val="0003115D"/>
    <w:rsid w:val="0003122B"/>
    <w:rsid w:val="00031709"/>
    <w:rsid w:val="000317B6"/>
    <w:rsid w:val="000319FC"/>
    <w:rsid w:val="00031D49"/>
    <w:rsid w:val="000322BC"/>
    <w:rsid w:val="000329E8"/>
    <w:rsid w:val="00032AA1"/>
    <w:rsid w:val="00032E0F"/>
    <w:rsid w:val="00032EA1"/>
    <w:rsid w:val="00032EC1"/>
    <w:rsid w:val="00032ECC"/>
    <w:rsid w:val="00033033"/>
    <w:rsid w:val="0003313A"/>
    <w:rsid w:val="000335BC"/>
    <w:rsid w:val="000352DD"/>
    <w:rsid w:val="00035FEC"/>
    <w:rsid w:val="00036EAA"/>
    <w:rsid w:val="00037286"/>
    <w:rsid w:val="000379B1"/>
    <w:rsid w:val="00037BA7"/>
    <w:rsid w:val="00040C13"/>
    <w:rsid w:val="000411AD"/>
    <w:rsid w:val="0004175F"/>
    <w:rsid w:val="00041803"/>
    <w:rsid w:val="000419AD"/>
    <w:rsid w:val="00041A01"/>
    <w:rsid w:val="00041B44"/>
    <w:rsid w:val="00041BFD"/>
    <w:rsid w:val="000421C1"/>
    <w:rsid w:val="000423AB"/>
    <w:rsid w:val="00042696"/>
    <w:rsid w:val="00042973"/>
    <w:rsid w:val="00042DAB"/>
    <w:rsid w:val="00043363"/>
    <w:rsid w:val="00043790"/>
    <w:rsid w:val="000439C9"/>
    <w:rsid w:val="00043AF6"/>
    <w:rsid w:val="00043B1C"/>
    <w:rsid w:val="00043E46"/>
    <w:rsid w:val="00043FA0"/>
    <w:rsid w:val="00044408"/>
    <w:rsid w:val="00044994"/>
    <w:rsid w:val="00044E0E"/>
    <w:rsid w:val="00044EEE"/>
    <w:rsid w:val="00045047"/>
    <w:rsid w:val="00045070"/>
    <w:rsid w:val="00045432"/>
    <w:rsid w:val="000455ED"/>
    <w:rsid w:val="000456D4"/>
    <w:rsid w:val="00045F40"/>
    <w:rsid w:val="00045FC7"/>
    <w:rsid w:val="00046774"/>
    <w:rsid w:val="00046894"/>
    <w:rsid w:val="00046989"/>
    <w:rsid w:val="00046E12"/>
    <w:rsid w:val="00046EBF"/>
    <w:rsid w:val="00046F0A"/>
    <w:rsid w:val="000472B2"/>
    <w:rsid w:val="00047596"/>
    <w:rsid w:val="00047F74"/>
    <w:rsid w:val="0005073C"/>
    <w:rsid w:val="000508D3"/>
    <w:rsid w:val="00051051"/>
    <w:rsid w:val="00051268"/>
    <w:rsid w:val="000515EB"/>
    <w:rsid w:val="00052224"/>
    <w:rsid w:val="00052539"/>
    <w:rsid w:val="00052E5A"/>
    <w:rsid w:val="0005333B"/>
    <w:rsid w:val="00053B06"/>
    <w:rsid w:val="00053C54"/>
    <w:rsid w:val="00053CEF"/>
    <w:rsid w:val="000541C3"/>
    <w:rsid w:val="000545A3"/>
    <w:rsid w:val="000549AD"/>
    <w:rsid w:val="00054CB3"/>
    <w:rsid w:val="0005534A"/>
    <w:rsid w:val="00056419"/>
    <w:rsid w:val="000567DF"/>
    <w:rsid w:val="0005681F"/>
    <w:rsid w:val="00056F79"/>
    <w:rsid w:val="000570D0"/>
    <w:rsid w:val="0005781B"/>
    <w:rsid w:val="0005794D"/>
    <w:rsid w:val="000601B9"/>
    <w:rsid w:val="000603B8"/>
    <w:rsid w:val="00060B47"/>
    <w:rsid w:val="00061379"/>
    <w:rsid w:val="00061865"/>
    <w:rsid w:val="0006187D"/>
    <w:rsid w:val="000621FB"/>
    <w:rsid w:val="00062326"/>
    <w:rsid w:val="00062584"/>
    <w:rsid w:val="00062667"/>
    <w:rsid w:val="00062B55"/>
    <w:rsid w:val="00062BB8"/>
    <w:rsid w:val="00063066"/>
    <w:rsid w:val="0006321F"/>
    <w:rsid w:val="000636A6"/>
    <w:rsid w:val="00063852"/>
    <w:rsid w:val="00063BC7"/>
    <w:rsid w:val="00064985"/>
    <w:rsid w:val="000649BE"/>
    <w:rsid w:val="00064AA9"/>
    <w:rsid w:val="00064F39"/>
    <w:rsid w:val="00065480"/>
    <w:rsid w:val="00065961"/>
    <w:rsid w:val="00065B51"/>
    <w:rsid w:val="00065F29"/>
    <w:rsid w:val="0006667F"/>
    <w:rsid w:val="00066999"/>
    <w:rsid w:val="00066AD2"/>
    <w:rsid w:val="00066DB4"/>
    <w:rsid w:val="00066EA5"/>
    <w:rsid w:val="000672F7"/>
    <w:rsid w:val="000675E4"/>
    <w:rsid w:val="0007015B"/>
    <w:rsid w:val="00070191"/>
    <w:rsid w:val="000705E3"/>
    <w:rsid w:val="00070AB1"/>
    <w:rsid w:val="00070C1B"/>
    <w:rsid w:val="000713E3"/>
    <w:rsid w:val="0007141A"/>
    <w:rsid w:val="00071619"/>
    <w:rsid w:val="0007194A"/>
    <w:rsid w:val="0007259E"/>
    <w:rsid w:val="000725F5"/>
    <w:rsid w:val="000745FB"/>
    <w:rsid w:val="0007480F"/>
    <w:rsid w:val="00074AAF"/>
    <w:rsid w:val="0007508F"/>
    <w:rsid w:val="000752E7"/>
    <w:rsid w:val="00076382"/>
    <w:rsid w:val="000764AD"/>
    <w:rsid w:val="00076B08"/>
    <w:rsid w:val="0007702B"/>
    <w:rsid w:val="00077730"/>
    <w:rsid w:val="00077DFE"/>
    <w:rsid w:val="00081B23"/>
    <w:rsid w:val="00082C9E"/>
    <w:rsid w:val="0008375E"/>
    <w:rsid w:val="00084408"/>
    <w:rsid w:val="00085177"/>
    <w:rsid w:val="00085FC9"/>
    <w:rsid w:val="0008688A"/>
    <w:rsid w:val="00086893"/>
    <w:rsid w:val="00087BA9"/>
    <w:rsid w:val="00090006"/>
    <w:rsid w:val="0009025A"/>
    <w:rsid w:val="00090893"/>
    <w:rsid w:val="00090C80"/>
    <w:rsid w:val="00091307"/>
    <w:rsid w:val="00091B66"/>
    <w:rsid w:val="00091DC2"/>
    <w:rsid w:val="00092BCC"/>
    <w:rsid w:val="00093754"/>
    <w:rsid w:val="00093C52"/>
    <w:rsid w:val="00094B2C"/>
    <w:rsid w:val="00094FE7"/>
    <w:rsid w:val="00095202"/>
    <w:rsid w:val="000954D2"/>
    <w:rsid w:val="00095C5E"/>
    <w:rsid w:val="00095D82"/>
    <w:rsid w:val="00095F6E"/>
    <w:rsid w:val="00096069"/>
    <w:rsid w:val="00096521"/>
    <w:rsid w:val="000968C5"/>
    <w:rsid w:val="00096944"/>
    <w:rsid w:val="00096C51"/>
    <w:rsid w:val="00096DFA"/>
    <w:rsid w:val="000974BE"/>
    <w:rsid w:val="000979F7"/>
    <w:rsid w:val="000A00F4"/>
    <w:rsid w:val="000A0126"/>
    <w:rsid w:val="000A022A"/>
    <w:rsid w:val="000A0643"/>
    <w:rsid w:val="000A12DC"/>
    <w:rsid w:val="000A16CE"/>
    <w:rsid w:val="000A1D85"/>
    <w:rsid w:val="000A27FB"/>
    <w:rsid w:val="000A280C"/>
    <w:rsid w:val="000A2927"/>
    <w:rsid w:val="000A30E0"/>
    <w:rsid w:val="000A312B"/>
    <w:rsid w:val="000A39AE"/>
    <w:rsid w:val="000A3D6F"/>
    <w:rsid w:val="000A3EEA"/>
    <w:rsid w:val="000A442B"/>
    <w:rsid w:val="000A454A"/>
    <w:rsid w:val="000A4833"/>
    <w:rsid w:val="000A4F35"/>
    <w:rsid w:val="000A5531"/>
    <w:rsid w:val="000A6437"/>
    <w:rsid w:val="000A6519"/>
    <w:rsid w:val="000A6DE8"/>
    <w:rsid w:val="000A6F27"/>
    <w:rsid w:val="000A6FA7"/>
    <w:rsid w:val="000A73E3"/>
    <w:rsid w:val="000A7DBE"/>
    <w:rsid w:val="000A7E52"/>
    <w:rsid w:val="000B0054"/>
    <w:rsid w:val="000B0096"/>
    <w:rsid w:val="000B0BAE"/>
    <w:rsid w:val="000B0C5D"/>
    <w:rsid w:val="000B11F8"/>
    <w:rsid w:val="000B15D8"/>
    <w:rsid w:val="000B1867"/>
    <w:rsid w:val="000B19FF"/>
    <w:rsid w:val="000B1C3E"/>
    <w:rsid w:val="000B1D8F"/>
    <w:rsid w:val="000B1E8A"/>
    <w:rsid w:val="000B2288"/>
    <w:rsid w:val="000B2526"/>
    <w:rsid w:val="000B30E2"/>
    <w:rsid w:val="000B3B89"/>
    <w:rsid w:val="000B3C7C"/>
    <w:rsid w:val="000B4627"/>
    <w:rsid w:val="000B4B3B"/>
    <w:rsid w:val="000B6069"/>
    <w:rsid w:val="000B6476"/>
    <w:rsid w:val="000B69FA"/>
    <w:rsid w:val="000B6FDB"/>
    <w:rsid w:val="000B7003"/>
    <w:rsid w:val="000B7180"/>
    <w:rsid w:val="000B7442"/>
    <w:rsid w:val="000B744C"/>
    <w:rsid w:val="000B7548"/>
    <w:rsid w:val="000C0074"/>
    <w:rsid w:val="000C025D"/>
    <w:rsid w:val="000C0260"/>
    <w:rsid w:val="000C13F2"/>
    <w:rsid w:val="000C1462"/>
    <w:rsid w:val="000C1523"/>
    <w:rsid w:val="000C1964"/>
    <w:rsid w:val="000C1DBE"/>
    <w:rsid w:val="000C1F56"/>
    <w:rsid w:val="000C2041"/>
    <w:rsid w:val="000C20FD"/>
    <w:rsid w:val="000C2166"/>
    <w:rsid w:val="000C253C"/>
    <w:rsid w:val="000C254C"/>
    <w:rsid w:val="000C2A73"/>
    <w:rsid w:val="000C3DC2"/>
    <w:rsid w:val="000C3FA8"/>
    <w:rsid w:val="000C4B4C"/>
    <w:rsid w:val="000C4FD1"/>
    <w:rsid w:val="000C56EF"/>
    <w:rsid w:val="000C5B4D"/>
    <w:rsid w:val="000C703F"/>
    <w:rsid w:val="000C762E"/>
    <w:rsid w:val="000C76CF"/>
    <w:rsid w:val="000C7AB9"/>
    <w:rsid w:val="000D010B"/>
    <w:rsid w:val="000D0FDC"/>
    <w:rsid w:val="000D1552"/>
    <w:rsid w:val="000D1796"/>
    <w:rsid w:val="000D18D7"/>
    <w:rsid w:val="000D22B3"/>
    <w:rsid w:val="000D22F9"/>
    <w:rsid w:val="000D2489"/>
    <w:rsid w:val="000D2E97"/>
    <w:rsid w:val="000D324F"/>
    <w:rsid w:val="000D3298"/>
    <w:rsid w:val="000D329E"/>
    <w:rsid w:val="000D3789"/>
    <w:rsid w:val="000D39E5"/>
    <w:rsid w:val="000D3C56"/>
    <w:rsid w:val="000D4047"/>
    <w:rsid w:val="000D509F"/>
    <w:rsid w:val="000D5122"/>
    <w:rsid w:val="000D5658"/>
    <w:rsid w:val="000D5D19"/>
    <w:rsid w:val="000D79D9"/>
    <w:rsid w:val="000D7B09"/>
    <w:rsid w:val="000D7FAC"/>
    <w:rsid w:val="000E04A6"/>
    <w:rsid w:val="000E0A01"/>
    <w:rsid w:val="000E0D36"/>
    <w:rsid w:val="000E0DCF"/>
    <w:rsid w:val="000E103D"/>
    <w:rsid w:val="000E1061"/>
    <w:rsid w:val="000E112F"/>
    <w:rsid w:val="000E1335"/>
    <w:rsid w:val="000E140A"/>
    <w:rsid w:val="000E144E"/>
    <w:rsid w:val="000E1949"/>
    <w:rsid w:val="000E1A81"/>
    <w:rsid w:val="000E23AA"/>
    <w:rsid w:val="000E23EA"/>
    <w:rsid w:val="000E3E9D"/>
    <w:rsid w:val="000E47C9"/>
    <w:rsid w:val="000E48DC"/>
    <w:rsid w:val="000E4F03"/>
    <w:rsid w:val="000E537D"/>
    <w:rsid w:val="000E56F9"/>
    <w:rsid w:val="000E599F"/>
    <w:rsid w:val="000E5A0A"/>
    <w:rsid w:val="000E5A42"/>
    <w:rsid w:val="000E5C13"/>
    <w:rsid w:val="000E6482"/>
    <w:rsid w:val="000E65E9"/>
    <w:rsid w:val="000E6621"/>
    <w:rsid w:val="000E666E"/>
    <w:rsid w:val="000E6F96"/>
    <w:rsid w:val="000E7029"/>
    <w:rsid w:val="000E70A6"/>
    <w:rsid w:val="000E7B38"/>
    <w:rsid w:val="000F022D"/>
    <w:rsid w:val="000F05E1"/>
    <w:rsid w:val="000F0914"/>
    <w:rsid w:val="000F0B43"/>
    <w:rsid w:val="000F12C9"/>
    <w:rsid w:val="000F12FD"/>
    <w:rsid w:val="000F1641"/>
    <w:rsid w:val="000F2147"/>
    <w:rsid w:val="000F23E0"/>
    <w:rsid w:val="000F41A6"/>
    <w:rsid w:val="000F51DA"/>
    <w:rsid w:val="000F5222"/>
    <w:rsid w:val="000F57A9"/>
    <w:rsid w:val="000F57CE"/>
    <w:rsid w:val="000F58E0"/>
    <w:rsid w:val="000F591C"/>
    <w:rsid w:val="000F595B"/>
    <w:rsid w:val="000F5E3F"/>
    <w:rsid w:val="000F6025"/>
    <w:rsid w:val="000F6E15"/>
    <w:rsid w:val="000F79E6"/>
    <w:rsid w:val="00100DE1"/>
    <w:rsid w:val="00100EDD"/>
    <w:rsid w:val="00101138"/>
    <w:rsid w:val="0010120D"/>
    <w:rsid w:val="00101A75"/>
    <w:rsid w:val="00101CA5"/>
    <w:rsid w:val="001025D7"/>
    <w:rsid w:val="001033DC"/>
    <w:rsid w:val="00103552"/>
    <w:rsid w:val="001039D3"/>
    <w:rsid w:val="00103C93"/>
    <w:rsid w:val="00103D0F"/>
    <w:rsid w:val="00103D94"/>
    <w:rsid w:val="00103FD3"/>
    <w:rsid w:val="00104262"/>
    <w:rsid w:val="00104428"/>
    <w:rsid w:val="00104A2E"/>
    <w:rsid w:val="00104A41"/>
    <w:rsid w:val="00105770"/>
    <w:rsid w:val="001061BE"/>
    <w:rsid w:val="001062F1"/>
    <w:rsid w:val="00106401"/>
    <w:rsid w:val="00106C24"/>
    <w:rsid w:val="00107791"/>
    <w:rsid w:val="00107C93"/>
    <w:rsid w:val="001100D5"/>
    <w:rsid w:val="00110A50"/>
    <w:rsid w:val="00110C5E"/>
    <w:rsid w:val="00110FE6"/>
    <w:rsid w:val="0011118B"/>
    <w:rsid w:val="001111EE"/>
    <w:rsid w:val="00111F70"/>
    <w:rsid w:val="001123A7"/>
    <w:rsid w:val="00112A64"/>
    <w:rsid w:val="00113181"/>
    <w:rsid w:val="001138C0"/>
    <w:rsid w:val="001138F3"/>
    <w:rsid w:val="00113926"/>
    <w:rsid w:val="00113C92"/>
    <w:rsid w:val="00113F74"/>
    <w:rsid w:val="0011405A"/>
    <w:rsid w:val="00114156"/>
    <w:rsid w:val="00114458"/>
    <w:rsid w:val="0011502D"/>
    <w:rsid w:val="001150C5"/>
    <w:rsid w:val="00115210"/>
    <w:rsid w:val="001152BD"/>
    <w:rsid w:val="00115B9C"/>
    <w:rsid w:val="00115FDC"/>
    <w:rsid w:val="001164CB"/>
    <w:rsid w:val="001168B8"/>
    <w:rsid w:val="00116B7B"/>
    <w:rsid w:val="001170B7"/>
    <w:rsid w:val="001176D2"/>
    <w:rsid w:val="001177C6"/>
    <w:rsid w:val="00117B8A"/>
    <w:rsid w:val="00120329"/>
    <w:rsid w:val="001204C9"/>
    <w:rsid w:val="001205E1"/>
    <w:rsid w:val="001207B3"/>
    <w:rsid w:val="00121126"/>
    <w:rsid w:val="0012126B"/>
    <w:rsid w:val="00121369"/>
    <w:rsid w:val="001218E6"/>
    <w:rsid w:val="001221B5"/>
    <w:rsid w:val="00122278"/>
    <w:rsid w:val="00122371"/>
    <w:rsid w:val="00122900"/>
    <w:rsid w:val="00122936"/>
    <w:rsid w:val="001231CE"/>
    <w:rsid w:val="00123AF0"/>
    <w:rsid w:val="00123AF7"/>
    <w:rsid w:val="00123B0A"/>
    <w:rsid w:val="001244FF"/>
    <w:rsid w:val="00124639"/>
    <w:rsid w:val="001247FA"/>
    <w:rsid w:val="001249B3"/>
    <w:rsid w:val="001249BE"/>
    <w:rsid w:val="00124E01"/>
    <w:rsid w:val="00125188"/>
    <w:rsid w:val="00125993"/>
    <w:rsid w:val="00125A75"/>
    <w:rsid w:val="00125B31"/>
    <w:rsid w:val="00125D43"/>
    <w:rsid w:val="00125D87"/>
    <w:rsid w:val="001260A9"/>
    <w:rsid w:val="001263B1"/>
    <w:rsid w:val="00126995"/>
    <w:rsid w:val="001269C5"/>
    <w:rsid w:val="00126B77"/>
    <w:rsid w:val="001272A3"/>
    <w:rsid w:val="001274F1"/>
    <w:rsid w:val="00127727"/>
    <w:rsid w:val="0012792C"/>
    <w:rsid w:val="00127935"/>
    <w:rsid w:val="00127D7D"/>
    <w:rsid w:val="00130361"/>
    <w:rsid w:val="001306CD"/>
    <w:rsid w:val="00131138"/>
    <w:rsid w:val="001312A7"/>
    <w:rsid w:val="001313B0"/>
    <w:rsid w:val="0013168E"/>
    <w:rsid w:val="00131782"/>
    <w:rsid w:val="00131D37"/>
    <w:rsid w:val="00131DCF"/>
    <w:rsid w:val="001320C8"/>
    <w:rsid w:val="001324E7"/>
    <w:rsid w:val="00132A10"/>
    <w:rsid w:val="00132AE3"/>
    <w:rsid w:val="00132CA4"/>
    <w:rsid w:val="00133991"/>
    <w:rsid w:val="00133B56"/>
    <w:rsid w:val="00133D52"/>
    <w:rsid w:val="00133F37"/>
    <w:rsid w:val="00134704"/>
    <w:rsid w:val="00134944"/>
    <w:rsid w:val="00134A8E"/>
    <w:rsid w:val="00134E18"/>
    <w:rsid w:val="001354B7"/>
    <w:rsid w:val="00135570"/>
    <w:rsid w:val="00135622"/>
    <w:rsid w:val="001356E5"/>
    <w:rsid w:val="0013573A"/>
    <w:rsid w:val="0013632D"/>
    <w:rsid w:val="00136690"/>
    <w:rsid w:val="00136C70"/>
    <w:rsid w:val="00136D23"/>
    <w:rsid w:val="0013706B"/>
    <w:rsid w:val="001373DE"/>
    <w:rsid w:val="00137705"/>
    <w:rsid w:val="00137C0D"/>
    <w:rsid w:val="00140734"/>
    <w:rsid w:val="00141130"/>
    <w:rsid w:val="00141AE8"/>
    <w:rsid w:val="00142095"/>
    <w:rsid w:val="001420AD"/>
    <w:rsid w:val="00142330"/>
    <w:rsid w:val="001424B9"/>
    <w:rsid w:val="00142BF8"/>
    <w:rsid w:val="00142EA4"/>
    <w:rsid w:val="0014336D"/>
    <w:rsid w:val="00143B41"/>
    <w:rsid w:val="00143F4A"/>
    <w:rsid w:val="00144545"/>
    <w:rsid w:val="00144DAA"/>
    <w:rsid w:val="0014577B"/>
    <w:rsid w:val="001459B6"/>
    <w:rsid w:val="00145BD6"/>
    <w:rsid w:val="00145E71"/>
    <w:rsid w:val="001463EC"/>
    <w:rsid w:val="001467B0"/>
    <w:rsid w:val="001468F2"/>
    <w:rsid w:val="00146924"/>
    <w:rsid w:val="00146ACA"/>
    <w:rsid w:val="00146D04"/>
    <w:rsid w:val="001475A1"/>
    <w:rsid w:val="00147934"/>
    <w:rsid w:val="00147EAD"/>
    <w:rsid w:val="00150090"/>
    <w:rsid w:val="001502A8"/>
    <w:rsid w:val="001504C0"/>
    <w:rsid w:val="00151742"/>
    <w:rsid w:val="0015199E"/>
    <w:rsid w:val="00151CA7"/>
    <w:rsid w:val="00152178"/>
    <w:rsid w:val="00152780"/>
    <w:rsid w:val="00153316"/>
    <w:rsid w:val="00153A67"/>
    <w:rsid w:val="00153F78"/>
    <w:rsid w:val="0015419A"/>
    <w:rsid w:val="0015430F"/>
    <w:rsid w:val="001545D6"/>
    <w:rsid w:val="00154EA1"/>
    <w:rsid w:val="00154EE3"/>
    <w:rsid w:val="00155144"/>
    <w:rsid w:val="00155472"/>
    <w:rsid w:val="001555E0"/>
    <w:rsid w:val="001558F1"/>
    <w:rsid w:val="00155B6D"/>
    <w:rsid w:val="00155D0A"/>
    <w:rsid w:val="00155EE2"/>
    <w:rsid w:val="00156641"/>
    <w:rsid w:val="001567CD"/>
    <w:rsid w:val="001569BA"/>
    <w:rsid w:val="00156EFF"/>
    <w:rsid w:val="00156F36"/>
    <w:rsid w:val="00156F90"/>
    <w:rsid w:val="001570D7"/>
    <w:rsid w:val="001577A2"/>
    <w:rsid w:val="00157C44"/>
    <w:rsid w:val="00157DE8"/>
    <w:rsid w:val="00157E61"/>
    <w:rsid w:val="00160011"/>
    <w:rsid w:val="00160023"/>
    <w:rsid w:val="00160061"/>
    <w:rsid w:val="00160698"/>
    <w:rsid w:val="00160842"/>
    <w:rsid w:val="00160CF7"/>
    <w:rsid w:val="00161146"/>
    <w:rsid w:val="00161869"/>
    <w:rsid w:val="0016190E"/>
    <w:rsid w:val="001633DA"/>
    <w:rsid w:val="001635D6"/>
    <w:rsid w:val="001639C2"/>
    <w:rsid w:val="00163DDF"/>
    <w:rsid w:val="00163E43"/>
    <w:rsid w:val="00164977"/>
    <w:rsid w:val="00164C6B"/>
    <w:rsid w:val="00164D68"/>
    <w:rsid w:val="00164E25"/>
    <w:rsid w:val="00164F52"/>
    <w:rsid w:val="001650FE"/>
    <w:rsid w:val="00165D98"/>
    <w:rsid w:val="00165EAD"/>
    <w:rsid w:val="00166379"/>
    <w:rsid w:val="00166877"/>
    <w:rsid w:val="00167AF7"/>
    <w:rsid w:val="00167DC8"/>
    <w:rsid w:val="00170321"/>
    <w:rsid w:val="001705BE"/>
    <w:rsid w:val="00171335"/>
    <w:rsid w:val="001714B6"/>
    <w:rsid w:val="00171FA8"/>
    <w:rsid w:val="00172068"/>
    <w:rsid w:val="001726B3"/>
    <w:rsid w:val="001727E7"/>
    <w:rsid w:val="00172AA1"/>
    <w:rsid w:val="00172D53"/>
    <w:rsid w:val="0017386A"/>
    <w:rsid w:val="00173968"/>
    <w:rsid w:val="00173D3A"/>
    <w:rsid w:val="0017427D"/>
    <w:rsid w:val="0017486E"/>
    <w:rsid w:val="00174A9E"/>
    <w:rsid w:val="001751AD"/>
    <w:rsid w:val="001757B8"/>
    <w:rsid w:val="001760B6"/>
    <w:rsid w:val="00176A0F"/>
    <w:rsid w:val="0017709E"/>
    <w:rsid w:val="0017722C"/>
    <w:rsid w:val="00177664"/>
    <w:rsid w:val="0017771E"/>
    <w:rsid w:val="00177836"/>
    <w:rsid w:val="001778CD"/>
    <w:rsid w:val="00177A61"/>
    <w:rsid w:val="00177D42"/>
    <w:rsid w:val="00180335"/>
    <w:rsid w:val="0018077D"/>
    <w:rsid w:val="001817E7"/>
    <w:rsid w:val="00181C36"/>
    <w:rsid w:val="00182034"/>
    <w:rsid w:val="00182462"/>
    <w:rsid w:val="00182AFD"/>
    <w:rsid w:val="00182CAE"/>
    <w:rsid w:val="00182F6F"/>
    <w:rsid w:val="00183427"/>
    <w:rsid w:val="00184D75"/>
    <w:rsid w:val="0018589E"/>
    <w:rsid w:val="00185ACE"/>
    <w:rsid w:val="00185B9F"/>
    <w:rsid w:val="0018673F"/>
    <w:rsid w:val="00186860"/>
    <w:rsid w:val="0018728D"/>
    <w:rsid w:val="001878DE"/>
    <w:rsid w:val="001906E2"/>
    <w:rsid w:val="00190D02"/>
    <w:rsid w:val="00190F33"/>
    <w:rsid w:val="0019127C"/>
    <w:rsid w:val="00191285"/>
    <w:rsid w:val="00191311"/>
    <w:rsid w:val="001913DF"/>
    <w:rsid w:val="00191492"/>
    <w:rsid w:val="00191928"/>
    <w:rsid w:val="00191B2D"/>
    <w:rsid w:val="0019287E"/>
    <w:rsid w:val="001930F3"/>
    <w:rsid w:val="00193CB3"/>
    <w:rsid w:val="00193D1A"/>
    <w:rsid w:val="00193F15"/>
    <w:rsid w:val="001953E5"/>
    <w:rsid w:val="00195400"/>
    <w:rsid w:val="001958A6"/>
    <w:rsid w:val="00195F6D"/>
    <w:rsid w:val="00196044"/>
    <w:rsid w:val="00196147"/>
    <w:rsid w:val="00196972"/>
    <w:rsid w:val="00196B4B"/>
    <w:rsid w:val="00196C5B"/>
    <w:rsid w:val="001971ED"/>
    <w:rsid w:val="00197282"/>
    <w:rsid w:val="001A03F7"/>
    <w:rsid w:val="001A0631"/>
    <w:rsid w:val="001A06D9"/>
    <w:rsid w:val="001A08B2"/>
    <w:rsid w:val="001A0CAC"/>
    <w:rsid w:val="001A0FD0"/>
    <w:rsid w:val="001A1790"/>
    <w:rsid w:val="001A1ABF"/>
    <w:rsid w:val="001A2253"/>
    <w:rsid w:val="001A25CD"/>
    <w:rsid w:val="001A2639"/>
    <w:rsid w:val="001A2719"/>
    <w:rsid w:val="001A281A"/>
    <w:rsid w:val="001A37B6"/>
    <w:rsid w:val="001A388D"/>
    <w:rsid w:val="001A45AD"/>
    <w:rsid w:val="001A4BB3"/>
    <w:rsid w:val="001A5E4B"/>
    <w:rsid w:val="001A6380"/>
    <w:rsid w:val="001A729F"/>
    <w:rsid w:val="001A771A"/>
    <w:rsid w:val="001A7844"/>
    <w:rsid w:val="001A7895"/>
    <w:rsid w:val="001A7B4D"/>
    <w:rsid w:val="001B0047"/>
    <w:rsid w:val="001B0506"/>
    <w:rsid w:val="001B074F"/>
    <w:rsid w:val="001B111A"/>
    <w:rsid w:val="001B15CC"/>
    <w:rsid w:val="001B161A"/>
    <w:rsid w:val="001B1FF4"/>
    <w:rsid w:val="001B22E1"/>
    <w:rsid w:val="001B23B4"/>
    <w:rsid w:val="001B26CF"/>
    <w:rsid w:val="001B2A55"/>
    <w:rsid w:val="001B2B5A"/>
    <w:rsid w:val="001B2BA5"/>
    <w:rsid w:val="001B3038"/>
    <w:rsid w:val="001B3172"/>
    <w:rsid w:val="001B34E9"/>
    <w:rsid w:val="001B416B"/>
    <w:rsid w:val="001B4D08"/>
    <w:rsid w:val="001B4E25"/>
    <w:rsid w:val="001B4E29"/>
    <w:rsid w:val="001B5466"/>
    <w:rsid w:val="001B5793"/>
    <w:rsid w:val="001B5CA5"/>
    <w:rsid w:val="001B5DDE"/>
    <w:rsid w:val="001B606A"/>
    <w:rsid w:val="001B6169"/>
    <w:rsid w:val="001B62D0"/>
    <w:rsid w:val="001B6488"/>
    <w:rsid w:val="001B65B0"/>
    <w:rsid w:val="001B6755"/>
    <w:rsid w:val="001B687A"/>
    <w:rsid w:val="001B6BFD"/>
    <w:rsid w:val="001B702F"/>
    <w:rsid w:val="001B742E"/>
    <w:rsid w:val="001B748C"/>
    <w:rsid w:val="001B7677"/>
    <w:rsid w:val="001B7C2F"/>
    <w:rsid w:val="001B7C46"/>
    <w:rsid w:val="001B7DF0"/>
    <w:rsid w:val="001B7E94"/>
    <w:rsid w:val="001B7FF9"/>
    <w:rsid w:val="001C00B4"/>
    <w:rsid w:val="001C031B"/>
    <w:rsid w:val="001C0940"/>
    <w:rsid w:val="001C0DC6"/>
    <w:rsid w:val="001C148A"/>
    <w:rsid w:val="001C17E9"/>
    <w:rsid w:val="001C18BE"/>
    <w:rsid w:val="001C1DC8"/>
    <w:rsid w:val="001C1F92"/>
    <w:rsid w:val="001C2234"/>
    <w:rsid w:val="001C2CAD"/>
    <w:rsid w:val="001C2EE4"/>
    <w:rsid w:val="001C3046"/>
    <w:rsid w:val="001C3385"/>
    <w:rsid w:val="001C3ACE"/>
    <w:rsid w:val="001C3D0B"/>
    <w:rsid w:val="001C3DB7"/>
    <w:rsid w:val="001C4500"/>
    <w:rsid w:val="001C4953"/>
    <w:rsid w:val="001C4C26"/>
    <w:rsid w:val="001C4C4C"/>
    <w:rsid w:val="001C535E"/>
    <w:rsid w:val="001C6141"/>
    <w:rsid w:val="001C6951"/>
    <w:rsid w:val="001C6C0A"/>
    <w:rsid w:val="001C7A20"/>
    <w:rsid w:val="001C7E0C"/>
    <w:rsid w:val="001D0578"/>
    <w:rsid w:val="001D155C"/>
    <w:rsid w:val="001D1DCD"/>
    <w:rsid w:val="001D22E5"/>
    <w:rsid w:val="001D2AD9"/>
    <w:rsid w:val="001D2E0E"/>
    <w:rsid w:val="001D2EA1"/>
    <w:rsid w:val="001D3DEB"/>
    <w:rsid w:val="001D4096"/>
    <w:rsid w:val="001D4865"/>
    <w:rsid w:val="001D4E9B"/>
    <w:rsid w:val="001D559C"/>
    <w:rsid w:val="001D6930"/>
    <w:rsid w:val="001D6A97"/>
    <w:rsid w:val="001D6C4C"/>
    <w:rsid w:val="001D6EA3"/>
    <w:rsid w:val="001D73D5"/>
    <w:rsid w:val="001D749C"/>
    <w:rsid w:val="001D7E6E"/>
    <w:rsid w:val="001E014D"/>
    <w:rsid w:val="001E0354"/>
    <w:rsid w:val="001E03FE"/>
    <w:rsid w:val="001E0479"/>
    <w:rsid w:val="001E065A"/>
    <w:rsid w:val="001E0910"/>
    <w:rsid w:val="001E11BE"/>
    <w:rsid w:val="001E1377"/>
    <w:rsid w:val="001E14A2"/>
    <w:rsid w:val="001E1A52"/>
    <w:rsid w:val="001E1DA3"/>
    <w:rsid w:val="001E2164"/>
    <w:rsid w:val="001E3D44"/>
    <w:rsid w:val="001E45E9"/>
    <w:rsid w:val="001E45FF"/>
    <w:rsid w:val="001E4DF4"/>
    <w:rsid w:val="001E57C2"/>
    <w:rsid w:val="001E5BBB"/>
    <w:rsid w:val="001E603D"/>
    <w:rsid w:val="001E6095"/>
    <w:rsid w:val="001E65E6"/>
    <w:rsid w:val="001E68C5"/>
    <w:rsid w:val="001E6E7B"/>
    <w:rsid w:val="001E7293"/>
    <w:rsid w:val="001E7465"/>
    <w:rsid w:val="001E7791"/>
    <w:rsid w:val="001E798B"/>
    <w:rsid w:val="001E7AF4"/>
    <w:rsid w:val="001E7BDD"/>
    <w:rsid w:val="001E7C03"/>
    <w:rsid w:val="001F00AD"/>
    <w:rsid w:val="001F0432"/>
    <w:rsid w:val="001F061D"/>
    <w:rsid w:val="001F0AD8"/>
    <w:rsid w:val="001F0FBD"/>
    <w:rsid w:val="001F0FC5"/>
    <w:rsid w:val="001F0FDC"/>
    <w:rsid w:val="001F1A15"/>
    <w:rsid w:val="001F1DF4"/>
    <w:rsid w:val="001F206A"/>
    <w:rsid w:val="001F262F"/>
    <w:rsid w:val="001F26F9"/>
    <w:rsid w:val="001F27C7"/>
    <w:rsid w:val="001F2EF2"/>
    <w:rsid w:val="001F3893"/>
    <w:rsid w:val="001F4189"/>
    <w:rsid w:val="001F4573"/>
    <w:rsid w:val="001F4889"/>
    <w:rsid w:val="001F4DDF"/>
    <w:rsid w:val="001F5178"/>
    <w:rsid w:val="001F525A"/>
    <w:rsid w:val="001F5592"/>
    <w:rsid w:val="001F57D9"/>
    <w:rsid w:val="001F5B49"/>
    <w:rsid w:val="001F5C43"/>
    <w:rsid w:val="001F5F42"/>
    <w:rsid w:val="001F6399"/>
    <w:rsid w:val="001F63C6"/>
    <w:rsid w:val="001F6FD1"/>
    <w:rsid w:val="001F6FE1"/>
    <w:rsid w:val="001F7170"/>
    <w:rsid w:val="001F737C"/>
    <w:rsid w:val="001F73CB"/>
    <w:rsid w:val="001F7896"/>
    <w:rsid w:val="002000AA"/>
    <w:rsid w:val="0020044B"/>
    <w:rsid w:val="002004F7"/>
    <w:rsid w:val="00200B0E"/>
    <w:rsid w:val="00200C78"/>
    <w:rsid w:val="00200DE2"/>
    <w:rsid w:val="00200E22"/>
    <w:rsid w:val="00200EFE"/>
    <w:rsid w:val="002011D7"/>
    <w:rsid w:val="00201240"/>
    <w:rsid w:val="002015C1"/>
    <w:rsid w:val="002015F2"/>
    <w:rsid w:val="002017A6"/>
    <w:rsid w:val="0020182E"/>
    <w:rsid w:val="00202384"/>
    <w:rsid w:val="00202B5D"/>
    <w:rsid w:val="00202FE3"/>
    <w:rsid w:val="0020322D"/>
    <w:rsid w:val="002035BB"/>
    <w:rsid w:val="00203E2F"/>
    <w:rsid w:val="00203F81"/>
    <w:rsid w:val="002042F4"/>
    <w:rsid w:val="00204B95"/>
    <w:rsid w:val="00204BCA"/>
    <w:rsid w:val="00204E5D"/>
    <w:rsid w:val="00205552"/>
    <w:rsid w:val="0020598B"/>
    <w:rsid w:val="002064AF"/>
    <w:rsid w:val="00206A8B"/>
    <w:rsid w:val="00206AB7"/>
    <w:rsid w:val="002070E9"/>
    <w:rsid w:val="00207B84"/>
    <w:rsid w:val="002103E5"/>
    <w:rsid w:val="00210A2B"/>
    <w:rsid w:val="00210B62"/>
    <w:rsid w:val="00210C97"/>
    <w:rsid w:val="00211AC4"/>
    <w:rsid w:val="00211E9D"/>
    <w:rsid w:val="00211F87"/>
    <w:rsid w:val="00212224"/>
    <w:rsid w:val="002129EF"/>
    <w:rsid w:val="00212E7B"/>
    <w:rsid w:val="0021349C"/>
    <w:rsid w:val="0021352E"/>
    <w:rsid w:val="00213604"/>
    <w:rsid w:val="00213694"/>
    <w:rsid w:val="00213A95"/>
    <w:rsid w:val="00213C4E"/>
    <w:rsid w:val="00213CE0"/>
    <w:rsid w:val="00214595"/>
    <w:rsid w:val="00214BD2"/>
    <w:rsid w:val="00214D29"/>
    <w:rsid w:val="00214E4A"/>
    <w:rsid w:val="002152E7"/>
    <w:rsid w:val="00215757"/>
    <w:rsid w:val="00215787"/>
    <w:rsid w:val="00215AA6"/>
    <w:rsid w:val="00215DD8"/>
    <w:rsid w:val="002165E0"/>
    <w:rsid w:val="00216792"/>
    <w:rsid w:val="00217336"/>
    <w:rsid w:val="0021737E"/>
    <w:rsid w:val="00217C4A"/>
    <w:rsid w:val="00217D77"/>
    <w:rsid w:val="00217DFD"/>
    <w:rsid w:val="00217EA2"/>
    <w:rsid w:val="002202ED"/>
    <w:rsid w:val="002204FC"/>
    <w:rsid w:val="00220558"/>
    <w:rsid w:val="0022093F"/>
    <w:rsid w:val="00221110"/>
    <w:rsid w:val="00221200"/>
    <w:rsid w:val="00221390"/>
    <w:rsid w:val="00221788"/>
    <w:rsid w:val="0022185E"/>
    <w:rsid w:val="00221E5A"/>
    <w:rsid w:val="00222140"/>
    <w:rsid w:val="002221E3"/>
    <w:rsid w:val="002226D7"/>
    <w:rsid w:val="00222879"/>
    <w:rsid w:val="002237C5"/>
    <w:rsid w:val="00223852"/>
    <w:rsid w:val="00223940"/>
    <w:rsid w:val="00224451"/>
    <w:rsid w:val="00225A4A"/>
    <w:rsid w:val="00225A8B"/>
    <w:rsid w:val="00226A1A"/>
    <w:rsid w:val="00226D92"/>
    <w:rsid w:val="0022753A"/>
    <w:rsid w:val="0022784E"/>
    <w:rsid w:val="00227A67"/>
    <w:rsid w:val="00227BD2"/>
    <w:rsid w:val="00227CEB"/>
    <w:rsid w:val="00227F49"/>
    <w:rsid w:val="0023047B"/>
    <w:rsid w:val="0023064E"/>
    <w:rsid w:val="0023072F"/>
    <w:rsid w:val="0023073A"/>
    <w:rsid w:val="00230A96"/>
    <w:rsid w:val="002310E7"/>
    <w:rsid w:val="00232273"/>
    <w:rsid w:val="002325C7"/>
    <w:rsid w:val="002325D0"/>
    <w:rsid w:val="00232977"/>
    <w:rsid w:val="0023328C"/>
    <w:rsid w:val="002334F9"/>
    <w:rsid w:val="00233538"/>
    <w:rsid w:val="00233CC7"/>
    <w:rsid w:val="00233F36"/>
    <w:rsid w:val="00233FF0"/>
    <w:rsid w:val="00234361"/>
    <w:rsid w:val="00235884"/>
    <w:rsid w:val="002366E4"/>
    <w:rsid w:val="00236D8B"/>
    <w:rsid w:val="00236ED0"/>
    <w:rsid w:val="0023712A"/>
    <w:rsid w:val="00237369"/>
    <w:rsid w:val="002373A2"/>
    <w:rsid w:val="00237495"/>
    <w:rsid w:val="00237599"/>
    <w:rsid w:val="0023792E"/>
    <w:rsid w:val="00237A1C"/>
    <w:rsid w:val="002401C4"/>
    <w:rsid w:val="00240471"/>
    <w:rsid w:val="00242152"/>
    <w:rsid w:val="0024217B"/>
    <w:rsid w:val="002422A9"/>
    <w:rsid w:val="002427F7"/>
    <w:rsid w:val="00242F80"/>
    <w:rsid w:val="0024324F"/>
    <w:rsid w:val="002436C1"/>
    <w:rsid w:val="002437DE"/>
    <w:rsid w:val="00244073"/>
    <w:rsid w:val="0024415A"/>
    <w:rsid w:val="002450CD"/>
    <w:rsid w:val="002450F9"/>
    <w:rsid w:val="002455EA"/>
    <w:rsid w:val="00245669"/>
    <w:rsid w:val="002460FB"/>
    <w:rsid w:val="00247220"/>
    <w:rsid w:val="002473B6"/>
    <w:rsid w:val="00247C23"/>
    <w:rsid w:val="00250B87"/>
    <w:rsid w:val="0025135D"/>
    <w:rsid w:val="002513D1"/>
    <w:rsid w:val="0025205A"/>
    <w:rsid w:val="0025207F"/>
    <w:rsid w:val="00252362"/>
    <w:rsid w:val="002536A4"/>
    <w:rsid w:val="00253F2E"/>
    <w:rsid w:val="0025411D"/>
    <w:rsid w:val="002542B0"/>
    <w:rsid w:val="00254A2E"/>
    <w:rsid w:val="00254C0E"/>
    <w:rsid w:val="00255325"/>
    <w:rsid w:val="002558DE"/>
    <w:rsid w:val="00255BDA"/>
    <w:rsid w:val="002562DB"/>
    <w:rsid w:val="00256AD7"/>
    <w:rsid w:val="00256D5F"/>
    <w:rsid w:val="00256E4B"/>
    <w:rsid w:val="00257085"/>
    <w:rsid w:val="00257F09"/>
    <w:rsid w:val="00260022"/>
    <w:rsid w:val="002600A5"/>
    <w:rsid w:val="002606E7"/>
    <w:rsid w:val="0026094A"/>
    <w:rsid w:val="00260E78"/>
    <w:rsid w:val="00260FA5"/>
    <w:rsid w:val="0026124E"/>
    <w:rsid w:val="00261919"/>
    <w:rsid w:val="00261A24"/>
    <w:rsid w:val="00261DF2"/>
    <w:rsid w:val="00261EF5"/>
    <w:rsid w:val="00262572"/>
    <w:rsid w:val="0026300C"/>
    <w:rsid w:val="002635F6"/>
    <w:rsid w:val="0026432D"/>
    <w:rsid w:val="002643D9"/>
    <w:rsid w:val="00264633"/>
    <w:rsid w:val="00264CB8"/>
    <w:rsid w:val="00264F4B"/>
    <w:rsid w:val="00265E3F"/>
    <w:rsid w:val="0026611F"/>
    <w:rsid w:val="00266A7E"/>
    <w:rsid w:val="00266C46"/>
    <w:rsid w:val="002671E8"/>
    <w:rsid w:val="00267369"/>
    <w:rsid w:val="00267E3F"/>
    <w:rsid w:val="00270597"/>
    <w:rsid w:val="00270602"/>
    <w:rsid w:val="002709BD"/>
    <w:rsid w:val="00270FAD"/>
    <w:rsid w:val="002717E7"/>
    <w:rsid w:val="00271E4F"/>
    <w:rsid w:val="002720CC"/>
    <w:rsid w:val="00272AD7"/>
    <w:rsid w:val="002730E8"/>
    <w:rsid w:val="002733B8"/>
    <w:rsid w:val="00273840"/>
    <w:rsid w:val="00273BCD"/>
    <w:rsid w:val="00273F89"/>
    <w:rsid w:val="00273FD8"/>
    <w:rsid w:val="0027423C"/>
    <w:rsid w:val="002753A9"/>
    <w:rsid w:val="00275844"/>
    <w:rsid w:val="00275C40"/>
    <w:rsid w:val="00275D1F"/>
    <w:rsid w:val="00275DAE"/>
    <w:rsid w:val="00275F17"/>
    <w:rsid w:val="0027631D"/>
    <w:rsid w:val="002764BB"/>
    <w:rsid w:val="002764EC"/>
    <w:rsid w:val="00276A31"/>
    <w:rsid w:val="00277B20"/>
    <w:rsid w:val="00277BC3"/>
    <w:rsid w:val="0028039A"/>
    <w:rsid w:val="00281016"/>
    <w:rsid w:val="002813C7"/>
    <w:rsid w:val="0028161B"/>
    <w:rsid w:val="00281B76"/>
    <w:rsid w:val="00281DBD"/>
    <w:rsid w:val="002820A0"/>
    <w:rsid w:val="00282575"/>
    <w:rsid w:val="002829DB"/>
    <w:rsid w:val="00282C50"/>
    <w:rsid w:val="00282F5B"/>
    <w:rsid w:val="00283057"/>
    <w:rsid w:val="0028328B"/>
    <w:rsid w:val="00283388"/>
    <w:rsid w:val="0028363E"/>
    <w:rsid w:val="00283EAB"/>
    <w:rsid w:val="0028408F"/>
    <w:rsid w:val="002845C9"/>
    <w:rsid w:val="00284CA2"/>
    <w:rsid w:val="002850CA"/>
    <w:rsid w:val="002851AA"/>
    <w:rsid w:val="00285291"/>
    <w:rsid w:val="002855C3"/>
    <w:rsid w:val="002855CF"/>
    <w:rsid w:val="00285770"/>
    <w:rsid w:val="00285B27"/>
    <w:rsid w:val="00286F83"/>
    <w:rsid w:val="00287252"/>
    <w:rsid w:val="002900F8"/>
    <w:rsid w:val="00291208"/>
    <w:rsid w:val="002912A6"/>
    <w:rsid w:val="002918C0"/>
    <w:rsid w:val="00291B4B"/>
    <w:rsid w:val="00291DD0"/>
    <w:rsid w:val="00291E53"/>
    <w:rsid w:val="00292021"/>
    <w:rsid w:val="002921C7"/>
    <w:rsid w:val="002927FF"/>
    <w:rsid w:val="0029285F"/>
    <w:rsid w:val="002929A8"/>
    <w:rsid w:val="00292C24"/>
    <w:rsid w:val="00292C7D"/>
    <w:rsid w:val="002938A9"/>
    <w:rsid w:val="00293D85"/>
    <w:rsid w:val="00294745"/>
    <w:rsid w:val="00294A3E"/>
    <w:rsid w:val="00294B19"/>
    <w:rsid w:val="00294B93"/>
    <w:rsid w:val="00294F7E"/>
    <w:rsid w:val="002950F8"/>
    <w:rsid w:val="002953B1"/>
    <w:rsid w:val="0029546E"/>
    <w:rsid w:val="00295724"/>
    <w:rsid w:val="00295B07"/>
    <w:rsid w:val="00295BA4"/>
    <w:rsid w:val="00295CE6"/>
    <w:rsid w:val="00295E19"/>
    <w:rsid w:val="00296483"/>
    <w:rsid w:val="00296791"/>
    <w:rsid w:val="00296AD2"/>
    <w:rsid w:val="00296C31"/>
    <w:rsid w:val="00296C66"/>
    <w:rsid w:val="00296DC0"/>
    <w:rsid w:val="00297D4B"/>
    <w:rsid w:val="00297F55"/>
    <w:rsid w:val="002A0153"/>
    <w:rsid w:val="002A0346"/>
    <w:rsid w:val="002A0490"/>
    <w:rsid w:val="002A0515"/>
    <w:rsid w:val="002A0F3C"/>
    <w:rsid w:val="002A1427"/>
    <w:rsid w:val="002A1727"/>
    <w:rsid w:val="002A18AA"/>
    <w:rsid w:val="002A18ED"/>
    <w:rsid w:val="002A1C11"/>
    <w:rsid w:val="002A21AA"/>
    <w:rsid w:val="002A229C"/>
    <w:rsid w:val="002A23EB"/>
    <w:rsid w:val="002A291C"/>
    <w:rsid w:val="002A29B7"/>
    <w:rsid w:val="002A2CD8"/>
    <w:rsid w:val="002A2EB1"/>
    <w:rsid w:val="002A3240"/>
    <w:rsid w:val="002A3A6D"/>
    <w:rsid w:val="002A3F66"/>
    <w:rsid w:val="002A4195"/>
    <w:rsid w:val="002A4383"/>
    <w:rsid w:val="002A4A9A"/>
    <w:rsid w:val="002A4CD3"/>
    <w:rsid w:val="002A5093"/>
    <w:rsid w:val="002A590B"/>
    <w:rsid w:val="002A5FC3"/>
    <w:rsid w:val="002A5FEA"/>
    <w:rsid w:val="002A6641"/>
    <w:rsid w:val="002A6EC6"/>
    <w:rsid w:val="002A730E"/>
    <w:rsid w:val="002A75DA"/>
    <w:rsid w:val="002A7C26"/>
    <w:rsid w:val="002B0468"/>
    <w:rsid w:val="002B0819"/>
    <w:rsid w:val="002B08AA"/>
    <w:rsid w:val="002B093F"/>
    <w:rsid w:val="002B0C52"/>
    <w:rsid w:val="002B0E44"/>
    <w:rsid w:val="002B0EF7"/>
    <w:rsid w:val="002B1226"/>
    <w:rsid w:val="002B1465"/>
    <w:rsid w:val="002B1C3A"/>
    <w:rsid w:val="002B2072"/>
    <w:rsid w:val="002B2F1E"/>
    <w:rsid w:val="002B3387"/>
    <w:rsid w:val="002B435A"/>
    <w:rsid w:val="002B46EF"/>
    <w:rsid w:val="002B4D6E"/>
    <w:rsid w:val="002B50AE"/>
    <w:rsid w:val="002B601D"/>
    <w:rsid w:val="002B652F"/>
    <w:rsid w:val="002B668A"/>
    <w:rsid w:val="002B6878"/>
    <w:rsid w:val="002B6EBC"/>
    <w:rsid w:val="002B6F45"/>
    <w:rsid w:val="002B74B5"/>
    <w:rsid w:val="002B7700"/>
    <w:rsid w:val="002B79A4"/>
    <w:rsid w:val="002C04D4"/>
    <w:rsid w:val="002C1334"/>
    <w:rsid w:val="002C151D"/>
    <w:rsid w:val="002C1559"/>
    <w:rsid w:val="002C159B"/>
    <w:rsid w:val="002C1D39"/>
    <w:rsid w:val="002C22D0"/>
    <w:rsid w:val="002C2BC0"/>
    <w:rsid w:val="002C2F29"/>
    <w:rsid w:val="002C2F7F"/>
    <w:rsid w:val="002C3060"/>
    <w:rsid w:val="002C355C"/>
    <w:rsid w:val="002C3A97"/>
    <w:rsid w:val="002C3AB9"/>
    <w:rsid w:val="002C3DFA"/>
    <w:rsid w:val="002C41D5"/>
    <w:rsid w:val="002C4352"/>
    <w:rsid w:val="002C47CF"/>
    <w:rsid w:val="002C4B02"/>
    <w:rsid w:val="002C537C"/>
    <w:rsid w:val="002C5433"/>
    <w:rsid w:val="002C5791"/>
    <w:rsid w:val="002C60D1"/>
    <w:rsid w:val="002C6724"/>
    <w:rsid w:val="002C6DD9"/>
    <w:rsid w:val="002C6E92"/>
    <w:rsid w:val="002C79BB"/>
    <w:rsid w:val="002D012B"/>
    <w:rsid w:val="002D0245"/>
    <w:rsid w:val="002D04C1"/>
    <w:rsid w:val="002D0D0E"/>
    <w:rsid w:val="002D0F55"/>
    <w:rsid w:val="002D1A73"/>
    <w:rsid w:val="002D2871"/>
    <w:rsid w:val="002D2937"/>
    <w:rsid w:val="002D2B7E"/>
    <w:rsid w:val="002D2F39"/>
    <w:rsid w:val="002D3151"/>
    <w:rsid w:val="002D35FE"/>
    <w:rsid w:val="002D3700"/>
    <w:rsid w:val="002D3B67"/>
    <w:rsid w:val="002D3C97"/>
    <w:rsid w:val="002D3F74"/>
    <w:rsid w:val="002D41D7"/>
    <w:rsid w:val="002D4480"/>
    <w:rsid w:val="002D44FB"/>
    <w:rsid w:val="002D4CCB"/>
    <w:rsid w:val="002D4F5E"/>
    <w:rsid w:val="002D65ED"/>
    <w:rsid w:val="002D67F9"/>
    <w:rsid w:val="002D694D"/>
    <w:rsid w:val="002D6FBA"/>
    <w:rsid w:val="002D704B"/>
    <w:rsid w:val="002D7118"/>
    <w:rsid w:val="002D7650"/>
    <w:rsid w:val="002D7DB7"/>
    <w:rsid w:val="002E02FF"/>
    <w:rsid w:val="002E0479"/>
    <w:rsid w:val="002E0509"/>
    <w:rsid w:val="002E0C5D"/>
    <w:rsid w:val="002E1545"/>
    <w:rsid w:val="002E1E46"/>
    <w:rsid w:val="002E28A5"/>
    <w:rsid w:val="002E2BA7"/>
    <w:rsid w:val="002E2CD3"/>
    <w:rsid w:val="002E35A7"/>
    <w:rsid w:val="002E3857"/>
    <w:rsid w:val="002E3B09"/>
    <w:rsid w:val="002E3D42"/>
    <w:rsid w:val="002E3F29"/>
    <w:rsid w:val="002E4391"/>
    <w:rsid w:val="002E4952"/>
    <w:rsid w:val="002E51A2"/>
    <w:rsid w:val="002E5CDA"/>
    <w:rsid w:val="002E5F9C"/>
    <w:rsid w:val="002E60C7"/>
    <w:rsid w:val="002E622D"/>
    <w:rsid w:val="002E6641"/>
    <w:rsid w:val="002E66A6"/>
    <w:rsid w:val="002E6A02"/>
    <w:rsid w:val="002E6B49"/>
    <w:rsid w:val="002E7189"/>
    <w:rsid w:val="002E72D5"/>
    <w:rsid w:val="002E7600"/>
    <w:rsid w:val="002E7815"/>
    <w:rsid w:val="002E7AE7"/>
    <w:rsid w:val="002E7B1A"/>
    <w:rsid w:val="002F13A0"/>
    <w:rsid w:val="002F13B1"/>
    <w:rsid w:val="002F1556"/>
    <w:rsid w:val="002F1700"/>
    <w:rsid w:val="002F184D"/>
    <w:rsid w:val="002F21B3"/>
    <w:rsid w:val="002F22D6"/>
    <w:rsid w:val="002F2459"/>
    <w:rsid w:val="002F2F23"/>
    <w:rsid w:val="002F2F49"/>
    <w:rsid w:val="002F3188"/>
    <w:rsid w:val="002F35CF"/>
    <w:rsid w:val="002F3B14"/>
    <w:rsid w:val="002F404C"/>
    <w:rsid w:val="002F414F"/>
    <w:rsid w:val="002F4AD0"/>
    <w:rsid w:val="002F4C9D"/>
    <w:rsid w:val="002F4F33"/>
    <w:rsid w:val="002F594E"/>
    <w:rsid w:val="002F59F8"/>
    <w:rsid w:val="002F6BB4"/>
    <w:rsid w:val="002F6D05"/>
    <w:rsid w:val="002F728D"/>
    <w:rsid w:val="002F7760"/>
    <w:rsid w:val="002F7C05"/>
    <w:rsid w:val="003001C5"/>
    <w:rsid w:val="00300EF3"/>
    <w:rsid w:val="00301345"/>
    <w:rsid w:val="00301677"/>
    <w:rsid w:val="003017D1"/>
    <w:rsid w:val="00301A90"/>
    <w:rsid w:val="00301C50"/>
    <w:rsid w:val="00301C76"/>
    <w:rsid w:val="0030204F"/>
    <w:rsid w:val="00302495"/>
    <w:rsid w:val="003024A3"/>
    <w:rsid w:val="003026D6"/>
    <w:rsid w:val="003033DF"/>
    <w:rsid w:val="00303714"/>
    <w:rsid w:val="00303A91"/>
    <w:rsid w:val="00303B26"/>
    <w:rsid w:val="003045D2"/>
    <w:rsid w:val="00304C99"/>
    <w:rsid w:val="003056BC"/>
    <w:rsid w:val="00305D84"/>
    <w:rsid w:val="00306111"/>
    <w:rsid w:val="003068C2"/>
    <w:rsid w:val="0030690C"/>
    <w:rsid w:val="00306B9C"/>
    <w:rsid w:val="00306D9E"/>
    <w:rsid w:val="00306DD4"/>
    <w:rsid w:val="00306ED4"/>
    <w:rsid w:val="00307FCB"/>
    <w:rsid w:val="003104F3"/>
    <w:rsid w:val="00310B41"/>
    <w:rsid w:val="00311181"/>
    <w:rsid w:val="00311672"/>
    <w:rsid w:val="00312034"/>
    <w:rsid w:val="00312401"/>
    <w:rsid w:val="00312C58"/>
    <w:rsid w:val="00312FA3"/>
    <w:rsid w:val="00313643"/>
    <w:rsid w:val="00313C0B"/>
    <w:rsid w:val="00314096"/>
    <w:rsid w:val="003143FB"/>
    <w:rsid w:val="0031476B"/>
    <w:rsid w:val="0031483F"/>
    <w:rsid w:val="0031491B"/>
    <w:rsid w:val="00314F28"/>
    <w:rsid w:val="0031522B"/>
    <w:rsid w:val="0031553A"/>
    <w:rsid w:val="0031568A"/>
    <w:rsid w:val="00315CA4"/>
    <w:rsid w:val="0031626A"/>
    <w:rsid w:val="003164EA"/>
    <w:rsid w:val="00316C5C"/>
    <w:rsid w:val="00317447"/>
    <w:rsid w:val="00317C80"/>
    <w:rsid w:val="00320AB2"/>
    <w:rsid w:val="00320E74"/>
    <w:rsid w:val="00321147"/>
    <w:rsid w:val="0032138E"/>
    <w:rsid w:val="00321EEF"/>
    <w:rsid w:val="00321F9C"/>
    <w:rsid w:val="003226F9"/>
    <w:rsid w:val="00322815"/>
    <w:rsid w:val="00323005"/>
    <w:rsid w:val="003231EF"/>
    <w:rsid w:val="00323872"/>
    <w:rsid w:val="00323B38"/>
    <w:rsid w:val="00323C1C"/>
    <w:rsid w:val="00324755"/>
    <w:rsid w:val="003247AF"/>
    <w:rsid w:val="00324D19"/>
    <w:rsid w:val="00324EA6"/>
    <w:rsid w:val="0032501D"/>
    <w:rsid w:val="003253BE"/>
    <w:rsid w:val="0032558C"/>
    <w:rsid w:val="0032580C"/>
    <w:rsid w:val="00326794"/>
    <w:rsid w:val="00326970"/>
    <w:rsid w:val="003269BC"/>
    <w:rsid w:val="003269E7"/>
    <w:rsid w:val="00327019"/>
    <w:rsid w:val="00327346"/>
    <w:rsid w:val="00327368"/>
    <w:rsid w:val="003279C0"/>
    <w:rsid w:val="00327AF6"/>
    <w:rsid w:val="00327B2C"/>
    <w:rsid w:val="00327CCF"/>
    <w:rsid w:val="00327DBA"/>
    <w:rsid w:val="0033083B"/>
    <w:rsid w:val="00330A4D"/>
    <w:rsid w:val="00330AB2"/>
    <w:rsid w:val="00330D06"/>
    <w:rsid w:val="0033130F"/>
    <w:rsid w:val="00331414"/>
    <w:rsid w:val="00331678"/>
    <w:rsid w:val="00331752"/>
    <w:rsid w:val="0033197E"/>
    <w:rsid w:val="00331E23"/>
    <w:rsid w:val="00331FC9"/>
    <w:rsid w:val="003320DD"/>
    <w:rsid w:val="00333628"/>
    <w:rsid w:val="0033396C"/>
    <w:rsid w:val="00333E87"/>
    <w:rsid w:val="00333F01"/>
    <w:rsid w:val="00333F5B"/>
    <w:rsid w:val="00334465"/>
    <w:rsid w:val="003348E4"/>
    <w:rsid w:val="00334F3D"/>
    <w:rsid w:val="00335261"/>
    <w:rsid w:val="003355AF"/>
    <w:rsid w:val="003357F5"/>
    <w:rsid w:val="00335E2D"/>
    <w:rsid w:val="00336993"/>
    <w:rsid w:val="003369F5"/>
    <w:rsid w:val="00336C24"/>
    <w:rsid w:val="00336E6C"/>
    <w:rsid w:val="003371DB"/>
    <w:rsid w:val="00337A39"/>
    <w:rsid w:val="003405F0"/>
    <w:rsid w:val="00340F2B"/>
    <w:rsid w:val="00341177"/>
    <w:rsid w:val="00341C4D"/>
    <w:rsid w:val="00341D94"/>
    <w:rsid w:val="0034223E"/>
    <w:rsid w:val="003422B6"/>
    <w:rsid w:val="00342B0D"/>
    <w:rsid w:val="00342D34"/>
    <w:rsid w:val="00343C24"/>
    <w:rsid w:val="00343F79"/>
    <w:rsid w:val="003447CC"/>
    <w:rsid w:val="00344BFC"/>
    <w:rsid w:val="003455BF"/>
    <w:rsid w:val="00345A4C"/>
    <w:rsid w:val="00345BC0"/>
    <w:rsid w:val="0034657E"/>
    <w:rsid w:val="00346632"/>
    <w:rsid w:val="00346BD7"/>
    <w:rsid w:val="0034741C"/>
    <w:rsid w:val="003479C3"/>
    <w:rsid w:val="0035016E"/>
    <w:rsid w:val="0035068E"/>
    <w:rsid w:val="003506BE"/>
    <w:rsid w:val="003508E1"/>
    <w:rsid w:val="00350B7F"/>
    <w:rsid w:val="00350DF3"/>
    <w:rsid w:val="0035129A"/>
    <w:rsid w:val="0035195B"/>
    <w:rsid w:val="00351BF1"/>
    <w:rsid w:val="00351C48"/>
    <w:rsid w:val="00352301"/>
    <w:rsid w:val="0035232C"/>
    <w:rsid w:val="00352776"/>
    <w:rsid w:val="0035282E"/>
    <w:rsid w:val="00352A43"/>
    <w:rsid w:val="00352E7D"/>
    <w:rsid w:val="003535DB"/>
    <w:rsid w:val="00353CB5"/>
    <w:rsid w:val="00353E1E"/>
    <w:rsid w:val="00354426"/>
    <w:rsid w:val="0035487A"/>
    <w:rsid w:val="00355F82"/>
    <w:rsid w:val="003566D2"/>
    <w:rsid w:val="00356AB7"/>
    <w:rsid w:val="003573E0"/>
    <w:rsid w:val="00357782"/>
    <w:rsid w:val="003578DC"/>
    <w:rsid w:val="00357FE8"/>
    <w:rsid w:val="0036036B"/>
    <w:rsid w:val="0036060F"/>
    <w:rsid w:val="00360A57"/>
    <w:rsid w:val="00360BCC"/>
    <w:rsid w:val="00360F63"/>
    <w:rsid w:val="003611AC"/>
    <w:rsid w:val="003613E3"/>
    <w:rsid w:val="003618D6"/>
    <w:rsid w:val="00361E5B"/>
    <w:rsid w:val="00361ED2"/>
    <w:rsid w:val="00361F8C"/>
    <w:rsid w:val="003620B4"/>
    <w:rsid w:val="003626B5"/>
    <w:rsid w:val="00362ABB"/>
    <w:rsid w:val="00362C5A"/>
    <w:rsid w:val="003630F0"/>
    <w:rsid w:val="003633DE"/>
    <w:rsid w:val="003635AA"/>
    <w:rsid w:val="003637D8"/>
    <w:rsid w:val="00363C16"/>
    <w:rsid w:val="003649C8"/>
    <w:rsid w:val="00364CB9"/>
    <w:rsid w:val="00364EBF"/>
    <w:rsid w:val="0036513B"/>
    <w:rsid w:val="003656EB"/>
    <w:rsid w:val="00365731"/>
    <w:rsid w:val="00365A29"/>
    <w:rsid w:val="00366546"/>
    <w:rsid w:val="00366668"/>
    <w:rsid w:val="00366C0A"/>
    <w:rsid w:val="00366E34"/>
    <w:rsid w:val="00367103"/>
    <w:rsid w:val="00367568"/>
    <w:rsid w:val="00367AAD"/>
    <w:rsid w:val="00370ADE"/>
    <w:rsid w:val="00370CCF"/>
    <w:rsid w:val="00370DBC"/>
    <w:rsid w:val="00370FAB"/>
    <w:rsid w:val="0037106F"/>
    <w:rsid w:val="00371723"/>
    <w:rsid w:val="00371B46"/>
    <w:rsid w:val="003720AE"/>
    <w:rsid w:val="0037241F"/>
    <w:rsid w:val="00372772"/>
    <w:rsid w:val="00373925"/>
    <w:rsid w:val="0037397B"/>
    <w:rsid w:val="00373AD0"/>
    <w:rsid w:val="00373DF0"/>
    <w:rsid w:val="0037442E"/>
    <w:rsid w:val="0037456A"/>
    <w:rsid w:val="00374694"/>
    <w:rsid w:val="003746BB"/>
    <w:rsid w:val="00374713"/>
    <w:rsid w:val="003753DD"/>
    <w:rsid w:val="003766E3"/>
    <w:rsid w:val="00376DD8"/>
    <w:rsid w:val="0037774A"/>
    <w:rsid w:val="003777BA"/>
    <w:rsid w:val="00380620"/>
    <w:rsid w:val="0038090E"/>
    <w:rsid w:val="00380BF7"/>
    <w:rsid w:val="00380C05"/>
    <w:rsid w:val="00380DCC"/>
    <w:rsid w:val="00380FC5"/>
    <w:rsid w:val="0038139C"/>
    <w:rsid w:val="0038141E"/>
    <w:rsid w:val="00381649"/>
    <w:rsid w:val="00381912"/>
    <w:rsid w:val="003824BC"/>
    <w:rsid w:val="00382555"/>
    <w:rsid w:val="003825BE"/>
    <w:rsid w:val="003826D9"/>
    <w:rsid w:val="00382F91"/>
    <w:rsid w:val="00383BD1"/>
    <w:rsid w:val="00385564"/>
    <w:rsid w:val="00385F30"/>
    <w:rsid w:val="00386540"/>
    <w:rsid w:val="003874D1"/>
    <w:rsid w:val="00387B4B"/>
    <w:rsid w:val="00387DC4"/>
    <w:rsid w:val="003901DE"/>
    <w:rsid w:val="0039086F"/>
    <w:rsid w:val="00390D4F"/>
    <w:rsid w:val="00391127"/>
    <w:rsid w:val="003918B0"/>
    <w:rsid w:val="00391B48"/>
    <w:rsid w:val="00391E48"/>
    <w:rsid w:val="00391F49"/>
    <w:rsid w:val="00391F4C"/>
    <w:rsid w:val="00392C51"/>
    <w:rsid w:val="00392C90"/>
    <w:rsid w:val="00392CF9"/>
    <w:rsid w:val="00392DEE"/>
    <w:rsid w:val="003931F7"/>
    <w:rsid w:val="0039341D"/>
    <w:rsid w:val="00393437"/>
    <w:rsid w:val="00393BA1"/>
    <w:rsid w:val="003941DC"/>
    <w:rsid w:val="00394818"/>
    <w:rsid w:val="00394945"/>
    <w:rsid w:val="00394A46"/>
    <w:rsid w:val="00394CC2"/>
    <w:rsid w:val="00394EE1"/>
    <w:rsid w:val="0039614D"/>
    <w:rsid w:val="003962A8"/>
    <w:rsid w:val="003967EC"/>
    <w:rsid w:val="00396BCB"/>
    <w:rsid w:val="00397665"/>
    <w:rsid w:val="00397A0B"/>
    <w:rsid w:val="003A006F"/>
    <w:rsid w:val="003A0680"/>
    <w:rsid w:val="003A139E"/>
    <w:rsid w:val="003A13AE"/>
    <w:rsid w:val="003A2BCB"/>
    <w:rsid w:val="003A2F4D"/>
    <w:rsid w:val="003A3050"/>
    <w:rsid w:val="003A328B"/>
    <w:rsid w:val="003A34F1"/>
    <w:rsid w:val="003A3605"/>
    <w:rsid w:val="003A3B3A"/>
    <w:rsid w:val="003A3EF3"/>
    <w:rsid w:val="003A4827"/>
    <w:rsid w:val="003A499F"/>
    <w:rsid w:val="003A4FBA"/>
    <w:rsid w:val="003A5040"/>
    <w:rsid w:val="003A51CF"/>
    <w:rsid w:val="003A6238"/>
    <w:rsid w:val="003A6826"/>
    <w:rsid w:val="003A68FD"/>
    <w:rsid w:val="003A6942"/>
    <w:rsid w:val="003A6F93"/>
    <w:rsid w:val="003A721F"/>
    <w:rsid w:val="003A76E1"/>
    <w:rsid w:val="003A7F37"/>
    <w:rsid w:val="003B014C"/>
    <w:rsid w:val="003B0914"/>
    <w:rsid w:val="003B1416"/>
    <w:rsid w:val="003B2F26"/>
    <w:rsid w:val="003B3490"/>
    <w:rsid w:val="003B369B"/>
    <w:rsid w:val="003B3D0E"/>
    <w:rsid w:val="003B42A8"/>
    <w:rsid w:val="003B439F"/>
    <w:rsid w:val="003B46BE"/>
    <w:rsid w:val="003B507D"/>
    <w:rsid w:val="003B5A30"/>
    <w:rsid w:val="003B5E14"/>
    <w:rsid w:val="003B682B"/>
    <w:rsid w:val="003B6A45"/>
    <w:rsid w:val="003B77FB"/>
    <w:rsid w:val="003B7CF2"/>
    <w:rsid w:val="003C00C0"/>
    <w:rsid w:val="003C0322"/>
    <w:rsid w:val="003C0BA9"/>
    <w:rsid w:val="003C0BB7"/>
    <w:rsid w:val="003C135D"/>
    <w:rsid w:val="003C14D7"/>
    <w:rsid w:val="003C1D9F"/>
    <w:rsid w:val="003C2A95"/>
    <w:rsid w:val="003C2B9A"/>
    <w:rsid w:val="003C2CB4"/>
    <w:rsid w:val="003C33B1"/>
    <w:rsid w:val="003C3BB4"/>
    <w:rsid w:val="003C4218"/>
    <w:rsid w:val="003C42DC"/>
    <w:rsid w:val="003C4426"/>
    <w:rsid w:val="003C451D"/>
    <w:rsid w:val="003C4573"/>
    <w:rsid w:val="003C4ADA"/>
    <w:rsid w:val="003C4D01"/>
    <w:rsid w:val="003C4DA2"/>
    <w:rsid w:val="003C5060"/>
    <w:rsid w:val="003C58D3"/>
    <w:rsid w:val="003C5C2B"/>
    <w:rsid w:val="003C5E0E"/>
    <w:rsid w:val="003C5E17"/>
    <w:rsid w:val="003C6041"/>
    <w:rsid w:val="003C6EC8"/>
    <w:rsid w:val="003D079A"/>
    <w:rsid w:val="003D15C0"/>
    <w:rsid w:val="003D18E6"/>
    <w:rsid w:val="003D1A11"/>
    <w:rsid w:val="003D1D6F"/>
    <w:rsid w:val="003D2529"/>
    <w:rsid w:val="003D25C9"/>
    <w:rsid w:val="003D2DEE"/>
    <w:rsid w:val="003D2EBE"/>
    <w:rsid w:val="003D433B"/>
    <w:rsid w:val="003D4F68"/>
    <w:rsid w:val="003D5374"/>
    <w:rsid w:val="003D5DC8"/>
    <w:rsid w:val="003D616A"/>
    <w:rsid w:val="003D6A1A"/>
    <w:rsid w:val="003D6CAC"/>
    <w:rsid w:val="003D716D"/>
    <w:rsid w:val="003D7606"/>
    <w:rsid w:val="003D7C32"/>
    <w:rsid w:val="003D7D46"/>
    <w:rsid w:val="003E05E7"/>
    <w:rsid w:val="003E081B"/>
    <w:rsid w:val="003E09B9"/>
    <w:rsid w:val="003E1129"/>
    <w:rsid w:val="003E13F9"/>
    <w:rsid w:val="003E1887"/>
    <w:rsid w:val="003E20D6"/>
    <w:rsid w:val="003E2205"/>
    <w:rsid w:val="003E2858"/>
    <w:rsid w:val="003E2A5C"/>
    <w:rsid w:val="003E336E"/>
    <w:rsid w:val="003E3371"/>
    <w:rsid w:val="003E3480"/>
    <w:rsid w:val="003E3BD5"/>
    <w:rsid w:val="003E3D2C"/>
    <w:rsid w:val="003E4256"/>
    <w:rsid w:val="003E444A"/>
    <w:rsid w:val="003E44DC"/>
    <w:rsid w:val="003E4512"/>
    <w:rsid w:val="003E462C"/>
    <w:rsid w:val="003E4D97"/>
    <w:rsid w:val="003E4F6F"/>
    <w:rsid w:val="003E505A"/>
    <w:rsid w:val="003E506E"/>
    <w:rsid w:val="003E50C4"/>
    <w:rsid w:val="003E514E"/>
    <w:rsid w:val="003E53FC"/>
    <w:rsid w:val="003E6624"/>
    <w:rsid w:val="003E6697"/>
    <w:rsid w:val="003E6CC8"/>
    <w:rsid w:val="003E6E2C"/>
    <w:rsid w:val="003E6EEB"/>
    <w:rsid w:val="003E74F7"/>
    <w:rsid w:val="003E76B7"/>
    <w:rsid w:val="003E7C7E"/>
    <w:rsid w:val="003E7F82"/>
    <w:rsid w:val="003F005F"/>
    <w:rsid w:val="003F019D"/>
    <w:rsid w:val="003F027D"/>
    <w:rsid w:val="003F071C"/>
    <w:rsid w:val="003F07FB"/>
    <w:rsid w:val="003F0CF5"/>
    <w:rsid w:val="003F0E27"/>
    <w:rsid w:val="003F12DB"/>
    <w:rsid w:val="003F25EF"/>
    <w:rsid w:val="003F273D"/>
    <w:rsid w:val="003F2A76"/>
    <w:rsid w:val="003F39E4"/>
    <w:rsid w:val="003F3AA6"/>
    <w:rsid w:val="003F3D95"/>
    <w:rsid w:val="003F3DD4"/>
    <w:rsid w:val="003F49C4"/>
    <w:rsid w:val="003F4F43"/>
    <w:rsid w:val="003F539B"/>
    <w:rsid w:val="003F5430"/>
    <w:rsid w:val="003F552D"/>
    <w:rsid w:val="003F55F4"/>
    <w:rsid w:val="003F5DED"/>
    <w:rsid w:val="003F5F0F"/>
    <w:rsid w:val="003F6221"/>
    <w:rsid w:val="003F66C2"/>
    <w:rsid w:val="003F6FBA"/>
    <w:rsid w:val="003F7672"/>
    <w:rsid w:val="003F7889"/>
    <w:rsid w:val="003F7C7D"/>
    <w:rsid w:val="003F7CE5"/>
    <w:rsid w:val="00400693"/>
    <w:rsid w:val="0040089B"/>
    <w:rsid w:val="00400995"/>
    <w:rsid w:val="00400B7A"/>
    <w:rsid w:val="004013CD"/>
    <w:rsid w:val="0040185F"/>
    <w:rsid w:val="004018D1"/>
    <w:rsid w:val="00401B94"/>
    <w:rsid w:val="004022CE"/>
    <w:rsid w:val="004028BA"/>
    <w:rsid w:val="004035A7"/>
    <w:rsid w:val="004039C5"/>
    <w:rsid w:val="00403B22"/>
    <w:rsid w:val="00403D3E"/>
    <w:rsid w:val="00403DEA"/>
    <w:rsid w:val="00403E5A"/>
    <w:rsid w:val="00404177"/>
    <w:rsid w:val="004045C3"/>
    <w:rsid w:val="00404A0D"/>
    <w:rsid w:val="00404EE3"/>
    <w:rsid w:val="00405007"/>
    <w:rsid w:val="00405520"/>
    <w:rsid w:val="0040572B"/>
    <w:rsid w:val="00405882"/>
    <w:rsid w:val="00405D03"/>
    <w:rsid w:val="004060B3"/>
    <w:rsid w:val="00406201"/>
    <w:rsid w:val="004074B9"/>
    <w:rsid w:val="00407B19"/>
    <w:rsid w:val="004104FC"/>
    <w:rsid w:val="0041050E"/>
    <w:rsid w:val="004107C1"/>
    <w:rsid w:val="00410D3F"/>
    <w:rsid w:val="0041127B"/>
    <w:rsid w:val="0041158D"/>
    <w:rsid w:val="00411AB2"/>
    <w:rsid w:val="00411EF1"/>
    <w:rsid w:val="004122E3"/>
    <w:rsid w:val="004124C9"/>
    <w:rsid w:val="00413ECE"/>
    <w:rsid w:val="004149CB"/>
    <w:rsid w:val="00414CEB"/>
    <w:rsid w:val="0041599F"/>
    <w:rsid w:val="00415E37"/>
    <w:rsid w:val="00415E9A"/>
    <w:rsid w:val="00415F5E"/>
    <w:rsid w:val="00415FC0"/>
    <w:rsid w:val="00416080"/>
    <w:rsid w:val="00416983"/>
    <w:rsid w:val="00417007"/>
    <w:rsid w:val="004202B5"/>
    <w:rsid w:val="0042068F"/>
    <w:rsid w:val="00420F31"/>
    <w:rsid w:val="004211B1"/>
    <w:rsid w:val="0042187D"/>
    <w:rsid w:val="00421A31"/>
    <w:rsid w:val="004224B4"/>
    <w:rsid w:val="00422787"/>
    <w:rsid w:val="00422B09"/>
    <w:rsid w:val="00422F93"/>
    <w:rsid w:val="004232ED"/>
    <w:rsid w:val="004237C9"/>
    <w:rsid w:val="0042424E"/>
    <w:rsid w:val="004250F8"/>
    <w:rsid w:val="0042538D"/>
    <w:rsid w:val="00425A1A"/>
    <w:rsid w:val="00425BCF"/>
    <w:rsid w:val="004262AA"/>
    <w:rsid w:val="00426839"/>
    <w:rsid w:val="004269D3"/>
    <w:rsid w:val="00426AF7"/>
    <w:rsid w:val="00426BE5"/>
    <w:rsid w:val="00426E29"/>
    <w:rsid w:val="00427106"/>
    <w:rsid w:val="00427131"/>
    <w:rsid w:val="0042723F"/>
    <w:rsid w:val="00427403"/>
    <w:rsid w:val="00427A28"/>
    <w:rsid w:val="004300B4"/>
    <w:rsid w:val="0043033B"/>
    <w:rsid w:val="004303CC"/>
    <w:rsid w:val="004304B2"/>
    <w:rsid w:val="00430721"/>
    <w:rsid w:val="0043079D"/>
    <w:rsid w:val="00430F0E"/>
    <w:rsid w:val="00431744"/>
    <w:rsid w:val="00431AD6"/>
    <w:rsid w:val="00431B48"/>
    <w:rsid w:val="00431D0E"/>
    <w:rsid w:val="0043265C"/>
    <w:rsid w:val="00432EF3"/>
    <w:rsid w:val="00432F0D"/>
    <w:rsid w:val="004337C9"/>
    <w:rsid w:val="00433A0E"/>
    <w:rsid w:val="00433A3E"/>
    <w:rsid w:val="00433DEB"/>
    <w:rsid w:val="0043413D"/>
    <w:rsid w:val="0043442C"/>
    <w:rsid w:val="0043486A"/>
    <w:rsid w:val="00434DE9"/>
    <w:rsid w:val="00435495"/>
    <w:rsid w:val="00435A05"/>
    <w:rsid w:val="004360D0"/>
    <w:rsid w:val="0043677C"/>
    <w:rsid w:val="004368AA"/>
    <w:rsid w:val="004371DE"/>
    <w:rsid w:val="00437528"/>
    <w:rsid w:val="00437B06"/>
    <w:rsid w:val="0044015A"/>
    <w:rsid w:val="00440380"/>
    <w:rsid w:val="004403AA"/>
    <w:rsid w:val="004410CB"/>
    <w:rsid w:val="004420DF"/>
    <w:rsid w:val="004427DB"/>
    <w:rsid w:val="00442809"/>
    <w:rsid w:val="00442CEF"/>
    <w:rsid w:val="00442D3C"/>
    <w:rsid w:val="004430FA"/>
    <w:rsid w:val="004433BD"/>
    <w:rsid w:val="0044355D"/>
    <w:rsid w:val="00443C87"/>
    <w:rsid w:val="00443FB2"/>
    <w:rsid w:val="004447B5"/>
    <w:rsid w:val="00445534"/>
    <w:rsid w:val="004456C3"/>
    <w:rsid w:val="00445F2D"/>
    <w:rsid w:val="004465D0"/>
    <w:rsid w:val="00446790"/>
    <w:rsid w:val="00446961"/>
    <w:rsid w:val="004472DC"/>
    <w:rsid w:val="004502B2"/>
    <w:rsid w:val="00450641"/>
    <w:rsid w:val="0045068C"/>
    <w:rsid w:val="00450A8A"/>
    <w:rsid w:val="00450CAB"/>
    <w:rsid w:val="00450DAA"/>
    <w:rsid w:val="00450F85"/>
    <w:rsid w:val="004517AF"/>
    <w:rsid w:val="00451D42"/>
    <w:rsid w:val="00451FF2"/>
    <w:rsid w:val="00452679"/>
    <w:rsid w:val="00453503"/>
    <w:rsid w:val="00453B76"/>
    <w:rsid w:val="00453F07"/>
    <w:rsid w:val="00454181"/>
    <w:rsid w:val="0045434F"/>
    <w:rsid w:val="0045438C"/>
    <w:rsid w:val="00454424"/>
    <w:rsid w:val="00454477"/>
    <w:rsid w:val="00454C5A"/>
    <w:rsid w:val="00455249"/>
    <w:rsid w:val="00455701"/>
    <w:rsid w:val="004559F9"/>
    <w:rsid w:val="00455C80"/>
    <w:rsid w:val="004563DD"/>
    <w:rsid w:val="00456CDF"/>
    <w:rsid w:val="00456F6D"/>
    <w:rsid w:val="00457458"/>
    <w:rsid w:val="00457741"/>
    <w:rsid w:val="00457F73"/>
    <w:rsid w:val="00460B9F"/>
    <w:rsid w:val="0046107F"/>
    <w:rsid w:val="0046115B"/>
    <w:rsid w:val="00461274"/>
    <w:rsid w:val="004614B2"/>
    <w:rsid w:val="004614B4"/>
    <w:rsid w:val="0046193D"/>
    <w:rsid w:val="00461A80"/>
    <w:rsid w:val="0046205B"/>
    <w:rsid w:val="00464FE1"/>
    <w:rsid w:val="004654B1"/>
    <w:rsid w:val="0046557B"/>
    <w:rsid w:val="00465B3C"/>
    <w:rsid w:val="00465EAF"/>
    <w:rsid w:val="00466114"/>
    <w:rsid w:val="004666EB"/>
    <w:rsid w:val="00466845"/>
    <w:rsid w:val="0046684E"/>
    <w:rsid w:val="0046692F"/>
    <w:rsid w:val="0046699C"/>
    <w:rsid w:val="00467526"/>
    <w:rsid w:val="0046757E"/>
    <w:rsid w:val="00470338"/>
    <w:rsid w:val="0047033E"/>
    <w:rsid w:val="0047035B"/>
    <w:rsid w:val="00470A3E"/>
    <w:rsid w:val="00470EFE"/>
    <w:rsid w:val="0047125F"/>
    <w:rsid w:val="00471CA9"/>
    <w:rsid w:val="00471F10"/>
    <w:rsid w:val="00472568"/>
    <w:rsid w:val="004730EF"/>
    <w:rsid w:val="004736B1"/>
    <w:rsid w:val="004738F5"/>
    <w:rsid w:val="00473CCF"/>
    <w:rsid w:val="00474046"/>
    <w:rsid w:val="004740F2"/>
    <w:rsid w:val="0047417D"/>
    <w:rsid w:val="00474E77"/>
    <w:rsid w:val="00475708"/>
    <w:rsid w:val="0047581F"/>
    <w:rsid w:val="004766B7"/>
    <w:rsid w:val="00476C8F"/>
    <w:rsid w:val="00477416"/>
    <w:rsid w:val="0047746E"/>
    <w:rsid w:val="0047761F"/>
    <w:rsid w:val="004805F8"/>
    <w:rsid w:val="00480D1E"/>
    <w:rsid w:val="00481131"/>
    <w:rsid w:val="00481D33"/>
    <w:rsid w:val="00482295"/>
    <w:rsid w:val="004822A0"/>
    <w:rsid w:val="004822E9"/>
    <w:rsid w:val="004824DB"/>
    <w:rsid w:val="0048269D"/>
    <w:rsid w:val="00482D74"/>
    <w:rsid w:val="004844D9"/>
    <w:rsid w:val="00484659"/>
    <w:rsid w:val="00484678"/>
    <w:rsid w:val="00484E04"/>
    <w:rsid w:val="004855BE"/>
    <w:rsid w:val="00485609"/>
    <w:rsid w:val="00485878"/>
    <w:rsid w:val="00485A57"/>
    <w:rsid w:val="00485E5B"/>
    <w:rsid w:val="00485E70"/>
    <w:rsid w:val="00486587"/>
    <w:rsid w:val="004867BC"/>
    <w:rsid w:val="00486A41"/>
    <w:rsid w:val="00486C68"/>
    <w:rsid w:val="00486D74"/>
    <w:rsid w:val="00486DEC"/>
    <w:rsid w:val="00486F46"/>
    <w:rsid w:val="004871B0"/>
    <w:rsid w:val="00487564"/>
    <w:rsid w:val="00487899"/>
    <w:rsid w:val="004902B4"/>
    <w:rsid w:val="004905F3"/>
    <w:rsid w:val="00490847"/>
    <w:rsid w:val="00490985"/>
    <w:rsid w:val="00490B10"/>
    <w:rsid w:val="00490B67"/>
    <w:rsid w:val="00490E53"/>
    <w:rsid w:val="00491305"/>
    <w:rsid w:val="0049147B"/>
    <w:rsid w:val="00491668"/>
    <w:rsid w:val="00491C14"/>
    <w:rsid w:val="00491EE3"/>
    <w:rsid w:val="0049261B"/>
    <w:rsid w:val="004929E8"/>
    <w:rsid w:val="00492F2D"/>
    <w:rsid w:val="00492FD6"/>
    <w:rsid w:val="00493626"/>
    <w:rsid w:val="004936E8"/>
    <w:rsid w:val="0049401A"/>
    <w:rsid w:val="004941DD"/>
    <w:rsid w:val="00494332"/>
    <w:rsid w:val="00494BE0"/>
    <w:rsid w:val="004958F6"/>
    <w:rsid w:val="00495AB3"/>
    <w:rsid w:val="00495EE8"/>
    <w:rsid w:val="004968C1"/>
    <w:rsid w:val="0049699F"/>
    <w:rsid w:val="00496A8D"/>
    <w:rsid w:val="004974D9"/>
    <w:rsid w:val="004977C3"/>
    <w:rsid w:val="004A09C8"/>
    <w:rsid w:val="004A11F0"/>
    <w:rsid w:val="004A1262"/>
    <w:rsid w:val="004A1AD7"/>
    <w:rsid w:val="004A1FB2"/>
    <w:rsid w:val="004A2FA9"/>
    <w:rsid w:val="004A341F"/>
    <w:rsid w:val="004A34F5"/>
    <w:rsid w:val="004A3531"/>
    <w:rsid w:val="004A36CE"/>
    <w:rsid w:val="004A3A3F"/>
    <w:rsid w:val="004A3CFE"/>
    <w:rsid w:val="004A40D6"/>
    <w:rsid w:val="004A4621"/>
    <w:rsid w:val="004A49B0"/>
    <w:rsid w:val="004A4BDE"/>
    <w:rsid w:val="004A4D66"/>
    <w:rsid w:val="004A519F"/>
    <w:rsid w:val="004A5295"/>
    <w:rsid w:val="004A52A8"/>
    <w:rsid w:val="004A5C1E"/>
    <w:rsid w:val="004A5DC5"/>
    <w:rsid w:val="004A63A9"/>
    <w:rsid w:val="004A63FA"/>
    <w:rsid w:val="004A65CB"/>
    <w:rsid w:val="004A6B1E"/>
    <w:rsid w:val="004A7631"/>
    <w:rsid w:val="004A76D0"/>
    <w:rsid w:val="004A77D6"/>
    <w:rsid w:val="004A7952"/>
    <w:rsid w:val="004A7DE3"/>
    <w:rsid w:val="004A7F46"/>
    <w:rsid w:val="004B0148"/>
    <w:rsid w:val="004B052B"/>
    <w:rsid w:val="004B0ABB"/>
    <w:rsid w:val="004B0C11"/>
    <w:rsid w:val="004B1487"/>
    <w:rsid w:val="004B19BE"/>
    <w:rsid w:val="004B1A72"/>
    <w:rsid w:val="004B1A7A"/>
    <w:rsid w:val="004B1C77"/>
    <w:rsid w:val="004B20FA"/>
    <w:rsid w:val="004B236B"/>
    <w:rsid w:val="004B2D91"/>
    <w:rsid w:val="004B32E0"/>
    <w:rsid w:val="004B3BDB"/>
    <w:rsid w:val="004B3ED9"/>
    <w:rsid w:val="004B40BF"/>
    <w:rsid w:val="004B4569"/>
    <w:rsid w:val="004B4863"/>
    <w:rsid w:val="004B4D7D"/>
    <w:rsid w:val="004B603D"/>
    <w:rsid w:val="004B664E"/>
    <w:rsid w:val="004B685E"/>
    <w:rsid w:val="004B69F5"/>
    <w:rsid w:val="004B6A26"/>
    <w:rsid w:val="004B6ADB"/>
    <w:rsid w:val="004B6E5D"/>
    <w:rsid w:val="004B7264"/>
    <w:rsid w:val="004B74D9"/>
    <w:rsid w:val="004B7E94"/>
    <w:rsid w:val="004B7FAD"/>
    <w:rsid w:val="004C00E1"/>
    <w:rsid w:val="004C0AA7"/>
    <w:rsid w:val="004C0BC5"/>
    <w:rsid w:val="004C1234"/>
    <w:rsid w:val="004C13CF"/>
    <w:rsid w:val="004C18E3"/>
    <w:rsid w:val="004C2011"/>
    <w:rsid w:val="004C2598"/>
    <w:rsid w:val="004C2964"/>
    <w:rsid w:val="004C2DD9"/>
    <w:rsid w:val="004C3E60"/>
    <w:rsid w:val="004C42BE"/>
    <w:rsid w:val="004C4AF6"/>
    <w:rsid w:val="004C4B82"/>
    <w:rsid w:val="004C4DE1"/>
    <w:rsid w:val="004C528A"/>
    <w:rsid w:val="004C52D6"/>
    <w:rsid w:val="004C58FE"/>
    <w:rsid w:val="004C6075"/>
    <w:rsid w:val="004C6742"/>
    <w:rsid w:val="004C6A4A"/>
    <w:rsid w:val="004C6BCC"/>
    <w:rsid w:val="004C702A"/>
    <w:rsid w:val="004C76E4"/>
    <w:rsid w:val="004C7817"/>
    <w:rsid w:val="004C7C30"/>
    <w:rsid w:val="004D02FB"/>
    <w:rsid w:val="004D0A75"/>
    <w:rsid w:val="004D135D"/>
    <w:rsid w:val="004D18CF"/>
    <w:rsid w:val="004D246B"/>
    <w:rsid w:val="004D248F"/>
    <w:rsid w:val="004D2B8D"/>
    <w:rsid w:val="004D2C5E"/>
    <w:rsid w:val="004D2CB6"/>
    <w:rsid w:val="004D4293"/>
    <w:rsid w:val="004D45DF"/>
    <w:rsid w:val="004D5719"/>
    <w:rsid w:val="004D6275"/>
    <w:rsid w:val="004D6739"/>
    <w:rsid w:val="004D6CF9"/>
    <w:rsid w:val="004D7479"/>
    <w:rsid w:val="004D7693"/>
    <w:rsid w:val="004D7B51"/>
    <w:rsid w:val="004D7BAF"/>
    <w:rsid w:val="004D7D6E"/>
    <w:rsid w:val="004D7D80"/>
    <w:rsid w:val="004D7E8D"/>
    <w:rsid w:val="004E0201"/>
    <w:rsid w:val="004E0480"/>
    <w:rsid w:val="004E10C9"/>
    <w:rsid w:val="004E16EE"/>
    <w:rsid w:val="004E1948"/>
    <w:rsid w:val="004E1A3B"/>
    <w:rsid w:val="004E1AE9"/>
    <w:rsid w:val="004E1D13"/>
    <w:rsid w:val="004E1E85"/>
    <w:rsid w:val="004E217E"/>
    <w:rsid w:val="004E219E"/>
    <w:rsid w:val="004E22CD"/>
    <w:rsid w:val="004E2929"/>
    <w:rsid w:val="004E2DDF"/>
    <w:rsid w:val="004E3223"/>
    <w:rsid w:val="004E3274"/>
    <w:rsid w:val="004E3916"/>
    <w:rsid w:val="004E41A4"/>
    <w:rsid w:val="004E4538"/>
    <w:rsid w:val="004E56E0"/>
    <w:rsid w:val="004E58E3"/>
    <w:rsid w:val="004E5A20"/>
    <w:rsid w:val="004E5D42"/>
    <w:rsid w:val="004E604E"/>
    <w:rsid w:val="004E6399"/>
    <w:rsid w:val="004E6EAF"/>
    <w:rsid w:val="004E7444"/>
    <w:rsid w:val="004E7BE3"/>
    <w:rsid w:val="004E7CB4"/>
    <w:rsid w:val="004E7CF2"/>
    <w:rsid w:val="004E7DC1"/>
    <w:rsid w:val="004F0865"/>
    <w:rsid w:val="004F204E"/>
    <w:rsid w:val="004F234D"/>
    <w:rsid w:val="004F25D5"/>
    <w:rsid w:val="004F2EED"/>
    <w:rsid w:val="004F2F78"/>
    <w:rsid w:val="004F31E5"/>
    <w:rsid w:val="004F3423"/>
    <w:rsid w:val="004F355B"/>
    <w:rsid w:val="004F3B64"/>
    <w:rsid w:val="004F3F93"/>
    <w:rsid w:val="004F408B"/>
    <w:rsid w:val="004F4158"/>
    <w:rsid w:val="004F43CD"/>
    <w:rsid w:val="004F4B4C"/>
    <w:rsid w:val="004F5424"/>
    <w:rsid w:val="004F57FE"/>
    <w:rsid w:val="004F5AF0"/>
    <w:rsid w:val="004F6439"/>
    <w:rsid w:val="004F66BD"/>
    <w:rsid w:val="004F694D"/>
    <w:rsid w:val="004F6C91"/>
    <w:rsid w:val="004F6E96"/>
    <w:rsid w:val="00500238"/>
    <w:rsid w:val="005007A6"/>
    <w:rsid w:val="00500D8C"/>
    <w:rsid w:val="0050130D"/>
    <w:rsid w:val="0050145F"/>
    <w:rsid w:val="005015CC"/>
    <w:rsid w:val="00501CDC"/>
    <w:rsid w:val="00502307"/>
    <w:rsid w:val="005024D3"/>
    <w:rsid w:val="005027AC"/>
    <w:rsid w:val="00502C69"/>
    <w:rsid w:val="00502CFA"/>
    <w:rsid w:val="00502E3E"/>
    <w:rsid w:val="00502F7A"/>
    <w:rsid w:val="00502F8D"/>
    <w:rsid w:val="005031B4"/>
    <w:rsid w:val="0050335D"/>
    <w:rsid w:val="00504865"/>
    <w:rsid w:val="00504F24"/>
    <w:rsid w:val="00505769"/>
    <w:rsid w:val="005058C6"/>
    <w:rsid w:val="00505F8A"/>
    <w:rsid w:val="005060D9"/>
    <w:rsid w:val="0050693B"/>
    <w:rsid w:val="00506A30"/>
    <w:rsid w:val="00506EE2"/>
    <w:rsid w:val="005078A5"/>
    <w:rsid w:val="00510EC1"/>
    <w:rsid w:val="00511213"/>
    <w:rsid w:val="005119F8"/>
    <w:rsid w:val="00511BD1"/>
    <w:rsid w:val="00511D88"/>
    <w:rsid w:val="00512384"/>
    <w:rsid w:val="005123B0"/>
    <w:rsid w:val="00512854"/>
    <w:rsid w:val="00513439"/>
    <w:rsid w:val="005135A3"/>
    <w:rsid w:val="00513630"/>
    <w:rsid w:val="00513707"/>
    <w:rsid w:val="00513AA0"/>
    <w:rsid w:val="00513B8E"/>
    <w:rsid w:val="00513C25"/>
    <w:rsid w:val="005147AA"/>
    <w:rsid w:val="00514AFA"/>
    <w:rsid w:val="00514FED"/>
    <w:rsid w:val="00515427"/>
    <w:rsid w:val="00515606"/>
    <w:rsid w:val="00515711"/>
    <w:rsid w:val="00515B3B"/>
    <w:rsid w:val="00515B67"/>
    <w:rsid w:val="00516149"/>
    <w:rsid w:val="0051642F"/>
    <w:rsid w:val="0051656F"/>
    <w:rsid w:val="00516DAF"/>
    <w:rsid w:val="00517EC5"/>
    <w:rsid w:val="00517FF0"/>
    <w:rsid w:val="0052028A"/>
    <w:rsid w:val="00520AED"/>
    <w:rsid w:val="00520D6D"/>
    <w:rsid w:val="005216D7"/>
    <w:rsid w:val="00521BD6"/>
    <w:rsid w:val="00521C55"/>
    <w:rsid w:val="0052252E"/>
    <w:rsid w:val="00522829"/>
    <w:rsid w:val="00522DDB"/>
    <w:rsid w:val="00523150"/>
    <w:rsid w:val="005232F7"/>
    <w:rsid w:val="005235E0"/>
    <w:rsid w:val="00523C53"/>
    <w:rsid w:val="005241D0"/>
    <w:rsid w:val="005242D7"/>
    <w:rsid w:val="00524534"/>
    <w:rsid w:val="00524EDB"/>
    <w:rsid w:val="005250CD"/>
    <w:rsid w:val="0052529A"/>
    <w:rsid w:val="00525677"/>
    <w:rsid w:val="00525DAE"/>
    <w:rsid w:val="0052653C"/>
    <w:rsid w:val="005269AC"/>
    <w:rsid w:val="00527246"/>
    <w:rsid w:val="005273BA"/>
    <w:rsid w:val="005276FF"/>
    <w:rsid w:val="00527AA3"/>
    <w:rsid w:val="00527CAF"/>
    <w:rsid w:val="00530247"/>
    <w:rsid w:val="005305FC"/>
    <w:rsid w:val="00531581"/>
    <w:rsid w:val="00531ECB"/>
    <w:rsid w:val="00532555"/>
    <w:rsid w:val="00532590"/>
    <w:rsid w:val="005336F5"/>
    <w:rsid w:val="005338F5"/>
    <w:rsid w:val="0053396B"/>
    <w:rsid w:val="00533B19"/>
    <w:rsid w:val="005343DC"/>
    <w:rsid w:val="00534469"/>
    <w:rsid w:val="00534A74"/>
    <w:rsid w:val="00535237"/>
    <w:rsid w:val="00535383"/>
    <w:rsid w:val="005359FD"/>
    <w:rsid w:val="00535F73"/>
    <w:rsid w:val="00535FAB"/>
    <w:rsid w:val="00536170"/>
    <w:rsid w:val="005368C8"/>
    <w:rsid w:val="00536CAC"/>
    <w:rsid w:val="00536E4B"/>
    <w:rsid w:val="00536E4D"/>
    <w:rsid w:val="0053719C"/>
    <w:rsid w:val="005372E4"/>
    <w:rsid w:val="0053796C"/>
    <w:rsid w:val="00537B44"/>
    <w:rsid w:val="00537CC0"/>
    <w:rsid w:val="00540AAE"/>
    <w:rsid w:val="00540CA3"/>
    <w:rsid w:val="00541283"/>
    <w:rsid w:val="00541743"/>
    <w:rsid w:val="005419FF"/>
    <w:rsid w:val="00541AC4"/>
    <w:rsid w:val="00541C62"/>
    <w:rsid w:val="00541CB7"/>
    <w:rsid w:val="00542509"/>
    <w:rsid w:val="005427B7"/>
    <w:rsid w:val="005427F0"/>
    <w:rsid w:val="00542F76"/>
    <w:rsid w:val="005430F6"/>
    <w:rsid w:val="00543132"/>
    <w:rsid w:val="005434E9"/>
    <w:rsid w:val="00543F75"/>
    <w:rsid w:val="005442F0"/>
    <w:rsid w:val="005449A9"/>
    <w:rsid w:val="005449C6"/>
    <w:rsid w:val="00544FBD"/>
    <w:rsid w:val="00545049"/>
    <w:rsid w:val="005456D9"/>
    <w:rsid w:val="00545713"/>
    <w:rsid w:val="00545A11"/>
    <w:rsid w:val="00545BFC"/>
    <w:rsid w:val="00545E9D"/>
    <w:rsid w:val="005464F3"/>
    <w:rsid w:val="00546FED"/>
    <w:rsid w:val="00550004"/>
    <w:rsid w:val="0055000B"/>
    <w:rsid w:val="00550329"/>
    <w:rsid w:val="00550467"/>
    <w:rsid w:val="005505B7"/>
    <w:rsid w:val="0055086E"/>
    <w:rsid w:val="00550D05"/>
    <w:rsid w:val="00551098"/>
    <w:rsid w:val="005512A6"/>
    <w:rsid w:val="00551560"/>
    <w:rsid w:val="00551653"/>
    <w:rsid w:val="0055178B"/>
    <w:rsid w:val="00551A2E"/>
    <w:rsid w:val="00551E19"/>
    <w:rsid w:val="0055204C"/>
    <w:rsid w:val="0055232B"/>
    <w:rsid w:val="00552B9C"/>
    <w:rsid w:val="00552BF9"/>
    <w:rsid w:val="00553D8D"/>
    <w:rsid w:val="00553F24"/>
    <w:rsid w:val="00554353"/>
    <w:rsid w:val="005545B2"/>
    <w:rsid w:val="0055460C"/>
    <w:rsid w:val="00554747"/>
    <w:rsid w:val="00554BBB"/>
    <w:rsid w:val="00554D73"/>
    <w:rsid w:val="0055510D"/>
    <w:rsid w:val="005557E3"/>
    <w:rsid w:val="00555BEA"/>
    <w:rsid w:val="00556A0E"/>
    <w:rsid w:val="0055702D"/>
    <w:rsid w:val="0055724C"/>
    <w:rsid w:val="00557487"/>
    <w:rsid w:val="005577B3"/>
    <w:rsid w:val="005577CD"/>
    <w:rsid w:val="005579EC"/>
    <w:rsid w:val="0056013E"/>
    <w:rsid w:val="00560727"/>
    <w:rsid w:val="005617C7"/>
    <w:rsid w:val="00561E7E"/>
    <w:rsid w:val="005623D5"/>
    <w:rsid w:val="00562481"/>
    <w:rsid w:val="0056265A"/>
    <w:rsid w:val="005627AE"/>
    <w:rsid w:val="00562E6A"/>
    <w:rsid w:val="0056323F"/>
    <w:rsid w:val="00563498"/>
    <w:rsid w:val="0056389D"/>
    <w:rsid w:val="00563DE8"/>
    <w:rsid w:val="00563F57"/>
    <w:rsid w:val="005646E1"/>
    <w:rsid w:val="005648D9"/>
    <w:rsid w:val="0056497F"/>
    <w:rsid w:val="00564A23"/>
    <w:rsid w:val="0056508D"/>
    <w:rsid w:val="005656D1"/>
    <w:rsid w:val="00565971"/>
    <w:rsid w:val="00565B86"/>
    <w:rsid w:val="00565D61"/>
    <w:rsid w:val="00566232"/>
    <w:rsid w:val="0056686F"/>
    <w:rsid w:val="00566C34"/>
    <w:rsid w:val="005673AA"/>
    <w:rsid w:val="00567DB0"/>
    <w:rsid w:val="00567E3E"/>
    <w:rsid w:val="0057010E"/>
    <w:rsid w:val="00570180"/>
    <w:rsid w:val="005702F5"/>
    <w:rsid w:val="00570AA5"/>
    <w:rsid w:val="00570CB9"/>
    <w:rsid w:val="00571114"/>
    <w:rsid w:val="0057113B"/>
    <w:rsid w:val="0057172F"/>
    <w:rsid w:val="00571B99"/>
    <w:rsid w:val="0057206A"/>
    <w:rsid w:val="005721D3"/>
    <w:rsid w:val="005724CC"/>
    <w:rsid w:val="005724DE"/>
    <w:rsid w:val="005726F5"/>
    <w:rsid w:val="005728AC"/>
    <w:rsid w:val="005729A1"/>
    <w:rsid w:val="00572D88"/>
    <w:rsid w:val="00572FE5"/>
    <w:rsid w:val="00573225"/>
    <w:rsid w:val="0057383E"/>
    <w:rsid w:val="0057394E"/>
    <w:rsid w:val="00573CE0"/>
    <w:rsid w:val="00574539"/>
    <w:rsid w:val="0057475D"/>
    <w:rsid w:val="00574D9E"/>
    <w:rsid w:val="00575484"/>
    <w:rsid w:val="00575CFA"/>
    <w:rsid w:val="00576111"/>
    <w:rsid w:val="00576B33"/>
    <w:rsid w:val="00576E44"/>
    <w:rsid w:val="005772B4"/>
    <w:rsid w:val="0057752D"/>
    <w:rsid w:val="005777FB"/>
    <w:rsid w:val="005778E0"/>
    <w:rsid w:val="00577AE6"/>
    <w:rsid w:val="00580170"/>
    <w:rsid w:val="0058023D"/>
    <w:rsid w:val="00580419"/>
    <w:rsid w:val="0058043B"/>
    <w:rsid w:val="00580A48"/>
    <w:rsid w:val="00580E4E"/>
    <w:rsid w:val="00580ED4"/>
    <w:rsid w:val="00581212"/>
    <w:rsid w:val="00581530"/>
    <w:rsid w:val="00581C01"/>
    <w:rsid w:val="00581FE4"/>
    <w:rsid w:val="005822F6"/>
    <w:rsid w:val="005829F3"/>
    <w:rsid w:val="00582AD5"/>
    <w:rsid w:val="00582D9A"/>
    <w:rsid w:val="00582FCA"/>
    <w:rsid w:val="0058304A"/>
    <w:rsid w:val="005833C6"/>
    <w:rsid w:val="005836EC"/>
    <w:rsid w:val="00583AF2"/>
    <w:rsid w:val="00583BA8"/>
    <w:rsid w:val="0058408C"/>
    <w:rsid w:val="00584485"/>
    <w:rsid w:val="0058493B"/>
    <w:rsid w:val="00584CB9"/>
    <w:rsid w:val="00584F4C"/>
    <w:rsid w:val="0058504C"/>
    <w:rsid w:val="00585AA0"/>
    <w:rsid w:val="00585C13"/>
    <w:rsid w:val="005861B6"/>
    <w:rsid w:val="00586250"/>
    <w:rsid w:val="005865CE"/>
    <w:rsid w:val="00586FB4"/>
    <w:rsid w:val="005873BB"/>
    <w:rsid w:val="00587A29"/>
    <w:rsid w:val="00587D87"/>
    <w:rsid w:val="005903CD"/>
    <w:rsid w:val="00590BE2"/>
    <w:rsid w:val="00591076"/>
    <w:rsid w:val="005917B6"/>
    <w:rsid w:val="005917D0"/>
    <w:rsid w:val="00592732"/>
    <w:rsid w:val="00592B97"/>
    <w:rsid w:val="00593BD2"/>
    <w:rsid w:val="00593F95"/>
    <w:rsid w:val="00593FF1"/>
    <w:rsid w:val="0059475F"/>
    <w:rsid w:val="00594CD7"/>
    <w:rsid w:val="005958AE"/>
    <w:rsid w:val="00595ED6"/>
    <w:rsid w:val="00596052"/>
    <w:rsid w:val="00596309"/>
    <w:rsid w:val="00596408"/>
    <w:rsid w:val="005965A9"/>
    <w:rsid w:val="00597283"/>
    <w:rsid w:val="00597448"/>
    <w:rsid w:val="00597804"/>
    <w:rsid w:val="0059792F"/>
    <w:rsid w:val="00597BE4"/>
    <w:rsid w:val="005A019E"/>
    <w:rsid w:val="005A0491"/>
    <w:rsid w:val="005A05B6"/>
    <w:rsid w:val="005A0814"/>
    <w:rsid w:val="005A09C2"/>
    <w:rsid w:val="005A1399"/>
    <w:rsid w:val="005A1514"/>
    <w:rsid w:val="005A1A34"/>
    <w:rsid w:val="005A1D50"/>
    <w:rsid w:val="005A21EE"/>
    <w:rsid w:val="005A231B"/>
    <w:rsid w:val="005A24FF"/>
    <w:rsid w:val="005A28DF"/>
    <w:rsid w:val="005A2F41"/>
    <w:rsid w:val="005A33CB"/>
    <w:rsid w:val="005A350C"/>
    <w:rsid w:val="005A3693"/>
    <w:rsid w:val="005A3DD0"/>
    <w:rsid w:val="005A47D5"/>
    <w:rsid w:val="005A4895"/>
    <w:rsid w:val="005A5783"/>
    <w:rsid w:val="005A6108"/>
    <w:rsid w:val="005A7376"/>
    <w:rsid w:val="005A7820"/>
    <w:rsid w:val="005A7879"/>
    <w:rsid w:val="005A788F"/>
    <w:rsid w:val="005A79E2"/>
    <w:rsid w:val="005A7E7F"/>
    <w:rsid w:val="005B02DF"/>
    <w:rsid w:val="005B0437"/>
    <w:rsid w:val="005B05B3"/>
    <w:rsid w:val="005B05F5"/>
    <w:rsid w:val="005B0F39"/>
    <w:rsid w:val="005B148F"/>
    <w:rsid w:val="005B1AB9"/>
    <w:rsid w:val="005B1BEA"/>
    <w:rsid w:val="005B1CC5"/>
    <w:rsid w:val="005B1DA5"/>
    <w:rsid w:val="005B202F"/>
    <w:rsid w:val="005B21DA"/>
    <w:rsid w:val="005B2493"/>
    <w:rsid w:val="005B260E"/>
    <w:rsid w:val="005B2EA8"/>
    <w:rsid w:val="005B34C2"/>
    <w:rsid w:val="005B380E"/>
    <w:rsid w:val="005B3C3E"/>
    <w:rsid w:val="005B3D32"/>
    <w:rsid w:val="005B5335"/>
    <w:rsid w:val="005B5853"/>
    <w:rsid w:val="005B5A1E"/>
    <w:rsid w:val="005B5EEC"/>
    <w:rsid w:val="005B6B38"/>
    <w:rsid w:val="005B6EF1"/>
    <w:rsid w:val="005B6F05"/>
    <w:rsid w:val="005B7F43"/>
    <w:rsid w:val="005C02D9"/>
    <w:rsid w:val="005C0D70"/>
    <w:rsid w:val="005C1182"/>
    <w:rsid w:val="005C11E1"/>
    <w:rsid w:val="005C1467"/>
    <w:rsid w:val="005C1502"/>
    <w:rsid w:val="005C1746"/>
    <w:rsid w:val="005C198D"/>
    <w:rsid w:val="005C1F6A"/>
    <w:rsid w:val="005C2A6A"/>
    <w:rsid w:val="005C2F03"/>
    <w:rsid w:val="005C2F77"/>
    <w:rsid w:val="005C3717"/>
    <w:rsid w:val="005C38A2"/>
    <w:rsid w:val="005C4047"/>
    <w:rsid w:val="005C4361"/>
    <w:rsid w:val="005C45E4"/>
    <w:rsid w:val="005C4B7F"/>
    <w:rsid w:val="005C4F16"/>
    <w:rsid w:val="005C4FBE"/>
    <w:rsid w:val="005C50FA"/>
    <w:rsid w:val="005C52C4"/>
    <w:rsid w:val="005C5A2E"/>
    <w:rsid w:val="005C6045"/>
    <w:rsid w:val="005C61A7"/>
    <w:rsid w:val="005C63FF"/>
    <w:rsid w:val="005C6499"/>
    <w:rsid w:val="005C661A"/>
    <w:rsid w:val="005C74C0"/>
    <w:rsid w:val="005C7E2E"/>
    <w:rsid w:val="005D00E2"/>
    <w:rsid w:val="005D0B0A"/>
    <w:rsid w:val="005D0D8D"/>
    <w:rsid w:val="005D1125"/>
    <w:rsid w:val="005D187A"/>
    <w:rsid w:val="005D1ACA"/>
    <w:rsid w:val="005D2272"/>
    <w:rsid w:val="005D33E5"/>
    <w:rsid w:val="005D3557"/>
    <w:rsid w:val="005D3C95"/>
    <w:rsid w:val="005D4D9E"/>
    <w:rsid w:val="005D5072"/>
    <w:rsid w:val="005D58C3"/>
    <w:rsid w:val="005D59BC"/>
    <w:rsid w:val="005D6D96"/>
    <w:rsid w:val="005D7678"/>
    <w:rsid w:val="005D7F70"/>
    <w:rsid w:val="005E14A3"/>
    <w:rsid w:val="005E1B51"/>
    <w:rsid w:val="005E25A6"/>
    <w:rsid w:val="005E270C"/>
    <w:rsid w:val="005E276A"/>
    <w:rsid w:val="005E2BE7"/>
    <w:rsid w:val="005E2EC9"/>
    <w:rsid w:val="005E3036"/>
    <w:rsid w:val="005E334F"/>
    <w:rsid w:val="005E3557"/>
    <w:rsid w:val="005E3630"/>
    <w:rsid w:val="005E3B74"/>
    <w:rsid w:val="005E3BFB"/>
    <w:rsid w:val="005E3CA1"/>
    <w:rsid w:val="005E41B1"/>
    <w:rsid w:val="005E4942"/>
    <w:rsid w:val="005E4948"/>
    <w:rsid w:val="005E5DE3"/>
    <w:rsid w:val="005E5F36"/>
    <w:rsid w:val="005E6744"/>
    <w:rsid w:val="005E6815"/>
    <w:rsid w:val="005E6828"/>
    <w:rsid w:val="005E6F21"/>
    <w:rsid w:val="005E6F6E"/>
    <w:rsid w:val="005E7604"/>
    <w:rsid w:val="005E7C7D"/>
    <w:rsid w:val="005F0324"/>
    <w:rsid w:val="005F0747"/>
    <w:rsid w:val="005F07F5"/>
    <w:rsid w:val="005F09CB"/>
    <w:rsid w:val="005F0C58"/>
    <w:rsid w:val="005F0E61"/>
    <w:rsid w:val="005F0F49"/>
    <w:rsid w:val="005F15F1"/>
    <w:rsid w:val="005F1651"/>
    <w:rsid w:val="005F1B67"/>
    <w:rsid w:val="005F23DE"/>
    <w:rsid w:val="005F2C14"/>
    <w:rsid w:val="005F2E83"/>
    <w:rsid w:val="005F2F1C"/>
    <w:rsid w:val="005F33FB"/>
    <w:rsid w:val="005F3BFA"/>
    <w:rsid w:val="005F3E68"/>
    <w:rsid w:val="005F431A"/>
    <w:rsid w:val="005F4469"/>
    <w:rsid w:val="005F4532"/>
    <w:rsid w:val="005F472D"/>
    <w:rsid w:val="005F4815"/>
    <w:rsid w:val="005F4950"/>
    <w:rsid w:val="005F5141"/>
    <w:rsid w:val="005F51F2"/>
    <w:rsid w:val="005F5F0B"/>
    <w:rsid w:val="005F6230"/>
    <w:rsid w:val="005F668D"/>
    <w:rsid w:val="005F676F"/>
    <w:rsid w:val="005F6BE6"/>
    <w:rsid w:val="005F70AD"/>
    <w:rsid w:val="005F730C"/>
    <w:rsid w:val="005F7584"/>
    <w:rsid w:val="005F77A1"/>
    <w:rsid w:val="005F784F"/>
    <w:rsid w:val="005F78BA"/>
    <w:rsid w:val="00600146"/>
    <w:rsid w:val="00600379"/>
    <w:rsid w:val="006003DE"/>
    <w:rsid w:val="00600D45"/>
    <w:rsid w:val="00600EC1"/>
    <w:rsid w:val="006015FF"/>
    <w:rsid w:val="00601B37"/>
    <w:rsid w:val="00601F35"/>
    <w:rsid w:val="0060213B"/>
    <w:rsid w:val="00602183"/>
    <w:rsid w:val="006023EB"/>
    <w:rsid w:val="00603730"/>
    <w:rsid w:val="00603A3B"/>
    <w:rsid w:val="00603B58"/>
    <w:rsid w:val="00604544"/>
    <w:rsid w:val="00604BFB"/>
    <w:rsid w:val="00605191"/>
    <w:rsid w:val="0060562E"/>
    <w:rsid w:val="006064D4"/>
    <w:rsid w:val="006066EE"/>
    <w:rsid w:val="00606768"/>
    <w:rsid w:val="00606B28"/>
    <w:rsid w:val="006072E6"/>
    <w:rsid w:val="00607679"/>
    <w:rsid w:val="006079C8"/>
    <w:rsid w:val="00607A44"/>
    <w:rsid w:val="00607A7B"/>
    <w:rsid w:val="00607A85"/>
    <w:rsid w:val="00607CE3"/>
    <w:rsid w:val="00607F39"/>
    <w:rsid w:val="0061042A"/>
    <w:rsid w:val="006107D3"/>
    <w:rsid w:val="00610855"/>
    <w:rsid w:val="00610E58"/>
    <w:rsid w:val="00611D0D"/>
    <w:rsid w:val="006125BB"/>
    <w:rsid w:val="00612725"/>
    <w:rsid w:val="00612E7F"/>
    <w:rsid w:val="00612F11"/>
    <w:rsid w:val="0061308B"/>
    <w:rsid w:val="00613AE5"/>
    <w:rsid w:val="00613BB1"/>
    <w:rsid w:val="00614260"/>
    <w:rsid w:val="00614B84"/>
    <w:rsid w:val="00614E2C"/>
    <w:rsid w:val="00615320"/>
    <w:rsid w:val="006161D7"/>
    <w:rsid w:val="00616450"/>
    <w:rsid w:val="006165DE"/>
    <w:rsid w:val="00616DC1"/>
    <w:rsid w:val="00616E2B"/>
    <w:rsid w:val="0061700A"/>
    <w:rsid w:val="0061718B"/>
    <w:rsid w:val="0061728C"/>
    <w:rsid w:val="006175A0"/>
    <w:rsid w:val="006177D4"/>
    <w:rsid w:val="00617828"/>
    <w:rsid w:val="006201C7"/>
    <w:rsid w:val="006204C5"/>
    <w:rsid w:val="006204DC"/>
    <w:rsid w:val="0062163E"/>
    <w:rsid w:val="00621AB4"/>
    <w:rsid w:val="00622415"/>
    <w:rsid w:val="00622424"/>
    <w:rsid w:val="0062246F"/>
    <w:rsid w:val="00622567"/>
    <w:rsid w:val="00622D25"/>
    <w:rsid w:val="00622D41"/>
    <w:rsid w:val="00622E72"/>
    <w:rsid w:val="00623287"/>
    <w:rsid w:val="00623845"/>
    <w:rsid w:val="00623852"/>
    <w:rsid w:val="006243DF"/>
    <w:rsid w:val="006248B4"/>
    <w:rsid w:val="006249DA"/>
    <w:rsid w:val="006256F9"/>
    <w:rsid w:val="00625DDF"/>
    <w:rsid w:val="006267A6"/>
    <w:rsid w:val="00626D9F"/>
    <w:rsid w:val="00626E9E"/>
    <w:rsid w:val="00626F26"/>
    <w:rsid w:val="00627011"/>
    <w:rsid w:val="00627130"/>
    <w:rsid w:val="00627138"/>
    <w:rsid w:val="00627181"/>
    <w:rsid w:val="00627392"/>
    <w:rsid w:val="006273F6"/>
    <w:rsid w:val="00627579"/>
    <w:rsid w:val="00627B3C"/>
    <w:rsid w:val="006300AD"/>
    <w:rsid w:val="00630421"/>
    <w:rsid w:val="00631076"/>
    <w:rsid w:val="00631DE8"/>
    <w:rsid w:val="006324AB"/>
    <w:rsid w:val="00632644"/>
    <w:rsid w:val="00632C24"/>
    <w:rsid w:val="00632F30"/>
    <w:rsid w:val="0063395C"/>
    <w:rsid w:val="00633BF5"/>
    <w:rsid w:val="00633C56"/>
    <w:rsid w:val="00633CCD"/>
    <w:rsid w:val="00634BCB"/>
    <w:rsid w:val="00635096"/>
    <w:rsid w:val="00635303"/>
    <w:rsid w:val="00635505"/>
    <w:rsid w:val="0063583F"/>
    <w:rsid w:val="00635AE5"/>
    <w:rsid w:val="006363A7"/>
    <w:rsid w:val="0063695F"/>
    <w:rsid w:val="00636B6E"/>
    <w:rsid w:val="00636DE3"/>
    <w:rsid w:val="00636F58"/>
    <w:rsid w:val="00637011"/>
    <w:rsid w:val="006375DB"/>
    <w:rsid w:val="006378D3"/>
    <w:rsid w:val="006379AE"/>
    <w:rsid w:val="00637AF3"/>
    <w:rsid w:val="0064003F"/>
    <w:rsid w:val="006404E7"/>
    <w:rsid w:val="006405A1"/>
    <w:rsid w:val="00640B38"/>
    <w:rsid w:val="0064135A"/>
    <w:rsid w:val="00641640"/>
    <w:rsid w:val="00641B26"/>
    <w:rsid w:val="00642BD7"/>
    <w:rsid w:val="006431AE"/>
    <w:rsid w:val="00643342"/>
    <w:rsid w:val="0064337B"/>
    <w:rsid w:val="006433F4"/>
    <w:rsid w:val="006434FC"/>
    <w:rsid w:val="00643804"/>
    <w:rsid w:val="006438CB"/>
    <w:rsid w:val="00643B67"/>
    <w:rsid w:val="00644734"/>
    <w:rsid w:val="00644906"/>
    <w:rsid w:val="00644C72"/>
    <w:rsid w:val="0064519E"/>
    <w:rsid w:val="006453D1"/>
    <w:rsid w:val="00645B88"/>
    <w:rsid w:val="006463C9"/>
    <w:rsid w:val="00646489"/>
    <w:rsid w:val="00646BFE"/>
    <w:rsid w:val="00646C1E"/>
    <w:rsid w:val="006477F1"/>
    <w:rsid w:val="006500CC"/>
    <w:rsid w:val="006502D9"/>
    <w:rsid w:val="00650443"/>
    <w:rsid w:val="00650A67"/>
    <w:rsid w:val="00650DF8"/>
    <w:rsid w:val="00650FE0"/>
    <w:rsid w:val="00651566"/>
    <w:rsid w:val="006517B7"/>
    <w:rsid w:val="006518C6"/>
    <w:rsid w:val="00651E4F"/>
    <w:rsid w:val="006522C6"/>
    <w:rsid w:val="00652810"/>
    <w:rsid w:val="00652A4C"/>
    <w:rsid w:val="00652B5A"/>
    <w:rsid w:val="006539B1"/>
    <w:rsid w:val="00653A3A"/>
    <w:rsid w:val="006541D5"/>
    <w:rsid w:val="006543F3"/>
    <w:rsid w:val="00654892"/>
    <w:rsid w:val="00654CE5"/>
    <w:rsid w:val="00654CFA"/>
    <w:rsid w:val="0065544E"/>
    <w:rsid w:val="00655CC6"/>
    <w:rsid w:val="00656041"/>
    <w:rsid w:val="006560AD"/>
    <w:rsid w:val="006576BB"/>
    <w:rsid w:val="006576CB"/>
    <w:rsid w:val="0065778E"/>
    <w:rsid w:val="006579D0"/>
    <w:rsid w:val="00657B85"/>
    <w:rsid w:val="00657B8A"/>
    <w:rsid w:val="00660854"/>
    <w:rsid w:val="0066092A"/>
    <w:rsid w:val="00661026"/>
    <w:rsid w:val="0066134E"/>
    <w:rsid w:val="006614DF"/>
    <w:rsid w:val="00661D2B"/>
    <w:rsid w:val="006624C6"/>
    <w:rsid w:val="00662888"/>
    <w:rsid w:val="00662C78"/>
    <w:rsid w:val="00663156"/>
    <w:rsid w:val="00663491"/>
    <w:rsid w:val="00663578"/>
    <w:rsid w:val="00663C1B"/>
    <w:rsid w:val="00663D3F"/>
    <w:rsid w:val="00663E18"/>
    <w:rsid w:val="006645C2"/>
    <w:rsid w:val="0066507D"/>
    <w:rsid w:val="006652D0"/>
    <w:rsid w:val="00665924"/>
    <w:rsid w:val="006659D5"/>
    <w:rsid w:val="00665BC2"/>
    <w:rsid w:val="00665FC9"/>
    <w:rsid w:val="00666236"/>
    <w:rsid w:val="0066653E"/>
    <w:rsid w:val="0066738D"/>
    <w:rsid w:val="006679D7"/>
    <w:rsid w:val="0067004D"/>
    <w:rsid w:val="006702DC"/>
    <w:rsid w:val="00670507"/>
    <w:rsid w:val="00670822"/>
    <w:rsid w:val="00670E79"/>
    <w:rsid w:val="00671B1E"/>
    <w:rsid w:val="00671B73"/>
    <w:rsid w:val="00672034"/>
    <w:rsid w:val="00672807"/>
    <w:rsid w:val="0067325E"/>
    <w:rsid w:val="006735C3"/>
    <w:rsid w:val="006739EB"/>
    <w:rsid w:val="00673A9D"/>
    <w:rsid w:val="00673FF8"/>
    <w:rsid w:val="00674063"/>
    <w:rsid w:val="00674CD3"/>
    <w:rsid w:val="00674FD4"/>
    <w:rsid w:val="00675184"/>
    <w:rsid w:val="0067524A"/>
    <w:rsid w:val="006759D6"/>
    <w:rsid w:val="00676048"/>
    <w:rsid w:val="00676890"/>
    <w:rsid w:val="00676C3C"/>
    <w:rsid w:val="00677775"/>
    <w:rsid w:val="00677B72"/>
    <w:rsid w:val="00677FD1"/>
    <w:rsid w:val="00680FD9"/>
    <w:rsid w:val="0068207D"/>
    <w:rsid w:val="006821A9"/>
    <w:rsid w:val="006821E8"/>
    <w:rsid w:val="00683134"/>
    <w:rsid w:val="006831DF"/>
    <w:rsid w:val="0068324E"/>
    <w:rsid w:val="0068356E"/>
    <w:rsid w:val="00683B25"/>
    <w:rsid w:val="00683BFA"/>
    <w:rsid w:val="00683DF7"/>
    <w:rsid w:val="0068487E"/>
    <w:rsid w:val="00684BD7"/>
    <w:rsid w:val="00686041"/>
    <w:rsid w:val="006869E6"/>
    <w:rsid w:val="00686B5C"/>
    <w:rsid w:val="00686BA1"/>
    <w:rsid w:val="00686DE3"/>
    <w:rsid w:val="00686F9D"/>
    <w:rsid w:val="006870AF"/>
    <w:rsid w:val="00687372"/>
    <w:rsid w:val="006873C0"/>
    <w:rsid w:val="00687BEE"/>
    <w:rsid w:val="00690DDC"/>
    <w:rsid w:val="0069106B"/>
    <w:rsid w:val="00691282"/>
    <w:rsid w:val="00691730"/>
    <w:rsid w:val="006917EF"/>
    <w:rsid w:val="00692415"/>
    <w:rsid w:val="006929CC"/>
    <w:rsid w:val="006929D5"/>
    <w:rsid w:val="00692B17"/>
    <w:rsid w:val="00693617"/>
    <w:rsid w:val="00693903"/>
    <w:rsid w:val="00693995"/>
    <w:rsid w:val="00693A68"/>
    <w:rsid w:val="00693E3D"/>
    <w:rsid w:val="0069494F"/>
    <w:rsid w:val="0069509F"/>
    <w:rsid w:val="006957A0"/>
    <w:rsid w:val="00695ACD"/>
    <w:rsid w:val="00695C15"/>
    <w:rsid w:val="0069657D"/>
    <w:rsid w:val="0069689D"/>
    <w:rsid w:val="00696ADE"/>
    <w:rsid w:val="00696B3D"/>
    <w:rsid w:val="00696DA1"/>
    <w:rsid w:val="00697260"/>
    <w:rsid w:val="0069737B"/>
    <w:rsid w:val="00697A66"/>
    <w:rsid w:val="006A0116"/>
    <w:rsid w:val="006A0B68"/>
    <w:rsid w:val="006A0C41"/>
    <w:rsid w:val="006A14F2"/>
    <w:rsid w:val="006A16B8"/>
    <w:rsid w:val="006A1949"/>
    <w:rsid w:val="006A1F28"/>
    <w:rsid w:val="006A2335"/>
    <w:rsid w:val="006A2748"/>
    <w:rsid w:val="006A2771"/>
    <w:rsid w:val="006A27FD"/>
    <w:rsid w:val="006A289B"/>
    <w:rsid w:val="006A295A"/>
    <w:rsid w:val="006A33CD"/>
    <w:rsid w:val="006A3961"/>
    <w:rsid w:val="006A54C7"/>
    <w:rsid w:val="006A582D"/>
    <w:rsid w:val="006A582E"/>
    <w:rsid w:val="006A5E28"/>
    <w:rsid w:val="006A655B"/>
    <w:rsid w:val="006A67B9"/>
    <w:rsid w:val="006A6959"/>
    <w:rsid w:val="006A6C70"/>
    <w:rsid w:val="006A6D2C"/>
    <w:rsid w:val="006A70C8"/>
    <w:rsid w:val="006A7250"/>
    <w:rsid w:val="006A7630"/>
    <w:rsid w:val="006A7BD2"/>
    <w:rsid w:val="006A7DB3"/>
    <w:rsid w:val="006B0D03"/>
    <w:rsid w:val="006B0EED"/>
    <w:rsid w:val="006B105C"/>
    <w:rsid w:val="006B10A3"/>
    <w:rsid w:val="006B10C3"/>
    <w:rsid w:val="006B112E"/>
    <w:rsid w:val="006B1170"/>
    <w:rsid w:val="006B1559"/>
    <w:rsid w:val="006B18A5"/>
    <w:rsid w:val="006B19D9"/>
    <w:rsid w:val="006B1BFE"/>
    <w:rsid w:val="006B1F09"/>
    <w:rsid w:val="006B202C"/>
    <w:rsid w:val="006B2AA2"/>
    <w:rsid w:val="006B2C7B"/>
    <w:rsid w:val="006B2F36"/>
    <w:rsid w:val="006B3891"/>
    <w:rsid w:val="006B3CBF"/>
    <w:rsid w:val="006B4BB6"/>
    <w:rsid w:val="006B5740"/>
    <w:rsid w:val="006B5FA6"/>
    <w:rsid w:val="006B6278"/>
    <w:rsid w:val="006B65FB"/>
    <w:rsid w:val="006B662D"/>
    <w:rsid w:val="006B6842"/>
    <w:rsid w:val="006B7865"/>
    <w:rsid w:val="006B7DEE"/>
    <w:rsid w:val="006B7F9B"/>
    <w:rsid w:val="006C056E"/>
    <w:rsid w:val="006C09C6"/>
    <w:rsid w:val="006C0C3C"/>
    <w:rsid w:val="006C0FCE"/>
    <w:rsid w:val="006C11F9"/>
    <w:rsid w:val="006C1791"/>
    <w:rsid w:val="006C1E6D"/>
    <w:rsid w:val="006C2200"/>
    <w:rsid w:val="006C25D4"/>
    <w:rsid w:val="006C26AE"/>
    <w:rsid w:val="006C329C"/>
    <w:rsid w:val="006C3446"/>
    <w:rsid w:val="006C349C"/>
    <w:rsid w:val="006C3D25"/>
    <w:rsid w:val="006C4061"/>
    <w:rsid w:val="006C42E6"/>
    <w:rsid w:val="006C4A8C"/>
    <w:rsid w:val="006C4B22"/>
    <w:rsid w:val="006C4F6A"/>
    <w:rsid w:val="006C4FE0"/>
    <w:rsid w:val="006C5150"/>
    <w:rsid w:val="006C69D0"/>
    <w:rsid w:val="006C6AA9"/>
    <w:rsid w:val="006C7739"/>
    <w:rsid w:val="006C7955"/>
    <w:rsid w:val="006C7AD6"/>
    <w:rsid w:val="006C7B62"/>
    <w:rsid w:val="006D0008"/>
    <w:rsid w:val="006D026B"/>
    <w:rsid w:val="006D03A5"/>
    <w:rsid w:val="006D091C"/>
    <w:rsid w:val="006D1F80"/>
    <w:rsid w:val="006D1F98"/>
    <w:rsid w:val="006D22B1"/>
    <w:rsid w:val="006D238A"/>
    <w:rsid w:val="006D2500"/>
    <w:rsid w:val="006D3214"/>
    <w:rsid w:val="006D3501"/>
    <w:rsid w:val="006D40A4"/>
    <w:rsid w:val="006D55DD"/>
    <w:rsid w:val="006D5E35"/>
    <w:rsid w:val="006D60C5"/>
    <w:rsid w:val="006D6367"/>
    <w:rsid w:val="006D7564"/>
    <w:rsid w:val="006D7F74"/>
    <w:rsid w:val="006E03DA"/>
    <w:rsid w:val="006E0D22"/>
    <w:rsid w:val="006E1021"/>
    <w:rsid w:val="006E10AA"/>
    <w:rsid w:val="006E1527"/>
    <w:rsid w:val="006E16DE"/>
    <w:rsid w:val="006E1DD9"/>
    <w:rsid w:val="006E2206"/>
    <w:rsid w:val="006E260F"/>
    <w:rsid w:val="006E2AAF"/>
    <w:rsid w:val="006E2C7B"/>
    <w:rsid w:val="006E3F50"/>
    <w:rsid w:val="006E403F"/>
    <w:rsid w:val="006E566B"/>
    <w:rsid w:val="006E5B5A"/>
    <w:rsid w:val="006E5BA3"/>
    <w:rsid w:val="006E5FB3"/>
    <w:rsid w:val="006E61A6"/>
    <w:rsid w:val="006E735F"/>
    <w:rsid w:val="006E78AE"/>
    <w:rsid w:val="006E78EE"/>
    <w:rsid w:val="006E7C3B"/>
    <w:rsid w:val="006E7DB8"/>
    <w:rsid w:val="006E7E8D"/>
    <w:rsid w:val="006F032D"/>
    <w:rsid w:val="006F06A1"/>
    <w:rsid w:val="006F154D"/>
    <w:rsid w:val="006F18AD"/>
    <w:rsid w:val="006F1C18"/>
    <w:rsid w:val="006F1E7F"/>
    <w:rsid w:val="006F1EFD"/>
    <w:rsid w:val="006F24E5"/>
    <w:rsid w:val="006F257A"/>
    <w:rsid w:val="006F269A"/>
    <w:rsid w:val="006F2CA0"/>
    <w:rsid w:val="006F2E7A"/>
    <w:rsid w:val="006F3098"/>
    <w:rsid w:val="006F33D5"/>
    <w:rsid w:val="006F33F3"/>
    <w:rsid w:val="006F3584"/>
    <w:rsid w:val="006F39E1"/>
    <w:rsid w:val="006F4039"/>
    <w:rsid w:val="006F4C92"/>
    <w:rsid w:val="006F4E52"/>
    <w:rsid w:val="006F4F4C"/>
    <w:rsid w:val="006F4FE1"/>
    <w:rsid w:val="006F5550"/>
    <w:rsid w:val="006F6A2B"/>
    <w:rsid w:val="006F6F76"/>
    <w:rsid w:val="006F7250"/>
    <w:rsid w:val="006F7410"/>
    <w:rsid w:val="006F7D1F"/>
    <w:rsid w:val="00700663"/>
    <w:rsid w:val="0070071F"/>
    <w:rsid w:val="00700790"/>
    <w:rsid w:val="007007BD"/>
    <w:rsid w:val="00700ABD"/>
    <w:rsid w:val="00701524"/>
    <w:rsid w:val="00702801"/>
    <w:rsid w:val="00702AF7"/>
    <w:rsid w:val="0070304E"/>
    <w:rsid w:val="00703395"/>
    <w:rsid w:val="00703501"/>
    <w:rsid w:val="007035C8"/>
    <w:rsid w:val="0070469F"/>
    <w:rsid w:val="007051A4"/>
    <w:rsid w:val="00705C88"/>
    <w:rsid w:val="00706096"/>
    <w:rsid w:val="00706159"/>
    <w:rsid w:val="007064A8"/>
    <w:rsid w:val="007064B2"/>
    <w:rsid w:val="007068AB"/>
    <w:rsid w:val="007074FD"/>
    <w:rsid w:val="0070755C"/>
    <w:rsid w:val="007076BB"/>
    <w:rsid w:val="00707A38"/>
    <w:rsid w:val="00707ECC"/>
    <w:rsid w:val="00707F46"/>
    <w:rsid w:val="00710038"/>
    <w:rsid w:val="00710041"/>
    <w:rsid w:val="00710652"/>
    <w:rsid w:val="007109D0"/>
    <w:rsid w:val="007116E6"/>
    <w:rsid w:val="00711733"/>
    <w:rsid w:val="0071182C"/>
    <w:rsid w:val="00711E6A"/>
    <w:rsid w:val="007121FC"/>
    <w:rsid w:val="007127DF"/>
    <w:rsid w:val="00712FC1"/>
    <w:rsid w:val="0071301B"/>
    <w:rsid w:val="007136F0"/>
    <w:rsid w:val="007141E6"/>
    <w:rsid w:val="007143E6"/>
    <w:rsid w:val="007147B0"/>
    <w:rsid w:val="00714AAB"/>
    <w:rsid w:val="00714DC1"/>
    <w:rsid w:val="007152E8"/>
    <w:rsid w:val="007155A9"/>
    <w:rsid w:val="00715B83"/>
    <w:rsid w:val="0071624B"/>
    <w:rsid w:val="007163B9"/>
    <w:rsid w:val="00716447"/>
    <w:rsid w:val="007165AC"/>
    <w:rsid w:val="00716B63"/>
    <w:rsid w:val="00716DBF"/>
    <w:rsid w:val="00716EA5"/>
    <w:rsid w:val="007171A3"/>
    <w:rsid w:val="0071736D"/>
    <w:rsid w:val="00717481"/>
    <w:rsid w:val="00717BC0"/>
    <w:rsid w:val="007200C7"/>
    <w:rsid w:val="0072015D"/>
    <w:rsid w:val="00720494"/>
    <w:rsid w:val="00720E60"/>
    <w:rsid w:val="00720F7B"/>
    <w:rsid w:val="00722486"/>
    <w:rsid w:val="00724407"/>
    <w:rsid w:val="007248EE"/>
    <w:rsid w:val="00724AE9"/>
    <w:rsid w:val="0072518F"/>
    <w:rsid w:val="007257E0"/>
    <w:rsid w:val="00725B73"/>
    <w:rsid w:val="00725D94"/>
    <w:rsid w:val="007261E6"/>
    <w:rsid w:val="00727A37"/>
    <w:rsid w:val="00727A59"/>
    <w:rsid w:val="00727A74"/>
    <w:rsid w:val="00727BB9"/>
    <w:rsid w:val="00727BF9"/>
    <w:rsid w:val="00727D78"/>
    <w:rsid w:val="007302F9"/>
    <w:rsid w:val="00730491"/>
    <w:rsid w:val="00730832"/>
    <w:rsid w:val="007308EE"/>
    <w:rsid w:val="00730B4F"/>
    <w:rsid w:val="00730DB7"/>
    <w:rsid w:val="00730F03"/>
    <w:rsid w:val="00731007"/>
    <w:rsid w:val="007319BC"/>
    <w:rsid w:val="00731A2F"/>
    <w:rsid w:val="00731F42"/>
    <w:rsid w:val="0073267D"/>
    <w:rsid w:val="00732CBE"/>
    <w:rsid w:val="0073303D"/>
    <w:rsid w:val="0073364D"/>
    <w:rsid w:val="00733745"/>
    <w:rsid w:val="00733B76"/>
    <w:rsid w:val="00734482"/>
    <w:rsid w:val="007346AA"/>
    <w:rsid w:val="00734801"/>
    <w:rsid w:val="00734E00"/>
    <w:rsid w:val="00735378"/>
    <w:rsid w:val="0073562B"/>
    <w:rsid w:val="00735726"/>
    <w:rsid w:val="007359B3"/>
    <w:rsid w:val="00735CB8"/>
    <w:rsid w:val="00735F1C"/>
    <w:rsid w:val="00736116"/>
    <w:rsid w:val="00737F5A"/>
    <w:rsid w:val="00740C09"/>
    <w:rsid w:val="00741830"/>
    <w:rsid w:val="007419A5"/>
    <w:rsid w:val="00741B59"/>
    <w:rsid w:val="00742331"/>
    <w:rsid w:val="00742668"/>
    <w:rsid w:val="00742C4B"/>
    <w:rsid w:val="00742CC1"/>
    <w:rsid w:val="00742CE8"/>
    <w:rsid w:val="00743375"/>
    <w:rsid w:val="00743BE2"/>
    <w:rsid w:val="00744210"/>
    <w:rsid w:val="00744687"/>
    <w:rsid w:val="0074477F"/>
    <w:rsid w:val="00744E34"/>
    <w:rsid w:val="007457B0"/>
    <w:rsid w:val="00745888"/>
    <w:rsid w:val="0074601D"/>
    <w:rsid w:val="00747528"/>
    <w:rsid w:val="00747AE8"/>
    <w:rsid w:val="00747EB9"/>
    <w:rsid w:val="007501BA"/>
    <w:rsid w:val="0075025C"/>
    <w:rsid w:val="00750280"/>
    <w:rsid w:val="00750391"/>
    <w:rsid w:val="007506A7"/>
    <w:rsid w:val="007509CE"/>
    <w:rsid w:val="00750ED6"/>
    <w:rsid w:val="00751D0A"/>
    <w:rsid w:val="007521DE"/>
    <w:rsid w:val="00752200"/>
    <w:rsid w:val="0075296D"/>
    <w:rsid w:val="00752EAA"/>
    <w:rsid w:val="007538BD"/>
    <w:rsid w:val="00753A3E"/>
    <w:rsid w:val="00753D8F"/>
    <w:rsid w:val="00753DE3"/>
    <w:rsid w:val="0075432B"/>
    <w:rsid w:val="007543C4"/>
    <w:rsid w:val="00755668"/>
    <w:rsid w:val="00755801"/>
    <w:rsid w:val="00755F9C"/>
    <w:rsid w:val="007561CE"/>
    <w:rsid w:val="00757CCA"/>
    <w:rsid w:val="007602A1"/>
    <w:rsid w:val="00760542"/>
    <w:rsid w:val="007606F9"/>
    <w:rsid w:val="00760CC4"/>
    <w:rsid w:val="0076147E"/>
    <w:rsid w:val="007614F6"/>
    <w:rsid w:val="0076159C"/>
    <w:rsid w:val="007618DB"/>
    <w:rsid w:val="00761997"/>
    <w:rsid w:val="00761B4A"/>
    <w:rsid w:val="00761F26"/>
    <w:rsid w:val="007626C2"/>
    <w:rsid w:val="007629E5"/>
    <w:rsid w:val="00762E64"/>
    <w:rsid w:val="00763A8E"/>
    <w:rsid w:val="00763E10"/>
    <w:rsid w:val="00764642"/>
    <w:rsid w:val="00764C22"/>
    <w:rsid w:val="007652A6"/>
    <w:rsid w:val="0076535B"/>
    <w:rsid w:val="0076570C"/>
    <w:rsid w:val="00765847"/>
    <w:rsid w:val="0076592B"/>
    <w:rsid w:val="007659FE"/>
    <w:rsid w:val="00765B62"/>
    <w:rsid w:val="00766280"/>
    <w:rsid w:val="00766318"/>
    <w:rsid w:val="007664A8"/>
    <w:rsid w:val="00766639"/>
    <w:rsid w:val="007666AD"/>
    <w:rsid w:val="00767696"/>
    <w:rsid w:val="0076775F"/>
    <w:rsid w:val="00770C02"/>
    <w:rsid w:val="00770D16"/>
    <w:rsid w:val="0077101D"/>
    <w:rsid w:val="007714C1"/>
    <w:rsid w:val="00771832"/>
    <w:rsid w:val="00772043"/>
    <w:rsid w:val="007732FA"/>
    <w:rsid w:val="00774252"/>
    <w:rsid w:val="00774E52"/>
    <w:rsid w:val="007750D3"/>
    <w:rsid w:val="00775127"/>
    <w:rsid w:val="007759A5"/>
    <w:rsid w:val="00776179"/>
    <w:rsid w:val="007763A0"/>
    <w:rsid w:val="007767CE"/>
    <w:rsid w:val="0077687C"/>
    <w:rsid w:val="00777364"/>
    <w:rsid w:val="007777C4"/>
    <w:rsid w:val="00777B0A"/>
    <w:rsid w:val="00777C0B"/>
    <w:rsid w:val="00781E0B"/>
    <w:rsid w:val="0078201A"/>
    <w:rsid w:val="00782082"/>
    <w:rsid w:val="00782A60"/>
    <w:rsid w:val="00782BA7"/>
    <w:rsid w:val="00783491"/>
    <w:rsid w:val="00783ADB"/>
    <w:rsid w:val="00783B02"/>
    <w:rsid w:val="00784397"/>
    <w:rsid w:val="00784586"/>
    <w:rsid w:val="0078488A"/>
    <w:rsid w:val="00784CBC"/>
    <w:rsid w:val="00785095"/>
    <w:rsid w:val="0078534A"/>
    <w:rsid w:val="00785585"/>
    <w:rsid w:val="00785604"/>
    <w:rsid w:val="007867AE"/>
    <w:rsid w:val="00787A23"/>
    <w:rsid w:val="00787BFF"/>
    <w:rsid w:val="0079006F"/>
    <w:rsid w:val="007903C6"/>
    <w:rsid w:val="00790B70"/>
    <w:rsid w:val="00791628"/>
    <w:rsid w:val="0079169A"/>
    <w:rsid w:val="00791DB6"/>
    <w:rsid w:val="0079202C"/>
    <w:rsid w:val="00792912"/>
    <w:rsid w:val="00792A3D"/>
    <w:rsid w:val="007931DE"/>
    <w:rsid w:val="00793EE4"/>
    <w:rsid w:val="0079403F"/>
    <w:rsid w:val="00794216"/>
    <w:rsid w:val="0079424D"/>
    <w:rsid w:val="00794817"/>
    <w:rsid w:val="00795410"/>
    <w:rsid w:val="00795434"/>
    <w:rsid w:val="00795838"/>
    <w:rsid w:val="00795B30"/>
    <w:rsid w:val="00795C4D"/>
    <w:rsid w:val="00795FD8"/>
    <w:rsid w:val="00796222"/>
    <w:rsid w:val="0079626F"/>
    <w:rsid w:val="00796374"/>
    <w:rsid w:val="00796521"/>
    <w:rsid w:val="007966C2"/>
    <w:rsid w:val="00796A9F"/>
    <w:rsid w:val="00797044"/>
    <w:rsid w:val="00797518"/>
    <w:rsid w:val="007976FC"/>
    <w:rsid w:val="00797986"/>
    <w:rsid w:val="00797A28"/>
    <w:rsid w:val="00797D15"/>
    <w:rsid w:val="007A0203"/>
    <w:rsid w:val="007A080E"/>
    <w:rsid w:val="007A1F4B"/>
    <w:rsid w:val="007A20BE"/>
    <w:rsid w:val="007A226C"/>
    <w:rsid w:val="007A23C4"/>
    <w:rsid w:val="007A2998"/>
    <w:rsid w:val="007A2BB2"/>
    <w:rsid w:val="007A363C"/>
    <w:rsid w:val="007A3A38"/>
    <w:rsid w:val="007A3A94"/>
    <w:rsid w:val="007A4FFC"/>
    <w:rsid w:val="007A502E"/>
    <w:rsid w:val="007A510C"/>
    <w:rsid w:val="007A5AEE"/>
    <w:rsid w:val="007A5F17"/>
    <w:rsid w:val="007A6516"/>
    <w:rsid w:val="007A65DF"/>
    <w:rsid w:val="007A66F6"/>
    <w:rsid w:val="007A687C"/>
    <w:rsid w:val="007A6D88"/>
    <w:rsid w:val="007A7E3E"/>
    <w:rsid w:val="007B0889"/>
    <w:rsid w:val="007B0ABB"/>
    <w:rsid w:val="007B0B01"/>
    <w:rsid w:val="007B0DE0"/>
    <w:rsid w:val="007B1376"/>
    <w:rsid w:val="007B1558"/>
    <w:rsid w:val="007B1929"/>
    <w:rsid w:val="007B1B06"/>
    <w:rsid w:val="007B227F"/>
    <w:rsid w:val="007B2534"/>
    <w:rsid w:val="007B3BFF"/>
    <w:rsid w:val="007B3D40"/>
    <w:rsid w:val="007B44B8"/>
    <w:rsid w:val="007B4664"/>
    <w:rsid w:val="007B4831"/>
    <w:rsid w:val="007B4A0E"/>
    <w:rsid w:val="007B5121"/>
    <w:rsid w:val="007B5376"/>
    <w:rsid w:val="007B5587"/>
    <w:rsid w:val="007B55B9"/>
    <w:rsid w:val="007B585A"/>
    <w:rsid w:val="007B5C7D"/>
    <w:rsid w:val="007B63FF"/>
    <w:rsid w:val="007B6821"/>
    <w:rsid w:val="007B6A27"/>
    <w:rsid w:val="007B76E7"/>
    <w:rsid w:val="007C015D"/>
    <w:rsid w:val="007C0726"/>
    <w:rsid w:val="007C1762"/>
    <w:rsid w:val="007C1B87"/>
    <w:rsid w:val="007C1C44"/>
    <w:rsid w:val="007C2126"/>
    <w:rsid w:val="007C238E"/>
    <w:rsid w:val="007C2646"/>
    <w:rsid w:val="007C27D7"/>
    <w:rsid w:val="007C2970"/>
    <w:rsid w:val="007C29A5"/>
    <w:rsid w:val="007C2EC3"/>
    <w:rsid w:val="007C3384"/>
    <w:rsid w:val="007C3A16"/>
    <w:rsid w:val="007C3A9E"/>
    <w:rsid w:val="007C4065"/>
    <w:rsid w:val="007C448C"/>
    <w:rsid w:val="007C4639"/>
    <w:rsid w:val="007C47E0"/>
    <w:rsid w:val="007C57A8"/>
    <w:rsid w:val="007C59C2"/>
    <w:rsid w:val="007C5AF2"/>
    <w:rsid w:val="007C5D77"/>
    <w:rsid w:val="007C62BE"/>
    <w:rsid w:val="007C63DA"/>
    <w:rsid w:val="007C6EE5"/>
    <w:rsid w:val="007C6F5A"/>
    <w:rsid w:val="007C6FF4"/>
    <w:rsid w:val="007C73AE"/>
    <w:rsid w:val="007C78C8"/>
    <w:rsid w:val="007C7FA7"/>
    <w:rsid w:val="007C7FE9"/>
    <w:rsid w:val="007D022B"/>
    <w:rsid w:val="007D06D3"/>
    <w:rsid w:val="007D0796"/>
    <w:rsid w:val="007D115A"/>
    <w:rsid w:val="007D1257"/>
    <w:rsid w:val="007D283F"/>
    <w:rsid w:val="007D38DD"/>
    <w:rsid w:val="007D3A93"/>
    <w:rsid w:val="007D3D4C"/>
    <w:rsid w:val="007D4371"/>
    <w:rsid w:val="007D447A"/>
    <w:rsid w:val="007D45FB"/>
    <w:rsid w:val="007D462F"/>
    <w:rsid w:val="007D46A0"/>
    <w:rsid w:val="007D4881"/>
    <w:rsid w:val="007D48BD"/>
    <w:rsid w:val="007D4DC6"/>
    <w:rsid w:val="007D5743"/>
    <w:rsid w:val="007D6055"/>
    <w:rsid w:val="007D610B"/>
    <w:rsid w:val="007D621F"/>
    <w:rsid w:val="007D6248"/>
    <w:rsid w:val="007D6743"/>
    <w:rsid w:val="007D69A0"/>
    <w:rsid w:val="007D73B0"/>
    <w:rsid w:val="007D74F6"/>
    <w:rsid w:val="007D7952"/>
    <w:rsid w:val="007D7B47"/>
    <w:rsid w:val="007D7D13"/>
    <w:rsid w:val="007E0B89"/>
    <w:rsid w:val="007E1202"/>
    <w:rsid w:val="007E1454"/>
    <w:rsid w:val="007E1937"/>
    <w:rsid w:val="007E22C2"/>
    <w:rsid w:val="007E2ADF"/>
    <w:rsid w:val="007E2D63"/>
    <w:rsid w:val="007E3337"/>
    <w:rsid w:val="007E33ED"/>
    <w:rsid w:val="007E353A"/>
    <w:rsid w:val="007E3623"/>
    <w:rsid w:val="007E3993"/>
    <w:rsid w:val="007E3A07"/>
    <w:rsid w:val="007E3E9F"/>
    <w:rsid w:val="007E3EB4"/>
    <w:rsid w:val="007E45A8"/>
    <w:rsid w:val="007E48B8"/>
    <w:rsid w:val="007E4B1B"/>
    <w:rsid w:val="007E4E18"/>
    <w:rsid w:val="007E53C3"/>
    <w:rsid w:val="007E56CD"/>
    <w:rsid w:val="007E5755"/>
    <w:rsid w:val="007E5990"/>
    <w:rsid w:val="007E5B2B"/>
    <w:rsid w:val="007E6A4F"/>
    <w:rsid w:val="007E793C"/>
    <w:rsid w:val="007E7C7C"/>
    <w:rsid w:val="007E7D7A"/>
    <w:rsid w:val="007E7E66"/>
    <w:rsid w:val="007F00A1"/>
    <w:rsid w:val="007F0903"/>
    <w:rsid w:val="007F0E6A"/>
    <w:rsid w:val="007F22A7"/>
    <w:rsid w:val="007F2434"/>
    <w:rsid w:val="007F2B91"/>
    <w:rsid w:val="007F2F5A"/>
    <w:rsid w:val="007F40B7"/>
    <w:rsid w:val="007F4EA3"/>
    <w:rsid w:val="007F4EFB"/>
    <w:rsid w:val="007F53C9"/>
    <w:rsid w:val="007F55CB"/>
    <w:rsid w:val="007F5632"/>
    <w:rsid w:val="007F5806"/>
    <w:rsid w:val="007F5D34"/>
    <w:rsid w:val="007F5EDD"/>
    <w:rsid w:val="007F5F90"/>
    <w:rsid w:val="007F61D0"/>
    <w:rsid w:val="007F6E41"/>
    <w:rsid w:val="007F6E4E"/>
    <w:rsid w:val="007F72B2"/>
    <w:rsid w:val="007F75E9"/>
    <w:rsid w:val="007F7BDA"/>
    <w:rsid w:val="008006A4"/>
    <w:rsid w:val="00800747"/>
    <w:rsid w:val="0080116C"/>
    <w:rsid w:val="00801416"/>
    <w:rsid w:val="00801AEC"/>
    <w:rsid w:val="00801F1E"/>
    <w:rsid w:val="008023E5"/>
    <w:rsid w:val="008023F2"/>
    <w:rsid w:val="00802401"/>
    <w:rsid w:val="008026F3"/>
    <w:rsid w:val="00802D01"/>
    <w:rsid w:val="00803082"/>
    <w:rsid w:val="0080323A"/>
    <w:rsid w:val="008034DC"/>
    <w:rsid w:val="00803C0C"/>
    <w:rsid w:val="00804DFD"/>
    <w:rsid w:val="00804E89"/>
    <w:rsid w:val="00804FED"/>
    <w:rsid w:val="00805087"/>
    <w:rsid w:val="008061DC"/>
    <w:rsid w:val="00806226"/>
    <w:rsid w:val="0080646F"/>
    <w:rsid w:val="008067BC"/>
    <w:rsid w:val="00807049"/>
    <w:rsid w:val="008072FA"/>
    <w:rsid w:val="00807444"/>
    <w:rsid w:val="00807470"/>
    <w:rsid w:val="00807B06"/>
    <w:rsid w:val="00807D59"/>
    <w:rsid w:val="0081009F"/>
    <w:rsid w:val="00810279"/>
    <w:rsid w:val="008103A5"/>
    <w:rsid w:val="00810518"/>
    <w:rsid w:val="008105B6"/>
    <w:rsid w:val="0081064D"/>
    <w:rsid w:val="00810D13"/>
    <w:rsid w:val="00810D68"/>
    <w:rsid w:val="00810F80"/>
    <w:rsid w:val="00811016"/>
    <w:rsid w:val="00811920"/>
    <w:rsid w:val="00811CBB"/>
    <w:rsid w:val="008126C6"/>
    <w:rsid w:val="008127D8"/>
    <w:rsid w:val="00812968"/>
    <w:rsid w:val="00812AB8"/>
    <w:rsid w:val="00812E07"/>
    <w:rsid w:val="00812E6A"/>
    <w:rsid w:val="0081311D"/>
    <w:rsid w:val="0081367A"/>
    <w:rsid w:val="008136DE"/>
    <w:rsid w:val="0081399B"/>
    <w:rsid w:val="00813A50"/>
    <w:rsid w:val="00813B7F"/>
    <w:rsid w:val="00813EB6"/>
    <w:rsid w:val="00813F8F"/>
    <w:rsid w:val="00814109"/>
    <w:rsid w:val="008147D2"/>
    <w:rsid w:val="00814FE0"/>
    <w:rsid w:val="00815103"/>
    <w:rsid w:val="00815357"/>
    <w:rsid w:val="0081674A"/>
    <w:rsid w:val="008168E7"/>
    <w:rsid w:val="00816E01"/>
    <w:rsid w:val="00817053"/>
    <w:rsid w:val="008171D5"/>
    <w:rsid w:val="00817551"/>
    <w:rsid w:val="00817F51"/>
    <w:rsid w:val="008201B4"/>
    <w:rsid w:val="00820698"/>
    <w:rsid w:val="0082093F"/>
    <w:rsid w:val="008209B5"/>
    <w:rsid w:val="00820A07"/>
    <w:rsid w:val="00820A81"/>
    <w:rsid w:val="00820B35"/>
    <w:rsid w:val="00820ECD"/>
    <w:rsid w:val="0082103D"/>
    <w:rsid w:val="0082135E"/>
    <w:rsid w:val="008215CE"/>
    <w:rsid w:val="00821A8D"/>
    <w:rsid w:val="00821ADD"/>
    <w:rsid w:val="00821B28"/>
    <w:rsid w:val="00821B31"/>
    <w:rsid w:val="00821BB5"/>
    <w:rsid w:val="00821BEB"/>
    <w:rsid w:val="008221E8"/>
    <w:rsid w:val="00822289"/>
    <w:rsid w:val="00822549"/>
    <w:rsid w:val="0082269C"/>
    <w:rsid w:val="00822942"/>
    <w:rsid w:val="008230D5"/>
    <w:rsid w:val="00823295"/>
    <w:rsid w:val="008242CB"/>
    <w:rsid w:val="00824608"/>
    <w:rsid w:val="00824CD4"/>
    <w:rsid w:val="00825167"/>
    <w:rsid w:val="0082528D"/>
    <w:rsid w:val="00825314"/>
    <w:rsid w:val="00825567"/>
    <w:rsid w:val="008259B2"/>
    <w:rsid w:val="00825A69"/>
    <w:rsid w:val="008263B1"/>
    <w:rsid w:val="00826404"/>
    <w:rsid w:val="00826440"/>
    <w:rsid w:val="008275C4"/>
    <w:rsid w:val="008278BD"/>
    <w:rsid w:val="00827FCD"/>
    <w:rsid w:val="0083008C"/>
    <w:rsid w:val="00830096"/>
    <w:rsid w:val="00830421"/>
    <w:rsid w:val="008304FE"/>
    <w:rsid w:val="008309E7"/>
    <w:rsid w:val="0083118C"/>
    <w:rsid w:val="00831324"/>
    <w:rsid w:val="008319B3"/>
    <w:rsid w:val="00831FBD"/>
    <w:rsid w:val="008320AE"/>
    <w:rsid w:val="00832835"/>
    <w:rsid w:val="00832AED"/>
    <w:rsid w:val="00832C8E"/>
    <w:rsid w:val="00833118"/>
    <w:rsid w:val="00833256"/>
    <w:rsid w:val="008336D3"/>
    <w:rsid w:val="0083375B"/>
    <w:rsid w:val="00833ABA"/>
    <w:rsid w:val="008341F0"/>
    <w:rsid w:val="008345FB"/>
    <w:rsid w:val="00834A2D"/>
    <w:rsid w:val="00834AEF"/>
    <w:rsid w:val="00834CE4"/>
    <w:rsid w:val="00835146"/>
    <w:rsid w:val="00835ADF"/>
    <w:rsid w:val="00835D65"/>
    <w:rsid w:val="00836400"/>
    <w:rsid w:val="00836B3D"/>
    <w:rsid w:val="00836C68"/>
    <w:rsid w:val="00836D0B"/>
    <w:rsid w:val="00836EF8"/>
    <w:rsid w:val="00837AC9"/>
    <w:rsid w:val="00837D21"/>
    <w:rsid w:val="00840291"/>
    <w:rsid w:val="008402BF"/>
    <w:rsid w:val="00840498"/>
    <w:rsid w:val="00840523"/>
    <w:rsid w:val="0084099C"/>
    <w:rsid w:val="0084117D"/>
    <w:rsid w:val="00841B89"/>
    <w:rsid w:val="008421B0"/>
    <w:rsid w:val="00842934"/>
    <w:rsid w:val="00842D55"/>
    <w:rsid w:val="00842E94"/>
    <w:rsid w:val="00843206"/>
    <w:rsid w:val="008432C8"/>
    <w:rsid w:val="008435D4"/>
    <w:rsid w:val="00843788"/>
    <w:rsid w:val="00843918"/>
    <w:rsid w:val="0084399B"/>
    <w:rsid w:val="00843FD3"/>
    <w:rsid w:val="00843FD7"/>
    <w:rsid w:val="008446E6"/>
    <w:rsid w:val="00844943"/>
    <w:rsid w:val="008449D9"/>
    <w:rsid w:val="0084532C"/>
    <w:rsid w:val="008453AD"/>
    <w:rsid w:val="00845593"/>
    <w:rsid w:val="008459E2"/>
    <w:rsid w:val="00845E2F"/>
    <w:rsid w:val="00846950"/>
    <w:rsid w:val="00846AA9"/>
    <w:rsid w:val="00846AB3"/>
    <w:rsid w:val="00847335"/>
    <w:rsid w:val="0084737B"/>
    <w:rsid w:val="0084755C"/>
    <w:rsid w:val="00847588"/>
    <w:rsid w:val="00847601"/>
    <w:rsid w:val="00847EEE"/>
    <w:rsid w:val="0085056C"/>
    <w:rsid w:val="008508F1"/>
    <w:rsid w:val="00850FE6"/>
    <w:rsid w:val="00851936"/>
    <w:rsid w:val="00851A3F"/>
    <w:rsid w:val="00852070"/>
    <w:rsid w:val="00852672"/>
    <w:rsid w:val="00853139"/>
    <w:rsid w:val="00854037"/>
    <w:rsid w:val="00854065"/>
    <w:rsid w:val="0085433D"/>
    <w:rsid w:val="008543EB"/>
    <w:rsid w:val="00854994"/>
    <w:rsid w:val="00854999"/>
    <w:rsid w:val="00854E4B"/>
    <w:rsid w:val="008553F1"/>
    <w:rsid w:val="008554C2"/>
    <w:rsid w:val="0085563C"/>
    <w:rsid w:val="008558B3"/>
    <w:rsid w:val="00855A32"/>
    <w:rsid w:val="0085601B"/>
    <w:rsid w:val="008567C0"/>
    <w:rsid w:val="00856AAC"/>
    <w:rsid w:val="008571EC"/>
    <w:rsid w:val="00857D7F"/>
    <w:rsid w:val="00857FCD"/>
    <w:rsid w:val="00860742"/>
    <w:rsid w:val="00860B93"/>
    <w:rsid w:val="00860BB6"/>
    <w:rsid w:val="00860D40"/>
    <w:rsid w:val="00860DEB"/>
    <w:rsid w:val="00860EF6"/>
    <w:rsid w:val="008624BA"/>
    <w:rsid w:val="00863047"/>
    <w:rsid w:val="0086494E"/>
    <w:rsid w:val="008651A3"/>
    <w:rsid w:val="00865978"/>
    <w:rsid w:val="00865981"/>
    <w:rsid w:val="00865A84"/>
    <w:rsid w:val="00866182"/>
    <w:rsid w:val="008669A4"/>
    <w:rsid w:val="00866A9D"/>
    <w:rsid w:val="00866B3C"/>
    <w:rsid w:val="00866C22"/>
    <w:rsid w:val="00867136"/>
    <w:rsid w:val="008671F0"/>
    <w:rsid w:val="008672AC"/>
    <w:rsid w:val="00867423"/>
    <w:rsid w:val="00867ACD"/>
    <w:rsid w:val="00870067"/>
    <w:rsid w:val="008702FA"/>
    <w:rsid w:val="008708C8"/>
    <w:rsid w:val="00870A00"/>
    <w:rsid w:val="00870FB5"/>
    <w:rsid w:val="0087153F"/>
    <w:rsid w:val="008715EF"/>
    <w:rsid w:val="008719FB"/>
    <w:rsid w:val="0087284C"/>
    <w:rsid w:val="00872AB8"/>
    <w:rsid w:val="00872B73"/>
    <w:rsid w:val="00872EF5"/>
    <w:rsid w:val="008738E5"/>
    <w:rsid w:val="00873DC0"/>
    <w:rsid w:val="00874062"/>
    <w:rsid w:val="0087423F"/>
    <w:rsid w:val="0087479E"/>
    <w:rsid w:val="0087536B"/>
    <w:rsid w:val="0087661D"/>
    <w:rsid w:val="00876684"/>
    <w:rsid w:val="008772A6"/>
    <w:rsid w:val="00877D0D"/>
    <w:rsid w:val="00877E1B"/>
    <w:rsid w:val="0088030E"/>
    <w:rsid w:val="00880D38"/>
    <w:rsid w:val="00881199"/>
    <w:rsid w:val="008814C7"/>
    <w:rsid w:val="008820FB"/>
    <w:rsid w:val="008824E7"/>
    <w:rsid w:val="00882508"/>
    <w:rsid w:val="00882B16"/>
    <w:rsid w:val="00882CAB"/>
    <w:rsid w:val="00882DF9"/>
    <w:rsid w:val="008837A4"/>
    <w:rsid w:val="008838FA"/>
    <w:rsid w:val="008842CF"/>
    <w:rsid w:val="008849F3"/>
    <w:rsid w:val="00884D23"/>
    <w:rsid w:val="00884E3A"/>
    <w:rsid w:val="00885187"/>
    <w:rsid w:val="008856FD"/>
    <w:rsid w:val="008859D2"/>
    <w:rsid w:val="00885D3A"/>
    <w:rsid w:val="00886AD9"/>
    <w:rsid w:val="0088715F"/>
    <w:rsid w:val="008876D1"/>
    <w:rsid w:val="00887ADF"/>
    <w:rsid w:val="00887F45"/>
    <w:rsid w:val="00890864"/>
    <w:rsid w:val="00890DA6"/>
    <w:rsid w:val="00890FB9"/>
    <w:rsid w:val="008915E6"/>
    <w:rsid w:val="00891705"/>
    <w:rsid w:val="00891ABE"/>
    <w:rsid w:val="00891B1F"/>
    <w:rsid w:val="00891BB5"/>
    <w:rsid w:val="00892A1F"/>
    <w:rsid w:val="00892C1E"/>
    <w:rsid w:val="00892F7D"/>
    <w:rsid w:val="008935A3"/>
    <w:rsid w:val="00893613"/>
    <w:rsid w:val="00893AB4"/>
    <w:rsid w:val="00893B38"/>
    <w:rsid w:val="00893C34"/>
    <w:rsid w:val="00894534"/>
    <w:rsid w:val="00895559"/>
    <w:rsid w:val="008957BE"/>
    <w:rsid w:val="008957D4"/>
    <w:rsid w:val="00895934"/>
    <w:rsid w:val="00895F31"/>
    <w:rsid w:val="008963F5"/>
    <w:rsid w:val="008966E7"/>
    <w:rsid w:val="008967FE"/>
    <w:rsid w:val="008969BA"/>
    <w:rsid w:val="00896A63"/>
    <w:rsid w:val="00897A4A"/>
    <w:rsid w:val="00897CD0"/>
    <w:rsid w:val="008A0620"/>
    <w:rsid w:val="008A09F6"/>
    <w:rsid w:val="008A14F6"/>
    <w:rsid w:val="008A1924"/>
    <w:rsid w:val="008A26B9"/>
    <w:rsid w:val="008A2970"/>
    <w:rsid w:val="008A2B14"/>
    <w:rsid w:val="008A3331"/>
    <w:rsid w:val="008A3406"/>
    <w:rsid w:val="008A360A"/>
    <w:rsid w:val="008A3722"/>
    <w:rsid w:val="008A3A85"/>
    <w:rsid w:val="008A3B3D"/>
    <w:rsid w:val="008A3BEC"/>
    <w:rsid w:val="008A4429"/>
    <w:rsid w:val="008A4E03"/>
    <w:rsid w:val="008A541D"/>
    <w:rsid w:val="008A5544"/>
    <w:rsid w:val="008A5DCB"/>
    <w:rsid w:val="008A6027"/>
    <w:rsid w:val="008A6936"/>
    <w:rsid w:val="008A77AB"/>
    <w:rsid w:val="008A7C7C"/>
    <w:rsid w:val="008B037F"/>
    <w:rsid w:val="008B0EFC"/>
    <w:rsid w:val="008B1447"/>
    <w:rsid w:val="008B161A"/>
    <w:rsid w:val="008B2A62"/>
    <w:rsid w:val="008B2E14"/>
    <w:rsid w:val="008B2EEB"/>
    <w:rsid w:val="008B2F1E"/>
    <w:rsid w:val="008B3070"/>
    <w:rsid w:val="008B3124"/>
    <w:rsid w:val="008B3DEB"/>
    <w:rsid w:val="008B3E2D"/>
    <w:rsid w:val="008B469A"/>
    <w:rsid w:val="008B4C55"/>
    <w:rsid w:val="008B4CB1"/>
    <w:rsid w:val="008B4D93"/>
    <w:rsid w:val="008B4F47"/>
    <w:rsid w:val="008B57C1"/>
    <w:rsid w:val="008B59E0"/>
    <w:rsid w:val="008B5D62"/>
    <w:rsid w:val="008B5E00"/>
    <w:rsid w:val="008B5FD0"/>
    <w:rsid w:val="008B6F62"/>
    <w:rsid w:val="008B712F"/>
    <w:rsid w:val="008B78E0"/>
    <w:rsid w:val="008C0417"/>
    <w:rsid w:val="008C05A4"/>
    <w:rsid w:val="008C0CAC"/>
    <w:rsid w:val="008C0EAD"/>
    <w:rsid w:val="008C1538"/>
    <w:rsid w:val="008C1DDC"/>
    <w:rsid w:val="008C1EFA"/>
    <w:rsid w:val="008C29EA"/>
    <w:rsid w:val="008C2A8D"/>
    <w:rsid w:val="008C3245"/>
    <w:rsid w:val="008C352E"/>
    <w:rsid w:val="008C3B37"/>
    <w:rsid w:val="008C3C1F"/>
    <w:rsid w:val="008C3ED0"/>
    <w:rsid w:val="008C4230"/>
    <w:rsid w:val="008C43F8"/>
    <w:rsid w:val="008C4670"/>
    <w:rsid w:val="008C4A09"/>
    <w:rsid w:val="008C4D5D"/>
    <w:rsid w:val="008C5982"/>
    <w:rsid w:val="008C5A79"/>
    <w:rsid w:val="008C5FAB"/>
    <w:rsid w:val="008C6030"/>
    <w:rsid w:val="008C6628"/>
    <w:rsid w:val="008C7549"/>
    <w:rsid w:val="008C790B"/>
    <w:rsid w:val="008D0215"/>
    <w:rsid w:val="008D0BB5"/>
    <w:rsid w:val="008D11BE"/>
    <w:rsid w:val="008D16C2"/>
    <w:rsid w:val="008D17B2"/>
    <w:rsid w:val="008D1A4D"/>
    <w:rsid w:val="008D22EA"/>
    <w:rsid w:val="008D24EF"/>
    <w:rsid w:val="008D2734"/>
    <w:rsid w:val="008D2F1C"/>
    <w:rsid w:val="008D3D82"/>
    <w:rsid w:val="008D4017"/>
    <w:rsid w:val="008D4285"/>
    <w:rsid w:val="008D4540"/>
    <w:rsid w:val="008D4EA1"/>
    <w:rsid w:val="008D59D4"/>
    <w:rsid w:val="008D5F0D"/>
    <w:rsid w:val="008D67F2"/>
    <w:rsid w:val="008D6A49"/>
    <w:rsid w:val="008D6CE5"/>
    <w:rsid w:val="008D76BB"/>
    <w:rsid w:val="008E0783"/>
    <w:rsid w:val="008E0A83"/>
    <w:rsid w:val="008E0E36"/>
    <w:rsid w:val="008E1222"/>
    <w:rsid w:val="008E18E6"/>
    <w:rsid w:val="008E1A9D"/>
    <w:rsid w:val="008E1ABE"/>
    <w:rsid w:val="008E1D6F"/>
    <w:rsid w:val="008E27A4"/>
    <w:rsid w:val="008E295D"/>
    <w:rsid w:val="008E2C90"/>
    <w:rsid w:val="008E2D58"/>
    <w:rsid w:val="008E301E"/>
    <w:rsid w:val="008E35CD"/>
    <w:rsid w:val="008E3FD5"/>
    <w:rsid w:val="008E40FE"/>
    <w:rsid w:val="008E4244"/>
    <w:rsid w:val="008E43C8"/>
    <w:rsid w:val="008E442C"/>
    <w:rsid w:val="008E4A38"/>
    <w:rsid w:val="008E4F57"/>
    <w:rsid w:val="008E549D"/>
    <w:rsid w:val="008E666F"/>
    <w:rsid w:val="008E68EF"/>
    <w:rsid w:val="008E69CB"/>
    <w:rsid w:val="008E70E2"/>
    <w:rsid w:val="008E772F"/>
    <w:rsid w:val="008E77D4"/>
    <w:rsid w:val="008E7861"/>
    <w:rsid w:val="008E7C68"/>
    <w:rsid w:val="008E7DA1"/>
    <w:rsid w:val="008F025A"/>
    <w:rsid w:val="008F031D"/>
    <w:rsid w:val="008F06F5"/>
    <w:rsid w:val="008F0ADA"/>
    <w:rsid w:val="008F0E73"/>
    <w:rsid w:val="008F11E0"/>
    <w:rsid w:val="008F1645"/>
    <w:rsid w:val="008F1C4B"/>
    <w:rsid w:val="008F2127"/>
    <w:rsid w:val="008F2219"/>
    <w:rsid w:val="008F2ADC"/>
    <w:rsid w:val="008F2DC7"/>
    <w:rsid w:val="008F2DD7"/>
    <w:rsid w:val="008F31BE"/>
    <w:rsid w:val="008F37CD"/>
    <w:rsid w:val="008F3866"/>
    <w:rsid w:val="008F3FA7"/>
    <w:rsid w:val="008F41EB"/>
    <w:rsid w:val="008F4264"/>
    <w:rsid w:val="008F44EA"/>
    <w:rsid w:val="008F4581"/>
    <w:rsid w:val="008F4D2F"/>
    <w:rsid w:val="008F573A"/>
    <w:rsid w:val="008F59DD"/>
    <w:rsid w:val="008F6034"/>
    <w:rsid w:val="008F6449"/>
    <w:rsid w:val="008F6591"/>
    <w:rsid w:val="008F65F8"/>
    <w:rsid w:val="008F6C38"/>
    <w:rsid w:val="008F6EF1"/>
    <w:rsid w:val="008F720F"/>
    <w:rsid w:val="008F749F"/>
    <w:rsid w:val="00900384"/>
    <w:rsid w:val="00900458"/>
    <w:rsid w:val="00900BA7"/>
    <w:rsid w:val="00900C0E"/>
    <w:rsid w:val="00900D77"/>
    <w:rsid w:val="0090192B"/>
    <w:rsid w:val="00901BE2"/>
    <w:rsid w:val="00902396"/>
    <w:rsid w:val="0090295D"/>
    <w:rsid w:val="00902D47"/>
    <w:rsid w:val="00902F49"/>
    <w:rsid w:val="009038E5"/>
    <w:rsid w:val="00903C4F"/>
    <w:rsid w:val="00903F72"/>
    <w:rsid w:val="00904036"/>
    <w:rsid w:val="00904860"/>
    <w:rsid w:val="009049E3"/>
    <w:rsid w:val="0090510A"/>
    <w:rsid w:val="0090526F"/>
    <w:rsid w:val="009058ED"/>
    <w:rsid w:val="00905B43"/>
    <w:rsid w:val="00906A01"/>
    <w:rsid w:val="00907163"/>
    <w:rsid w:val="009072C7"/>
    <w:rsid w:val="0090759A"/>
    <w:rsid w:val="0090788C"/>
    <w:rsid w:val="00907A06"/>
    <w:rsid w:val="009105EB"/>
    <w:rsid w:val="009105FD"/>
    <w:rsid w:val="00910C15"/>
    <w:rsid w:val="00910C34"/>
    <w:rsid w:val="0091100B"/>
    <w:rsid w:val="00911790"/>
    <w:rsid w:val="00911BE7"/>
    <w:rsid w:val="009128D6"/>
    <w:rsid w:val="00912FBA"/>
    <w:rsid w:val="00913284"/>
    <w:rsid w:val="00913C94"/>
    <w:rsid w:val="0091462B"/>
    <w:rsid w:val="00914727"/>
    <w:rsid w:val="0091477B"/>
    <w:rsid w:val="00914893"/>
    <w:rsid w:val="00915030"/>
    <w:rsid w:val="009150A5"/>
    <w:rsid w:val="0091510C"/>
    <w:rsid w:val="00915251"/>
    <w:rsid w:val="00915640"/>
    <w:rsid w:val="0091567C"/>
    <w:rsid w:val="00915D6B"/>
    <w:rsid w:val="009160A3"/>
    <w:rsid w:val="00916AC0"/>
    <w:rsid w:val="00916B92"/>
    <w:rsid w:val="00916BA3"/>
    <w:rsid w:val="00916D1F"/>
    <w:rsid w:val="00916FB7"/>
    <w:rsid w:val="00917067"/>
    <w:rsid w:val="009175C7"/>
    <w:rsid w:val="00917EF2"/>
    <w:rsid w:val="00917F58"/>
    <w:rsid w:val="00920F73"/>
    <w:rsid w:val="00921569"/>
    <w:rsid w:val="00921676"/>
    <w:rsid w:val="00921760"/>
    <w:rsid w:val="00921B00"/>
    <w:rsid w:val="00921C0F"/>
    <w:rsid w:val="00921E9A"/>
    <w:rsid w:val="00922127"/>
    <w:rsid w:val="00922332"/>
    <w:rsid w:val="00922748"/>
    <w:rsid w:val="00922F6D"/>
    <w:rsid w:val="00923019"/>
    <w:rsid w:val="00923526"/>
    <w:rsid w:val="00923992"/>
    <w:rsid w:val="009239EA"/>
    <w:rsid w:val="00923B6B"/>
    <w:rsid w:val="00924007"/>
    <w:rsid w:val="0092432C"/>
    <w:rsid w:val="00926202"/>
    <w:rsid w:val="00926A16"/>
    <w:rsid w:val="009271FC"/>
    <w:rsid w:val="00927375"/>
    <w:rsid w:val="009278AF"/>
    <w:rsid w:val="00927919"/>
    <w:rsid w:val="00927E7E"/>
    <w:rsid w:val="00930431"/>
    <w:rsid w:val="00930C2F"/>
    <w:rsid w:val="00930F95"/>
    <w:rsid w:val="009312EF"/>
    <w:rsid w:val="009313B1"/>
    <w:rsid w:val="009313FE"/>
    <w:rsid w:val="00931749"/>
    <w:rsid w:val="00932944"/>
    <w:rsid w:val="00932BA7"/>
    <w:rsid w:val="009333AA"/>
    <w:rsid w:val="009339EB"/>
    <w:rsid w:val="00934B92"/>
    <w:rsid w:val="00934D79"/>
    <w:rsid w:val="00934DB7"/>
    <w:rsid w:val="00935188"/>
    <w:rsid w:val="00935343"/>
    <w:rsid w:val="00935363"/>
    <w:rsid w:val="0093549F"/>
    <w:rsid w:val="00935618"/>
    <w:rsid w:val="00935637"/>
    <w:rsid w:val="00935D12"/>
    <w:rsid w:val="0093602D"/>
    <w:rsid w:val="009368DD"/>
    <w:rsid w:val="00936920"/>
    <w:rsid w:val="00936A55"/>
    <w:rsid w:val="00936AE7"/>
    <w:rsid w:val="00936C0E"/>
    <w:rsid w:val="00936C4D"/>
    <w:rsid w:val="00936ED7"/>
    <w:rsid w:val="009404A4"/>
    <w:rsid w:val="0094062A"/>
    <w:rsid w:val="00940A1B"/>
    <w:rsid w:val="00940C72"/>
    <w:rsid w:val="00940EAA"/>
    <w:rsid w:val="00941186"/>
    <w:rsid w:val="00941197"/>
    <w:rsid w:val="00941252"/>
    <w:rsid w:val="00941631"/>
    <w:rsid w:val="0094172C"/>
    <w:rsid w:val="00941FC2"/>
    <w:rsid w:val="009420D1"/>
    <w:rsid w:val="009426EE"/>
    <w:rsid w:val="009429FD"/>
    <w:rsid w:val="00942A19"/>
    <w:rsid w:val="00942C0E"/>
    <w:rsid w:val="00943071"/>
    <w:rsid w:val="00944B0A"/>
    <w:rsid w:val="00944F51"/>
    <w:rsid w:val="00945045"/>
    <w:rsid w:val="0094527C"/>
    <w:rsid w:val="009454BB"/>
    <w:rsid w:val="00945699"/>
    <w:rsid w:val="009456A4"/>
    <w:rsid w:val="00945F30"/>
    <w:rsid w:val="00946480"/>
    <w:rsid w:val="009464FC"/>
    <w:rsid w:val="009469F4"/>
    <w:rsid w:val="00946B5C"/>
    <w:rsid w:val="00946E7A"/>
    <w:rsid w:val="00947832"/>
    <w:rsid w:val="00947950"/>
    <w:rsid w:val="00947D25"/>
    <w:rsid w:val="00947FF7"/>
    <w:rsid w:val="009501BA"/>
    <w:rsid w:val="00950AE4"/>
    <w:rsid w:val="00950E73"/>
    <w:rsid w:val="00950EB1"/>
    <w:rsid w:val="00951192"/>
    <w:rsid w:val="0095127F"/>
    <w:rsid w:val="00951ACA"/>
    <w:rsid w:val="00952285"/>
    <w:rsid w:val="00952787"/>
    <w:rsid w:val="00952C41"/>
    <w:rsid w:val="0095425E"/>
    <w:rsid w:val="00954396"/>
    <w:rsid w:val="009543DE"/>
    <w:rsid w:val="00954441"/>
    <w:rsid w:val="00954D9E"/>
    <w:rsid w:val="009557AA"/>
    <w:rsid w:val="00955807"/>
    <w:rsid w:val="009568B4"/>
    <w:rsid w:val="00956ECE"/>
    <w:rsid w:val="0095708D"/>
    <w:rsid w:val="009574BC"/>
    <w:rsid w:val="009577BB"/>
    <w:rsid w:val="00957CFD"/>
    <w:rsid w:val="00957E29"/>
    <w:rsid w:val="00957E96"/>
    <w:rsid w:val="00960324"/>
    <w:rsid w:val="00960330"/>
    <w:rsid w:val="00960931"/>
    <w:rsid w:val="00960B7A"/>
    <w:rsid w:val="00960DEF"/>
    <w:rsid w:val="00960F98"/>
    <w:rsid w:val="009617D9"/>
    <w:rsid w:val="00961818"/>
    <w:rsid w:val="0096201C"/>
    <w:rsid w:val="009625DA"/>
    <w:rsid w:val="00962E26"/>
    <w:rsid w:val="009631B1"/>
    <w:rsid w:val="00963688"/>
    <w:rsid w:val="00963C62"/>
    <w:rsid w:val="00963D4F"/>
    <w:rsid w:val="00963F2F"/>
    <w:rsid w:val="0096407D"/>
    <w:rsid w:val="00964E33"/>
    <w:rsid w:val="009651CF"/>
    <w:rsid w:val="00965825"/>
    <w:rsid w:val="00965B55"/>
    <w:rsid w:val="0096630C"/>
    <w:rsid w:val="00966312"/>
    <w:rsid w:val="00966482"/>
    <w:rsid w:val="00966650"/>
    <w:rsid w:val="00966CF5"/>
    <w:rsid w:val="0096746F"/>
    <w:rsid w:val="009678C4"/>
    <w:rsid w:val="0097064A"/>
    <w:rsid w:val="00970C3C"/>
    <w:rsid w:val="00970F9D"/>
    <w:rsid w:val="00971AA9"/>
    <w:rsid w:val="00971F25"/>
    <w:rsid w:val="0097222A"/>
    <w:rsid w:val="0097224C"/>
    <w:rsid w:val="00972C13"/>
    <w:rsid w:val="00972CA1"/>
    <w:rsid w:val="00973028"/>
    <w:rsid w:val="009733FC"/>
    <w:rsid w:val="00973444"/>
    <w:rsid w:val="009740A5"/>
    <w:rsid w:val="00974102"/>
    <w:rsid w:val="0097464F"/>
    <w:rsid w:val="00974758"/>
    <w:rsid w:val="00974E99"/>
    <w:rsid w:val="0097522B"/>
    <w:rsid w:val="009758D1"/>
    <w:rsid w:val="00976261"/>
    <w:rsid w:val="009762A9"/>
    <w:rsid w:val="0097638D"/>
    <w:rsid w:val="009769BD"/>
    <w:rsid w:val="00976DE4"/>
    <w:rsid w:val="00977162"/>
    <w:rsid w:val="009773DE"/>
    <w:rsid w:val="009776D1"/>
    <w:rsid w:val="0097773E"/>
    <w:rsid w:val="00977F18"/>
    <w:rsid w:val="0098057E"/>
    <w:rsid w:val="009805C6"/>
    <w:rsid w:val="00981433"/>
    <w:rsid w:val="00982479"/>
    <w:rsid w:val="009829A4"/>
    <w:rsid w:val="009829DF"/>
    <w:rsid w:val="00982B6E"/>
    <w:rsid w:val="00982D9F"/>
    <w:rsid w:val="0098338D"/>
    <w:rsid w:val="0098352A"/>
    <w:rsid w:val="00983545"/>
    <w:rsid w:val="00984143"/>
    <w:rsid w:val="00984243"/>
    <w:rsid w:val="009843AB"/>
    <w:rsid w:val="00984F35"/>
    <w:rsid w:val="00985098"/>
    <w:rsid w:val="00985428"/>
    <w:rsid w:val="00985821"/>
    <w:rsid w:val="009859F4"/>
    <w:rsid w:val="00985BD9"/>
    <w:rsid w:val="00985D0F"/>
    <w:rsid w:val="009863D9"/>
    <w:rsid w:val="00986A58"/>
    <w:rsid w:val="00986A6B"/>
    <w:rsid w:val="0098727F"/>
    <w:rsid w:val="00987626"/>
    <w:rsid w:val="009876D6"/>
    <w:rsid w:val="00987843"/>
    <w:rsid w:val="009879DC"/>
    <w:rsid w:val="00987A8B"/>
    <w:rsid w:val="009904F2"/>
    <w:rsid w:val="009907F1"/>
    <w:rsid w:val="00991114"/>
    <w:rsid w:val="0099130F"/>
    <w:rsid w:val="0099177F"/>
    <w:rsid w:val="0099182A"/>
    <w:rsid w:val="009919CB"/>
    <w:rsid w:val="00991E72"/>
    <w:rsid w:val="009921CE"/>
    <w:rsid w:val="00992486"/>
    <w:rsid w:val="00992D3B"/>
    <w:rsid w:val="00992EA5"/>
    <w:rsid w:val="00992F90"/>
    <w:rsid w:val="0099362A"/>
    <w:rsid w:val="00993AFC"/>
    <w:rsid w:val="00993B1C"/>
    <w:rsid w:val="00993D26"/>
    <w:rsid w:val="009942AC"/>
    <w:rsid w:val="009943AB"/>
    <w:rsid w:val="00994E9D"/>
    <w:rsid w:val="00995AE9"/>
    <w:rsid w:val="00996726"/>
    <w:rsid w:val="0099739B"/>
    <w:rsid w:val="00997D53"/>
    <w:rsid w:val="009A01A1"/>
    <w:rsid w:val="009A0673"/>
    <w:rsid w:val="009A0C05"/>
    <w:rsid w:val="009A0E8E"/>
    <w:rsid w:val="009A10D0"/>
    <w:rsid w:val="009A1122"/>
    <w:rsid w:val="009A1DF0"/>
    <w:rsid w:val="009A1E1C"/>
    <w:rsid w:val="009A2328"/>
    <w:rsid w:val="009A2F20"/>
    <w:rsid w:val="009A30EB"/>
    <w:rsid w:val="009A3790"/>
    <w:rsid w:val="009A37EA"/>
    <w:rsid w:val="009A3C99"/>
    <w:rsid w:val="009A485D"/>
    <w:rsid w:val="009A4893"/>
    <w:rsid w:val="009A4997"/>
    <w:rsid w:val="009A4B16"/>
    <w:rsid w:val="009A4D68"/>
    <w:rsid w:val="009A52DC"/>
    <w:rsid w:val="009A53B3"/>
    <w:rsid w:val="009A54D4"/>
    <w:rsid w:val="009A55E3"/>
    <w:rsid w:val="009A5AAE"/>
    <w:rsid w:val="009A5EBE"/>
    <w:rsid w:val="009A62DB"/>
    <w:rsid w:val="009A66A9"/>
    <w:rsid w:val="009A70DE"/>
    <w:rsid w:val="009A7759"/>
    <w:rsid w:val="009A7834"/>
    <w:rsid w:val="009A7854"/>
    <w:rsid w:val="009A78FB"/>
    <w:rsid w:val="009A79B7"/>
    <w:rsid w:val="009B015B"/>
    <w:rsid w:val="009B07C4"/>
    <w:rsid w:val="009B0FB0"/>
    <w:rsid w:val="009B1029"/>
    <w:rsid w:val="009B166A"/>
    <w:rsid w:val="009B1A15"/>
    <w:rsid w:val="009B1F07"/>
    <w:rsid w:val="009B24D5"/>
    <w:rsid w:val="009B26FB"/>
    <w:rsid w:val="009B2B0D"/>
    <w:rsid w:val="009B2F6E"/>
    <w:rsid w:val="009B32AD"/>
    <w:rsid w:val="009B33EC"/>
    <w:rsid w:val="009B3516"/>
    <w:rsid w:val="009B3720"/>
    <w:rsid w:val="009B384B"/>
    <w:rsid w:val="009B3A4B"/>
    <w:rsid w:val="009B3B9C"/>
    <w:rsid w:val="009B3DD6"/>
    <w:rsid w:val="009B3E56"/>
    <w:rsid w:val="009B3FD1"/>
    <w:rsid w:val="009B43A3"/>
    <w:rsid w:val="009B44B5"/>
    <w:rsid w:val="009B457C"/>
    <w:rsid w:val="009B484B"/>
    <w:rsid w:val="009B59E3"/>
    <w:rsid w:val="009B5DC9"/>
    <w:rsid w:val="009B690E"/>
    <w:rsid w:val="009B693C"/>
    <w:rsid w:val="009B6E1C"/>
    <w:rsid w:val="009B7452"/>
    <w:rsid w:val="009C029C"/>
    <w:rsid w:val="009C0DDC"/>
    <w:rsid w:val="009C1390"/>
    <w:rsid w:val="009C1968"/>
    <w:rsid w:val="009C19E4"/>
    <w:rsid w:val="009C19F1"/>
    <w:rsid w:val="009C1E25"/>
    <w:rsid w:val="009C1F24"/>
    <w:rsid w:val="009C20E9"/>
    <w:rsid w:val="009C26AA"/>
    <w:rsid w:val="009C2BA6"/>
    <w:rsid w:val="009C32D6"/>
    <w:rsid w:val="009C3812"/>
    <w:rsid w:val="009C3866"/>
    <w:rsid w:val="009C3B34"/>
    <w:rsid w:val="009C3F36"/>
    <w:rsid w:val="009C3FCE"/>
    <w:rsid w:val="009C415C"/>
    <w:rsid w:val="009C470B"/>
    <w:rsid w:val="009C623F"/>
    <w:rsid w:val="009C6402"/>
    <w:rsid w:val="009C6BE5"/>
    <w:rsid w:val="009C6F2D"/>
    <w:rsid w:val="009C7620"/>
    <w:rsid w:val="009C7B34"/>
    <w:rsid w:val="009C7F9B"/>
    <w:rsid w:val="009C7FD8"/>
    <w:rsid w:val="009D00C5"/>
    <w:rsid w:val="009D00F7"/>
    <w:rsid w:val="009D02FD"/>
    <w:rsid w:val="009D1315"/>
    <w:rsid w:val="009D142C"/>
    <w:rsid w:val="009D1728"/>
    <w:rsid w:val="009D1CF6"/>
    <w:rsid w:val="009D1E65"/>
    <w:rsid w:val="009D1ECA"/>
    <w:rsid w:val="009D2192"/>
    <w:rsid w:val="009D2843"/>
    <w:rsid w:val="009D323A"/>
    <w:rsid w:val="009D3482"/>
    <w:rsid w:val="009D3722"/>
    <w:rsid w:val="009D382C"/>
    <w:rsid w:val="009D3841"/>
    <w:rsid w:val="009D43EF"/>
    <w:rsid w:val="009D526C"/>
    <w:rsid w:val="009D537E"/>
    <w:rsid w:val="009D5782"/>
    <w:rsid w:val="009D5C56"/>
    <w:rsid w:val="009D5FFA"/>
    <w:rsid w:val="009D64EA"/>
    <w:rsid w:val="009D66C7"/>
    <w:rsid w:val="009D67E5"/>
    <w:rsid w:val="009D687C"/>
    <w:rsid w:val="009D6A81"/>
    <w:rsid w:val="009D7214"/>
    <w:rsid w:val="009D7D69"/>
    <w:rsid w:val="009D7F4E"/>
    <w:rsid w:val="009E0453"/>
    <w:rsid w:val="009E04C6"/>
    <w:rsid w:val="009E19BC"/>
    <w:rsid w:val="009E19F7"/>
    <w:rsid w:val="009E1CC4"/>
    <w:rsid w:val="009E1D13"/>
    <w:rsid w:val="009E1D90"/>
    <w:rsid w:val="009E2025"/>
    <w:rsid w:val="009E298C"/>
    <w:rsid w:val="009E33C4"/>
    <w:rsid w:val="009E3AF4"/>
    <w:rsid w:val="009E3CFA"/>
    <w:rsid w:val="009E40B9"/>
    <w:rsid w:val="009E535E"/>
    <w:rsid w:val="009E56D7"/>
    <w:rsid w:val="009E57FD"/>
    <w:rsid w:val="009E5D0D"/>
    <w:rsid w:val="009E5E8A"/>
    <w:rsid w:val="009E634A"/>
    <w:rsid w:val="009E6C56"/>
    <w:rsid w:val="009E6D63"/>
    <w:rsid w:val="009E7025"/>
    <w:rsid w:val="009E728C"/>
    <w:rsid w:val="009E7AFF"/>
    <w:rsid w:val="009E7C76"/>
    <w:rsid w:val="009E7C82"/>
    <w:rsid w:val="009E7EA6"/>
    <w:rsid w:val="009F0418"/>
    <w:rsid w:val="009F06C9"/>
    <w:rsid w:val="009F0F2A"/>
    <w:rsid w:val="009F10A1"/>
    <w:rsid w:val="009F18E0"/>
    <w:rsid w:val="009F1A41"/>
    <w:rsid w:val="009F1D0B"/>
    <w:rsid w:val="009F1F67"/>
    <w:rsid w:val="009F285C"/>
    <w:rsid w:val="009F2B33"/>
    <w:rsid w:val="009F2D7C"/>
    <w:rsid w:val="009F2F4E"/>
    <w:rsid w:val="009F3072"/>
    <w:rsid w:val="009F39E9"/>
    <w:rsid w:val="009F3A31"/>
    <w:rsid w:val="009F3C99"/>
    <w:rsid w:val="009F3D94"/>
    <w:rsid w:val="009F4013"/>
    <w:rsid w:val="009F4895"/>
    <w:rsid w:val="009F491C"/>
    <w:rsid w:val="009F4A43"/>
    <w:rsid w:val="009F4B0B"/>
    <w:rsid w:val="009F4EDD"/>
    <w:rsid w:val="009F57AB"/>
    <w:rsid w:val="009F5FDA"/>
    <w:rsid w:val="009F6126"/>
    <w:rsid w:val="009F6867"/>
    <w:rsid w:val="009F6B4C"/>
    <w:rsid w:val="009F6FD2"/>
    <w:rsid w:val="009F7224"/>
    <w:rsid w:val="009F7EA2"/>
    <w:rsid w:val="00A00546"/>
    <w:rsid w:val="00A006E0"/>
    <w:rsid w:val="00A007AD"/>
    <w:rsid w:val="00A007C4"/>
    <w:rsid w:val="00A009A9"/>
    <w:rsid w:val="00A00F74"/>
    <w:rsid w:val="00A011B4"/>
    <w:rsid w:val="00A012AF"/>
    <w:rsid w:val="00A01E64"/>
    <w:rsid w:val="00A02A8B"/>
    <w:rsid w:val="00A031A7"/>
    <w:rsid w:val="00A03235"/>
    <w:rsid w:val="00A03433"/>
    <w:rsid w:val="00A03E6E"/>
    <w:rsid w:val="00A03F47"/>
    <w:rsid w:val="00A04329"/>
    <w:rsid w:val="00A0465F"/>
    <w:rsid w:val="00A0488C"/>
    <w:rsid w:val="00A04E82"/>
    <w:rsid w:val="00A0504D"/>
    <w:rsid w:val="00A05433"/>
    <w:rsid w:val="00A05E44"/>
    <w:rsid w:val="00A06282"/>
    <w:rsid w:val="00A062A0"/>
    <w:rsid w:val="00A068FB"/>
    <w:rsid w:val="00A0704D"/>
    <w:rsid w:val="00A07221"/>
    <w:rsid w:val="00A0732F"/>
    <w:rsid w:val="00A0780B"/>
    <w:rsid w:val="00A10162"/>
    <w:rsid w:val="00A10599"/>
    <w:rsid w:val="00A10F47"/>
    <w:rsid w:val="00A112F1"/>
    <w:rsid w:val="00A11530"/>
    <w:rsid w:val="00A1258F"/>
    <w:rsid w:val="00A129BB"/>
    <w:rsid w:val="00A12D58"/>
    <w:rsid w:val="00A12DE6"/>
    <w:rsid w:val="00A138DC"/>
    <w:rsid w:val="00A13EEC"/>
    <w:rsid w:val="00A13F3B"/>
    <w:rsid w:val="00A13F97"/>
    <w:rsid w:val="00A14379"/>
    <w:rsid w:val="00A1438A"/>
    <w:rsid w:val="00A149CA"/>
    <w:rsid w:val="00A14C81"/>
    <w:rsid w:val="00A15016"/>
    <w:rsid w:val="00A15CB0"/>
    <w:rsid w:val="00A15CC2"/>
    <w:rsid w:val="00A15E68"/>
    <w:rsid w:val="00A16735"/>
    <w:rsid w:val="00A16D32"/>
    <w:rsid w:val="00A16E7A"/>
    <w:rsid w:val="00A171C4"/>
    <w:rsid w:val="00A172E3"/>
    <w:rsid w:val="00A173F8"/>
    <w:rsid w:val="00A17402"/>
    <w:rsid w:val="00A17634"/>
    <w:rsid w:val="00A17CBE"/>
    <w:rsid w:val="00A20152"/>
    <w:rsid w:val="00A20A18"/>
    <w:rsid w:val="00A20F41"/>
    <w:rsid w:val="00A21FA8"/>
    <w:rsid w:val="00A22162"/>
    <w:rsid w:val="00A22418"/>
    <w:rsid w:val="00A22886"/>
    <w:rsid w:val="00A22DB0"/>
    <w:rsid w:val="00A231C2"/>
    <w:rsid w:val="00A24204"/>
    <w:rsid w:val="00A24354"/>
    <w:rsid w:val="00A245F5"/>
    <w:rsid w:val="00A249A7"/>
    <w:rsid w:val="00A24C51"/>
    <w:rsid w:val="00A251E2"/>
    <w:rsid w:val="00A25B82"/>
    <w:rsid w:val="00A25C1E"/>
    <w:rsid w:val="00A25DFB"/>
    <w:rsid w:val="00A26063"/>
    <w:rsid w:val="00A2647D"/>
    <w:rsid w:val="00A26ADF"/>
    <w:rsid w:val="00A279D1"/>
    <w:rsid w:val="00A279EC"/>
    <w:rsid w:val="00A3027A"/>
    <w:rsid w:val="00A304F1"/>
    <w:rsid w:val="00A306AC"/>
    <w:rsid w:val="00A307E4"/>
    <w:rsid w:val="00A30E39"/>
    <w:rsid w:val="00A30F4C"/>
    <w:rsid w:val="00A31A23"/>
    <w:rsid w:val="00A31A8E"/>
    <w:rsid w:val="00A31D9F"/>
    <w:rsid w:val="00A31FFB"/>
    <w:rsid w:val="00A32396"/>
    <w:rsid w:val="00A325D0"/>
    <w:rsid w:val="00A32977"/>
    <w:rsid w:val="00A32C00"/>
    <w:rsid w:val="00A32CBA"/>
    <w:rsid w:val="00A32E70"/>
    <w:rsid w:val="00A337BE"/>
    <w:rsid w:val="00A33E94"/>
    <w:rsid w:val="00A34831"/>
    <w:rsid w:val="00A35380"/>
    <w:rsid w:val="00A35644"/>
    <w:rsid w:val="00A35B44"/>
    <w:rsid w:val="00A35C1C"/>
    <w:rsid w:val="00A35C5B"/>
    <w:rsid w:val="00A361BD"/>
    <w:rsid w:val="00A3648B"/>
    <w:rsid w:val="00A36832"/>
    <w:rsid w:val="00A36938"/>
    <w:rsid w:val="00A3699B"/>
    <w:rsid w:val="00A36E31"/>
    <w:rsid w:val="00A36FAF"/>
    <w:rsid w:val="00A370B9"/>
    <w:rsid w:val="00A3722E"/>
    <w:rsid w:val="00A37671"/>
    <w:rsid w:val="00A37897"/>
    <w:rsid w:val="00A4046C"/>
    <w:rsid w:val="00A4083E"/>
    <w:rsid w:val="00A40ADB"/>
    <w:rsid w:val="00A41099"/>
    <w:rsid w:val="00A417A6"/>
    <w:rsid w:val="00A41C63"/>
    <w:rsid w:val="00A41D40"/>
    <w:rsid w:val="00A420BA"/>
    <w:rsid w:val="00A420F9"/>
    <w:rsid w:val="00A42214"/>
    <w:rsid w:val="00A42A0F"/>
    <w:rsid w:val="00A42EB4"/>
    <w:rsid w:val="00A43362"/>
    <w:rsid w:val="00A43650"/>
    <w:rsid w:val="00A44393"/>
    <w:rsid w:val="00A4454F"/>
    <w:rsid w:val="00A44AEB"/>
    <w:rsid w:val="00A45739"/>
    <w:rsid w:val="00A45907"/>
    <w:rsid w:val="00A45FC4"/>
    <w:rsid w:val="00A46106"/>
    <w:rsid w:val="00A4686B"/>
    <w:rsid w:val="00A47795"/>
    <w:rsid w:val="00A47D1A"/>
    <w:rsid w:val="00A47D5E"/>
    <w:rsid w:val="00A50328"/>
    <w:rsid w:val="00A50621"/>
    <w:rsid w:val="00A50667"/>
    <w:rsid w:val="00A506C1"/>
    <w:rsid w:val="00A50D76"/>
    <w:rsid w:val="00A51487"/>
    <w:rsid w:val="00A51513"/>
    <w:rsid w:val="00A515AE"/>
    <w:rsid w:val="00A519CD"/>
    <w:rsid w:val="00A52ED9"/>
    <w:rsid w:val="00A52F78"/>
    <w:rsid w:val="00A53339"/>
    <w:rsid w:val="00A53C18"/>
    <w:rsid w:val="00A5401C"/>
    <w:rsid w:val="00A54AFE"/>
    <w:rsid w:val="00A54B85"/>
    <w:rsid w:val="00A54C84"/>
    <w:rsid w:val="00A55330"/>
    <w:rsid w:val="00A555E6"/>
    <w:rsid w:val="00A55655"/>
    <w:rsid w:val="00A55977"/>
    <w:rsid w:val="00A55AD2"/>
    <w:rsid w:val="00A55DB6"/>
    <w:rsid w:val="00A56818"/>
    <w:rsid w:val="00A56DBB"/>
    <w:rsid w:val="00A56FA9"/>
    <w:rsid w:val="00A57DBD"/>
    <w:rsid w:val="00A57E39"/>
    <w:rsid w:val="00A60366"/>
    <w:rsid w:val="00A6079C"/>
    <w:rsid w:val="00A6088D"/>
    <w:rsid w:val="00A60B3E"/>
    <w:rsid w:val="00A60B88"/>
    <w:rsid w:val="00A60BC9"/>
    <w:rsid w:val="00A60CEF"/>
    <w:rsid w:val="00A60D28"/>
    <w:rsid w:val="00A61671"/>
    <w:rsid w:val="00A618C7"/>
    <w:rsid w:val="00A619C9"/>
    <w:rsid w:val="00A61AEC"/>
    <w:rsid w:val="00A62553"/>
    <w:rsid w:val="00A62BAD"/>
    <w:rsid w:val="00A62E55"/>
    <w:rsid w:val="00A63C13"/>
    <w:rsid w:val="00A63E5A"/>
    <w:rsid w:val="00A648E4"/>
    <w:rsid w:val="00A64A30"/>
    <w:rsid w:val="00A64FC5"/>
    <w:rsid w:val="00A6515D"/>
    <w:rsid w:val="00A65745"/>
    <w:rsid w:val="00A65F33"/>
    <w:rsid w:val="00A6653B"/>
    <w:rsid w:val="00A6685C"/>
    <w:rsid w:val="00A66914"/>
    <w:rsid w:val="00A66977"/>
    <w:rsid w:val="00A66ADF"/>
    <w:rsid w:val="00A6765F"/>
    <w:rsid w:val="00A704C5"/>
    <w:rsid w:val="00A70918"/>
    <w:rsid w:val="00A70984"/>
    <w:rsid w:val="00A70B30"/>
    <w:rsid w:val="00A716C7"/>
    <w:rsid w:val="00A71AF4"/>
    <w:rsid w:val="00A72188"/>
    <w:rsid w:val="00A72EDC"/>
    <w:rsid w:val="00A73216"/>
    <w:rsid w:val="00A739E6"/>
    <w:rsid w:val="00A73BDE"/>
    <w:rsid w:val="00A73CB9"/>
    <w:rsid w:val="00A73FC5"/>
    <w:rsid w:val="00A74399"/>
    <w:rsid w:val="00A74B7A"/>
    <w:rsid w:val="00A74E0F"/>
    <w:rsid w:val="00A74E89"/>
    <w:rsid w:val="00A75B77"/>
    <w:rsid w:val="00A76892"/>
    <w:rsid w:val="00A76965"/>
    <w:rsid w:val="00A76A44"/>
    <w:rsid w:val="00A76C3C"/>
    <w:rsid w:val="00A771DC"/>
    <w:rsid w:val="00A77295"/>
    <w:rsid w:val="00A776C2"/>
    <w:rsid w:val="00A77961"/>
    <w:rsid w:val="00A802E6"/>
    <w:rsid w:val="00A804E6"/>
    <w:rsid w:val="00A804F8"/>
    <w:rsid w:val="00A80527"/>
    <w:rsid w:val="00A80675"/>
    <w:rsid w:val="00A80722"/>
    <w:rsid w:val="00A80B21"/>
    <w:rsid w:val="00A817C9"/>
    <w:rsid w:val="00A817FD"/>
    <w:rsid w:val="00A81961"/>
    <w:rsid w:val="00A82657"/>
    <w:rsid w:val="00A82955"/>
    <w:rsid w:val="00A82D45"/>
    <w:rsid w:val="00A82F61"/>
    <w:rsid w:val="00A838D3"/>
    <w:rsid w:val="00A83E6F"/>
    <w:rsid w:val="00A8447A"/>
    <w:rsid w:val="00A8463C"/>
    <w:rsid w:val="00A8493A"/>
    <w:rsid w:val="00A84C04"/>
    <w:rsid w:val="00A84C6D"/>
    <w:rsid w:val="00A84FD0"/>
    <w:rsid w:val="00A84FF1"/>
    <w:rsid w:val="00A85158"/>
    <w:rsid w:val="00A852EB"/>
    <w:rsid w:val="00A85426"/>
    <w:rsid w:val="00A85576"/>
    <w:rsid w:val="00A858A1"/>
    <w:rsid w:val="00A85B9E"/>
    <w:rsid w:val="00A863E2"/>
    <w:rsid w:val="00A86558"/>
    <w:rsid w:val="00A86941"/>
    <w:rsid w:val="00A86C2D"/>
    <w:rsid w:val="00A86DDA"/>
    <w:rsid w:val="00A8703B"/>
    <w:rsid w:val="00A87778"/>
    <w:rsid w:val="00A87D7E"/>
    <w:rsid w:val="00A87DD4"/>
    <w:rsid w:val="00A90058"/>
    <w:rsid w:val="00A9009B"/>
    <w:rsid w:val="00A904F1"/>
    <w:rsid w:val="00A90BE1"/>
    <w:rsid w:val="00A9110D"/>
    <w:rsid w:val="00A9124E"/>
    <w:rsid w:val="00A91269"/>
    <w:rsid w:val="00A91A2D"/>
    <w:rsid w:val="00A920B2"/>
    <w:rsid w:val="00A924D4"/>
    <w:rsid w:val="00A92525"/>
    <w:rsid w:val="00A9298B"/>
    <w:rsid w:val="00A92A99"/>
    <w:rsid w:val="00A92B14"/>
    <w:rsid w:val="00A92C11"/>
    <w:rsid w:val="00A93561"/>
    <w:rsid w:val="00A94017"/>
    <w:rsid w:val="00A94FC8"/>
    <w:rsid w:val="00A95402"/>
    <w:rsid w:val="00A95A14"/>
    <w:rsid w:val="00A95A5B"/>
    <w:rsid w:val="00A9615B"/>
    <w:rsid w:val="00A96189"/>
    <w:rsid w:val="00A96249"/>
    <w:rsid w:val="00A966C0"/>
    <w:rsid w:val="00A96C0E"/>
    <w:rsid w:val="00A97DB8"/>
    <w:rsid w:val="00AA098E"/>
    <w:rsid w:val="00AA0CD9"/>
    <w:rsid w:val="00AA1327"/>
    <w:rsid w:val="00AA14D6"/>
    <w:rsid w:val="00AA155C"/>
    <w:rsid w:val="00AA1A8B"/>
    <w:rsid w:val="00AA1BB4"/>
    <w:rsid w:val="00AA1D0F"/>
    <w:rsid w:val="00AA2491"/>
    <w:rsid w:val="00AA2617"/>
    <w:rsid w:val="00AA2F9F"/>
    <w:rsid w:val="00AA30B6"/>
    <w:rsid w:val="00AA341A"/>
    <w:rsid w:val="00AA372C"/>
    <w:rsid w:val="00AA3D73"/>
    <w:rsid w:val="00AA4468"/>
    <w:rsid w:val="00AA49DB"/>
    <w:rsid w:val="00AA4BFD"/>
    <w:rsid w:val="00AA4C7A"/>
    <w:rsid w:val="00AA559E"/>
    <w:rsid w:val="00AA5CAB"/>
    <w:rsid w:val="00AA5D36"/>
    <w:rsid w:val="00AA609A"/>
    <w:rsid w:val="00AA641A"/>
    <w:rsid w:val="00AA7249"/>
    <w:rsid w:val="00AA74AA"/>
    <w:rsid w:val="00AA74B0"/>
    <w:rsid w:val="00AA7C4E"/>
    <w:rsid w:val="00AA7CCD"/>
    <w:rsid w:val="00AB028E"/>
    <w:rsid w:val="00AB055F"/>
    <w:rsid w:val="00AB062C"/>
    <w:rsid w:val="00AB06B2"/>
    <w:rsid w:val="00AB13F5"/>
    <w:rsid w:val="00AB16D8"/>
    <w:rsid w:val="00AB187B"/>
    <w:rsid w:val="00AB1F37"/>
    <w:rsid w:val="00AB1F5D"/>
    <w:rsid w:val="00AB2388"/>
    <w:rsid w:val="00AB29A7"/>
    <w:rsid w:val="00AB2B6A"/>
    <w:rsid w:val="00AB2F76"/>
    <w:rsid w:val="00AB37C7"/>
    <w:rsid w:val="00AB38CA"/>
    <w:rsid w:val="00AB3B2A"/>
    <w:rsid w:val="00AB4281"/>
    <w:rsid w:val="00AB46BC"/>
    <w:rsid w:val="00AB491F"/>
    <w:rsid w:val="00AB5196"/>
    <w:rsid w:val="00AB5430"/>
    <w:rsid w:val="00AB543E"/>
    <w:rsid w:val="00AB5C0F"/>
    <w:rsid w:val="00AB5F86"/>
    <w:rsid w:val="00AB64F9"/>
    <w:rsid w:val="00AB6F0F"/>
    <w:rsid w:val="00AB725B"/>
    <w:rsid w:val="00AB799B"/>
    <w:rsid w:val="00AB7E41"/>
    <w:rsid w:val="00AC0492"/>
    <w:rsid w:val="00AC0610"/>
    <w:rsid w:val="00AC099F"/>
    <w:rsid w:val="00AC17A3"/>
    <w:rsid w:val="00AC17C0"/>
    <w:rsid w:val="00AC1964"/>
    <w:rsid w:val="00AC3971"/>
    <w:rsid w:val="00AC3983"/>
    <w:rsid w:val="00AC3EEB"/>
    <w:rsid w:val="00AC4494"/>
    <w:rsid w:val="00AC4DF0"/>
    <w:rsid w:val="00AC5FAA"/>
    <w:rsid w:val="00AC67BE"/>
    <w:rsid w:val="00AC7084"/>
    <w:rsid w:val="00AC7346"/>
    <w:rsid w:val="00AC7399"/>
    <w:rsid w:val="00AC7841"/>
    <w:rsid w:val="00AC7925"/>
    <w:rsid w:val="00AD0D35"/>
    <w:rsid w:val="00AD0EA6"/>
    <w:rsid w:val="00AD139C"/>
    <w:rsid w:val="00AD15B3"/>
    <w:rsid w:val="00AD1C1B"/>
    <w:rsid w:val="00AD2BE3"/>
    <w:rsid w:val="00AD316C"/>
    <w:rsid w:val="00AD35A8"/>
    <w:rsid w:val="00AD3840"/>
    <w:rsid w:val="00AD3879"/>
    <w:rsid w:val="00AD40D7"/>
    <w:rsid w:val="00AD56B8"/>
    <w:rsid w:val="00AD572E"/>
    <w:rsid w:val="00AD632D"/>
    <w:rsid w:val="00AD656A"/>
    <w:rsid w:val="00AD6A7D"/>
    <w:rsid w:val="00AD6FB0"/>
    <w:rsid w:val="00AD70D9"/>
    <w:rsid w:val="00AD7511"/>
    <w:rsid w:val="00AD79FF"/>
    <w:rsid w:val="00AD7B90"/>
    <w:rsid w:val="00AE03FE"/>
    <w:rsid w:val="00AE0639"/>
    <w:rsid w:val="00AE0C64"/>
    <w:rsid w:val="00AE16C8"/>
    <w:rsid w:val="00AE1CAE"/>
    <w:rsid w:val="00AE1E1D"/>
    <w:rsid w:val="00AE1F90"/>
    <w:rsid w:val="00AE28CE"/>
    <w:rsid w:val="00AE2BBE"/>
    <w:rsid w:val="00AE3DA7"/>
    <w:rsid w:val="00AE47E7"/>
    <w:rsid w:val="00AE47FD"/>
    <w:rsid w:val="00AE4B26"/>
    <w:rsid w:val="00AE4DF8"/>
    <w:rsid w:val="00AE503F"/>
    <w:rsid w:val="00AE5554"/>
    <w:rsid w:val="00AE5635"/>
    <w:rsid w:val="00AE5906"/>
    <w:rsid w:val="00AE590B"/>
    <w:rsid w:val="00AE594C"/>
    <w:rsid w:val="00AE5F28"/>
    <w:rsid w:val="00AE6012"/>
    <w:rsid w:val="00AE66D7"/>
    <w:rsid w:val="00AE6830"/>
    <w:rsid w:val="00AE7153"/>
    <w:rsid w:val="00AF001D"/>
    <w:rsid w:val="00AF04D3"/>
    <w:rsid w:val="00AF077A"/>
    <w:rsid w:val="00AF087D"/>
    <w:rsid w:val="00AF0AFA"/>
    <w:rsid w:val="00AF0E2E"/>
    <w:rsid w:val="00AF12CC"/>
    <w:rsid w:val="00AF1BCC"/>
    <w:rsid w:val="00AF1DF6"/>
    <w:rsid w:val="00AF247F"/>
    <w:rsid w:val="00AF27DA"/>
    <w:rsid w:val="00AF2849"/>
    <w:rsid w:val="00AF3112"/>
    <w:rsid w:val="00AF3263"/>
    <w:rsid w:val="00AF3348"/>
    <w:rsid w:val="00AF342B"/>
    <w:rsid w:val="00AF3443"/>
    <w:rsid w:val="00AF3992"/>
    <w:rsid w:val="00AF3D6E"/>
    <w:rsid w:val="00AF40EA"/>
    <w:rsid w:val="00AF426C"/>
    <w:rsid w:val="00AF4868"/>
    <w:rsid w:val="00AF558B"/>
    <w:rsid w:val="00AF5891"/>
    <w:rsid w:val="00AF5895"/>
    <w:rsid w:val="00AF5909"/>
    <w:rsid w:val="00AF5CB8"/>
    <w:rsid w:val="00AF5E38"/>
    <w:rsid w:val="00AF6231"/>
    <w:rsid w:val="00AF6429"/>
    <w:rsid w:val="00AF65AE"/>
    <w:rsid w:val="00AF695A"/>
    <w:rsid w:val="00AF6E44"/>
    <w:rsid w:val="00AF77F8"/>
    <w:rsid w:val="00AF79F8"/>
    <w:rsid w:val="00AF7BE5"/>
    <w:rsid w:val="00B00AFB"/>
    <w:rsid w:val="00B013BA"/>
    <w:rsid w:val="00B017F5"/>
    <w:rsid w:val="00B0234C"/>
    <w:rsid w:val="00B02923"/>
    <w:rsid w:val="00B0331D"/>
    <w:rsid w:val="00B0338D"/>
    <w:rsid w:val="00B0350F"/>
    <w:rsid w:val="00B035A8"/>
    <w:rsid w:val="00B037FE"/>
    <w:rsid w:val="00B038B0"/>
    <w:rsid w:val="00B03900"/>
    <w:rsid w:val="00B03C94"/>
    <w:rsid w:val="00B03DBD"/>
    <w:rsid w:val="00B045FE"/>
    <w:rsid w:val="00B046CB"/>
    <w:rsid w:val="00B051F9"/>
    <w:rsid w:val="00B05792"/>
    <w:rsid w:val="00B061A9"/>
    <w:rsid w:val="00B062CD"/>
    <w:rsid w:val="00B06564"/>
    <w:rsid w:val="00B076F3"/>
    <w:rsid w:val="00B07A1F"/>
    <w:rsid w:val="00B07B18"/>
    <w:rsid w:val="00B10B18"/>
    <w:rsid w:val="00B10B1D"/>
    <w:rsid w:val="00B10F81"/>
    <w:rsid w:val="00B11445"/>
    <w:rsid w:val="00B11C79"/>
    <w:rsid w:val="00B124E0"/>
    <w:rsid w:val="00B125AE"/>
    <w:rsid w:val="00B1285A"/>
    <w:rsid w:val="00B12AEB"/>
    <w:rsid w:val="00B12F86"/>
    <w:rsid w:val="00B130C6"/>
    <w:rsid w:val="00B133FC"/>
    <w:rsid w:val="00B13B1C"/>
    <w:rsid w:val="00B14515"/>
    <w:rsid w:val="00B14A7C"/>
    <w:rsid w:val="00B14E02"/>
    <w:rsid w:val="00B14FD7"/>
    <w:rsid w:val="00B153F4"/>
    <w:rsid w:val="00B159D7"/>
    <w:rsid w:val="00B15DE0"/>
    <w:rsid w:val="00B15FC8"/>
    <w:rsid w:val="00B162CB"/>
    <w:rsid w:val="00B16AF9"/>
    <w:rsid w:val="00B16CE0"/>
    <w:rsid w:val="00B17598"/>
    <w:rsid w:val="00B17683"/>
    <w:rsid w:val="00B177D7"/>
    <w:rsid w:val="00B209B8"/>
    <w:rsid w:val="00B2180F"/>
    <w:rsid w:val="00B21DA6"/>
    <w:rsid w:val="00B2226B"/>
    <w:rsid w:val="00B223BB"/>
    <w:rsid w:val="00B22976"/>
    <w:rsid w:val="00B22ED2"/>
    <w:rsid w:val="00B23EDF"/>
    <w:rsid w:val="00B242CF"/>
    <w:rsid w:val="00B24335"/>
    <w:rsid w:val="00B2450C"/>
    <w:rsid w:val="00B25463"/>
    <w:rsid w:val="00B254C4"/>
    <w:rsid w:val="00B25918"/>
    <w:rsid w:val="00B25BEB"/>
    <w:rsid w:val="00B25E01"/>
    <w:rsid w:val="00B26024"/>
    <w:rsid w:val="00B26D6E"/>
    <w:rsid w:val="00B26EC4"/>
    <w:rsid w:val="00B2705C"/>
    <w:rsid w:val="00B278A7"/>
    <w:rsid w:val="00B27962"/>
    <w:rsid w:val="00B27AD2"/>
    <w:rsid w:val="00B303C8"/>
    <w:rsid w:val="00B30AF7"/>
    <w:rsid w:val="00B31134"/>
    <w:rsid w:val="00B312F6"/>
    <w:rsid w:val="00B3147B"/>
    <w:rsid w:val="00B32E3B"/>
    <w:rsid w:val="00B32EAA"/>
    <w:rsid w:val="00B33DDD"/>
    <w:rsid w:val="00B3513D"/>
    <w:rsid w:val="00B3527C"/>
    <w:rsid w:val="00B35A30"/>
    <w:rsid w:val="00B35CD3"/>
    <w:rsid w:val="00B35DE5"/>
    <w:rsid w:val="00B35E18"/>
    <w:rsid w:val="00B35E74"/>
    <w:rsid w:val="00B367F3"/>
    <w:rsid w:val="00B36B6F"/>
    <w:rsid w:val="00B378D2"/>
    <w:rsid w:val="00B37CC1"/>
    <w:rsid w:val="00B400FC"/>
    <w:rsid w:val="00B40571"/>
    <w:rsid w:val="00B40891"/>
    <w:rsid w:val="00B40F4B"/>
    <w:rsid w:val="00B4112C"/>
    <w:rsid w:val="00B41522"/>
    <w:rsid w:val="00B41700"/>
    <w:rsid w:val="00B41B09"/>
    <w:rsid w:val="00B41D93"/>
    <w:rsid w:val="00B428FA"/>
    <w:rsid w:val="00B42E1D"/>
    <w:rsid w:val="00B43299"/>
    <w:rsid w:val="00B4330E"/>
    <w:rsid w:val="00B43FE6"/>
    <w:rsid w:val="00B44D14"/>
    <w:rsid w:val="00B44E28"/>
    <w:rsid w:val="00B44FF1"/>
    <w:rsid w:val="00B45090"/>
    <w:rsid w:val="00B453D7"/>
    <w:rsid w:val="00B46160"/>
    <w:rsid w:val="00B4694C"/>
    <w:rsid w:val="00B47E1D"/>
    <w:rsid w:val="00B50176"/>
    <w:rsid w:val="00B50413"/>
    <w:rsid w:val="00B50A43"/>
    <w:rsid w:val="00B50E35"/>
    <w:rsid w:val="00B51361"/>
    <w:rsid w:val="00B51C87"/>
    <w:rsid w:val="00B521EA"/>
    <w:rsid w:val="00B5233E"/>
    <w:rsid w:val="00B523D7"/>
    <w:rsid w:val="00B527D8"/>
    <w:rsid w:val="00B52874"/>
    <w:rsid w:val="00B52A8F"/>
    <w:rsid w:val="00B52D7E"/>
    <w:rsid w:val="00B531CA"/>
    <w:rsid w:val="00B5325C"/>
    <w:rsid w:val="00B5391A"/>
    <w:rsid w:val="00B53CA5"/>
    <w:rsid w:val="00B542FE"/>
    <w:rsid w:val="00B54367"/>
    <w:rsid w:val="00B5437A"/>
    <w:rsid w:val="00B548F4"/>
    <w:rsid w:val="00B54D1D"/>
    <w:rsid w:val="00B54FE4"/>
    <w:rsid w:val="00B5521F"/>
    <w:rsid w:val="00B552CE"/>
    <w:rsid w:val="00B55594"/>
    <w:rsid w:val="00B556FB"/>
    <w:rsid w:val="00B55D76"/>
    <w:rsid w:val="00B55F3E"/>
    <w:rsid w:val="00B56267"/>
    <w:rsid w:val="00B56A78"/>
    <w:rsid w:val="00B56B69"/>
    <w:rsid w:val="00B572E8"/>
    <w:rsid w:val="00B57483"/>
    <w:rsid w:val="00B579A6"/>
    <w:rsid w:val="00B60240"/>
    <w:rsid w:val="00B60410"/>
    <w:rsid w:val="00B60ABC"/>
    <w:rsid w:val="00B60DE6"/>
    <w:rsid w:val="00B61143"/>
    <w:rsid w:val="00B61323"/>
    <w:rsid w:val="00B615D5"/>
    <w:rsid w:val="00B6185F"/>
    <w:rsid w:val="00B619F8"/>
    <w:rsid w:val="00B62136"/>
    <w:rsid w:val="00B62A9E"/>
    <w:rsid w:val="00B62C1C"/>
    <w:rsid w:val="00B63BB8"/>
    <w:rsid w:val="00B63EA6"/>
    <w:rsid w:val="00B641EE"/>
    <w:rsid w:val="00B64229"/>
    <w:rsid w:val="00B64672"/>
    <w:rsid w:val="00B6472A"/>
    <w:rsid w:val="00B64F1D"/>
    <w:rsid w:val="00B654C2"/>
    <w:rsid w:val="00B65CAD"/>
    <w:rsid w:val="00B65D5D"/>
    <w:rsid w:val="00B6641C"/>
    <w:rsid w:val="00B66A0D"/>
    <w:rsid w:val="00B67478"/>
    <w:rsid w:val="00B67890"/>
    <w:rsid w:val="00B678AC"/>
    <w:rsid w:val="00B67B81"/>
    <w:rsid w:val="00B701DC"/>
    <w:rsid w:val="00B7047A"/>
    <w:rsid w:val="00B70544"/>
    <w:rsid w:val="00B7056C"/>
    <w:rsid w:val="00B70799"/>
    <w:rsid w:val="00B70B1F"/>
    <w:rsid w:val="00B718D1"/>
    <w:rsid w:val="00B72031"/>
    <w:rsid w:val="00B72159"/>
    <w:rsid w:val="00B72188"/>
    <w:rsid w:val="00B721A1"/>
    <w:rsid w:val="00B722A1"/>
    <w:rsid w:val="00B72535"/>
    <w:rsid w:val="00B72637"/>
    <w:rsid w:val="00B72750"/>
    <w:rsid w:val="00B727A3"/>
    <w:rsid w:val="00B72C4B"/>
    <w:rsid w:val="00B7317A"/>
    <w:rsid w:val="00B73BFD"/>
    <w:rsid w:val="00B73F33"/>
    <w:rsid w:val="00B74696"/>
    <w:rsid w:val="00B74D39"/>
    <w:rsid w:val="00B7550F"/>
    <w:rsid w:val="00B758D2"/>
    <w:rsid w:val="00B7697D"/>
    <w:rsid w:val="00B7725C"/>
    <w:rsid w:val="00B77932"/>
    <w:rsid w:val="00B77F53"/>
    <w:rsid w:val="00B80221"/>
    <w:rsid w:val="00B803DB"/>
    <w:rsid w:val="00B803EE"/>
    <w:rsid w:val="00B80617"/>
    <w:rsid w:val="00B80643"/>
    <w:rsid w:val="00B80656"/>
    <w:rsid w:val="00B80EC4"/>
    <w:rsid w:val="00B81CE1"/>
    <w:rsid w:val="00B822F5"/>
    <w:rsid w:val="00B827A7"/>
    <w:rsid w:val="00B83764"/>
    <w:rsid w:val="00B83782"/>
    <w:rsid w:val="00B83964"/>
    <w:rsid w:val="00B83A84"/>
    <w:rsid w:val="00B83DD1"/>
    <w:rsid w:val="00B83F04"/>
    <w:rsid w:val="00B847D6"/>
    <w:rsid w:val="00B84F51"/>
    <w:rsid w:val="00B8510F"/>
    <w:rsid w:val="00B851DC"/>
    <w:rsid w:val="00B85A1D"/>
    <w:rsid w:val="00B8651F"/>
    <w:rsid w:val="00B865E2"/>
    <w:rsid w:val="00B86A33"/>
    <w:rsid w:val="00B86C39"/>
    <w:rsid w:val="00B86E84"/>
    <w:rsid w:val="00B86FC3"/>
    <w:rsid w:val="00B87075"/>
    <w:rsid w:val="00B870E8"/>
    <w:rsid w:val="00B87BA4"/>
    <w:rsid w:val="00B87CBA"/>
    <w:rsid w:val="00B87DAA"/>
    <w:rsid w:val="00B87F60"/>
    <w:rsid w:val="00B90211"/>
    <w:rsid w:val="00B90324"/>
    <w:rsid w:val="00B90E39"/>
    <w:rsid w:val="00B917C1"/>
    <w:rsid w:val="00B9195F"/>
    <w:rsid w:val="00B91BF4"/>
    <w:rsid w:val="00B921CF"/>
    <w:rsid w:val="00B923E9"/>
    <w:rsid w:val="00B924EA"/>
    <w:rsid w:val="00B92691"/>
    <w:rsid w:val="00B93977"/>
    <w:rsid w:val="00B940FA"/>
    <w:rsid w:val="00B9480B"/>
    <w:rsid w:val="00B94AFE"/>
    <w:rsid w:val="00B94BC8"/>
    <w:rsid w:val="00B94D3A"/>
    <w:rsid w:val="00B9582A"/>
    <w:rsid w:val="00B95B8C"/>
    <w:rsid w:val="00B95C32"/>
    <w:rsid w:val="00B95D49"/>
    <w:rsid w:val="00B963EB"/>
    <w:rsid w:val="00B966CE"/>
    <w:rsid w:val="00B97A92"/>
    <w:rsid w:val="00B97C1F"/>
    <w:rsid w:val="00B97E48"/>
    <w:rsid w:val="00B97F9D"/>
    <w:rsid w:val="00BA04AA"/>
    <w:rsid w:val="00BA0BAD"/>
    <w:rsid w:val="00BA0E9C"/>
    <w:rsid w:val="00BA10A2"/>
    <w:rsid w:val="00BA15D5"/>
    <w:rsid w:val="00BA1711"/>
    <w:rsid w:val="00BA1765"/>
    <w:rsid w:val="00BA17FE"/>
    <w:rsid w:val="00BA1DAD"/>
    <w:rsid w:val="00BA1DD3"/>
    <w:rsid w:val="00BA21B0"/>
    <w:rsid w:val="00BA25F2"/>
    <w:rsid w:val="00BA2679"/>
    <w:rsid w:val="00BA2FF7"/>
    <w:rsid w:val="00BA31F1"/>
    <w:rsid w:val="00BA32E3"/>
    <w:rsid w:val="00BA34D4"/>
    <w:rsid w:val="00BA3700"/>
    <w:rsid w:val="00BA3F3F"/>
    <w:rsid w:val="00BA41AA"/>
    <w:rsid w:val="00BA42EE"/>
    <w:rsid w:val="00BA500C"/>
    <w:rsid w:val="00BA54B7"/>
    <w:rsid w:val="00BA5D15"/>
    <w:rsid w:val="00BA5DFB"/>
    <w:rsid w:val="00BA6E28"/>
    <w:rsid w:val="00BA711F"/>
    <w:rsid w:val="00BA719B"/>
    <w:rsid w:val="00BA7954"/>
    <w:rsid w:val="00BA7973"/>
    <w:rsid w:val="00BA7A10"/>
    <w:rsid w:val="00BA7E0C"/>
    <w:rsid w:val="00BA7EF3"/>
    <w:rsid w:val="00BB08F1"/>
    <w:rsid w:val="00BB0D0A"/>
    <w:rsid w:val="00BB1D8E"/>
    <w:rsid w:val="00BB1DFF"/>
    <w:rsid w:val="00BB21D0"/>
    <w:rsid w:val="00BB253F"/>
    <w:rsid w:val="00BB2740"/>
    <w:rsid w:val="00BB2C97"/>
    <w:rsid w:val="00BB2D25"/>
    <w:rsid w:val="00BB2E97"/>
    <w:rsid w:val="00BB34EC"/>
    <w:rsid w:val="00BB3711"/>
    <w:rsid w:val="00BB398D"/>
    <w:rsid w:val="00BB3A15"/>
    <w:rsid w:val="00BB3D46"/>
    <w:rsid w:val="00BB3E20"/>
    <w:rsid w:val="00BB4D9D"/>
    <w:rsid w:val="00BB5002"/>
    <w:rsid w:val="00BB53B9"/>
    <w:rsid w:val="00BB5614"/>
    <w:rsid w:val="00BB5639"/>
    <w:rsid w:val="00BB5902"/>
    <w:rsid w:val="00BB608B"/>
    <w:rsid w:val="00BB639F"/>
    <w:rsid w:val="00BB6B51"/>
    <w:rsid w:val="00BB6E31"/>
    <w:rsid w:val="00BB7A08"/>
    <w:rsid w:val="00BC08F5"/>
    <w:rsid w:val="00BC0B19"/>
    <w:rsid w:val="00BC0D27"/>
    <w:rsid w:val="00BC0F44"/>
    <w:rsid w:val="00BC1835"/>
    <w:rsid w:val="00BC1A54"/>
    <w:rsid w:val="00BC2184"/>
    <w:rsid w:val="00BC24E2"/>
    <w:rsid w:val="00BC27C3"/>
    <w:rsid w:val="00BC29CE"/>
    <w:rsid w:val="00BC2FD6"/>
    <w:rsid w:val="00BC310B"/>
    <w:rsid w:val="00BC36BC"/>
    <w:rsid w:val="00BC36C5"/>
    <w:rsid w:val="00BC38DC"/>
    <w:rsid w:val="00BC3B6B"/>
    <w:rsid w:val="00BC5A2D"/>
    <w:rsid w:val="00BC5D85"/>
    <w:rsid w:val="00BC60C9"/>
    <w:rsid w:val="00BC6E77"/>
    <w:rsid w:val="00BC701B"/>
    <w:rsid w:val="00BC7568"/>
    <w:rsid w:val="00BC763D"/>
    <w:rsid w:val="00BC7846"/>
    <w:rsid w:val="00BC7E7C"/>
    <w:rsid w:val="00BC7FAF"/>
    <w:rsid w:val="00BD003B"/>
    <w:rsid w:val="00BD01DF"/>
    <w:rsid w:val="00BD0223"/>
    <w:rsid w:val="00BD055A"/>
    <w:rsid w:val="00BD086B"/>
    <w:rsid w:val="00BD0885"/>
    <w:rsid w:val="00BD09D7"/>
    <w:rsid w:val="00BD0C27"/>
    <w:rsid w:val="00BD0CD7"/>
    <w:rsid w:val="00BD0E38"/>
    <w:rsid w:val="00BD13F2"/>
    <w:rsid w:val="00BD2164"/>
    <w:rsid w:val="00BD2E93"/>
    <w:rsid w:val="00BD2F6F"/>
    <w:rsid w:val="00BD31D7"/>
    <w:rsid w:val="00BD3A40"/>
    <w:rsid w:val="00BD53A7"/>
    <w:rsid w:val="00BD5756"/>
    <w:rsid w:val="00BD57A5"/>
    <w:rsid w:val="00BD5DB8"/>
    <w:rsid w:val="00BD6685"/>
    <w:rsid w:val="00BD693B"/>
    <w:rsid w:val="00BD6A23"/>
    <w:rsid w:val="00BD6B5E"/>
    <w:rsid w:val="00BD702F"/>
    <w:rsid w:val="00BD71C6"/>
    <w:rsid w:val="00BD786C"/>
    <w:rsid w:val="00BD7B43"/>
    <w:rsid w:val="00BD7D46"/>
    <w:rsid w:val="00BD7FC9"/>
    <w:rsid w:val="00BE0071"/>
    <w:rsid w:val="00BE01E0"/>
    <w:rsid w:val="00BE06C9"/>
    <w:rsid w:val="00BE0EC2"/>
    <w:rsid w:val="00BE13BF"/>
    <w:rsid w:val="00BE1849"/>
    <w:rsid w:val="00BE1CB1"/>
    <w:rsid w:val="00BE1EA9"/>
    <w:rsid w:val="00BE237B"/>
    <w:rsid w:val="00BE2A43"/>
    <w:rsid w:val="00BE2C32"/>
    <w:rsid w:val="00BE4330"/>
    <w:rsid w:val="00BE4606"/>
    <w:rsid w:val="00BE4914"/>
    <w:rsid w:val="00BE4928"/>
    <w:rsid w:val="00BE4B43"/>
    <w:rsid w:val="00BE5920"/>
    <w:rsid w:val="00BE59F2"/>
    <w:rsid w:val="00BE5D52"/>
    <w:rsid w:val="00BE6106"/>
    <w:rsid w:val="00BE642D"/>
    <w:rsid w:val="00BE669E"/>
    <w:rsid w:val="00BE66FF"/>
    <w:rsid w:val="00BE6CD9"/>
    <w:rsid w:val="00BE75D5"/>
    <w:rsid w:val="00BE7AAB"/>
    <w:rsid w:val="00BF06F4"/>
    <w:rsid w:val="00BF0C2D"/>
    <w:rsid w:val="00BF1429"/>
    <w:rsid w:val="00BF1616"/>
    <w:rsid w:val="00BF199A"/>
    <w:rsid w:val="00BF1B12"/>
    <w:rsid w:val="00BF237C"/>
    <w:rsid w:val="00BF24F5"/>
    <w:rsid w:val="00BF27C3"/>
    <w:rsid w:val="00BF2E5A"/>
    <w:rsid w:val="00BF3346"/>
    <w:rsid w:val="00BF352D"/>
    <w:rsid w:val="00BF3799"/>
    <w:rsid w:val="00BF3925"/>
    <w:rsid w:val="00BF3E51"/>
    <w:rsid w:val="00BF3E89"/>
    <w:rsid w:val="00BF4006"/>
    <w:rsid w:val="00BF48A6"/>
    <w:rsid w:val="00BF4975"/>
    <w:rsid w:val="00BF4E65"/>
    <w:rsid w:val="00BF500D"/>
    <w:rsid w:val="00BF5184"/>
    <w:rsid w:val="00BF5608"/>
    <w:rsid w:val="00BF575A"/>
    <w:rsid w:val="00BF5B26"/>
    <w:rsid w:val="00BF66C1"/>
    <w:rsid w:val="00BF68CC"/>
    <w:rsid w:val="00BF69CF"/>
    <w:rsid w:val="00BF6CAE"/>
    <w:rsid w:val="00BF6D3D"/>
    <w:rsid w:val="00BF704A"/>
    <w:rsid w:val="00BF729B"/>
    <w:rsid w:val="00BF7739"/>
    <w:rsid w:val="00BF7914"/>
    <w:rsid w:val="00BF7E1C"/>
    <w:rsid w:val="00BF7EE5"/>
    <w:rsid w:val="00C0011A"/>
    <w:rsid w:val="00C001B3"/>
    <w:rsid w:val="00C0049A"/>
    <w:rsid w:val="00C007A9"/>
    <w:rsid w:val="00C0092B"/>
    <w:rsid w:val="00C00B3E"/>
    <w:rsid w:val="00C00CC2"/>
    <w:rsid w:val="00C01413"/>
    <w:rsid w:val="00C02298"/>
    <w:rsid w:val="00C02822"/>
    <w:rsid w:val="00C029BE"/>
    <w:rsid w:val="00C02DAA"/>
    <w:rsid w:val="00C0368C"/>
    <w:rsid w:val="00C0453D"/>
    <w:rsid w:val="00C048BE"/>
    <w:rsid w:val="00C048C0"/>
    <w:rsid w:val="00C04A35"/>
    <w:rsid w:val="00C05131"/>
    <w:rsid w:val="00C0539C"/>
    <w:rsid w:val="00C055F0"/>
    <w:rsid w:val="00C05684"/>
    <w:rsid w:val="00C06278"/>
    <w:rsid w:val="00C06CB8"/>
    <w:rsid w:val="00C102B2"/>
    <w:rsid w:val="00C10517"/>
    <w:rsid w:val="00C106A0"/>
    <w:rsid w:val="00C1071E"/>
    <w:rsid w:val="00C1073C"/>
    <w:rsid w:val="00C10926"/>
    <w:rsid w:val="00C10A4C"/>
    <w:rsid w:val="00C10D11"/>
    <w:rsid w:val="00C1100B"/>
    <w:rsid w:val="00C11C09"/>
    <w:rsid w:val="00C12907"/>
    <w:rsid w:val="00C129A0"/>
    <w:rsid w:val="00C12AC6"/>
    <w:rsid w:val="00C133F9"/>
    <w:rsid w:val="00C1340C"/>
    <w:rsid w:val="00C13C87"/>
    <w:rsid w:val="00C13D35"/>
    <w:rsid w:val="00C13E4B"/>
    <w:rsid w:val="00C141CB"/>
    <w:rsid w:val="00C1498A"/>
    <w:rsid w:val="00C15214"/>
    <w:rsid w:val="00C15318"/>
    <w:rsid w:val="00C156EE"/>
    <w:rsid w:val="00C15C8D"/>
    <w:rsid w:val="00C160FD"/>
    <w:rsid w:val="00C163C4"/>
    <w:rsid w:val="00C16B5D"/>
    <w:rsid w:val="00C16CAD"/>
    <w:rsid w:val="00C1754C"/>
    <w:rsid w:val="00C177BE"/>
    <w:rsid w:val="00C1792F"/>
    <w:rsid w:val="00C179B5"/>
    <w:rsid w:val="00C200B8"/>
    <w:rsid w:val="00C205F5"/>
    <w:rsid w:val="00C2162E"/>
    <w:rsid w:val="00C21B52"/>
    <w:rsid w:val="00C222ED"/>
    <w:rsid w:val="00C227AE"/>
    <w:rsid w:val="00C22AFB"/>
    <w:rsid w:val="00C22C26"/>
    <w:rsid w:val="00C230CE"/>
    <w:rsid w:val="00C23397"/>
    <w:rsid w:val="00C2354D"/>
    <w:rsid w:val="00C2414E"/>
    <w:rsid w:val="00C24256"/>
    <w:rsid w:val="00C24441"/>
    <w:rsid w:val="00C2476B"/>
    <w:rsid w:val="00C2490E"/>
    <w:rsid w:val="00C24956"/>
    <w:rsid w:val="00C24D48"/>
    <w:rsid w:val="00C2579F"/>
    <w:rsid w:val="00C26059"/>
    <w:rsid w:val="00C26C4E"/>
    <w:rsid w:val="00C26EC9"/>
    <w:rsid w:val="00C27170"/>
    <w:rsid w:val="00C2729C"/>
    <w:rsid w:val="00C27580"/>
    <w:rsid w:val="00C27856"/>
    <w:rsid w:val="00C27D05"/>
    <w:rsid w:val="00C27FC4"/>
    <w:rsid w:val="00C301A0"/>
    <w:rsid w:val="00C30B98"/>
    <w:rsid w:val="00C30CED"/>
    <w:rsid w:val="00C3125E"/>
    <w:rsid w:val="00C316B4"/>
    <w:rsid w:val="00C31B0A"/>
    <w:rsid w:val="00C32159"/>
    <w:rsid w:val="00C32331"/>
    <w:rsid w:val="00C326B9"/>
    <w:rsid w:val="00C32EF5"/>
    <w:rsid w:val="00C32F90"/>
    <w:rsid w:val="00C3361F"/>
    <w:rsid w:val="00C33DFB"/>
    <w:rsid w:val="00C341FB"/>
    <w:rsid w:val="00C344C6"/>
    <w:rsid w:val="00C3450A"/>
    <w:rsid w:val="00C34757"/>
    <w:rsid w:val="00C347A0"/>
    <w:rsid w:val="00C3628C"/>
    <w:rsid w:val="00C3661C"/>
    <w:rsid w:val="00C3661D"/>
    <w:rsid w:val="00C36787"/>
    <w:rsid w:val="00C369DC"/>
    <w:rsid w:val="00C36B2C"/>
    <w:rsid w:val="00C375BB"/>
    <w:rsid w:val="00C37A0A"/>
    <w:rsid w:val="00C37C02"/>
    <w:rsid w:val="00C37DFD"/>
    <w:rsid w:val="00C37FF6"/>
    <w:rsid w:val="00C4016C"/>
    <w:rsid w:val="00C401FF"/>
    <w:rsid w:val="00C40401"/>
    <w:rsid w:val="00C40CB6"/>
    <w:rsid w:val="00C41417"/>
    <w:rsid w:val="00C41453"/>
    <w:rsid w:val="00C4167D"/>
    <w:rsid w:val="00C41902"/>
    <w:rsid w:val="00C4216F"/>
    <w:rsid w:val="00C428DF"/>
    <w:rsid w:val="00C42F0F"/>
    <w:rsid w:val="00C4382A"/>
    <w:rsid w:val="00C43DCF"/>
    <w:rsid w:val="00C4540A"/>
    <w:rsid w:val="00C45770"/>
    <w:rsid w:val="00C45C10"/>
    <w:rsid w:val="00C45C86"/>
    <w:rsid w:val="00C460FF"/>
    <w:rsid w:val="00C46A9E"/>
    <w:rsid w:val="00C470ED"/>
    <w:rsid w:val="00C47666"/>
    <w:rsid w:val="00C47B9A"/>
    <w:rsid w:val="00C503A5"/>
    <w:rsid w:val="00C50986"/>
    <w:rsid w:val="00C50C26"/>
    <w:rsid w:val="00C52A21"/>
    <w:rsid w:val="00C52EAD"/>
    <w:rsid w:val="00C532EA"/>
    <w:rsid w:val="00C534A4"/>
    <w:rsid w:val="00C53705"/>
    <w:rsid w:val="00C537D2"/>
    <w:rsid w:val="00C53990"/>
    <w:rsid w:val="00C53A95"/>
    <w:rsid w:val="00C53DE9"/>
    <w:rsid w:val="00C53FCB"/>
    <w:rsid w:val="00C54D51"/>
    <w:rsid w:val="00C55A70"/>
    <w:rsid w:val="00C565C6"/>
    <w:rsid w:val="00C565D9"/>
    <w:rsid w:val="00C56E05"/>
    <w:rsid w:val="00C57035"/>
    <w:rsid w:val="00C57804"/>
    <w:rsid w:val="00C578F3"/>
    <w:rsid w:val="00C57BA1"/>
    <w:rsid w:val="00C57C5E"/>
    <w:rsid w:val="00C609DD"/>
    <w:rsid w:val="00C60EC2"/>
    <w:rsid w:val="00C61EA4"/>
    <w:rsid w:val="00C61FB0"/>
    <w:rsid w:val="00C6270F"/>
    <w:rsid w:val="00C631EF"/>
    <w:rsid w:val="00C63298"/>
    <w:rsid w:val="00C637C5"/>
    <w:rsid w:val="00C6383D"/>
    <w:rsid w:val="00C639B8"/>
    <w:rsid w:val="00C639F6"/>
    <w:rsid w:val="00C63EED"/>
    <w:rsid w:val="00C650BA"/>
    <w:rsid w:val="00C65344"/>
    <w:rsid w:val="00C65AF4"/>
    <w:rsid w:val="00C65FB7"/>
    <w:rsid w:val="00C66029"/>
    <w:rsid w:val="00C6608C"/>
    <w:rsid w:val="00C66BC1"/>
    <w:rsid w:val="00C6733E"/>
    <w:rsid w:val="00C67726"/>
    <w:rsid w:val="00C679BE"/>
    <w:rsid w:val="00C67BA0"/>
    <w:rsid w:val="00C70629"/>
    <w:rsid w:val="00C706B7"/>
    <w:rsid w:val="00C70ACA"/>
    <w:rsid w:val="00C710C3"/>
    <w:rsid w:val="00C71B77"/>
    <w:rsid w:val="00C71B8C"/>
    <w:rsid w:val="00C71D2A"/>
    <w:rsid w:val="00C729DB"/>
    <w:rsid w:val="00C72AD7"/>
    <w:rsid w:val="00C72B2F"/>
    <w:rsid w:val="00C72BE2"/>
    <w:rsid w:val="00C72CDC"/>
    <w:rsid w:val="00C73211"/>
    <w:rsid w:val="00C738C7"/>
    <w:rsid w:val="00C73D7D"/>
    <w:rsid w:val="00C7442E"/>
    <w:rsid w:val="00C7454B"/>
    <w:rsid w:val="00C74937"/>
    <w:rsid w:val="00C74AAC"/>
    <w:rsid w:val="00C74FEF"/>
    <w:rsid w:val="00C751FE"/>
    <w:rsid w:val="00C757C2"/>
    <w:rsid w:val="00C75C9E"/>
    <w:rsid w:val="00C75EE9"/>
    <w:rsid w:val="00C75F0A"/>
    <w:rsid w:val="00C76772"/>
    <w:rsid w:val="00C76861"/>
    <w:rsid w:val="00C7687D"/>
    <w:rsid w:val="00C76AA1"/>
    <w:rsid w:val="00C76D20"/>
    <w:rsid w:val="00C76D47"/>
    <w:rsid w:val="00C77263"/>
    <w:rsid w:val="00C77E2F"/>
    <w:rsid w:val="00C77EC9"/>
    <w:rsid w:val="00C77FB2"/>
    <w:rsid w:val="00C8083A"/>
    <w:rsid w:val="00C80B48"/>
    <w:rsid w:val="00C81102"/>
    <w:rsid w:val="00C81A35"/>
    <w:rsid w:val="00C81E9A"/>
    <w:rsid w:val="00C828F1"/>
    <w:rsid w:val="00C82900"/>
    <w:rsid w:val="00C8327A"/>
    <w:rsid w:val="00C83E94"/>
    <w:rsid w:val="00C83EA7"/>
    <w:rsid w:val="00C84090"/>
    <w:rsid w:val="00C842BD"/>
    <w:rsid w:val="00C849CD"/>
    <w:rsid w:val="00C8556F"/>
    <w:rsid w:val="00C857F2"/>
    <w:rsid w:val="00C85CE5"/>
    <w:rsid w:val="00C86456"/>
    <w:rsid w:val="00C865DB"/>
    <w:rsid w:val="00C86AA6"/>
    <w:rsid w:val="00C873FD"/>
    <w:rsid w:val="00C87C53"/>
    <w:rsid w:val="00C9020F"/>
    <w:rsid w:val="00C905B6"/>
    <w:rsid w:val="00C90799"/>
    <w:rsid w:val="00C90BF7"/>
    <w:rsid w:val="00C90F77"/>
    <w:rsid w:val="00C91102"/>
    <w:rsid w:val="00C91179"/>
    <w:rsid w:val="00C91407"/>
    <w:rsid w:val="00C91628"/>
    <w:rsid w:val="00C91E22"/>
    <w:rsid w:val="00C92206"/>
    <w:rsid w:val="00C92DAC"/>
    <w:rsid w:val="00C92F28"/>
    <w:rsid w:val="00C933FE"/>
    <w:rsid w:val="00C93657"/>
    <w:rsid w:val="00C94827"/>
    <w:rsid w:val="00C94C93"/>
    <w:rsid w:val="00C94CCF"/>
    <w:rsid w:val="00C9544F"/>
    <w:rsid w:val="00C96011"/>
    <w:rsid w:val="00C9637D"/>
    <w:rsid w:val="00C965B9"/>
    <w:rsid w:val="00C977C8"/>
    <w:rsid w:val="00C979B2"/>
    <w:rsid w:val="00C97A39"/>
    <w:rsid w:val="00CA02EE"/>
    <w:rsid w:val="00CA08BF"/>
    <w:rsid w:val="00CA0956"/>
    <w:rsid w:val="00CA0A9E"/>
    <w:rsid w:val="00CA0B2F"/>
    <w:rsid w:val="00CA13A9"/>
    <w:rsid w:val="00CA171E"/>
    <w:rsid w:val="00CA1EED"/>
    <w:rsid w:val="00CA2162"/>
    <w:rsid w:val="00CA3061"/>
    <w:rsid w:val="00CA3246"/>
    <w:rsid w:val="00CA32D0"/>
    <w:rsid w:val="00CA3941"/>
    <w:rsid w:val="00CA3A91"/>
    <w:rsid w:val="00CA3F16"/>
    <w:rsid w:val="00CA4281"/>
    <w:rsid w:val="00CA5562"/>
    <w:rsid w:val="00CA5642"/>
    <w:rsid w:val="00CA5659"/>
    <w:rsid w:val="00CA5BCC"/>
    <w:rsid w:val="00CA61EB"/>
    <w:rsid w:val="00CA7210"/>
    <w:rsid w:val="00CA7678"/>
    <w:rsid w:val="00CB006D"/>
    <w:rsid w:val="00CB033E"/>
    <w:rsid w:val="00CB04EF"/>
    <w:rsid w:val="00CB04F1"/>
    <w:rsid w:val="00CB12C0"/>
    <w:rsid w:val="00CB1511"/>
    <w:rsid w:val="00CB185A"/>
    <w:rsid w:val="00CB1A34"/>
    <w:rsid w:val="00CB1BBA"/>
    <w:rsid w:val="00CB1BC1"/>
    <w:rsid w:val="00CB1DCE"/>
    <w:rsid w:val="00CB325B"/>
    <w:rsid w:val="00CB32A5"/>
    <w:rsid w:val="00CB34A1"/>
    <w:rsid w:val="00CB3B3B"/>
    <w:rsid w:val="00CB3B71"/>
    <w:rsid w:val="00CB3E7B"/>
    <w:rsid w:val="00CB3F46"/>
    <w:rsid w:val="00CB4023"/>
    <w:rsid w:val="00CB4A7C"/>
    <w:rsid w:val="00CB4CD9"/>
    <w:rsid w:val="00CB577C"/>
    <w:rsid w:val="00CB6549"/>
    <w:rsid w:val="00CB76BD"/>
    <w:rsid w:val="00CB7969"/>
    <w:rsid w:val="00CB79F5"/>
    <w:rsid w:val="00CB7A50"/>
    <w:rsid w:val="00CB7E2D"/>
    <w:rsid w:val="00CC08A7"/>
    <w:rsid w:val="00CC0ABE"/>
    <w:rsid w:val="00CC0BF8"/>
    <w:rsid w:val="00CC1259"/>
    <w:rsid w:val="00CC153C"/>
    <w:rsid w:val="00CC179A"/>
    <w:rsid w:val="00CC1F9D"/>
    <w:rsid w:val="00CC269A"/>
    <w:rsid w:val="00CC2738"/>
    <w:rsid w:val="00CC2766"/>
    <w:rsid w:val="00CC2BAC"/>
    <w:rsid w:val="00CC2E6C"/>
    <w:rsid w:val="00CC2F58"/>
    <w:rsid w:val="00CC350D"/>
    <w:rsid w:val="00CC3C07"/>
    <w:rsid w:val="00CC3E9B"/>
    <w:rsid w:val="00CC3EBD"/>
    <w:rsid w:val="00CC4669"/>
    <w:rsid w:val="00CC4C6D"/>
    <w:rsid w:val="00CC55D4"/>
    <w:rsid w:val="00CC57E3"/>
    <w:rsid w:val="00CC5A08"/>
    <w:rsid w:val="00CC5CA5"/>
    <w:rsid w:val="00CC691A"/>
    <w:rsid w:val="00CC7236"/>
    <w:rsid w:val="00CC73D1"/>
    <w:rsid w:val="00CC7B78"/>
    <w:rsid w:val="00CD0DEE"/>
    <w:rsid w:val="00CD1BE3"/>
    <w:rsid w:val="00CD1CFD"/>
    <w:rsid w:val="00CD24E7"/>
    <w:rsid w:val="00CD2703"/>
    <w:rsid w:val="00CD2C14"/>
    <w:rsid w:val="00CD2E4A"/>
    <w:rsid w:val="00CD3246"/>
    <w:rsid w:val="00CD3961"/>
    <w:rsid w:val="00CD3AD3"/>
    <w:rsid w:val="00CD4174"/>
    <w:rsid w:val="00CD46EA"/>
    <w:rsid w:val="00CD51BA"/>
    <w:rsid w:val="00CD539A"/>
    <w:rsid w:val="00CD581F"/>
    <w:rsid w:val="00CD5987"/>
    <w:rsid w:val="00CD5E67"/>
    <w:rsid w:val="00CD69D3"/>
    <w:rsid w:val="00CD69D4"/>
    <w:rsid w:val="00CD6E7B"/>
    <w:rsid w:val="00CD6F8C"/>
    <w:rsid w:val="00CD70E5"/>
    <w:rsid w:val="00CD7553"/>
    <w:rsid w:val="00CD7826"/>
    <w:rsid w:val="00CD7A82"/>
    <w:rsid w:val="00CD7C15"/>
    <w:rsid w:val="00CE066A"/>
    <w:rsid w:val="00CE06D1"/>
    <w:rsid w:val="00CE0791"/>
    <w:rsid w:val="00CE09CE"/>
    <w:rsid w:val="00CE0FFB"/>
    <w:rsid w:val="00CE1077"/>
    <w:rsid w:val="00CE1217"/>
    <w:rsid w:val="00CE125F"/>
    <w:rsid w:val="00CE161B"/>
    <w:rsid w:val="00CE17CA"/>
    <w:rsid w:val="00CE1C6F"/>
    <w:rsid w:val="00CE220C"/>
    <w:rsid w:val="00CE2BF4"/>
    <w:rsid w:val="00CE2F42"/>
    <w:rsid w:val="00CE3E91"/>
    <w:rsid w:val="00CE4078"/>
    <w:rsid w:val="00CE43B7"/>
    <w:rsid w:val="00CE44AE"/>
    <w:rsid w:val="00CE4B3A"/>
    <w:rsid w:val="00CE5F47"/>
    <w:rsid w:val="00CE67FC"/>
    <w:rsid w:val="00CE6910"/>
    <w:rsid w:val="00CE69F8"/>
    <w:rsid w:val="00CE6B3F"/>
    <w:rsid w:val="00CE6CBB"/>
    <w:rsid w:val="00CE73EF"/>
    <w:rsid w:val="00CE74D7"/>
    <w:rsid w:val="00CE75BC"/>
    <w:rsid w:val="00CE7CA3"/>
    <w:rsid w:val="00CE7D88"/>
    <w:rsid w:val="00CF00C1"/>
    <w:rsid w:val="00CF00DD"/>
    <w:rsid w:val="00CF013F"/>
    <w:rsid w:val="00CF0440"/>
    <w:rsid w:val="00CF06A0"/>
    <w:rsid w:val="00CF0A63"/>
    <w:rsid w:val="00CF0A69"/>
    <w:rsid w:val="00CF0A88"/>
    <w:rsid w:val="00CF0E97"/>
    <w:rsid w:val="00CF121D"/>
    <w:rsid w:val="00CF1954"/>
    <w:rsid w:val="00CF1A05"/>
    <w:rsid w:val="00CF2627"/>
    <w:rsid w:val="00CF2685"/>
    <w:rsid w:val="00CF2C19"/>
    <w:rsid w:val="00CF30BC"/>
    <w:rsid w:val="00CF32DF"/>
    <w:rsid w:val="00CF34AC"/>
    <w:rsid w:val="00CF34F5"/>
    <w:rsid w:val="00CF3782"/>
    <w:rsid w:val="00CF4221"/>
    <w:rsid w:val="00CF4AB1"/>
    <w:rsid w:val="00CF52D8"/>
    <w:rsid w:val="00CF550E"/>
    <w:rsid w:val="00CF5804"/>
    <w:rsid w:val="00CF5BAF"/>
    <w:rsid w:val="00CF654C"/>
    <w:rsid w:val="00CF67D7"/>
    <w:rsid w:val="00CF6C26"/>
    <w:rsid w:val="00CF7333"/>
    <w:rsid w:val="00CF7553"/>
    <w:rsid w:val="00CF75FE"/>
    <w:rsid w:val="00CF7710"/>
    <w:rsid w:val="00CF78BB"/>
    <w:rsid w:val="00D00165"/>
    <w:rsid w:val="00D00477"/>
    <w:rsid w:val="00D005BB"/>
    <w:rsid w:val="00D007DD"/>
    <w:rsid w:val="00D0116A"/>
    <w:rsid w:val="00D012E6"/>
    <w:rsid w:val="00D0186C"/>
    <w:rsid w:val="00D01A64"/>
    <w:rsid w:val="00D01D3B"/>
    <w:rsid w:val="00D02344"/>
    <w:rsid w:val="00D02509"/>
    <w:rsid w:val="00D02586"/>
    <w:rsid w:val="00D02618"/>
    <w:rsid w:val="00D02CF1"/>
    <w:rsid w:val="00D03A5E"/>
    <w:rsid w:val="00D03B2A"/>
    <w:rsid w:val="00D03D37"/>
    <w:rsid w:val="00D03ECC"/>
    <w:rsid w:val="00D0451E"/>
    <w:rsid w:val="00D05186"/>
    <w:rsid w:val="00D054F0"/>
    <w:rsid w:val="00D05686"/>
    <w:rsid w:val="00D05E49"/>
    <w:rsid w:val="00D06214"/>
    <w:rsid w:val="00D0641E"/>
    <w:rsid w:val="00D06824"/>
    <w:rsid w:val="00D07336"/>
    <w:rsid w:val="00D076CE"/>
    <w:rsid w:val="00D077B2"/>
    <w:rsid w:val="00D077BD"/>
    <w:rsid w:val="00D077D8"/>
    <w:rsid w:val="00D07C62"/>
    <w:rsid w:val="00D11C05"/>
    <w:rsid w:val="00D11F93"/>
    <w:rsid w:val="00D12C18"/>
    <w:rsid w:val="00D12FF9"/>
    <w:rsid w:val="00D13212"/>
    <w:rsid w:val="00D1368A"/>
    <w:rsid w:val="00D13889"/>
    <w:rsid w:val="00D13BEF"/>
    <w:rsid w:val="00D13EA1"/>
    <w:rsid w:val="00D14563"/>
    <w:rsid w:val="00D149B7"/>
    <w:rsid w:val="00D14DB9"/>
    <w:rsid w:val="00D14F95"/>
    <w:rsid w:val="00D15396"/>
    <w:rsid w:val="00D1545B"/>
    <w:rsid w:val="00D15623"/>
    <w:rsid w:val="00D15835"/>
    <w:rsid w:val="00D15FBB"/>
    <w:rsid w:val="00D16168"/>
    <w:rsid w:val="00D16B06"/>
    <w:rsid w:val="00D1729E"/>
    <w:rsid w:val="00D1753D"/>
    <w:rsid w:val="00D20B06"/>
    <w:rsid w:val="00D20CC6"/>
    <w:rsid w:val="00D210F5"/>
    <w:rsid w:val="00D215AC"/>
    <w:rsid w:val="00D21883"/>
    <w:rsid w:val="00D218D4"/>
    <w:rsid w:val="00D21B79"/>
    <w:rsid w:val="00D21DAC"/>
    <w:rsid w:val="00D22027"/>
    <w:rsid w:val="00D226C7"/>
    <w:rsid w:val="00D226DF"/>
    <w:rsid w:val="00D227C5"/>
    <w:rsid w:val="00D22EC9"/>
    <w:rsid w:val="00D23391"/>
    <w:rsid w:val="00D23674"/>
    <w:rsid w:val="00D23CB0"/>
    <w:rsid w:val="00D24C87"/>
    <w:rsid w:val="00D24D13"/>
    <w:rsid w:val="00D24EDB"/>
    <w:rsid w:val="00D252A3"/>
    <w:rsid w:val="00D261C3"/>
    <w:rsid w:val="00D2622A"/>
    <w:rsid w:val="00D263B5"/>
    <w:rsid w:val="00D2663A"/>
    <w:rsid w:val="00D27206"/>
    <w:rsid w:val="00D27802"/>
    <w:rsid w:val="00D278E7"/>
    <w:rsid w:val="00D30488"/>
    <w:rsid w:val="00D3056D"/>
    <w:rsid w:val="00D30849"/>
    <w:rsid w:val="00D30B47"/>
    <w:rsid w:val="00D30C0A"/>
    <w:rsid w:val="00D30D84"/>
    <w:rsid w:val="00D31525"/>
    <w:rsid w:val="00D31DC8"/>
    <w:rsid w:val="00D31E33"/>
    <w:rsid w:val="00D32B02"/>
    <w:rsid w:val="00D33429"/>
    <w:rsid w:val="00D33878"/>
    <w:rsid w:val="00D33CCE"/>
    <w:rsid w:val="00D33EB9"/>
    <w:rsid w:val="00D340D7"/>
    <w:rsid w:val="00D34D99"/>
    <w:rsid w:val="00D34DD3"/>
    <w:rsid w:val="00D350C5"/>
    <w:rsid w:val="00D3561C"/>
    <w:rsid w:val="00D356B9"/>
    <w:rsid w:val="00D35914"/>
    <w:rsid w:val="00D3596B"/>
    <w:rsid w:val="00D35B2E"/>
    <w:rsid w:val="00D35CC1"/>
    <w:rsid w:val="00D36404"/>
    <w:rsid w:val="00D36751"/>
    <w:rsid w:val="00D36892"/>
    <w:rsid w:val="00D369E3"/>
    <w:rsid w:val="00D36DA2"/>
    <w:rsid w:val="00D36E9B"/>
    <w:rsid w:val="00D36EF8"/>
    <w:rsid w:val="00D373E1"/>
    <w:rsid w:val="00D3751A"/>
    <w:rsid w:val="00D377D8"/>
    <w:rsid w:val="00D379EC"/>
    <w:rsid w:val="00D37D45"/>
    <w:rsid w:val="00D37E67"/>
    <w:rsid w:val="00D400F9"/>
    <w:rsid w:val="00D40435"/>
    <w:rsid w:val="00D408E2"/>
    <w:rsid w:val="00D40EFF"/>
    <w:rsid w:val="00D412EE"/>
    <w:rsid w:val="00D413E6"/>
    <w:rsid w:val="00D41509"/>
    <w:rsid w:val="00D41C08"/>
    <w:rsid w:val="00D41EE0"/>
    <w:rsid w:val="00D41F78"/>
    <w:rsid w:val="00D425BB"/>
    <w:rsid w:val="00D427F1"/>
    <w:rsid w:val="00D42B8C"/>
    <w:rsid w:val="00D43010"/>
    <w:rsid w:val="00D434D8"/>
    <w:rsid w:val="00D43674"/>
    <w:rsid w:val="00D43693"/>
    <w:rsid w:val="00D438F2"/>
    <w:rsid w:val="00D4390D"/>
    <w:rsid w:val="00D43A3E"/>
    <w:rsid w:val="00D43A69"/>
    <w:rsid w:val="00D43C35"/>
    <w:rsid w:val="00D43F92"/>
    <w:rsid w:val="00D4453A"/>
    <w:rsid w:val="00D44D0B"/>
    <w:rsid w:val="00D44F32"/>
    <w:rsid w:val="00D44FE6"/>
    <w:rsid w:val="00D45831"/>
    <w:rsid w:val="00D45B25"/>
    <w:rsid w:val="00D45CA3"/>
    <w:rsid w:val="00D45E4A"/>
    <w:rsid w:val="00D4618B"/>
    <w:rsid w:val="00D46254"/>
    <w:rsid w:val="00D468BF"/>
    <w:rsid w:val="00D46982"/>
    <w:rsid w:val="00D46FAE"/>
    <w:rsid w:val="00D4717E"/>
    <w:rsid w:val="00D47A49"/>
    <w:rsid w:val="00D47F92"/>
    <w:rsid w:val="00D50671"/>
    <w:rsid w:val="00D50CC5"/>
    <w:rsid w:val="00D5109E"/>
    <w:rsid w:val="00D516AB"/>
    <w:rsid w:val="00D51B0D"/>
    <w:rsid w:val="00D51B4A"/>
    <w:rsid w:val="00D521A9"/>
    <w:rsid w:val="00D53271"/>
    <w:rsid w:val="00D534D7"/>
    <w:rsid w:val="00D53EE9"/>
    <w:rsid w:val="00D53F2D"/>
    <w:rsid w:val="00D54184"/>
    <w:rsid w:val="00D54E52"/>
    <w:rsid w:val="00D54F0D"/>
    <w:rsid w:val="00D55B18"/>
    <w:rsid w:val="00D56332"/>
    <w:rsid w:val="00D5679A"/>
    <w:rsid w:val="00D567FD"/>
    <w:rsid w:val="00D56EE3"/>
    <w:rsid w:val="00D5753B"/>
    <w:rsid w:val="00D5760A"/>
    <w:rsid w:val="00D579F2"/>
    <w:rsid w:val="00D57A5C"/>
    <w:rsid w:val="00D57CDD"/>
    <w:rsid w:val="00D607EE"/>
    <w:rsid w:val="00D608D0"/>
    <w:rsid w:val="00D60DFB"/>
    <w:rsid w:val="00D60FE6"/>
    <w:rsid w:val="00D61345"/>
    <w:rsid w:val="00D61407"/>
    <w:rsid w:val="00D616D3"/>
    <w:rsid w:val="00D61BA9"/>
    <w:rsid w:val="00D620FB"/>
    <w:rsid w:val="00D62220"/>
    <w:rsid w:val="00D62A70"/>
    <w:rsid w:val="00D62BCF"/>
    <w:rsid w:val="00D6312D"/>
    <w:rsid w:val="00D6472A"/>
    <w:rsid w:val="00D64F97"/>
    <w:rsid w:val="00D653C1"/>
    <w:rsid w:val="00D65471"/>
    <w:rsid w:val="00D66081"/>
    <w:rsid w:val="00D66185"/>
    <w:rsid w:val="00D666CD"/>
    <w:rsid w:val="00D66B68"/>
    <w:rsid w:val="00D66DB6"/>
    <w:rsid w:val="00D67095"/>
    <w:rsid w:val="00D67105"/>
    <w:rsid w:val="00D67329"/>
    <w:rsid w:val="00D67A0B"/>
    <w:rsid w:val="00D70968"/>
    <w:rsid w:val="00D70BB4"/>
    <w:rsid w:val="00D70F1D"/>
    <w:rsid w:val="00D71060"/>
    <w:rsid w:val="00D717AB"/>
    <w:rsid w:val="00D718EA"/>
    <w:rsid w:val="00D71DA1"/>
    <w:rsid w:val="00D72356"/>
    <w:rsid w:val="00D723C3"/>
    <w:rsid w:val="00D72528"/>
    <w:rsid w:val="00D72719"/>
    <w:rsid w:val="00D729DD"/>
    <w:rsid w:val="00D7346D"/>
    <w:rsid w:val="00D7362D"/>
    <w:rsid w:val="00D7370A"/>
    <w:rsid w:val="00D73A89"/>
    <w:rsid w:val="00D73CA3"/>
    <w:rsid w:val="00D74309"/>
    <w:rsid w:val="00D745D4"/>
    <w:rsid w:val="00D749CF"/>
    <w:rsid w:val="00D74B4B"/>
    <w:rsid w:val="00D75053"/>
    <w:rsid w:val="00D750E6"/>
    <w:rsid w:val="00D75261"/>
    <w:rsid w:val="00D75F1D"/>
    <w:rsid w:val="00D766F5"/>
    <w:rsid w:val="00D76D92"/>
    <w:rsid w:val="00D76F61"/>
    <w:rsid w:val="00D76F86"/>
    <w:rsid w:val="00D77813"/>
    <w:rsid w:val="00D77B9B"/>
    <w:rsid w:val="00D8017B"/>
    <w:rsid w:val="00D80317"/>
    <w:rsid w:val="00D8032E"/>
    <w:rsid w:val="00D80F8B"/>
    <w:rsid w:val="00D818B8"/>
    <w:rsid w:val="00D81A71"/>
    <w:rsid w:val="00D81AB4"/>
    <w:rsid w:val="00D81D5C"/>
    <w:rsid w:val="00D81F67"/>
    <w:rsid w:val="00D82042"/>
    <w:rsid w:val="00D82361"/>
    <w:rsid w:val="00D827C3"/>
    <w:rsid w:val="00D82804"/>
    <w:rsid w:val="00D82EE5"/>
    <w:rsid w:val="00D82FA7"/>
    <w:rsid w:val="00D831C3"/>
    <w:rsid w:val="00D840DD"/>
    <w:rsid w:val="00D84156"/>
    <w:rsid w:val="00D8449C"/>
    <w:rsid w:val="00D8479A"/>
    <w:rsid w:val="00D84980"/>
    <w:rsid w:val="00D84D23"/>
    <w:rsid w:val="00D84FCF"/>
    <w:rsid w:val="00D85466"/>
    <w:rsid w:val="00D8608A"/>
    <w:rsid w:val="00D867E9"/>
    <w:rsid w:val="00D86BB2"/>
    <w:rsid w:val="00D86FAE"/>
    <w:rsid w:val="00D874B5"/>
    <w:rsid w:val="00D87721"/>
    <w:rsid w:val="00D878DB"/>
    <w:rsid w:val="00D87F38"/>
    <w:rsid w:val="00D900EF"/>
    <w:rsid w:val="00D9014E"/>
    <w:rsid w:val="00D90153"/>
    <w:rsid w:val="00D901ED"/>
    <w:rsid w:val="00D90202"/>
    <w:rsid w:val="00D90609"/>
    <w:rsid w:val="00D90ADD"/>
    <w:rsid w:val="00D91337"/>
    <w:rsid w:val="00D916F5"/>
    <w:rsid w:val="00D9182A"/>
    <w:rsid w:val="00D91C86"/>
    <w:rsid w:val="00D92511"/>
    <w:rsid w:val="00D9284E"/>
    <w:rsid w:val="00D92DD9"/>
    <w:rsid w:val="00D9349D"/>
    <w:rsid w:val="00D934D4"/>
    <w:rsid w:val="00D936AB"/>
    <w:rsid w:val="00D93EE7"/>
    <w:rsid w:val="00D946B8"/>
    <w:rsid w:val="00D947A4"/>
    <w:rsid w:val="00D94871"/>
    <w:rsid w:val="00D9487D"/>
    <w:rsid w:val="00D955F9"/>
    <w:rsid w:val="00D958FA"/>
    <w:rsid w:val="00D95CF2"/>
    <w:rsid w:val="00D96149"/>
    <w:rsid w:val="00D96D4E"/>
    <w:rsid w:val="00D9758F"/>
    <w:rsid w:val="00D976A9"/>
    <w:rsid w:val="00D977E9"/>
    <w:rsid w:val="00D9781D"/>
    <w:rsid w:val="00DA01B7"/>
    <w:rsid w:val="00DA0E98"/>
    <w:rsid w:val="00DA1308"/>
    <w:rsid w:val="00DA1367"/>
    <w:rsid w:val="00DA1EEE"/>
    <w:rsid w:val="00DA2A13"/>
    <w:rsid w:val="00DA3AE5"/>
    <w:rsid w:val="00DA442D"/>
    <w:rsid w:val="00DA4622"/>
    <w:rsid w:val="00DA46A9"/>
    <w:rsid w:val="00DA5A00"/>
    <w:rsid w:val="00DA5A11"/>
    <w:rsid w:val="00DA5E85"/>
    <w:rsid w:val="00DA5FDF"/>
    <w:rsid w:val="00DA6305"/>
    <w:rsid w:val="00DA6751"/>
    <w:rsid w:val="00DA6C29"/>
    <w:rsid w:val="00DA792F"/>
    <w:rsid w:val="00DA7AFF"/>
    <w:rsid w:val="00DB03EB"/>
    <w:rsid w:val="00DB07AD"/>
    <w:rsid w:val="00DB0E78"/>
    <w:rsid w:val="00DB1068"/>
    <w:rsid w:val="00DB245E"/>
    <w:rsid w:val="00DB2999"/>
    <w:rsid w:val="00DB2F1D"/>
    <w:rsid w:val="00DB3604"/>
    <w:rsid w:val="00DB3960"/>
    <w:rsid w:val="00DB4095"/>
    <w:rsid w:val="00DB4317"/>
    <w:rsid w:val="00DB45A8"/>
    <w:rsid w:val="00DB46EF"/>
    <w:rsid w:val="00DB46FE"/>
    <w:rsid w:val="00DB475D"/>
    <w:rsid w:val="00DB4892"/>
    <w:rsid w:val="00DB53DE"/>
    <w:rsid w:val="00DB5CC5"/>
    <w:rsid w:val="00DB5F28"/>
    <w:rsid w:val="00DB6435"/>
    <w:rsid w:val="00DB6BF2"/>
    <w:rsid w:val="00DB7915"/>
    <w:rsid w:val="00DB7A8B"/>
    <w:rsid w:val="00DB7C0A"/>
    <w:rsid w:val="00DB7F14"/>
    <w:rsid w:val="00DC00DD"/>
    <w:rsid w:val="00DC076C"/>
    <w:rsid w:val="00DC09B2"/>
    <w:rsid w:val="00DC0BE5"/>
    <w:rsid w:val="00DC0FB0"/>
    <w:rsid w:val="00DC1220"/>
    <w:rsid w:val="00DC20C8"/>
    <w:rsid w:val="00DC2D95"/>
    <w:rsid w:val="00DC35D2"/>
    <w:rsid w:val="00DC3648"/>
    <w:rsid w:val="00DC4789"/>
    <w:rsid w:val="00DC4C92"/>
    <w:rsid w:val="00DC4CF2"/>
    <w:rsid w:val="00DC4F57"/>
    <w:rsid w:val="00DC5128"/>
    <w:rsid w:val="00DC5FCC"/>
    <w:rsid w:val="00DC6B23"/>
    <w:rsid w:val="00DC716A"/>
    <w:rsid w:val="00DC75A4"/>
    <w:rsid w:val="00DC76C4"/>
    <w:rsid w:val="00DC7979"/>
    <w:rsid w:val="00DC7FB9"/>
    <w:rsid w:val="00DD06DA"/>
    <w:rsid w:val="00DD0761"/>
    <w:rsid w:val="00DD0A0A"/>
    <w:rsid w:val="00DD0ED2"/>
    <w:rsid w:val="00DD0F8F"/>
    <w:rsid w:val="00DD10B4"/>
    <w:rsid w:val="00DD1AE2"/>
    <w:rsid w:val="00DD1C93"/>
    <w:rsid w:val="00DD1D99"/>
    <w:rsid w:val="00DD2380"/>
    <w:rsid w:val="00DD2BE9"/>
    <w:rsid w:val="00DD3184"/>
    <w:rsid w:val="00DD3684"/>
    <w:rsid w:val="00DD408D"/>
    <w:rsid w:val="00DD42EF"/>
    <w:rsid w:val="00DD4577"/>
    <w:rsid w:val="00DD4647"/>
    <w:rsid w:val="00DD5956"/>
    <w:rsid w:val="00DD5CA0"/>
    <w:rsid w:val="00DD5DC7"/>
    <w:rsid w:val="00DD61E8"/>
    <w:rsid w:val="00DD62C1"/>
    <w:rsid w:val="00DD668C"/>
    <w:rsid w:val="00DD66E5"/>
    <w:rsid w:val="00DD747B"/>
    <w:rsid w:val="00DD76B9"/>
    <w:rsid w:val="00DD7F58"/>
    <w:rsid w:val="00DE01BA"/>
    <w:rsid w:val="00DE04BD"/>
    <w:rsid w:val="00DE084D"/>
    <w:rsid w:val="00DE0AAD"/>
    <w:rsid w:val="00DE0B29"/>
    <w:rsid w:val="00DE0F16"/>
    <w:rsid w:val="00DE1511"/>
    <w:rsid w:val="00DE23E6"/>
    <w:rsid w:val="00DE2C70"/>
    <w:rsid w:val="00DE2D66"/>
    <w:rsid w:val="00DE3139"/>
    <w:rsid w:val="00DE3375"/>
    <w:rsid w:val="00DE365A"/>
    <w:rsid w:val="00DE3C0D"/>
    <w:rsid w:val="00DE4285"/>
    <w:rsid w:val="00DE47EA"/>
    <w:rsid w:val="00DE5130"/>
    <w:rsid w:val="00DE51B8"/>
    <w:rsid w:val="00DE52AD"/>
    <w:rsid w:val="00DE53DA"/>
    <w:rsid w:val="00DE58C9"/>
    <w:rsid w:val="00DE6977"/>
    <w:rsid w:val="00DE70F9"/>
    <w:rsid w:val="00DE714B"/>
    <w:rsid w:val="00DE71F5"/>
    <w:rsid w:val="00DE7284"/>
    <w:rsid w:val="00DE72CD"/>
    <w:rsid w:val="00DE7385"/>
    <w:rsid w:val="00DE76FA"/>
    <w:rsid w:val="00DE7D3F"/>
    <w:rsid w:val="00DE7E1A"/>
    <w:rsid w:val="00DF0095"/>
    <w:rsid w:val="00DF00D3"/>
    <w:rsid w:val="00DF075E"/>
    <w:rsid w:val="00DF148D"/>
    <w:rsid w:val="00DF1504"/>
    <w:rsid w:val="00DF1BFF"/>
    <w:rsid w:val="00DF20CC"/>
    <w:rsid w:val="00DF24E8"/>
    <w:rsid w:val="00DF2D63"/>
    <w:rsid w:val="00DF2DF6"/>
    <w:rsid w:val="00DF2F00"/>
    <w:rsid w:val="00DF40E0"/>
    <w:rsid w:val="00DF477C"/>
    <w:rsid w:val="00DF4E10"/>
    <w:rsid w:val="00DF57F3"/>
    <w:rsid w:val="00DF5CC6"/>
    <w:rsid w:val="00DF5F60"/>
    <w:rsid w:val="00DF651B"/>
    <w:rsid w:val="00DF6805"/>
    <w:rsid w:val="00DF6889"/>
    <w:rsid w:val="00DF68B7"/>
    <w:rsid w:val="00DF6B2F"/>
    <w:rsid w:val="00DF71A3"/>
    <w:rsid w:val="00DF7201"/>
    <w:rsid w:val="00DF77EC"/>
    <w:rsid w:val="00DF7A31"/>
    <w:rsid w:val="00DF7A4E"/>
    <w:rsid w:val="00E0014A"/>
    <w:rsid w:val="00E00633"/>
    <w:rsid w:val="00E009FB"/>
    <w:rsid w:val="00E00A7C"/>
    <w:rsid w:val="00E0119E"/>
    <w:rsid w:val="00E0137F"/>
    <w:rsid w:val="00E01AB7"/>
    <w:rsid w:val="00E01FA3"/>
    <w:rsid w:val="00E02084"/>
    <w:rsid w:val="00E02418"/>
    <w:rsid w:val="00E02C62"/>
    <w:rsid w:val="00E030EC"/>
    <w:rsid w:val="00E034C3"/>
    <w:rsid w:val="00E03BFE"/>
    <w:rsid w:val="00E03C67"/>
    <w:rsid w:val="00E03C8B"/>
    <w:rsid w:val="00E040E7"/>
    <w:rsid w:val="00E04309"/>
    <w:rsid w:val="00E043DC"/>
    <w:rsid w:val="00E048CD"/>
    <w:rsid w:val="00E04982"/>
    <w:rsid w:val="00E04C3B"/>
    <w:rsid w:val="00E04E73"/>
    <w:rsid w:val="00E04EC2"/>
    <w:rsid w:val="00E0531F"/>
    <w:rsid w:val="00E0596A"/>
    <w:rsid w:val="00E05AAF"/>
    <w:rsid w:val="00E06209"/>
    <w:rsid w:val="00E0649A"/>
    <w:rsid w:val="00E067A4"/>
    <w:rsid w:val="00E06A98"/>
    <w:rsid w:val="00E102BE"/>
    <w:rsid w:val="00E110B6"/>
    <w:rsid w:val="00E11C50"/>
    <w:rsid w:val="00E122A5"/>
    <w:rsid w:val="00E12736"/>
    <w:rsid w:val="00E1287F"/>
    <w:rsid w:val="00E12B6A"/>
    <w:rsid w:val="00E12BF5"/>
    <w:rsid w:val="00E12CA0"/>
    <w:rsid w:val="00E13540"/>
    <w:rsid w:val="00E1418E"/>
    <w:rsid w:val="00E155DC"/>
    <w:rsid w:val="00E15D27"/>
    <w:rsid w:val="00E15D2E"/>
    <w:rsid w:val="00E1609B"/>
    <w:rsid w:val="00E171ED"/>
    <w:rsid w:val="00E17305"/>
    <w:rsid w:val="00E1757B"/>
    <w:rsid w:val="00E20255"/>
    <w:rsid w:val="00E204ED"/>
    <w:rsid w:val="00E20526"/>
    <w:rsid w:val="00E20963"/>
    <w:rsid w:val="00E209F6"/>
    <w:rsid w:val="00E2166B"/>
    <w:rsid w:val="00E22121"/>
    <w:rsid w:val="00E22EEE"/>
    <w:rsid w:val="00E2311A"/>
    <w:rsid w:val="00E24A4D"/>
    <w:rsid w:val="00E24F8C"/>
    <w:rsid w:val="00E25827"/>
    <w:rsid w:val="00E2582E"/>
    <w:rsid w:val="00E258EC"/>
    <w:rsid w:val="00E25B9F"/>
    <w:rsid w:val="00E265D1"/>
    <w:rsid w:val="00E268F7"/>
    <w:rsid w:val="00E26AFD"/>
    <w:rsid w:val="00E26C71"/>
    <w:rsid w:val="00E26F1E"/>
    <w:rsid w:val="00E27287"/>
    <w:rsid w:val="00E27482"/>
    <w:rsid w:val="00E27822"/>
    <w:rsid w:val="00E308B6"/>
    <w:rsid w:val="00E3103E"/>
    <w:rsid w:val="00E31130"/>
    <w:rsid w:val="00E31B04"/>
    <w:rsid w:val="00E31B39"/>
    <w:rsid w:val="00E31C32"/>
    <w:rsid w:val="00E31F49"/>
    <w:rsid w:val="00E32960"/>
    <w:rsid w:val="00E3299C"/>
    <w:rsid w:val="00E329CC"/>
    <w:rsid w:val="00E32E99"/>
    <w:rsid w:val="00E33361"/>
    <w:rsid w:val="00E33B9E"/>
    <w:rsid w:val="00E341E4"/>
    <w:rsid w:val="00E34559"/>
    <w:rsid w:val="00E34EEC"/>
    <w:rsid w:val="00E3552E"/>
    <w:rsid w:val="00E363D1"/>
    <w:rsid w:val="00E36931"/>
    <w:rsid w:val="00E3699B"/>
    <w:rsid w:val="00E36A1E"/>
    <w:rsid w:val="00E372C0"/>
    <w:rsid w:val="00E375DF"/>
    <w:rsid w:val="00E3771F"/>
    <w:rsid w:val="00E37846"/>
    <w:rsid w:val="00E37E08"/>
    <w:rsid w:val="00E406F8"/>
    <w:rsid w:val="00E4085A"/>
    <w:rsid w:val="00E40B9A"/>
    <w:rsid w:val="00E4111F"/>
    <w:rsid w:val="00E411B1"/>
    <w:rsid w:val="00E42565"/>
    <w:rsid w:val="00E429D3"/>
    <w:rsid w:val="00E42E62"/>
    <w:rsid w:val="00E43A71"/>
    <w:rsid w:val="00E43DD4"/>
    <w:rsid w:val="00E43EE1"/>
    <w:rsid w:val="00E44305"/>
    <w:rsid w:val="00E444F7"/>
    <w:rsid w:val="00E446A7"/>
    <w:rsid w:val="00E44F76"/>
    <w:rsid w:val="00E451F4"/>
    <w:rsid w:val="00E46187"/>
    <w:rsid w:val="00E4678B"/>
    <w:rsid w:val="00E46A43"/>
    <w:rsid w:val="00E46AC7"/>
    <w:rsid w:val="00E46DD0"/>
    <w:rsid w:val="00E47952"/>
    <w:rsid w:val="00E47B69"/>
    <w:rsid w:val="00E47DE5"/>
    <w:rsid w:val="00E47FE6"/>
    <w:rsid w:val="00E5003B"/>
    <w:rsid w:val="00E50C0D"/>
    <w:rsid w:val="00E51285"/>
    <w:rsid w:val="00E5165F"/>
    <w:rsid w:val="00E51AC3"/>
    <w:rsid w:val="00E51FD6"/>
    <w:rsid w:val="00E52D71"/>
    <w:rsid w:val="00E533C4"/>
    <w:rsid w:val="00E53994"/>
    <w:rsid w:val="00E5497C"/>
    <w:rsid w:val="00E54B3E"/>
    <w:rsid w:val="00E54DD9"/>
    <w:rsid w:val="00E5520B"/>
    <w:rsid w:val="00E5603E"/>
    <w:rsid w:val="00E560D7"/>
    <w:rsid w:val="00E56748"/>
    <w:rsid w:val="00E56850"/>
    <w:rsid w:val="00E56A42"/>
    <w:rsid w:val="00E56BC1"/>
    <w:rsid w:val="00E56E04"/>
    <w:rsid w:val="00E57399"/>
    <w:rsid w:val="00E5744A"/>
    <w:rsid w:val="00E57B17"/>
    <w:rsid w:val="00E57BF7"/>
    <w:rsid w:val="00E60236"/>
    <w:rsid w:val="00E606B4"/>
    <w:rsid w:val="00E61B2B"/>
    <w:rsid w:val="00E620D6"/>
    <w:rsid w:val="00E6216A"/>
    <w:rsid w:val="00E62172"/>
    <w:rsid w:val="00E6225E"/>
    <w:rsid w:val="00E622A0"/>
    <w:rsid w:val="00E628AB"/>
    <w:rsid w:val="00E62921"/>
    <w:rsid w:val="00E62F87"/>
    <w:rsid w:val="00E630FB"/>
    <w:rsid w:val="00E63FA9"/>
    <w:rsid w:val="00E64B9C"/>
    <w:rsid w:val="00E64FDC"/>
    <w:rsid w:val="00E65001"/>
    <w:rsid w:val="00E6516B"/>
    <w:rsid w:val="00E65472"/>
    <w:rsid w:val="00E6587D"/>
    <w:rsid w:val="00E65C0B"/>
    <w:rsid w:val="00E65D5A"/>
    <w:rsid w:val="00E65EE5"/>
    <w:rsid w:val="00E6603F"/>
    <w:rsid w:val="00E66891"/>
    <w:rsid w:val="00E672F9"/>
    <w:rsid w:val="00E6737E"/>
    <w:rsid w:val="00E673A3"/>
    <w:rsid w:val="00E67538"/>
    <w:rsid w:val="00E67989"/>
    <w:rsid w:val="00E67C6D"/>
    <w:rsid w:val="00E70007"/>
    <w:rsid w:val="00E70085"/>
    <w:rsid w:val="00E706F6"/>
    <w:rsid w:val="00E70740"/>
    <w:rsid w:val="00E70BE9"/>
    <w:rsid w:val="00E71127"/>
    <w:rsid w:val="00E7116B"/>
    <w:rsid w:val="00E714BC"/>
    <w:rsid w:val="00E7179E"/>
    <w:rsid w:val="00E71C03"/>
    <w:rsid w:val="00E721B1"/>
    <w:rsid w:val="00E7230D"/>
    <w:rsid w:val="00E724BC"/>
    <w:rsid w:val="00E72522"/>
    <w:rsid w:val="00E725EE"/>
    <w:rsid w:val="00E7284B"/>
    <w:rsid w:val="00E7297A"/>
    <w:rsid w:val="00E72FE9"/>
    <w:rsid w:val="00E732D1"/>
    <w:rsid w:val="00E7330A"/>
    <w:rsid w:val="00E7386D"/>
    <w:rsid w:val="00E73882"/>
    <w:rsid w:val="00E73CE3"/>
    <w:rsid w:val="00E74221"/>
    <w:rsid w:val="00E74670"/>
    <w:rsid w:val="00E7483D"/>
    <w:rsid w:val="00E759F4"/>
    <w:rsid w:val="00E75B44"/>
    <w:rsid w:val="00E75D25"/>
    <w:rsid w:val="00E765B0"/>
    <w:rsid w:val="00E76604"/>
    <w:rsid w:val="00E773D8"/>
    <w:rsid w:val="00E77496"/>
    <w:rsid w:val="00E7766E"/>
    <w:rsid w:val="00E7795B"/>
    <w:rsid w:val="00E77CC8"/>
    <w:rsid w:val="00E77DE5"/>
    <w:rsid w:val="00E8018B"/>
    <w:rsid w:val="00E8030E"/>
    <w:rsid w:val="00E80E8F"/>
    <w:rsid w:val="00E81263"/>
    <w:rsid w:val="00E81501"/>
    <w:rsid w:val="00E82160"/>
    <w:rsid w:val="00E829A0"/>
    <w:rsid w:val="00E82F56"/>
    <w:rsid w:val="00E830BF"/>
    <w:rsid w:val="00E83314"/>
    <w:rsid w:val="00E8356D"/>
    <w:rsid w:val="00E839DF"/>
    <w:rsid w:val="00E83A07"/>
    <w:rsid w:val="00E83A7E"/>
    <w:rsid w:val="00E83C48"/>
    <w:rsid w:val="00E83C67"/>
    <w:rsid w:val="00E843A8"/>
    <w:rsid w:val="00E8442B"/>
    <w:rsid w:val="00E845A9"/>
    <w:rsid w:val="00E849FD"/>
    <w:rsid w:val="00E851FA"/>
    <w:rsid w:val="00E85219"/>
    <w:rsid w:val="00E8546A"/>
    <w:rsid w:val="00E8546F"/>
    <w:rsid w:val="00E854EB"/>
    <w:rsid w:val="00E854EF"/>
    <w:rsid w:val="00E85E89"/>
    <w:rsid w:val="00E860A7"/>
    <w:rsid w:val="00E86D41"/>
    <w:rsid w:val="00E87041"/>
    <w:rsid w:val="00E871A4"/>
    <w:rsid w:val="00E871B3"/>
    <w:rsid w:val="00E871F8"/>
    <w:rsid w:val="00E87A0A"/>
    <w:rsid w:val="00E87D1B"/>
    <w:rsid w:val="00E90243"/>
    <w:rsid w:val="00E90860"/>
    <w:rsid w:val="00E90C9E"/>
    <w:rsid w:val="00E913EB"/>
    <w:rsid w:val="00E91AC3"/>
    <w:rsid w:val="00E91DA0"/>
    <w:rsid w:val="00E91E55"/>
    <w:rsid w:val="00E91EF6"/>
    <w:rsid w:val="00E92737"/>
    <w:rsid w:val="00E92754"/>
    <w:rsid w:val="00E92B43"/>
    <w:rsid w:val="00E92B87"/>
    <w:rsid w:val="00E92C1F"/>
    <w:rsid w:val="00E92D00"/>
    <w:rsid w:val="00E92E2D"/>
    <w:rsid w:val="00E938E5"/>
    <w:rsid w:val="00E9481A"/>
    <w:rsid w:val="00E95512"/>
    <w:rsid w:val="00E956BC"/>
    <w:rsid w:val="00E956FD"/>
    <w:rsid w:val="00E95D2B"/>
    <w:rsid w:val="00E96476"/>
    <w:rsid w:val="00E976DE"/>
    <w:rsid w:val="00E97E08"/>
    <w:rsid w:val="00EA02A2"/>
    <w:rsid w:val="00EA061D"/>
    <w:rsid w:val="00EA0795"/>
    <w:rsid w:val="00EA08CA"/>
    <w:rsid w:val="00EA0E2A"/>
    <w:rsid w:val="00EA0E73"/>
    <w:rsid w:val="00EA0FA2"/>
    <w:rsid w:val="00EA1ACC"/>
    <w:rsid w:val="00EA1F74"/>
    <w:rsid w:val="00EA241D"/>
    <w:rsid w:val="00EA261B"/>
    <w:rsid w:val="00EA2641"/>
    <w:rsid w:val="00EA2984"/>
    <w:rsid w:val="00EA2CCC"/>
    <w:rsid w:val="00EA345C"/>
    <w:rsid w:val="00EA358F"/>
    <w:rsid w:val="00EA41D6"/>
    <w:rsid w:val="00EA48EE"/>
    <w:rsid w:val="00EA4A39"/>
    <w:rsid w:val="00EA4ECC"/>
    <w:rsid w:val="00EA4FD6"/>
    <w:rsid w:val="00EA50F2"/>
    <w:rsid w:val="00EA5410"/>
    <w:rsid w:val="00EA5428"/>
    <w:rsid w:val="00EA5890"/>
    <w:rsid w:val="00EA599D"/>
    <w:rsid w:val="00EA5B0B"/>
    <w:rsid w:val="00EA5B71"/>
    <w:rsid w:val="00EA5CD9"/>
    <w:rsid w:val="00EA65D8"/>
    <w:rsid w:val="00EA739A"/>
    <w:rsid w:val="00EA7BE1"/>
    <w:rsid w:val="00EB019B"/>
    <w:rsid w:val="00EB077F"/>
    <w:rsid w:val="00EB0B3A"/>
    <w:rsid w:val="00EB0E7C"/>
    <w:rsid w:val="00EB107B"/>
    <w:rsid w:val="00EB10B4"/>
    <w:rsid w:val="00EB1159"/>
    <w:rsid w:val="00EB11AD"/>
    <w:rsid w:val="00EB1BC9"/>
    <w:rsid w:val="00EB215A"/>
    <w:rsid w:val="00EB23BE"/>
    <w:rsid w:val="00EB2AD5"/>
    <w:rsid w:val="00EB2E56"/>
    <w:rsid w:val="00EB357F"/>
    <w:rsid w:val="00EB35E8"/>
    <w:rsid w:val="00EB3814"/>
    <w:rsid w:val="00EB4695"/>
    <w:rsid w:val="00EB4D02"/>
    <w:rsid w:val="00EB54F2"/>
    <w:rsid w:val="00EB595D"/>
    <w:rsid w:val="00EB61FA"/>
    <w:rsid w:val="00EB6295"/>
    <w:rsid w:val="00EB693B"/>
    <w:rsid w:val="00EB6CA3"/>
    <w:rsid w:val="00EB6CD4"/>
    <w:rsid w:val="00EB7135"/>
    <w:rsid w:val="00EB719E"/>
    <w:rsid w:val="00EB7474"/>
    <w:rsid w:val="00EB7AAA"/>
    <w:rsid w:val="00EC0EEB"/>
    <w:rsid w:val="00EC114D"/>
    <w:rsid w:val="00EC167D"/>
    <w:rsid w:val="00EC1847"/>
    <w:rsid w:val="00EC214D"/>
    <w:rsid w:val="00EC24A6"/>
    <w:rsid w:val="00EC2B01"/>
    <w:rsid w:val="00EC2C90"/>
    <w:rsid w:val="00EC30FA"/>
    <w:rsid w:val="00EC341C"/>
    <w:rsid w:val="00EC43FC"/>
    <w:rsid w:val="00EC4452"/>
    <w:rsid w:val="00EC4461"/>
    <w:rsid w:val="00EC504C"/>
    <w:rsid w:val="00EC5BAC"/>
    <w:rsid w:val="00EC5D5F"/>
    <w:rsid w:val="00EC6031"/>
    <w:rsid w:val="00EC6244"/>
    <w:rsid w:val="00EC63E4"/>
    <w:rsid w:val="00EC68F4"/>
    <w:rsid w:val="00EC6A0B"/>
    <w:rsid w:val="00EC6EFF"/>
    <w:rsid w:val="00EC72E9"/>
    <w:rsid w:val="00EC73FE"/>
    <w:rsid w:val="00EC746A"/>
    <w:rsid w:val="00EC784B"/>
    <w:rsid w:val="00EC7EF9"/>
    <w:rsid w:val="00ED0364"/>
    <w:rsid w:val="00ED07F0"/>
    <w:rsid w:val="00ED113D"/>
    <w:rsid w:val="00ED1831"/>
    <w:rsid w:val="00ED1D85"/>
    <w:rsid w:val="00ED1F25"/>
    <w:rsid w:val="00ED232D"/>
    <w:rsid w:val="00ED29D9"/>
    <w:rsid w:val="00ED2C4F"/>
    <w:rsid w:val="00ED305A"/>
    <w:rsid w:val="00ED374B"/>
    <w:rsid w:val="00ED37C0"/>
    <w:rsid w:val="00ED3811"/>
    <w:rsid w:val="00ED38A4"/>
    <w:rsid w:val="00ED3AB5"/>
    <w:rsid w:val="00ED477E"/>
    <w:rsid w:val="00ED4A3F"/>
    <w:rsid w:val="00ED4EFB"/>
    <w:rsid w:val="00ED5334"/>
    <w:rsid w:val="00ED5873"/>
    <w:rsid w:val="00ED5D29"/>
    <w:rsid w:val="00ED5E05"/>
    <w:rsid w:val="00ED622C"/>
    <w:rsid w:val="00ED62EE"/>
    <w:rsid w:val="00ED660F"/>
    <w:rsid w:val="00ED73FA"/>
    <w:rsid w:val="00ED7A2F"/>
    <w:rsid w:val="00ED7B38"/>
    <w:rsid w:val="00ED7EC8"/>
    <w:rsid w:val="00EE007E"/>
    <w:rsid w:val="00EE08C8"/>
    <w:rsid w:val="00EE08F2"/>
    <w:rsid w:val="00EE14B4"/>
    <w:rsid w:val="00EE168C"/>
    <w:rsid w:val="00EE16EF"/>
    <w:rsid w:val="00EE1AE0"/>
    <w:rsid w:val="00EE1D1B"/>
    <w:rsid w:val="00EE1E99"/>
    <w:rsid w:val="00EE273D"/>
    <w:rsid w:val="00EE2B86"/>
    <w:rsid w:val="00EE2E1A"/>
    <w:rsid w:val="00EE320F"/>
    <w:rsid w:val="00EE3868"/>
    <w:rsid w:val="00EE3BC0"/>
    <w:rsid w:val="00EE3BEC"/>
    <w:rsid w:val="00EE412D"/>
    <w:rsid w:val="00EE4176"/>
    <w:rsid w:val="00EE447B"/>
    <w:rsid w:val="00EE471B"/>
    <w:rsid w:val="00EE4CFA"/>
    <w:rsid w:val="00EE4E1D"/>
    <w:rsid w:val="00EE5604"/>
    <w:rsid w:val="00EE566E"/>
    <w:rsid w:val="00EE5AAB"/>
    <w:rsid w:val="00EE633B"/>
    <w:rsid w:val="00EE6F51"/>
    <w:rsid w:val="00EE7274"/>
    <w:rsid w:val="00EE761F"/>
    <w:rsid w:val="00EE7A37"/>
    <w:rsid w:val="00EF00E8"/>
    <w:rsid w:val="00EF0162"/>
    <w:rsid w:val="00EF064C"/>
    <w:rsid w:val="00EF1C1F"/>
    <w:rsid w:val="00EF2903"/>
    <w:rsid w:val="00EF2999"/>
    <w:rsid w:val="00EF36DB"/>
    <w:rsid w:val="00EF37C9"/>
    <w:rsid w:val="00EF38D5"/>
    <w:rsid w:val="00EF3B18"/>
    <w:rsid w:val="00EF3E68"/>
    <w:rsid w:val="00EF41EB"/>
    <w:rsid w:val="00EF4336"/>
    <w:rsid w:val="00EF45BA"/>
    <w:rsid w:val="00EF49A2"/>
    <w:rsid w:val="00EF53C7"/>
    <w:rsid w:val="00EF5650"/>
    <w:rsid w:val="00EF5AF1"/>
    <w:rsid w:val="00EF61AE"/>
    <w:rsid w:val="00EF6204"/>
    <w:rsid w:val="00EF637F"/>
    <w:rsid w:val="00EF64AB"/>
    <w:rsid w:val="00EF706B"/>
    <w:rsid w:val="00EF73DC"/>
    <w:rsid w:val="00EF7C13"/>
    <w:rsid w:val="00EF7D05"/>
    <w:rsid w:val="00EF7FE5"/>
    <w:rsid w:val="00F00188"/>
    <w:rsid w:val="00F00712"/>
    <w:rsid w:val="00F00F15"/>
    <w:rsid w:val="00F01239"/>
    <w:rsid w:val="00F013FF"/>
    <w:rsid w:val="00F02284"/>
    <w:rsid w:val="00F02E10"/>
    <w:rsid w:val="00F0332B"/>
    <w:rsid w:val="00F036CC"/>
    <w:rsid w:val="00F03B6E"/>
    <w:rsid w:val="00F03E80"/>
    <w:rsid w:val="00F0434C"/>
    <w:rsid w:val="00F0439D"/>
    <w:rsid w:val="00F043A5"/>
    <w:rsid w:val="00F04B42"/>
    <w:rsid w:val="00F054F3"/>
    <w:rsid w:val="00F056DD"/>
    <w:rsid w:val="00F058A2"/>
    <w:rsid w:val="00F058C7"/>
    <w:rsid w:val="00F0594B"/>
    <w:rsid w:val="00F059A6"/>
    <w:rsid w:val="00F059F4"/>
    <w:rsid w:val="00F05B99"/>
    <w:rsid w:val="00F05EAF"/>
    <w:rsid w:val="00F066AB"/>
    <w:rsid w:val="00F06944"/>
    <w:rsid w:val="00F077B0"/>
    <w:rsid w:val="00F07A76"/>
    <w:rsid w:val="00F10004"/>
    <w:rsid w:val="00F105BC"/>
    <w:rsid w:val="00F10615"/>
    <w:rsid w:val="00F1069E"/>
    <w:rsid w:val="00F110A3"/>
    <w:rsid w:val="00F11350"/>
    <w:rsid w:val="00F113AC"/>
    <w:rsid w:val="00F11E08"/>
    <w:rsid w:val="00F12611"/>
    <w:rsid w:val="00F13AB0"/>
    <w:rsid w:val="00F13D21"/>
    <w:rsid w:val="00F14142"/>
    <w:rsid w:val="00F14814"/>
    <w:rsid w:val="00F15042"/>
    <w:rsid w:val="00F150DB"/>
    <w:rsid w:val="00F15749"/>
    <w:rsid w:val="00F16372"/>
    <w:rsid w:val="00F165F7"/>
    <w:rsid w:val="00F16CEC"/>
    <w:rsid w:val="00F16FD8"/>
    <w:rsid w:val="00F17055"/>
    <w:rsid w:val="00F1707E"/>
    <w:rsid w:val="00F174E7"/>
    <w:rsid w:val="00F17645"/>
    <w:rsid w:val="00F17B32"/>
    <w:rsid w:val="00F17C7F"/>
    <w:rsid w:val="00F201A9"/>
    <w:rsid w:val="00F20A06"/>
    <w:rsid w:val="00F20F9A"/>
    <w:rsid w:val="00F21495"/>
    <w:rsid w:val="00F214E8"/>
    <w:rsid w:val="00F21EF2"/>
    <w:rsid w:val="00F22B53"/>
    <w:rsid w:val="00F2310A"/>
    <w:rsid w:val="00F2375F"/>
    <w:rsid w:val="00F23809"/>
    <w:rsid w:val="00F23912"/>
    <w:rsid w:val="00F23E85"/>
    <w:rsid w:val="00F24461"/>
    <w:rsid w:val="00F244A4"/>
    <w:rsid w:val="00F24520"/>
    <w:rsid w:val="00F246B6"/>
    <w:rsid w:val="00F25190"/>
    <w:rsid w:val="00F25FDC"/>
    <w:rsid w:val="00F2655B"/>
    <w:rsid w:val="00F26D14"/>
    <w:rsid w:val="00F2710E"/>
    <w:rsid w:val="00F2737A"/>
    <w:rsid w:val="00F27636"/>
    <w:rsid w:val="00F27830"/>
    <w:rsid w:val="00F300F7"/>
    <w:rsid w:val="00F30553"/>
    <w:rsid w:val="00F30843"/>
    <w:rsid w:val="00F30939"/>
    <w:rsid w:val="00F30A36"/>
    <w:rsid w:val="00F30CE0"/>
    <w:rsid w:val="00F30F8C"/>
    <w:rsid w:val="00F31526"/>
    <w:rsid w:val="00F3177E"/>
    <w:rsid w:val="00F3189C"/>
    <w:rsid w:val="00F327CF"/>
    <w:rsid w:val="00F329DD"/>
    <w:rsid w:val="00F32DE2"/>
    <w:rsid w:val="00F332D5"/>
    <w:rsid w:val="00F33531"/>
    <w:rsid w:val="00F33CAF"/>
    <w:rsid w:val="00F340E2"/>
    <w:rsid w:val="00F34869"/>
    <w:rsid w:val="00F34EA6"/>
    <w:rsid w:val="00F34EB8"/>
    <w:rsid w:val="00F352D1"/>
    <w:rsid w:val="00F355E8"/>
    <w:rsid w:val="00F358D6"/>
    <w:rsid w:val="00F36589"/>
    <w:rsid w:val="00F367C6"/>
    <w:rsid w:val="00F36834"/>
    <w:rsid w:val="00F36C0C"/>
    <w:rsid w:val="00F36D54"/>
    <w:rsid w:val="00F36EA2"/>
    <w:rsid w:val="00F37002"/>
    <w:rsid w:val="00F371B0"/>
    <w:rsid w:val="00F4085A"/>
    <w:rsid w:val="00F4097B"/>
    <w:rsid w:val="00F40BCC"/>
    <w:rsid w:val="00F40D6C"/>
    <w:rsid w:val="00F41C1F"/>
    <w:rsid w:val="00F4259B"/>
    <w:rsid w:val="00F42716"/>
    <w:rsid w:val="00F4282F"/>
    <w:rsid w:val="00F4293C"/>
    <w:rsid w:val="00F4315E"/>
    <w:rsid w:val="00F43BC8"/>
    <w:rsid w:val="00F43CAC"/>
    <w:rsid w:val="00F43D41"/>
    <w:rsid w:val="00F44234"/>
    <w:rsid w:val="00F44751"/>
    <w:rsid w:val="00F45177"/>
    <w:rsid w:val="00F45202"/>
    <w:rsid w:val="00F4538A"/>
    <w:rsid w:val="00F45442"/>
    <w:rsid w:val="00F459F0"/>
    <w:rsid w:val="00F45C57"/>
    <w:rsid w:val="00F45C7C"/>
    <w:rsid w:val="00F461A5"/>
    <w:rsid w:val="00F463F9"/>
    <w:rsid w:val="00F472BD"/>
    <w:rsid w:val="00F4758F"/>
    <w:rsid w:val="00F501B9"/>
    <w:rsid w:val="00F5177A"/>
    <w:rsid w:val="00F52150"/>
    <w:rsid w:val="00F52E44"/>
    <w:rsid w:val="00F5383A"/>
    <w:rsid w:val="00F53957"/>
    <w:rsid w:val="00F55279"/>
    <w:rsid w:val="00F553EC"/>
    <w:rsid w:val="00F558F1"/>
    <w:rsid w:val="00F55FA4"/>
    <w:rsid w:val="00F5676D"/>
    <w:rsid w:val="00F569E3"/>
    <w:rsid w:val="00F57292"/>
    <w:rsid w:val="00F57304"/>
    <w:rsid w:val="00F5740B"/>
    <w:rsid w:val="00F605E4"/>
    <w:rsid w:val="00F60D85"/>
    <w:rsid w:val="00F61231"/>
    <w:rsid w:val="00F6147F"/>
    <w:rsid w:val="00F619CB"/>
    <w:rsid w:val="00F61E2B"/>
    <w:rsid w:val="00F620FC"/>
    <w:rsid w:val="00F621EC"/>
    <w:rsid w:val="00F6223C"/>
    <w:rsid w:val="00F62712"/>
    <w:rsid w:val="00F62FA2"/>
    <w:rsid w:val="00F635E0"/>
    <w:rsid w:val="00F636F5"/>
    <w:rsid w:val="00F64939"/>
    <w:rsid w:val="00F64E7A"/>
    <w:rsid w:val="00F65139"/>
    <w:rsid w:val="00F653C7"/>
    <w:rsid w:val="00F65677"/>
    <w:rsid w:val="00F656A0"/>
    <w:rsid w:val="00F66AAB"/>
    <w:rsid w:val="00F66DDC"/>
    <w:rsid w:val="00F672FE"/>
    <w:rsid w:val="00F67B93"/>
    <w:rsid w:val="00F67CFB"/>
    <w:rsid w:val="00F705FD"/>
    <w:rsid w:val="00F70C8C"/>
    <w:rsid w:val="00F71097"/>
    <w:rsid w:val="00F714AD"/>
    <w:rsid w:val="00F71698"/>
    <w:rsid w:val="00F7172C"/>
    <w:rsid w:val="00F71D13"/>
    <w:rsid w:val="00F728E4"/>
    <w:rsid w:val="00F729AF"/>
    <w:rsid w:val="00F729D2"/>
    <w:rsid w:val="00F730B4"/>
    <w:rsid w:val="00F737EA"/>
    <w:rsid w:val="00F7422B"/>
    <w:rsid w:val="00F743FB"/>
    <w:rsid w:val="00F7507E"/>
    <w:rsid w:val="00F75082"/>
    <w:rsid w:val="00F7603C"/>
    <w:rsid w:val="00F76235"/>
    <w:rsid w:val="00F76F1F"/>
    <w:rsid w:val="00F76FAE"/>
    <w:rsid w:val="00F773BC"/>
    <w:rsid w:val="00F77526"/>
    <w:rsid w:val="00F77A2C"/>
    <w:rsid w:val="00F77F8C"/>
    <w:rsid w:val="00F803C7"/>
    <w:rsid w:val="00F80D98"/>
    <w:rsid w:val="00F80F1C"/>
    <w:rsid w:val="00F8126A"/>
    <w:rsid w:val="00F81640"/>
    <w:rsid w:val="00F81AEE"/>
    <w:rsid w:val="00F81DDA"/>
    <w:rsid w:val="00F8211C"/>
    <w:rsid w:val="00F8245A"/>
    <w:rsid w:val="00F824C5"/>
    <w:rsid w:val="00F82EE9"/>
    <w:rsid w:val="00F83147"/>
    <w:rsid w:val="00F832F9"/>
    <w:rsid w:val="00F83325"/>
    <w:rsid w:val="00F83D90"/>
    <w:rsid w:val="00F83E58"/>
    <w:rsid w:val="00F83EA4"/>
    <w:rsid w:val="00F83FBF"/>
    <w:rsid w:val="00F84287"/>
    <w:rsid w:val="00F845B2"/>
    <w:rsid w:val="00F8466E"/>
    <w:rsid w:val="00F8477E"/>
    <w:rsid w:val="00F84B5D"/>
    <w:rsid w:val="00F84CB9"/>
    <w:rsid w:val="00F853B9"/>
    <w:rsid w:val="00F857CD"/>
    <w:rsid w:val="00F858F8"/>
    <w:rsid w:val="00F86134"/>
    <w:rsid w:val="00F8643C"/>
    <w:rsid w:val="00F8673E"/>
    <w:rsid w:val="00F868EF"/>
    <w:rsid w:val="00F86AC7"/>
    <w:rsid w:val="00F86CC0"/>
    <w:rsid w:val="00F86DE8"/>
    <w:rsid w:val="00F86E5B"/>
    <w:rsid w:val="00F873AF"/>
    <w:rsid w:val="00F87558"/>
    <w:rsid w:val="00F876C7"/>
    <w:rsid w:val="00F900C0"/>
    <w:rsid w:val="00F90503"/>
    <w:rsid w:val="00F9054D"/>
    <w:rsid w:val="00F91972"/>
    <w:rsid w:val="00F91B56"/>
    <w:rsid w:val="00F91EF4"/>
    <w:rsid w:val="00F921E3"/>
    <w:rsid w:val="00F922D7"/>
    <w:rsid w:val="00F92386"/>
    <w:rsid w:val="00F9257B"/>
    <w:rsid w:val="00F92794"/>
    <w:rsid w:val="00F9286F"/>
    <w:rsid w:val="00F9369D"/>
    <w:rsid w:val="00F93DBC"/>
    <w:rsid w:val="00F94189"/>
    <w:rsid w:val="00F946B3"/>
    <w:rsid w:val="00F94EE6"/>
    <w:rsid w:val="00F951EA"/>
    <w:rsid w:val="00F951FC"/>
    <w:rsid w:val="00F95806"/>
    <w:rsid w:val="00F95A33"/>
    <w:rsid w:val="00F96160"/>
    <w:rsid w:val="00F9632F"/>
    <w:rsid w:val="00F96946"/>
    <w:rsid w:val="00F96D9D"/>
    <w:rsid w:val="00F96FFE"/>
    <w:rsid w:val="00F97212"/>
    <w:rsid w:val="00F9740C"/>
    <w:rsid w:val="00F97725"/>
    <w:rsid w:val="00F97ED9"/>
    <w:rsid w:val="00FA0FAC"/>
    <w:rsid w:val="00FA112D"/>
    <w:rsid w:val="00FA1143"/>
    <w:rsid w:val="00FA1320"/>
    <w:rsid w:val="00FA1E27"/>
    <w:rsid w:val="00FA2123"/>
    <w:rsid w:val="00FA21E2"/>
    <w:rsid w:val="00FA23D9"/>
    <w:rsid w:val="00FA2986"/>
    <w:rsid w:val="00FA32A4"/>
    <w:rsid w:val="00FA3AD8"/>
    <w:rsid w:val="00FA3AFC"/>
    <w:rsid w:val="00FA43A8"/>
    <w:rsid w:val="00FA467D"/>
    <w:rsid w:val="00FA4853"/>
    <w:rsid w:val="00FA4B13"/>
    <w:rsid w:val="00FA5645"/>
    <w:rsid w:val="00FA57F9"/>
    <w:rsid w:val="00FA6679"/>
    <w:rsid w:val="00FA6B2D"/>
    <w:rsid w:val="00FA76A7"/>
    <w:rsid w:val="00FB0728"/>
    <w:rsid w:val="00FB13A4"/>
    <w:rsid w:val="00FB14B8"/>
    <w:rsid w:val="00FB1B8E"/>
    <w:rsid w:val="00FB1FD0"/>
    <w:rsid w:val="00FB1FDC"/>
    <w:rsid w:val="00FB2114"/>
    <w:rsid w:val="00FB24B5"/>
    <w:rsid w:val="00FB24BA"/>
    <w:rsid w:val="00FB273E"/>
    <w:rsid w:val="00FB35DF"/>
    <w:rsid w:val="00FB3B94"/>
    <w:rsid w:val="00FB3DFE"/>
    <w:rsid w:val="00FB3FFE"/>
    <w:rsid w:val="00FB426B"/>
    <w:rsid w:val="00FB451F"/>
    <w:rsid w:val="00FB480D"/>
    <w:rsid w:val="00FB48E1"/>
    <w:rsid w:val="00FB524B"/>
    <w:rsid w:val="00FB53C7"/>
    <w:rsid w:val="00FB5962"/>
    <w:rsid w:val="00FB5981"/>
    <w:rsid w:val="00FB6127"/>
    <w:rsid w:val="00FB6258"/>
    <w:rsid w:val="00FB6759"/>
    <w:rsid w:val="00FB676E"/>
    <w:rsid w:val="00FB67CE"/>
    <w:rsid w:val="00FB6CE3"/>
    <w:rsid w:val="00FB6CF9"/>
    <w:rsid w:val="00FB7A40"/>
    <w:rsid w:val="00FB7BD7"/>
    <w:rsid w:val="00FC01A4"/>
    <w:rsid w:val="00FC0337"/>
    <w:rsid w:val="00FC036A"/>
    <w:rsid w:val="00FC05F4"/>
    <w:rsid w:val="00FC0628"/>
    <w:rsid w:val="00FC0C36"/>
    <w:rsid w:val="00FC1BCF"/>
    <w:rsid w:val="00FC2066"/>
    <w:rsid w:val="00FC22A8"/>
    <w:rsid w:val="00FC2473"/>
    <w:rsid w:val="00FC2745"/>
    <w:rsid w:val="00FC30F1"/>
    <w:rsid w:val="00FC3691"/>
    <w:rsid w:val="00FC36C2"/>
    <w:rsid w:val="00FC38EB"/>
    <w:rsid w:val="00FC3B04"/>
    <w:rsid w:val="00FC3F33"/>
    <w:rsid w:val="00FC3F89"/>
    <w:rsid w:val="00FC41B0"/>
    <w:rsid w:val="00FC45FF"/>
    <w:rsid w:val="00FC49A8"/>
    <w:rsid w:val="00FC5512"/>
    <w:rsid w:val="00FC60E6"/>
    <w:rsid w:val="00FC64D3"/>
    <w:rsid w:val="00FC6C19"/>
    <w:rsid w:val="00FC6CD4"/>
    <w:rsid w:val="00FC723A"/>
    <w:rsid w:val="00FC74A1"/>
    <w:rsid w:val="00FC7618"/>
    <w:rsid w:val="00FC7AE2"/>
    <w:rsid w:val="00FC7D69"/>
    <w:rsid w:val="00FD0442"/>
    <w:rsid w:val="00FD22D5"/>
    <w:rsid w:val="00FD2570"/>
    <w:rsid w:val="00FD29B4"/>
    <w:rsid w:val="00FD2AD2"/>
    <w:rsid w:val="00FD2F73"/>
    <w:rsid w:val="00FD30C5"/>
    <w:rsid w:val="00FD321B"/>
    <w:rsid w:val="00FD4A16"/>
    <w:rsid w:val="00FD4C96"/>
    <w:rsid w:val="00FD4D11"/>
    <w:rsid w:val="00FD5CBA"/>
    <w:rsid w:val="00FD61F8"/>
    <w:rsid w:val="00FD6386"/>
    <w:rsid w:val="00FD6504"/>
    <w:rsid w:val="00FD772E"/>
    <w:rsid w:val="00FD7AC7"/>
    <w:rsid w:val="00FD7CE8"/>
    <w:rsid w:val="00FE037B"/>
    <w:rsid w:val="00FE09AF"/>
    <w:rsid w:val="00FE0D97"/>
    <w:rsid w:val="00FE0F16"/>
    <w:rsid w:val="00FE1259"/>
    <w:rsid w:val="00FE1307"/>
    <w:rsid w:val="00FE1539"/>
    <w:rsid w:val="00FE1664"/>
    <w:rsid w:val="00FE16CC"/>
    <w:rsid w:val="00FE2066"/>
    <w:rsid w:val="00FE250E"/>
    <w:rsid w:val="00FE273C"/>
    <w:rsid w:val="00FE2D16"/>
    <w:rsid w:val="00FE2E74"/>
    <w:rsid w:val="00FE2ED2"/>
    <w:rsid w:val="00FE3654"/>
    <w:rsid w:val="00FE3691"/>
    <w:rsid w:val="00FE3761"/>
    <w:rsid w:val="00FE3FF3"/>
    <w:rsid w:val="00FE41F5"/>
    <w:rsid w:val="00FE452A"/>
    <w:rsid w:val="00FE4547"/>
    <w:rsid w:val="00FE461A"/>
    <w:rsid w:val="00FE47B1"/>
    <w:rsid w:val="00FE4D7B"/>
    <w:rsid w:val="00FE50D6"/>
    <w:rsid w:val="00FE5B81"/>
    <w:rsid w:val="00FE5C13"/>
    <w:rsid w:val="00FE5C42"/>
    <w:rsid w:val="00FE621F"/>
    <w:rsid w:val="00FE6393"/>
    <w:rsid w:val="00FE643C"/>
    <w:rsid w:val="00FE66D9"/>
    <w:rsid w:val="00FE6BD0"/>
    <w:rsid w:val="00FE7CBB"/>
    <w:rsid w:val="00FE7D80"/>
    <w:rsid w:val="00FF05B0"/>
    <w:rsid w:val="00FF07A8"/>
    <w:rsid w:val="00FF09C6"/>
    <w:rsid w:val="00FF1247"/>
    <w:rsid w:val="00FF1946"/>
    <w:rsid w:val="00FF1FCA"/>
    <w:rsid w:val="00FF20E9"/>
    <w:rsid w:val="00FF2855"/>
    <w:rsid w:val="00FF2B7A"/>
    <w:rsid w:val="00FF3820"/>
    <w:rsid w:val="00FF40C2"/>
    <w:rsid w:val="00FF4769"/>
    <w:rsid w:val="00FF4C75"/>
    <w:rsid w:val="00FF4EF4"/>
    <w:rsid w:val="00FF54D7"/>
    <w:rsid w:val="00FF591D"/>
    <w:rsid w:val="00FF6A1C"/>
    <w:rsid w:val="00FF6A60"/>
    <w:rsid w:val="00FF6DCD"/>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BF1E"/>
  <w15:chartTrackingRefBased/>
  <w15:docId w15:val="{17EC696E-D37E-489A-B546-9ABDEEB0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7496"/>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E77496"/>
    <w:pPr>
      <w:keepNext/>
      <w:keepLines/>
      <w:numPr>
        <w:numId w:val="41"/>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E77496"/>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E77496"/>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E77496"/>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E77496"/>
    <w:pPr>
      <w:keepNext/>
      <w:numPr>
        <w:numId w:val="2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E77496"/>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E77496"/>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E77496"/>
    <w:pPr>
      <w:ind w:left="993"/>
      <w:outlineLvl w:val="7"/>
    </w:pPr>
    <w:rPr>
      <w:color w:val="321547"/>
      <w:szCs w:val="22"/>
      <w:u w:val="dotDotDash"/>
    </w:rPr>
  </w:style>
  <w:style w:type="paragraph" w:styleId="Ttulo9">
    <w:name w:val="heading 9"/>
    <w:basedOn w:val="Ttulo8"/>
    <w:next w:val="Normal"/>
    <w:link w:val="Ttulo9Car"/>
    <w:uiPriority w:val="9"/>
    <w:unhideWhenUsed/>
    <w:qFormat/>
    <w:rsid w:val="00E77496"/>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E77496"/>
    <w:rPr>
      <w:color w:val="0563C1" w:themeColor="hyperlink"/>
      <w:u w:val="single"/>
    </w:rPr>
  </w:style>
  <w:style w:type="paragraph" w:styleId="Textonotapie">
    <w:name w:val="footnote text"/>
    <w:aliases w:val="Nota a pie de página"/>
    <w:basedOn w:val="Normal"/>
    <w:link w:val="TextonotapieCar"/>
    <w:uiPriority w:val="99"/>
    <w:unhideWhenUsed/>
    <w:qFormat/>
    <w:rsid w:val="00E77496"/>
    <w:pPr>
      <w:keepLines/>
      <w:spacing w:after="40" w:line="240" w:lineRule="auto"/>
    </w:pPr>
    <w:rPr>
      <w:sz w:val="16"/>
      <w:szCs w:val="20"/>
    </w:rPr>
  </w:style>
  <w:style w:type="character" w:styleId="Refdenotaalpie">
    <w:name w:val="footnote reference"/>
    <w:basedOn w:val="Fuentedeprrafopredeter"/>
    <w:uiPriority w:val="99"/>
    <w:unhideWhenUsed/>
    <w:rsid w:val="00E77496"/>
    <w:rPr>
      <w:vertAlign w:val="superscript"/>
    </w:rPr>
  </w:style>
  <w:style w:type="table" w:styleId="Tablaconcuadrcula">
    <w:name w:val="Table Grid"/>
    <w:basedOn w:val="Tablanormal"/>
    <w:uiPriority w:val="39"/>
    <w:rsid w:val="00E7749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E77496"/>
    <w:rPr>
      <w:rFonts w:ascii="Segoe UI" w:hAnsi="Segoe UI" w:cs="Segoe UI"/>
      <w:sz w:val="18"/>
      <w:szCs w:val="18"/>
    </w:rPr>
  </w:style>
  <w:style w:type="paragraph" w:styleId="Prrafodelista">
    <w:name w:val="List Paragraph"/>
    <w:basedOn w:val="Normal"/>
    <w:uiPriority w:val="34"/>
    <w:rsid w:val="00E77496"/>
    <w:pPr>
      <w:ind w:left="720"/>
      <w:contextualSpacing/>
    </w:pPr>
  </w:style>
  <w:style w:type="numbering" w:customStyle="1" w:styleId="WW8Num17">
    <w:name w:val="WW8Num17"/>
    <w:basedOn w:val="Sinlista"/>
    <w:rsid w:val="00B3513D"/>
    <w:pPr>
      <w:numPr>
        <w:numId w:val="9"/>
      </w:numPr>
    </w:pPr>
  </w:style>
  <w:style w:type="character" w:customStyle="1" w:styleId="TextonotapieCar">
    <w:name w:val="Texto nota pie Car"/>
    <w:aliases w:val="Nota a pie de página Car"/>
    <w:basedOn w:val="Fuentedeprrafopredeter"/>
    <w:link w:val="Textonotapie"/>
    <w:uiPriority w:val="99"/>
    <w:rsid w:val="00E77496"/>
    <w:rPr>
      <w:rFonts w:ascii="Palatino Linotype" w:eastAsiaTheme="minorHAnsi" w:hAnsi="Palatino Linotype" w:cstheme="minorBidi"/>
      <w:sz w:val="16"/>
      <w:lang w:eastAsia="en-US"/>
    </w:rPr>
  </w:style>
  <w:style w:type="paragraph" w:customStyle="1" w:styleId="Primer">
    <w:name w:val="Primer"/>
    <w:basedOn w:val="Prrafodelista"/>
    <w:rsid w:val="0082528D"/>
    <w:pPr>
      <w:numPr>
        <w:numId w:val="11"/>
      </w:numPr>
      <w:spacing w:after="20"/>
      <w:ind w:left="142" w:right="-129" w:hanging="142"/>
    </w:pPr>
    <w:rPr>
      <w:sz w:val="14"/>
      <w:szCs w:val="14"/>
    </w:rPr>
  </w:style>
  <w:style w:type="paragraph" w:customStyle="1" w:styleId="Segundo">
    <w:name w:val="Segundo"/>
    <w:basedOn w:val="Primer"/>
    <w:next w:val="Segundo2"/>
    <w:rsid w:val="0082528D"/>
    <w:pPr>
      <w:numPr>
        <w:ilvl w:val="1"/>
      </w:numPr>
    </w:pPr>
  </w:style>
  <w:style w:type="paragraph" w:customStyle="1" w:styleId="Segundo2">
    <w:name w:val="Segundo2"/>
    <w:basedOn w:val="Segundo"/>
    <w:link w:val="Segundo2Car"/>
    <w:rsid w:val="0082528D"/>
    <w:pPr>
      <w:ind w:left="284" w:hanging="142"/>
    </w:pPr>
  </w:style>
  <w:style w:type="character" w:customStyle="1" w:styleId="Segundo2Car">
    <w:name w:val="Segundo2 Car"/>
    <w:link w:val="Segundo2"/>
    <w:rsid w:val="0082528D"/>
    <w:rPr>
      <w:rFonts w:eastAsia="Calibri"/>
      <w:sz w:val="14"/>
      <w:szCs w:val="14"/>
      <w:lang w:val="es-ES" w:eastAsia="en-US"/>
    </w:rPr>
  </w:style>
  <w:style w:type="paragraph" w:customStyle="1" w:styleId="Letras">
    <w:name w:val="Letras"/>
    <w:basedOn w:val="Primer"/>
    <w:link w:val="LetrasCar"/>
    <w:rsid w:val="0082528D"/>
    <w:pPr>
      <w:numPr>
        <w:ilvl w:val="6"/>
      </w:numPr>
      <w:ind w:left="284" w:hanging="142"/>
    </w:pPr>
  </w:style>
  <w:style w:type="paragraph" w:styleId="Listaconvietas3">
    <w:name w:val="List Bullet 3"/>
    <w:basedOn w:val="Normal"/>
    <w:autoRedefine/>
    <w:rsid w:val="001A771A"/>
    <w:pPr>
      <w:tabs>
        <w:tab w:val="num" w:pos="2160"/>
      </w:tabs>
      <w:ind w:left="2160" w:hanging="360"/>
    </w:pPr>
  </w:style>
  <w:style w:type="character" w:customStyle="1" w:styleId="LetrasCar">
    <w:name w:val="Letras Car"/>
    <w:link w:val="Letras"/>
    <w:locked/>
    <w:rsid w:val="001A771A"/>
    <w:rPr>
      <w:rFonts w:eastAsia="Calibri"/>
      <w:sz w:val="14"/>
      <w:szCs w:val="14"/>
      <w:lang w:val="es-ES" w:eastAsia="en-US"/>
    </w:rPr>
  </w:style>
  <w:style w:type="paragraph" w:customStyle="1" w:styleId="Tercernivel">
    <w:name w:val="Tercer nivel"/>
    <w:basedOn w:val="Primer"/>
    <w:link w:val="TercernivelCar"/>
    <w:rsid w:val="002D4CCB"/>
    <w:pPr>
      <w:numPr>
        <w:numId w:val="14"/>
      </w:numPr>
    </w:pPr>
  </w:style>
  <w:style w:type="character" w:customStyle="1" w:styleId="TercernivelCar">
    <w:name w:val="Tercer nivel Car"/>
    <w:link w:val="Tercernivel"/>
    <w:rsid w:val="002D4CCB"/>
    <w:rPr>
      <w:rFonts w:eastAsia="Calibri"/>
      <w:sz w:val="14"/>
      <w:szCs w:val="14"/>
      <w:lang w:val="es-ES" w:eastAsia="en-US"/>
    </w:rPr>
  </w:style>
  <w:style w:type="character" w:customStyle="1" w:styleId="Ttulo1Car">
    <w:name w:val="Título 1 Car"/>
    <w:basedOn w:val="Fuentedeprrafopredeter"/>
    <w:link w:val="Ttulo1"/>
    <w:uiPriority w:val="9"/>
    <w:rsid w:val="00E77496"/>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E77496"/>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E77496"/>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E77496"/>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E77496"/>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E77496"/>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E77496"/>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E77496"/>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E77496"/>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E77496"/>
    <w:pPr>
      <w:tabs>
        <w:tab w:val="center" w:pos="4252"/>
        <w:tab w:val="right" w:pos="8504"/>
      </w:tabs>
    </w:pPr>
  </w:style>
  <w:style w:type="character" w:customStyle="1" w:styleId="EncabezadoCar">
    <w:name w:val="Encabezado Car"/>
    <w:basedOn w:val="Fuentedeprrafopredeter"/>
    <w:link w:val="Encabezado"/>
    <w:uiPriority w:val="99"/>
    <w:rsid w:val="00E77496"/>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E77496"/>
    <w:rPr>
      <w:rFonts w:ascii="Garamond" w:hAnsi="Garamond"/>
      <w:lang w:val="es-ES"/>
    </w:rPr>
  </w:style>
  <w:style w:type="character" w:customStyle="1" w:styleId="FooterChar">
    <w:name w:val="Footer Char"/>
    <w:basedOn w:val="Fuentedeprrafopredeter"/>
    <w:uiPriority w:val="99"/>
    <w:rsid w:val="00E77496"/>
    <w:rPr>
      <w:rFonts w:ascii="Garamond" w:hAnsi="Garamond"/>
      <w:lang w:val="es-ES"/>
    </w:rPr>
  </w:style>
  <w:style w:type="character" w:styleId="Textodelmarcadordeposicin">
    <w:name w:val="Placeholder Text"/>
    <w:basedOn w:val="Fuentedeprrafopredeter"/>
    <w:uiPriority w:val="99"/>
    <w:semiHidden/>
    <w:rsid w:val="00E77496"/>
    <w:rPr>
      <w:color w:val="808080"/>
    </w:rPr>
  </w:style>
  <w:style w:type="paragraph" w:styleId="Ttulo">
    <w:name w:val="Title"/>
    <w:basedOn w:val="Normal"/>
    <w:next w:val="Normal"/>
    <w:link w:val="TtuloCar"/>
    <w:uiPriority w:val="10"/>
    <w:qFormat/>
    <w:rsid w:val="00E77496"/>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E77496"/>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E77496"/>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E77496"/>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E77496"/>
    <w:pPr>
      <w:numPr>
        <w:ilvl w:val="1"/>
        <w:numId w:val="19"/>
      </w:numPr>
      <w:spacing w:after="100"/>
      <w:ind w:left="1049" w:hanging="198"/>
      <w:contextualSpacing/>
    </w:pPr>
  </w:style>
  <w:style w:type="character" w:customStyle="1" w:styleId="Heading2Char">
    <w:name w:val="Heading 2 Char"/>
    <w:basedOn w:val="Fuentedeprrafopredeter"/>
    <w:uiPriority w:val="9"/>
    <w:rsid w:val="00E77496"/>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E77496"/>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E77496"/>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E77496"/>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E77496"/>
    <w:rPr>
      <w:rFonts w:ascii="Garamond" w:hAnsi="Garamond"/>
      <w:i/>
      <w:iCs/>
      <w:color w:val="5F2987"/>
      <w:u w:val="single"/>
      <w:lang w:val="es-ES"/>
    </w:rPr>
  </w:style>
  <w:style w:type="paragraph" w:styleId="TDC3">
    <w:name w:val="toc 3"/>
    <w:basedOn w:val="Normal"/>
    <w:next w:val="FinTDC"/>
    <w:autoRedefine/>
    <w:uiPriority w:val="39"/>
    <w:unhideWhenUsed/>
    <w:rsid w:val="00E77496"/>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E77496"/>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E77496"/>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E77496"/>
    <w:rPr>
      <w:color w:val="7F7F7F" w:themeColor="text1" w:themeTint="80"/>
      <w:sz w:val="16"/>
    </w:rPr>
  </w:style>
  <w:style w:type="character" w:customStyle="1" w:styleId="NocantarChar">
    <w:name w:val="No cantar Char"/>
    <w:basedOn w:val="Fuentedeprrafopredeter"/>
    <w:link w:val="Nocantar"/>
    <w:rsid w:val="00E77496"/>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E77496"/>
    <w:pPr>
      <w:numPr>
        <w:numId w:val="0"/>
      </w:numPr>
      <w:ind w:firstLine="142"/>
    </w:pPr>
  </w:style>
  <w:style w:type="character" w:customStyle="1" w:styleId="IntroduccinyconclusinChar">
    <w:name w:val="Introducción y conclusión Char"/>
    <w:basedOn w:val="Ttulo1Car"/>
    <w:link w:val="Introduccinyconclusin"/>
    <w:rsid w:val="00E77496"/>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E77496"/>
    <w:pPr>
      <w:numPr>
        <w:numId w:val="25"/>
      </w:numPr>
    </w:pPr>
  </w:style>
  <w:style w:type="paragraph" w:customStyle="1" w:styleId="Nivel1">
    <w:name w:val="Nivel 1"/>
    <w:basedOn w:val="Normal"/>
    <w:qFormat/>
    <w:rsid w:val="00E77496"/>
    <w:pPr>
      <w:numPr>
        <w:numId w:val="19"/>
      </w:numPr>
      <w:spacing w:before="100" w:after="100"/>
      <w:ind w:left="623" w:hanging="198"/>
    </w:pPr>
  </w:style>
  <w:style w:type="paragraph" w:customStyle="1" w:styleId="Nivel3">
    <w:name w:val="Nivel 3"/>
    <w:basedOn w:val="Nivel2"/>
    <w:link w:val="Nivel3Car"/>
    <w:qFormat/>
    <w:rsid w:val="00E77496"/>
    <w:pPr>
      <w:numPr>
        <w:ilvl w:val="2"/>
      </w:numPr>
      <w:spacing w:after="0"/>
      <w:ind w:left="1474" w:hanging="198"/>
    </w:pPr>
  </w:style>
  <w:style w:type="paragraph" w:customStyle="1" w:styleId="Letra">
    <w:name w:val="Letra"/>
    <w:basedOn w:val="Nivel1"/>
    <w:qFormat/>
    <w:rsid w:val="00E77496"/>
    <w:pPr>
      <w:numPr>
        <w:numId w:val="27"/>
      </w:numPr>
      <w:spacing w:before="0" w:after="40"/>
      <w:ind w:left="936" w:hanging="227"/>
    </w:pPr>
  </w:style>
  <w:style w:type="paragraph" w:customStyle="1" w:styleId="Nmero">
    <w:name w:val="Número"/>
    <w:basedOn w:val="Normal"/>
    <w:qFormat/>
    <w:rsid w:val="00E77496"/>
    <w:pPr>
      <w:numPr>
        <w:numId w:val="28"/>
      </w:numPr>
      <w:spacing w:after="40"/>
      <w:ind w:left="936" w:hanging="227"/>
    </w:pPr>
  </w:style>
  <w:style w:type="character" w:customStyle="1" w:styleId="BalloonTextChar">
    <w:name w:val="Balloon Text Char"/>
    <w:basedOn w:val="Fuentedeprrafopredeter"/>
    <w:uiPriority w:val="99"/>
    <w:semiHidden/>
    <w:rsid w:val="00E77496"/>
    <w:rPr>
      <w:rFonts w:ascii="Segoe UI" w:hAnsi="Segoe UI" w:cs="Segoe UI"/>
      <w:sz w:val="18"/>
      <w:szCs w:val="18"/>
      <w:lang w:val="es-ES"/>
    </w:rPr>
  </w:style>
  <w:style w:type="paragraph" w:customStyle="1" w:styleId="Notaalopositor">
    <w:name w:val="Nota al opositor"/>
    <w:basedOn w:val="Normal"/>
    <w:link w:val="NotaalopositorChar"/>
    <w:qFormat/>
    <w:rsid w:val="00E77496"/>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E77496"/>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E77496"/>
    <w:rPr>
      <w:rFonts w:ascii="Garamond" w:hAnsi="Garamond"/>
      <w:sz w:val="16"/>
      <w:szCs w:val="20"/>
      <w:lang w:val="es-ES"/>
    </w:rPr>
  </w:style>
  <w:style w:type="character" w:customStyle="1" w:styleId="Heading6Char">
    <w:name w:val="Heading 6 Char"/>
    <w:basedOn w:val="Fuentedeprrafopredeter"/>
    <w:uiPriority w:val="9"/>
    <w:semiHidden/>
    <w:rsid w:val="00E77496"/>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E77496"/>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E77496"/>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E77496"/>
    <w:rPr>
      <w:rFonts w:ascii="Garamond" w:eastAsiaTheme="minorEastAsia" w:hAnsi="Garamond"/>
      <w:smallCaps/>
      <w:color w:val="5A5A5A" w:themeColor="text1" w:themeTint="A5"/>
      <w:lang w:val="es-ES"/>
    </w:rPr>
  </w:style>
  <w:style w:type="paragraph" w:customStyle="1" w:styleId="Nivel1SM">
    <w:name w:val="Nivel 1 SM"/>
    <w:basedOn w:val="Nivel1"/>
    <w:qFormat/>
    <w:rsid w:val="00E77496"/>
    <w:pPr>
      <w:ind w:left="0"/>
    </w:pPr>
  </w:style>
  <w:style w:type="paragraph" w:customStyle="1" w:styleId="Nivel2SM">
    <w:name w:val="Nivel 2 SM"/>
    <w:basedOn w:val="Nivel2"/>
    <w:qFormat/>
    <w:rsid w:val="00E77496"/>
    <w:pPr>
      <w:ind w:left="567"/>
    </w:pPr>
  </w:style>
  <w:style w:type="paragraph" w:customStyle="1" w:styleId="Nivel3SM">
    <w:name w:val="Nivel 3 SM"/>
    <w:basedOn w:val="Nivel3"/>
    <w:qFormat/>
    <w:rsid w:val="00E77496"/>
    <w:pPr>
      <w:ind w:left="963"/>
    </w:pPr>
  </w:style>
  <w:style w:type="paragraph" w:styleId="Encabezadodelista">
    <w:name w:val="toa heading"/>
    <w:basedOn w:val="Normal"/>
    <w:next w:val="Normal"/>
    <w:uiPriority w:val="99"/>
    <w:unhideWhenUsed/>
    <w:rsid w:val="00E77496"/>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E77496"/>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E77496"/>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E77496"/>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E77496"/>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E77496"/>
    <w:rPr>
      <w:color w:val="605E5C"/>
      <w:shd w:val="clear" w:color="auto" w:fill="E1DFDD"/>
    </w:rPr>
  </w:style>
  <w:style w:type="paragraph" w:styleId="TDC5">
    <w:name w:val="toc 5"/>
    <w:basedOn w:val="Normal"/>
    <w:next w:val="FinTDC"/>
    <w:autoRedefine/>
    <w:uiPriority w:val="39"/>
    <w:unhideWhenUsed/>
    <w:rsid w:val="00E77496"/>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E77496"/>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E77496"/>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E77496"/>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E77496"/>
    <w:pPr>
      <w:spacing w:line="240" w:lineRule="auto"/>
      <w:ind w:left="567" w:hanging="567"/>
    </w:pPr>
  </w:style>
  <w:style w:type="paragraph" w:customStyle="1" w:styleId="Ttuloimagen">
    <w:name w:val="Título imagen"/>
    <w:basedOn w:val="PiedeImagen"/>
    <w:next w:val="Imagen"/>
    <w:link w:val="TtuloimagenCar"/>
    <w:qFormat/>
    <w:rsid w:val="00E77496"/>
    <w:pPr>
      <w:keepNext/>
      <w:spacing w:after="0"/>
    </w:pPr>
    <w:rPr>
      <w:i w:val="0"/>
      <w:smallCaps/>
      <w:sz w:val="20"/>
    </w:rPr>
  </w:style>
  <w:style w:type="character" w:customStyle="1" w:styleId="TtuloimagenCar">
    <w:name w:val="Título imagen Car"/>
    <w:basedOn w:val="ImagenCar"/>
    <w:link w:val="Ttuloimagen"/>
    <w:rsid w:val="00E77496"/>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E77496"/>
    <w:pPr>
      <w:ind w:left="1100"/>
    </w:pPr>
  </w:style>
  <w:style w:type="paragraph" w:styleId="Sinespaciado">
    <w:name w:val="No Spacing"/>
    <w:link w:val="SinespaciadoCar"/>
    <w:uiPriority w:val="1"/>
    <w:qFormat/>
    <w:rsid w:val="00E77496"/>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E77496"/>
    <w:rPr>
      <w:rFonts w:asciiTheme="minorHAnsi" w:eastAsiaTheme="minorEastAsia" w:hAnsiTheme="minorHAnsi" w:cstheme="minorBidi"/>
      <w:sz w:val="22"/>
      <w:szCs w:val="22"/>
    </w:rPr>
  </w:style>
  <w:style w:type="paragraph" w:customStyle="1" w:styleId="Nmeroromano">
    <w:name w:val="Número romano"/>
    <w:basedOn w:val="Prrafodelista"/>
    <w:qFormat/>
    <w:rsid w:val="00E77496"/>
    <w:pPr>
      <w:numPr>
        <w:numId w:val="46"/>
      </w:numPr>
      <w:spacing w:after="100"/>
      <w:ind w:left="567" w:hanging="113"/>
    </w:pPr>
  </w:style>
  <w:style w:type="paragraph" w:customStyle="1" w:styleId="Saltodettulos">
    <w:name w:val="Salto de títulos"/>
    <w:basedOn w:val="Normal"/>
    <w:rsid w:val="00E77496"/>
    <w:pPr>
      <w:spacing w:after="0" w:line="240" w:lineRule="auto"/>
    </w:pPr>
    <w:rPr>
      <w:color w:val="FFFFFF"/>
      <w:sz w:val="2"/>
    </w:rPr>
  </w:style>
  <w:style w:type="paragraph" w:styleId="TDC7">
    <w:name w:val="toc 7"/>
    <w:basedOn w:val="Normal"/>
    <w:next w:val="FinTDC"/>
    <w:autoRedefine/>
    <w:uiPriority w:val="39"/>
    <w:unhideWhenUsed/>
    <w:rsid w:val="00E77496"/>
    <w:pPr>
      <w:spacing w:after="0" w:line="20" w:lineRule="atLeast"/>
      <w:ind w:left="1418"/>
      <w:jc w:val="left"/>
    </w:pPr>
    <w:rPr>
      <w:i/>
      <w:color w:val="5F2987"/>
      <w:sz w:val="12"/>
    </w:rPr>
  </w:style>
  <w:style w:type="paragraph" w:customStyle="1" w:styleId="FinTDC">
    <w:name w:val="FinTDC"/>
    <w:basedOn w:val="Nivel1"/>
    <w:qFormat/>
    <w:rsid w:val="00E77496"/>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E77496"/>
    <w:pPr>
      <w:spacing w:after="0" w:line="240" w:lineRule="auto"/>
      <w:jc w:val="left"/>
    </w:pPr>
    <w:rPr>
      <w:sz w:val="15"/>
    </w:rPr>
  </w:style>
  <w:style w:type="paragraph" w:styleId="TDC9">
    <w:name w:val="toc 9"/>
    <w:basedOn w:val="TDC8"/>
    <w:next w:val="FinTDC"/>
    <w:autoRedefine/>
    <w:uiPriority w:val="39"/>
    <w:unhideWhenUsed/>
    <w:rsid w:val="00E77496"/>
    <w:pPr>
      <w:ind w:left="1760"/>
    </w:pPr>
  </w:style>
  <w:style w:type="paragraph" w:customStyle="1" w:styleId="Apartado0">
    <w:name w:val="Apartado 0"/>
    <w:basedOn w:val="Ttulo1"/>
    <w:next w:val="Normal"/>
    <w:link w:val="Apartado0Car"/>
    <w:qFormat/>
    <w:rsid w:val="00E77496"/>
    <w:pPr>
      <w:numPr>
        <w:numId w:val="45"/>
      </w:numPr>
      <w:ind w:left="357" w:hanging="357"/>
    </w:pPr>
  </w:style>
  <w:style w:type="character" w:customStyle="1" w:styleId="Apartado0Car">
    <w:name w:val="Apartado 0 Car"/>
    <w:basedOn w:val="Ttulo1Car"/>
    <w:link w:val="Apartado0"/>
    <w:rsid w:val="00E77496"/>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E77496"/>
    <w:pPr>
      <w:numPr>
        <w:ilvl w:val="3"/>
      </w:numPr>
      <w:ind w:left="1899" w:hanging="198"/>
    </w:pPr>
  </w:style>
  <w:style w:type="paragraph" w:customStyle="1" w:styleId="Nivel5">
    <w:name w:val="Nivel 5"/>
    <w:basedOn w:val="Nivel4"/>
    <w:link w:val="Nivel5Car"/>
    <w:qFormat/>
    <w:rsid w:val="00E77496"/>
    <w:pPr>
      <w:numPr>
        <w:ilvl w:val="4"/>
      </w:numPr>
      <w:ind w:left="2155" w:hanging="170"/>
    </w:pPr>
  </w:style>
  <w:style w:type="character" w:customStyle="1" w:styleId="Nivel2Car">
    <w:name w:val="Nivel 2 Car"/>
    <w:basedOn w:val="Fuentedeprrafopredeter"/>
    <w:link w:val="Nivel2"/>
    <w:rsid w:val="00E77496"/>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E77496"/>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E77496"/>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E77496"/>
    <w:pPr>
      <w:numPr>
        <w:ilvl w:val="5"/>
      </w:numPr>
      <w:ind w:left="2438" w:hanging="227"/>
    </w:pPr>
  </w:style>
  <w:style w:type="character" w:customStyle="1" w:styleId="Nivel5Car">
    <w:name w:val="Nivel 5 Car"/>
    <w:basedOn w:val="Nivel4Car"/>
    <w:link w:val="Nivel5"/>
    <w:rsid w:val="00E77496"/>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E77496"/>
    <w:pPr>
      <w:numPr>
        <w:ilvl w:val="6"/>
      </w:numPr>
      <w:ind w:left="2722" w:hanging="170"/>
    </w:pPr>
  </w:style>
  <w:style w:type="character" w:customStyle="1" w:styleId="Nivel6Car">
    <w:name w:val="Nivel 6 Car"/>
    <w:basedOn w:val="Nivel5Car"/>
    <w:link w:val="Nivel6"/>
    <w:rsid w:val="00E77496"/>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E77496"/>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E77496"/>
    <w:pPr>
      <w:spacing w:after="200" w:line="240" w:lineRule="auto"/>
    </w:pPr>
    <w:rPr>
      <w:i/>
      <w:iCs/>
      <w:color w:val="44546A" w:themeColor="text2"/>
      <w:sz w:val="18"/>
      <w:szCs w:val="18"/>
    </w:rPr>
  </w:style>
  <w:style w:type="paragraph" w:customStyle="1" w:styleId="Ttulo10">
    <w:name w:val="Título 10"/>
    <w:basedOn w:val="Ttulo9"/>
    <w:link w:val="Ttulo10Car"/>
    <w:qFormat/>
    <w:rsid w:val="00E77496"/>
    <w:pPr>
      <w:ind w:left="1276"/>
    </w:pPr>
    <w:rPr>
      <w:w w:val="97"/>
    </w:rPr>
  </w:style>
  <w:style w:type="character" w:customStyle="1" w:styleId="Ttulo10Car">
    <w:name w:val="Título 10 Car"/>
    <w:basedOn w:val="Ttulo9Car"/>
    <w:link w:val="Ttulo10"/>
    <w:rsid w:val="00E77496"/>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E77496"/>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E77496"/>
    <w:pPr>
      <w:numPr>
        <w:ilvl w:val="7"/>
      </w:numPr>
      <w:ind w:left="3005" w:hanging="170"/>
    </w:pPr>
  </w:style>
  <w:style w:type="character" w:customStyle="1" w:styleId="Nivel8Car">
    <w:name w:val="Nivel 8 Car"/>
    <w:basedOn w:val="Nivel7Car"/>
    <w:link w:val="Nivel8"/>
    <w:rsid w:val="00E77496"/>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E77496"/>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E77496"/>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E77496"/>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E77496"/>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E77496"/>
    <w:rPr>
      <w:vertAlign w:val="superscript"/>
    </w:rPr>
  </w:style>
  <w:style w:type="character" w:customStyle="1" w:styleId="PiedepginaCar">
    <w:name w:val="Pie de página Car"/>
    <w:link w:val="Piedepgina"/>
    <w:uiPriority w:val="99"/>
    <w:rsid w:val="00296791"/>
    <w:rPr>
      <w:rFonts w:ascii="Palatino Linotype" w:eastAsia="Calibri" w:hAnsi="Palatino Linotype" w:cs="Arial"/>
      <w:sz w:val="22"/>
      <w:szCs w:val="22"/>
      <w:lang w:eastAsia="en-US"/>
    </w:rPr>
  </w:style>
  <w:style w:type="paragraph" w:customStyle="1" w:styleId="Piesdepgina">
    <w:name w:val="Pies de página"/>
    <w:basedOn w:val="Normal"/>
    <w:rsid w:val="00D3596B"/>
    <w:pPr>
      <w:keepLines/>
      <w:spacing w:after="60" w:line="216" w:lineRule="auto"/>
    </w:pPr>
    <w:rPr>
      <w:sz w:val="15"/>
    </w:rPr>
  </w:style>
  <w:style w:type="character" w:styleId="Hipervnculovisitado">
    <w:name w:val="FollowedHyperlink"/>
    <w:basedOn w:val="Fuentedeprrafopredeter"/>
    <w:uiPriority w:val="99"/>
    <w:unhideWhenUsed/>
    <w:rsid w:val="00D3596B"/>
    <w:rPr>
      <w:color w:val="954F72" w:themeColor="followedHyperlink"/>
      <w:u w:val="single"/>
    </w:rPr>
  </w:style>
  <w:style w:type="paragraph" w:styleId="NormalWeb">
    <w:name w:val="Normal (Web)"/>
    <w:basedOn w:val="Normal"/>
    <w:uiPriority w:val="99"/>
    <w:unhideWhenUsed/>
    <w:rsid w:val="00F62712"/>
    <w:pPr>
      <w:spacing w:before="100" w:beforeAutospacing="1" w:after="100" w:afterAutospacing="1" w:line="240" w:lineRule="auto"/>
      <w:jc w:val="left"/>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0554">
      <w:bodyDiv w:val="1"/>
      <w:marLeft w:val="0"/>
      <w:marRight w:val="0"/>
      <w:marTop w:val="0"/>
      <w:marBottom w:val="0"/>
      <w:divBdr>
        <w:top w:val="none" w:sz="0" w:space="0" w:color="auto"/>
        <w:left w:val="none" w:sz="0" w:space="0" w:color="auto"/>
        <w:bottom w:val="none" w:sz="0" w:space="0" w:color="auto"/>
        <w:right w:val="none" w:sz="0" w:space="0" w:color="auto"/>
      </w:divBdr>
    </w:div>
    <w:div w:id="507871085">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484794">
      <w:bodyDiv w:val="1"/>
      <w:marLeft w:val="0"/>
      <w:marRight w:val="0"/>
      <w:marTop w:val="0"/>
      <w:marBottom w:val="0"/>
      <w:divBdr>
        <w:top w:val="none" w:sz="0" w:space="0" w:color="auto"/>
        <w:left w:val="none" w:sz="0" w:space="0" w:color="auto"/>
        <w:bottom w:val="none" w:sz="0" w:space="0" w:color="auto"/>
        <w:right w:val="none" w:sz="0" w:space="0" w:color="auto"/>
      </w:divBdr>
    </w:div>
    <w:div w:id="1384985173">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g"/><Relationship Id="rId26" Type="http://schemas.openxmlformats.org/officeDocument/2006/relationships/hyperlink" Target="https://fabiansalazar.es/oposicion/temasenpdf/3A-37.pdf" TargetMode="External"/><Relationship Id="rId39" Type="http://schemas.openxmlformats.org/officeDocument/2006/relationships/hyperlink" Target="https://www.bizkaia.eus/home2/archivos/DPTO7/Temas/O%20ECC27412012%2020%20diciembre(1).pdf?hash=2b7eb0b6ba3014e19b2f4af73c80985a&amp;idioma=EU" TargetMode="External"/><Relationship Id="rId21" Type="http://schemas.openxmlformats.org/officeDocument/2006/relationships/image" Target="media/image12.png"/><Relationship Id="rId34" Type="http://schemas.openxmlformats.org/officeDocument/2006/relationships/image" Target="media/image23.png"/><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18.jpg"/><Relationship Id="rId11" Type="http://schemas.openxmlformats.org/officeDocument/2006/relationships/oleObject" Target="embeddings/oleObject2.bin"/><Relationship Id="rId24" Type="http://schemas.openxmlformats.org/officeDocument/2006/relationships/image" Target="media/image15.png"/><Relationship Id="rId32" Type="http://schemas.openxmlformats.org/officeDocument/2006/relationships/image" Target="media/image21.png"/><Relationship Id="rId37" Type="http://schemas.openxmlformats.org/officeDocument/2006/relationships/hyperlink" Target="https://youtu.be/df5csVeBcrQ?t=538" TargetMode="External"/><Relationship Id="rId40" Type="http://schemas.openxmlformats.org/officeDocument/2006/relationships/hyperlink" Target="https://www.ecb.europa.eu/pub/economic-bulletin/articles/2020/html/ecb.ebart202006_03~3175750a6d.es.html"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4.jpeg"/><Relationship Id="rId28" Type="http://schemas.openxmlformats.org/officeDocument/2006/relationships/image" Target="media/image17.jpeg"/><Relationship Id="rId36" Type="http://schemas.openxmlformats.org/officeDocument/2006/relationships/hyperlink" Target="https://www.piie.com/events/summers-and-blanchard-debate-future-interest-rates" TargetMode="External"/><Relationship Id="rId49" Type="http://schemas.openxmlformats.org/officeDocument/2006/relationships/glossaryDocument" Target="glossary/document.xml"/><Relationship Id="rId10" Type="http://schemas.openxmlformats.org/officeDocument/2006/relationships/image" Target="media/image3.wmf"/><Relationship Id="rId19" Type="http://schemas.openxmlformats.org/officeDocument/2006/relationships/image" Target="media/image10.png"/><Relationship Id="rId31" Type="http://schemas.openxmlformats.org/officeDocument/2006/relationships/image" Target="media/image20.jp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wmf"/><Relationship Id="rId22" Type="http://schemas.openxmlformats.org/officeDocument/2006/relationships/image" Target="media/image13.jpg"/><Relationship Id="rId27" Type="http://schemas.openxmlformats.org/officeDocument/2006/relationships/hyperlink" Target="https://github.com/JohannesPfeifer/DSGE_mod" TargetMode="External"/><Relationship Id="rId30" Type="http://schemas.openxmlformats.org/officeDocument/2006/relationships/image" Target="media/image19.jpg"/><Relationship Id="rId35" Type="http://schemas.openxmlformats.org/officeDocument/2006/relationships/hyperlink" Target="https://www.piie.com/blogs/realtime-economics/secular-stagnation-not-over"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2.wmf"/><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jpg"/><Relationship Id="rId25" Type="http://schemas.openxmlformats.org/officeDocument/2006/relationships/image" Target="media/image16.png"/><Relationship Id="rId33" Type="http://schemas.openxmlformats.org/officeDocument/2006/relationships/image" Target="media/image22.png"/><Relationship Id="rId38" Type="http://schemas.openxmlformats.org/officeDocument/2006/relationships/hyperlink" Target="https://youtu.be/df5csVeBcrQ?t=1140" TargetMode="External"/><Relationship Id="rId46" Type="http://schemas.openxmlformats.org/officeDocument/2006/relationships/header" Target="header3.xml"/><Relationship Id="rId20" Type="http://schemas.openxmlformats.org/officeDocument/2006/relationships/image" Target="media/image11.png"/><Relationship Id="rId41" Type="http://schemas.openxmlformats.org/officeDocument/2006/relationships/hyperlink" Target="https://www.ecb.europa.eu/pub/economic-bulletin/articles/2020/html/ecb.ebart202006_03~3175750a6d.es.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3.nd.edu/~esims1/fiscal_policy_sp2015.pdf" TargetMode="External"/><Relationship Id="rId2" Type="http://schemas.openxmlformats.org/officeDocument/2006/relationships/hyperlink" Target="https://en.wikipedia.org/wiki/Balanced_budget" TargetMode="External"/><Relationship Id="rId1" Type="http://schemas.openxmlformats.org/officeDocument/2006/relationships/image" Target="media/image1.png"/><Relationship Id="rId6" Type="http://schemas.openxmlformats.org/officeDocument/2006/relationships/hyperlink" Target="https://www.linkedin.com/pulse/hay-brecha-para-mayor-crecimiento-antonio-pulido-san-rom%C3%A1n/?trk=articles_directory&amp;originalSubdomain=es" TargetMode="External"/><Relationship Id="rId5" Type="http://schemas.openxmlformats.org/officeDocument/2006/relationships/hyperlink" Target="https://www.economist.com/finance-and-economics/2020/05/28/the-legacy-of-alberto-alesina" TargetMode="External"/><Relationship Id="rId4" Type="http://schemas.openxmlformats.org/officeDocument/2006/relationships/hyperlink" Target="https://www3.nd.edu/~esims1/GLS_may_202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8AF9C413B44D6B83DA2C5D454D8051"/>
        <w:category>
          <w:name w:val="General"/>
          <w:gallery w:val="placeholder"/>
        </w:category>
        <w:types>
          <w:type w:val="bbPlcHdr"/>
        </w:types>
        <w:behaviors>
          <w:behavior w:val="content"/>
        </w:behaviors>
        <w:guid w:val="{CDC538F1-1B6A-41F1-A14E-F7E375760008}"/>
      </w:docPartPr>
      <w:docPartBody>
        <w:p w:rsidR="003D2002" w:rsidRDefault="00460428" w:rsidP="00460428">
          <w:pPr>
            <w:pStyle w:val="258AF9C413B44D6B83DA2C5D454D8051"/>
          </w:pPr>
          <w:r w:rsidRPr="00722470">
            <w:rPr>
              <w:rStyle w:val="Textodelmarcadordeposicin"/>
            </w:rPr>
            <w:t>[Título]</w:t>
          </w:r>
        </w:p>
      </w:docPartBody>
    </w:docPart>
    <w:docPart>
      <w:docPartPr>
        <w:name w:val="345369B27EB749D39113603E59B52DC9"/>
        <w:category>
          <w:name w:val="General"/>
          <w:gallery w:val="placeholder"/>
        </w:category>
        <w:types>
          <w:type w:val="bbPlcHdr"/>
        </w:types>
        <w:behaviors>
          <w:behavior w:val="content"/>
        </w:behaviors>
        <w:guid w:val="{E987FEE3-E05E-4B11-8799-F71E9B4468ED}"/>
      </w:docPartPr>
      <w:docPartBody>
        <w:p w:rsidR="003D2002" w:rsidRDefault="00460428" w:rsidP="00460428">
          <w:pPr>
            <w:pStyle w:val="345369B27EB749D39113603E59B52DC9"/>
          </w:pPr>
          <w:r w:rsidRPr="001B5103">
            <w:rPr>
              <w:rStyle w:val="Textodelmarcadordeposicin"/>
            </w:rPr>
            <w:t>[Title]</w:t>
          </w:r>
        </w:p>
      </w:docPartBody>
    </w:docPart>
    <w:docPart>
      <w:docPartPr>
        <w:name w:val="A57577404DDF4F91B46D301BD1B522EC"/>
        <w:category>
          <w:name w:val="General"/>
          <w:gallery w:val="placeholder"/>
        </w:category>
        <w:types>
          <w:type w:val="bbPlcHdr"/>
        </w:types>
        <w:behaviors>
          <w:behavior w:val="content"/>
        </w:behaviors>
        <w:guid w:val="{30149B63-8A56-43CC-B2D4-7FA83F7C389A}"/>
      </w:docPartPr>
      <w:docPartBody>
        <w:p w:rsidR="003D2002" w:rsidRDefault="00460428" w:rsidP="00460428">
          <w:pPr>
            <w:pStyle w:val="A57577404DDF4F91B46D301BD1B522EC"/>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28"/>
    <w:rsid w:val="00176509"/>
    <w:rsid w:val="002203F8"/>
    <w:rsid w:val="00287131"/>
    <w:rsid w:val="002C1562"/>
    <w:rsid w:val="00371564"/>
    <w:rsid w:val="00375A2F"/>
    <w:rsid w:val="003A44FC"/>
    <w:rsid w:val="003D2002"/>
    <w:rsid w:val="003E637E"/>
    <w:rsid w:val="00460428"/>
    <w:rsid w:val="004E10C9"/>
    <w:rsid w:val="006263AD"/>
    <w:rsid w:val="00811A46"/>
    <w:rsid w:val="008433B1"/>
    <w:rsid w:val="00847D31"/>
    <w:rsid w:val="00890963"/>
    <w:rsid w:val="00912E1D"/>
    <w:rsid w:val="009A0952"/>
    <w:rsid w:val="00AB652B"/>
    <w:rsid w:val="00B204A7"/>
    <w:rsid w:val="00BE4770"/>
    <w:rsid w:val="00CD7163"/>
    <w:rsid w:val="00D665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76509"/>
    <w:rPr>
      <w:color w:val="808080"/>
    </w:rPr>
  </w:style>
  <w:style w:type="paragraph" w:customStyle="1" w:styleId="258AF9C413B44D6B83DA2C5D454D8051">
    <w:name w:val="258AF9C413B44D6B83DA2C5D454D8051"/>
    <w:rsid w:val="00460428"/>
  </w:style>
  <w:style w:type="paragraph" w:customStyle="1" w:styleId="345369B27EB749D39113603E59B52DC9">
    <w:name w:val="345369B27EB749D39113603E59B52DC9"/>
    <w:rsid w:val="00460428"/>
  </w:style>
  <w:style w:type="paragraph" w:customStyle="1" w:styleId="A57577404DDF4F91B46D301BD1B522EC">
    <w:name w:val="A57577404DDF4F91B46D301BD1B522EC"/>
    <w:rsid w:val="004604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EFB43-978C-4219-A3D7-38CDB1521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1398</TotalTime>
  <Pages>48</Pages>
  <Words>18718</Words>
  <Characters>102949</Characters>
  <Application>Microsoft Office Word</Application>
  <DocSecurity>0</DocSecurity>
  <Lines>857</Lines>
  <Paragraphs>242</Paragraphs>
  <ScaleCrop>false</ScaleCrop>
  <HeadingPairs>
    <vt:vector size="2" baseType="variant">
      <vt:variant>
        <vt:lpstr>Título</vt:lpstr>
      </vt:variant>
      <vt:variant>
        <vt:i4>1</vt:i4>
      </vt:variant>
    </vt:vector>
  </HeadingPairs>
  <TitlesOfParts>
    <vt:vector size="1" baseType="lpstr">
      <vt:lpstr>4.B.5</vt:lpstr>
    </vt:vector>
  </TitlesOfParts>
  <Company/>
  <LinksUpToDate>false</LinksUpToDate>
  <CharactersWithSpaces>121425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4.B.5</dc:title>
  <dc:subject>El presupuesto como elemento compensador de la actividad económica. Efectos discrecionales y automáticos del presupuesto. La medición del efecto macroeconómico del presupuesto.</dc:subject>
  <dc:creator>Víctor Gutiérrez Marcos</dc:creator>
  <cp:keywords/>
  <cp:lastModifiedBy>Víctor Gutiérrez Marcos</cp:lastModifiedBy>
  <dcterms:created xsi:type="dcterms:W3CDTF">2023-09-20T14:30:00Z</dcterms:created>
  <dcterms:modified xsi:type="dcterms:W3CDTF">2026-01-15T23:21:00Z</dcterms:modified>
</cp:coreProperties>
</file>