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7FA89" w14:textId="5BDDA6DB" w:rsidR="00704CDE" w:rsidRDefault="00000000" w:rsidP="00704CDE">
      <w:pPr>
        <w:pStyle w:val="Ttulo"/>
        <w:rPr>
          <w:spacing w:val="-6"/>
        </w:rPr>
      </w:pPr>
      <w:sdt>
        <w:sdtPr>
          <w:rPr>
            <w:i/>
            <w:u w:val="single"/>
          </w:rPr>
          <w:alias w:val="Title"/>
          <w:tag w:val=""/>
          <w:id w:val="-780801520"/>
          <w:placeholder>
            <w:docPart w:val="990D943B480D421287AC27DF40BFD704"/>
          </w:placeholder>
          <w:dataBinding w:prefixMappings="xmlns:ns0='http://purl.org/dc/elements/1.1/' xmlns:ns1='http://schemas.openxmlformats.org/package/2006/metadata/core-properties' " w:xpath="/ns1:coreProperties[1]/ns0:title[1]" w:storeItemID="{6C3C8BC8-F283-45AE-878A-BAB7291924A1}"/>
          <w:text/>
        </w:sdtPr>
        <w:sdtContent>
          <w:r w:rsidR="00704CDE">
            <w:rPr>
              <w:i/>
              <w:u w:val="single"/>
            </w:rPr>
            <w:t>4.B.3</w:t>
          </w:r>
        </w:sdtContent>
      </w:sdt>
      <w:r w:rsidR="00704CDE">
        <w:t xml:space="preserve"> :</w:t>
      </w:r>
      <w:r w:rsidR="00704CDE" w:rsidRPr="004C0C34">
        <w:t xml:space="preserve"> </w:t>
      </w:r>
      <w:sdt>
        <w:sdtPr>
          <w:rPr>
            <w:spacing w:val="-6"/>
          </w:rPr>
          <w:alias w:val="Subject"/>
          <w:tag w:val=""/>
          <w:id w:val="-1903059896"/>
          <w:placeholder>
            <w:docPart w:val="EE4CCB5A0FB24240AE1E94008C61FBD1"/>
          </w:placeholder>
          <w:dataBinding w:prefixMappings="xmlns:ns0='http://purl.org/dc/elements/1.1/' xmlns:ns1='http://schemas.openxmlformats.org/package/2006/metadata/core-properties' " w:xpath="/ns1:coreProperties[1]/ns0:subject[1]" w:storeItemID="{6C3C8BC8-F283-45AE-878A-BAB7291924A1}"/>
          <w:text/>
        </w:sdtPr>
        <w:sdtContent>
          <w:r w:rsidR="00704CDE">
            <w:rPr>
              <w:spacing w:val="-6"/>
            </w:rPr>
            <w:t>Conceptos y características del presupuesto. Fases del proceso presupuestario. Principios clásicos del presupuesto y sus modificaciones. Las reformas presupuestarias más destacadas. Especial referencia al presupuesto de base cero</w:t>
          </w:r>
          <w:r w:rsidR="00412760">
            <w:rPr>
              <w:spacing w:val="-6"/>
            </w:rPr>
            <w:t>.</w:t>
          </w:r>
        </w:sdtContent>
      </w:sdt>
    </w:p>
    <w:p w14:paraId="0A99EFD3" w14:textId="660E25CE" w:rsidR="008F20DD" w:rsidRPr="008F20DD" w:rsidRDefault="008F20DD" w:rsidP="008F20DD">
      <w:pPr>
        <w:pStyle w:val="Notaalopositor"/>
      </w:pPr>
      <w:r>
        <w:t>Este tema desaparece con el nuevo temario.</w:t>
      </w:r>
    </w:p>
    <w:p w14:paraId="3D2CAB1F" w14:textId="64A7F3C6" w:rsidR="00283388" w:rsidRPr="00B91849" w:rsidRDefault="00CE1217" w:rsidP="00B91849">
      <w:pPr>
        <w:pStyle w:val="Introduccinyconclusin"/>
      </w:pPr>
      <w:r>
        <w:t>INTRODUCCION</w:t>
      </w:r>
    </w:p>
    <w:p w14:paraId="7FF911D2" w14:textId="77777777" w:rsidR="009D1FA1" w:rsidRDefault="009D1FA1" w:rsidP="009D1FA1">
      <w:pPr>
        <w:pStyle w:val="Nivel1"/>
        <w:keepNext/>
        <w:spacing w:before="0" w:after="0"/>
      </w:pPr>
      <w:r>
        <w:rPr>
          <w:b/>
          <w:bCs/>
          <w:i/>
          <w:iCs/>
        </w:rPr>
        <w:t>Enganche</w:t>
      </w:r>
      <w:r>
        <w:t>:</w:t>
      </w:r>
    </w:p>
    <w:p w14:paraId="112D9469" w14:textId="77777777" w:rsidR="009D1FA1" w:rsidRPr="008D01A5" w:rsidRDefault="009D1FA1" w:rsidP="009D1FA1">
      <w:pPr>
        <w:pStyle w:val="Nivel2"/>
        <w:keepNext/>
        <w:spacing w:after="0"/>
        <w:rPr>
          <w:rStyle w:val="Hipervnculo"/>
          <w:color w:val="auto"/>
        </w:rPr>
      </w:pPr>
      <w:bookmarkStart w:id="0"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1CA34202" w14:textId="77777777" w:rsidR="009D1FA1" w:rsidRPr="008D01A5" w:rsidRDefault="009D1FA1" w:rsidP="009D1FA1">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1" w:name="_Hlk99365893"/>
      <w:r w:rsidRPr="008D01A5">
        <w:rPr>
          <w:rStyle w:val="Refdenotaalpie"/>
        </w:rPr>
        <w:footnoteReference w:id="2"/>
      </w:r>
      <w:bookmarkEnd w:id="1"/>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0"/>
    <w:p w14:paraId="3E28139A" w14:textId="77777777" w:rsidR="009D1FA1" w:rsidRPr="00492C10" w:rsidRDefault="009D1FA1" w:rsidP="009D1FA1">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2284E2B9" w14:textId="77777777" w:rsidR="009D1FA1" w:rsidRPr="002A08C4" w:rsidRDefault="009D1FA1" w:rsidP="009D1FA1">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del mismo.</w:t>
      </w:r>
    </w:p>
    <w:p w14:paraId="5EFA9CA3" w14:textId="77777777" w:rsidR="009D1FA1" w:rsidRDefault="009D1FA1" w:rsidP="009D1FA1">
      <w:pPr>
        <w:pStyle w:val="Nivel2"/>
        <w:keepNext/>
        <w:spacing w:after="0"/>
      </w:pPr>
      <w:r>
        <w:t xml:space="preserve">La </w:t>
      </w:r>
      <w:r>
        <w:rPr>
          <w:b/>
          <w:bCs/>
        </w:rPr>
        <w:t>economía del bienestar</w:t>
      </w:r>
      <w:r>
        <w:t xml:space="preserve"> está ligada a este enfoque normativo.</w:t>
      </w:r>
    </w:p>
    <w:p w14:paraId="4F57F35A" w14:textId="77777777" w:rsidR="009D1FA1" w:rsidRDefault="009D1FA1" w:rsidP="009D1FA1">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7C1FB13D" w14:textId="77777777" w:rsidR="009D1FA1" w:rsidRDefault="009D1FA1" w:rsidP="009D1FA1">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66DF606D" w14:textId="77777777" w:rsidR="009D1FA1" w:rsidRDefault="009D1FA1" w:rsidP="009D1FA1">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p w14:paraId="22832BC3" w14:textId="77777777" w:rsidR="009D1FA1" w:rsidRDefault="009D1FA1" w:rsidP="009D1FA1">
      <w:pPr>
        <w:pStyle w:val="Nivel1"/>
        <w:keepNext/>
        <w:spacing w:after="0"/>
      </w:pPr>
      <w:r>
        <w:rPr>
          <w:b/>
          <w:bCs/>
          <w:i/>
          <w:iCs/>
        </w:rPr>
        <w:t>Relevancia</w:t>
      </w:r>
      <w:bookmarkStart w:id="2" w:name="_Hlk145917891"/>
      <w:r>
        <w:t>:</w:t>
      </w:r>
      <w:bookmarkEnd w:id="2"/>
    </w:p>
    <w:p w14:paraId="1D329C7A" w14:textId="77777777" w:rsidR="009D1FA1" w:rsidRDefault="009D1FA1" w:rsidP="009D1FA1">
      <w:pPr>
        <w:pStyle w:val="Nivel2"/>
        <w:keepNext/>
        <w:spacing w:after="0"/>
      </w:pPr>
      <w:r w:rsidRPr="00516674">
        <w:t>La comparación de diferentes alternativas es algo vital, ya que nos permite</w:t>
      </w:r>
      <w:r>
        <w:t>:</w:t>
      </w:r>
    </w:p>
    <w:p w14:paraId="39A9B67C" w14:textId="77777777" w:rsidR="009D1FA1" w:rsidRPr="002A08C4" w:rsidRDefault="009D1FA1" w:rsidP="009D1FA1">
      <w:pPr>
        <w:pStyle w:val="Nivel3"/>
        <w:rPr>
          <w:spacing w:val="-1"/>
        </w:rPr>
      </w:pPr>
      <w:r w:rsidRPr="002A08C4">
        <w:rPr>
          <w:spacing w:val="-1"/>
        </w:rPr>
        <w:t>Por un lado, valorar si el resultado al que conduce un sistema económico es apropiado o mejorable.</w:t>
      </w:r>
    </w:p>
    <w:p w14:paraId="3ECA756F" w14:textId="77777777" w:rsidR="009D1FA1" w:rsidRPr="002A08C4" w:rsidRDefault="009D1FA1" w:rsidP="009D1FA1">
      <w:pPr>
        <w:pStyle w:val="Nivel3"/>
        <w:rPr>
          <w:spacing w:val="-5"/>
        </w:rPr>
      </w:pPr>
      <w:r w:rsidRPr="002A08C4">
        <w:rPr>
          <w:spacing w:val="-5"/>
        </w:rPr>
        <w:t>Por otro lado, valorar si una política económica que cambie la situación inicial es deseable.</w:t>
      </w:r>
    </w:p>
    <w:p w14:paraId="7807FA9D" w14:textId="77777777" w:rsidR="009D1FA1" w:rsidRDefault="009D1FA1" w:rsidP="009D1FA1">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65264A53" w14:textId="77777777" w:rsidR="009D1FA1" w:rsidRDefault="009D1FA1" w:rsidP="009D1FA1">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6A54B104" w14:textId="77777777" w:rsidR="00377772" w:rsidRDefault="00377772" w:rsidP="00377772">
      <w:pPr>
        <w:pStyle w:val="Nivel1"/>
        <w:keepNext/>
        <w:spacing w:after="0"/>
      </w:pPr>
      <w:r>
        <w:rPr>
          <w:b/>
          <w:bCs/>
          <w:i/>
          <w:iCs/>
        </w:rPr>
        <w:t>Contextualización</w:t>
      </w:r>
      <w:r>
        <w:t>:</w:t>
      </w:r>
    </w:p>
    <w:p w14:paraId="2B8BD394" w14:textId="77777777" w:rsidR="001C1CCF" w:rsidRPr="009477A5" w:rsidRDefault="001C1CCF" w:rsidP="001C1CCF">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4E17DBDD" w14:textId="3D7A03EA" w:rsidR="00377772" w:rsidRDefault="00377772" w:rsidP="00377772">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045A9F54" w14:textId="77777777" w:rsidR="00377772" w:rsidRDefault="00377772" w:rsidP="00377772">
      <w:pPr>
        <w:pStyle w:val="Prrafodelista"/>
        <w:keepNext/>
        <w:numPr>
          <w:ilvl w:val="0"/>
          <w:numId w:val="44"/>
        </w:numPr>
        <w:spacing w:after="0"/>
        <w:ind w:left="1702" w:hanging="284"/>
      </w:pPr>
      <w:r w:rsidRPr="00A31374">
        <w:rPr>
          <w:i/>
          <w:iCs/>
          <w:u w:val="single"/>
        </w:rPr>
        <w:t>Motivos de eficiencia</w:t>
      </w:r>
      <w:r>
        <w:t>: P</w:t>
      </w:r>
      <w:r w:rsidRPr="00FE0B31">
        <w:t>ara corregir fallos de mercado como la existencia de externalidades, bienes públicos, información imperfecta o competencia imperfecta</w:t>
      </w:r>
      <w:r>
        <w:t xml:space="preserve">. Es decir, en ejercicio de la </w:t>
      </w:r>
      <w:r>
        <w:rPr>
          <w:i/>
          <w:iCs/>
        </w:rPr>
        <w:t>función asignativa</w:t>
      </w:r>
      <w:r>
        <w:t>.</w:t>
      </w:r>
    </w:p>
    <w:p w14:paraId="239F1E87" w14:textId="77777777" w:rsidR="00377772" w:rsidRPr="00FE0B31" w:rsidRDefault="00377772" w:rsidP="00377772">
      <w:pPr>
        <w:pStyle w:val="Prrafodelista"/>
        <w:keepNext/>
        <w:numPr>
          <w:ilvl w:val="0"/>
          <w:numId w:val="44"/>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2A62DFAF" w14:textId="77777777" w:rsidR="00377772" w:rsidRDefault="00377772" w:rsidP="00377772">
      <w:pPr>
        <w:pStyle w:val="Prrafodelista"/>
        <w:keepNext/>
        <w:numPr>
          <w:ilvl w:val="0"/>
          <w:numId w:val="44"/>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2E2C10B8" w14:textId="77777777" w:rsidR="00377772" w:rsidRDefault="00377772" w:rsidP="00377772">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6B8A3C02" w14:textId="77777777" w:rsidR="00377772" w:rsidRDefault="00377772" w:rsidP="00377772">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312CF869" w14:textId="77777777" w:rsidR="00377772" w:rsidRDefault="00377772" w:rsidP="00377772">
      <w:pPr>
        <w:pStyle w:val="Nivel2"/>
        <w:keepNext/>
        <w:spacing w:after="0"/>
      </w:pPr>
      <w:r>
        <w:t>Para conseguir sus objetivos de eficiencia, equidad y estabilización el sector público actúa básicamente de 2 formas:</w:t>
      </w:r>
    </w:p>
    <w:p w14:paraId="2542AC56" w14:textId="77777777" w:rsidR="00377772" w:rsidRDefault="00377772" w:rsidP="00377772">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09DA3111" w14:textId="77777777" w:rsidR="00377772" w:rsidRPr="001742A5" w:rsidRDefault="00377772" w:rsidP="00377772">
      <w:pPr>
        <w:pStyle w:val="Nivel3"/>
        <w:keepNext/>
      </w:pPr>
      <w:r w:rsidRPr="000A6812">
        <w:rPr>
          <w:i/>
          <w:iCs/>
        </w:rPr>
        <w:t>Actividades financieras</w:t>
      </w:r>
      <w:r>
        <w:t>:</w:t>
      </w:r>
    </w:p>
    <w:p w14:paraId="12991A24" w14:textId="77777777" w:rsidR="00377772" w:rsidRDefault="00377772" w:rsidP="00377772">
      <w:pPr>
        <w:pStyle w:val="Nivel4"/>
      </w:pPr>
      <w:r>
        <w:t>La realización de gastos asociados a las funciones del sector público.</w:t>
      </w:r>
    </w:p>
    <w:p w14:paraId="168C9D10" w14:textId="77777777" w:rsidR="00377772" w:rsidRDefault="00377772" w:rsidP="00377772">
      <w:pPr>
        <w:pStyle w:val="Nivel4"/>
      </w:pPr>
      <w:r>
        <w:t>La obtención de los ingresos necesarios para hacer frente a esos gastos.</w:t>
      </w:r>
    </w:p>
    <w:p w14:paraId="37D81C2D" w14:textId="77777777" w:rsidR="00377772" w:rsidRDefault="00377772" w:rsidP="001C1CCF">
      <w:pPr>
        <w:pStyle w:val="Nivel2"/>
      </w:pPr>
      <w:r>
        <w:t xml:space="preserve">Las </w:t>
      </w:r>
      <w:r w:rsidRPr="009A7B7B">
        <w:rPr>
          <w:u w:val="single"/>
        </w:rPr>
        <w:t>actividades financieras</w:t>
      </w:r>
      <w:r>
        <w:t xml:space="preserve"> se contabilizan principalmente en el presupuesto por lo que dicho documento representa uno de los </w:t>
      </w:r>
      <w:r w:rsidRPr="009A7B7B">
        <w:rPr>
          <w:u w:val="single"/>
        </w:rPr>
        <w:t>campos de análisis</w:t>
      </w:r>
      <w:r>
        <w:t xml:space="preserve"> de la Economía pública. El objetivo será por lo tanto llevar a cabo un análisis más en profundidad de éste.</w:t>
      </w:r>
    </w:p>
    <w:p w14:paraId="775AC8E4" w14:textId="77777777" w:rsidR="00377772" w:rsidRDefault="00377772" w:rsidP="00377772">
      <w:pPr>
        <w:pStyle w:val="Nivel1"/>
        <w:keepNext/>
        <w:spacing w:after="0"/>
      </w:pPr>
      <w:r>
        <w:rPr>
          <w:b/>
          <w:bCs/>
          <w:i/>
          <w:iCs/>
        </w:rPr>
        <w:t>Problemática</w:t>
      </w:r>
      <w:r>
        <w:t>:</w:t>
      </w:r>
    </w:p>
    <w:p w14:paraId="6C45D0E6" w14:textId="56143159" w:rsidR="00377772" w:rsidRDefault="00377772" w:rsidP="00377772">
      <w:pPr>
        <w:pStyle w:val="Nivel2"/>
      </w:pPr>
    </w:p>
    <w:p w14:paraId="07B51FED" w14:textId="13CA074F" w:rsidR="00377772" w:rsidRDefault="00377772" w:rsidP="00377772">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377772" w14:paraId="0D541241" w14:textId="77777777" w:rsidTr="00991809">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D4CF458" w14:textId="77777777" w:rsidR="00377772" w:rsidRPr="00991809" w:rsidRDefault="00377772" w:rsidP="00377772">
      <w:pPr>
        <w:spacing w:after="0" w:line="240" w:lineRule="auto"/>
        <w:jc w:val="left"/>
        <w:rPr>
          <w:sz w:val="2"/>
          <w:szCs w:val="2"/>
        </w:rPr>
      </w:pPr>
      <w:r w:rsidRPr="00991809">
        <w:rPr>
          <w:sz w:val="2"/>
          <w:szCs w:val="2"/>
        </w:rPr>
        <w:br w:type="page"/>
      </w:r>
    </w:p>
    <w:p w14:paraId="3E5869D0" w14:textId="58BA1B4B" w:rsidR="00A73216" w:rsidRPr="00B91849" w:rsidRDefault="00242F49" w:rsidP="00E77983">
      <w:pPr>
        <w:pStyle w:val="Ttulo1"/>
      </w:pPr>
      <w:bookmarkStart w:id="3" w:name="_Toc150445771"/>
      <w:r>
        <w:lastRenderedPageBreak/>
        <w:t>CONCEPTO Y CARACTERÍSTICAS DEL PRESUPUESTO</w:t>
      </w:r>
      <w:bookmarkEnd w:id="3"/>
    </w:p>
    <w:p w14:paraId="65457B24" w14:textId="33685AF7" w:rsidR="009A7B7B" w:rsidRDefault="00A25BA4" w:rsidP="00602B10">
      <w:pPr>
        <w:pStyle w:val="Nivel1SM"/>
        <w:keepNext/>
        <w:spacing w:before="0" w:after="0"/>
      </w:pPr>
      <w:r w:rsidRPr="00EB6D73">
        <w:rPr>
          <w:rFonts w:cs="Times New Roman"/>
        </w:rPr>
        <w:t>El presupuesto ha sido definido de muchas maneras</w:t>
      </w:r>
      <w:r w:rsidR="00A56F42">
        <w:rPr>
          <w:rStyle w:val="Refdenotaalpie"/>
          <w:rFonts w:cs="Times New Roman"/>
        </w:rPr>
        <w:footnoteReference w:id="6"/>
      </w:r>
      <w:r>
        <w:rPr>
          <w:rFonts w:cs="Times New Roman"/>
        </w:rPr>
        <w:t>, pero</w:t>
      </w:r>
      <w:r w:rsidRPr="00EB6D73">
        <w:rPr>
          <w:rFonts w:cs="Times New Roman"/>
        </w:rPr>
        <w:t xml:space="preserve"> la definición </w:t>
      </w:r>
      <w:r>
        <w:rPr>
          <w:rFonts w:cs="Times New Roman"/>
        </w:rPr>
        <w:t xml:space="preserve">propuesta por </w:t>
      </w:r>
      <w:r w:rsidRPr="00A25BA4">
        <w:rPr>
          <w:rFonts w:cs="Times New Roman"/>
          <w:smallCaps/>
        </w:rPr>
        <w:t>Neumark</w:t>
      </w:r>
      <w:r w:rsidRPr="00EB6D73">
        <w:rPr>
          <w:rFonts w:cs="Times New Roman"/>
        </w:rPr>
        <w:t xml:space="preserve"> en los</w:t>
      </w:r>
      <w:r>
        <w:rPr>
          <w:rFonts w:cs="Times New Roman"/>
        </w:rPr>
        <w:t xml:space="preserve"> años </w:t>
      </w:r>
      <w:r w:rsidRPr="00EB6D73">
        <w:rPr>
          <w:rFonts w:cs="Times New Roman"/>
        </w:rPr>
        <w:t>50</w:t>
      </w:r>
      <w:r>
        <w:rPr>
          <w:rFonts w:cs="Times New Roman"/>
        </w:rPr>
        <w:t xml:space="preserve"> suele ser la más aceptada. Según este autor, </w:t>
      </w:r>
      <w:r>
        <w:t>e</w:t>
      </w:r>
      <w:r w:rsidR="009A7B7B">
        <w:t xml:space="preserve">l </w:t>
      </w:r>
      <w:r w:rsidR="009A7B7B" w:rsidRPr="00602B10">
        <w:rPr>
          <w:b/>
          <w:bCs/>
        </w:rPr>
        <w:t>presupuesto</w:t>
      </w:r>
      <w:r w:rsidR="009A7B7B">
        <w:t xml:space="preserve"> es el </w:t>
      </w:r>
      <w:r w:rsidR="009A7B7B" w:rsidRPr="006F0DB4">
        <w:rPr>
          <w:i/>
          <w:iCs/>
        </w:rPr>
        <w:t xml:space="preserve">resumen </w:t>
      </w:r>
      <w:r w:rsidR="009A7B7B" w:rsidRPr="00051EC1">
        <w:rPr>
          <w:i/>
          <w:iCs/>
          <w14:glow w14:rad="25400">
            <w14:srgbClr w14:val="C00000">
              <w14:alpha w14:val="75000"/>
            </w14:srgbClr>
          </w14:glow>
        </w:rPr>
        <w:t>sistemático</w:t>
      </w:r>
      <w:r w:rsidR="009A7B7B" w:rsidRPr="006F0DB4">
        <w:rPr>
          <w:i/>
          <w:iCs/>
        </w:rPr>
        <w:t xml:space="preserve"> y </w:t>
      </w:r>
      <w:r w:rsidR="009A7B7B" w:rsidRPr="00051EC1">
        <w:rPr>
          <w:i/>
          <w:iCs/>
          <w14:glow w14:rad="25400">
            <w14:srgbClr w14:val="00B050">
              <w14:alpha w14:val="75000"/>
            </w14:srgbClr>
          </w14:glow>
        </w:rPr>
        <w:t>cifrado</w:t>
      </w:r>
      <w:r w:rsidR="009A7B7B" w:rsidRPr="006F0DB4">
        <w:rPr>
          <w:i/>
          <w:iCs/>
        </w:rPr>
        <w:t xml:space="preserve"> de las </w:t>
      </w:r>
      <w:r w:rsidR="009A7B7B" w:rsidRPr="00051EC1">
        <w:rPr>
          <w:i/>
          <w:iCs/>
          <w14:glow w14:rad="25400">
            <w14:srgbClr w14:val="002060">
              <w14:alpha w14:val="75000"/>
            </w14:srgbClr>
          </w14:glow>
        </w:rPr>
        <w:t>previsiones de gastos y de las estimaciones de ingresos</w:t>
      </w:r>
      <w:r w:rsidR="009A7B7B" w:rsidRPr="006F0DB4">
        <w:rPr>
          <w:i/>
          <w:iCs/>
        </w:rPr>
        <w:t xml:space="preserve"> para cubrir dichos gastos</w:t>
      </w:r>
      <w:r w:rsidR="00051EC1" w:rsidRPr="006F0DB4">
        <w:rPr>
          <w:i/>
          <w:iCs/>
        </w:rPr>
        <w:t xml:space="preserve">, confeccionado para </w:t>
      </w:r>
      <w:r w:rsidR="00051EC1" w:rsidRPr="00051EC1">
        <w:rPr>
          <w:i/>
          <w:iCs/>
          <w14:glow w14:rad="25400">
            <w14:schemeClr w14:val="accent2">
              <w14:alpha w14:val="75000"/>
              <w14:lumMod w14:val="75000"/>
            </w14:schemeClr>
          </w14:glow>
        </w:rPr>
        <w:t>períodos regulares de tiempo</w:t>
      </w:r>
      <w:r w:rsidR="009A7B7B">
        <w:t>.</w:t>
      </w:r>
    </w:p>
    <w:p w14:paraId="3BEDD032" w14:textId="017A4259" w:rsidR="009A7B7B" w:rsidRDefault="009A7B7B" w:rsidP="00A56F42">
      <w:pPr>
        <w:pStyle w:val="Nivel2SM"/>
        <w:jc w:val="left"/>
      </w:pPr>
      <w:r w:rsidRPr="00A56F42">
        <w:rPr>
          <w:i/>
          <w:iCs/>
        </w:rPr>
        <w:t>Dicho de otra manera</w:t>
      </w:r>
      <w:r>
        <w:t>: Es el marco jurídico y económico en el que se encuadra la planificación económica a corto y medio plazo del Estado.</w:t>
      </w:r>
    </w:p>
    <w:p w14:paraId="0FC1C5F3" w14:textId="3C6F8AA2" w:rsidR="00AB189E" w:rsidRDefault="006F0DB4" w:rsidP="00AB189E">
      <w:pPr>
        <w:pStyle w:val="Nivel1SM"/>
        <w:spacing w:before="0" w:after="0"/>
      </w:pPr>
      <w:r w:rsidRPr="00EB6D73">
        <w:rPr>
          <w:rFonts w:cs="Times New Roman"/>
        </w:rPr>
        <w:t>A</w:t>
      </w:r>
      <w:r>
        <w:rPr>
          <w:rFonts w:cs="Times New Roman"/>
        </w:rPr>
        <w:t xml:space="preserve"> partir de</w:t>
      </w:r>
      <w:r w:rsidRPr="00EB6D73">
        <w:rPr>
          <w:rFonts w:cs="Times New Roman"/>
        </w:rPr>
        <w:t xml:space="preserve"> esta definición podemos </w:t>
      </w:r>
      <w:r>
        <w:rPr>
          <w:rFonts w:cs="Times New Roman"/>
        </w:rPr>
        <w:t>extraer las</w:t>
      </w:r>
      <w:r w:rsidRPr="00EB6D73">
        <w:rPr>
          <w:rFonts w:cs="Times New Roman"/>
        </w:rPr>
        <w:t xml:space="preserve"> </w:t>
      </w:r>
      <w:r w:rsidRPr="006F0DB4">
        <w:rPr>
          <w:rFonts w:cs="Times New Roman"/>
          <w:b/>
          <w:bCs/>
        </w:rPr>
        <w:t>principales características del presupuesto</w:t>
      </w:r>
      <w:r w:rsidRPr="00EB6D73">
        <w:rPr>
          <w:rFonts w:cs="Times New Roman"/>
        </w:rPr>
        <w:t>:</w:t>
      </w:r>
    </w:p>
    <w:p w14:paraId="47720D25" w14:textId="1D4C3609" w:rsidR="009A7B7B" w:rsidRDefault="009A7B7B" w:rsidP="00AB189E">
      <w:pPr>
        <w:pStyle w:val="Prrafodelista"/>
        <w:keepNext/>
        <w:numPr>
          <w:ilvl w:val="0"/>
          <w:numId w:val="45"/>
        </w:numPr>
        <w:spacing w:after="0"/>
        <w:ind w:left="567" w:hanging="113"/>
      </w:pPr>
      <w:bookmarkStart w:id="4" w:name="_Hlk148296841"/>
      <w:r w:rsidRPr="00051EC1">
        <w:rPr>
          <w:i/>
          <w:iCs/>
          <w:u w:val="single"/>
          <w14:glow w14:rad="25400">
            <w14:srgbClr w14:val="C00000">
              <w14:alpha w14:val="75000"/>
            </w14:srgbClr>
          </w14:glow>
        </w:rPr>
        <w:t>Sistemático</w:t>
      </w:r>
      <w:r>
        <w:t>:</w:t>
      </w:r>
    </w:p>
    <w:p w14:paraId="7D6F2A44" w14:textId="0F21A917" w:rsidR="009A7B7B" w:rsidRPr="004B1554" w:rsidRDefault="009A7B7B" w:rsidP="00EE47F2">
      <w:pPr>
        <w:pStyle w:val="Nivel3SM"/>
        <w:keepNext/>
      </w:pPr>
      <w:r w:rsidRPr="004B1554">
        <w:rPr>
          <w:i/>
          <w:iCs/>
        </w:rPr>
        <w:t>Tiene una estructura similar todos los años</w:t>
      </w:r>
      <w:r w:rsidRPr="004B1554">
        <w:t>. El presupuesto se puede estructurar de 3</w:t>
      </w:r>
      <w:r w:rsidR="00EE47F2" w:rsidRPr="004B1554">
        <w:t> </w:t>
      </w:r>
      <w:r w:rsidRPr="004B1554">
        <w:t>maneras:</w:t>
      </w:r>
    </w:p>
    <w:p w14:paraId="4728AA10" w14:textId="420FCE17" w:rsidR="009A7B7B" w:rsidRDefault="009A7B7B" w:rsidP="00B7723D">
      <w:pPr>
        <w:pStyle w:val="Nivel4"/>
        <w:ind w:left="1474"/>
      </w:pPr>
      <w:r w:rsidRPr="00B7723D">
        <w:rPr>
          <w:i/>
          <w:iCs/>
        </w:rPr>
        <w:t>Orgánica</w:t>
      </w:r>
      <w:r>
        <w:t>:</w:t>
      </w:r>
      <w:r w:rsidR="00B7723D">
        <w:t xml:space="preserve"> </w:t>
      </w:r>
      <w:r>
        <w:t>En función de quién gasta.</w:t>
      </w:r>
    </w:p>
    <w:p w14:paraId="6B4E6E4C" w14:textId="2DA54F45" w:rsidR="009A7B7B" w:rsidRDefault="009A7B7B" w:rsidP="00B7723D">
      <w:pPr>
        <w:pStyle w:val="Nivel4"/>
        <w:ind w:left="1474"/>
      </w:pPr>
      <w:r w:rsidRPr="00B7723D">
        <w:rPr>
          <w:i/>
          <w:iCs/>
        </w:rPr>
        <w:t>Económica</w:t>
      </w:r>
      <w:r>
        <w:t>:</w:t>
      </w:r>
      <w:r w:rsidR="00B7723D">
        <w:t xml:space="preserve"> </w:t>
      </w:r>
      <w:r>
        <w:t>En función de cómo se gasta.</w:t>
      </w:r>
    </w:p>
    <w:p w14:paraId="49EC24AC" w14:textId="69EA5F66" w:rsidR="009A7B7B" w:rsidRDefault="009A7B7B" w:rsidP="00B7723D">
      <w:pPr>
        <w:pStyle w:val="Nivel4"/>
        <w:ind w:left="1474"/>
      </w:pPr>
      <w:r w:rsidRPr="00B7723D">
        <w:rPr>
          <w:i/>
          <w:iCs/>
        </w:rPr>
        <w:t>Funcional</w:t>
      </w:r>
      <w:r>
        <w:t>:</w:t>
      </w:r>
      <w:r w:rsidR="00B7723D">
        <w:t xml:space="preserve"> </w:t>
      </w:r>
      <w:r>
        <w:t>En función de para qué se gasta.</w:t>
      </w:r>
    </w:p>
    <w:p w14:paraId="0347C496" w14:textId="77777777" w:rsidR="009A7B7B" w:rsidRDefault="009A7B7B" w:rsidP="00EE47F2">
      <w:pPr>
        <w:pStyle w:val="Nivel3SM"/>
        <w:keepNext/>
      </w:pPr>
      <w:r>
        <w:t>Evolución de la importancia de las distintas formas:</w:t>
      </w:r>
    </w:p>
    <w:p w14:paraId="734D69C2" w14:textId="514858F2" w:rsidR="009A7B7B" w:rsidRPr="00EE47F2" w:rsidRDefault="009A7B7B" w:rsidP="00EE47F2">
      <w:pPr>
        <w:pStyle w:val="Nivel4"/>
        <w:ind w:left="1474"/>
        <w:rPr>
          <w:spacing w:val="-5"/>
        </w:rPr>
      </w:pPr>
      <w:r w:rsidRPr="00EE47F2">
        <w:rPr>
          <w:spacing w:val="-5"/>
        </w:rPr>
        <w:t>Así en el siglo</w:t>
      </w:r>
      <w:r w:rsidR="00EE47F2" w:rsidRPr="00EE47F2">
        <w:rPr>
          <w:spacing w:val="-5"/>
        </w:rPr>
        <w:t> </w:t>
      </w:r>
      <w:r w:rsidRPr="00EE47F2">
        <w:rPr>
          <w:spacing w:val="-5"/>
        </w:rPr>
        <w:t>XIX predominaba la estructura orgánica pues lo principal era el control de los órganos del sector público. Era lo que se denominaba como presupuesto de medios.</w:t>
      </w:r>
    </w:p>
    <w:p w14:paraId="7BDF2B51" w14:textId="1969972E" w:rsidR="009A7B7B" w:rsidRDefault="009A7B7B" w:rsidP="00EE47F2">
      <w:pPr>
        <w:pStyle w:val="Nivel4"/>
        <w:keepNext/>
        <w:ind w:left="1474"/>
      </w:pPr>
      <w:r w:rsidRPr="00B73EA4">
        <w:t>Sin embargo</w:t>
      </w:r>
      <w:r w:rsidR="004426C9">
        <w:t>,</w:t>
      </w:r>
      <w:r w:rsidRPr="00B73EA4">
        <w:t xml:space="preserve"> según ha transcurrido el siglo</w:t>
      </w:r>
      <w:r w:rsidR="00EE47F2">
        <w:t> </w:t>
      </w:r>
      <w:r w:rsidRPr="00B73EA4">
        <w:t>XX el tamaño del sector público ha crecido haciéndose necesaria para que el presupuesto sirviese de instrumento de gestión un enriquecimiento de la estructura del mismo.</w:t>
      </w:r>
    </w:p>
    <w:p w14:paraId="4517D2C6" w14:textId="1173518D" w:rsidR="009A7B7B" w:rsidRPr="00EE47F2" w:rsidRDefault="009A7B7B" w:rsidP="00EE47F2">
      <w:pPr>
        <w:pStyle w:val="Nivel5"/>
        <w:ind w:left="1871"/>
        <w:rPr>
          <w:spacing w:val="-2"/>
        </w:rPr>
      </w:pPr>
      <w:r w:rsidRPr="00EE47F2">
        <w:rPr>
          <w:spacing w:val="-2"/>
        </w:rPr>
        <w:t>Así se pasa a la estructura funcional, a la económica y a la de por programas en un continuo intento de que el presupuesto satisficiese los condicionantes comentados.</w:t>
      </w:r>
    </w:p>
    <w:p w14:paraId="0744FC6D" w14:textId="77777777" w:rsidR="0075244D" w:rsidRDefault="0075244D" w:rsidP="0075244D">
      <w:pPr>
        <w:pStyle w:val="Prrafodelista"/>
        <w:keepNext/>
        <w:numPr>
          <w:ilvl w:val="0"/>
          <w:numId w:val="45"/>
        </w:numPr>
        <w:spacing w:after="0"/>
        <w:ind w:left="567" w:hanging="113"/>
      </w:pPr>
      <w:r w:rsidRPr="00051EC1">
        <w:rPr>
          <w:i/>
          <w:iCs/>
          <w:u w:val="single"/>
          <w14:glow w14:rad="25400">
            <w14:srgbClr w14:val="00B050">
              <w14:alpha w14:val="75000"/>
            </w14:srgbClr>
          </w14:glow>
        </w:rPr>
        <w:t>Cuantitativo</w:t>
      </w:r>
      <w:r>
        <w:t>:</w:t>
      </w:r>
    </w:p>
    <w:p w14:paraId="7C9499A4" w14:textId="77777777" w:rsidR="0075244D" w:rsidRDefault="0075244D" w:rsidP="0075244D">
      <w:pPr>
        <w:pStyle w:val="Nivel3SM"/>
      </w:pPr>
      <w:r>
        <w:t xml:space="preserve">Las previsiones presupuestarias están </w:t>
      </w:r>
      <w:r w:rsidRPr="004B1554">
        <w:rPr>
          <w:i/>
          <w:iCs/>
        </w:rPr>
        <w:t>cifradas en términos monetarios</w:t>
      </w:r>
      <w:r>
        <w:t>, es decir, se utiliza el lenguaje contable.</w:t>
      </w:r>
    </w:p>
    <w:p w14:paraId="5119CA3E" w14:textId="77777777" w:rsidR="00051EC1" w:rsidRDefault="00051EC1" w:rsidP="00051EC1">
      <w:pPr>
        <w:pStyle w:val="Prrafodelista"/>
        <w:keepNext/>
        <w:numPr>
          <w:ilvl w:val="0"/>
          <w:numId w:val="45"/>
        </w:numPr>
        <w:spacing w:after="0"/>
        <w:ind w:left="567" w:hanging="113"/>
      </w:pPr>
      <w:r w:rsidRPr="00051EC1">
        <w:rPr>
          <w:i/>
          <w:iCs/>
          <w:u w:val="single"/>
          <w14:glow w14:rad="25400">
            <w14:srgbClr w14:val="002060">
              <w14:alpha w14:val="75000"/>
            </w14:srgbClr>
          </w14:glow>
        </w:rPr>
        <w:t>Anticipador</w:t>
      </w:r>
      <w:r>
        <w:t>:</w:t>
      </w:r>
    </w:p>
    <w:p w14:paraId="657081B7" w14:textId="77777777" w:rsidR="00051EC1" w:rsidRDefault="00051EC1" w:rsidP="00051EC1">
      <w:pPr>
        <w:pStyle w:val="Nivel3SM"/>
      </w:pPr>
      <w:r>
        <w:t xml:space="preserve">El presupuesto es siempre una previsión que trata de recoger las operaciones del sector público en el futuro. Es, por tanto, un </w:t>
      </w:r>
      <w:r w:rsidRPr="004B1554">
        <w:rPr>
          <w:i/>
          <w:iCs/>
        </w:rPr>
        <w:t>instrumento de planificación</w:t>
      </w:r>
      <w:r>
        <w:t>.</w:t>
      </w:r>
    </w:p>
    <w:p w14:paraId="282D377A" w14:textId="77777777" w:rsidR="00051EC1" w:rsidRDefault="00051EC1" w:rsidP="00051EC1">
      <w:pPr>
        <w:pStyle w:val="Nivel3SM"/>
      </w:pPr>
      <w:r w:rsidRPr="00D7271C">
        <w:rPr>
          <w:i/>
          <w:iCs/>
        </w:rPr>
        <w:t>Anticipa</w:t>
      </w:r>
      <w:r>
        <w:t xml:space="preserve"> los gastos que se van a realizar y </w:t>
      </w:r>
      <w:r w:rsidRPr="00D7271C">
        <w:rPr>
          <w:i/>
          <w:iCs/>
        </w:rPr>
        <w:t>estima</w:t>
      </w:r>
      <w:r>
        <w:t xml:space="preserve"> los ingresos que se van a registrar a lo largo del periodo presupuestario.</w:t>
      </w:r>
    </w:p>
    <w:p w14:paraId="70FC58CF" w14:textId="77777777" w:rsidR="0075244D" w:rsidRDefault="0075244D" w:rsidP="0075244D">
      <w:pPr>
        <w:pStyle w:val="Prrafodelista"/>
        <w:keepNext/>
        <w:numPr>
          <w:ilvl w:val="0"/>
          <w:numId w:val="45"/>
        </w:numPr>
        <w:spacing w:after="0"/>
        <w:ind w:left="567" w:hanging="113"/>
      </w:pPr>
      <w:r w:rsidRPr="00051EC1">
        <w:rPr>
          <w:i/>
          <w:iCs/>
          <w:u w:val="single"/>
          <w14:glow w14:rad="25400">
            <w14:schemeClr w14:val="accent2">
              <w14:alpha w14:val="75000"/>
              <w14:lumMod w14:val="75000"/>
            </w14:schemeClr>
          </w14:glow>
        </w:rPr>
        <w:t>Periódico</w:t>
      </w:r>
      <w:r>
        <w:t>:</w:t>
      </w:r>
    </w:p>
    <w:p w14:paraId="1BE7F037" w14:textId="77777777" w:rsidR="0075244D" w:rsidRDefault="0075244D" w:rsidP="0075244D">
      <w:pPr>
        <w:pStyle w:val="Nivel3SM"/>
      </w:pPr>
      <w:r w:rsidRPr="004B1554">
        <w:rPr>
          <w:i/>
          <w:iCs/>
        </w:rPr>
        <w:t>El presupuesto se elabora, aprueba, ejecuta y controla en intervalos regulares de tiempo</w:t>
      </w:r>
      <w:r>
        <w:t>. El ejercicio presupuestario tiene normalmente una duración anual.</w:t>
      </w:r>
    </w:p>
    <w:p w14:paraId="4B7A0814" w14:textId="353CDEFB" w:rsidR="009A7B7B" w:rsidRDefault="00C926EA" w:rsidP="00AB189E">
      <w:pPr>
        <w:pStyle w:val="Prrafodelista"/>
        <w:keepNext/>
        <w:numPr>
          <w:ilvl w:val="0"/>
          <w:numId w:val="45"/>
        </w:numPr>
        <w:spacing w:after="0"/>
        <w:ind w:left="567" w:hanging="113"/>
      </w:pPr>
      <w:r>
        <w:rPr>
          <w:i/>
          <w:iCs/>
        </w:rPr>
        <w:t xml:space="preserve">Además, vamos a añadir una 5º característica: </w:t>
      </w:r>
      <w:r w:rsidR="009A7B7B" w:rsidRPr="00051EC1">
        <w:rPr>
          <w:i/>
          <w:iCs/>
          <w:u w:val="single"/>
          <w14:glow w14:rad="25400">
            <w14:srgbClr w14:val="CC00CC">
              <w14:alpha w14:val="75294"/>
            </w14:srgbClr>
          </w14:glow>
        </w:rPr>
        <w:t>Limitativo</w:t>
      </w:r>
      <w:r w:rsidR="009A7B7B">
        <w:t>:</w:t>
      </w:r>
    </w:p>
    <w:p w14:paraId="20110B56" w14:textId="56E2A5A4" w:rsidR="00435C91" w:rsidRDefault="009A7B7B" w:rsidP="00EE47F2">
      <w:pPr>
        <w:pStyle w:val="Nivel3SM"/>
      </w:pPr>
      <w:r w:rsidRPr="00F91CEE">
        <w:rPr>
          <w:i/>
          <w:iCs/>
        </w:rPr>
        <w:t>El sector público está legalmente obligado a cumplir el presupuesto</w:t>
      </w:r>
      <w:r>
        <w:t>, en lo que se diferencia de los presupuestos privados. Así, las partidas de gasto del presupuesto del sector público tienen un carácter limitativo, es decir, se debe recurrir a procedimientos especiales para incrementar una partida de gasto ya aprobada.</w:t>
      </w:r>
    </w:p>
    <w:p w14:paraId="075054E7" w14:textId="7C4F5315" w:rsidR="0075244D" w:rsidRDefault="0075244D" w:rsidP="00EE47F2">
      <w:pPr>
        <w:pStyle w:val="Nivel3SM"/>
      </w:pPr>
      <w:r>
        <w:t>Los PGE son un documento vinculante con rango de ley.</w:t>
      </w:r>
    </w:p>
    <w:p w14:paraId="0E9B2D2F" w14:textId="65B2396D" w:rsidR="009D2BCD" w:rsidRDefault="009D2BCD" w:rsidP="009D2BCD">
      <w:pPr>
        <w:pStyle w:val="Nivel1SM"/>
        <w:keepNext/>
        <w:spacing w:after="0"/>
      </w:pPr>
      <w:r>
        <w:t xml:space="preserve">Los presupuestos tienen su </w:t>
      </w:r>
      <w:r>
        <w:rPr>
          <w:b/>
          <w:bCs/>
        </w:rPr>
        <w:t>origen</w:t>
      </w:r>
      <w:r>
        <w:t xml:space="preserve"> a finales del siglo XVIII debido a:</w:t>
      </w:r>
    </w:p>
    <w:p w14:paraId="3DD22D11" w14:textId="1CBC9947" w:rsidR="009D2BCD" w:rsidRDefault="009D2BCD" w:rsidP="009D2BCD">
      <w:pPr>
        <w:pStyle w:val="Nivel2SM"/>
      </w:pPr>
      <w:r w:rsidRPr="009D2BCD">
        <w:rPr>
          <w:i/>
          <w:iCs/>
          <w:u w:val="single"/>
        </w:rPr>
        <w:t>Factores organizativos</w:t>
      </w:r>
      <w:r>
        <w:t>: La aparición de una administración más centralizada y compleja.</w:t>
      </w:r>
    </w:p>
    <w:p w14:paraId="14632A81" w14:textId="5EA7667A" w:rsidR="009D2BCD" w:rsidRDefault="009D2BCD" w:rsidP="009D2BCD">
      <w:pPr>
        <w:pStyle w:val="Nivel2SM"/>
      </w:pPr>
      <w:r w:rsidRPr="009D2BCD">
        <w:rPr>
          <w:i/>
          <w:iCs/>
          <w:u w:val="single"/>
        </w:rPr>
        <w:t>Factores económicos</w:t>
      </w:r>
      <w:r>
        <w:t>: Mayor peso del sector público.</w:t>
      </w:r>
    </w:p>
    <w:p w14:paraId="1AF6CF59" w14:textId="170D62E7" w:rsidR="009D2BCD" w:rsidRPr="00377772" w:rsidRDefault="009D2BCD" w:rsidP="009D2BCD">
      <w:pPr>
        <w:pStyle w:val="Nivel2SM"/>
      </w:pPr>
      <w:r w:rsidRPr="009D2BCD">
        <w:rPr>
          <w:i/>
          <w:iCs/>
          <w:u w:val="single"/>
        </w:rPr>
        <w:t>Factores políticos</w:t>
      </w:r>
      <w:r>
        <w:t>: Permite la división de poderes entre legislativo (aprueba y controla) y ejecutivo (elabora y ejecuta).</w:t>
      </w:r>
    </w:p>
    <w:p w14:paraId="37948161" w14:textId="3BE908DA" w:rsidR="009A7B7B" w:rsidRDefault="004426C9" w:rsidP="004426C9">
      <w:pPr>
        <w:pStyle w:val="Ttulo1"/>
      </w:pPr>
      <w:bookmarkStart w:id="5" w:name="_Toc150445772"/>
      <w:bookmarkEnd w:id="4"/>
      <w:r w:rsidRPr="009A7B7B">
        <w:lastRenderedPageBreak/>
        <w:t>FASES DEL PROCESO PRESUPUESTARIO</w:t>
      </w:r>
      <w:bookmarkEnd w:id="5"/>
    </w:p>
    <w:p w14:paraId="2AB4C8E6" w14:textId="0B674D6A" w:rsidR="00884DC3" w:rsidRPr="00884DC3" w:rsidRDefault="00884DC3" w:rsidP="00884DC3">
      <w:pPr>
        <w:pStyle w:val="Notaalopositor"/>
      </w:pPr>
      <w:r>
        <w:t>Coordinar en temas 4.B.3 y 4.B.24</w:t>
      </w:r>
    </w:p>
    <w:p w14:paraId="00D27DBB" w14:textId="50CE4265" w:rsidR="009A7B7B" w:rsidRDefault="003F203E" w:rsidP="00966E32">
      <w:pPr>
        <w:pStyle w:val="Nivel1SM"/>
        <w:keepNext/>
        <w:spacing w:before="0" w:after="0"/>
      </w:pPr>
      <w:r>
        <w:t xml:space="preserve">Como bien indica la característica de la </w:t>
      </w:r>
      <w:r w:rsidR="00051EC1" w:rsidRPr="00051EC1">
        <w:rPr>
          <w:i/>
          <w:iCs/>
          <w14:glow w14:rad="25400">
            <w14:schemeClr w14:val="accent2">
              <w14:alpha w14:val="75000"/>
              <w14:lumMod w14:val="75000"/>
            </w14:schemeClr>
          </w14:glow>
        </w:rPr>
        <w:t>periodicidad</w:t>
      </w:r>
      <w:r>
        <w:t>, el presupuesto se elabora</w:t>
      </w:r>
      <w:r w:rsidR="00675C0A">
        <w:t>, se aprueba</w:t>
      </w:r>
      <w:r>
        <w:t xml:space="preserve"> y se ejecuta en </w:t>
      </w:r>
      <w:r w:rsidR="00480656">
        <w:t xml:space="preserve">intervalos regulares de tiempo dando lugar al </w:t>
      </w:r>
      <w:r w:rsidR="00480656" w:rsidRPr="00966E32">
        <w:rPr>
          <w:b/>
          <w:bCs/>
        </w:rPr>
        <w:t>ciclo presupuestario</w:t>
      </w:r>
      <w:r w:rsidR="00480656">
        <w:t>.</w:t>
      </w:r>
    </w:p>
    <w:p w14:paraId="4FC32C28" w14:textId="6026DDA5" w:rsidR="00480656" w:rsidRPr="00CC099B" w:rsidRDefault="009A7B7B" w:rsidP="00966E32">
      <w:pPr>
        <w:pStyle w:val="Nivel2SM"/>
      </w:pPr>
      <w:r w:rsidRPr="00CC099B">
        <w:t xml:space="preserve">Para analizarlo tomaremos como base el </w:t>
      </w:r>
      <w:r w:rsidRPr="00966E32">
        <w:rPr>
          <w:b/>
          <w:bCs/>
        </w:rPr>
        <w:t>proceso presupuestario español</w:t>
      </w:r>
      <w:r w:rsidRPr="00CC099B">
        <w:t xml:space="preserve">, regulado en la </w:t>
      </w:r>
      <w:r w:rsidRPr="00966E32">
        <w:rPr>
          <w:i/>
          <w:iCs/>
        </w:rPr>
        <w:t>Ley General Presupuestaria</w:t>
      </w:r>
      <w:r w:rsidRPr="00CC099B">
        <w:t>, si bien todos los presupuestos siguen un proceso muy parecido.</w:t>
      </w:r>
    </w:p>
    <w:p w14:paraId="0D81E68B" w14:textId="62F73075" w:rsidR="00480656" w:rsidRDefault="00480656" w:rsidP="00482798">
      <w:pPr>
        <w:pStyle w:val="Nivel2SM"/>
        <w:keepNext/>
        <w:spacing w:after="0"/>
      </w:pPr>
      <w:r>
        <w:t xml:space="preserve">Dicho proceso consta de </w:t>
      </w:r>
      <w:r w:rsidR="00482798">
        <w:t>4 </w:t>
      </w:r>
      <w:r>
        <w:t>etapas:</w:t>
      </w:r>
    </w:p>
    <w:p w14:paraId="796F9832" w14:textId="2EFB3404" w:rsidR="00966E32" w:rsidRDefault="00966E32" w:rsidP="00966E32">
      <w:pPr>
        <w:pStyle w:val="Prrafodelista"/>
        <w:numPr>
          <w:ilvl w:val="0"/>
          <w:numId w:val="48"/>
        </w:numPr>
        <w:spacing w:after="0"/>
        <w:ind w:left="1134" w:hanging="113"/>
      </w:pPr>
      <w:r>
        <w:t>Fase preliminar.</w:t>
      </w:r>
    </w:p>
    <w:p w14:paraId="4B7622C9" w14:textId="244B57AF" w:rsidR="009A7B7B" w:rsidRDefault="002B70F4" w:rsidP="00966E32">
      <w:pPr>
        <w:pStyle w:val="Prrafodelista"/>
        <w:numPr>
          <w:ilvl w:val="0"/>
          <w:numId w:val="48"/>
        </w:numPr>
        <w:spacing w:after="0"/>
        <w:ind w:left="1134" w:hanging="113"/>
      </w:pPr>
      <w:r>
        <w:t>Elaboración</w:t>
      </w:r>
      <w:r w:rsidR="00482798">
        <w:t>.</w:t>
      </w:r>
    </w:p>
    <w:p w14:paraId="0E214D04" w14:textId="233BBF5C" w:rsidR="000A6D52" w:rsidRDefault="009A7B7B" w:rsidP="00966E32">
      <w:pPr>
        <w:pStyle w:val="Prrafodelista"/>
        <w:numPr>
          <w:ilvl w:val="0"/>
          <w:numId w:val="48"/>
        </w:numPr>
        <w:spacing w:after="0"/>
        <w:ind w:left="1134" w:hanging="113"/>
      </w:pPr>
      <w:r>
        <w:t xml:space="preserve">Discusión y </w:t>
      </w:r>
      <w:r w:rsidR="002B70F4">
        <w:t>aprobación.</w:t>
      </w:r>
    </w:p>
    <w:p w14:paraId="2E945DAF" w14:textId="77777777" w:rsidR="000A6D52" w:rsidRDefault="000A6D52" w:rsidP="00966E32">
      <w:pPr>
        <w:pStyle w:val="Prrafodelista"/>
        <w:numPr>
          <w:ilvl w:val="0"/>
          <w:numId w:val="48"/>
        </w:numPr>
        <w:spacing w:after="0"/>
        <w:ind w:left="1134" w:hanging="113"/>
      </w:pPr>
      <w:r>
        <w:t>Ejecución.</w:t>
      </w:r>
    </w:p>
    <w:p w14:paraId="3FA34A15" w14:textId="7117992D" w:rsidR="00AD170B" w:rsidRDefault="000A6D52" w:rsidP="00966E32">
      <w:pPr>
        <w:pStyle w:val="Prrafodelista"/>
        <w:numPr>
          <w:ilvl w:val="0"/>
          <w:numId w:val="48"/>
        </w:numPr>
        <w:spacing w:after="0"/>
        <w:ind w:left="1134" w:hanging="113"/>
      </w:pPr>
      <w:r>
        <w:t>Liquidación y control.</w:t>
      </w:r>
    </w:p>
    <w:p w14:paraId="210D541F" w14:textId="462AB081" w:rsidR="00C75DC0" w:rsidRPr="00C75DC0" w:rsidRDefault="00C75DC0" w:rsidP="00C75DC0">
      <w:pPr>
        <w:pStyle w:val="Ttuloimagen"/>
        <w:rPr>
          <w:smallCaps w:val="0"/>
        </w:rPr>
      </w:pPr>
      <w:r>
        <w:t>Imagen </w:t>
      </w:r>
      <w:r>
        <w:fldChar w:fldCharType="begin"/>
      </w:r>
      <w:r>
        <w:instrText xml:space="preserve"> SEQ Ilustración \* ARABIC </w:instrText>
      </w:r>
      <w:r>
        <w:fldChar w:fldCharType="separate"/>
      </w:r>
      <w:r w:rsidR="004D068D">
        <w:t>1</w:t>
      </w:r>
      <w:r>
        <w:fldChar w:fldCharType="end"/>
      </w:r>
      <w:r>
        <w:rPr>
          <w:smallCaps w:val="0"/>
        </w:rPr>
        <w:t xml:space="preserve">.– </w:t>
      </w:r>
      <w:r>
        <w:rPr>
          <w:i/>
          <w:iCs/>
          <w:smallCaps w:val="0"/>
        </w:rPr>
        <w:t>Calendario presupuestario español</w:t>
      </w:r>
    </w:p>
    <w:p w14:paraId="3D561239" w14:textId="3DE5E849" w:rsidR="00C75DC0" w:rsidRDefault="00C75DC0" w:rsidP="00C75DC0">
      <w:pPr>
        <w:pStyle w:val="Imagen"/>
      </w:pPr>
      <w:r w:rsidRPr="00C75DC0">
        <w:drawing>
          <wp:inline distT="0" distB="0" distL="0" distR="0" wp14:anchorId="3A2263C5" wp14:editId="4E714851">
            <wp:extent cx="4847590" cy="2896583"/>
            <wp:effectExtent l="0" t="0" r="0" b="0"/>
            <wp:docPr id="879653551" name="Imagen 1" descr="Diagrama,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53551" name="Imagen 1" descr="Diagrama, Escala de tiempo&#10;&#10;Descripción generada automáticamente"/>
                    <pic:cNvPicPr/>
                  </pic:nvPicPr>
                  <pic:blipFill>
                    <a:blip r:embed="rId8"/>
                    <a:stretch>
                      <a:fillRect/>
                    </a:stretch>
                  </pic:blipFill>
                  <pic:spPr>
                    <a:xfrm>
                      <a:off x="0" y="0"/>
                      <a:ext cx="4854263" cy="2900570"/>
                    </a:xfrm>
                    <a:prstGeom prst="rect">
                      <a:avLst/>
                    </a:prstGeom>
                  </pic:spPr>
                </pic:pic>
              </a:graphicData>
            </a:graphic>
          </wp:inline>
        </w:drawing>
      </w:r>
    </w:p>
    <w:p w14:paraId="7B16C110" w14:textId="2B32EFB1" w:rsidR="00C75DC0" w:rsidRPr="00C75DC0" w:rsidRDefault="00C75DC0" w:rsidP="00C75DC0">
      <w:pPr>
        <w:pStyle w:val="PiedeImagen"/>
        <w:rPr>
          <w:i w:val="0"/>
          <w:iCs/>
        </w:rPr>
      </w:pPr>
      <w:r>
        <w:t>Fuente</w:t>
      </w:r>
      <w:r>
        <w:rPr>
          <w:i w:val="0"/>
          <w:iCs/>
        </w:rPr>
        <w:t xml:space="preserve">: Ministerio de Hacienda y Función Pública (2023) </w:t>
      </w:r>
      <w:r>
        <w:t>Introducción a la lectura de los Presupuestos Generales del Estado</w:t>
      </w:r>
      <w:r>
        <w:rPr>
          <w:i w:val="0"/>
          <w:iCs/>
        </w:rPr>
        <w:t xml:space="preserve">. </w:t>
      </w:r>
      <w:hyperlink r:id="rId9" w:history="1">
        <w:r w:rsidRPr="00F7023B">
          <w:rPr>
            <w:rStyle w:val="Hipervnculo"/>
            <w:i w:val="0"/>
            <w:iCs/>
          </w:rPr>
          <w:t>https://www.sepg.pap.hacienda.gob.es/sitios/sepg/es-ES/Presupuestos/PGE/ProyectoPGE2023/Documents/LIBROSALMON2023.pdf</w:t>
        </w:r>
      </w:hyperlink>
    </w:p>
    <w:p w14:paraId="096ED7FA" w14:textId="67FA9074" w:rsidR="006F5D37" w:rsidRPr="00377772" w:rsidRDefault="00AD170B" w:rsidP="004426C9">
      <w:pPr>
        <w:pStyle w:val="Ttulo2"/>
        <w:numPr>
          <w:ilvl w:val="1"/>
          <w:numId w:val="73"/>
        </w:numPr>
      </w:pPr>
      <w:bookmarkStart w:id="6" w:name="_Toc150445773"/>
      <w:r w:rsidRPr="00A36A31">
        <w:t>Fase</w:t>
      </w:r>
      <w:r w:rsidRPr="00AD170B">
        <w:t xml:space="preserve"> </w:t>
      </w:r>
      <w:r w:rsidR="00BC7037">
        <w:t>p</w:t>
      </w:r>
      <w:r w:rsidRPr="00AD170B">
        <w:t>reliminar</w:t>
      </w:r>
      <w:bookmarkEnd w:id="6"/>
    </w:p>
    <w:p w14:paraId="7C6053AE" w14:textId="7F547B5C" w:rsidR="00AD170B" w:rsidRDefault="00AD170B" w:rsidP="00482798">
      <w:pPr>
        <w:pStyle w:val="Nivel2SM"/>
        <w:keepNext/>
        <w:spacing w:after="0"/>
      </w:pPr>
      <w:r>
        <w:t xml:space="preserve">Aunque no son etapas propiamente dichas, los </w:t>
      </w:r>
      <w:r w:rsidRPr="00675C0A">
        <w:rPr>
          <w:b/>
          <w:bCs/>
        </w:rPr>
        <w:t>2</w:t>
      </w:r>
      <w:r w:rsidR="00482798" w:rsidRPr="00675C0A">
        <w:rPr>
          <w:b/>
          <w:bCs/>
        </w:rPr>
        <w:t> </w:t>
      </w:r>
      <w:r w:rsidRPr="00675C0A">
        <w:rPr>
          <w:b/>
          <w:bCs/>
        </w:rPr>
        <w:t>primeros acontecimientos</w:t>
      </w:r>
      <w:r>
        <w:t xml:space="preserve"> que ocurren </w:t>
      </w:r>
      <w:r w:rsidRPr="00675C0A">
        <w:rPr>
          <w:i/>
          <w:iCs/>
        </w:rPr>
        <w:t>como muy tarde en abril</w:t>
      </w:r>
      <w:r>
        <w:t xml:space="preserve"> y que merece la pena destacar son</w:t>
      </w:r>
      <w:r w:rsidR="000F4BEB">
        <w:rPr>
          <w:rStyle w:val="Refdenotaalpie"/>
        </w:rPr>
        <w:footnoteReference w:id="7"/>
      </w:r>
      <w:r>
        <w:t>:</w:t>
      </w:r>
    </w:p>
    <w:p w14:paraId="16772D74" w14:textId="475BECC7" w:rsidR="00AD170B" w:rsidRDefault="00AD170B" w:rsidP="00482798">
      <w:pPr>
        <w:pStyle w:val="Nivel3SM"/>
        <w:keepNext/>
      </w:pPr>
      <w:r w:rsidRPr="00675C0A">
        <w:rPr>
          <w:i/>
          <w:iCs/>
          <w:u w:val="single"/>
        </w:rPr>
        <w:t>Programa de Estabilidad</w:t>
      </w:r>
      <w:r w:rsidRPr="00597A41">
        <w:rPr>
          <w:i/>
          <w:iCs/>
        </w:rPr>
        <w:t xml:space="preserve"> y </w:t>
      </w:r>
      <w:r w:rsidRPr="00675C0A">
        <w:rPr>
          <w:i/>
          <w:iCs/>
          <w:u w:val="single"/>
        </w:rPr>
        <w:t>Programa Nacional de Reformas</w:t>
      </w:r>
      <w:r>
        <w:t>.</w:t>
      </w:r>
    </w:p>
    <w:p w14:paraId="75177CB3" w14:textId="77777777" w:rsidR="00AD170B" w:rsidRDefault="00AD170B" w:rsidP="00482798">
      <w:pPr>
        <w:pStyle w:val="Nivel4"/>
        <w:keepNext/>
        <w:ind w:left="1474"/>
      </w:pPr>
      <w:r>
        <w:t>En el marco del Semestre Europeo, el Gobierno deberá presentar su Programa de Estabilidad y su Programa Nacional de Reformas como muy tarde el 30 de abril.</w:t>
      </w:r>
    </w:p>
    <w:p w14:paraId="2117DCC2" w14:textId="14459DFE" w:rsidR="00AD170B" w:rsidRDefault="00AD170B" w:rsidP="00482798">
      <w:pPr>
        <w:pStyle w:val="Nivel5"/>
        <w:ind w:left="1871"/>
      </w:pPr>
      <w:r>
        <w:t>El Programa de Estabilidad contiene</w:t>
      </w:r>
      <w:r w:rsidR="00780455">
        <w:t xml:space="preserve"> un </w:t>
      </w:r>
      <w:r w:rsidR="00780455" w:rsidRPr="00675C0A">
        <w:rPr>
          <w:i/>
          <w:iCs/>
        </w:rPr>
        <w:t>diagnóstico de la economía española</w:t>
      </w:r>
      <w:r w:rsidR="00780455" w:rsidRPr="00861350">
        <w:t xml:space="preserve"> y </w:t>
      </w:r>
      <w:r w:rsidRPr="00780455">
        <w:rPr>
          <w:i/>
          <w:iCs/>
        </w:rPr>
        <w:t xml:space="preserve">proyecciones presupuestarias a </w:t>
      </w:r>
      <w:r w:rsidR="00780455" w:rsidRPr="00780455">
        <w:rPr>
          <w:i/>
          <w:iCs/>
        </w:rPr>
        <w:t>medio plazo</w:t>
      </w:r>
      <w:r w:rsidR="00780455">
        <w:t xml:space="preserve"> (</w:t>
      </w:r>
      <w:r>
        <w:t>3</w:t>
      </w:r>
      <w:r w:rsidR="00780455">
        <w:t> </w:t>
      </w:r>
      <w:r>
        <w:t>años</w:t>
      </w:r>
      <w:r w:rsidR="00780455">
        <w:t>)</w:t>
      </w:r>
      <w:r>
        <w:t xml:space="preserve"> </w:t>
      </w:r>
      <w:r w:rsidR="00780455">
        <w:t xml:space="preserve">que </w:t>
      </w:r>
      <w:r w:rsidR="00780455" w:rsidRPr="00861350">
        <w:t xml:space="preserve">la </w:t>
      </w:r>
      <w:r w:rsidR="00780455">
        <w:t xml:space="preserve">marcarán la </w:t>
      </w:r>
      <w:r w:rsidR="00780455" w:rsidRPr="00780455">
        <w:t>orientación de la política económica</w:t>
      </w:r>
      <w:r w:rsidR="00780455">
        <w:t>. Además,</w:t>
      </w:r>
      <w:r>
        <w:t xml:space="preserve"> en caso de que no se cumpla con los límites de déficit y deuda pública del Pacto de Estabilidad y Crecimiento, deberá contener también un plan de ajuste.</w:t>
      </w:r>
    </w:p>
    <w:p w14:paraId="28CC510E" w14:textId="77777777" w:rsidR="0075244D" w:rsidRPr="00D744CF" w:rsidRDefault="0075244D" w:rsidP="0075244D">
      <w:pPr>
        <w:pStyle w:val="Nivel5"/>
        <w:ind w:left="1871"/>
        <w:rPr>
          <w:spacing w:val="-4"/>
        </w:rPr>
      </w:pPr>
      <w:r w:rsidRPr="00D744CF">
        <w:rPr>
          <w:spacing w:val="-4"/>
        </w:rPr>
        <w:t>El Programa Nacional de Reformas detalla las políticas específicas que se aplicarán para impulsar el empleo y el crecimiento y prevenir o corregir los desequilibrios.</w:t>
      </w:r>
    </w:p>
    <w:p w14:paraId="6E587A8C" w14:textId="79D5EFC0" w:rsidR="00AD170B" w:rsidRDefault="00AD170B" w:rsidP="00482798">
      <w:pPr>
        <w:pStyle w:val="Nivel3SM"/>
        <w:keepNext/>
      </w:pPr>
      <w:r w:rsidRPr="00675C0A">
        <w:rPr>
          <w:i/>
          <w:iCs/>
          <w:u w:val="single"/>
        </w:rPr>
        <w:t>Informe sobre la posición cíclica de la economía española</w:t>
      </w:r>
      <w:r>
        <w:t>.</w:t>
      </w:r>
    </w:p>
    <w:p w14:paraId="785F282B" w14:textId="38A1AB21" w:rsidR="00AD170B" w:rsidRPr="00AD170B" w:rsidRDefault="00AD170B" w:rsidP="00482798">
      <w:pPr>
        <w:pStyle w:val="Nivel4"/>
        <w:ind w:left="1474"/>
      </w:pPr>
      <w:r>
        <w:t xml:space="preserve">Este informe recoge la estimación de las macromagnitudes económicas más relevantes, de modo que sirve como referencia para fijar los objetivos de estabilidad </w:t>
      </w:r>
      <w:r>
        <w:lastRenderedPageBreak/>
        <w:t>presupuestaria. Lo elabora el Ministerio de Economía, previa consulta al Banco de España, y teniendo en cuenta las previsiones del BCE y de la Comisión Europea.</w:t>
      </w:r>
    </w:p>
    <w:p w14:paraId="722E590E" w14:textId="53D3DF86" w:rsidR="00AD170B" w:rsidRPr="00377772" w:rsidRDefault="00AD170B" w:rsidP="004426C9">
      <w:pPr>
        <w:pStyle w:val="Ttulo2"/>
      </w:pPr>
      <w:bookmarkStart w:id="7" w:name="_Toc150445774"/>
      <w:r>
        <w:t>Elaboraci</w:t>
      </w:r>
      <w:r w:rsidRPr="00AD170B">
        <w:t>ón</w:t>
      </w:r>
      <w:bookmarkEnd w:id="7"/>
    </w:p>
    <w:p w14:paraId="736592FD" w14:textId="3E0060D6" w:rsidR="00CA49D7" w:rsidRDefault="00AD170B" w:rsidP="003E3E09">
      <w:pPr>
        <w:pStyle w:val="Ttulo6"/>
        <w:spacing w:before="0"/>
      </w:pPr>
      <w:bookmarkStart w:id="8" w:name="_Toc150445775"/>
      <w:r w:rsidRPr="00AD170B">
        <w:t>Plazo</w:t>
      </w:r>
      <w:bookmarkEnd w:id="8"/>
    </w:p>
    <w:p w14:paraId="0DFBAF22" w14:textId="0A1BB6B3" w:rsidR="00AD170B" w:rsidRDefault="00CA49D7" w:rsidP="00CC099B">
      <w:pPr>
        <w:pStyle w:val="Nivel2SM"/>
      </w:pPr>
      <w:r>
        <w:t>El plazo para el proceso de elaboración es</w:t>
      </w:r>
      <w:r w:rsidR="00B577FB">
        <w:t xml:space="preserve"> de 6 meses, </w:t>
      </w:r>
      <w:r>
        <w:t xml:space="preserve">desde </w:t>
      </w:r>
      <w:r w:rsidR="00AD170B">
        <w:t>abril a septiembre (</w:t>
      </w:r>
      <w:r w:rsidR="00B577FB">
        <w:t>inclusiv</w:t>
      </w:r>
      <w:r w:rsidR="00D1454C">
        <w:t>e</w:t>
      </w:r>
      <w:r w:rsidR="00AD170B">
        <w:t>)</w:t>
      </w:r>
      <w:r w:rsidR="00316B0E" w:rsidRPr="00316B0E">
        <w:rPr>
          <w:rFonts w:cs="Times New Roman"/>
          <w:iCs/>
          <w:vertAlign w:val="superscript"/>
        </w:rPr>
        <w:footnoteReference w:id="8"/>
      </w:r>
      <w:r w:rsidR="00AD170B">
        <w:t>.</w:t>
      </w:r>
    </w:p>
    <w:p w14:paraId="73327E8D" w14:textId="1A392793" w:rsidR="00CA49D7" w:rsidRDefault="00AD170B" w:rsidP="00CC099B">
      <w:pPr>
        <w:pStyle w:val="Ttulo6"/>
      </w:pPr>
      <w:bookmarkStart w:id="9" w:name="_Toc150445776"/>
      <w:r w:rsidRPr="00AD170B">
        <w:t>Competencia</w:t>
      </w:r>
      <w:bookmarkEnd w:id="9"/>
    </w:p>
    <w:p w14:paraId="42D7B523" w14:textId="0748EE9A" w:rsidR="00AD170B" w:rsidRDefault="00AD170B" w:rsidP="00CC099B">
      <w:pPr>
        <w:pStyle w:val="Nivel2SM"/>
      </w:pPr>
      <w:r>
        <w:t>Poder ejecutivo (Gobierno), aunque, como veremos, las Cortes intervienen en la aprobación del objetivo de estabilidad y de deuda pública (aunque no para el techo de gasto).</w:t>
      </w:r>
    </w:p>
    <w:p w14:paraId="6504081F" w14:textId="0D982FDC" w:rsidR="00CA49D7" w:rsidRPr="00377772" w:rsidRDefault="00AD170B" w:rsidP="00CC099B">
      <w:pPr>
        <w:pStyle w:val="Ttulo6"/>
      </w:pPr>
      <w:bookmarkStart w:id="10" w:name="_Toc150445777"/>
      <w:r w:rsidRPr="00AD170B">
        <w:t>Proceso</w:t>
      </w:r>
      <w:bookmarkEnd w:id="10"/>
    </w:p>
    <w:p w14:paraId="4DB1CBD4" w14:textId="07D5BCA0" w:rsidR="00CA49D7" w:rsidRDefault="00AD170B" w:rsidP="00B51EB2">
      <w:pPr>
        <w:pStyle w:val="Prrafodelista"/>
        <w:numPr>
          <w:ilvl w:val="0"/>
          <w:numId w:val="49"/>
        </w:numPr>
        <w:spacing w:after="100"/>
        <w:ind w:left="567" w:hanging="113"/>
      </w:pPr>
      <w:r w:rsidRPr="00B51EB2">
        <w:rPr>
          <w:i/>
          <w:iCs/>
        </w:rPr>
        <w:t>Orden de elaboración de los PGE</w:t>
      </w:r>
      <w:r w:rsidR="003F4EF0">
        <w:t xml:space="preserve">, </w:t>
      </w:r>
      <w:r w:rsidR="003F4EF0" w:rsidRPr="003F4EF0">
        <w:t>d</w:t>
      </w:r>
      <w:r w:rsidRPr="003F4EF0">
        <w:t>onde</w:t>
      </w:r>
      <w:r>
        <w:t xml:space="preserve"> se dictan las normas de elaboración (comisiones participantes, documentación a presentar, plazos, etc.).</w:t>
      </w:r>
    </w:p>
    <w:p w14:paraId="52A78838" w14:textId="207ECD34" w:rsidR="00AD170B" w:rsidRDefault="00AD170B" w:rsidP="00B51EB2">
      <w:pPr>
        <w:pStyle w:val="Prrafodelista"/>
        <w:keepNext/>
        <w:numPr>
          <w:ilvl w:val="0"/>
          <w:numId w:val="49"/>
        </w:numPr>
        <w:spacing w:after="0"/>
        <w:ind w:left="567" w:hanging="113"/>
      </w:pPr>
      <w:r w:rsidRPr="00AD170B">
        <w:t>Aprobación en el primer semestre del año</w:t>
      </w:r>
      <w:r w:rsidR="003F4EF0">
        <w:t xml:space="preserve"> p</w:t>
      </w:r>
      <w:r>
        <w:t xml:space="preserve">ara el conjunto de las Administraciones Públicas de los </w:t>
      </w:r>
      <w:r w:rsidRPr="00B51EB2">
        <w:rPr>
          <w:b/>
          <w:bCs/>
        </w:rPr>
        <w:t>objetivos de estabilidad presupuestaria</w:t>
      </w:r>
      <w:r>
        <w:t xml:space="preserve"> (i.e. necesidad</w:t>
      </w:r>
      <w:r w:rsidR="00316B0E">
        <w:t xml:space="preserve"> o </w:t>
      </w:r>
      <w:r>
        <w:t xml:space="preserve">capacidad de financiación) y </w:t>
      </w:r>
      <w:r w:rsidRPr="00B51EB2">
        <w:rPr>
          <w:b/>
          <w:bCs/>
        </w:rPr>
        <w:t>de deuda pública</w:t>
      </w:r>
      <w:r>
        <w:t>, referidos a los 3</w:t>
      </w:r>
      <w:r w:rsidR="00391F61">
        <w:t> </w:t>
      </w:r>
      <w:r>
        <w:t xml:space="preserve">ejercicios siguientes, y que son elaborados por el Gobierno y aprobados por las Cortes, y </w:t>
      </w:r>
      <w:r w:rsidRPr="00B51EB2">
        <w:rPr>
          <w:b/>
          <w:bCs/>
        </w:rPr>
        <w:t>de la cifra máxima de gasto no financiero para ese año</w:t>
      </w:r>
      <w:r>
        <w:t xml:space="preserve"> (i.e. techo de gasto) (art.</w:t>
      </w:r>
      <w:r w:rsidR="00DE273E">
        <w:t> </w:t>
      </w:r>
      <w:r>
        <w:t>15 LO 2/2012).</w:t>
      </w:r>
    </w:p>
    <w:p w14:paraId="29B9DF2A" w14:textId="13FFB698" w:rsidR="00CA49D7" w:rsidRDefault="00AD170B" w:rsidP="00B51EB2">
      <w:pPr>
        <w:pStyle w:val="Nivel3SM"/>
      </w:pPr>
      <w:r>
        <w:t>Aprobados por el Gobierno los objetivos de estabilidad presupuestaria y de deuda pública, el Ministerio de Hacienda distribuirá dichos objetivos entre las Comunidades Autónomas (art.</w:t>
      </w:r>
      <w:r w:rsidR="00DE273E">
        <w:t> </w:t>
      </w:r>
      <w:r>
        <w:t>16 LO 2/2012).</w:t>
      </w:r>
    </w:p>
    <w:p w14:paraId="0C8FE8E9" w14:textId="77777777" w:rsidR="000034E3" w:rsidRDefault="000034E3" w:rsidP="000034E3">
      <w:pPr>
        <w:pStyle w:val="Prrafodelista"/>
        <w:numPr>
          <w:ilvl w:val="0"/>
          <w:numId w:val="49"/>
        </w:numPr>
        <w:spacing w:after="100"/>
        <w:ind w:left="567" w:hanging="113"/>
      </w:pPr>
      <w:r w:rsidRPr="00AD170B">
        <w:t xml:space="preserve">Elaboración de </w:t>
      </w:r>
      <w:r>
        <w:rPr>
          <w:b/>
          <w:bCs/>
        </w:rPr>
        <w:t>estimaciones de</w:t>
      </w:r>
      <w:r w:rsidRPr="00B51EB2">
        <w:rPr>
          <w:b/>
          <w:bCs/>
        </w:rPr>
        <w:t xml:space="preserve"> ingresos</w:t>
      </w:r>
      <w:r w:rsidRPr="00B87600">
        <w:t xml:space="preserve"> y </w:t>
      </w:r>
      <w:r>
        <w:rPr>
          <w:b/>
          <w:bCs/>
        </w:rPr>
        <w:t xml:space="preserve">directrices de </w:t>
      </w:r>
      <w:r w:rsidRPr="00B51EB2">
        <w:rPr>
          <w:b/>
          <w:bCs/>
        </w:rPr>
        <w:t>gastos</w:t>
      </w:r>
      <w:r>
        <w:t xml:space="preserve"> por el </w:t>
      </w:r>
      <w:r w:rsidRPr="00B51EB2">
        <w:rPr>
          <w:i/>
          <w:iCs/>
        </w:rPr>
        <w:t>Ministerio de Hacienda</w:t>
      </w:r>
      <w:r>
        <w:t>.</w:t>
      </w:r>
    </w:p>
    <w:p w14:paraId="25BF7A32" w14:textId="17C35F9A" w:rsidR="00CA49D7" w:rsidRDefault="00AD170B" w:rsidP="00B51EB2">
      <w:pPr>
        <w:pStyle w:val="Prrafodelista"/>
        <w:numPr>
          <w:ilvl w:val="0"/>
          <w:numId w:val="49"/>
        </w:numPr>
        <w:spacing w:after="100"/>
        <w:ind w:left="567" w:hanging="113"/>
      </w:pPr>
      <w:r>
        <w:t xml:space="preserve">Atendiendo a dichas orientaciones, </w:t>
      </w:r>
      <w:r w:rsidRPr="00B51EB2">
        <w:rPr>
          <w:i/>
          <w:iCs/>
        </w:rPr>
        <w:t>cada Ministerio</w:t>
      </w:r>
      <w:r>
        <w:t xml:space="preserve"> prepara un </w:t>
      </w:r>
      <w:r w:rsidRPr="00B51EB2">
        <w:rPr>
          <w:b/>
          <w:bCs/>
        </w:rPr>
        <w:t>anteproyecto parcial para su presupuesto</w:t>
      </w:r>
      <w:r>
        <w:t xml:space="preserve"> y el de cada uno de los organismos adscritos al mismo. Para ello, cada Ministerio cuenta con una Comisión Presupuestaria.</w:t>
      </w:r>
    </w:p>
    <w:p w14:paraId="0670ED6C" w14:textId="57FA04B5" w:rsidR="00CA49D7" w:rsidRDefault="00AD170B" w:rsidP="00B51EB2">
      <w:pPr>
        <w:pStyle w:val="Prrafodelista"/>
        <w:numPr>
          <w:ilvl w:val="0"/>
          <w:numId w:val="49"/>
        </w:numPr>
        <w:spacing w:after="100"/>
        <w:ind w:left="567" w:hanging="113"/>
      </w:pPr>
      <w:r>
        <w:t xml:space="preserve">El Ministerio de Hacienda recibe los anteproyectos parciales y los ajusta para formar un </w:t>
      </w:r>
      <w:r w:rsidRPr="00B51EB2">
        <w:rPr>
          <w:b/>
          <w:bCs/>
        </w:rPr>
        <w:t>anteproyecto global</w:t>
      </w:r>
      <w:r>
        <w:t xml:space="preserve"> (</w:t>
      </w:r>
      <w:r w:rsidRPr="00B51EB2">
        <w:rPr>
          <w:i/>
          <w:iCs/>
        </w:rPr>
        <w:t>“anteproyecto de Ley de los Presupuestos Generales del Estado”</w:t>
      </w:r>
      <w:r>
        <w:t>), que presenta al Gobierno.</w:t>
      </w:r>
    </w:p>
    <w:p w14:paraId="44F29F58" w14:textId="421B3F7E" w:rsidR="00AD170B" w:rsidRDefault="00AD170B" w:rsidP="00B51EB2">
      <w:pPr>
        <w:pStyle w:val="Prrafodelista"/>
        <w:numPr>
          <w:ilvl w:val="0"/>
          <w:numId w:val="49"/>
        </w:numPr>
        <w:spacing w:after="100"/>
        <w:ind w:left="567" w:hanging="113"/>
      </w:pPr>
      <w:r>
        <w:t xml:space="preserve">El </w:t>
      </w:r>
      <w:r w:rsidRPr="00B51EB2">
        <w:rPr>
          <w:i/>
          <w:iCs/>
        </w:rPr>
        <w:t>Consejo de Ministros</w:t>
      </w:r>
      <w:r>
        <w:t xml:space="preserve"> lo </w:t>
      </w:r>
      <w:r w:rsidRPr="00B51EB2">
        <w:rPr>
          <w:b/>
          <w:bCs/>
        </w:rPr>
        <w:t>aprueba</w:t>
      </w:r>
      <w:r>
        <w:t xml:space="preserve">, y el </w:t>
      </w:r>
      <w:r w:rsidRPr="00B51EB2">
        <w:rPr>
          <w:i/>
          <w:iCs/>
        </w:rPr>
        <w:t>Gobierno</w:t>
      </w:r>
      <w:r>
        <w:t xml:space="preserve"> </w:t>
      </w:r>
      <w:r w:rsidRPr="00B51EB2">
        <w:rPr>
          <w:b/>
          <w:bCs/>
        </w:rPr>
        <w:t>remite el proyecto de Ley de los PGE a las Cortes Generales</w:t>
      </w:r>
      <w:r>
        <w:t xml:space="preserve"> antes del 1 de octubre.</w:t>
      </w:r>
    </w:p>
    <w:p w14:paraId="2AD7BDE6" w14:textId="41A025C0" w:rsidR="00AD170B" w:rsidRDefault="00AD170B" w:rsidP="00B51EB2">
      <w:pPr>
        <w:pStyle w:val="Prrafodelista"/>
        <w:keepNext/>
        <w:numPr>
          <w:ilvl w:val="0"/>
          <w:numId w:val="49"/>
        </w:numPr>
        <w:spacing w:after="0"/>
        <w:ind w:left="567" w:hanging="113"/>
      </w:pPr>
      <w:r w:rsidRPr="00AD170B">
        <w:t>Control previo</w:t>
      </w:r>
      <w:r>
        <w:t>:</w:t>
      </w:r>
    </w:p>
    <w:p w14:paraId="319CF812" w14:textId="77777777" w:rsidR="00AD170B" w:rsidRDefault="00AD170B" w:rsidP="00391F61">
      <w:pPr>
        <w:pStyle w:val="Nivel3SM"/>
        <w:keepNext/>
      </w:pPr>
      <w:r>
        <w:t xml:space="preserve">Hay que señalar que existe un </w:t>
      </w:r>
      <w:r w:rsidRPr="00B51EB2">
        <w:rPr>
          <w:b/>
          <w:bCs/>
        </w:rPr>
        <w:t>control previo del proyecto de PGE</w:t>
      </w:r>
      <w:r>
        <w:t xml:space="preserve"> por parte de la </w:t>
      </w:r>
      <w:r w:rsidRPr="00B51EB2">
        <w:rPr>
          <w:i/>
          <w:iCs/>
        </w:rPr>
        <w:t>Comisión Europea</w:t>
      </w:r>
      <w:r>
        <w:t>.</w:t>
      </w:r>
    </w:p>
    <w:p w14:paraId="6DE5AA5F" w14:textId="77777777" w:rsidR="00AD170B" w:rsidRPr="00B51EB2" w:rsidRDefault="00AD170B" w:rsidP="00391F61">
      <w:pPr>
        <w:pStyle w:val="Nivel4"/>
        <w:ind w:left="1474"/>
        <w:rPr>
          <w:spacing w:val="-2"/>
        </w:rPr>
      </w:pPr>
      <w:r w:rsidRPr="00B51EB2">
        <w:rPr>
          <w:spacing w:val="-2"/>
        </w:rPr>
        <w:t xml:space="preserve">En efecto, de nuevo en el marco del Semestre Europeo, los Estados miembros de la zona euro están obligados a remitir sus proyectos de presupuestos para el año siguiente el 15 de octubre como muy tarde. </w:t>
      </w:r>
      <w:r w:rsidRPr="00B51EB2">
        <w:rPr>
          <w:i/>
          <w:iCs/>
          <w:spacing w:val="-2"/>
        </w:rPr>
        <w:t>La Comisión los examinará y emitirá su opinión</w:t>
      </w:r>
      <w:r w:rsidRPr="00B51EB2">
        <w:rPr>
          <w:spacing w:val="-2"/>
        </w:rPr>
        <w:t>.</w:t>
      </w:r>
    </w:p>
    <w:p w14:paraId="28DE5170" w14:textId="37D50F3E" w:rsidR="00AD170B" w:rsidRDefault="00AD170B" w:rsidP="00B51EB2">
      <w:pPr>
        <w:pStyle w:val="Nivel3SM"/>
      </w:pPr>
      <w:r>
        <w:t xml:space="preserve">Además, la </w:t>
      </w:r>
      <w:r w:rsidRPr="00B51EB2">
        <w:rPr>
          <w:i/>
          <w:iCs/>
        </w:rPr>
        <w:t>AIReF</w:t>
      </w:r>
      <w:r>
        <w:t xml:space="preserve"> emitirá un </w:t>
      </w:r>
      <w:r w:rsidRPr="00B51EB2">
        <w:rPr>
          <w:b/>
          <w:bCs/>
        </w:rPr>
        <w:t>informe</w:t>
      </w:r>
      <w:r>
        <w:t xml:space="preserve"> antes del 15 de octubre valorando los objetivos de estabilidad presupuestaria y de deuda pública incorporados en el Proyecto de PGE (art. 17 LO 2/2012).</w:t>
      </w:r>
    </w:p>
    <w:p w14:paraId="0162AA32" w14:textId="38BEE934" w:rsidR="00435C91" w:rsidRDefault="00AD170B" w:rsidP="004426C9">
      <w:pPr>
        <w:pStyle w:val="Ttulo2"/>
      </w:pPr>
      <w:bookmarkStart w:id="11" w:name="_Toc150445778"/>
      <w:r w:rsidRPr="00AD170B">
        <w:t>Discusión y aprobación</w:t>
      </w:r>
      <w:bookmarkEnd w:id="11"/>
    </w:p>
    <w:p w14:paraId="32F480B0" w14:textId="13926E41" w:rsidR="00CA49D7" w:rsidRPr="00CA49D7" w:rsidRDefault="00AD170B" w:rsidP="003E3E09">
      <w:pPr>
        <w:pStyle w:val="Ttulo6"/>
        <w:spacing w:before="0"/>
      </w:pPr>
      <w:bookmarkStart w:id="12" w:name="_Toc150445779"/>
      <w:r w:rsidRPr="00CA49D7">
        <w:t>Plazo</w:t>
      </w:r>
      <w:bookmarkEnd w:id="12"/>
    </w:p>
    <w:p w14:paraId="4B1769FB" w14:textId="0F5B70C7" w:rsidR="00AD170B" w:rsidRDefault="00CA49D7" w:rsidP="00CC099B">
      <w:pPr>
        <w:pStyle w:val="Nivel2SM"/>
      </w:pPr>
      <w:r>
        <w:t>El plazo para la discusión y la aprobación es d</w:t>
      </w:r>
      <w:r w:rsidR="00AD170B">
        <w:t>e octubre a diciembre</w:t>
      </w:r>
      <w:r w:rsidR="0074014F">
        <w:t xml:space="preserve"> (3 meses)</w:t>
      </w:r>
      <w:r>
        <w:t>.</w:t>
      </w:r>
    </w:p>
    <w:p w14:paraId="0D3B97A4" w14:textId="4AA7C5F1" w:rsidR="00CA49D7" w:rsidRDefault="00AD170B" w:rsidP="00C150CD">
      <w:pPr>
        <w:pStyle w:val="Ttulo6"/>
      </w:pPr>
      <w:bookmarkStart w:id="13" w:name="_Toc150445780"/>
      <w:r w:rsidRPr="00CA49D7">
        <w:t>Competencia</w:t>
      </w:r>
      <w:bookmarkEnd w:id="13"/>
    </w:p>
    <w:p w14:paraId="0DD808B3" w14:textId="2700D108" w:rsidR="00AD170B" w:rsidRDefault="00AD170B" w:rsidP="00CC099B">
      <w:pPr>
        <w:pStyle w:val="Nivel2SM"/>
      </w:pPr>
      <w:r>
        <w:t>El poder legislativo (Congreso y Senado).</w:t>
      </w:r>
    </w:p>
    <w:p w14:paraId="290BD1E0" w14:textId="6FDF707B" w:rsidR="00CA49D7" w:rsidRPr="00CA49D7" w:rsidRDefault="00AD170B" w:rsidP="00C150CD">
      <w:pPr>
        <w:pStyle w:val="Ttulo6"/>
      </w:pPr>
      <w:bookmarkStart w:id="14" w:name="_Toc150445781"/>
      <w:r w:rsidRPr="00CA49D7">
        <w:lastRenderedPageBreak/>
        <w:t>Proceso</w:t>
      </w:r>
      <w:bookmarkEnd w:id="14"/>
    </w:p>
    <w:p w14:paraId="36B172E6" w14:textId="77777777" w:rsidR="003E3E09" w:rsidRPr="003E3E09" w:rsidRDefault="00CA49D7" w:rsidP="003E3E09">
      <w:pPr>
        <w:pStyle w:val="Prrafodelista"/>
        <w:numPr>
          <w:ilvl w:val="0"/>
          <w:numId w:val="50"/>
        </w:numPr>
        <w:spacing w:after="0"/>
        <w:ind w:left="567" w:hanging="113"/>
        <w:rPr>
          <w:u w:val="single"/>
        </w:rPr>
      </w:pPr>
      <w:r w:rsidRPr="003E3E09">
        <w:rPr>
          <w:i/>
          <w:iCs/>
          <w:u w:val="single"/>
        </w:rPr>
        <w:t>Envío de la documentación</w:t>
      </w:r>
      <w:r w:rsidR="00AD170B" w:rsidRPr="003E3E09">
        <w:rPr>
          <w:i/>
          <w:iCs/>
          <w:u w:val="single"/>
        </w:rPr>
        <w:t xml:space="preserve"> presupuestaria al Congreso</w:t>
      </w:r>
      <w:r w:rsidR="00AD170B">
        <w:t>.</w:t>
      </w:r>
    </w:p>
    <w:p w14:paraId="4E73EA35" w14:textId="77777777" w:rsidR="003E3E09" w:rsidRDefault="00AD170B" w:rsidP="003E3E09">
      <w:pPr>
        <w:pStyle w:val="Prrafodelista"/>
        <w:keepNext/>
        <w:numPr>
          <w:ilvl w:val="0"/>
          <w:numId w:val="50"/>
        </w:numPr>
        <w:spacing w:after="0"/>
        <w:ind w:left="567" w:hanging="113"/>
      </w:pPr>
      <w:r w:rsidRPr="003E3E09">
        <w:rPr>
          <w:i/>
          <w:iCs/>
          <w:u w:val="single"/>
        </w:rPr>
        <w:t>Discusión en el Congreso</w:t>
      </w:r>
      <w:r w:rsidRPr="003E3E09">
        <w:t xml:space="preserve">: Compuesto a su vez por </w:t>
      </w:r>
      <w:r w:rsidR="002B24F5" w:rsidRPr="003E3E09">
        <w:t>4 </w:t>
      </w:r>
      <w:r w:rsidRPr="003E3E09">
        <w:t>pasos</w:t>
      </w:r>
      <w:r w:rsidR="003E3E09">
        <w:t>:</w:t>
      </w:r>
    </w:p>
    <w:p w14:paraId="13F68AD4" w14:textId="52E26752" w:rsidR="003E3E09" w:rsidRDefault="00AD170B" w:rsidP="00DE755E">
      <w:pPr>
        <w:pStyle w:val="Prrafodelista"/>
        <w:numPr>
          <w:ilvl w:val="1"/>
          <w:numId w:val="50"/>
        </w:numPr>
        <w:spacing w:after="0"/>
        <w:ind w:left="1134" w:hanging="113"/>
      </w:pPr>
      <w:r>
        <w:t xml:space="preserve">La Mesa del Congreso abre un </w:t>
      </w:r>
      <w:r w:rsidRPr="003E3E09">
        <w:rPr>
          <w:i/>
          <w:iCs/>
        </w:rPr>
        <w:t>plazo de 15</w:t>
      </w:r>
      <w:r w:rsidR="008245D8">
        <w:rPr>
          <w:i/>
          <w:iCs/>
        </w:rPr>
        <w:t> </w:t>
      </w:r>
      <w:r w:rsidRPr="003E3E09">
        <w:rPr>
          <w:i/>
          <w:iCs/>
        </w:rPr>
        <w:t>días para presentar enmiendas</w:t>
      </w:r>
      <w:r>
        <w:t>, que pueden ser a la totalidad (i.e. se pide la devolución del presupuesto al Gobierno) o de articulado (se propone una modificación, adición o supresión de ciertas disposiciones).</w:t>
      </w:r>
    </w:p>
    <w:p w14:paraId="68AA2B6B" w14:textId="77777777" w:rsidR="003E3E09" w:rsidRDefault="00CA49D7" w:rsidP="003E3E09">
      <w:pPr>
        <w:pStyle w:val="Prrafodelista"/>
        <w:keepNext/>
        <w:numPr>
          <w:ilvl w:val="1"/>
          <w:numId w:val="50"/>
        </w:numPr>
        <w:spacing w:after="0"/>
        <w:ind w:left="1134" w:hanging="113"/>
      </w:pPr>
      <w:r w:rsidRPr="00503EE8">
        <w:t xml:space="preserve">Si </w:t>
      </w:r>
      <w:r w:rsidR="003E3E09">
        <w:t xml:space="preserve">hay </w:t>
      </w:r>
      <w:r w:rsidRPr="00503EE8">
        <w:t>enmiendas a la totalidad</w:t>
      </w:r>
      <w:r w:rsidR="003E3E09">
        <w:t>, se produce el primer</w:t>
      </w:r>
      <w:r w:rsidRPr="00503EE8">
        <w:t xml:space="preserve"> </w:t>
      </w:r>
      <w:r w:rsidR="003E3E09">
        <w:t>d</w:t>
      </w:r>
      <w:r w:rsidRPr="00503EE8">
        <w:t>ebate</w:t>
      </w:r>
      <w:r w:rsidR="003E3E09">
        <w:t xml:space="preserve"> en el pleno del Congreso.</w:t>
      </w:r>
    </w:p>
    <w:p w14:paraId="15DC26A2" w14:textId="18435FC4" w:rsidR="003E3E09" w:rsidRDefault="003E3E09" w:rsidP="003E3E09">
      <w:pPr>
        <w:pStyle w:val="Nivel4"/>
        <w:ind w:left="1474"/>
      </w:pPr>
      <w:r>
        <w:t>Si se aprueban las enmiendas a la totalidad, el texto se devuelve al Gobierno.</w:t>
      </w:r>
    </w:p>
    <w:p w14:paraId="02682FD6" w14:textId="0252DA49" w:rsidR="003E3E09" w:rsidRDefault="003E3E09" w:rsidP="003E3E09">
      <w:pPr>
        <w:pStyle w:val="Nivel4"/>
        <w:ind w:left="1474"/>
      </w:pPr>
      <w:r>
        <w:t>Si no se aprueban, el texto pasa a la Comisión de Presupuestos (si las enmiendas presentadas fuesen sólo de articulado se pasa directamente a esta fase)</w:t>
      </w:r>
      <w:r w:rsidR="00BE76C2">
        <w:t>.</w:t>
      </w:r>
    </w:p>
    <w:p w14:paraId="68DB52A5" w14:textId="5EDDFE7B" w:rsidR="00CA49D7" w:rsidRDefault="00AD170B" w:rsidP="00DE755E">
      <w:pPr>
        <w:pStyle w:val="Prrafodelista"/>
        <w:numPr>
          <w:ilvl w:val="1"/>
          <w:numId w:val="50"/>
        </w:numPr>
        <w:spacing w:after="0"/>
        <w:ind w:left="1134" w:hanging="113"/>
      </w:pPr>
      <w:r>
        <w:t xml:space="preserve">La Comisión de Presupuestos </w:t>
      </w:r>
      <w:r w:rsidRPr="003E3E09">
        <w:rPr>
          <w:i/>
          <w:iCs/>
        </w:rPr>
        <w:t>elabora un dictamen</w:t>
      </w:r>
      <w:r>
        <w:t>, en el que puede incorporar o no enmiendas. Las enmiendas no pueden aumentar el gasto total, de manera que los</w:t>
      </w:r>
      <w:r w:rsidR="00CA49D7">
        <w:t xml:space="preserve"> </w:t>
      </w:r>
      <w:r w:rsidR="00CA49D7" w:rsidRPr="00CA49D7">
        <w:t>aumentos en una partida tienen que ir seguidos de una disminución de la misma cuantía en la misma sección.</w:t>
      </w:r>
    </w:p>
    <w:p w14:paraId="68D3BC11" w14:textId="3E214024" w:rsidR="00DE755E" w:rsidRDefault="00DE755E" w:rsidP="00DE755E">
      <w:pPr>
        <w:pStyle w:val="Prrafodelista"/>
        <w:keepNext/>
        <w:numPr>
          <w:ilvl w:val="1"/>
          <w:numId w:val="50"/>
        </w:numPr>
        <w:spacing w:after="0"/>
        <w:ind w:left="1134" w:hanging="113"/>
      </w:pPr>
      <w:r>
        <w:t>El dictamen se discute en el pleno del Congreso, produciéndose una votación.</w:t>
      </w:r>
    </w:p>
    <w:p w14:paraId="3AE9C8D6" w14:textId="6016F122" w:rsidR="00DE755E" w:rsidRDefault="00DE755E" w:rsidP="00DE755E">
      <w:pPr>
        <w:pStyle w:val="Nivel4"/>
        <w:ind w:left="1474"/>
      </w:pPr>
      <w:r>
        <w:t>Si la votación es negativa, el texto se devuelve a la Comisión.</w:t>
      </w:r>
    </w:p>
    <w:p w14:paraId="4DB9F259" w14:textId="0F867551" w:rsidR="00DE755E" w:rsidRPr="00CA49D7" w:rsidRDefault="00DE755E" w:rsidP="00DE755E">
      <w:pPr>
        <w:pStyle w:val="Nivel4"/>
        <w:ind w:left="1474"/>
      </w:pPr>
      <w:r>
        <w:t>Si la votación es positiva, se envía al Senado.</w:t>
      </w:r>
    </w:p>
    <w:p w14:paraId="3712CCDC" w14:textId="23236F69" w:rsidR="002C5D43" w:rsidRPr="002C5D43" w:rsidRDefault="00CA49D7" w:rsidP="002C5D43">
      <w:pPr>
        <w:pStyle w:val="Prrafodelista"/>
        <w:keepNext/>
        <w:numPr>
          <w:ilvl w:val="0"/>
          <w:numId w:val="50"/>
        </w:numPr>
        <w:spacing w:after="0"/>
        <w:ind w:left="567" w:hanging="113"/>
        <w:rPr>
          <w:i/>
          <w:iCs/>
          <w:u w:val="single"/>
        </w:rPr>
      </w:pPr>
      <w:r w:rsidRPr="003E3E09">
        <w:rPr>
          <w:i/>
          <w:iCs/>
          <w:u w:val="single"/>
        </w:rPr>
        <w:t xml:space="preserve">Discusión </w:t>
      </w:r>
      <w:r w:rsidR="008245D8">
        <w:rPr>
          <w:i/>
          <w:iCs/>
          <w:u w:val="single"/>
        </w:rPr>
        <w:t>en el S</w:t>
      </w:r>
      <w:r w:rsidRPr="003E3E09">
        <w:rPr>
          <w:i/>
          <w:iCs/>
          <w:u w:val="single"/>
        </w:rPr>
        <w:t>enado</w:t>
      </w:r>
      <w:r w:rsidR="003E3E09">
        <w:t>:</w:t>
      </w:r>
    </w:p>
    <w:p w14:paraId="65BE4944" w14:textId="6BFEBF66" w:rsidR="002C5D43" w:rsidRPr="002C5D43" w:rsidRDefault="00CA49D7" w:rsidP="002C5D43">
      <w:pPr>
        <w:pStyle w:val="Prrafodelista"/>
        <w:numPr>
          <w:ilvl w:val="1"/>
          <w:numId w:val="50"/>
        </w:numPr>
        <w:spacing w:after="0"/>
        <w:ind w:left="1134" w:hanging="113"/>
        <w:rPr>
          <w:u w:val="single"/>
        </w:rPr>
      </w:pPr>
      <w:r w:rsidRPr="00CA49D7">
        <w:t xml:space="preserve">La Mesa del Senado abre un </w:t>
      </w:r>
      <w:r w:rsidRPr="002C5D43">
        <w:rPr>
          <w:i/>
          <w:iCs/>
        </w:rPr>
        <w:t>plazo de 4</w:t>
      </w:r>
      <w:r w:rsidR="002C5D43">
        <w:rPr>
          <w:i/>
          <w:iCs/>
        </w:rPr>
        <w:t> </w:t>
      </w:r>
      <w:r w:rsidRPr="002C5D43">
        <w:rPr>
          <w:i/>
          <w:iCs/>
        </w:rPr>
        <w:t>días para presentar enmiendas</w:t>
      </w:r>
      <w:r w:rsidRPr="00CA49D7">
        <w:t>.</w:t>
      </w:r>
    </w:p>
    <w:p w14:paraId="7E9782BD" w14:textId="77777777" w:rsidR="002C5D43" w:rsidRPr="002C5D43" w:rsidRDefault="00CA49D7" w:rsidP="002C5D43">
      <w:pPr>
        <w:pStyle w:val="Prrafodelista"/>
        <w:numPr>
          <w:ilvl w:val="1"/>
          <w:numId w:val="50"/>
        </w:numPr>
        <w:spacing w:after="0"/>
        <w:ind w:left="1134" w:hanging="113"/>
        <w:rPr>
          <w:u w:val="single"/>
        </w:rPr>
      </w:pPr>
      <w:r w:rsidRPr="00CA49D7">
        <w:t xml:space="preserve">Éstas se envían a la </w:t>
      </w:r>
      <w:r w:rsidRPr="002C5D43">
        <w:rPr>
          <w:i/>
          <w:iCs/>
        </w:rPr>
        <w:t>Comisión de Presupuestos, que elabora un nuevo dictamen</w:t>
      </w:r>
      <w:r w:rsidRPr="00CA49D7">
        <w:t>.</w:t>
      </w:r>
    </w:p>
    <w:p w14:paraId="325B1DCD" w14:textId="6795F2FB" w:rsidR="00CA49D7" w:rsidRPr="002C5D43" w:rsidRDefault="00CA49D7" w:rsidP="002C5D43">
      <w:pPr>
        <w:pStyle w:val="Prrafodelista"/>
        <w:keepNext/>
        <w:numPr>
          <w:ilvl w:val="1"/>
          <w:numId w:val="50"/>
        </w:numPr>
        <w:spacing w:after="0"/>
        <w:ind w:left="1134" w:hanging="113"/>
        <w:rPr>
          <w:i/>
          <w:iCs/>
          <w:u w:val="single"/>
        </w:rPr>
      </w:pPr>
      <w:r w:rsidRPr="00CA49D7">
        <w:t>El dictamen se discute en el pleno del Senado, donde puede:</w:t>
      </w:r>
    </w:p>
    <w:p w14:paraId="6C93074E" w14:textId="7EEB17F8" w:rsidR="00CA49D7" w:rsidRPr="00CA49D7" w:rsidRDefault="00CA49D7" w:rsidP="00FD71D5">
      <w:pPr>
        <w:pStyle w:val="Nivel4"/>
        <w:ind w:left="1474"/>
      </w:pPr>
      <w:r w:rsidRPr="00CA49D7">
        <w:t xml:space="preserve">Aprobar </w:t>
      </w:r>
      <w:r w:rsidR="00F017B4">
        <w:t xml:space="preserve">sin </w:t>
      </w:r>
      <w:r w:rsidRPr="00CA49D7">
        <w:t>modificaciones el texto enviado por el Congreso.</w:t>
      </w:r>
    </w:p>
    <w:p w14:paraId="5F8C2043" w14:textId="77777777" w:rsidR="00CA49D7" w:rsidRPr="00CA49D7" w:rsidRDefault="00CA49D7" w:rsidP="00FD71D5">
      <w:pPr>
        <w:pStyle w:val="Nivel4"/>
        <w:ind w:left="1474"/>
      </w:pPr>
      <w:r w:rsidRPr="00CA49D7">
        <w:t>Aprobarse con enmiendas parciales, en cuyo caso se pasa el texto modificado al Congreso, que puede aprobar o rechazar las modificaciones con mayoría simple.</w:t>
      </w:r>
    </w:p>
    <w:p w14:paraId="34BE7DE5" w14:textId="7E3CA861" w:rsidR="00CA49D7" w:rsidRDefault="00CA49D7" w:rsidP="00FD71D5">
      <w:pPr>
        <w:pStyle w:val="Nivel4"/>
        <w:ind w:left="1474"/>
      </w:pPr>
      <w:r w:rsidRPr="00CA49D7">
        <w:t>Rechazarse, en cuyo caso se pasa el texto al Congreso, que puede levantar el veto con mayoría absoluta inmediatamente o con mayoría simple al cabo de 2</w:t>
      </w:r>
      <w:r w:rsidR="005B7AE1">
        <w:t> </w:t>
      </w:r>
      <w:r w:rsidRPr="00CA49D7">
        <w:t>meses. Si no lo logra entonces, el texto se devuelve al Gobierno. Si los presupuestos no se aprueban a tiempo, se prorrogarán de forma automática los del año anterior</w:t>
      </w:r>
      <w:r w:rsidR="00F017B4" w:rsidRPr="00C827A2">
        <w:rPr>
          <w:rFonts w:eastAsia="Times" w:cs="Times New Roman"/>
          <w:vertAlign w:val="superscript"/>
        </w:rPr>
        <w:footnoteReference w:id="9"/>
      </w:r>
      <w:r w:rsidRPr="00CA49D7">
        <w:t>.</w:t>
      </w:r>
    </w:p>
    <w:p w14:paraId="4A9F8640" w14:textId="34746017" w:rsidR="00CA49D7" w:rsidRDefault="00CA49D7" w:rsidP="004426C9">
      <w:pPr>
        <w:pStyle w:val="Ttulo2"/>
      </w:pPr>
      <w:bookmarkStart w:id="15" w:name="_Toc150445782"/>
      <w:r w:rsidRPr="00CA49D7">
        <w:t>Ejecución</w:t>
      </w:r>
      <w:bookmarkEnd w:id="15"/>
    </w:p>
    <w:p w14:paraId="139A7518" w14:textId="173C1D89" w:rsidR="0074014F" w:rsidRPr="0074014F" w:rsidRDefault="0074014F" w:rsidP="0074014F">
      <w:pPr>
        <w:pStyle w:val="Nivel1SM"/>
        <w:keepNext/>
        <w:spacing w:before="0" w:after="0"/>
      </w:pPr>
      <w:r w:rsidRPr="00C827A2">
        <w:rPr>
          <w:rFonts w:eastAsia="Times" w:cs="Times New Roman"/>
        </w:rPr>
        <w:t>Consiste en la realización efectiva del contenido del presupuesto durante su periodo de vigencia</w:t>
      </w:r>
      <w:r>
        <w:rPr>
          <w:rFonts w:eastAsia="Times" w:cs="Times New Roman"/>
        </w:rPr>
        <w:t>.</w:t>
      </w:r>
    </w:p>
    <w:p w14:paraId="1E7C0369" w14:textId="3D83D81F" w:rsidR="00CA49D7" w:rsidRPr="00CA49D7" w:rsidRDefault="00CA49D7" w:rsidP="003E3E09">
      <w:pPr>
        <w:pStyle w:val="Ttulo6"/>
        <w:spacing w:before="0"/>
      </w:pPr>
      <w:bookmarkStart w:id="16" w:name="_Toc150445783"/>
      <w:r w:rsidRPr="00CA49D7">
        <w:t>Plazo</w:t>
      </w:r>
      <w:bookmarkEnd w:id="16"/>
    </w:p>
    <w:p w14:paraId="676B94BA" w14:textId="1D896E81" w:rsidR="00CA49D7" w:rsidRDefault="00CA49D7" w:rsidP="00CC099B">
      <w:pPr>
        <w:pStyle w:val="Nivel2SM"/>
      </w:pPr>
      <w:r w:rsidRPr="00CA49D7">
        <w:t>12</w:t>
      </w:r>
      <w:r w:rsidR="00F017B4">
        <w:t> </w:t>
      </w:r>
      <w:r w:rsidRPr="00CA49D7">
        <w:t>meses (el año natural).</w:t>
      </w:r>
    </w:p>
    <w:p w14:paraId="1074F2AE" w14:textId="2FE4A624" w:rsidR="00CA49D7" w:rsidRPr="00C150CD" w:rsidRDefault="00CA49D7" w:rsidP="00C150CD">
      <w:pPr>
        <w:pStyle w:val="Ttulo6"/>
      </w:pPr>
      <w:bookmarkStart w:id="17" w:name="_Toc150445784"/>
      <w:r w:rsidRPr="00CA49D7">
        <w:t>Competencia</w:t>
      </w:r>
      <w:bookmarkEnd w:id="17"/>
    </w:p>
    <w:p w14:paraId="0D47BD25" w14:textId="6F159D2A" w:rsidR="00CA49D7" w:rsidRDefault="00CA49D7" w:rsidP="00CC099B">
      <w:pPr>
        <w:pStyle w:val="Nivel2SM"/>
      </w:pPr>
      <w:r>
        <w:t>Poder ejecutivo (Gobierno).</w:t>
      </w:r>
    </w:p>
    <w:p w14:paraId="0B208839" w14:textId="2B3B59A2" w:rsidR="00CA49D7" w:rsidRPr="00CA49D7" w:rsidRDefault="00CA49D7" w:rsidP="00C150CD">
      <w:pPr>
        <w:pStyle w:val="Ttulo6"/>
      </w:pPr>
      <w:bookmarkStart w:id="18" w:name="_Toc150445785"/>
      <w:r w:rsidRPr="00CA49D7">
        <w:t>Proceso</w:t>
      </w:r>
      <w:bookmarkEnd w:id="18"/>
    </w:p>
    <w:p w14:paraId="467A21B5" w14:textId="5EF3BA41" w:rsidR="00B83335" w:rsidRDefault="00B83335" w:rsidP="00503EE8">
      <w:pPr>
        <w:pStyle w:val="Nivel2SM"/>
        <w:keepNext/>
        <w:spacing w:after="0"/>
      </w:pPr>
      <w:r>
        <w:t>Cada operación de gasto debe seguir un proceso similar</w:t>
      </w:r>
      <w:r w:rsidR="00B175F1">
        <w:rPr>
          <w:rStyle w:val="Refdenotaalpie"/>
        </w:rPr>
        <w:footnoteReference w:id="10"/>
      </w:r>
      <w:r>
        <w:t>:</w:t>
      </w:r>
    </w:p>
    <w:p w14:paraId="529CF4FD" w14:textId="5C632C3E" w:rsidR="00CA49D7" w:rsidRDefault="00CA49D7" w:rsidP="00B83335">
      <w:pPr>
        <w:pStyle w:val="Prrafodelista"/>
        <w:numPr>
          <w:ilvl w:val="0"/>
          <w:numId w:val="52"/>
        </w:numPr>
        <w:spacing w:after="0"/>
        <w:ind w:left="1134" w:hanging="113"/>
      </w:pPr>
      <w:r w:rsidRPr="00B83335">
        <w:rPr>
          <w:i/>
          <w:iCs/>
          <w:u w:val="single"/>
        </w:rPr>
        <w:t>Autorización de gasto</w:t>
      </w:r>
      <w:r>
        <w:t>:</w:t>
      </w:r>
      <w:r w:rsidR="00B83335">
        <w:t xml:space="preserve"> </w:t>
      </w:r>
      <w:r w:rsidRPr="00CA49D7">
        <w:t>El Jefe del Departamento autoriza la realización de una determinada actividad y, por lo tanto, los gastos que ésta conlleva.</w:t>
      </w:r>
    </w:p>
    <w:p w14:paraId="256258AE" w14:textId="1193DD20" w:rsidR="00CA49D7" w:rsidRPr="00CA49D7" w:rsidRDefault="00CA49D7" w:rsidP="00B83335">
      <w:pPr>
        <w:pStyle w:val="Prrafodelista"/>
        <w:numPr>
          <w:ilvl w:val="0"/>
          <w:numId w:val="52"/>
        </w:numPr>
        <w:spacing w:after="0"/>
        <w:ind w:left="1134" w:hanging="113"/>
      </w:pPr>
      <w:r w:rsidRPr="00B83335">
        <w:rPr>
          <w:i/>
          <w:iCs/>
          <w:u w:val="single"/>
        </w:rPr>
        <w:lastRenderedPageBreak/>
        <w:t>Compromiso frente a terceros</w:t>
      </w:r>
      <w:r w:rsidR="00B83335">
        <w:t xml:space="preserve">: </w:t>
      </w:r>
      <w:r w:rsidRPr="00CA49D7">
        <w:t>Es el acto por el cual se acuerda formalmente la realización de la actividad y se compromete dicho gasto.</w:t>
      </w:r>
    </w:p>
    <w:p w14:paraId="6AAB3E43" w14:textId="51F608CE" w:rsidR="00CA49D7" w:rsidRPr="00CA49D7" w:rsidRDefault="00CA49D7" w:rsidP="00B83335">
      <w:pPr>
        <w:pStyle w:val="Prrafodelista"/>
        <w:numPr>
          <w:ilvl w:val="0"/>
          <w:numId w:val="52"/>
        </w:numPr>
        <w:spacing w:after="0"/>
        <w:ind w:left="1134" w:hanging="113"/>
      </w:pPr>
      <w:r w:rsidRPr="00B83335">
        <w:rPr>
          <w:i/>
          <w:iCs/>
          <w:u w:val="single"/>
        </w:rPr>
        <w:t>Reconocimiento de la obligación</w:t>
      </w:r>
      <w:r w:rsidR="00B83335">
        <w:t xml:space="preserve">: </w:t>
      </w:r>
      <w:r w:rsidRPr="00CA49D7">
        <w:t>La operación se registra contablemente como crédito exigible al Estado.</w:t>
      </w:r>
    </w:p>
    <w:p w14:paraId="06DD99E7" w14:textId="18816501" w:rsidR="00CA49D7" w:rsidRPr="00CA49D7" w:rsidRDefault="00CA49D7" w:rsidP="00B83335">
      <w:pPr>
        <w:pStyle w:val="Prrafodelista"/>
        <w:numPr>
          <w:ilvl w:val="0"/>
          <w:numId w:val="52"/>
        </w:numPr>
        <w:spacing w:after="0"/>
        <w:ind w:left="1134" w:hanging="113"/>
      </w:pPr>
      <w:r w:rsidRPr="00B83335">
        <w:rPr>
          <w:i/>
          <w:iCs/>
          <w:u w:val="single"/>
        </w:rPr>
        <w:t>Orden de pago</w:t>
      </w:r>
      <w:r w:rsidR="00B83335">
        <w:t xml:space="preserve">: </w:t>
      </w:r>
      <w:r w:rsidRPr="00CA49D7">
        <w:t>Se tramita la orden de liquidar un crédito exigible.</w:t>
      </w:r>
    </w:p>
    <w:p w14:paraId="44D76295" w14:textId="5DEEB693" w:rsidR="00CA49D7" w:rsidRPr="00CA49D7" w:rsidRDefault="00CA49D7" w:rsidP="00B83335">
      <w:pPr>
        <w:pStyle w:val="Prrafodelista"/>
        <w:numPr>
          <w:ilvl w:val="0"/>
          <w:numId w:val="52"/>
        </w:numPr>
        <w:spacing w:after="0"/>
        <w:ind w:left="1134" w:hanging="113"/>
      </w:pPr>
      <w:r w:rsidRPr="00B83335">
        <w:rPr>
          <w:i/>
          <w:iCs/>
          <w:u w:val="single"/>
        </w:rPr>
        <w:t>Realización material del pago</w:t>
      </w:r>
      <w:r w:rsidR="00B83335">
        <w:t>:</w:t>
      </w:r>
      <w:r w:rsidRPr="00CA49D7">
        <w:t xml:space="preserve"> El Tesoro paga mediante transferencia o cheque que se carga a su cuenta en el Banco de España.</w:t>
      </w:r>
    </w:p>
    <w:p w14:paraId="55516694" w14:textId="28AA060F" w:rsidR="00CA49D7" w:rsidRPr="00C150CD" w:rsidRDefault="00CA49D7" w:rsidP="00B83335">
      <w:pPr>
        <w:pStyle w:val="Prrafodelista"/>
        <w:numPr>
          <w:ilvl w:val="0"/>
          <w:numId w:val="52"/>
        </w:numPr>
        <w:spacing w:after="0"/>
        <w:ind w:left="1134" w:hanging="113"/>
      </w:pPr>
      <w:r w:rsidRPr="00B83335">
        <w:rPr>
          <w:i/>
          <w:iCs/>
          <w:u w:val="single"/>
        </w:rPr>
        <w:t>Envío de la documentación</w:t>
      </w:r>
      <w:r w:rsidR="00B83335">
        <w:t xml:space="preserve">: </w:t>
      </w:r>
      <w:r w:rsidRPr="00CA49D7">
        <w:t>Envío de la documentación presupuestaria al Congreso.</w:t>
      </w:r>
    </w:p>
    <w:p w14:paraId="5A779D76" w14:textId="139B1EBF" w:rsidR="00CA49D7" w:rsidRPr="00C150CD" w:rsidRDefault="00CA49D7" w:rsidP="00C150CD">
      <w:pPr>
        <w:pStyle w:val="Ttulo6"/>
      </w:pPr>
      <w:bookmarkStart w:id="19" w:name="_Toc150445786"/>
      <w:r w:rsidRPr="00CA49D7">
        <w:t>Excepciones al principio de la especialidad</w:t>
      </w:r>
      <w:bookmarkEnd w:id="19"/>
    </w:p>
    <w:p w14:paraId="39E09574" w14:textId="77777777" w:rsidR="00CA49D7" w:rsidRDefault="00CA49D7" w:rsidP="00CC099B">
      <w:pPr>
        <w:pStyle w:val="Nivel2SM"/>
        <w:keepNext/>
        <w:spacing w:after="0"/>
      </w:pPr>
      <w:r>
        <w:t>Durante la fase de ejecución, el Gobierno podrá recurrir a ciertos procedimientos para realizar modificaciones al principio de especialidad en sus diferentes versiones: temporal, cualitativa, y cuantitativa.</w:t>
      </w:r>
    </w:p>
    <w:p w14:paraId="77D257F5" w14:textId="47FDCF0D" w:rsidR="00CA49D7" w:rsidRDefault="00CA49D7" w:rsidP="00503EE8">
      <w:pPr>
        <w:pStyle w:val="Nivel3SM"/>
        <w:keepNext/>
      </w:pPr>
      <w:r w:rsidRPr="00BC7037">
        <w:rPr>
          <w:i/>
          <w:iCs/>
          <w:u w:val="single"/>
        </w:rPr>
        <w:t>Modificaciones del principio de especialidad temporal</w:t>
      </w:r>
      <w:r>
        <w:t>:</w:t>
      </w:r>
    </w:p>
    <w:p w14:paraId="4FE73433" w14:textId="77777777" w:rsidR="00BC7037" w:rsidRDefault="00CA49D7" w:rsidP="00BC7037">
      <w:pPr>
        <w:pStyle w:val="Nivel4"/>
        <w:keepNext/>
        <w:ind w:left="1474"/>
      </w:pPr>
      <w:r w:rsidRPr="00BC7037">
        <w:rPr>
          <w:i/>
          <w:iCs/>
        </w:rPr>
        <w:t>Incorporaciones de crédito</w:t>
      </w:r>
      <w:r w:rsidR="00BC7037">
        <w:t>:</w:t>
      </w:r>
    </w:p>
    <w:p w14:paraId="5B854385" w14:textId="6E3A5BF8" w:rsidR="00CA49D7" w:rsidRDefault="00CA49D7" w:rsidP="00BC7037">
      <w:pPr>
        <w:pStyle w:val="Nivel5"/>
        <w:ind w:left="1871"/>
      </w:pPr>
      <w:r>
        <w:t>En general, los gastos no realizados al final de un ejercicio son eliminados. No obstante, se permite el trasvase de créditos a los PGE del período siguiente (es lo que se denominan “incorporaciones de crédito”).</w:t>
      </w:r>
    </w:p>
    <w:p w14:paraId="227C265A" w14:textId="77777777" w:rsidR="00CA49D7" w:rsidRDefault="00CA49D7" w:rsidP="00BC7037">
      <w:pPr>
        <w:pStyle w:val="Nivel5"/>
        <w:ind w:left="1871"/>
      </w:pPr>
      <w:r>
        <w:t>Competencia: en algunos casos corresponde al titular del Departamento y, en otros, al Ministerio de Hacienda.</w:t>
      </w:r>
    </w:p>
    <w:p w14:paraId="0FD806CB" w14:textId="714EFD00" w:rsidR="00CA49D7" w:rsidRDefault="00CA49D7" w:rsidP="00503EE8">
      <w:pPr>
        <w:pStyle w:val="Nivel3SM"/>
        <w:keepNext/>
      </w:pPr>
      <w:r w:rsidRPr="00BC7037">
        <w:rPr>
          <w:i/>
          <w:iCs/>
          <w:u w:val="single"/>
        </w:rPr>
        <w:t>Modificaciones del principio de especialidad cualitativa</w:t>
      </w:r>
      <w:r>
        <w:t>:</w:t>
      </w:r>
    </w:p>
    <w:p w14:paraId="3A313024" w14:textId="77777777" w:rsidR="00BC7037" w:rsidRDefault="00CA49D7" w:rsidP="00BC7037">
      <w:pPr>
        <w:pStyle w:val="Nivel4"/>
        <w:keepNext/>
        <w:ind w:left="1474"/>
      </w:pPr>
      <w:r w:rsidRPr="00BC7037">
        <w:rPr>
          <w:i/>
          <w:iCs/>
        </w:rPr>
        <w:t>Transferencias de crédito</w:t>
      </w:r>
      <w:r w:rsidR="00BC7037">
        <w:t>:</w:t>
      </w:r>
    </w:p>
    <w:p w14:paraId="6D8940C8" w14:textId="3AC888B4" w:rsidR="00CA49D7" w:rsidRDefault="00CA49D7" w:rsidP="00BC7037">
      <w:pPr>
        <w:pStyle w:val="Nivel5"/>
        <w:ind w:left="1871"/>
      </w:pPr>
      <w:r>
        <w:t>Las transferencias de crédito consisten en el trasvase de créditos de una partida a otra.</w:t>
      </w:r>
    </w:p>
    <w:p w14:paraId="45872AD9" w14:textId="77777777" w:rsidR="00CA49D7" w:rsidRDefault="00CA49D7" w:rsidP="00BC7037">
      <w:pPr>
        <w:pStyle w:val="Nivel5"/>
        <w:ind w:left="1871"/>
      </w:pPr>
      <w:r>
        <w:t>Competencia: Ministerio de Hacienda (salvo que se trate de una transferencia de crédito entre programas con diferentes funciones de diferentes Departamentos).</w:t>
      </w:r>
    </w:p>
    <w:p w14:paraId="6CAF440D" w14:textId="169BD44F" w:rsidR="00CA49D7" w:rsidRDefault="00CA49D7" w:rsidP="00BC7037">
      <w:pPr>
        <w:pStyle w:val="Nivel3SM"/>
        <w:keepNext/>
      </w:pPr>
      <w:r w:rsidRPr="00BC7037">
        <w:rPr>
          <w:i/>
          <w:iCs/>
          <w:u w:val="single"/>
        </w:rPr>
        <w:t>Modificaciones del principio de especialidad cuantitativa</w:t>
      </w:r>
      <w:r>
        <w:t>:</w:t>
      </w:r>
      <w:r w:rsidR="00BC7037">
        <w:t xml:space="preserve"> </w:t>
      </w:r>
      <w:r w:rsidRPr="00BC7037">
        <w:t>Créditos extraordinarios</w:t>
      </w:r>
      <w:r>
        <w:t>, suplementos de crédito, ampliaciones de crédito, y generaciones de crédito. Estas modificaciones implican un aumento de los gastos (que se harán a cargo del Fondo de Contingencia).</w:t>
      </w:r>
    </w:p>
    <w:p w14:paraId="1AD2A222" w14:textId="5A325CEF" w:rsidR="00061555" w:rsidRDefault="00CA49D7" w:rsidP="00503EE8">
      <w:pPr>
        <w:pStyle w:val="Nivel4"/>
        <w:keepNext/>
        <w:ind w:left="1474"/>
      </w:pPr>
      <w:r w:rsidRPr="00BC7037">
        <w:rPr>
          <w:i/>
          <w:iCs/>
        </w:rPr>
        <w:t>Créditos extraordinarios</w:t>
      </w:r>
      <w:r>
        <w:t>:</w:t>
      </w:r>
    </w:p>
    <w:p w14:paraId="1DA2AC20" w14:textId="77777777" w:rsidR="00CA49D7" w:rsidRDefault="00061555" w:rsidP="00503EE8">
      <w:pPr>
        <w:pStyle w:val="Nivel5"/>
        <w:ind w:left="1871"/>
      </w:pPr>
      <w:r>
        <w:t>C</w:t>
      </w:r>
      <w:r w:rsidR="00CA49D7">
        <w:t>uando no se anticipó el gasto.</w:t>
      </w:r>
    </w:p>
    <w:p w14:paraId="6B1F7419" w14:textId="77777777" w:rsidR="00EF75C0" w:rsidRDefault="00EF75C0" w:rsidP="00EF75C0">
      <w:pPr>
        <w:pStyle w:val="Nivel5"/>
        <w:ind w:left="1871"/>
      </w:pPr>
      <w:r>
        <w:t>Competencia de aprobación: Deben ser primero aprobados por el Ministerio de Hacienda y, después, por las Cortes.</w:t>
      </w:r>
    </w:p>
    <w:p w14:paraId="04B1FCD4" w14:textId="4D1C1424" w:rsidR="00061555" w:rsidRDefault="00CA49D7" w:rsidP="00503EE8">
      <w:pPr>
        <w:pStyle w:val="Nivel4"/>
        <w:keepNext/>
        <w:ind w:left="1474"/>
      </w:pPr>
      <w:r w:rsidRPr="00BC7037">
        <w:rPr>
          <w:i/>
          <w:iCs/>
        </w:rPr>
        <w:t>Suplementos de créditos</w:t>
      </w:r>
      <w:r>
        <w:t>:</w:t>
      </w:r>
    </w:p>
    <w:p w14:paraId="3B3D0325" w14:textId="77777777" w:rsidR="00CA49D7" w:rsidRDefault="00061555" w:rsidP="00503EE8">
      <w:pPr>
        <w:pStyle w:val="Nivel5"/>
        <w:ind w:left="1871"/>
      </w:pPr>
      <w:r>
        <w:t>C</w:t>
      </w:r>
      <w:r w:rsidR="00CA49D7">
        <w:t>uando se anticipó un gasto, pero las previsiones sobre su nivel fueron inexactas.</w:t>
      </w:r>
    </w:p>
    <w:p w14:paraId="2EAE69C6" w14:textId="55379E8E" w:rsidR="00CA49D7" w:rsidRDefault="00CA49D7" w:rsidP="00503EE8">
      <w:pPr>
        <w:pStyle w:val="Nivel5"/>
        <w:ind w:left="1871"/>
      </w:pPr>
      <w:r>
        <w:t xml:space="preserve">Competencia de aprobación: </w:t>
      </w:r>
      <w:r w:rsidR="00EF75C0">
        <w:t>D</w:t>
      </w:r>
      <w:r>
        <w:t>eben ser primero aprobados por el Ministerio de Hacienda y, después, por las Cortes.</w:t>
      </w:r>
    </w:p>
    <w:p w14:paraId="741CA7C5" w14:textId="2EA2CB99" w:rsidR="00061555" w:rsidRDefault="00CA49D7" w:rsidP="00503EE8">
      <w:pPr>
        <w:pStyle w:val="Nivel4"/>
        <w:keepNext/>
        <w:ind w:left="1474"/>
      </w:pPr>
      <w:r w:rsidRPr="00BC7037">
        <w:rPr>
          <w:i/>
          <w:iCs/>
        </w:rPr>
        <w:t>Ampliaciones de crédito</w:t>
      </w:r>
      <w:r>
        <w:t>:</w:t>
      </w:r>
    </w:p>
    <w:p w14:paraId="0A5D1E6A" w14:textId="162E771C" w:rsidR="00CA49D7" w:rsidRDefault="00061555" w:rsidP="00503EE8">
      <w:pPr>
        <w:pStyle w:val="Nivel5"/>
        <w:ind w:left="1871"/>
      </w:pPr>
      <w:r>
        <w:t>C</w:t>
      </w:r>
      <w:r w:rsidR="00CA49D7">
        <w:t>uando no se puede determinar a priori con exactitud el importe de una partida (p.ej. cuotas de la Seguridad Social).</w:t>
      </w:r>
      <w:r w:rsidR="00BC7037" w:rsidRPr="00BC7037">
        <w:t xml:space="preserve"> </w:t>
      </w:r>
      <w:r w:rsidR="00BC7037">
        <w:t>Las ampliaciones de crédito son muy utilizadas, pues evitan el proceso legislativo al que deben someterse los créditos extraordinarios y los suplementos de crédito.</w:t>
      </w:r>
    </w:p>
    <w:p w14:paraId="31648713" w14:textId="77777777" w:rsidR="00CA49D7" w:rsidRDefault="00CA49D7" w:rsidP="00503EE8">
      <w:pPr>
        <w:pStyle w:val="Nivel5"/>
        <w:ind w:left="1871"/>
      </w:pPr>
      <w:r>
        <w:t>Competencia de aprobación: Ministerio de Hacienda.</w:t>
      </w:r>
    </w:p>
    <w:p w14:paraId="7AFC298C" w14:textId="68E1AC83" w:rsidR="00061555" w:rsidRDefault="00CA49D7" w:rsidP="00503EE8">
      <w:pPr>
        <w:pStyle w:val="Nivel4"/>
        <w:keepNext/>
        <w:ind w:left="1474"/>
      </w:pPr>
      <w:r w:rsidRPr="00BC7037">
        <w:rPr>
          <w:i/>
          <w:iCs/>
        </w:rPr>
        <w:t>Generaciones de crédito</w:t>
      </w:r>
      <w:r>
        <w:t>:</w:t>
      </w:r>
    </w:p>
    <w:p w14:paraId="53BF4DFD" w14:textId="206561AF" w:rsidR="00CA49D7" w:rsidRPr="00C150CD" w:rsidRDefault="00061555" w:rsidP="00503EE8">
      <w:pPr>
        <w:pStyle w:val="Nivel5"/>
        <w:ind w:left="1871"/>
      </w:pPr>
      <w:r>
        <w:t>C</w:t>
      </w:r>
      <w:r w:rsidR="00CA49D7">
        <w:t>uando se incrementa la dotación de un crédito como consecuencia de ingresos no habituales.</w:t>
      </w:r>
    </w:p>
    <w:p w14:paraId="015D0B81" w14:textId="03EB5DE0" w:rsidR="0074014F" w:rsidRDefault="003F3AB8" w:rsidP="004426C9">
      <w:pPr>
        <w:pStyle w:val="Ttulo2"/>
      </w:pPr>
      <w:bookmarkStart w:id="20" w:name="_Toc150445787"/>
      <w:r w:rsidRPr="00CA49D7">
        <w:lastRenderedPageBreak/>
        <w:t>Control</w:t>
      </w:r>
      <w:bookmarkEnd w:id="20"/>
    </w:p>
    <w:p w14:paraId="2DBD387A" w14:textId="5BCF409A" w:rsidR="0074014F" w:rsidRPr="0074014F" w:rsidRDefault="0074014F" w:rsidP="0074014F">
      <w:pPr>
        <w:pStyle w:val="Nivel1SM"/>
        <w:keepNext/>
        <w:spacing w:before="0" w:after="0"/>
      </w:pPr>
      <w:r w:rsidRPr="00C827A2">
        <w:t xml:space="preserve">Por control se entiende la actividad consistente en </w:t>
      </w:r>
      <w:r w:rsidRPr="0074014F">
        <w:rPr>
          <w:i/>
          <w:iCs/>
        </w:rPr>
        <w:t>verificar que la actuación de un órgano se acomoda a la legalidad vigente y que cumple los objetivos marcados</w:t>
      </w:r>
      <w:r w:rsidRPr="00C827A2">
        <w:t xml:space="preserve">. Se trata de una tarea que se ha desarrollado especialmente a raíz del fuerte crecimiento del </w:t>
      </w:r>
      <w:r w:rsidR="00C81669">
        <w:t xml:space="preserve">gasto </w:t>
      </w:r>
      <w:r w:rsidR="00C81669">
        <w:t>público</w:t>
      </w:r>
      <w:r w:rsidRPr="00C827A2">
        <w:t xml:space="preserve"> durante los 80 y del debate sobre el riesgo de sobredimensionamiento del </w:t>
      </w:r>
      <w:r w:rsidR="00C81669">
        <w:t>sector público</w:t>
      </w:r>
      <w:r w:rsidRPr="00C827A2">
        <w:t xml:space="preserve">, que pusieron de manifiesto la necesidad de ejercer un control más férreo sobre el </w:t>
      </w:r>
      <w:r w:rsidR="00C81669">
        <w:t xml:space="preserve">gasto </w:t>
      </w:r>
      <w:r w:rsidR="00C81669">
        <w:t>público</w:t>
      </w:r>
      <w:r w:rsidRPr="00C827A2">
        <w:t>.</w:t>
      </w:r>
    </w:p>
    <w:p w14:paraId="4A343235" w14:textId="5DDE52EA" w:rsidR="00061555" w:rsidRPr="00C77D35" w:rsidRDefault="00061555" w:rsidP="00CB4798">
      <w:pPr>
        <w:pStyle w:val="Ttulo6"/>
        <w:spacing w:before="0"/>
      </w:pPr>
      <w:bookmarkStart w:id="21" w:name="_Toc150445788"/>
      <w:r w:rsidRPr="00061555">
        <w:t>Competencia</w:t>
      </w:r>
      <w:bookmarkEnd w:id="21"/>
    </w:p>
    <w:p w14:paraId="2390F547" w14:textId="0517BE74" w:rsidR="00061555" w:rsidRPr="00C77D35" w:rsidRDefault="00061555" w:rsidP="00CC099B">
      <w:pPr>
        <w:pStyle w:val="Nivel2SM"/>
      </w:pPr>
      <w:r>
        <w:t>Poder ejecutivo, legislativo y judicial.</w:t>
      </w:r>
    </w:p>
    <w:p w14:paraId="29BC57BE" w14:textId="42AD54E0" w:rsidR="00061555" w:rsidRDefault="00061555" w:rsidP="00C77D35">
      <w:pPr>
        <w:pStyle w:val="Ttulo6"/>
      </w:pPr>
      <w:bookmarkStart w:id="22" w:name="_Toc150445789"/>
      <w:r w:rsidRPr="00061555">
        <w:t>Tipos de control</w:t>
      </w:r>
      <w:bookmarkEnd w:id="22"/>
    </w:p>
    <w:p w14:paraId="397EEB64" w14:textId="6F99B402" w:rsidR="00061555" w:rsidRDefault="00061555" w:rsidP="00CC099B">
      <w:pPr>
        <w:pStyle w:val="Nivel2SM"/>
        <w:keepNext/>
        <w:spacing w:after="0"/>
      </w:pPr>
      <w:r w:rsidRPr="00C7163D">
        <w:rPr>
          <w:i/>
          <w:iCs/>
          <w:u w:val="single"/>
        </w:rPr>
        <w:t>Control interno</w:t>
      </w:r>
      <w:r>
        <w:t>:</w:t>
      </w:r>
    </w:p>
    <w:p w14:paraId="41E8D200" w14:textId="7B36EC64" w:rsidR="00061555" w:rsidRPr="00C81669" w:rsidRDefault="00061555" w:rsidP="00185ECD">
      <w:pPr>
        <w:pStyle w:val="Nivel3SM"/>
        <w:rPr>
          <w:spacing w:val="-2"/>
        </w:rPr>
      </w:pPr>
      <w:r w:rsidRPr="00C81669">
        <w:rPr>
          <w:spacing w:val="-2"/>
        </w:rPr>
        <w:t>Corresponde a la Intervención General de la Administración del Estado (IGAE) (dependiente del Ministerio de Hacienda) y a la Intervención General de la Seguridad Social.</w:t>
      </w:r>
    </w:p>
    <w:p w14:paraId="1BCD323A" w14:textId="77777777" w:rsidR="00061555" w:rsidRDefault="00061555" w:rsidP="00503EE8">
      <w:pPr>
        <w:pStyle w:val="Nivel3SM"/>
        <w:keepNext/>
      </w:pPr>
      <w:r>
        <w:t>Puede ser de legalidad o económico-financiero:</w:t>
      </w:r>
    </w:p>
    <w:p w14:paraId="2A0CA7F3" w14:textId="05E34767" w:rsidR="00061555" w:rsidRDefault="00061555" w:rsidP="00503EE8">
      <w:pPr>
        <w:pStyle w:val="Nivel4"/>
        <w:keepNext/>
        <w:ind w:left="1474"/>
      </w:pPr>
      <w:r w:rsidRPr="00185ECD">
        <w:rPr>
          <w:i/>
          <w:iCs/>
        </w:rPr>
        <w:t>Control de legalidad</w:t>
      </w:r>
      <w:r>
        <w:t>.</w:t>
      </w:r>
    </w:p>
    <w:p w14:paraId="4293D6B1" w14:textId="77777777" w:rsidR="00061555" w:rsidRDefault="00061555" w:rsidP="00503EE8">
      <w:pPr>
        <w:pStyle w:val="Nivel5"/>
        <w:ind w:left="1871"/>
      </w:pPr>
      <w:r>
        <w:t>Este control puede comprender varias tareas: comprobar que el acreedor ha cumplido con sus obligaciones, comprobar que las órdenes de pago se han efectuado correctamente, etc.</w:t>
      </w:r>
    </w:p>
    <w:p w14:paraId="3CA00DBB" w14:textId="584F57AA" w:rsidR="00061555" w:rsidRDefault="00061555" w:rsidP="00503EE8">
      <w:pPr>
        <w:pStyle w:val="Nivel4"/>
        <w:keepNext/>
        <w:ind w:left="1474"/>
      </w:pPr>
      <w:r w:rsidRPr="00185ECD">
        <w:rPr>
          <w:i/>
          <w:iCs/>
        </w:rPr>
        <w:t>Control económico-financiero</w:t>
      </w:r>
      <w:r>
        <w:t>.</w:t>
      </w:r>
    </w:p>
    <w:p w14:paraId="006C3517" w14:textId="371A881B" w:rsidR="00061555" w:rsidRDefault="00061555" w:rsidP="00503EE8">
      <w:pPr>
        <w:pStyle w:val="Nivel5"/>
        <w:ind w:left="1871"/>
      </w:pPr>
      <w:r>
        <w:t>Este control consiste en evaluar la eficacia y la eficiencia del gasto.</w:t>
      </w:r>
    </w:p>
    <w:p w14:paraId="523D55E6" w14:textId="0FE44E66" w:rsidR="00061555" w:rsidRDefault="00061555" w:rsidP="001D5A90">
      <w:pPr>
        <w:pStyle w:val="Nivel2SM"/>
        <w:keepNext/>
        <w:spacing w:after="0"/>
      </w:pPr>
      <w:r w:rsidRPr="00C7163D">
        <w:rPr>
          <w:i/>
          <w:iCs/>
          <w:u w:val="single"/>
        </w:rPr>
        <w:t>Control externo</w:t>
      </w:r>
      <w:r>
        <w:t>:</w:t>
      </w:r>
    </w:p>
    <w:p w14:paraId="44B71B49" w14:textId="600EDA7A" w:rsidR="00061555" w:rsidRDefault="00061555" w:rsidP="00185ECD">
      <w:pPr>
        <w:pStyle w:val="Nivel3SM"/>
      </w:pPr>
      <w:r>
        <w:t>Corresponde a órganos diferentes del Gobierno.</w:t>
      </w:r>
    </w:p>
    <w:p w14:paraId="3F9EA426" w14:textId="77777777" w:rsidR="00061555" w:rsidRDefault="00061555" w:rsidP="00503EE8">
      <w:pPr>
        <w:pStyle w:val="Nivel3SM"/>
        <w:keepNext/>
      </w:pPr>
      <w:r>
        <w:t>Puede ser legislativo o judicial:</w:t>
      </w:r>
    </w:p>
    <w:p w14:paraId="383BB9C0" w14:textId="77777777" w:rsidR="00185ECD" w:rsidRDefault="00061555" w:rsidP="00185ECD">
      <w:pPr>
        <w:pStyle w:val="Nivel4"/>
        <w:ind w:left="1474"/>
      </w:pPr>
      <w:r w:rsidRPr="00185ECD">
        <w:rPr>
          <w:i/>
          <w:iCs/>
        </w:rPr>
        <w:t>Control legislativo</w:t>
      </w:r>
      <w:r>
        <w:t>:</w:t>
      </w:r>
    </w:p>
    <w:p w14:paraId="1FD3725E" w14:textId="224F2B35" w:rsidR="00061555" w:rsidRDefault="00061555" w:rsidP="00185ECD">
      <w:pPr>
        <w:pStyle w:val="Nivel5"/>
        <w:ind w:left="1871"/>
      </w:pPr>
      <w:r>
        <w:t>Lo realizan las Cortes a través del Tribunal de Cuentas</w:t>
      </w:r>
      <w:r w:rsidR="0008229C">
        <w:t>, conforme a lo dispuesto en el artículo 136 de la Constitución Española</w:t>
      </w:r>
      <w:r w:rsidR="00790C7A">
        <w:rPr>
          <w:rStyle w:val="Refdenotaalpie"/>
        </w:rPr>
        <w:footnoteReference w:id="11"/>
      </w:r>
      <w:r>
        <w:t>.</w:t>
      </w:r>
    </w:p>
    <w:p w14:paraId="7332BCD6" w14:textId="77777777" w:rsidR="00185ECD" w:rsidRDefault="00185ECD" w:rsidP="00185ECD">
      <w:pPr>
        <w:pStyle w:val="Nivel5"/>
        <w:keepNext/>
        <w:ind w:left="1871"/>
      </w:pPr>
      <w:r>
        <w:t>Control parlamentario: aparte del control del Tribunal de Cuentas, las Cortes ejercen un control de tipo político sobre el presupuesto:</w:t>
      </w:r>
    </w:p>
    <w:p w14:paraId="7C835373" w14:textId="64A23C6E" w:rsidR="00185ECD" w:rsidRDefault="00185ECD" w:rsidP="00185ECD">
      <w:pPr>
        <w:pStyle w:val="Nivel6"/>
        <w:ind w:left="2212"/>
      </w:pPr>
      <w:r>
        <w:t>Ex</w:t>
      </w:r>
      <w:r w:rsidR="002A0894">
        <w:t>-</w:t>
      </w:r>
      <w:r>
        <w:t xml:space="preserve">ante: </w:t>
      </w:r>
      <w:r w:rsidR="002A0894">
        <w:t>I</w:t>
      </w:r>
      <w:r>
        <w:t>ntervienen en la fase de discusión y aprobación del presupuesto, introduciendo enmiendas.</w:t>
      </w:r>
    </w:p>
    <w:p w14:paraId="552570C4" w14:textId="6CFC6CD3" w:rsidR="00185ECD" w:rsidRDefault="00185ECD" w:rsidP="00185ECD">
      <w:pPr>
        <w:pStyle w:val="Nivel6"/>
        <w:ind w:left="2212"/>
      </w:pPr>
      <w:r>
        <w:t xml:space="preserve">Durante: </w:t>
      </w:r>
      <w:r w:rsidR="002A0894">
        <w:t>V</w:t>
      </w:r>
      <w:r>
        <w:t>igilan el proceso de ejecución del presupuesto a través de sus técnicas de control del poder ejecutivo.</w:t>
      </w:r>
    </w:p>
    <w:p w14:paraId="1863F123" w14:textId="4D0004CC" w:rsidR="00185ECD" w:rsidRDefault="00185ECD" w:rsidP="00185ECD">
      <w:pPr>
        <w:pStyle w:val="Nivel6"/>
        <w:ind w:left="2212"/>
      </w:pPr>
      <w:r>
        <w:t>Ex</w:t>
      </w:r>
      <w:r w:rsidR="002A0894">
        <w:t>-</w:t>
      </w:r>
      <w:r>
        <w:t xml:space="preserve">post: </w:t>
      </w:r>
      <w:r w:rsidR="002A0894">
        <w:t>A</w:t>
      </w:r>
      <w:r>
        <w:t xml:space="preserve">nalizan la actuación del </w:t>
      </w:r>
      <w:r w:rsidR="00BE017E">
        <w:t>sector público</w:t>
      </w:r>
      <w:r>
        <w:t xml:space="preserve"> una vez que el Tribunal de Cuentas le ha remitido su dictamen.</w:t>
      </w:r>
    </w:p>
    <w:p w14:paraId="0DDD21B5" w14:textId="5B4E53B1" w:rsidR="00435C91" w:rsidRDefault="00061555" w:rsidP="00185ECD">
      <w:pPr>
        <w:pStyle w:val="Nivel4"/>
        <w:ind w:left="1474"/>
      </w:pPr>
      <w:r w:rsidRPr="00185ECD">
        <w:rPr>
          <w:i/>
          <w:iCs/>
        </w:rPr>
        <w:t>Control judicial</w:t>
      </w:r>
      <w:r>
        <w:t>:</w:t>
      </w:r>
      <w:r w:rsidR="00185ECD">
        <w:t xml:space="preserve"> </w:t>
      </w:r>
      <w:r>
        <w:t>Corresponde a los jueces y magistrados determinar cualquier tipo de responsabilidad civil o penal en la ejecución del presupuesto.</w:t>
      </w:r>
    </w:p>
    <w:p w14:paraId="74F5E4C4" w14:textId="1D628EB0" w:rsidR="00C7163D" w:rsidRPr="00C77D35" w:rsidRDefault="00C7163D" w:rsidP="00185ECD">
      <w:pPr>
        <w:pStyle w:val="Nivel4"/>
        <w:ind w:left="1474"/>
      </w:pPr>
      <w:r>
        <w:rPr>
          <w:i/>
          <w:iCs/>
        </w:rPr>
        <w:t>Control de la Autoridad Independiente de Responsabilidad Fiscal (AIReF)</w:t>
      </w:r>
      <w:r>
        <w:t xml:space="preserve">: La AIReF garantiza el cumplimiento efectivo de las AAPP del principio de estabilidad presupuestaria (otros Estados de la Eurozona) mediante la evaluación del endeudamiento público, el análisis de previsiones económicos o los </w:t>
      </w:r>
      <w:r>
        <w:rPr>
          <w:i/>
          <w:iCs/>
        </w:rPr>
        <w:t>spending reviews</w:t>
      </w:r>
      <w:r>
        <w:t>.</w:t>
      </w:r>
    </w:p>
    <w:p w14:paraId="26176AE2" w14:textId="2645DEE0" w:rsidR="00435C91" w:rsidRPr="00C77D35" w:rsidRDefault="00BD299C" w:rsidP="00A36A31">
      <w:pPr>
        <w:pStyle w:val="Ttulo1"/>
      </w:pPr>
      <w:bookmarkStart w:id="23" w:name="_Toc150445790"/>
      <w:r>
        <w:lastRenderedPageBreak/>
        <w:t>LOS PRINCIPIOS PRESUPUESTARIOS CLÁSICOS Y SUS MODIFICACIONES</w:t>
      </w:r>
      <w:bookmarkEnd w:id="23"/>
    </w:p>
    <w:p w14:paraId="10D0C4B5" w14:textId="3416FEEA" w:rsidR="001C53F5" w:rsidRPr="001C53F5" w:rsidRDefault="001C53F5" w:rsidP="001C53F5">
      <w:pPr>
        <w:pStyle w:val="Nivel1SM"/>
        <w:keepNext/>
        <w:spacing w:before="0" w:after="0"/>
      </w:pPr>
      <w:r>
        <w:t xml:space="preserve">En este apartado analizaremos los </w:t>
      </w:r>
      <w:r w:rsidRPr="001C53F5">
        <w:rPr>
          <w:b/>
          <w:bCs/>
        </w:rPr>
        <w:t>principios clásicos</w:t>
      </w:r>
      <w:r>
        <w:t xml:space="preserve"> y las </w:t>
      </w:r>
      <w:r w:rsidRPr="001C53F5">
        <w:rPr>
          <w:b/>
          <w:bCs/>
        </w:rPr>
        <w:t>modificaciones</w:t>
      </w:r>
      <w:r>
        <w:t xml:space="preserve"> que han ido experimentando con el paso del tiempo.</w:t>
      </w:r>
    </w:p>
    <w:p w14:paraId="1C00CE6E" w14:textId="77777777" w:rsidR="000E28EA" w:rsidRDefault="000E28EA" w:rsidP="000E28EA">
      <w:pPr>
        <w:pStyle w:val="Nivel2SM"/>
        <w:keepNext/>
        <w:spacing w:after="0"/>
      </w:pPr>
      <w:r>
        <w:t xml:space="preserve">El presupuesto surge a </w:t>
      </w:r>
      <w:r w:rsidRPr="00602B10">
        <w:rPr>
          <w:b/>
          <w:bCs/>
        </w:rPr>
        <w:t>finales del siglo XVIII</w:t>
      </w:r>
      <w:r>
        <w:t>, en respuesta a diferentes factores:</w:t>
      </w:r>
    </w:p>
    <w:p w14:paraId="65FC0CC7" w14:textId="77777777" w:rsidR="000E28EA" w:rsidRDefault="000E28EA" w:rsidP="000E28EA">
      <w:pPr>
        <w:pStyle w:val="Nivel3SM"/>
      </w:pPr>
      <w:r w:rsidRPr="00602B10">
        <w:rPr>
          <w:i/>
          <w:iCs/>
        </w:rPr>
        <w:t>Organizativos</w:t>
      </w:r>
      <w:r>
        <w:t>: Administraciones más centralizadas y complejas.</w:t>
      </w:r>
    </w:p>
    <w:p w14:paraId="11831EB0" w14:textId="77777777" w:rsidR="000E28EA" w:rsidRPr="00482798" w:rsidRDefault="000E28EA" w:rsidP="000E28EA">
      <w:pPr>
        <w:pStyle w:val="Nivel3SM"/>
        <w:rPr>
          <w:spacing w:val="-4"/>
        </w:rPr>
      </w:pPr>
      <w:r w:rsidRPr="00602B10">
        <w:rPr>
          <w:i/>
          <w:iCs/>
          <w:spacing w:val="-4"/>
        </w:rPr>
        <w:t>Económicos</w:t>
      </w:r>
      <w:r w:rsidRPr="00482798">
        <w:rPr>
          <w:spacing w:val="-4"/>
        </w:rPr>
        <w:t xml:space="preserve">: </w:t>
      </w:r>
      <w:r>
        <w:rPr>
          <w:spacing w:val="-4"/>
        </w:rPr>
        <w:t>C</w:t>
      </w:r>
      <w:r w:rsidRPr="00482798">
        <w:rPr>
          <w:spacing w:val="-4"/>
        </w:rPr>
        <w:t>on el desarrollo de los países, el peso del sector público en la economía es mayor.</w:t>
      </w:r>
    </w:p>
    <w:p w14:paraId="6E3D0B18" w14:textId="77777777" w:rsidR="000E28EA" w:rsidRPr="00B91849" w:rsidRDefault="000E28EA" w:rsidP="000E28EA">
      <w:pPr>
        <w:pStyle w:val="Nivel3SM"/>
      </w:pPr>
      <w:r w:rsidRPr="00602B10">
        <w:rPr>
          <w:i/>
          <w:iCs/>
        </w:rPr>
        <w:t>Políticos</w:t>
      </w:r>
      <w:r>
        <w:t>: Permite la división de poderes entre el poder legislativo (que aprueba y controla el presupuesto) y el poder ejecutivo (que lo elabora y lo ejecuta).</w:t>
      </w:r>
    </w:p>
    <w:p w14:paraId="0FC7B2C8" w14:textId="550DC57E" w:rsidR="00061555" w:rsidRDefault="00061555" w:rsidP="00654185">
      <w:pPr>
        <w:pStyle w:val="Nivel2SM"/>
        <w:keepNext/>
        <w:spacing w:after="0"/>
      </w:pPr>
      <w:r w:rsidRPr="00AF3D2B">
        <w:rPr>
          <w:i/>
          <w:iCs/>
          <w:spacing w:val="-2"/>
          <w:u w:val="single"/>
        </w:rPr>
        <w:t>En sus orígenes</w:t>
      </w:r>
      <w:r w:rsidRPr="00AF3D2B">
        <w:rPr>
          <w:spacing w:val="-2"/>
        </w:rPr>
        <w:t xml:space="preserve">, los </w:t>
      </w:r>
      <w:r w:rsidRPr="00AF3D2B">
        <w:rPr>
          <w:b/>
          <w:bCs/>
          <w:spacing w:val="-2"/>
        </w:rPr>
        <w:t>principios presupuestarios</w:t>
      </w:r>
      <w:r w:rsidRPr="00AF3D2B">
        <w:rPr>
          <w:spacing w:val="-2"/>
        </w:rPr>
        <w:t xml:space="preserve"> se vieron </w:t>
      </w:r>
      <w:r w:rsidRPr="00AF3D2B">
        <w:rPr>
          <w:i/>
          <w:iCs/>
          <w:spacing w:val="-2"/>
        </w:rPr>
        <w:t>notablemente influidos por ciertos elementos del pensamiento clásico</w:t>
      </w:r>
      <w:r w:rsidRPr="00AF3D2B">
        <w:rPr>
          <w:spacing w:val="-2"/>
        </w:rPr>
        <w:t xml:space="preserve"> (papel fundamental del Parlamento, reducido intervencionismo, etc.).</w:t>
      </w:r>
      <w:r w:rsidR="00AF3D2B">
        <w:rPr>
          <w:spacing w:val="-2"/>
        </w:rPr>
        <w:br/>
      </w:r>
      <w:r>
        <w:t>Los principios presupuestarios clásicos tratan de dar respuesta a 3</w:t>
      </w:r>
      <w:r w:rsidR="00CC099B">
        <w:t> </w:t>
      </w:r>
      <w:r>
        <w:t>preguntas:</w:t>
      </w:r>
    </w:p>
    <w:p w14:paraId="7B226530" w14:textId="043EB18F" w:rsidR="00061555" w:rsidRDefault="00061555" w:rsidP="00AF3D2B">
      <w:pPr>
        <w:pStyle w:val="Prrafodelista"/>
        <w:keepNext/>
        <w:numPr>
          <w:ilvl w:val="0"/>
          <w:numId w:val="53"/>
        </w:numPr>
        <w:spacing w:after="0"/>
        <w:ind w:left="1134" w:hanging="113"/>
      </w:pPr>
      <w:r>
        <w:t xml:space="preserve">¿Quién debe </w:t>
      </w:r>
      <w:r w:rsidRPr="00AF3D2B">
        <w:t>diseñar el presupuesto</w:t>
      </w:r>
      <w:r>
        <w:t>?</w:t>
      </w:r>
    </w:p>
    <w:p w14:paraId="7190EE07" w14:textId="77777777" w:rsidR="00061555" w:rsidRDefault="00061555" w:rsidP="00CC099B">
      <w:pPr>
        <w:pStyle w:val="Nivel4"/>
        <w:ind w:left="1474"/>
      </w:pPr>
      <w:r>
        <w:t xml:space="preserve">Para esto se elaboran los </w:t>
      </w:r>
      <w:r w:rsidRPr="00D97E7F">
        <w:rPr>
          <w:i/>
          <w:iCs/>
        </w:rPr>
        <w:t>principios políticos</w:t>
      </w:r>
      <w:r>
        <w:t>.</w:t>
      </w:r>
    </w:p>
    <w:p w14:paraId="60086BAA" w14:textId="742E7A69" w:rsidR="00061555" w:rsidRDefault="00061555" w:rsidP="00AF3D2B">
      <w:pPr>
        <w:pStyle w:val="Prrafodelista"/>
        <w:keepNext/>
        <w:numPr>
          <w:ilvl w:val="0"/>
          <w:numId w:val="53"/>
        </w:numPr>
        <w:spacing w:after="0"/>
        <w:ind w:left="1134" w:hanging="113"/>
      </w:pPr>
      <w:r>
        <w:t>¿Cómo</w:t>
      </w:r>
      <w:r w:rsidRPr="00AF3D2B">
        <w:t xml:space="preserve"> se</w:t>
      </w:r>
      <w:r>
        <w:t xml:space="preserve"> debe diseñar el presupuesto?</w:t>
      </w:r>
    </w:p>
    <w:p w14:paraId="3E1752F7" w14:textId="77777777" w:rsidR="00061555" w:rsidRDefault="00061555" w:rsidP="00CC099B">
      <w:pPr>
        <w:pStyle w:val="Nivel4"/>
        <w:ind w:left="1474"/>
      </w:pPr>
      <w:r w:rsidRPr="00D97E7F">
        <w:rPr>
          <w:i/>
          <w:iCs/>
        </w:rPr>
        <w:t>Principios contables</w:t>
      </w:r>
      <w:r>
        <w:t>.</w:t>
      </w:r>
    </w:p>
    <w:p w14:paraId="1FD6B163" w14:textId="361B0894" w:rsidR="00061555" w:rsidRDefault="00061555" w:rsidP="00AF3D2B">
      <w:pPr>
        <w:pStyle w:val="Prrafodelista"/>
        <w:keepNext/>
        <w:numPr>
          <w:ilvl w:val="0"/>
          <w:numId w:val="53"/>
        </w:numPr>
        <w:spacing w:after="0"/>
        <w:ind w:left="1134" w:hanging="113"/>
      </w:pPr>
      <w:r>
        <w:t>¿Co</w:t>
      </w:r>
      <w:r w:rsidRPr="00AF3D2B">
        <w:t>n qué</w:t>
      </w:r>
      <w:r>
        <w:t xml:space="preserve"> criterios económicos se debe diseñar el presupuesto?</w:t>
      </w:r>
    </w:p>
    <w:p w14:paraId="1D0B1830" w14:textId="761DB5C4" w:rsidR="00061555" w:rsidRDefault="00061555" w:rsidP="00CC099B">
      <w:pPr>
        <w:pStyle w:val="Nivel4"/>
        <w:ind w:left="1474"/>
      </w:pPr>
      <w:r w:rsidRPr="00D97E7F">
        <w:rPr>
          <w:i/>
          <w:iCs/>
        </w:rPr>
        <w:t>Principios económicos</w:t>
      </w:r>
      <w:r>
        <w:t>.</w:t>
      </w:r>
    </w:p>
    <w:p w14:paraId="4B8D103B" w14:textId="45EAA0FE" w:rsidR="00061555" w:rsidRDefault="00061555" w:rsidP="00CC099B">
      <w:pPr>
        <w:pStyle w:val="Nivel2SM"/>
      </w:pPr>
      <w:r>
        <w:t xml:space="preserve">Sin embargo, dichos principios </w:t>
      </w:r>
      <w:r w:rsidRPr="00A72D9D">
        <w:rPr>
          <w:i/>
          <w:iCs/>
          <w:u w:val="single"/>
        </w:rPr>
        <w:t>han ido cambiando conforme cambiaba el contexto económico y político</w:t>
      </w:r>
      <w:r>
        <w:t>, tendiendo a relajarse y flexibilizarse.</w:t>
      </w:r>
    </w:p>
    <w:p w14:paraId="231E13CB" w14:textId="77777777" w:rsidR="00A66907" w:rsidRDefault="00A66907" w:rsidP="00A36A31">
      <w:pPr>
        <w:pStyle w:val="Ttulo2"/>
      </w:pPr>
      <w:bookmarkStart w:id="24" w:name="_Toc150445791"/>
      <w:r>
        <w:t>Principios políticos y contables</w:t>
      </w:r>
      <w:bookmarkEnd w:id="24"/>
    </w:p>
    <w:tbl>
      <w:tblPr>
        <w:tblStyle w:val="Tablaconcuadrcula"/>
        <w:tblW w:w="0" w:type="auto"/>
        <w:jc w:val="center"/>
        <w:tblLook w:val="04A0" w:firstRow="1" w:lastRow="0" w:firstColumn="1" w:lastColumn="0" w:noHBand="0" w:noVBand="1"/>
      </w:tblPr>
      <w:tblGrid>
        <w:gridCol w:w="3261"/>
        <w:gridCol w:w="1984"/>
        <w:gridCol w:w="4252"/>
      </w:tblGrid>
      <w:tr w:rsidR="006A67C6" w:rsidRPr="008309EF" w14:paraId="009C483F" w14:textId="77777777" w:rsidTr="00E731C2">
        <w:trPr>
          <w:jc w:val="center"/>
        </w:trPr>
        <w:tc>
          <w:tcPr>
            <w:tcW w:w="5243" w:type="dxa"/>
            <w:gridSpan w:val="2"/>
            <w:tcBorders>
              <w:top w:val="nil"/>
              <w:left w:val="nil"/>
              <w:bottom w:val="single" w:sz="12" w:space="0" w:color="auto"/>
              <w:right w:val="single" w:sz="48" w:space="0" w:color="FFFFFF" w:themeColor="background1"/>
            </w:tcBorders>
            <w:vAlign w:val="center"/>
          </w:tcPr>
          <w:p w14:paraId="241FBD27" w14:textId="77777777" w:rsidR="006A67C6" w:rsidRPr="008309EF" w:rsidRDefault="006A67C6" w:rsidP="00E731C2">
            <w:pPr>
              <w:spacing w:after="0"/>
              <w:jc w:val="center"/>
              <w:rPr>
                <w:b/>
                <w:bCs/>
                <w:lang w:val="es-ES"/>
              </w:rPr>
            </w:pPr>
            <w:r w:rsidRPr="008309EF">
              <w:rPr>
                <w:b/>
                <w:bCs/>
                <w:lang w:val="es-ES"/>
              </w:rPr>
              <w:t>Principios políticos</w:t>
            </w:r>
          </w:p>
        </w:tc>
        <w:tc>
          <w:tcPr>
            <w:tcW w:w="4252" w:type="dxa"/>
            <w:tcBorders>
              <w:top w:val="nil"/>
              <w:left w:val="single" w:sz="48" w:space="0" w:color="FFFFFF" w:themeColor="background1"/>
              <w:bottom w:val="single" w:sz="12" w:space="0" w:color="auto"/>
              <w:right w:val="nil"/>
            </w:tcBorders>
            <w:vAlign w:val="center"/>
          </w:tcPr>
          <w:p w14:paraId="70A838E9" w14:textId="77777777" w:rsidR="006A67C6" w:rsidRPr="008309EF" w:rsidRDefault="006A67C6" w:rsidP="00E731C2">
            <w:pPr>
              <w:spacing w:after="0"/>
              <w:jc w:val="center"/>
              <w:rPr>
                <w:b/>
                <w:bCs/>
                <w:lang w:val="es-ES"/>
              </w:rPr>
            </w:pPr>
            <w:r w:rsidRPr="008309EF">
              <w:rPr>
                <w:b/>
                <w:bCs/>
                <w:lang w:val="es-ES"/>
              </w:rPr>
              <w:t>Principios contables</w:t>
            </w:r>
          </w:p>
        </w:tc>
      </w:tr>
      <w:tr w:rsidR="006A67C6" w:rsidRPr="008309EF" w14:paraId="00AE21D0" w14:textId="77777777" w:rsidTr="00E731C2">
        <w:trPr>
          <w:trHeight w:val="283"/>
          <w:jc w:val="center"/>
        </w:trPr>
        <w:tc>
          <w:tcPr>
            <w:tcW w:w="3261" w:type="dxa"/>
            <w:tcBorders>
              <w:top w:val="single" w:sz="12" w:space="0" w:color="auto"/>
              <w:left w:val="nil"/>
              <w:bottom w:val="dashed" w:sz="4" w:space="0" w:color="767171" w:themeColor="background2" w:themeShade="80"/>
              <w:right w:val="nil"/>
            </w:tcBorders>
            <w:vAlign w:val="center"/>
          </w:tcPr>
          <w:p w14:paraId="068C4745" w14:textId="77777777" w:rsidR="006A67C6" w:rsidRPr="008309EF" w:rsidRDefault="006A67C6" w:rsidP="006A67C6">
            <w:pPr>
              <w:pStyle w:val="Prrafodelista"/>
              <w:numPr>
                <w:ilvl w:val="3"/>
                <w:numId w:val="50"/>
              </w:numPr>
              <w:spacing w:after="0"/>
              <w:ind w:left="567" w:hanging="113"/>
              <w:jc w:val="left"/>
              <w:rPr>
                <w:lang w:val="es-ES"/>
              </w:rPr>
            </w:pPr>
            <w:r w:rsidRPr="008309EF">
              <w:rPr>
                <w:lang w:val="es-ES"/>
              </w:rPr>
              <w:t>Competencia</w:t>
            </w:r>
          </w:p>
        </w:tc>
        <w:tc>
          <w:tcPr>
            <w:tcW w:w="1984" w:type="dxa"/>
            <w:tcBorders>
              <w:top w:val="single" w:sz="12" w:space="0" w:color="auto"/>
              <w:left w:val="nil"/>
              <w:bottom w:val="dashed" w:sz="4" w:space="0" w:color="767171" w:themeColor="background2" w:themeShade="80"/>
              <w:right w:val="single" w:sz="48" w:space="0" w:color="FFFFFF" w:themeColor="background1"/>
            </w:tcBorders>
            <w:vAlign w:val="center"/>
          </w:tcPr>
          <w:p w14:paraId="4E96E640" w14:textId="77777777" w:rsidR="006A67C6" w:rsidRPr="008309EF" w:rsidRDefault="006A67C6" w:rsidP="00E731C2">
            <w:pPr>
              <w:spacing w:after="0"/>
              <w:jc w:val="left"/>
              <w:rPr>
                <w:lang w:val="es-ES"/>
              </w:rPr>
            </w:pPr>
          </w:p>
        </w:tc>
        <w:tc>
          <w:tcPr>
            <w:tcW w:w="4252" w:type="dxa"/>
            <w:tcBorders>
              <w:top w:val="single" w:sz="12" w:space="0" w:color="auto"/>
              <w:left w:val="single" w:sz="48" w:space="0" w:color="FFFFFF" w:themeColor="background1"/>
              <w:bottom w:val="dashed" w:sz="4" w:space="0" w:color="767171" w:themeColor="background2" w:themeShade="80"/>
              <w:right w:val="nil"/>
            </w:tcBorders>
            <w:vAlign w:val="center"/>
          </w:tcPr>
          <w:p w14:paraId="0E0C15D4" w14:textId="77777777" w:rsidR="006A67C6" w:rsidRPr="008309EF" w:rsidRDefault="006A67C6" w:rsidP="00E731C2">
            <w:pPr>
              <w:spacing w:after="0"/>
              <w:jc w:val="left"/>
              <w:rPr>
                <w:lang w:val="es-ES"/>
              </w:rPr>
            </w:pPr>
          </w:p>
        </w:tc>
      </w:tr>
      <w:tr w:rsidR="006A67C6" w:rsidRPr="008309EF" w14:paraId="5AEF6EAC" w14:textId="77777777" w:rsidTr="00E731C2">
        <w:trPr>
          <w:trHeight w:val="283"/>
          <w:jc w:val="center"/>
        </w:trPr>
        <w:tc>
          <w:tcPr>
            <w:tcW w:w="3261" w:type="dxa"/>
            <w:tcBorders>
              <w:top w:val="dashed" w:sz="4" w:space="0" w:color="767171" w:themeColor="background2" w:themeShade="80"/>
              <w:left w:val="nil"/>
              <w:bottom w:val="dashed" w:sz="4" w:space="0" w:color="767171" w:themeColor="background2" w:themeShade="80"/>
              <w:right w:val="nil"/>
            </w:tcBorders>
            <w:vAlign w:val="center"/>
          </w:tcPr>
          <w:p w14:paraId="3353DA17" w14:textId="77777777" w:rsidR="006A67C6" w:rsidRPr="008309EF" w:rsidRDefault="006A67C6" w:rsidP="006A67C6">
            <w:pPr>
              <w:pStyle w:val="Prrafodelista"/>
              <w:numPr>
                <w:ilvl w:val="3"/>
                <w:numId w:val="50"/>
              </w:numPr>
              <w:spacing w:after="0"/>
              <w:ind w:left="567" w:hanging="113"/>
              <w:jc w:val="left"/>
              <w:rPr>
                <w:lang w:val="es-ES"/>
              </w:rPr>
            </w:pPr>
            <w:r w:rsidRPr="008309EF">
              <w:rPr>
                <w:lang w:val="es-ES"/>
              </w:rPr>
              <w:t>Universalidad</w:t>
            </w:r>
          </w:p>
        </w:tc>
        <w:tc>
          <w:tcPr>
            <w:tcW w:w="1984" w:type="dxa"/>
            <w:tcBorders>
              <w:top w:val="dashed" w:sz="4" w:space="0" w:color="767171" w:themeColor="background2" w:themeShade="80"/>
              <w:left w:val="nil"/>
              <w:bottom w:val="dashed" w:sz="4" w:space="0" w:color="767171" w:themeColor="background2" w:themeShade="80"/>
              <w:right w:val="single" w:sz="48" w:space="0" w:color="FFFFFF" w:themeColor="background1"/>
            </w:tcBorders>
            <w:vAlign w:val="center"/>
          </w:tcPr>
          <w:p w14:paraId="32E280AB" w14:textId="77777777" w:rsidR="006A67C6" w:rsidRPr="008309EF" w:rsidRDefault="006A67C6" w:rsidP="00E731C2">
            <w:pPr>
              <w:spacing w:after="0"/>
              <w:jc w:val="left"/>
              <w:rPr>
                <w:spacing w:val="-5"/>
                <w:lang w:val="es-ES"/>
              </w:rPr>
            </w:pPr>
          </w:p>
        </w:tc>
        <w:tc>
          <w:tcPr>
            <w:tcW w:w="4252" w:type="dxa"/>
            <w:tcBorders>
              <w:top w:val="dashed" w:sz="4" w:space="0" w:color="767171" w:themeColor="background2" w:themeShade="80"/>
              <w:left w:val="single" w:sz="48" w:space="0" w:color="FFFFFF" w:themeColor="background1"/>
              <w:bottom w:val="dashed" w:sz="4" w:space="0" w:color="767171" w:themeColor="background2" w:themeShade="80"/>
              <w:right w:val="nil"/>
            </w:tcBorders>
            <w:vAlign w:val="center"/>
          </w:tcPr>
          <w:p w14:paraId="366EFD12" w14:textId="77777777" w:rsidR="006A67C6" w:rsidRPr="008309EF" w:rsidRDefault="006A67C6" w:rsidP="006A67C6">
            <w:pPr>
              <w:pStyle w:val="Prrafodelista"/>
              <w:numPr>
                <w:ilvl w:val="0"/>
                <w:numId w:val="54"/>
              </w:numPr>
              <w:spacing w:after="0"/>
              <w:ind w:left="567" w:hanging="113"/>
              <w:jc w:val="left"/>
              <w:rPr>
                <w:spacing w:val="-5"/>
                <w:lang w:val="es-ES"/>
              </w:rPr>
            </w:pPr>
            <w:r w:rsidRPr="008309EF">
              <w:rPr>
                <w:spacing w:val="-5"/>
                <w:lang w:val="es-ES"/>
              </w:rPr>
              <w:t xml:space="preserve">No compensación </w:t>
            </w:r>
            <w:r w:rsidRPr="008309EF">
              <w:rPr>
                <w:spacing w:val="-5"/>
                <w:sz w:val="19"/>
                <w:szCs w:val="19"/>
                <w:lang w:val="es-ES"/>
              </w:rPr>
              <w:t>(presupuesto bruto)</w:t>
            </w:r>
          </w:p>
        </w:tc>
      </w:tr>
      <w:tr w:rsidR="006A67C6" w:rsidRPr="008309EF" w14:paraId="17CBB644" w14:textId="77777777" w:rsidTr="00E731C2">
        <w:trPr>
          <w:trHeight w:val="283"/>
          <w:jc w:val="center"/>
        </w:trPr>
        <w:tc>
          <w:tcPr>
            <w:tcW w:w="3261" w:type="dxa"/>
            <w:tcBorders>
              <w:top w:val="dashed" w:sz="4" w:space="0" w:color="767171" w:themeColor="background2" w:themeShade="80"/>
              <w:left w:val="nil"/>
              <w:bottom w:val="dashed" w:sz="2" w:space="0" w:color="767171" w:themeColor="background2" w:themeShade="80"/>
              <w:right w:val="nil"/>
            </w:tcBorders>
            <w:vAlign w:val="center"/>
          </w:tcPr>
          <w:p w14:paraId="2E759773" w14:textId="77777777" w:rsidR="006A67C6" w:rsidRPr="008309EF" w:rsidRDefault="006A67C6" w:rsidP="006A67C6">
            <w:pPr>
              <w:pStyle w:val="Prrafodelista"/>
              <w:numPr>
                <w:ilvl w:val="3"/>
                <w:numId w:val="50"/>
              </w:numPr>
              <w:spacing w:after="0"/>
              <w:ind w:left="567" w:hanging="113"/>
              <w:jc w:val="left"/>
              <w:rPr>
                <w:lang w:val="es-ES"/>
              </w:rPr>
            </w:pPr>
            <w:r w:rsidRPr="008309EF">
              <w:rPr>
                <w:lang w:val="es-ES"/>
              </w:rPr>
              <w:t>Unidad</w:t>
            </w:r>
            <w:r>
              <w:rPr>
                <w:lang w:val="es-ES"/>
              </w:rPr>
              <w:t xml:space="preserve"> presupuestaria</w:t>
            </w:r>
          </w:p>
        </w:tc>
        <w:tc>
          <w:tcPr>
            <w:tcW w:w="1984" w:type="dxa"/>
            <w:tcBorders>
              <w:top w:val="dashed" w:sz="4" w:space="0" w:color="767171" w:themeColor="background2" w:themeShade="80"/>
              <w:left w:val="nil"/>
              <w:bottom w:val="dashed" w:sz="2" w:space="0" w:color="767171" w:themeColor="background2" w:themeShade="80"/>
              <w:right w:val="single" w:sz="48" w:space="0" w:color="FFFFFF" w:themeColor="background1"/>
            </w:tcBorders>
            <w:vAlign w:val="center"/>
          </w:tcPr>
          <w:p w14:paraId="703FDDE2" w14:textId="77777777" w:rsidR="006A67C6" w:rsidRPr="008309EF" w:rsidRDefault="006A67C6" w:rsidP="00E731C2">
            <w:pPr>
              <w:spacing w:after="0"/>
              <w:jc w:val="left"/>
              <w:rPr>
                <w:lang w:val="es-ES"/>
              </w:rPr>
            </w:pPr>
          </w:p>
        </w:tc>
        <w:tc>
          <w:tcPr>
            <w:tcW w:w="4252" w:type="dxa"/>
            <w:tcBorders>
              <w:top w:val="dashed" w:sz="4" w:space="0" w:color="767171" w:themeColor="background2" w:themeShade="80"/>
              <w:left w:val="single" w:sz="48" w:space="0" w:color="FFFFFF" w:themeColor="background1"/>
              <w:bottom w:val="dashed" w:sz="2" w:space="0" w:color="767171" w:themeColor="background2" w:themeShade="80"/>
              <w:right w:val="nil"/>
            </w:tcBorders>
            <w:vAlign w:val="center"/>
          </w:tcPr>
          <w:p w14:paraId="5D300F66" w14:textId="77777777" w:rsidR="006A67C6" w:rsidRPr="008309EF" w:rsidRDefault="006A67C6" w:rsidP="006A67C6">
            <w:pPr>
              <w:pStyle w:val="Prrafodelista"/>
              <w:numPr>
                <w:ilvl w:val="0"/>
                <w:numId w:val="54"/>
              </w:numPr>
              <w:spacing w:after="0"/>
              <w:ind w:left="567" w:hanging="113"/>
              <w:jc w:val="left"/>
              <w:rPr>
                <w:lang w:val="es-ES"/>
              </w:rPr>
            </w:pPr>
            <w:r w:rsidRPr="008309EF">
              <w:rPr>
                <w:lang w:val="es-ES"/>
              </w:rPr>
              <w:t>Unidad de caja</w:t>
            </w:r>
          </w:p>
        </w:tc>
      </w:tr>
      <w:tr w:rsidR="006A67C6" w:rsidRPr="008309EF" w14:paraId="4D6720EE" w14:textId="77777777" w:rsidTr="00E731C2">
        <w:trPr>
          <w:trHeight w:val="283"/>
          <w:jc w:val="center"/>
        </w:trPr>
        <w:tc>
          <w:tcPr>
            <w:tcW w:w="3261" w:type="dxa"/>
            <w:vMerge w:val="restart"/>
            <w:tcBorders>
              <w:top w:val="dashed" w:sz="2" w:space="0" w:color="767171" w:themeColor="background2" w:themeShade="80"/>
              <w:left w:val="nil"/>
              <w:right w:val="nil"/>
            </w:tcBorders>
            <w:vAlign w:val="center"/>
          </w:tcPr>
          <w:p w14:paraId="7D1C0BFE" w14:textId="77777777" w:rsidR="006A67C6" w:rsidRPr="008309EF" w:rsidRDefault="006A67C6" w:rsidP="006A67C6">
            <w:pPr>
              <w:pStyle w:val="Prrafodelista"/>
              <w:numPr>
                <w:ilvl w:val="3"/>
                <w:numId w:val="50"/>
              </w:numPr>
              <w:spacing w:after="0"/>
              <w:ind w:left="567" w:hanging="113"/>
              <w:jc w:val="left"/>
              <w:rPr>
                <w:lang w:val="es-ES"/>
              </w:rPr>
            </w:pPr>
            <w:r w:rsidRPr="008309EF">
              <w:rPr>
                <w:lang w:val="es-ES"/>
              </w:rPr>
              <w:t>Especialidad</w:t>
            </w:r>
          </w:p>
        </w:tc>
        <w:tc>
          <w:tcPr>
            <w:tcW w:w="1984" w:type="dxa"/>
            <w:tcBorders>
              <w:top w:val="dashed" w:sz="2" w:space="0" w:color="767171" w:themeColor="background2" w:themeShade="80"/>
              <w:left w:val="nil"/>
              <w:bottom w:val="dashed" w:sz="4" w:space="0" w:color="767171" w:themeColor="background2" w:themeShade="80"/>
              <w:right w:val="single" w:sz="48" w:space="0" w:color="FFFFFF" w:themeColor="background1"/>
            </w:tcBorders>
            <w:vAlign w:val="center"/>
          </w:tcPr>
          <w:p w14:paraId="3804FF71" w14:textId="77777777" w:rsidR="006A67C6" w:rsidRPr="008309EF" w:rsidRDefault="006A67C6" w:rsidP="00E731C2">
            <w:pPr>
              <w:spacing w:after="0"/>
              <w:jc w:val="left"/>
              <w:rPr>
                <w:sz w:val="14"/>
                <w:szCs w:val="14"/>
                <w:lang w:val="es-ES"/>
              </w:rPr>
            </w:pPr>
            <w:r w:rsidRPr="008309EF">
              <w:rPr>
                <w:sz w:val="14"/>
                <w:szCs w:val="14"/>
                <w:lang w:val="es-ES"/>
              </w:rPr>
              <w:t>Cuantitativa y cualitativa</w:t>
            </w:r>
          </w:p>
        </w:tc>
        <w:tc>
          <w:tcPr>
            <w:tcW w:w="4252" w:type="dxa"/>
            <w:tcBorders>
              <w:top w:val="dashed" w:sz="2" w:space="0" w:color="767171" w:themeColor="background2" w:themeShade="80"/>
              <w:left w:val="single" w:sz="48" w:space="0" w:color="FFFFFF" w:themeColor="background1"/>
              <w:bottom w:val="dashed" w:sz="4" w:space="0" w:color="767171" w:themeColor="background2" w:themeShade="80"/>
              <w:right w:val="nil"/>
            </w:tcBorders>
            <w:vAlign w:val="center"/>
          </w:tcPr>
          <w:p w14:paraId="32C868BE" w14:textId="77777777" w:rsidR="006A67C6" w:rsidRPr="008309EF" w:rsidRDefault="006A67C6" w:rsidP="006A67C6">
            <w:pPr>
              <w:pStyle w:val="Prrafodelista"/>
              <w:numPr>
                <w:ilvl w:val="0"/>
                <w:numId w:val="54"/>
              </w:numPr>
              <w:spacing w:after="0"/>
              <w:ind w:left="567" w:hanging="113"/>
              <w:jc w:val="left"/>
              <w:rPr>
                <w:lang w:val="es-ES"/>
              </w:rPr>
            </w:pPr>
            <w:r w:rsidRPr="008309EF">
              <w:rPr>
                <w:lang w:val="es-ES"/>
              </w:rPr>
              <w:t>Especificación</w:t>
            </w:r>
          </w:p>
        </w:tc>
      </w:tr>
      <w:tr w:rsidR="006A67C6" w:rsidRPr="008309EF" w14:paraId="68544D16" w14:textId="77777777" w:rsidTr="00E731C2">
        <w:trPr>
          <w:trHeight w:val="283"/>
          <w:jc w:val="center"/>
        </w:trPr>
        <w:tc>
          <w:tcPr>
            <w:tcW w:w="3261" w:type="dxa"/>
            <w:vMerge/>
            <w:tcBorders>
              <w:left w:val="nil"/>
              <w:bottom w:val="dashed" w:sz="4" w:space="0" w:color="767171" w:themeColor="background2" w:themeShade="80"/>
              <w:right w:val="nil"/>
            </w:tcBorders>
            <w:vAlign w:val="center"/>
          </w:tcPr>
          <w:p w14:paraId="0867377C" w14:textId="77777777" w:rsidR="006A67C6" w:rsidRPr="008309EF" w:rsidRDefault="006A67C6" w:rsidP="006A67C6">
            <w:pPr>
              <w:pStyle w:val="Prrafodelista"/>
              <w:numPr>
                <w:ilvl w:val="3"/>
                <w:numId w:val="50"/>
              </w:numPr>
              <w:spacing w:after="0"/>
              <w:ind w:left="567" w:hanging="113"/>
              <w:jc w:val="left"/>
              <w:rPr>
                <w:lang w:val="es-ES"/>
              </w:rPr>
            </w:pPr>
          </w:p>
        </w:tc>
        <w:tc>
          <w:tcPr>
            <w:tcW w:w="1984" w:type="dxa"/>
            <w:tcBorders>
              <w:top w:val="dashed" w:sz="2" w:space="0" w:color="767171" w:themeColor="background2" w:themeShade="80"/>
              <w:left w:val="nil"/>
              <w:bottom w:val="dashed" w:sz="4" w:space="0" w:color="767171" w:themeColor="background2" w:themeShade="80"/>
              <w:right w:val="single" w:sz="48" w:space="0" w:color="FFFFFF" w:themeColor="background1"/>
            </w:tcBorders>
            <w:vAlign w:val="center"/>
          </w:tcPr>
          <w:p w14:paraId="7AC84E89" w14:textId="77777777" w:rsidR="006A67C6" w:rsidRPr="008309EF" w:rsidRDefault="006A67C6" w:rsidP="00E731C2">
            <w:pPr>
              <w:spacing w:after="0"/>
              <w:jc w:val="left"/>
              <w:rPr>
                <w:sz w:val="14"/>
                <w:szCs w:val="14"/>
                <w:lang w:val="es-ES"/>
              </w:rPr>
            </w:pPr>
            <w:r w:rsidRPr="008309EF">
              <w:rPr>
                <w:sz w:val="14"/>
                <w:szCs w:val="14"/>
                <w:lang w:val="es-ES"/>
              </w:rPr>
              <w:t>Temporal</w:t>
            </w:r>
          </w:p>
        </w:tc>
        <w:tc>
          <w:tcPr>
            <w:tcW w:w="4252" w:type="dxa"/>
            <w:tcBorders>
              <w:top w:val="dashed" w:sz="2" w:space="0" w:color="767171" w:themeColor="background2" w:themeShade="80"/>
              <w:left w:val="single" w:sz="48" w:space="0" w:color="FFFFFF" w:themeColor="background1"/>
              <w:bottom w:val="dashed" w:sz="4" w:space="0" w:color="767171" w:themeColor="background2" w:themeShade="80"/>
              <w:right w:val="nil"/>
            </w:tcBorders>
            <w:vAlign w:val="center"/>
          </w:tcPr>
          <w:p w14:paraId="7179CA57" w14:textId="77777777" w:rsidR="006A67C6" w:rsidRPr="008309EF" w:rsidRDefault="006A67C6" w:rsidP="006A67C6">
            <w:pPr>
              <w:pStyle w:val="Prrafodelista"/>
              <w:numPr>
                <w:ilvl w:val="0"/>
                <w:numId w:val="54"/>
              </w:numPr>
              <w:spacing w:after="0"/>
              <w:ind w:left="567" w:hanging="113"/>
              <w:jc w:val="left"/>
              <w:rPr>
                <w:lang w:val="es-ES"/>
              </w:rPr>
            </w:pPr>
            <w:r w:rsidRPr="008309EF">
              <w:rPr>
                <w:lang w:val="es-ES"/>
              </w:rPr>
              <w:t>Ejercicio cerrado</w:t>
            </w:r>
          </w:p>
        </w:tc>
      </w:tr>
      <w:tr w:rsidR="006A67C6" w:rsidRPr="008309EF" w14:paraId="73B3FEAE" w14:textId="77777777" w:rsidTr="00E731C2">
        <w:trPr>
          <w:trHeight w:val="283"/>
          <w:jc w:val="center"/>
        </w:trPr>
        <w:tc>
          <w:tcPr>
            <w:tcW w:w="3261" w:type="dxa"/>
            <w:tcBorders>
              <w:top w:val="dashed" w:sz="4" w:space="0" w:color="767171" w:themeColor="background2" w:themeShade="80"/>
              <w:left w:val="nil"/>
              <w:bottom w:val="dashed" w:sz="4" w:space="0" w:color="767171" w:themeColor="background2" w:themeShade="80"/>
              <w:right w:val="nil"/>
            </w:tcBorders>
            <w:vAlign w:val="center"/>
          </w:tcPr>
          <w:p w14:paraId="051E2AF9" w14:textId="77777777" w:rsidR="006A67C6" w:rsidRPr="008309EF" w:rsidRDefault="006A67C6" w:rsidP="006A67C6">
            <w:pPr>
              <w:pStyle w:val="Prrafodelista"/>
              <w:numPr>
                <w:ilvl w:val="3"/>
                <w:numId w:val="50"/>
              </w:numPr>
              <w:spacing w:after="0"/>
              <w:ind w:left="567" w:hanging="113"/>
              <w:jc w:val="left"/>
              <w:rPr>
                <w:lang w:val="es-ES"/>
              </w:rPr>
            </w:pPr>
            <w:r w:rsidRPr="008309EF">
              <w:rPr>
                <w:lang w:val="es-ES"/>
              </w:rPr>
              <w:t>Publicidad</w:t>
            </w:r>
          </w:p>
        </w:tc>
        <w:tc>
          <w:tcPr>
            <w:tcW w:w="1984" w:type="dxa"/>
            <w:tcBorders>
              <w:top w:val="dashed" w:sz="4" w:space="0" w:color="767171" w:themeColor="background2" w:themeShade="80"/>
              <w:left w:val="nil"/>
              <w:bottom w:val="dashed" w:sz="4" w:space="0" w:color="767171" w:themeColor="background2" w:themeShade="80"/>
              <w:right w:val="single" w:sz="48" w:space="0" w:color="FFFFFF" w:themeColor="background1"/>
            </w:tcBorders>
            <w:vAlign w:val="center"/>
          </w:tcPr>
          <w:p w14:paraId="71634E19" w14:textId="77777777" w:rsidR="006A67C6" w:rsidRPr="008309EF" w:rsidRDefault="006A67C6" w:rsidP="00E731C2">
            <w:pPr>
              <w:spacing w:after="0"/>
              <w:jc w:val="left"/>
              <w:rPr>
                <w:lang w:val="es-ES"/>
              </w:rPr>
            </w:pPr>
          </w:p>
        </w:tc>
        <w:tc>
          <w:tcPr>
            <w:tcW w:w="4252" w:type="dxa"/>
            <w:tcBorders>
              <w:top w:val="dashed" w:sz="4" w:space="0" w:color="767171" w:themeColor="background2" w:themeShade="80"/>
              <w:left w:val="single" w:sz="48" w:space="0" w:color="FFFFFF" w:themeColor="background1"/>
              <w:bottom w:val="dashed" w:sz="4" w:space="0" w:color="767171" w:themeColor="background2" w:themeShade="80"/>
              <w:right w:val="nil"/>
            </w:tcBorders>
            <w:vAlign w:val="center"/>
          </w:tcPr>
          <w:p w14:paraId="09B80567" w14:textId="77777777" w:rsidR="006A67C6" w:rsidRPr="008309EF" w:rsidRDefault="006A67C6" w:rsidP="00E731C2">
            <w:pPr>
              <w:spacing w:after="0"/>
              <w:jc w:val="left"/>
              <w:rPr>
                <w:lang w:val="es-ES"/>
              </w:rPr>
            </w:pPr>
          </w:p>
        </w:tc>
      </w:tr>
      <w:tr w:rsidR="006A67C6" w:rsidRPr="008309EF" w14:paraId="7B858892" w14:textId="77777777" w:rsidTr="00E731C2">
        <w:trPr>
          <w:trHeight w:val="283"/>
          <w:jc w:val="center"/>
        </w:trPr>
        <w:tc>
          <w:tcPr>
            <w:tcW w:w="3261" w:type="dxa"/>
            <w:tcBorders>
              <w:top w:val="dashed" w:sz="4" w:space="0" w:color="767171" w:themeColor="background2" w:themeShade="80"/>
              <w:left w:val="nil"/>
              <w:bottom w:val="dashed" w:sz="4" w:space="0" w:color="767171" w:themeColor="background2" w:themeShade="80"/>
              <w:right w:val="nil"/>
            </w:tcBorders>
            <w:vAlign w:val="center"/>
          </w:tcPr>
          <w:p w14:paraId="5B3E573D" w14:textId="77777777" w:rsidR="006A67C6" w:rsidRPr="008309EF" w:rsidRDefault="006A67C6" w:rsidP="006A67C6">
            <w:pPr>
              <w:pStyle w:val="Prrafodelista"/>
              <w:numPr>
                <w:ilvl w:val="3"/>
                <w:numId w:val="50"/>
              </w:numPr>
              <w:spacing w:after="0"/>
              <w:ind w:left="567" w:hanging="113"/>
              <w:jc w:val="left"/>
              <w:rPr>
                <w:lang w:val="es-ES"/>
              </w:rPr>
            </w:pPr>
            <w:r w:rsidRPr="008309EF">
              <w:rPr>
                <w:lang w:val="es-ES"/>
              </w:rPr>
              <w:t>No afectación</w:t>
            </w:r>
          </w:p>
        </w:tc>
        <w:tc>
          <w:tcPr>
            <w:tcW w:w="1984" w:type="dxa"/>
            <w:tcBorders>
              <w:top w:val="dashed" w:sz="4" w:space="0" w:color="767171" w:themeColor="background2" w:themeShade="80"/>
              <w:left w:val="nil"/>
              <w:bottom w:val="dashed" w:sz="4" w:space="0" w:color="767171" w:themeColor="background2" w:themeShade="80"/>
              <w:right w:val="single" w:sz="48" w:space="0" w:color="FFFFFF" w:themeColor="background1"/>
            </w:tcBorders>
            <w:vAlign w:val="center"/>
          </w:tcPr>
          <w:p w14:paraId="01A5AD16" w14:textId="77777777" w:rsidR="006A67C6" w:rsidRPr="008309EF" w:rsidRDefault="006A67C6" w:rsidP="00E731C2">
            <w:pPr>
              <w:spacing w:after="0"/>
              <w:jc w:val="left"/>
              <w:rPr>
                <w:lang w:val="es-ES"/>
              </w:rPr>
            </w:pPr>
          </w:p>
        </w:tc>
        <w:tc>
          <w:tcPr>
            <w:tcW w:w="4252" w:type="dxa"/>
            <w:tcBorders>
              <w:top w:val="dashed" w:sz="4" w:space="0" w:color="767171" w:themeColor="background2" w:themeShade="80"/>
              <w:left w:val="single" w:sz="48" w:space="0" w:color="FFFFFF" w:themeColor="background1"/>
              <w:bottom w:val="dashed" w:sz="4" w:space="0" w:color="767171" w:themeColor="background2" w:themeShade="80"/>
              <w:right w:val="nil"/>
            </w:tcBorders>
            <w:vAlign w:val="center"/>
          </w:tcPr>
          <w:p w14:paraId="4BEDC403" w14:textId="77777777" w:rsidR="006A67C6" w:rsidRPr="008309EF" w:rsidRDefault="006A67C6" w:rsidP="00E731C2">
            <w:pPr>
              <w:spacing w:after="0"/>
              <w:jc w:val="left"/>
              <w:rPr>
                <w:lang w:val="es-ES"/>
              </w:rPr>
            </w:pPr>
          </w:p>
        </w:tc>
      </w:tr>
    </w:tbl>
    <w:p w14:paraId="78B8EEC2" w14:textId="5E16934F" w:rsidR="008F3F26" w:rsidRPr="009B38C3" w:rsidRDefault="008F3F26" w:rsidP="00A66907">
      <w:pPr>
        <w:pStyle w:val="Ttulo3"/>
        <w:spacing w:before="0"/>
      </w:pPr>
      <w:bookmarkStart w:id="25" w:name="_Toc150445792"/>
      <w:r w:rsidRPr="00602528">
        <w:t>Principios políticos</w:t>
      </w:r>
      <w:bookmarkEnd w:id="25"/>
    </w:p>
    <w:p w14:paraId="479BB71F" w14:textId="3569CE39" w:rsidR="0025647A" w:rsidRPr="009B38C3" w:rsidRDefault="001C53F5" w:rsidP="006A67C6">
      <w:pPr>
        <w:pStyle w:val="Nivel1SM"/>
        <w:spacing w:before="0"/>
      </w:pPr>
      <w:r>
        <w:t xml:space="preserve">Los </w:t>
      </w:r>
      <w:r w:rsidRPr="001C53F5">
        <w:rPr>
          <w:b/>
          <w:bCs/>
        </w:rPr>
        <w:t>principios políticos</w:t>
      </w:r>
      <w:r>
        <w:t xml:space="preserve"> e</w:t>
      </w:r>
      <w:r w:rsidR="0025647A" w:rsidRPr="00C77411">
        <w:t xml:space="preserve">stablecen que </w:t>
      </w:r>
      <w:r w:rsidR="0025647A" w:rsidRPr="001C53F5">
        <w:rPr>
          <w:i/>
          <w:iCs/>
        </w:rPr>
        <w:t>el poder ejecutivo debe estar controlado por el legislativo en la ejecución del presupuesto</w:t>
      </w:r>
      <w:r w:rsidR="0025647A" w:rsidRPr="00C77411">
        <w:t>.</w:t>
      </w:r>
    </w:p>
    <w:p w14:paraId="3F1146BC" w14:textId="06E1C2E6" w:rsidR="008F3F26" w:rsidRPr="009B38C3" w:rsidRDefault="00061555" w:rsidP="00B248DC">
      <w:pPr>
        <w:pStyle w:val="Ttulo6"/>
        <w:numPr>
          <w:ilvl w:val="4"/>
          <w:numId w:val="50"/>
        </w:numPr>
        <w:ind w:left="0" w:hanging="284"/>
      </w:pPr>
      <w:bookmarkStart w:id="26" w:name="_Toc150445793"/>
      <w:r>
        <w:t>C</w:t>
      </w:r>
      <w:r w:rsidR="008F3F26" w:rsidRPr="00887AF2">
        <w:t>ompetencia</w:t>
      </w:r>
      <w:bookmarkEnd w:id="26"/>
    </w:p>
    <w:p w14:paraId="14D36454" w14:textId="59049230" w:rsidR="008F3F26" w:rsidRDefault="008F3F26" w:rsidP="001D5A90">
      <w:pPr>
        <w:pStyle w:val="Nivel2SM"/>
        <w:keepNext/>
        <w:spacing w:after="0"/>
      </w:pPr>
      <w:r w:rsidRPr="00DE0961">
        <w:rPr>
          <w:i/>
          <w:iCs/>
          <w:u w:val="single"/>
        </w:rPr>
        <w:t>Formulación clásica</w:t>
      </w:r>
      <w:r>
        <w:t>:</w:t>
      </w:r>
    </w:p>
    <w:p w14:paraId="3DAC4C6D" w14:textId="12384088" w:rsidR="008F3F26" w:rsidRDefault="0025647A" w:rsidP="001D5A90">
      <w:pPr>
        <w:pStyle w:val="Nivel3SM"/>
      </w:pPr>
      <w:r>
        <w:t>E</w:t>
      </w:r>
      <w:r w:rsidRPr="0025647A">
        <w:t>stá muy ligado al principio de división de poderes (</w:t>
      </w:r>
      <w:r w:rsidRPr="0069786F">
        <w:rPr>
          <w:smallCaps/>
        </w:rPr>
        <w:t>Montesquieu</w:t>
      </w:r>
      <w:r w:rsidRPr="0025647A">
        <w:t xml:space="preserve">) e implica que el </w:t>
      </w:r>
      <w:r w:rsidRPr="0069786F">
        <w:rPr>
          <w:i/>
          <w:iCs/>
        </w:rPr>
        <w:t>poder ejecutivo</w:t>
      </w:r>
      <w:r w:rsidRPr="0025647A">
        <w:t xml:space="preserve"> propone y ejecuta el presupuesto; el </w:t>
      </w:r>
      <w:r w:rsidRPr="0069786F">
        <w:rPr>
          <w:i/>
          <w:iCs/>
        </w:rPr>
        <w:t>legislativo</w:t>
      </w:r>
      <w:r w:rsidRPr="0025647A">
        <w:t xml:space="preserve"> lo aprueba y controla políticamente; y el </w:t>
      </w:r>
      <w:r w:rsidRPr="0069786F">
        <w:rPr>
          <w:i/>
          <w:iCs/>
        </w:rPr>
        <w:t>judicial</w:t>
      </w:r>
      <w:r w:rsidRPr="0025647A">
        <w:t xml:space="preserve"> lo controla judicialmente.</w:t>
      </w:r>
    </w:p>
    <w:p w14:paraId="15FCBD81" w14:textId="77777777" w:rsidR="008F3F26" w:rsidRDefault="008F3F26" w:rsidP="001D5A90">
      <w:pPr>
        <w:pStyle w:val="Nivel2SM"/>
        <w:keepNext/>
        <w:spacing w:after="0"/>
      </w:pPr>
      <w:r w:rsidRPr="00496A5F">
        <w:rPr>
          <w:i/>
          <w:iCs/>
          <w:u w:val="single"/>
        </w:rPr>
        <w:t>Modificaciones</w:t>
      </w:r>
      <w:r>
        <w:t>:</w:t>
      </w:r>
    </w:p>
    <w:p w14:paraId="1BFEB16B" w14:textId="05CC8AC5" w:rsidR="008F3F26" w:rsidRDefault="008F3F26" w:rsidP="001D5A90">
      <w:pPr>
        <w:pStyle w:val="Nivel3SM"/>
        <w:keepNext/>
      </w:pPr>
      <w:r>
        <w:t xml:space="preserve">La creciente complejidad del presupuesto y los cambios políticos han relajado este principio, </w:t>
      </w:r>
      <w:r w:rsidRPr="00DC30CE">
        <w:t>acentuando el protagonismo del ejecutivo</w:t>
      </w:r>
      <w:r w:rsidR="0069786F" w:rsidRPr="0069786F">
        <w:t xml:space="preserve"> </w:t>
      </w:r>
      <w:r w:rsidR="0069786F">
        <w:t>(p.ej. debido a la necesidad de flexibilidad, pues los trámites parlamentarios pueden ser muy lentos)</w:t>
      </w:r>
      <w:r>
        <w:t>.</w:t>
      </w:r>
    </w:p>
    <w:p w14:paraId="14E90827" w14:textId="10285B34" w:rsidR="008F3F26" w:rsidRDefault="00844633" w:rsidP="001D5A90">
      <w:pPr>
        <w:pStyle w:val="Nivel4"/>
        <w:ind w:left="1474"/>
      </w:pPr>
      <w:r>
        <w:t>A</w:t>
      </w:r>
      <w:r w:rsidR="008F3F26">
        <w:t>lgunas de las facultades del Parlamento se han restringido (</w:t>
      </w:r>
      <w:r w:rsidR="009940F7">
        <w:t>p.ej.</w:t>
      </w:r>
      <w:r w:rsidR="008F3F26">
        <w:t xml:space="preserve"> prohibición de aumentar el total de gasto presupuestario).</w:t>
      </w:r>
    </w:p>
    <w:p w14:paraId="1EB3FA81" w14:textId="6967630B" w:rsidR="008F3F26" w:rsidRDefault="00844633" w:rsidP="001D5A90">
      <w:pPr>
        <w:pStyle w:val="Nivel4"/>
        <w:ind w:left="1474"/>
      </w:pPr>
      <w:r>
        <w:t>E</w:t>
      </w:r>
      <w:r w:rsidR="00487D78">
        <w:t>n cualquier caso, e</w:t>
      </w:r>
      <w:r w:rsidR="008F3F26">
        <w:t>l Parlamento mantiene la última palabra en cuanto a la decisión de aprobación de los presupuestos.</w:t>
      </w:r>
    </w:p>
    <w:p w14:paraId="3AEA4974" w14:textId="46AC9129" w:rsidR="008F3F26" w:rsidRPr="00887AF2" w:rsidRDefault="00061555" w:rsidP="00B248DC">
      <w:pPr>
        <w:pStyle w:val="Ttulo6"/>
        <w:numPr>
          <w:ilvl w:val="4"/>
          <w:numId w:val="50"/>
        </w:numPr>
        <w:ind w:left="0" w:hanging="284"/>
      </w:pPr>
      <w:bookmarkStart w:id="27" w:name="_Toc150445794"/>
      <w:r>
        <w:lastRenderedPageBreak/>
        <w:t>U</w:t>
      </w:r>
      <w:r w:rsidR="008F3F26" w:rsidRPr="00887AF2">
        <w:t>niversalidad</w:t>
      </w:r>
      <w:bookmarkEnd w:id="27"/>
    </w:p>
    <w:p w14:paraId="4910C9F9" w14:textId="1CBBCB54" w:rsidR="008F3F26" w:rsidRDefault="008F3F26" w:rsidP="001D5A90">
      <w:pPr>
        <w:pStyle w:val="Nivel2SM"/>
        <w:keepNext/>
        <w:spacing w:after="0"/>
      </w:pPr>
      <w:r w:rsidRPr="00496A5F">
        <w:rPr>
          <w:i/>
          <w:iCs/>
          <w:u w:val="single"/>
        </w:rPr>
        <w:t>Formulación clásica</w:t>
      </w:r>
      <w:r>
        <w:t>:</w:t>
      </w:r>
    </w:p>
    <w:p w14:paraId="25BC03D4" w14:textId="70DCC533" w:rsidR="008F3F26" w:rsidRDefault="008F3F26" w:rsidP="001D5A90">
      <w:pPr>
        <w:pStyle w:val="Nivel3SM"/>
      </w:pPr>
      <w:r>
        <w:t>El presupuesto debe recog</w:t>
      </w:r>
      <w:r w:rsidR="0025647A">
        <w:t>er todos los ingresos y gastos de forma que el poder legislativo pueda controlar toda actividad del ejecutivo.</w:t>
      </w:r>
    </w:p>
    <w:p w14:paraId="38EBB0D6" w14:textId="77777777" w:rsidR="008F3F26" w:rsidRDefault="008F3F26" w:rsidP="001D5A90">
      <w:pPr>
        <w:pStyle w:val="Nivel2SM"/>
        <w:keepNext/>
        <w:spacing w:after="0"/>
      </w:pPr>
      <w:r w:rsidRPr="00496A5F">
        <w:rPr>
          <w:i/>
          <w:iCs/>
          <w:u w:val="single"/>
        </w:rPr>
        <w:t>Modificaciones</w:t>
      </w:r>
      <w:r>
        <w:t>:</w:t>
      </w:r>
    </w:p>
    <w:p w14:paraId="25204E27" w14:textId="247AA2CA" w:rsidR="008F3F26" w:rsidRDefault="008F3F26" w:rsidP="001D5A90">
      <w:pPr>
        <w:pStyle w:val="Nivel3SM"/>
      </w:pPr>
      <w:r>
        <w:t>La creciente intervención del sector público en la actividad económica como empresario (empresas públicas) hace que esto sea más difícil, ya que éstas no deben contabilizar por valores brutos sino netos.</w:t>
      </w:r>
    </w:p>
    <w:p w14:paraId="63B685C4" w14:textId="358F7E59" w:rsidR="008F3F26" w:rsidRPr="00887AF2" w:rsidRDefault="00061555" w:rsidP="00B248DC">
      <w:pPr>
        <w:pStyle w:val="Ttulo6"/>
        <w:numPr>
          <w:ilvl w:val="4"/>
          <w:numId w:val="50"/>
        </w:numPr>
        <w:ind w:left="0" w:hanging="284"/>
      </w:pPr>
      <w:bookmarkStart w:id="28" w:name="_Toc150445795"/>
      <w:r>
        <w:t>U</w:t>
      </w:r>
      <w:r w:rsidR="008F3F26">
        <w:t>nidad presupuestaria</w:t>
      </w:r>
      <w:bookmarkEnd w:id="28"/>
    </w:p>
    <w:p w14:paraId="6C36A204" w14:textId="5BB85136" w:rsidR="008F3F26" w:rsidRDefault="008F3F26" w:rsidP="00D50075">
      <w:pPr>
        <w:pStyle w:val="Nivel2SM"/>
        <w:keepNext/>
        <w:spacing w:after="0"/>
      </w:pPr>
      <w:r w:rsidRPr="00496A5F">
        <w:rPr>
          <w:i/>
          <w:iCs/>
          <w:u w:val="single"/>
        </w:rPr>
        <w:t>Formulación clásica</w:t>
      </w:r>
      <w:r>
        <w:t>:</w:t>
      </w:r>
    </w:p>
    <w:p w14:paraId="1DCA6BAD" w14:textId="09148CFD" w:rsidR="008F3F26" w:rsidRDefault="0025647A" w:rsidP="00D50075">
      <w:pPr>
        <w:pStyle w:val="Nivel3SM"/>
      </w:pPr>
      <w:r>
        <w:t>El presupuesto debe ser único par que sea más fácil su conocimiento y control.</w:t>
      </w:r>
    </w:p>
    <w:p w14:paraId="79918670" w14:textId="77777777" w:rsidR="008F3F26" w:rsidRDefault="008F3F26" w:rsidP="00D50075">
      <w:pPr>
        <w:pStyle w:val="Nivel2SM"/>
        <w:keepNext/>
        <w:spacing w:after="0"/>
      </w:pPr>
      <w:r w:rsidRPr="00496A5F">
        <w:rPr>
          <w:i/>
          <w:iCs/>
          <w:u w:val="single"/>
        </w:rPr>
        <w:t>Modificaciones</w:t>
      </w:r>
      <w:r>
        <w:t>:</w:t>
      </w:r>
    </w:p>
    <w:p w14:paraId="3E2017BB" w14:textId="5FA6577A" w:rsidR="008F3F26" w:rsidRPr="00903695" w:rsidRDefault="008F3F26" w:rsidP="00D50075">
      <w:pPr>
        <w:pStyle w:val="Nivel3SM"/>
      </w:pPr>
      <w:r>
        <w:t>Los presupuestos de las empresas públicas o de la Seguridad Social no forman parte del presupuesto general y tienen tesorerías independientes.</w:t>
      </w:r>
    </w:p>
    <w:p w14:paraId="2A2DFC68" w14:textId="45C092E7" w:rsidR="008F3F26" w:rsidRPr="00887AF2" w:rsidRDefault="00061555" w:rsidP="00B248DC">
      <w:pPr>
        <w:pStyle w:val="Ttulo6"/>
        <w:numPr>
          <w:ilvl w:val="4"/>
          <w:numId w:val="50"/>
        </w:numPr>
        <w:ind w:left="0" w:hanging="284"/>
      </w:pPr>
      <w:bookmarkStart w:id="29" w:name="_Toc150445796"/>
      <w:r>
        <w:t>E</w:t>
      </w:r>
      <w:r w:rsidR="008F3F26">
        <w:t>specialidad</w:t>
      </w:r>
      <w:bookmarkEnd w:id="29"/>
    </w:p>
    <w:p w14:paraId="4138ED3C" w14:textId="356259A8" w:rsidR="00617811" w:rsidRDefault="008F3F26" w:rsidP="00D50075">
      <w:pPr>
        <w:pStyle w:val="Nivel2SM"/>
        <w:keepNext/>
        <w:spacing w:after="0"/>
      </w:pPr>
      <w:r w:rsidRPr="00496A5F">
        <w:rPr>
          <w:i/>
          <w:iCs/>
          <w:u w:val="single"/>
        </w:rPr>
        <w:t>Formulación clásica</w:t>
      </w:r>
      <w:r>
        <w:t>:</w:t>
      </w:r>
    </w:p>
    <w:p w14:paraId="3FF1ED44" w14:textId="3C2B8CFE" w:rsidR="008F3F26" w:rsidRDefault="008F3F26" w:rsidP="00D50075">
      <w:pPr>
        <w:pStyle w:val="Nivel3SM"/>
        <w:keepNext/>
      </w:pPr>
      <w:r>
        <w:t>Implica que la autorización de gasto que el poder legislativo concede al poder ejecutivo está condicionada</w:t>
      </w:r>
      <w:r w:rsidR="00DC30CE">
        <w:t xml:space="preserve"> a los objetivos especificados</w:t>
      </w:r>
      <w:r>
        <w:t>:</w:t>
      </w:r>
    </w:p>
    <w:p w14:paraId="3F2814B5" w14:textId="2E07E9E0" w:rsidR="008F3F26" w:rsidRDefault="008F3F26" w:rsidP="00D50075">
      <w:pPr>
        <w:pStyle w:val="Nivel4"/>
        <w:ind w:left="1474"/>
      </w:pPr>
      <w:r w:rsidRPr="00496A5F">
        <w:rPr>
          <w:i/>
          <w:iCs/>
        </w:rPr>
        <w:t>Cuantitativamente</w:t>
      </w:r>
      <w:r>
        <w:t>: Los gastos se autorizan en una cantidad determinada.</w:t>
      </w:r>
    </w:p>
    <w:p w14:paraId="7FAF36C5" w14:textId="21149795" w:rsidR="008F3F26" w:rsidRDefault="008F3F26" w:rsidP="00D50075">
      <w:pPr>
        <w:pStyle w:val="Nivel4"/>
        <w:ind w:left="1474"/>
      </w:pPr>
      <w:r w:rsidRPr="00496A5F">
        <w:rPr>
          <w:i/>
          <w:iCs/>
        </w:rPr>
        <w:t>Cualitativamente</w:t>
      </w:r>
      <w:r>
        <w:t>: Los gastos se autorizan para una finalidad específica.</w:t>
      </w:r>
    </w:p>
    <w:p w14:paraId="30457D3E" w14:textId="4A119F2F" w:rsidR="00617811" w:rsidRDefault="008F3F26" w:rsidP="00D50075">
      <w:pPr>
        <w:pStyle w:val="Nivel4"/>
        <w:ind w:left="1474"/>
      </w:pPr>
      <w:r w:rsidRPr="00496A5F">
        <w:rPr>
          <w:i/>
          <w:iCs/>
        </w:rPr>
        <w:t>Temporalmente</w:t>
      </w:r>
      <w:r>
        <w:t>: Los gastos se autorizan para un periodo determinado.</w:t>
      </w:r>
    </w:p>
    <w:p w14:paraId="74E28D0F" w14:textId="77777777" w:rsidR="008F3F26" w:rsidRDefault="008F3F26" w:rsidP="00D50075">
      <w:pPr>
        <w:pStyle w:val="Nivel2SM"/>
        <w:keepNext/>
        <w:spacing w:after="0"/>
      </w:pPr>
      <w:r w:rsidRPr="00496A5F">
        <w:rPr>
          <w:i/>
          <w:iCs/>
          <w:u w:val="single"/>
        </w:rPr>
        <w:t>Modificaciones</w:t>
      </w:r>
      <w:r>
        <w:t>:</w:t>
      </w:r>
    </w:p>
    <w:p w14:paraId="324A7AFA" w14:textId="77777777" w:rsidR="008F3F26" w:rsidRDefault="008F3F26" w:rsidP="00D50075">
      <w:pPr>
        <w:pStyle w:val="Nivel3SM"/>
        <w:keepNext/>
      </w:pPr>
      <w:r>
        <w:t>Con el paso del tiempo, este principio se ha ido flexibilizando:</w:t>
      </w:r>
    </w:p>
    <w:p w14:paraId="6E5C8C7A" w14:textId="5A41F649" w:rsidR="008F3F26" w:rsidRDefault="008F3F26" w:rsidP="00D50075">
      <w:pPr>
        <w:pStyle w:val="Nivel4"/>
        <w:ind w:left="1474"/>
      </w:pPr>
      <w:r w:rsidRPr="00496A5F">
        <w:rPr>
          <w:i/>
          <w:iCs/>
        </w:rPr>
        <w:t>Cuantitativamente</w:t>
      </w:r>
      <w:r>
        <w:t>: Existen procedimientos para permitir aumentos de gastos (</w:t>
      </w:r>
      <w:r w:rsidR="009940F7">
        <w:t>p.ej.</w:t>
      </w:r>
      <w:r>
        <w:t xml:space="preserve"> créditos suplementarios).</w:t>
      </w:r>
    </w:p>
    <w:p w14:paraId="6F862558" w14:textId="77777777" w:rsidR="008F3F26" w:rsidRDefault="008F3F26" w:rsidP="00D50075">
      <w:pPr>
        <w:pStyle w:val="Nivel4"/>
        <w:ind w:left="1474"/>
      </w:pPr>
      <w:r w:rsidRPr="00496A5F">
        <w:rPr>
          <w:i/>
          <w:iCs/>
        </w:rPr>
        <w:t>Cualitativamente</w:t>
      </w:r>
      <w:r>
        <w:t>: Se permiten ciertos trasvases entre partidas de gasto.</w:t>
      </w:r>
    </w:p>
    <w:p w14:paraId="0A2474B4" w14:textId="5B3635C9" w:rsidR="008F3F26" w:rsidRPr="00B61065" w:rsidRDefault="008F3F26" w:rsidP="00D50075">
      <w:pPr>
        <w:pStyle w:val="Nivel4"/>
        <w:ind w:left="1474"/>
        <w:rPr>
          <w:spacing w:val="-4"/>
        </w:rPr>
      </w:pPr>
      <w:r w:rsidRPr="00496A5F">
        <w:rPr>
          <w:i/>
          <w:iCs/>
          <w:spacing w:val="-4"/>
        </w:rPr>
        <w:t>Temporalmente</w:t>
      </w:r>
      <w:r w:rsidRPr="00B61065">
        <w:rPr>
          <w:spacing w:val="-4"/>
        </w:rPr>
        <w:t>: Programación de ciertas inversiones que comprometen gastos futuros.</w:t>
      </w:r>
    </w:p>
    <w:p w14:paraId="68620718" w14:textId="02BADE17" w:rsidR="008F3F26" w:rsidRPr="00887AF2" w:rsidRDefault="00061555" w:rsidP="00B248DC">
      <w:pPr>
        <w:pStyle w:val="Ttulo6"/>
        <w:numPr>
          <w:ilvl w:val="4"/>
          <w:numId w:val="50"/>
        </w:numPr>
        <w:ind w:left="0" w:hanging="284"/>
      </w:pPr>
      <w:bookmarkStart w:id="30" w:name="_Toc150445797"/>
      <w:r>
        <w:t>P</w:t>
      </w:r>
      <w:r w:rsidR="008F3F26">
        <w:t>ublicidad</w:t>
      </w:r>
      <w:bookmarkEnd w:id="30"/>
    </w:p>
    <w:p w14:paraId="13B722CD" w14:textId="22601B5B" w:rsidR="00924DB4" w:rsidRDefault="008F3F26" w:rsidP="00D50075">
      <w:pPr>
        <w:pStyle w:val="Nivel2SM"/>
        <w:keepNext/>
        <w:spacing w:after="0"/>
      </w:pPr>
      <w:r w:rsidRPr="00496A5F">
        <w:rPr>
          <w:i/>
          <w:iCs/>
          <w:u w:val="single"/>
        </w:rPr>
        <w:t>Formulación clásica</w:t>
      </w:r>
      <w:r>
        <w:t>:</w:t>
      </w:r>
    </w:p>
    <w:p w14:paraId="7918C8CF" w14:textId="5AEBFBFD" w:rsidR="00617811" w:rsidRDefault="00924DB4" w:rsidP="00D50075">
      <w:pPr>
        <w:pStyle w:val="Nivel3SM"/>
      </w:pPr>
      <w:r>
        <w:t>T</w:t>
      </w:r>
      <w:r w:rsidRPr="00924DB4">
        <w:t>odas las fases presupuestarias deben ser públicas, para que los ciudadanos puedan informarse sobre la conducta del Ejecutivo.</w:t>
      </w:r>
    </w:p>
    <w:p w14:paraId="46DC9C51" w14:textId="77777777" w:rsidR="00844633" w:rsidRDefault="00844633" w:rsidP="00D50075">
      <w:pPr>
        <w:pStyle w:val="Nivel2SM"/>
        <w:keepNext/>
        <w:spacing w:after="0"/>
      </w:pPr>
      <w:r w:rsidRPr="00496A5F">
        <w:rPr>
          <w:i/>
          <w:iCs/>
          <w:u w:val="single"/>
        </w:rPr>
        <w:t>Principio contable de transparencia</w:t>
      </w:r>
      <w:r>
        <w:t>:</w:t>
      </w:r>
    </w:p>
    <w:p w14:paraId="11434E8C" w14:textId="16A3B64F" w:rsidR="00844633" w:rsidRPr="00844633" w:rsidRDefault="00844633" w:rsidP="00D50075">
      <w:pPr>
        <w:pStyle w:val="Nivel3SM"/>
      </w:pPr>
      <w:r>
        <w:t>Se debe saber cuál es el destino funcional y económico del presupuesto.</w:t>
      </w:r>
    </w:p>
    <w:p w14:paraId="5E291245" w14:textId="77777777" w:rsidR="008F3F26" w:rsidRDefault="008F3F26" w:rsidP="00D50075">
      <w:pPr>
        <w:pStyle w:val="Nivel2SM"/>
        <w:keepNext/>
        <w:spacing w:after="0"/>
      </w:pPr>
      <w:r w:rsidRPr="00496A5F">
        <w:rPr>
          <w:i/>
          <w:iCs/>
          <w:u w:val="single"/>
        </w:rPr>
        <w:t>Modificaciones</w:t>
      </w:r>
      <w:r>
        <w:t>:</w:t>
      </w:r>
    </w:p>
    <w:p w14:paraId="68AED0DB" w14:textId="77777777" w:rsidR="008F3F26" w:rsidRDefault="00844633" w:rsidP="00D50075">
      <w:pPr>
        <w:pStyle w:val="Nivel3SM"/>
      </w:pPr>
      <w:r>
        <w:t>C</w:t>
      </w:r>
      <w:r w:rsidR="008F3F26">
        <w:t>iertas partidas siguen sin ser públicas. Es el caso de determinados gastos de defensa (que se consideran “secreto de Estado”).</w:t>
      </w:r>
    </w:p>
    <w:p w14:paraId="38B1C6FF" w14:textId="00E23578" w:rsidR="008F3F26" w:rsidRDefault="008F3F26" w:rsidP="00103677">
      <w:pPr>
        <w:pStyle w:val="Nivel3SM"/>
      </w:pPr>
      <w:r>
        <w:t>En todo caso, se observa una tendencia gener</w:t>
      </w:r>
      <w:r w:rsidR="00844633">
        <w:t>al a fomentar más transparencia</w:t>
      </w:r>
      <w:r w:rsidR="00103677">
        <w:t>. Por ejemplo, en</w:t>
      </w:r>
      <w:r w:rsidR="00844633">
        <w:t xml:space="preserve"> España</w:t>
      </w:r>
      <w:r w:rsidR="00617811">
        <w:t xml:space="preserve"> </w:t>
      </w:r>
      <w:r w:rsidR="00103677">
        <w:t xml:space="preserve">se aprobó en 2013 la </w:t>
      </w:r>
      <w:r w:rsidR="00844633" w:rsidRPr="00103677">
        <w:rPr>
          <w:i/>
          <w:iCs/>
        </w:rPr>
        <w:t>L</w:t>
      </w:r>
      <w:r w:rsidRPr="00103677">
        <w:rPr>
          <w:i/>
          <w:iCs/>
        </w:rPr>
        <w:t>ey de Transparencia</w:t>
      </w:r>
      <w:r w:rsidR="00103677" w:rsidRPr="00103677">
        <w:rPr>
          <w:i/>
          <w:iCs/>
        </w:rPr>
        <w:t>, acceso a la información pública y buen gobierno</w:t>
      </w:r>
      <w:r>
        <w:t>.</w:t>
      </w:r>
    </w:p>
    <w:p w14:paraId="0B44BD39" w14:textId="0BCBDB14" w:rsidR="008F3F26" w:rsidRPr="00887AF2" w:rsidRDefault="00061555" w:rsidP="00B248DC">
      <w:pPr>
        <w:pStyle w:val="Ttulo6"/>
        <w:numPr>
          <w:ilvl w:val="4"/>
          <w:numId w:val="50"/>
        </w:numPr>
        <w:ind w:left="0" w:hanging="284"/>
      </w:pPr>
      <w:bookmarkStart w:id="31" w:name="_Toc150445798"/>
      <w:r>
        <w:t>N</w:t>
      </w:r>
      <w:r w:rsidR="008F3F26">
        <w:t>o afectación</w:t>
      </w:r>
      <w:bookmarkEnd w:id="31"/>
    </w:p>
    <w:p w14:paraId="671BF15F" w14:textId="0E7193B0" w:rsidR="00617811" w:rsidRDefault="008F3F26" w:rsidP="00D50075">
      <w:pPr>
        <w:pStyle w:val="Nivel2SM"/>
        <w:keepNext/>
        <w:spacing w:after="0"/>
      </w:pPr>
      <w:r w:rsidRPr="00496A5F">
        <w:rPr>
          <w:i/>
          <w:iCs/>
          <w:u w:val="single"/>
        </w:rPr>
        <w:t>Formulación clásica</w:t>
      </w:r>
      <w:r>
        <w:t>:</w:t>
      </w:r>
    </w:p>
    <w:p w14:paraId="60E404E8" w14:textId="6DCE4629" w:rsidR="00617811" w:rsidRPr="009940F7" w:rsidRDefault="00924DB4" w:rsidP="00D50075">
      <w:pPr>
        <w:pStyle w:val="Nivel3SM"/>
      </w:pPr>
      <w:r>
        <w:t>T</w:t>
      </w:r>
      <w:r w:rsidRPr="00F669B4">
        <w:t>odos los ingresos representan una masa común que sirve para financiar indistintamente todos los gastos</w:t>
      </w:r>
      <w:r>
        <w:t>.</w:t>
      </w:r>
    </w:p>
    <w:p w14:paraId="269D1319" w14:textId="77777777" w:rsidR="008F3F26" w:rsidRDefault="008F3F26" w:rsidP="00D50075">
      <w:pPr>
        <w:pStyle w:val="Nivel2SM"/>
        <w:keepNext/>
        <w:spacing w:after="0"/>
      </w:pPr>
      <w:r w:rsidRPr="00496A5F">
        <w:rPr>
          <w:i/>
          <w:iCs/>
          <w:u w:val="single"/>
        </w:rPr>
        <w:lastRenderedPageBreak/>
        <w:t>Modificaciones</w:t>
      </w:r>
      <w:r>
        <w:t>:</w:t>
      </w:r>
    </w:p>
    <w:p w14:paraId="573D0ACB" w14:textId="317962D9" w:rsidR="008F3F26" w:rsidRDefault="008F3F26" w:rsidP="00D50075">
      <w:pPr>
        <w:pStyle w:val="Nivel3SM"/>
      </w:pPr>
      <w:r>
        <w:t>En general se cumple, pero hay ciertas excepciones (</w:t>
      </w:r>
      <w:r w:rsidR="009940F7">
        <w:t>p.ej.</w:t>
      </w:r>
      <w:r>
        <w:t xml:space="preserve"> ecotasa aplicada en Baleares, que establece un impuesto al turismo –estancias en hoteles, apartamentos…</w:t>
      </w:r>
      <w:r w:rsidR="00103677">
        <w:t>–</w:t>
      </w:r>
      <w:r>
        <w:t xml:space="preserve"> cuya recaudación se destina por ley a un fondo para la rehabilitación de espacios turísticos).</w:t>
      </w:r>
    </w:p>
    <w:p w14:paraId="6A6B428B" w14:textId="60F7293D" w:rsidR="00CC04A9" w:rsidRPr="009940F7" w:rsidRDefault="00CC04A9" w:rsidP="00A66907">
      <w:pPr>
        <w:pStyle w:val="Ttulo3"/>
      </w:pPr>
      <w:bookmarkStart w:id="32" w:name="_Toc150445799"/>
      <w:r w:rsidRPr="00BB2E01">
        <w:t>Principios contables</w:t>
      </w:r>
      <w:bookmarkEnd w:id="32"/>
    </w:p>
    <w:p w14:paraId="1968832F" w14:textId="0C151696" w:rsidR="00CC04A9" w:rsidRDefault="001C53F5" w:rsidP="006A67C6">
      <w:pPr>
        <w:pStyle w:val="Nivel1SM"/>
        <w:spacing w:before="0"/>
        <w:rPr>
          <w:spacing w:val="-2"/>
        </w:rPr>
      </w:pPr>
      <w:r>
        <w:t xml:space="preserve">Los </w:t>
      </w:r>
      <w:r>
        <w:rPr>
          <w:b/>
          <w:bCs/>
        </w:rPr>
        <w:t>principios contables</w:t>
      </w:r>
      <w:r>
        <w:t xml:space="preserve"> t</w:t>
      </w:r>
      <w:r w:rsidR="00CC04A9">
        <w:t xml:space="preserve">ienen carácter secundario y son el simple reflejo de los principios políticos. </w:t>
      </w:r>
      <w:r w:rsidR="00CC04A9" w:rsidRPr="00D16C4C">
        <w:rPr>
          <w:spacing w:val="-2"/>
        </w:rPr>
        <w:t xml:space="preserve">Cada principio </w:t>
      </w:r>
      <w:r w:rsidR="00B61065" w:rsidRPr="00D16C4C">
        <w:rPr>
          <w:spacing w:val="-2"/>
        </w:rPr>
        <w:t>contable</w:t>
      </w:r>
      <w:r w:rsidR="00CC04A9" w:rsidRPr="00D16C4C">
        <w:rPr>
          <w:spacing w:val="-2"/>
        </w:rPr>
        <w:t xml:space="preserve"> </w:t>
      </w:r>
      <w:r w:rsidR="00B61065" w:rsidRPr="00D16C4C">
        <w:rPr>
          <w:spacing w:val="-2"/>
        </w:rPr>
        <w:t>está asociado a un principio político</w:t>
      </w:r>
      <w:r w:rsidR="00CC04A9" w:rsidRPr="00D16C4C">
        <w:rPr>
          <w:spacing w:val="-2"/>
        </w:rPr>
        <w:t>. Su vigencia en la actualidad es casi total.</w:t>
      </w:r>
    </w:p>
    <w:tbl>
      <w:tblPr>
        <w:tblStyle w:val="Tablaconcuadrcula"/>
        <w:tblW w:w="0" w:type="auto"/>
        <w:jc w:val="center"/>
        <w:tblLook w:val="04A0" w:firstRow="1" w:lastRow="0" w:firstColumn="1" w:lastColumn="0" w:noHBand="0" w:noVBand="1"/>
      </w:tblPr>
      <w:tblGrid>
        <w:gridCol w:w="3402"/>
        <w:gridCol w:w="1984"/>
        <w:gridCol w:w="4252"/>
      </w:tblGrid>
      <w:tr w:rsidR="00EA48CF" w:rsidRPr="008309EF" w14:paraId="23A8FD30" w14:textId="77777777" w:rsidTr="00EA48CF">
        <w:trPr>
          <w:jc w:val="center"/>
        </w:trPr>
        <w:tc>
          <w:tcPr>
            <w:tcW w:w="5385" w:type="dxa"/>
            <w:gridSpan w:val="2"/>
            <w:tcBorders>
              <w:top w:val="nil"/>
              <w:left w:val="nil"/>
              <w:bottom w:val="single" w:sz="12" w:space="0" w:color="auto"/>
              <w:right w:val="single" w:sz="48" w:space="0" w:color="FFFFFF" w:themeColor="background1"/>
            </w:tcBorders>
            <w:vAlign w:val="center"/>
          </w:tcPr>
          <w:p w14:paraId="0F5997C7" w14:textId="77777777" w:rsidR="00EA48CF" w:rsidRPr="008309EF" w:rsidRDefault="00EA48CF" w:rsidP="00E731C2">
            <w:pPr>
              <w:spacing w:after="0"/>
              <w:jc w:val="center"/>
              <w:rPr>
                <w:b/>
                <w:bCs/>
                <w:lang w:val="es-ES"/>
              </w:rPr>
            </w:pPr>
            <w:r w:rsidRPr="008309EF">
              <w:rPr>
                <w:b/>
                <w:bCs/>
                <w:lang w:val="es-ES"/>
              </w:rPr>
              <w:t>Principios políticos</w:t>
            </w:r>
          </w:p>
        </w:tc>
        <w:tc>
          <w:tcPr>
            <w:tcW w:w="4252" w:type="dxa"/>
            <w:tcBorders>
              <w:top w:val="nil"/>
              <w:left w:val="single" w:sz="48" w:space="0" w:color="FFFFFF" w:themeColor="background1"/>
              <w:bottom w:val="single" w:sz="12" w:space="0" w:color="auto"/>
              <w:right w:val="nil"/>
            </w:tcBorders>
            <w:vAlign w:val="center"/>
          </w:tcPr>
          <w:p w14:paraId="7B205D52" w14:textId="77777777" w:rsidR="00EA48CF" w:rsidRPr="008309EF" w:rsidRDefault="00EA48CF" w:rsidP="00E731C2">
            <w:pPr>
              <w:spacing w:after="0"/>
              <w:jc w:val="center"/>
              <w:rPr>
                <w:b/>
                <w:bCs/>
                <w:lang w:val="es-ES"/>
              </w:rPr>
            </w:pPr>
            <w:r w:rsidRPr="008309EF">
              <w:rPr>
                <w:b/>
                <w:bCs/>
                <w:lang w:val="es-ES"/>
              </w:rPr>
              <w:t>Principios contables</w:t>
            </w:r>
          </w:p>
        </w:tc>
      </w:tr>
      <w:tr w:rsidR="00EA48CF" w:rsidRPr="008309EF" w14:paraId="69EC31C3" w14:textId="77777777" w:rsidTr="00EA48CF">
        <w:trPr>
          <w:trHeight w:val="283"/>
          <w:jc w:val="center"/>
        </w:trPr>
        <w:tc>
          <w:tcPr>
            <w:tcW w:w="3402" w:type="dxa"/>
            <w:tcBorders>
              <w:top w:val="single" w:sz="12" w:space="0" w:color="auto"/>
              <w:left w:val="nil"/>
              <w:bottom w:val="dashed" w:sz="4" w:space="0" w:color="767171" w:themeColor="background2" w:themeShade="80"/>
              <w:right w:val="nil"/>
            </w:tcBorders>
            <w:vAlign w:val="center"/>
          </w:tcPr>
          <w:p w14:paraId="2505F195" w14:textId="77777777" w:rsidR="00EA48CF" w:rsidRPr="008309EF" w:rsidRDefault="00EA48CF" w:rsidP="00EA48CF">
            <w:pPr>
              <w:pStyle w:val="Prrafodelista"/>
              <w:numPr>
                <w:ilvl w:val="0"/>
                <w:numId w:val="67"/>
              </w:numPr>
              <w:spacing w:after="0"/>
              <w:ind w:left="567" w:hanging="113"/>
              <w:jc w:val="left"/>
              <w:rPr>
                <w:lang w:val="es-ES"/>
              </w:rPr>
            </w:pPr>
            <w:r w:rsidRPr="008309EF">
              <w:rPr>
                <w:lang w:val="es-ES"/>
              </w:rPr>
              <w:t>Competencia</w:t>
            </w:r>
          </w:p>
        </w:tc>
        <w:tc>
          <w:tcPr>
            <w:tcW w:w="1984" w:type="dxa"/>
            <w:tcBorders>
              <w:top w:val="single" w:sz="12" w:space="0" w:color="auto"/>
              <w:left w:val="nil"/>
              <w:bottom w:val="dashed" w:sz="4" w:space="0" w:color="767171" w:themeColor="background2" w:themeShade="80"/>
              <w:right w:val="single" w:sz="48" w:space="0" w:color="FFFFFF" w:themeColor="background1"/>
            </w:tcBorders>
            <w:vAlign w:val="center"/>
          </w:tcPr>
          <w:p w14:paraId="70119E1E" w14:textId="77777777" w:rsidR="00EA48CF" w:rsidRPr="008309EF" w:rsidRDefault="00EA48CF" w:rsidP="00E731C2">
            <w:pPr>
              <w:spacing w:after="0"/>
              <w:jc w:val="left"/>
              <w:rPr>
                <w:lang w:val="es-ES"/>
              </w:rPr>
            </w:pPr>
          </w:p>
        </w:tc>
        <w:tc>
          <w:tcPr>
            <w:tcW w:w="4252" w:type="dxa"/>
            <w:tcBorders>
              <w:top w:val="single" w:sz="12" w:space="0" w:color="auto"/>
              <w:left w:val="single" w:sz="48" w:space="0" w:color="FFFFFF" w:themeColor="background1"/>
              <w:bottom w:val="dashed" w:sz="4" w:space="0" w:color="767171" w:themeColor="background2" w:themeShade="80"/>
              <w:right w:val="nil"/>
            </w:tcBorders>
            <w:vAlign w:val="center"/>
          </w:tcPr>
          <w:p w14:paraId="6EEBDF8E" w14:textId="77777777" w:rsidR="00EA48CF" w:rsidRPr="008309EF" w:rsidRDefault="00EA48CF" w:rsidP="00E731C2">
            <w:pPr>
              <w:spacing w:after="0"/>
              <w:jc w:val="left"/>
              <w:rPr>
                <w:lang w:val="es-ES"/>
              </w:rPr>
            </w:pPr>
          </w:p>
        </w:tc>
      </w:tr>
      <w:tr w:rsidR="00EA48CF" w:rsidRPr="008309EF" w14:paraId="3807F692" w14:textId="77777777" w:rsidTr="00EA48CF">
        <w:trPr>
          <w:trHeight w:val="283"/>
          <w:jc w:val="center"/>
        </w:trPr>
        <w:tc>
          <w:tcPr>
            <w:tcW w:w="3402" w:type="dxa"/>
            <w:tcBorders>
              <w:top w:val="dashed" w:sz="4" w:space="0" w:color="767171" w:themeColor="background2" w:themeShade="80"/>
              <w:left w:val="nil"/>
              <w:bottom w:val="dashed" w:sz="4" w:space="0" w:color="767171" w:themeColor="background2" w:themeShade="80"/>
              <w:right w:val="nil"/>
            </w:tcBorders>
            <w:vAlign w:val="center"/>
          </w:tcPr>
          <w:p w14:paraId="253DE454" w14:textId="77777777" w:rsidR="00EA48CF" w:rsidRPr="008309EF" w:rsidRDefault="00EA48CF" w:rsidP="00EA48CF">
            <w:pPr>
              <w:pStyle w:val="Prrafodelista"/>
              <w:numPr>
                <w:ilvl w:val="0"/>
                <w:numId w:val="67"/>
              </w:numPr>
              <w:spacing w:after="0"/>
              <w:ind w:left="567" w:hanging="113"/>
              <w:jc w:val="left"/>
              <w:rPr>
                <w:lang w:val="es-ES"/>
              </w:rPr>
            </w:pPr>
            <w:r w:rsidRPr="008309EF">
              <w:rPr>
                <w:lang w:val="es-ES"/>
              </w:rPr>
              <w:t>Universalidad</w:t>
            </w:r>
          </w:p>
        </w:tc>
        <w:tc>
          <w:tcPr>
            <w:tcW w:w="1984" w:type="dxa"/>
            <w:tcBorders>
              <w:top w:val="dashed" w:sz="4" w:space="0" w:color="767171" w:themeColor="background2" w:themeShade="80"/>
              <w:left w:val="nil"/>
              <w:bottom w:val="dashed" w:sz="4" w:space="0" w:color="767171" w:themeColor="background2" w:themeShade="80"/>
              <w:right w:val="single" w:sz="48" w:space="0" w:color="FFFFFF" w:themeColor="background1"/>
            </w:tcBorders>
            <w:vAlign w:val="center"/>
          </w:tcPr>
          <w:p w14:paraId="526D1FDD" w14:textId="77777777" w:rsidR="00EA48CF" w:rsidRPr="008309EF" w:rsidRDefault="00EA48CF" w:rsidP="00E731C2">
            <w:pPr>
              <w:spacing w:after="0"/>
              <w:jc w:val="left"/>
              <w:rPr>
                <w:spacing w:val="-5"/>
                <w:lang w:val="es-ES"/>
              </w:rPr>
            </w:pPr>
          </w:p>
        </w:tc>
        <w:tc>
          <w:tcPr>
            <w:tcW w:w="4252" w:type="dxa"/>
            <w:tcBorders>
              <w:top w:val="dashed" w:sz="4" w:space="0" w:color="767171" w:themeColor="background2" w:themeShade="80"/>
              <w:left w:val="single" w:sz="48" w:space="0" w:color="FFFFFF" w:themeColor="background1"/>
              <w:bottom w:val="dashed" w:sz="4" w:space="0" w:color="767171" w:themeColor="background2" w:themeShade="80"/>
              <w:right w:val="nil"/>
            </w:tcBorders>
            <w:vAlign w:val="center"/>
          </w:tcPr>
          <w:p w14:paraId="3F6C47B6" w14:textId="77777777" w:rsidR="00EA48CF" w:rsidRPr="008309EF" w:rsidRDefault="00EA48CF" w:rsidP="00EA48CF">
            <w:pPr>
              <w:pStyle w:val="Prrafodelista"/>
              <w:numPr>
                <w:ilvl w:val="0"/>
                <w:numId w:val="68"/>
              </w:numPr>
              <w:spacing w:after="0"/>
              <w:ind w:left="567" w:hanging="113"/>
              <w:jc w:val="left"/>
              <w:rPr>
                <w:spacing w:val="-5"/>
                <w:lang w:val="es-ES"/>
              </w:rPr>
            </w:pPr>
            <w:r w:rsidRPr="008309EF">
              <w:rPr>
                <w:spacing w:val="-5"/>
                <w:lang w:val="es-ES"/>
              </w:rPr>
              <w:t xml:space="preserve">No compensación </w:t>
            </w:r>
            <w:r w:rsidRPr="008309EF">
              <w:rPr>
                <w:spacing w:val="-5"/>
                <w:sz w:val="19"/>
                <w:szCs w:val="19"/>
                <w:lang w:val="es-ES"/>
              </w:rPr>
              <w:t>(presupuesto bruto)</w:t>
            </w:r>
          </w:p>
        </w:tc>
      </w:tr>
      <w:tr w:rsidR="00EA48CF" w:rsidRPr="008309EF" w14:paraId="62D619E9" w14:textId="77777777" w:rsidTr="00EA48CF">
        <w:trPr>
          <w:trHeight w:val="283"/>
          <w:jc w:val="center"/>
        </w:trPr>
        <w:tc>
          <w:tcPr>
            <w:tcW w:w="3402" w:type="dxa"/>
            <w:tcBorders>
              <w:top w:val="dashed" w:sz="4" w:space="0" w:color="767171" w:themeColor="background2" w:themeShade="80"/>
              <w:left w:val="nil"/>
              <w:bottom w:val="dashed" w:sz="2" w:space="0" w:color="767171" w:themeColor="background2" w:themeShade="80"/>
              <w:right w:val="nil"/>
            </w:tcBorders>
            <w:vAlign w:val="center"/>
          </w:tcPr>
          <w:p w14:paraId="248B16A2" w14:textId="306AE54D" w:rsidR="00EA48CF" w:rsidRPr="008309EF" w:rsidRDefault="00EA48CF" w:rsidP="00EA48CF">
            <w:pPr>
              <w:pStyle w:val="Prrafodelista"/>
              <w:numPr>
                <w:ilvl w:val="0"/>
                <w:numId w:val="67"/>
              </w:numPr>
              <w:spacing w:after="0"/>
              <w:ind w:left="567" w:hanging="113"/>
              <w:jc w:val="left"/>
              <w:rPr>
                <w:lang w:val="es-ES"/>
              </w:rPr>
            </w:pPr>
            <w:r w:rsidRPr="008309EF">
              <w:rPr>
                <w:lang w:val="es-ES"/>
              </w:rPr>
              <w:t>Unidad</w:t>
            </w:r>
            <w:r>
              <w:rPr>
                <w:lang w:val="es-ES"/>
              </w:rPr>
              <w:t xml:space="preserve"> presupuestaria</w:t>
            </w:r>
          </w:p>
        </w:tc>
        <w:tc>
          <w:tcPr>
            <w:tcW w:w="1984" w:type="dxa"/>
            <w:tcBorders>
              <w:top w:val="dashed" w:sz="4" w:space="0" w:color="767171" w:themeColor="background2" w:themeShade="80"/>
              <w:left w:val="nil"/>
              <w:bottom w:val="dashed" w:sz="2" w:space="0" w:color="767171" w:themeColor="background2" w:themeShade="80"/>
              <w:right w:val="single" w:sz="48" w:space="0" w:color="FFFFFF" w:themeColor="background1"/>
            </w:tcBorders>
            <w:vAlign w:val="center"/>
          </w:tcPr>
          <w:p w14:paraId="06F0054B" w14:textId="77777777" w:rsidR="00EA48CF" w:rsidRPr="008309EF" w:rsidRDefault="00EA48CF" w:rsidP="00E731C2">
            <w:pPr>
              <w:spacing w:after="0"/>
              <w:jc w:val="left"/>
              <w:rPr>
                <w:lang w:val="es-ES"/>
              </w:rPr>
            </w:pPr>
          </w:p>
        </w:tc>
        <w:tc>
          <w:tcPr>
            <w:tcW w:w="4252" w:type="dxa"/>
            <w:tcBorders>
              <w:top w:val="dashed" w:sz="4" w:space="0" w:color="767171" w:themeColor="background2" w:themeShade="80"/>
              <w:left w:val="single" w:sz="48" w:space="0" w:color="FFFFFF" w:themeColor="background1"/>
              <w:bottom w:val="dashed" w:sz="2" w:space="0" w:color="767171" w:themeColor="background2" w:themeShade="80"/>
              <w:right w:val="nil"/>
            </w:tcBorders>
            <w:vAlign w:val="center"/>
          </w:tcPr>
          <w:p w14:paraId="4107C9D0" w14:textId="77777777" w:rsidR="00EA48CF" w:rsidRPr="008309EF" w:rsidRDefault="00EA48CF" w:rsidP="00EA48CF">
            <w:pPr>
              <w:pStyle w:val="Prrafodelista"/>
              <w:numPr>
                <w:ilvl w:val="0"/>
                <w:numId w:val="68"/>
              </w:numPr>
              <w:spacing w:after="0"/>
              <w:ind w:left="567" w:hanging="113"/>
              <w:jc w:val="left"/>
              <w:rPr>
                <w:lang w:val="es-ES"/>
              </w:rPr>
            </w:pPr>
            <w:r w:rsidRPr="008309EF">
              <w:rPr>
                <w:lang w:val="es-ES"/>
              </w:rPr>
              <w:t>Unidad de caja</w:t>
            </w:r>
          </w:p>
        </w:tc>
      </w:tr>
      <w:tr w:rsidR="00EA48CF" w:rsidRPr="008309EF" w14:paraId="73B0632B" w14:textId="77777777" w:rsidTr="00EA48CF">
        <w:trPr>
          <w:trHeight w:val="283"/>
          <w:jc w:val="center"/>
        </w:trPr>
        <w:tc>
          <w:tcPr>
            <w:tcW w:w="3402" w:type="dxa"/>
            <w:vMerge w:val="restart"/>
            <w:tcBorders>
              <w:top w:val="dashed" w:sz="2" w:space="0" w:color="767171" w:themeColor="background2" w:themeShade="80"/>
              <w:left w:val="nil"/>
              <w:right w:val="nil"/>
            </w:tcBorders>
            <w:vAlign w:val="center"/>
          </w:tcPr>
          <w:p w14:paraId="4AACE852" w14:textId="77777777" w:rsidR="00EA48CF" w:rsidRPr="008309EF" w:rsidRDefault="00EA48CF" w:rsidP="00EA48CF">
            <w:pPr>
              <w:pStyle w:val="Prrafodelista"/>
              <w:numPr>
                <w:ilvl w:val="0"/>
                <w:numId w:val="67"/>
              </w:numPr>
              <w:spacing w:after="0"/>
              <w:ind w:left="567" w:hanging="113"/>
              <w:jc w:val="left"/>
              <w:rPr>
                <w:lang w:val="es-ES"/>
              </w:rPr>
            </w:pPr>
            <w:r w:rsidRPr="008309EF">
              <w:rPr>
                <w:lang w:val="es-ES"/>
              </w:rPr>
              <w:t>Especialidad</w:t>
            </w:r>
          </w:p>
        </w:tc>
        <w:tc>
          <w:tcPr>
            <w:tcW w:w="1984" w:type="dxa"/>
            <w:tcBorders>
              <w:top w:val="dashed" w:sz="2" w:space="0" w:color="767171" w:themeColor="background2" w:themeShade="80"/>
              <w:left w:val="nil"/>
              <w:bottom w:val="dashed" w:sz="4" w:space="0" w:color="767171" w:themeColor="background2" w:themeShade="80"/>
              <w:right w:val="single" w:sz="48" w:space="0" w:color="FFFFFF" w:themeColor="background1"/>
            </w:tcBorders>
            <w:vAlign w:val="center"/>
          </w:tcPr>
          <w:p w14:paraId="6659621C" w14:textId="77777777" w:rsidR="00EA48CF" w:rsidRPr="008309EF" w:rsidRDefault="00EA48CF" w:rsidP="00E731C2">
            <w:pPr>
              <w:spacing w:after="0"/>
              <w:jc w:val="left"/>
              <w:rPr>
                <w:sz w:val="14"/>
                <w:szCs w:val="14"/>
                <w:lang w:val="es-ES"/>
              </w:rPr>
            </w:pPr>
            <w:r w:rsidRPr="008309EF">
              <w:rPr>
                <w:sz w:val="14"/>
                <w:szCs w:val="14"/>
                <w:lang w:val="es-ES"/>
              </w:rPr>
              <w:t>Cuantitativa y cualitativa</w:t>
            </w:r>
          </w:p>
        </w:tc>
        <w:tc>
          <w:tcPr>
            <w:tcW w:w="4252" w:type="dxa"/>
            <w:tcBorders>
              <w:top w:val="dashed" w:sz="2" w:space="0" w:color="767171" w:themeColor="background2" w:themeShade="80"/>
              <w:left w:val="single" w:sz="48" w:space="0" w:color="FFFFFF" w:themeColor="background1"/>
              <w:bottom w:val="dashed" w:sz="4" w:space="0" w:color="767171" w:themeColor="background2" w:themeShade="80"/>
              <w:right w:val="nil"/>
            </w:tcBorders>
            <w:vAlign w:val="center"/>
          </w:tcPr>
          <w:p w14:paraId="0E15C196" w14:textId="77777777" w:rsidR="00EA48CF" w:rsidRPr="008309EF" w:rsidRDefault="00EA48CF" w:rsidP="00EA48CF">
            <w:pPr>
              <w:pStyle w:val="Prrafodelista"/>
              <w:numPr>
                <w:ilvl w:val="0"/>
                <w:numId w:val="68"/>
              </w:numPr>
              <w:spacing w:after="0"/>
              <w:ind w:left="567" w:hanging="113"/>
              <w:jc w:val="left"/>
              <w:rPr>
                <w:lang w:val="es-ES"/>
              </w:rPr>
            </w:pPr>
            <w:r w:rsidRPr="008309EF">
              <w:rPr>
                <w:lang w:val="es-ES"/>
              </w:rPr>
              <w:t>Especificación</w:t>
            </w:r>
          </w:p>
        </w:tc>
      </w:tr>
      <w:tr w:rsidR="00EA48CF" w:rsidRPr="008309EF" w14:paraId="67A1713E" w14:textId="77777777" w:rsidTr="00EA48CF">
        <w:trPr>
          <w:trHeight w:val="283"/>
          <w:jc w:val="center"/>
        </w:trPr>
        <w:tc>
          <w:tcPr>
            <w:tcW w:w="3402" w:type="dxa"/>
            <w:vMerge/>
            <w:tcBorders>
              <w:left w:val="nil"/>
              <w:bottom w:val="dashed" w:sz="4" w:space="0" w:color="767171" w:themeColor="background2" w:themeShade="80"/>
              <w:right w:val="nil"/>
            </w:tcBorders>
            <w:vAlign w:val="center"/>
          </w:tcPr>
          <w:p w14:paraId="50D953FE" w14:textId="77777777" w:rsidR="00EA48CF" w:rsidRPr="008309EF" w:rsidRDefault="00EA48CF" w:rsidP="00EA48CF">
            <w:pPr>
              <w:pStyle w:val="Prrafodelista"/>
              <w:numPr>
                <w:ilvl w:val="0"/>
                <w:numId w:val="67"/>
              </w:numPr>
              <w:spacing w:after="0"/>
              <w:ind w:left="567" w:hanging="113"/>
              <w:jc w:val="left"/>
              <w:rPr>
                <w:lang w:val="es-ES"/>
              </w:rPr>
            </w:pPr>
          </w:p>
        </w:tc>
        <w:tc>
          <w:tcPr>
            <w:tcW w:w="1984" w:type="dxa"/>
            <w:tcBorders>
              <w:top w:val="dashed" w:sz="2" w:space="0" w:color="767171" w:themeColor="background2" w:themeShade="80"/>
              <w:left w:val="nil"/>
              <w:bottom w:val="dashed" w:sz="4" w:space="0" w:color="767171" w:themeColor="background2" w:themeShade="80"/>
              <w:right w:val="single" w:sz="48" w:space="0" w:color="FFFFFF" w:themeColor="background1"/>
            </w:tcBorders>
            <w:vAlign w:val="center"/>
          </w:tcPr>
          <w:p w14:paraId="3C781C5A" w14:textId="77777777" w:rsidR="00EA48CF" w:rsidRPr="008309EF" w:rsidRDefault="00EA48CF" w:rsidP="00E731C2">
            <w:pPr>
              <w:spacing w:after="0"/>
              <w:jc w:val="left"/>
              <w:rPr>
                <w:sz w:val="14"/>
                <w:szCs w:val="14"/>
                <w:lang w:val="es-ES"/>
              </w:rPr>
            </w:pPr>
            <w:r w:rsidRPr="008309EF">
              <w:rPr>
                <w:sz w:val="14"/>
                <w:szCs w:val="14"/>
                <w:lang w:val="es-ES"/>
              </w:rPr>
              <w:t>Temporal</w:t>
            </w:r>
          </w:p>
        </w:tc>
        <w:tc>
          <w:tcPr>
            <w:tcW w:w="4252" w:type="dxa"/>
            <w:tcBorders>
              <w:top w:val="dashed" w:sz="2" w:space="0" w:color="767171" w:themeColor="background2" w:themeShade="80"/>
              <w:left w:val="single" w:sz="48" w:space="0" w:color="FFFFFF" w:themeColor="background1"/>
              <w:bottom w:val="dashed" w:sz="4" w:space="0" w:color="767171" w:themeColor="background2" w:themeShade="80"/>
              <w:right w:val="nil"/>
            </w:tcBorders>
            <w:vAlign w:val="center"/>
          </w:tcPr>
          <w:p w14:paraId="66E483CE" w14:textId="77777777" w:rsidR="00EA48CF" w:rsidRPr="008309EF" w:rsidRDefault="00EA48CF" w:rsidP="00EA48CF">
            <w:pPr>
              <w:pStyle w:val="Prrafodelista"/>
              <w:numPr>
                <w:ilvl w:val="0"/>
                <w:numId w:val="68"/>
              </w:numPr>
              <w:spacing w:after="0"/>
              <w:ind w:left="567" w:hanging="113"/>
              <w:jc w:val="left"/>
              <w:rPr>
                <w:lang w:val="es-ES"/>
              </w:rPr>
            </w:pPr>
            <w:r w:rsidRPr="008309EF">
              <w:rPr>
                <w:lang w:val="es-ES"/>
              </w:rPr>
              <w:t>Ejercicio cerrado</w:t>
            </w:r>
          </w:p>
        </w:tc>
      </w:tr>
      <w:tr w:rsidR="00EA48CF" w:rsidRPr="008309EF" w14:paraId="3FADDB3F" w14:textId="77777777" w:rsidTr="00EA48CF">
        <w:trPr>
          <w:trHeight w:val="283"/>
          <w:jc w:val="center"/>
        </w:trPr>
        <w:tc>
          <w:tcPr>
            <w:tcW w:w="3402" w:type="dxa"/>
            <w:tcBorders>
              <w:top w:val="dashed" w:sz="4" w:space="0" w:color="767171" w:themeColor="background2" w:themeShade="80"/>
              <w:left w:val="nil"/>
              <w:bottom w:val="dashed" w:sz="4" w:space="0" w:color="767171" w:themeColor="background2" w:themeShade="80"/>
              <w:right w:val="nil"/>
            </w:tcBorders>
            <w:vAlign w:val="center"/>
          </w:tcPr>
          <w:p w14:paraId="37823795" w14:textId="77777777" w:rsidR="00EA48CF" w:rsidRPr="008309EF" w:rsidRDefault="00EA48CF" w:rsidP="00EA48CF">
            <w:pPr>
              <w:pStyle w:val="Prrafodelista"/>
              <w:numPr>
                <w:ilvl w:val="0"/>
                <w:numId w:val="67"/>
              </w:numPr>
              <w:spacing w:after="0"/>
              <w:ind w:left="567" w:hanging="113"/>
              <w:jc w:val="left"/>
              <w:rPr>
                <w:lang w:val="es-ES"/>
              </w:rPr>
            </w:pPr>
            <w:r w:rsidRPr="008309EF">
              <w:rPr>
                <w:lang w:val="es-ES"/>
              </w:rPr>
              <w:t>Publicidad</w:t>
            </w:r>
          </w:p>
        </w:tc>
        <w:tc>
          <w:tcPr>
            <w:tcW w:w="1984" w:type="dxa"/>
            <w:tcBorders>
              <w:top w:val="dashed" w:sz="4" w:space="0" w:color="767171" w:themeColor="background2" w:themeShade="80"/>
              <w:left w:val="nil"/>
              <w:bottom w:val="dashed" w:sz="4" w:space="0" w:color="767171" w:themeColor="background2" w:themeShade="80"/>
              <w:right w:val="single" w:sz="48" w:space="0" w:color="FFFFFF" w:themeColor="background1"/>
            </w:tcBorders>
            <w:vAlign w:val="center"/>
          </w:tcPr>
          <w:p w14:paraId="199B23BA" w14:textId="77777777" w:rsidR="00EA48CF" w:rsidRPr="008309EF" w:rsidRDefault="00EA48CF" w:rsidP="00E731C2">
            <w:pPr>
              <w:spacing w:after="0"/>
              <w:jc w:val="left"/>
              <w:rPr>
                <w:lang w:val="es-ES"/>
              </w:rPr>
            </w:pPr>
          </w:p>
        </w:tc>
        <w:tc>
          <w:tcPr>
            <w:tcW w:w="4252" w:type="dxa"/>
            <w:tcBorders>
              <w:top w:val="dashed" w:sz="4" w:space="0" w:color="767171" w:themeColor="background2" w:themeShade="80"/>
              <w:left w:val="single" w:sz="48" w:space="0" w:color="FFFFFF" w:themeColor="background1"/>
              <w:bottom w:val="dashed" w:sz="4" w:space="0" w:color="767171" w:themeColor="background2" w:themeShade="80"/>
              <w:right w:val="nil"/>
            </w:tcBorders>
            <w:vAlign w:val="center"/>
          </w:tcPr>
          <w:p w14:paraId="6FB64CD1" w14:textId="77777777" w:rsidR="00EA48CF" w:rsidRPr="008309EF" w:rsidRDefault="00EA48CF" w:rsidP="00E731C2">
            <w:pPr>
              <w:spacing w:after="0"/>
              <w:jc w:val="left"/>
              <w:rPr>
                <w:lang w:val="es-ES"/>
              </w:rPr>
            </w:pPr>
          </w:p>
        </w:tc>
      </w:tr>
      <w:tr w:rsidR="00EA48CF" w:rsidRPr="008309EF" w14:paraId="01BB4DDC" w14:textId="77777777" w:rsidTr="00EA48CF">
        <w:trPr>
          <w:trHeight w:val="283"/>
          <w:jc w:val="center"/>
        </w:trPr>
        <w:tc>
          <w:tcPr>
            <w:tcW w:w="3402" w:type="dxa"/>
            <w:tcBorders>
              <w:top w:val="dashed" w:sz="4" w:space="0" w:color="767171" w:themeColor="background2" w:themeShade="80"/>
              <w:left w:val="nil"/>
              <w:bottom w:val="dashed" w:sz="4" w:space="0" w:color="767171" w:themeColor="background2" w:themeShade="80"/>
              <w:right w:val="nil"/>
            </w:tcBorders>
            <w:vAlign w:val="center"/>
          </w:tcPr>
          <w:p w14:paraId="0BC0DA54" w14:textId="77777777" w:rsidR="00EA48CF" w:rsidRPr="008309EF" w:rsidRDefault="00EA48CF" w:rsidP="00EA48CF">
            <w:pPr>
              <w:pStyle w:val="Prrafodelista"/>
              <w:numPr>
                <w:ilvl w:val="0"/>
                <w:numId w:val="67"/>
              </w:numPr>
              <w:spacing w:after="0"/>
              <w:ind w:left="567" w:hanging="113"/>
              <w:jc w:val="left"/>
              <w:rPr>
                <w:lang w:val="es-ES"/>
              </w:rPr>
            </w:pPr>
            <w:r w:rsidRPr="008309EF">
              <w:rPr>
                <w:lang w:val="es-ES"/>
              </w:rPr>
              <w:t>No afectación</w:t>
            </w:r>
          </w:p>
        </w:tc>
        <w:tc>
          <w:tcPr>
            <w:tcW w:w="1984" w:type="dxa"/>
            <w:tcBorders>
              <w:top w:val="dashed" w:sz="4" w:space="0" w:color="767171" w:themeColor="background2" w:themeShade="80"/>
              <w:left w:val="nil"/>
              <w:bottom w:val="dashed" w:sz="4" w:space="0" w:color="767171" w:themeColor="background2" w:themeShade="80"/>
              <w:right w:val="single" w:sz="48" w:space="0" w:color="FFFFFF" w:themeColor="background1"/>
            </w:tcBorders>
            <w:vAlign w:val="center"/>
          </w:tcPr>
          <w:p w14:paraId="00848536" w14:textId="77777777" w:rsidR="00EA48CF" w:rsidRPr="008309EF" w:rsidRDefault="00EA48CF" w:rsidP="00E731C2">
            <w:pPr>
              <w:spacing w:after="0"/>
              <w:jc w:val="left"/>
              <w:rPr>
                <w:lang w:val="es-ES"/>
              </w:rPr>
            </w:pPr>
          </w:p>
        </w:tc>
        <w:tc>
          <w:tcPr>
            <w:tcW w:w="4252" w:type="dxa"/>
            <w:tcBorders>
              <w:top w:val="dashed" w:sz="4" w:space="0" w:color="767171" w:themeColor="background2" w:themeShade="80"/>
              <w:left w:val="single" w:sz="48" w:space="0" w:color="FFFFFF" w:themeColor="background1"/>
              <w:bottom w:val="dashed" w:sz="4" w:space="0" w:color="767171" w:themeColor="background2" w:themeShade="80"/>
              <w:right w:val="nil"/>
            </w:tcBorders>
            <w:vAlign w:val="center"/>
          </w:tcPr>
          <w:p w14:paraId="76F72109" w14:textId="77777777" w:rsidR="00EA48CF" w:rsidRPr="008309EF" w:rsidRDefault="00EA48CF" w:rsidP="00E731C2">
            <w:pPr>
              <w:spacing w:after="0"/>
              <w:jc w:val="left"/>
              <w:rPr>
                <w:lang w:val="es-ES"/>
              </w:rPr>
            </w:pPr>
          </w:p>
        </w:tc>
      </w:tr>
    </w:tbl>
    <w:p w14:paraId="38AC6F5E" w14:textId="7A592CBC" w:rsidR="00CC04A9" w:rsidRPr="009940F7" w:rsidRDefault="00EA48CF" w:rsidP="00396920">
      <w:pPr>
        <w:pStyle w:val="Ttulo6"/>
        <w:numPr>
          <w:ilvl w:val="0"/>
          <w:numId w:val="70"/>
        </w:numPr>
        <w:ind w:left="0" w:hanging="284"/>
      </w:pPr>
      <w:bookmarkStart w:id="33" w:name="_Toc150445800"/>
      <w:r>
        <w:t xml:space="preserve">No compensación o </w:t>
      </w:r>
      <w:r w:rsidR="0027335E">
        <w:t>Presupuesto</w:t>
      </w:r>
      <w:r w:rsidR="00CC04A9" w:rsidRPr="00BB2E01">
        <w:t xml:space="preserve"> bruto</w:t>
      </w:r>
      <w:r w:rsidRPr="00EA48CF">
        <w:rPr>
          <w:sz w:val="19"/>
          <w:szCs w:val="19"/>
          <w:u w:val="none"/>
        </w:rPr>
        <w:t xml:space="preserve"> (derivado del principio de </w:t>
      </w:r>
      <w:r>
        <w:rPr>
          <w:sz w:val="19"/>
          <w:szCs w:val="19"/>
          <w:u w:val="none"/>
        </w:rPr>
        <w:t>universalidad</w:t>
      </w:r>
      <w:r w:rsidRPr="00EA48CF">
        <w:rPr>
          <w:sz w:val="19"/>
          <w:szCs w:val="19"/>
          <w:u w:val="none"/>
        </w:rPr>
        <w:t>)</w:t>
      </w:r>
      <w:bookmarkEnd w:id="33"/>
    </w:p>
    <w:p w14:paraId="131C0674" w14:textId="55C99F81" w:rsidR="00CC04A9" w:rsidRDefault="00924DB4" w:rsidP="00F353B8">
      <w:pPr>
        <w:pStyle w:val="Nivel2SM"/>
      </w:pPr>
      <w:r>
        <w:t>S</w:t>
      </w:r>
      <w:r w:rsidRPr="00924DB4">
        <w:t>e deriva del principio de universalidad, e implica que todos los gastos e ingresos deben reflejarse en el presupuesto sin compensación entre ellos.</w:t>
      </w:r>
    </w:p>
    <w:p w14:paraId="1A08DA45" w14:textId="6BA5E738" w:rsidR="00CC04A9" w:rsidRPr="0003352F" w:rsidRDefault="00CC04A9" w:rsidP="00396920">
      <w:pPr>
        <w:pStyle w:val="Ttulo6"/>
        <w:numPr>
          <w:ilvl w:val="0"/>
          <w:numId w:val="70"/>
        </w:numPr>
        <w:ind w:left="0" w:hanging="284"/>
      </w:pPr>
      <w:bookmarkStart w:id="34" w:name="_Toc150445801"/>
      <w:r w:rsidRPr="00BB2E01">
        <w:t>Unidad de caja</w:t>
      </w:r>
      <w:r w:rsidR="00EA48CF" w:rsidRPr="00EA48CF">
        <w:rPr>
          <w:sz w:val="19"/>
          <w:szCs w:val="19"/>
          <w:u w:val="none"/>
        </w:rPr>
        <w:t xml:space="preserve"> (derivado del principio de </w:t>
      </w:r>
      <w:r w:rsidR="00EA48CF">
        <w:rPr>
          <w:sz w:val="19"/>
          <w:szCs w:val="19"/>
          <w:u w:val="none"/>
        </w:rPr>
        <w:t>unidad presupuestaria</w:t>
      </w:r>
      <w:r w:rsidR="00EA48CF" w:rsidRPr="00EA48CF">
        <w:rPr>
          <w:sz w:val="19"/>
          <w:szCs w:val="19"/>
          <w:u w:val="none"/>
        </w:rPr>
        <w:t>)</w:t>
      </w:r>
      <w:bookmarkEnd w:id="34"/>
    </w:p>
    <w:p w14:paraId="7D435947" w14:textId="4C608E39" w:rsidR="00CC04A9" w:rsidRPr="009940F7" w:rsidRDefault="00924DB4" w:rsidP="00F353B8">
      <w:pPr>
        <w:pStyle w:val="Nivel2SM"/>
      </w:pPr>
      <w:r>
        <w:t>Se deriva d</w:t>
      </w:r>
      <w:r w:rsidRPr="00C77411">
        <w:t xml:space="preserve">el principio de unidad, </w:t>
      </w:r>
      <w:r>
        <w:t>e implica que</w:t>
      </w:r>
      <w:r w:rsidRPr="00C77411">
        <w:t xml:space="preserve"> todos los ingresos y </w:t>
      </w:r>
      <w:r>
        <w:t>gastos</w:t>
      </w:r>
      <w:r w:rsidRPr="00C77411">
        <w:t xml:space="preserve"> deben </w:t>
      </w:r>
      <w:r w:rsidRPr="004262F8">
        <w:t>figurar en una sola cuenta, la cuenta del Tesoro</w:t>
      </w:r>
      <w:r>
        <w:t xml:space="preserve">, </w:t>
      </w:r>
      <w:r w:rsidRPr="00C77411">
        <w:t>para gestionar de forma más eficiente la tesorería.</w:t>
      </w:r>
    </w:p>
    <w:p w14:paraId="6DF8C74F" w14:textId="762C7391" w:rsidR="00924DB4" w:rsidRPr="0003352F" w:rsidRDefault="00CC04A9" w:rsidP="00396920">
      <w:pPr>
        <w:pStyle w:val="Ttulo6"/>
        <w:numPr>
          <w:ilvl w:val="0"/>
          <w:numId w:val="70"/>
        </w:numPr>
        <w:ind w:left="0" w:hanging="284"/>
      </w:pPr>
      <w:bookmarkStart w:id="35" w:name="_Toc150445802"/>
      <w:r w:rsidRPr="00BB2E01">
        <w:t>Especificación</w:t>
      </w:r>
      <w:r w:rsidR="00EA48CF" w:rsidRPr="00EA48CF">
        <w:rPr>
          <w:sz w:val="19"/>
          <w:szCs w:val="19"/>
          <w:u w:val="none"/>
        </w:rPr>
        <w:t xml:space="preserve"> (derivado del principio de especialidad </w:t>
      </w:r>
      <w:r w:rsidR="00EA48CF">
        <w:rPr>
          <w:sz w:val="19"/>
          <w:szCs w:val="19"/>
          <w:u w:val="none"/>
        </w:rPr>
        <w:t>cuantitativa y cualitativa</w:t>
      </w:r>
      <w:r w:rsidR="00EA48CF" w:rsidRPr="00EA48CF">
        <w:rPr>
          <w:sz w:val="19"/>
          <w:szCs w:val="19"/>
          <w:u w:val="none"/>
        </w:rPr>
        <w:t>)</w:t>
      </w:r>
      <w:bookmarkEnd w:id="35"/>
    </w:p>
    <w:p w14:paraId="1F7A89C4" w14:textId="5652CE79" w:rsidR="00CC04A9" w:rsidRDefault="00924DB4" w:rsidP="00F353B8">
      <w:pPr>
        <w:pStyle w:val="Nivel2SM"/>
      </w:pPr>
      <w:r>
        <w:t>S</w:t>
      </w:r>
      <w:r w:rsidRPr="004262F8">
        <w:t>e deriva del principio de especialidad</w:t>
      </w:r>
      <w:r>
        <w:t xml:space="preserve"> cuantitativa y cualitativa</w:t>
      </w:r>
      <w:r w:rsidRPr="004262F8">
        <w:t>, e implica la prohibición de transferir fondos de unas partidas presupuestarias a otras</w:t>
      </w:r>
      <w:r>
        <w:t>,</w:t>
      </w:r>
      <w:r w:rsidRPr="004262F8">
        <w:t xml:space="preserve"> salvo en los casos </w:t>
      </w:r>
      <w:r>
        <w:t>legalmente previstos</w:t>
      </w:r>
      <w:r w:rsidRPr="004262F8">
        <w:t>.</w:t>
      </w:r>
    </w:p>
    <w:p w14:paraId="2289456E" w14:textId="36751F55" w:rsidR="00924DB4" w:rsidRPr="0003352F" w:rsidRDefault="00CC04A9" w:rsidP="00396920">
      <w:pPr>
        <w:pStyle w:val="Ttulo6"/>
        <w:numPr>
          <w:ilvl w:val="0"/>
          <w:numId w:val="70"/>
        </w:numPr>
        <w:ind w:left="0" w:hanging="284"/>
      </w:pPr>
      <w:bookmarkStart w:id="36" w:name="_Toc150445803"/>
      <w:r w:rsidRPr="00BB2E01">
        <w:t>Ejercicio cerrado</w:t>
      </w:r>
      <w:r w:rsidRPr="00EA48CF">
        <w:rPr>
          <w:sz w:val="19"/>
          <w:szCs w:val="19"/>
          <w:u w:val="none"/>
        </w:rPr>
        <w:t xml:space="preserve"> (derivado del principio de especialidad temporal)</w:t>
      </w:r>
      <w:bookmarkEnd w:id="36"/>
    </w:p>
    <w:p w14:paraId="3CE7FDA6" w14:textId="5435FD68" w:rsidR="00CC04A9" w:rsidRDefault="00924DB4" w:rsidP="00F353B8">
      <w:pPr>
        <w:pStyle w:val="Nivel2SM"/>
      </w:pPr>
      <w:r>
        <w:t>S</w:t>
      </w:r>
      <w:r w:rsidRPr="00924DB4">
        <w:t>e deriva del principio de especialidad temporal, e implica la prohibición de que el gasto de un año se lleve a cabo en otro.</w:t>
      </w:r>
    </w:p>
    <w:p w14:paraId="3CB9F3E6" w14:textId="77777777" w:rsidR="00396920" w:rsidRDefault="008F3F26" w:rsidP="00A36A31">
      <w:pPr>
        <w:pStyle w:val="Ttulo2"/>
      </w:pPr>
      <w:bookmarkStart w:id="37" w:name="_Toc150445804"/>
      <w:r w:rsidRPr="00602528">
        <w:t xml:space="preserve">Principios </w:t>
      </w:r>
      <w:r>
        <w:t>económicos</w:t>
      </w:r>
      <w:bookmarkEnd w:id="37"/>
    </w:p>
    <w:p w14:paraId="6D208ACD" w14:textId="5F013A56" w:rsidR="008F3F26" w:rsidRPr="009940F7" w:rsidRDefault="00396920" w:rsidP="00396920">
      <w:pPr>
        <w:pStyle w:val="Ttulo3"/>
        <w:spacing w:before="0"/>
      </w:pPr>
      <w:bookmarkStart w:id="38" w:name="_Toc150445805"/>
      <w:r>
        <w:t>Principios clásicos</w:t>
      </w:r>
      <w:bookmarkEnd w:id="38"/>
    </w:p>
    <w:p w14:paraId="1479BE0E" w14:textId="42AD6E0E" w:rsidR="008F3F26" w:rsidRDefault="0025647A" w:rsidP="001A31DF">
      <w:pPr>
        <w:pStyle w:val="Nivel1SM"/>
      </w:pPr>
      <w:r w:rsidRPr="00A03415">
        <w:rPr>
          <w:i/>
          <w:iCs/>
        </w:rPr>
        <w:t xml:space="preserve">El </w:t>
      </w:r>
      <w:r w:rsidR="00A03415" w:rsidRPr="00A03415">
        <w:rPr>
          <w:i/>
          <w:iCs/>
        </w:rPr>
        <w:t>s</w:t>
      </w:r>
      <w:r w:rsidR="00396920" w:rsidRPr="00A03415">
        <w:rPr>
          <w:i/>
          <w:iCs/>
        </w:rPr>
        <w:t xml:space="preserve">ector </w:t>
      </w:r>
      <w:r w:rsidR="00A03415" w:rsidRPr="00A03415">
        <w:rPr>
          <w:i/>
          <w:iCs/>
        </w:rPr>
        <w:t>p</w:t>
      </w:r>
      <w:r w:rsidR="00396920" w:rsidRPr="00A03415">
        <w:rPr>
          <w:i/>
          <w:iCs/>
        </w:rPr>
        <w:t>úblico</w:t>
      </w:r>
      <w:r w:rsidRPr="00A03415">
        <w:rPr>
          <w:i/>
          <w:iCs/>
        </w:rPr>
        <w:t xml:space="preserve"> tiene una función residual respecto al sector privado</w:t>
      </w:r>
      <w:r>
        <w:t xml:space="preserve">, de forma que el objetivo de los </w:t>
      </w:r>
      <w:r w:rsidRPr="001A31DF">
        <w:rPr>
          <w:b/>
          <w:bCs/>
        </w:rPr>
        <w:t>principios económicos</w:t>
      </w:r>
      <w:r>
        <w:t xml:space="preserve"> d</w:t>
      </w:r>
      <w:r w:rsidRPr="00D56E2F">
        <w:t xml:space="preserve">el presupuesto </w:t>
      </w:r>
      <w:r>
        <w:t xml:space="preserve">es </w:t>
      </w:r>
      <w:r w:rsidRPr="00D56E2F">
        <w:t>reducir las distorsiones que g</w:t>
      </w:r>
      <w:r>
        <w:t xml:space="preserve">enera el </w:t>
      </w:r>
      <w:r w:rsidR="00103677">
        <w:t>sector público</w:t>
      </w:r>
      <w:r>
        <w:t xml:space="preserve"> en la actividad econ</w:t>
      </w:r>
      <w:r w:rsidRPr="00D56E2F">
        <w:t>ómica privada</w:t>
      </w:r>
      <w:r>
        <w:t>.</w:t>
      </w:r>
    </w:p>
    <w:p w14:paraId="4A63656A" w14:textId="2BC31D56" w:rsidR="008F3F26" w:rsidRPr="00887AF2" w:rsidRDefault="008F3F26" w:rsidP="00A72466">
      <w:pPr>
        <w:pStyle w:val="Ttulo6"/>
        <w:numPr>
          <w:ilvl w:val="0"/>
          <w:numId w:val="71"/>
        </w:numPr>
        <w:ind w:left="0" w:hanging="284"/>
      </w:pPr>
      <w:bookmarkStart w:id="39" w:name="_Toc150445806"/>
      <w:r w:rsidRPr="00887AF2">
        <w:t xml:space="preserve">Principio </w:t>
      </w:r>
      <w:r>
        <w:t>de limitación del gasto público</w:t>
      </w:r>
      <w:bookmarkEnd w:id="39"/>
    </w:p>
    <w:p w14:paraId="6236622E" w14:textId="77777777" w:rsidR="008F3F26" w:rsidRDefault="008F3F26" w:rsidP="00FC4A66">
      <w:pPr>
        <w:pStyle w:val="Nivel2SM"/>
        <w:keepNext/>
        <w:spacing w:after="0"/>
      </w:pPr>
      <w:r w:rsidRPr="00496A5F">
        <w:rPr>
          <w:i/>
          <w:iCs/>
          <w:u w:val="single"/>
        </w:rPr>
        <w:t>Formulación clásica</w:t>
      </w:r>
      <w:r>
        <w:t>:</w:t>
      </w:r>
    </w:p>
    <w:p w14:paraId="44B67B0B" w14:textId="775D6A0F" w:rsidR="00617811" w:rsidRDefault="00803F9C" w:rsidP="00FC4A66">
      <w:pPr>
        <w:pStyle w:val="Nivel3SM"/>
      </w:pPr>
      <w:r w:rsidRPr="00A03415">
        <w:rPr>
          <w:i/>
          <w:iCs/>
        </w:rPr>
        <w:t>El gasto debe ser lo más reducido posible, limitándose a las materias necesarias para establecer el marco en el que se desarrolle la actividad económica</w:t>
      </w:r>
      <w:r w:rsidRPr="00803F9C">
        <w:t>: defensa, policía y justicia. Y es que en la filosofía clásica el gasto público se considera un “mal necesario”, un consumo improductivo que, además, produce un efecto expulsión sobre la inversión privada.</w:t>
      </w:r>
    </w:p>
    <w:p w14:paraId="279B3821" w14:textId="77777777" w:rsidR="008F3F26" w:rsidRDefault="008F3F26" w:rsidP="00FC4A66">
      <w:pPr>
        <w:pStyle w:val="Nivel2SM"/>
        <w:keepNext/>
        <w:spacing w:after="0"/>
      </w:pPr>
      <w:r w:rsidRPr="00496A5F">
        <w:rPr>
          <w:i/>
          <w:iCs/>
          <w:u w:val="single"/>
        </w:rPr>
        <w:lastRenderedPageBreak/>
        <w:t>Modificaciones</w:t>
      </w:r>
      <w:r>
        <w:t>:</w:t>
      </w:r>
    </w:p>
    <w:p w14:paraId="08C50962" w14:textId="77777777" w:rsidR="00803F9C" w:rsidRDefault="00803F9C" w:rsidP="00FC4A66">
      <w:pPr>
        <w:pStyle w:val="Nivel3SM"/>
        <w:keepNext/>
      </w:pPr>
      <w:r>
        <w:t>Con el tiempo, el gasto público deja de verse como un “mal necesario”, debido a:</w:t>
      </w:r>
    </w:p>
    <w:p w14:paraId="0A059B58" w14:textId="70997640" w:rsidR="00803F9C" w:rsidRDefault="00803F9C" w:rsidP="00FC4A66">
      <w:pPr>
        <w:pStyle w:val="Nivel4"/>
        <w:keepNext/>
        <w:ind w:left="1474"/>
      </w:pPr>
      <w:r w:rsidRPr="00896EE6">
        <w:rPr>
          <w:i/>
          <w:iCs/>
        </w:rPr>
        <w:t>Fallos de mercado</w:t>
      </w:r>
      <w:r w:rsidR="00896EE6">
        <w:t>:</w:t>
      </w:r>
    </w:p>
    <w:p w14:paraId="14252EED" w14:textId="77777777" w:rsidR="00803F9C" w:rsidRDefault="00803F9C" w:rsidP="00FC4A66">
      <w:pPr>
        <w:pStyle w:val="Nivel5"/>
        <w:ind w:left="1871"/>
      </w:pPr>
      <w:r>
        <w:t>Existen fallos de mercado, que hacen que la intervención pública pueda incrementar el bienestar, por lo que aumentará el gasto público.</w:t>
      </w:r>
    </w:p>
    <w:p w14:paraId="7185F729" w14:textId="09676B57" w:rsidR="00803F9C" w:rsidRDefault="00803F9C" w:rsidP="00FC4A66">
      <w:pPr>
        <w:pStyle w:val="Nivel4"/>
        <w:keepNext/>
        <w:ind w:left="1474"/>
      </w:pPr>
      <w:r w:rsidRPr="00896EE6">
        <w:rPr>
          <w:i/>
          <w:iCs/>
        </w:rPr>
        <w:t>Consideraciones de equidad</w:t>
      </w:r>
      <w:r w:rsidR="00896EE6">
        <w:t>:</w:t>
      </w:r>
    </w:p>
    <w:p w14:paraId="3B67E185" w14:textId="77777777" w:rsidR="00803F9C" w:rsidRDefault="00803F9C" w:rsidP="00FC4A66">
      <w:pPr>
        <w:pStyle w:val="Nivel5"/>
        <w:ind w:left="1871"/>
      </w:pPr>
      <w:r>
        <w:t>Los Gobiernos se mueven por cuestiones de equidad, dando lugar al Estado del Bienestar. En efecto, con la finalización de la Segunda Guerra Mundial, comenzó a extenderse la idea del Estado del Bienestar como un marco en el que potenciar la igualdad de oportunidades y distribuir equitativamente los beneficios del crecimiento económico. Esto implicaba un crecimiento del gasto público.</w:t>
      </w:r>
    </w:p>
    <w:p w14:paraId="47216BAA" w14:textId="07190340" w:rsidR="00896EE6" w:rsidRDefault="00896EE6" w:rsidP="00896EE6">
      <w:pPr>
        <w:pStyle w:val="Nivel4"/>
        <w:keepNext/>
        <w:ind w:left="1474"/>
      </w:pPr>
      <w:r w:rsidRPr="00896EE6">
        <w:rPr>
          <w:i/>
          <w:iCs/>
        </w:rPr>
        <w:t>Posibilidad de usar el gasto público de forma discrecional en la estabilización de la economía</w:t>
      </w:r>
      <w:r>
        <w:t>:</w:t>
      </w:r>
    </w:p>
    <w:p w14:paraId="564AC791" w14:textId="0BBA7335" w:rsidR="00896EE6" w:rsidRDefault="00896EE6" w:rsidP="00FC4A66">
      <w:pPr>
        <w:pStyle w:val="Nivel5"/>
        <w:ind w:left="1871"/>
      </w:pPr>
      <w:r>
        <w:t>A raíz de las tesis keynesianas.</w:t>
      </w:r>
    </w:p>
    <w:p w14:paraId="09BC912C" w14:textId="6E2D5A1A" w:rsidR="008F3F26" w:rsidRPr="000C0CAA" w:rsidRDefault="00803F9C" w:rsidP="00FC4A66">
      <w:pPr>
        <w:pStyle w:val="Nivel3SM"/>
      </w:pPr>
      <w:r>
        <w:t>No obstante, a raíz de la crisis ha surgido en muchos países (notablemente, la UE) una mayor preocupación por el control del gasto público.</w:t>
      </w:r>
    </w:p>
    <w:p w14:paraId="5774EE86" w14:textId="6FB96D82" w:rsidR="008F3F26" w:rsidRPr="00887AF2" w:rsidRDefault="008F3F26" w:rsidP="00BB75D6">
      <w:pPr>
        <w:pStyle w:val="Ttulo6"/>
        <w:numPr>
          <w:ilvl w:val="0"/>
          <w:numId w:val="71"/>
        </w:numPr>
        <w:ind w:left="0" w:hanging="284"/>
      </w:pPr>
      <w:bookmarkStart w:id="40" w:name="_Toc150445807"/>
      <w:r w:rsidRPr="00887AF2">
        <w:t xml:space="preserve">Principio </w:t>
      </w:r>
      <w:r>
        <w:t>de neutralidad impositiva</w:t>
      </w:r>
      <w:bookmarkEnd w:id="40"/>
    </w:p>
    <w:p w14:paraId="3BEF6E1C" w14:textId="77777777" w:rsidR="008F3F26" w:rsidRDefault="008F3F26" w:rsidP="00D50075">
      <w:pPr>
        <w:pStyle w:val="Nivel2SM"/>
        <w:keepNext/>
        <w:spacing w:after="0"/>
      </w:pPr>
      <w:r w:rsidRPr="00496A5F">
        <w:rPr>
          <w:i/>
          <w:iCs/>
          <w:u w:val="single"/>
        </w:rPr>
        <w:t>Formulación clásica</w:t>
      </w:r>
      <w:r>
        <w:t>:</w:t>
      </w:r>
    </w:p>
    <w:p w14:paraId="5D709C4E" w14:textId="476E2737" w:rsidR="00617811" w:rsidRDefault="00803F9C" w:rsidP="00D50075">
      <w:pPr>
        <w:pStyle w:val="Nivel3SM"/>
      </w:pPr>
      <w:r>
        <w:t xml:space="preserve">Los gastos del sector público deben financiarse mediante impuestos de carácter neutral, esto es, con impuestos que </w:t>
      </w:r>
      <w:r w:rsidRPr="00496A5F">
        <w:t>no</w:t>
      </w:r>
      <w:r>
        <w:t xml:space="preserve"> alteren la conducta de los agentes económicos (i.e. impuestos de suma fija), pues cada individuo es el mejor juez de su propio bienestar.</w:t>
      </w:r>
    </w:p>
    <w:p w14:paraId="4429343A" w14:textId="77777777" w:rsidR="008F3F26" w:rsidRDefault="008F3F26" w:rsidP="00D50075">
      <w:pPr>
        <w:pStyle w:val="Nivel2SM"/>
        <w:keepNext/>
        <w:spacing w:after="0"/>
      </w:pPr>
      <w:r w:rsidRPr="00496A5F">
        <w:rPr>
          <w:i/>
          <w:iCs/>
          <w:u w:val="single"/>
        </w:rPr>
        <w:t>Modificaciones</w:t>
      </w:r>
      <w:r>
        <w:t>:</w:t>
      </w:r>
    </w:p>
    <w:p w14:paraId="7BC57161" w14:textId="77777777" w:rsidR="00803F9C" w:rsidRDefault="00803F9C" w:rsidP="00D50075">
      <w:pPr>
        <w:pStyle w:val="Nivel3SM"/>
        <w:keepNext/>
      </w:pPr>
      <w:r>
        <w:t>De nuevo, los fallos de mercado y las consideraciones de equidad han roto con el principio de neutralidad impositiva:</w:t>
      </w:r>
    </w:p>
    <w:p w14:paraId="609B8E0C" w14:textId="3E9BCF68" w:rsidR="00803F9C" w:rsidRDefault="00803F9C" w:rsidP="00D50075">
      <w:pPr>
        <w:pStyle w:val="Nivel4"/>
        <w:keepNext/>
        <w:ind w:left="1474"/>
      </w:pPr>
      <w:r w:rsidRPr="00B05B6F">
        <w:rPr>
          <w:i/>
          <w:iCs/>
        </w:rPr>
        <w:t>Fallos de mercado</w:t>
      </w:r>
      <w:r>
        <w:t>.</w:t>
      </w:r>
    </w:p>
    <w:p w14:paraId="4AA54D48" w14:textId="77777777" w:rsidR="00803F9C" w:rsidRDefault="00803F9C" w:rsidP="00D50075">
      <w:pPr>
        <w:pStyle w:val="Nivel5"/>
        <w:ind w:left="1871"/>
      </w:pPr>
      <w:r>
        <w:t>El Estado interviene con actuaciones distorsionantes para, por ejemplo, desincentivar una actividad que genera externalidades negativas (p.ej. contaminación) o para incentivar una actividad que genera externalidades positivas (p.ej. investigación y desarrollo).</w:t>
      </w:r>
    </w:p>
    <w:p w14:paraId="4292A4B7" w14:textId="76E6D80E" w:rsidR="00803F9C" w:rsidRDefault="00803F9C" w:rsidP="00D50075">
      <w:pPr>
        <w:pStyle w:val="Nivel4"/>
        <w:keepNext/>
        <w:ind w:left="1474"/>
      </w:pPr>
      <w:r w:rsidRPr="00B05B6F">
        <w:rPr>
          <w:i/>
          <w:iCs/>
        </w:rPr>
        <w:t>Consideraciones de equidad</w:t>
      </w:r>
      <w:r>
        <w:t>.</w:t>
      </w:r>
    </w:p>
    <w:p w14:paraId="546FAED3" w14:textId="10FB9A48" w:rsidR="008F3F26" w:rsidRPr="009940F7" w:rsidRDefault="00803F9C" w:rsidP="00D50075">
      <w:pPr>
        <w:pStyle w:val="Nivel5"/>
        <w:ind w:left="1871"/>
      </w:pPr>
      <w:r>
        <w:t>El Estado interviene con impuestos progresivos para redistribuir la riqueza</w:t>
      </w:r>
      <w:r w:rsidR="00D50075">
        <w:t>.</w:t>
      </w:r>
    </w:p>
    <w:p w14:paraId="2947BAE4" w14:textId="460D57FD" w:rsidR="00803F9C" w:rsidRPr="009940F7" w:rsidRDefault="00803F9C" w:rsidP="00BB75D6">
      <w:pPr>
        <w:pStyle w:val="Ttulo6"/>
        <w:numPr>
          <w:ilvl w:val="0"/>
          <w:numId w:val="71"/>
        </w:numPr>
        <w:ind w:left="0" w:hanging="284"/>
      </w:pPr>
      <w:bookmarkStart w:id="41" w:name="_Toc150445808"/>
      <w:r w:rsidRPr="00803F9C">
        <w:t>Principio de reparto de impuestos</w:t>
      </w:r>
      <w:bookmarkEnd w:id="41"/>
    </w:p>
    <w:p w14:paraId="60FD3302" w14:textId="719ED3EE" w:rsidR="00CC6240" w:rsidRDefault="00CC6240" w:rsidP="00CC6240">
      <w:pPr>
        <w:pStyle w:val="Nivel2SM"/>
        <w:keepNext/>
        <w:spacing w:after="0"/>
      </w:pPr>
      <w:r>
        <w:t>Los autores clásicos p</w:t>
      </w:r>
      <w:r>
        <w:t xml:space="preserve">roponían </w:t>
      </w:r>
      <w:r>
        <w:t>2 </w:t>
      </w:r>
      <w:r>
        <w:t>principios alternativos:</w:t>
      </w:r>
    </w:p>
    <w:p w14:paraId="34058322" w14:textId="0CA47F8E" w:rsidR="00CC6240" w:rsidRDefault="00CC6240" w:rsidP="00CC6240">
      <w:pPr>
        <w:pStyle w:val="Nivel3SM"/>
      </w:pPr>
      <w:r w:rsidRPr="00CC6240">
        <w:rPr>
          <w:i/>
          <w:iCs/>
        </w:rPr>
        <w:t>Principio de beneficio</w:t>
      </w:r>
      <w:r>
        <w:t xml:space="preserve">: </w:t>
      </w:r>
      <w:r>
        <w:t>S</w:t>
      </w:r>
      <w:r>
        <w:t xml:space="preserve">egún este principio el gasto público debe financiarse entre los contribuyentes en función de los beneficios que estos reciben de los bienes y servicios públicos. Ello implica que no existe redistribución por parte del </w:t>
      </w:r>
      <w:r>
        <w:t xml:space="preserve">sector </w:t>
      </w:r>
      <w:r>
        <w:t>público, de forma que el residuo fiscal de todos los individuos (diferencia entre lo que paga y recibe el contribuyente) es 0.</w:t>
      </w:r>
    </w:p>
    <w:p w14:paraId="663FC5B2" w14:textId="77777777" w:rsidR="000F3A95" w:rsidRDefault="000F3A95" w:rsidP="000F3A95">
      <w:pPr>
        <w:pStyle w:val="Nivel3SM"/>
      </w:pPr>
      <w:r w:rsidRPr="00CC6240">
        <w:rPr>
          <w:i/>
          <w:iCs/>
        </w:rPr>
        <w:t>Principio de capacidad de pago</w:t>
      </w:r>
      <w:r>
        <w:t xml:space="preserve">: Según este principio, propuesto por autores como </w:t>
      </w:r>
      <w:r w:rsidRPr="00CC6240">
        <w:rPr>
          <w:smallCaps/>
        </w:rPr>
        <w:t>Mill</w:t>
      </w:r>
      <w:r>
        <w:t>, el gasto público debe financiarse entre los contribuyentes en función de su capacidad económica: los que están en mejor posición económica pagan más. Este principio conlleva una redistribución de la renta entre individuos en la que los individuos peor situados obtendrán un residuo fiscal positivo y los mejor situados uno negativo. El problema es que en este caso el gasto público se financia con impuestos sobre la renta no fijos, lo que introduce distorsiones en las decisiones económicas de los agentes (se debe valorar que las ganancias de equidad compensen las pérdidas de eficiencia).</w:t>
      </w:r>
    </w:p>
    <w:p w14:paraId="43BE1DF9" w14:textId="428DB42C" w:rsidR="00803F9C" w:rsidRPr="009940F7" w:rsidRDefault="00803F9C" w:rsidP="00BB75D6">
      <w:pPr>
        <w:pStyle w:val="Ttulo6"/>
        <w:numPr>
          <w:ilvl w:val="0"/>
          <w:numId w:val="71"/>
        </w:numPr>
        <w:ind w:left="0" w:hanging="284"/>
      </w:pPr>
      <w:bookmarkStart w:id="42" w:name="_Toc150445809"/>
      <w:r w:rsidRPr="00803F9C">
        <w:lastRenderedPageBreak/>
        <w:t>Principio de equilibrio presupuestario</w:t>
      </w:r>
      <w:bookmarkEnd w:id="42"/>
    </w:p>
    <w:p w14:paraId="6F90AA27" w14:textId="041E1B86" w:rsidR="00803F9C" w:rsidRDefault="00803F9C" w:rsidP="00391F61">
      <w:pPr>
        <w:pStyle w:val="Nivel2SM"/>
        <w:keepNext/>
        <w:spacing w:after="0"/>
      </w:pPr>
      <w:r w:rsidRPr="00496A5F">
        <w:rPr>
          <w:i/>
          <w:iCs/>
          <w:u w:val="single"/>
        </w:rPr>
        <w:t>Formulación clásica</w:t>
      </w:r>
      <w:r w:rsidR="00496A5F">
        <w:t>:</w:t>
      </w:r>
    </w:p>
    <w:p w14:paraId="1BDC8C10" w14:textId="77777777" w:rsidR="00803F9C" w:rsidRDefault="00803F9C" w:rsidP="00391F61">
      <w:pPr>
        <w:pStyle w:val="Nivel3SM"/>
        <w:keepNext/>
      </w:pPr>
      <w:r>
        <w:t xml:space="preserve">Denominado también </w:t>
      </w:r>
      <w:r w:rsidRPr="00B05B6F">
        <w:rPr>
          <w:i/>
          <w:iCs/>
        </w:rPr>
        <w:t>“regla de oro”</w:t>
      </w:r>
      <w:r>
        <w:t>, este principio impone que los gastos del período sean financiados íntegramente con ingresos del mismo período.</w:t>
      </w:r>
    </w:p>
    <w:p w14:paraId="5559E359" w14:textId="3DCE52E9" w:rsidR="00803F9C" w:rsidRDefault="00803F9C" w:rsidP="00391F61">
      <w:pPr>
        <w:pStyle w:val="Nivel4"/>
        <w:ind w:left="1474"/>
      </w:pPr>
      <w:r>
        <w:t xml:space="preserve">La única excepción a este principio permitida por los neoclásicos es lo que llamaron </w:t>
      </w:r>
      <w:r w:rsidRPr="001A5858">
        <w:rPr>
          <w:i/>
          <w:iCs/>
        </w:rPr>
        <w:t>“deuda pública autoliquidable”</w:t>
      </w:r>
      <w:r>
        <w:t>, esto es, aquella destinada a financiar una inversión pública lo suficientemente productiva como para que por sí sola pague el principal y los intereses.</w:t>
      </w:r>
    </w:p>
    <w:p w14:paraId="7473A0E0" w14:textId="6BD0C723" w:rsidR="00803F9C" w:rsidRDefault="00803F9C" w:rsidP="00391F61">
      <w:pPr>
        <w:pStyle w:val="Nivel2SM"/>
        <w:keepNext/>
        <w:spacing w:after="0"/>
      </w:pPr>
      <w:r w:rsidRPr="00496A5F">
        <w:rPr>
          <w:i/>
          <w:iCs/>
          <w:u w:val="single"/>
        </w:rPr>
        <w:t>Modificaciones</w:t>
      </w:r>
      <w:r w:rsidR="00496A5F">
        <w:t>:</w:t>
      </w:r>
    </w:p>
    <w:p w14:paraId="12EF9F86" w14:textId="204DD2D1" w:rsidR="00803F9C" w:rsidRDefault="00803F9C" w:rsidP="00391F61">
      <w:pPr>
        <w:pStyle w:val="Nivel3SM"/>
      </w:pPr>
      <w:r>
        <w:t xml:space="preserve">El punto de ruptura con este principio se puede situar en la obra de </w:t>
      </w:r>
      <w:r w:rsidR="00496A5F">
        <w:rPr>
          <w:smallCaps/>
        </w:rPr>
        <w:t>Keynes</w:t>
      </w:r>
      <w:r>
        <w:t>, que muestra cómo el sector público juega una función muy importante en la estabilización de la actividad económica al suplir la insuficiencia de la demanda agregada, para lo que muchas veces es necesario incurrir en presupuestos desequilibrados.</w:t>
      </w:r>
    </w:p>
    <w:p w14:paraId="3B494E2B" w14:textId="5749E3D6" w:rsidR="00803F9C" w:rsidRPr="009940F7" w:rsidRDefault="00803F9C" w:rsidP="00391F61">
      <w:pPr>
        <w:pStyle w:val="Nivel3SM"/>
      </w:pPr>
      <w:r>
        <w:t xml:space="preserve">Últimamente, muchos países están volviendo a esta acepción clásica de conseguir equilibrio presupuestario, pero a lo largo del ciclo (presupuesto cíclico de </w:t>
      </w:r>
      <w:r w:rsidR="00496A5F">
        <w:rPr>
          <w:smallCaps/>
        </w:rPr>
        <w:t>Myrdal</w:t>
      </w:r>
      <w:r>
        <w:t>), esto es, el equilibrio presupuestario se formula en términos de déficit estructural nulo.</w:t>
      </w:r>
    </w:p>
    <w:p w14:paraId="1740BD4F" w14:textId="6921ECAE" w:rsidR="00334C45" w:rsidRDefault="006A4864" w:rsidP="006A4864">
      <w:pPr>
        <w:pStyle w:val="Nivel1SM"/>
        <w:keepNext/>
        <w:spacing w:after="0"/>
      </w:pPr>
      <w:r>
        <w:t xml:space="preserve">En </w:t>
      </w:r>
      <w:r w:rsidRPr="006A4864">
        <w:rPr>
          <w:b/>
          <w:bCs/>
        </w:rPr>
        <w:t>conclusión</w:t>
      </w:r>
      <w:r>
        <w:t xml:space="preserve">, se aprecia una </w:t>
      </w:r>
      <w:r w:rsidRPr="006A4864">
        <w:rPr>
          <w:b/>
          <w:bCs/>
        </w:rPr>
        <w:t>r</w:t>
      </w:r>
      <w:r w:rsidR="008F3F26" w:rsidRPr="006A4864">
        <w:rPr>
          <w:b/>
          <w:bCs/>
        </w:rPr>
        <w:t>elajación y flexibilización de los principios políticos y contables</w:t>
      </w:r>
      <w:r w:rsidR="008F3F26">
        <w:t xml:space="preserve">, </w:t>
      </w:r>
      <w:r w:rsidR="008F3F26" w:rsidRPr="006A4864">
        <w:rPr>
          <w:u w:val="single"/>
        </w:rPr>
        <w:t>con el fin de hacerlo más operativo</w:t>
      </w:r>
      <w:r w:rsidR="008F3F26">
        <w:t>.</w:t>
      </w:r>
    </w:p>
    <w:p w14:paraId="29CE2064" w14:textId="07B02A9F" w:rsidR="008F3F26" w:rsidRPr="009940F7" w:rsidRDefault="008F3F26" w:rsidP="006A4864">
      <w:pPr>
        <w:pStyle w:val="Nivel2SM"/>
      </w:pPr>
      <w:r>
        <w:t xml:space="preserve">Ruptura más drástica respecto a muchos principios económicos, </w:t>
      </w:r>
      <w:r w:rsidRPr="00960E01">
        <w:t>con el fin de adaptarlo a los cambios en el pensamiento económico</w:t>
      </w:r>
      <w:r>
        <w:t>.</w:t>
      </w:r>
    </w:p>
    <w:p w14:paraId="6638D63F" w14:textId="2A6E42E6" w:rsidR="00396920" w:rsidRDefault="00396920" w:rsidP="00396920">
      <w:pPr>
        <w:pStyle w:val="Ttulo3"/>
      </w:pPr>
      <w:bookmarkStart w:id="43" w:name="_Toc150445810"/>
      <w:r>
        <w:t>Modificaciones de los principios</w:t>
      </w:r>
      <w:bookmarkEnd w:id="43"/>
    </w:p>
    <w:p w14:paraId="729EE167" w14:textId="28E6C56A" w:rsidR="00396920" w:rsidRDefault="00396920" w:rsidP="00396920">
      <w:pPr>
        <w:pStyle w:val="Nivel1SM"/>
        <w:keepNext/>
        <w:spacing w:before="0" w:after="0"/>
      </w:pPr>
      <w:r>
        <w:t xml:space="preserve">El cuestionamiento de los principios clásicos tiene lugar a raíz del abandono de la ideología liberal característica del siglo XIX a partir de los años 30. A raíz de la Gran Depresión, </w:t>
      </w:r>
      <w:r>
        <w:rPr>
          <w:smallCaps/>
        </w:rPr>
        <w:t>Keynes</w:t>
      </w:r>
      <w:r>
        <w:t xml:space="preserve"> pone de manifiesto el necesario papel estabilizador del sector público, a lo que se une la construcción del </w:t>
      </w:r>
      <w:r w:rsidR="00D4269A">
        <w:t>e</w:t>
      </w:r>
      <w:r>
        <w:t xml:space="preserve">stado de </w:t>
      </w:r>
      <w:r w:rsidR="00D4269A">
        <w:t>b</w:t>
      </w:r>
      <w:r>
        <w:t>ienestar tras la Segunda Guerra Mundial.</w:t>
      </w:r>
    </w:p>
    <w:p w14:paraId="0FC752F5" w14:textId="0B8401EF" w:rsidR="00396920" w:rsidRDefault="00396920" w:rsidP="00396920">
      <w:pPr>
        <w:pStyle w:val="Nivel2SM"/>
      </w:pPr>
      <w:r>
        <w:t>Así, se produce una profunda transformación política y económica que hace que los principios clásicos entren en crisis, de forma que en la actualidad algunos de ellos, especialmente los económicos han sufrido importantes modificaciones.</w:t>
      </w:r>
    </w:p>
    <w:p w14:paraId="5EB88FEB" w14:textId="77777777" w:rsidR="00396920" w:rsidRDefault="00396920" w:rsidP="00396920">
      <w:pPr>
        <w:pStyle w:val="Ttulo6"/>
        <w:numPr>
          <w:ilvl w:val="0"/>
          <w:numId w:val="69"/>
        </w:numPr>
        <w:ind w:left="0" w:hanging="284"/>
      </w:pPr>
      <w:bookmarkStart w:id="44" w:name="_Toc150445811"/>
      <w:r>
        <w:t>Principio de limitación del gasto público</w:t>
      </w:r>
      <w:bookmarkEnd w:id="44"/>
    </w:p>
    <w:p w14:paraId="12861D06" w14:textId="30953854" w:rsidR="00A72466" w:rsidRDefault="00D4269A" w:rsidP="00D4269A">
      <w:pPr>
        <w:pStyle w:val="Nivel1SM"/>
        <w:keepNext/>
        <w:spacing w:before="0" w:after="0"/>
      </w:pPr>
      <w:r>
        <w:t>Este principio entra en crisis desde la Gran Depresión donde cobran vida las teorías keynesianas de impulso de la demanda agregada a través de la intervención del Estado en la economía. Por otra parte, coincide con la expansión del estado de bienestar.</w:t>
      </w:r>
    </w:p>
    <w:p w14:paraId="28EB77C6" w14:textId="77777777" w:rsidR="00334F36" w:rsidRDefault="00D4269A" w:rsidP="00334F36">
      <w:pPr>
        <w:pStyle w:val="Nivel2SM"/>
        <w:keepNext/>
        <w:spacing w:after="0"/>
      </w:pPr>
      <w:r>
        <w:t xml:space="preserve">Se han ampliado enormemente las funciones que se atribuyen al sector público, en búsqueda de una mayor </w:t>
      </w:r>
      <w:r>
        <w:rPr>
          <w:i/>
          <w:iCs/>
        </w:rPr>
        <w:t>eficiencia</w:t>
      </w:r>
      <w:r>
        <w:t xml:space="preserve">, </w:t>
      </w:r>
      <w:r>
        <w:rPr>
          <w:i/>
          <w:iCs/>
        </w:rPr>
        <w:t>equidad</w:t>
      </w:r>
      <w:r>
        <w:t xml:space="preserve"> y </w:t>
      </w:r>
      <w:r>
        <w:rPr>
          <w:i/>
          <w:iCs/>
        </w:rPr>
        <w:t>estabilidad</w:t>
      </w:r>
      <w:r>
        <w:t>.</w:t>
      </w:r>
    </w:p>
    <w:p w14:paraId="51176120" w14:textId="21CF4DE1" w:rsidR="00D4269A" w:rsidRDefault="00D4269A" w:rsidP="00334F36">
      <w:pPr>
        <w:pStyle w:val="Nivel3SM"/>
      </w:pPr>
      <w:r>
        <w:t>Esto se refleja en la práctica en las Constituciones de los países (p.ej. la Constitución Española hace referencia a prestaciones en seguridad social, sanidad, educación o vivienda).</w:t>
      </w:r>
    </w:p>
    <w:p w14:paraId="4D2CCC60" w14:textId="77777777" w:rsidR="00334F36" w:rsidRDefault="00D4269A" w:rsidP="00334F36">
      <w:pPr>
        <w:pStyle w:val="Nivel2SM"/>
        <w:keepNext/>
        <w:spacing w:after="0"/>
      </w:pPr>
      <w:r>
        <w:t>El concepto de limitar el gasto público se sigue aplicando en la actualidad, pero desde la década de 1980 se viene haciendo particular énfasis</w:t>
      </w:r>
      <w:r w:rsidR="00334F36">
        <w:t xml:space="preserve"> en el control del gasto público a través de las llamadas </w:t>
      </w:r>
      <w:r w:rsidR="00334F36">
        <w:rPr>
          <w:i/>
          <w:iCs/>
        </w:rPr>
        <w:t>“constituciones fiscales”</w:t>
      </w:r>
      <w:r w:rsidR="00334F36">
        <w:t>.</w:t>
      </w:r>
    </w:p>
    <w:p w14:paraId="5B287960" w14:textId="548D8BF6" w:rsidR="00D4269A" w:rsidRPr="00A72466" w:rsidRDefault="00334F36" w:rsidP="00334F36">
      <w:pPr>
        <w:pStyle w:val="Nivel3SM"/>
      </w:pPr>
      <w:r>
        <w:t>Esto se refleja, por ejemplo, en la introducción de la Regla de Gasto en la LOEPSF (2012), sin que ello haya llevado a un desmantelamiento sustancial del gasto.</w:t>
      </w:r>
    </w:p>
    <w:p w14:paraId="3BBAB503" w14:textId="77777777" w:rsidR="00396920" w:rsidRDefault="00396920" w:rsidP="00396920">
      <w:pPr>
        <w:pStyle w:val="Ttulo6"/>
        <w:numPr>
          <w:ilvl w:val="0"/>
          <w:numId w:val="69"/>
        </w:numPr>
        <w:ind w:left="0" w:hanging="284"/>
      </w:pPr>
      <w:bookmarkStart w:id="45" w:name="_Toc150445812"/>
      <w:r>
        <w:lastRenderedPageBreak/>
        <w:t>Principio de neutralidad impositiva</w:t>
      </w:r>
      <w:bookmarkEnd w:id="45"/>
    </w:p>
    <w:p w14:paraId="0652A429" w14:textId="2B2DE35E" w:rsidR="00A72466" w:rsidRDefault="00334F36" w:rsidP="00334F36">
      <w:pPr>
        <w:pStyle w:val="Nivel1SM"/>
        <w:keepNext/>
        <w:spacing w:before="0" w:after="0"/>
      </w:pPr>
      <w:r>
        <w:t>El despliegue del estado de bienestar ha llevado a emplear impuestos que distorsionan las relaciones de los agentes, con un cierto grado de progresividad y que han afectado a las decisiones de consumo, oferta de trabajo, beneficios empresariales, etc. A modo de ejemplo:</w:t>
      </w:r>
    </w:p>
    <w:p w14:paraId="13AA1C69" w14:textId="07FA6CBF" w:rsidR="00334F36" w:rsidRDefault="00334F36" w:rsidP="00334F36">
      <w:pPr>
        <w:pStyle w:val="Nivel2SM"/>
      </w:pPr>
      <w:r>
        <w:t xml:space="preserve">Impuestos que introducen consideraciones de equidad: </w:t>
      </w:r>
      <w:r w:rsidR="003039FE">
        <w:t>Impuestos progresivos para redistribuir la riqueza aunque sean distorsionantes.</w:t>
      </w:r>
    </w:p>
    <w:p w14:paraId="39FD355B" w14:textId="13653791" w:rsidR="00334F36" w:rsidRPr="00A72466" w:rsidRDefault="00334F36" w:rsidP="00334F36">
      <w:pPr>
        <w:pStyle w:val="Nivel2SM"/>
      </w:pPr>
      <w:r>
        <w:t>Impuestos concebidos para corregir fallos de mercado: Impuestos pigouvianos.</w:t>
      </w:r>
    </w:p>
    <w:p w14:paraId="3348763B" w14:textId="77777777" w:rsidR="00396920" w:rsidRDefault="00396920" w:rsidP="00396920">
      <w:pPr>
        <w:pStyle w:val="Ttulo6"/>
        <w:numPr>
          <w:ilvl w:val="0"/>
          <w:numId w:val="69"/>
        </w:numPr>
        <w:ind w:left="0" w:hanging="284"/>
      </w:pPr>
      <w:bookmarkStart w:id="46" w:name="_Toc150445813"/>
      <w:r>
        <w:t>Principio de reparto de los impuestos</w:t>
      </w:r>
      <w:bookmarkEnd w:id="46"/>
    </w:p>
    <w:p w14:paraId="209245BF" w14:textId="16C7EBBC" w:rsidR="00A72466" w:rsidRDefault="0045739D" w:rsidP="0045739D">
      <w:pPr>
        <w:pStyle w:val="Nivel1SM"/>
        <w:keepNext/>
        <w:spacing w:before="0" w:after="0"/>
      </w:pPr>
      <w:r>
        <w:t>Hoy en día, la mayoría de impuestos se basan en el principio de capacidad de pago, que es más compatible con la búsqueda de la equidad.</w:t>
      </w:r>
    </w:p>
    <w:p w14:paraId="2C93FDF2" w14:textId="2C0EBB52" w:rsidR="0045739D" w:rsidRPr="00A72466" w:rsidRDefault="0045739D" w:rsidP="00A72466">
      <w:pPr>
        <w:pStyle w:val="Nivel2SM"/>
      </w:pPr>
      <w:r>
        <w:t xml:space="preserve">Podemos encontrar su justificación en la obra de algunos pensadores como </w:t>
      </w:r>
      <w:r>
        <w:rPr>
          <w:smallCaps/>
        </w:rPr>
        <w:t>Rawls</w:t>
      </w:r>
      <w:r>
        <w:t xml:space="preserve"> (</w:t>
      </w:r>
      <w:r>
        <w:rPr>
          <w:i/>
          <w:iCs/>
        </w:rPr>
        <w:t>Calculus of Consent</w:t>
      </w:r>
      <w:r>
        <w:t>, 1971)</w:t>
      </w:r>
      <w:r w:rsidR="00F233BE">
        <w:t>.</w:t>
      </w:r>
    </w:p>
    <w:p w14:paraId="6CE321F4" w14:textId="6E38F14A" w:rsidR="00396920" w:rsidRDefault="00396920" w:rsidP="00396920">
      <w:pPr>
        <w:pStyle w:val="Ttulo6"/>
        <w:numPr>
          <w:ilvl w:val="0"/>
          <w:numId w:val="69"/>
        </w:numPr>
        <w:ind w:left="0" w:hanging="284"/>
      </w:pPr>
      <w:bookmarkStart w:id="47" w:name="_Toc150445814"/>
      <w:r>
        <w:t>Principio de equilibrio presupuestario</w:t>
      </w:r>
      <w:bookmarkEnd w:id="47"/>
    </w:p>
    <w:p w14:paraId="6DD7E943" w14:textId="77777777" w:rsidR="0045739D" w:rsidRDefault="0045739D" w:rsidP="0045739D">
      <w:pPr>
        <w:pStyle w:val="Nivel1SM"/>
        <w:keepNext/>
        <w:spacing w:before="0" w:after="0"/>
      </w:pPr>
      <w:r>
        <w:t>Es probablemente uno de los principios que más se ha incumplido, habiendo sido el déficit una constante en los presupuestos de numerosos países desarrollados durante el siglo XX y siglo XXI.</w:t>
      </w:r>
    </w:p>
    <w:p w14:paraId="69A33453" w14:textId="0AD6CF35" w:rsidR="00396920" w:rsidRDefault="0045739D" w:rsidP="00396920">
      <w:pPr>
        <w:pStyle w:val="Nivel2SM"/>
      </w:pPr>
      <w:r>
        <w:t>En la actualidad, se reconocen los peligros de la prociclicidad ya que para equillibrar el presupuesto habría que reducir el gasto público en las recesiones y aumentarlo en las expansiones.</w:t>
      </w:r>
    </w:p>
    <w:p w14:paraId="5DFBFD43" w14:textId="69714F86" w:rsidR="0045739D" w:rsidRDefault="0045739D" w:rsidP="00396920">
      <w:pPr>
        <w:pStyle w:val="Nivel2SM"/>
      </w:pPr>
      <w:r>
        <w:t xml:space="preserve">Por consiguiente, últimamente hay una cierta aceptación de la idea defendida por </w:t>
      </w:r>
      <w:r>
        <w:rPr>
          <w:smallCaps/>
        </w:rPr>
        <w:t>Myrdal</w:t>
      </w:r>
      <w:r>
        <w:t xml:space="preserve"> de conseguir un </w:t>
      </w:r>
      <w:r w:rsidRPr="0045739D">
        <w:rPr>
          <w:i/>
          <w:iCs/>
        </w:rPr>
        <w:t>equilibrio presupuestario pero a lo largo del ciclo</w:t>
      </w:r>
      <w:r>
        <w:t xml:space="preserve"> (i.e. el equilibrio presupuestario se formula en términos de déficit estructural nulo, con reflejo práctico en la zona euro).</w:t>
      </w:r>
    </w:p>
    <w:p w14:paraId="5D0AB75C" w14:textId="3AB5EA51" w:rsidR="00C33272" w:rsidRDefault="00C33272" w:rsidP="00C33272">
      <w:pPr>
        <w:pStyle w:val="Ttulo3"/>
      </w:pPr>
      <w:bookmarkStart w:id="48" w:name="_Toc150445815"/>
      <w:r>
        <w:t>Conclusión</w:t>
      </w:r>
      <w:bookmarkEnd w:id="48"/>
    </w:p>
    <w:p w14:paraId="422BBC97" w14:textId="1B0E8190" w:rsidR="00636D55" w:rsidRDefault="00636D55" w:rsidP="00951E3A">
      <w:pPr>
        <w:pStyle w:val="Nivel1SM"/>
        <w:keepNext/>
        <w:spacing w:before="0" w:after="0"/>
      </w:pPr>
      <w:r>
        <w:t>En definitiva, si bien se produce una crisis de los principios presupuestarios clásicos a partir de los años</w:t>
      </w:r>
      <w:r w:rsidR="00951E3A">
        <w:t> </w:t>
      </w:r>
      <w:r>
        <w:t xml:space="preserve">30, las nuevas aportaciones de la teoría económica a partir de la década de 1970 con el auge de la NMC y la Public </w:t>
      </w:r>
      <w:r w:rsidRPr="00636D55">
        <w:rPr>
          <w:i/>
          <w:iCs/>
        </w:rPr>
        <w:t>Choice</w:t>
      </w:r>
      <w:r>
        <w:t xml:space="preserve"> rescatan de alguna manera los principios clásicos al enfatizar la confianza en el mercado, control presupuestario y equilibrio presupuestario.</w:t>
      </w:r>
    </w:p>
    <w:p w14:paraId="04309D10" w14:textId="25143462" w:rsidR="00636D55" w:rsidRDefault="00636D55" w:rsidP="00636D55">
      <w:pPr>
        <w:pStyle w:val="Nivel2SM"/>
      </w:pPr>
      <w:r>
        <w:t>En consecuencia, la crisis de los principios clásicos debe ser matizada y podemos hablar hoy en día de modificaciones de los principios pero no de un levantamiento de los mismos.</w:t>
      </w:r>
    </w:p>
    <w:p w14:paraId="78E6AB20" w14:textId="129D9361" w:rsidR="0045739D" w:rsidRPr="00C33272" w:rsidRDefault="0045739D" w:rsidP="00C33272">
      <w:pPr>
        <w:pStyle w:val="Nivel1SM"/>
        <w:keepNext/>
        <w:spacing w:after="0"/>
        <w:rPr>
          <w:highlight w:val="yellow"/>
        </w:rPr>
      </w:pPr>
      <w:r w:rsidRPr="00C33272">
        <w:rPr>
          <w:highlight w:val="yellow"/>
        </w:rPr>
        <w:t>Los principios políticos y contables, por su parte, siguen estando vigentes, si bien con las modificaciones derivadas de la evolución del sistema político hacia otro más complejo de las normas de contabilidad. Así, por ejemplo, los principios de universalidad y unidad se han matizado debido a la descentralización territorial y al aumento del tamaño del sector público. En cuanto al principio de especialidad:</w:t>
      </w:r>
    </w:p>
    <w:p w14:paraId="2D6DFE2D" w14:textId="293FD63B" w:rsidR="0045739D" w:rsidRDefault="00AD552D" w:rsidP="00C33272">
      <w:pPr>
        <w:pStyle w:val="Prrafodelista"/>
        <w:numPr>
          <w:ilvl w:val="0"/>
          <w:numId w:val="72"/>
        </w:numPr>
        <w:spacing w:after="100"/>
        <w:ind w:left="567" w:hanging="113"/>
        <w:rPr>
          <w:highlight w:val="yellow"/>
        </w:rPr>
      </w:pPr>
      <w:r>
        <w:rPr>
          <w:highlight w:val="yellow"/>
        </w:rPr>
        <w:t>Especialidad cuantitativa: Existen procedimientos para permitir aumentos de gastos (p.ej. créditos extraordinarios).</w:t>
      </w:r>
    </w:p>
    <w:p w14:paraId="24663B5F" w14:textId="3B5BD2CC" w:rsidR="00AD552D" w:rsidRDefault="00AD552D" w:rsidP="00C33272">
      <w:pPr>
        <w:pStyle w:val="Prrafodelista"/>
        <w:numPr>
          <w:ilvl w:val="0"/>
          <w:numId w:val="72"/>
        </w:numPr>
        <w:spacing w:after="100"/>
        <w:ind w:left="567" w:hanging="113"/>
        <w:rPr>
          <w:highlight w:val="yellow"/>
        </w:rPr>
      </w:pPr>
      <w:r>
        <w:rPr>
          <w:highlight w:val="yellow"/>
        </w:rPr>
        <w:t>Especialidad cualitativa: Se permiten ciertos trasvases entre partidas de gasto (p.ej. transferencias de créditos).</w:t>
      </w:r>
    </w:p>
    <w:p w14:paraId="07BEE778" w14:textId="695ABF7C" w:rsidR="00AD552D" w:rsidRPr="00C33272" w:rsidRDefault="00AD552D" w:rsidP="00C33272">
      <w:pPr>
        <w:pStyle w:val="Prrafodelista"/>
        <w:numPr>
          <w:ilvl w:val="0"/>
          <w:numId w:val="72"/>
        </w:numPr>
        <w:spacing w:after="100"/>
        <w:ind w:left="567" w:hanging="113"/>
        <w:rPr>
          <w:highlight w:val="yellow"/>
        </w:rPr>
      </w:pPr>
      <w:r>
        <w:rPr>
          <w:highlight w:val="yellow"/>
        </w:rPr>
        <w:t>Especialidad temporal: Se programan ciertas inversiones que comprometen gastos futuros y se permiten incorporaciones de créditos.</w:t>
      </w:r>
    </w:p>
    <w:p w14:paraId="71C236F6" w14:textId="0E781BDC" w:rsidR="00334C45" w:rsidRPr="009940F7" w:rsidRDefault="00480656" w:rsidP="00A36A31">
      <w:pPr>
        <w:pStyle w:val="Ttulo1"/>
      </w:pPr>
      <w:bookmarkStart w:id="49" w:name="_Toc150445816"/>
      <w:r>
        <w:t xml:space="preserve">LAS </w:t>
      </w:r>
      <w:r w:rsidR="008F3F26">
        <w:t>REFORMAS PRESUPUESTARIAS MÁS DESTACADAS</w:t>
      </w:r>
      <w:bookmarkEnd w:id="49"/>
    </w:p>
    <w:p w14:paraId="7577566F" w14:textId="5CE64C9E" w:rsidR="00A36A31" w:rsidRDefault="00A36A31" w:rsidP="00A36A31">
      <w:pPr>
        <w:pStyle w:val="Ttulo2"/>
      </w:pPr>
      <w:bookmarkStart w:id="50" w:name="_Toc150445817"/>
      <w:r>
        <w:t>Reformas en los objetivos del presupuesto</w:t>
      </w:r>
      <w:bookmarkEnd w:id="50"/>
    </w:p>
    <w:p w14:paraId="6CB5B269" w14:textId="4197BE96" w:rsidR="00803F9C" w:rsidRDefault="00803F9C" w:rsidP="00E060EC">
      <w:pPr>
        <w:pStyle w:val="Nivel1SM"/>
        <w:keepNext/>
        <w:spacing w:before="0" w:after="0"/>
      </w:pPr>
      <w:r>
        <w:t xml:space="preserve">Como hemos visto, con el tiempo el </w:t>
      </w:r>
      <w:r w:rsidRPr="00E060EC">
        <w:rPr>
          <w:b/>
          <w:bCs/>
        </w:rPr>
        <w:t>presupuesto clásico</w:t>
      </w:r>
      <w:r>
        <w:t xml:space="preserve"> ha experimentado </w:t>
      </w:r>
      <w:r w:rsidRPr="00E060EC">
        <w:rPr>
          <w:i/>
          <w:iCs/>
          <w:u w:val="single"/>
        </w:rPr>
        <w:t>reformas de sus principios</w:t>
      </w:r>
      <w:r>
        <w:t xml:space="preserve">. Pero, además, el presupuesto ha experimentado </w:t>
      </w:r>
      <w:r w:rsidRPr="00E060EC">
        <w:rPr>
          <w:i/>
          <w:iCs/>
          <w:u w:val="single"/>
        </w:rPr>
        <w:t>reformas en los objetivos que debe cumplir el presupuesto</w:t>
      </w:r>
      <w:r>
        <w:t>, lo que ha dado lugar a diferentes tipos de presupuestos, que pasaremos a analizar a continuación:</w:t>
      </w:r>
    </w:p>
    <w:p w14:paraId="118A4C6D" w14:textId="77777777" w:rsidR="00803F9C" w:rsidRDefault="00803F9C" w:rsidP="00E060EC">
      <w:pPr>
        <w:pStyle w:val="Prrafodelista"/>
        <w:numPr>
          <w:ilvl w:val="0"/>
          <w:numId w:val="55"/>
        </w:numPr>
        <w:spacing w:after="100"/>
        <w:ind w:left="567" w:hanging="113"/>
      </w:pPr>
      <w:r>
        <w:t>Clásico (destino).</w:t>
      </w:r>
    </w:p>
    <w:p w14:paraId="01A2A2D4" w14:textId="77777777" w:rsidR="00803F9C" w:rsidRDefault="00803F9C" w:rsidP="00E060EC">
      <w:pPr>
        <w:pStyle w:val="Prrafodelista"/>
        <w:numPr>
          <w:ilvl w:val="0"/>
          <w:numId w:val="55"/>
        </w:numPr>
        <w:spacing w:after="100"/>
        <w:ind w:left="567" w:hanging="113"/>
      </w:pPr>
      <w:r>
        <w:lastRenderedPageBreak/>
        <w:t>De ejecución (eficacia).</w:t>
      </w:r>
    </w:p>
    <w:p w14:paraId="574D5F74" w14:textId="77777777" w:rsidR="00803F9C" w:rsidRDefault="00803F9C" w:rsidP="00E060EC">
      <w:pPr>
        <w:pStyle w:val="Prrafodelista"/>
        <w:numPr>
          <w:ilvl w:val="0"/>
          <w:numId w:val="55"/>
        </w:numPr>
        <w:spacing w:after="100"/>
        <w:ind w:left="567" w:hanging="113"/>
      </w:pPr>
      <w:r>
        <w:t>De planificación por programas (eficiencia).</w:t>
      </w:r>
    </w:p>
    <w:p w14:paraId="4E53C713" w14:textId="77777777" w:rsidR="00803F9C" w:rsidRDefault="00803F9C" w:rsidP="00E060EC">
      <w:pPr>
        <w:pStyle w:val="Prrafodelista"/>
        <w:numPr>
          <w:ilvl w:val="0"/>
          <w:numId w:val="55"/>
        </w:numPr>
        <w:spacing w:after="100"/>
        <w:ind w:left="567" w:hanging="113"/>
      </w:pPr>
      <w:r>
        <w:t>De base cero (no incrementalismo).</w:t>
      </w:r>
    </w:p>
    <w:p w14:paraId="1546475B" w14:textId="02B64CF8" w:rsidR="008F3F26" w:rsidRDefault="00803F9C" w:rsidP="00E060EC">
      <w:pPr>
        <w:pStyle w:val="Prrafodelista"/>
        <w:numPr>
          <w:ilvl w:val="0"/>
          <w:numId w:val="55"/>
        </w:numPr>
        <w:spacing w:after="100"/>
        <w:ind w:left="567" w:hanging="113"/>
      </w:pPr>
      <w:r>
        <w:t>Participativos.</w:t>
      </w:r>
    </w:p>
    <w:p w14:paraId="6DE6C13B" w14:textId="416CEA51" w:rsidR="008F3F26" w:rsidRDefault="000F3A95" w:rsidP="00A36A31">
      <w:pPr>
        <w:pStyle w:val="Ttulo3"/>
      </w:pPr>
      <w:bookmarkStart w:id="51" w:name="_Toc150445818"/>
      <w:r>
        <w:t>P</w:t>
      </w:r>
      <w:r w:rsidR="008F3F26">
        <w:t>resupuesto clásico</w:t>
      </w:r>
      <w:bookmarkEnd w:id="51"/>
    </w:p>
    <w:p w14:paraId="520B4C9B" w14:textId="3DC6F14F" w:rsidR="00183AD7" w:rsidRPr="00D27DD6" w:rsidRDefault="00183AD7" w:rsidP="00E060EC">
      <w:pPr>
        <w:pStyle w:val="Ttulo6"/>
        <w:spacing w:before="0"/>
      </w:pPr>
      <w:bookmarkStart w:id="52" w:name="_Toc150445819"/>
      <w:r w:rsidRPr="00183AD7">
        <w:t>Introducción</w:t>
      </w:r>
      <w:bookmarkEnd w:id="52"/>
    </w:p>
    <w:p w14:paraId="7D4BB895" w14:textId="41A86E99" w:rsidR="00BF51A5" w:rsidRPr="00BF51A5" w:rsidRDefault="00BF51A5" w:rsidP="00BF51A5">
      <w:pPr>
        <w:pStyle w:val="Nivel2SM"/>
        <w:keepNext/>
        <w:spacing w:after="0"/>
      </w:pPr>
      <w:r>
        <w:rPr>
          <w:rFonts w:cs="Times New Roman"/>
        </w:rPr>
        <w:t>El presupuesto clásico se ve</w:t>
      </w:r>
      <w:r w:rsidRPr="005F29EC">
        <w:rPr>
          <w:rFonts w:cs="Times New Roman"/>
        </w:rPr>
        <w:t xml:space="preserve"> influido por la doctrina de la separación de poderes</w:t>
      </w:r>
      <w:r>
        <w:rPr>
          <w:rFonts w:cs="Times New Roman"/>
        </w:rPr>
        <w:t>,</w:t>
      </w:r>
      <w:r w:rsidRPr="005F29EC">
        <w:rPr>
          <w:rFonts w:cs="Times New Roman"/>
        </w:rPr>
        <w:t xml:space="preserve"> </w:t>
      </w:r>
      <w:r>
        <w:rPr>
          <w:rFonts w:cs="Times New Roman"/>
        </w:rPr>
        <w:t xml:space="preserve">y </w:t>
      </w:r>
      <w:r w:rsidRPr="005F29EC">
        <w:rPr>
          <w:rFonts w:cs="Times New Roman"/>
        </w:rPr>
        <w:t xml:space="preserve">nace con el </w:t>
      </w:r>
      <w:r>
        <w:rPr>
          <w:rFonts w:cs="Times New Roman"/>
        </w:rPr>
        <w:t xml:space="preserve">objetivo de control del ejecutivo. Es, pues, </w:t>
      </w:r>
      <w:r w:rsidRPr="00E31E9C">
        <w:rPr>
          <w:rFonts w:cs="Times New Roman"/>
        </w:rPr>
        <w:t>un mero registro contable de ingresos y gastos, que muestra c</w:t>
      </w:r>
      <w:r>
        <w:rPr>
          <w:rFonts w:cs="Times New Roman"/>
        </w:rPr>
        <w:t>ó</w:t>
      </w:r>
      <w:r w:rsidRPr="00E31E9C">
        <w:rPr>
          <w:rFonts w:cs="Times New Roman"/>
        </w:rPr>
        <w:t xml:space="preserve">mo </w:t>
      </w:r>
      <w:r>
        <w:rPr>
          <w:rFonts w:cs="Times New Roman"/>
        </w:rPr>
        <w:t xml:space="preserve">gasta </w:t>
      </w:r>
      <w:r w:rsidRPr="00E31E9C">
        <w:rPr>
          <w:rFonts w:cs="Times New Roman"/>
        </w:rPr>
        <w:t xml:space="preserve">el </w:t>
      </w:r>
      <w:r w:rsidR="004372F0">
        <w:t>sector</w:t>
      </w:r>
      <w:r w:rsidR="004372F0">
        <w:t xml:space="preserve"> público</w:t>
      </w:r>
      <w:r w:rsidR="004372F0">
        <w:rPr>
          <w:rFonts w:cs="Times New Roman"/>
        </w:rPr>
        <w:t xml:space="preserve"> </w:t>
      </w:r>
      <w:r w:rsidRPr="00E31E9C">
        <w:rPr>
          <w:rFonts w:cs="Times New Roman"/>
        </w:rPr>
        <w:t xml:space="preserve">y en qué lo hace. Así, </w:t>
      </w:r>
      <w:r>
        <w:rPr>
          <w:rFonts w:cs="Times New Roman"/>
        </w:rPr>
        <w:t>el criterio de</w:t>
      </w:r>
      <w:r w:rsidRPr="00E31E9C">
        <w:rPr>
          <w:rFonts w:cs="Times New Roman"/>
        </w:rPr>
        <w:t xml:space="preserve"> clasificación de los gastos </w:t>
      </w:r>
      <w:r>
        <w:rPr>
          <w:rFonts w:cs="Times New Roman"/>
        </w:rPr>
        <w:t>es de tipo</w:t>
      </w:r>
      <w:r w:rsidRPr="00E31E9C">
        <w:rPr>
          <w:rFonts w:cs="Times New Roman"/>
        </w:rPr>
        <w:t xml:space="preserve"> </w:t>
      </w:r>
      <w:r>
        <w:rPr>
          <w:rFonts w:cs="Times New Roman"/>
        </w:rPr>
        <w:t>orgánico</w:t>
      </w:r>
      <w:r w:rsidRPr="00E31E9C">
        <w:rPr>
          <w:rFonts w:cs="Times New Roman"/>
        </w:rPr>
        <w:t xml:space="preserve">, </w:t>
      </w:r>
      <w:r>
        <w:rPr>
          <w:rFonts w:cs="Times New Roman"/>
        </w:rPr>
        <w:t xml:space="preserve">y </w:t>
      </w:r>
      <w:r w:rsidRPr="00550252">
        <w:rPr>
          <w:rFonts w:cs="Times New Roman"/>
        </w:rPr>
        <w:t xml:space="preserve">clasifica el </w:t>
      </w:r>
      <w:r w:rsidR="004372F0">
        <w:t>gasto público</w:t>
      </w:r>
      <w:r w:rsidRPr="00550252">
        <w:rPr>
          <w:rFonts w:cs="Times New Roman"/>
        </w:rPr>
        <w:t xml:space="preserve"> por centros de gasto</w:t>
      </w:r>
      <w:r w:rsidRPr="00E31E9C">
        <w:rPr>
          <w:rFonts w:cs="Times New Roman"/>
        </w:rPr>
        <w:t>.</w:t>
      </w:r>
    </w:p>
    <w:p w14:paraId="26EDF105" w14:textId="1CCCF124" w:rsidR="009F6875" w:rsidRDefault="009F6875" w:rsidP="00BF51A5">
      <w:pPr>
        <w:pStyle w:val="Nivel3SM"/>
      </w:pPr>
      <w:r>
        <w:t>En su formulación clásica, el presupuesto era básicamente un presupuesto orgánico, esto es, un mero registro contable de ingresos y gastos de los distintos organismos públicos.</w:t>
      </w:r>
    </w:p>
    <w:p w14:paraId="46BEE362" w14:textId="5B7B5EBA" w:rsidR="00183AD7" w:rsidRPr="00D27DD6" w:rsidRDefault="00183AD7" w:rsidP="00435895">
      <w:pPr>
        <w:pStyle w:val="Nivel2SM"/>
      </w:pPr>
      <w:r>
        <w:t xml:space="preserve">Conforme crecía la complejidad del sector público con el paso del tiempo, se hizo necesario desarrollar un presupuesto más completo, surgiendo así </w:t>
      </w:r>
      <w:r w:rsidR="009F6875">
        <w:t>2 </w:t>
      </w:r>
      <w:r>
        <w:t xml:space="preserve">modalidades: </w:t>
      </w:r>
      <w:r w:rsidRPr="009F6875">
        <w:rPr>
          <w:i/>
          <w:iCs/>
        </w:rPr>
        <w:t>clasificación económica</w:t>
      </w:r>
      <w:r>
        <w:t xml:space="preserve"> y </w:t>
      </w:r>
      <w:r w:rsidRPr="009F6875">
        <w:rPr>
          <w:i/>
          <w:iCs/>
        </w:rPr>
        <w:t>clasificación funcional</w:t>
      </w:r>
      <w:r>
        <w:t>.</w:t>
      </w:r>
    </w:p>
    <w:p w14:paraId="6213D366" w14:textId="15A4DF31" w:rsidR="00334C45" w:rsidRPr="00D27DD6" w:rsidRDefault="00183AD7" w:rsidP="00D27DD6">
      <w:pPr>
        <w:pStyle w:val="Ttulo6"/>
      </w:pPr>
      <w:bookmarkStart w:id="53" w:name="_Toc150445820"/>
      <w:r>
        <w:t>Objetivo</w:t>
      </w:r>
      <w:bookmarkEnd w:id="53"/>
    </w:p>
    <w:p w14:paraId="381ACAB1" w14:textId="15A5D339" w:rsidR="000A0CD5" w:rsidRDefault="00183AD7" w:rsidP="00435895">
      <w:pPr>
        <w:pStyle w:val="Nivel2SM"/>
      </w:pPr>
      <w:r w:rsidRPr="003F79B5">
        <w:rPr>
          <w:i/>
          <w:iCs/>
        </w:rPr>
        <w:t xml:space="preserve">Ofrecer información sobre el </w:t>
      </w:r>
      <w:r w:rsidRPr="003F79B5">
        <w:rPr>
          <w:i/>
          <w:iCs/>
          <w:u w:val="single"/>
        </w:rPr>
        <w:t>destino</w:t>
      </w:r>
      <w:r w:rsidRPr="003F79B5">
        <w:rPr>
          <w:i/>
          <w:iCs/>
        </w:rPr>
        <w:t xml:space="preserve"> del gasto público</w:t>
      </w:r>
      <w:r>
        <w:t>.</w:t>
      </w:r>
    </w:p>
    <w:p w14:paraId="5BD044FB" w14:textId="17D24E7E" w:rsidR="00183AD7" w:rsidRDefault="00183AD7" w:rsidP="00D27DD6">
      <w:pPr>
        <w:pStyle w:val="Ttulo6"/>
      </w:pPr>
      <w:bookmarkStart w:id="54" w:name="_Toc150445821"/>
      <w:r>
        <w:t>Estructura</w:t>
      </w:r>
      <w:bookmarkEnd w:id="54"/>
    </w:p>
    <w:p w14:paraId="5FF33343" w14:textId="2455AC11" w:rsidR="00404EEC" w:rsidRDefault="00404EEC" w:rsidP="005827E8">
      <w:pPr>
        <w:pStyle w:val="Nivel2SM"/>
        <w:keepNext/>
        <w:spacing w:after="0"/>
      </w:pPr>
      <w:r w:rsidRPr="00E060EC">
        <w:rPr>
          <w:b/>
          <w:bCs/>
        </w:rPr>
        <w:t>Clasificación Orgánica</w:t>
      </w:r>
      <w:r w:rsidRPr="00AD6A8E">
        <w:t>:</w:t>
      </w:r>
    </w:p>
    <w:p w14:paraId="100288A1" w14:textId="00AE5729" w:rsidR="00404EEC" w:rsidRPr="00404EEC" w:rsidRDefault="00404EEC" w:rsidP="005827E8">
      <w:pPr>
        <w:pStyle w:val="Nivel3SM"/>
        <w:keepNext/>
      </w:pPr>
      <w:r w:rsidRPr="000F3A95">
        <w:rPr>
          <w:i/>
          <w:iCs/>
        </w:rPr>
        <w:t>Idea</w:t>
      </w:r>
      <w:r w:rsidR="00E060EC">
        <w:t>:</w:t>
      </w:r>
    </w:p>
    <w:p w14:paraId="4C40428F" w14:textId="00ADFEAF" w:rsidR="00404EEC" w:rsidRDefault="00404EEC" w:rsidP="005827E8">
      <w:pPr>
        <w:pStyle w:val="Nivel4"/>
        <w:ind w:left="1474"/>
      </w:pPr>
      <w:r>
        <w:t xml:space="preserve">Clasifica el </w:t>
      </w:r>
      <w:bookmarkStart w:id="55" w:name="_Hlk150444752"/>
      <w:r w:rsidR="000F3A95">
        <w:t>gasto público</w:t>
      </w:r>
      <w:bookmarkEnd w:id="55"/>
      <w:r>
        <w:t xml:space="preserve"> por centros de gasto. Responde a la pregunta </w:t>
      </w:r>
      <w:r w:rsidRPr="000F3A95">
        <w:rPr>
          <w:i/>
          <w:iCs/>
        </w:rPr>
        <w:t>¿quién gasta?</w:t>
      </w:r>
    </w:p>
    <w:p w14:paraId="58463905" w14:textId="77777777" w:rsidR="00404EEC" w:rsidRDefault="00404EEC" w:rsidP="005827E8">
      <w:pPr>
        <w:pStyle w:val="Nivel3SM"/>
        <w:keepNext/>
      </w:pPr>
      <w:r w:rsidRPr="00404EEC">
        <w:t xml:space="preserve">La </w:t>
      </w:r>
      <w:r w:rsidRPr="000F3A95">
        <w:rPr>
          <w:i/>
          <w:iCs/>
        </w:rPr>
        <w:t>clasificación</w:t>
      </w:r>
      <w:r w:rsidRPr="00404EEC">
        <w:t xml:space="preserve"> sería la siguiente</w:t>
      </w:r>
      <w:r>
        <w:t>:</w:t>
      </w:r>
    </w:p>
    <w:p w14:paraId="19066330" w14:textId="4CCDB826" w:rsidR="00404EEC" w:rsidRPr="000F21CB" w:rsidRDefault="000F3A95" w:rsidP="005827E8">
      <w:pPr>
        <w:pStyle w:val="Nivel4"/>
        <w:ind w:left="1474"/>
      </w:pPr>
      <w:r>
        <w:t xml:space="preserve">Administración Central del </w:t>
      </w:r>
      <w:r w:rsidR="00404EEC" w:rsidRPr="000F21CB">
        <w:t>Estado</w:t>
      </w:r>
      <w:r w:rsidR="00404EEC">
        <w:t>.</w:t>
      </w:r>
    </w:p>
    <w:p w14:paraId="228FACD3" w14:textId="0AB50889" w:rsidR="00404EEC" w:rsidRPr="000F21CB" w:rsidRDefault="00404EEC" w:rsidP="005827E8">
      <w:pPr>
        <w:pStyle w:val="Nivel4"/>
        <w:ind w:left="1474"/>
      </w:pPr>
      <w:r>
        <w:t>Organismos Autónomos.</w:t>
      </w:r>
    </w:p>
    <w:p w14:paraId="1946A0F6" w14:textId="328037A9" w:rsidR="00EC4346" w:rsidRDefault="00404EEC" w:rsidP="005827E8">
      <w:pPr>
        <w:pStyle w:val="Nivel4"/>
        <w:ind w:left="1474"/>
      </w:pPr>
      <w:r w:rsidRPr="00774F47">
        <w:t>Entes públicos</w:t>
      </w:r>
      <w:r>
        <w:t xml:space="preserve"> (agencias estatales y el resto de entidades que integran el </w:t>
      </w:r>
      <w:r w:rsidR="000F3A95">
        <w:t>sector público</w:t>
      </w:r>
      <w:r>
        <w:t xml:space="preserve"> administrativo estatal, con presupuestos de gastos de carácter limitativo).</w:t>
      </w:r>
    </w:p>
    <w:p w14:paraId="0381D2DE" w14:textId="77777777" w:rsidR="000F3A95" w:rsidRPr="00B908EE" w:rsidRDefault="000F3A95" w:rsidP="000F3A95">
      <w:pPr>
        <w:pStyle w:val="Nivel4"/>
        <w:ind w:left="1474"/>
      </w:pPr>
      <w:r>
        <w:t>Seguridad Social.</w:t>
      </w:r>
    </w:p>
    <w:p w14:paraId="4599C2FA" w14:textId="28D74239" w:rsidR="00183AD7" w:rsidRDefault="000A0CD5" w:rsidP="005827E8">
      <w:pPr>
        <w:pStyle w:val="Nivel2SM"/>
        <w:keepNext/>
        <w:spacing w:after="0"/>
      </w:pPr>
      <w:r w:rsidRPr="00E060EC">
        <w:rPr>
          <w:b/>
          <w:bCs/>
        </w:rPr>
        <w:t>Clasificación económica (Clasificación por capítulos)</w:t>
      </w:r>
      <w:r>
        <w:t>:</w:t>
      </w:r>
    </w:p>
    <w:p w14:paraId="36D9C0D8" w14:textId="6EC982AE" w:rsidR="00183AD7" w:rsidRPr="00183AD7" w:rsidRDefault="00183AD7" w:rsidP="00297560">
      <w:pPr>
        <w:pStyle w:val="Nivel3SM"/>
        <w:keepNext/>
      </w:pPr>
      <w:r w:rsidRPr="000F3A95">
        <w:rPr>
          <w:i/>
          <w:iCs/>
        </w:rPr>
        <w:t>Idea</w:t>
      </w:r>
      <w:r w:rsidR="00E060EC">
        <w:t>:</w:t>
      </w:r>
    </w:p>
    <w:p w14:paraId="5AC7F802" w14:textId="6D38535A" w:rsidR="000A0CD5" w:rsidRPr="000F3A95" w:rsidRDefault="004B4093" w:rsidP="00391F61">
      <w:pPr>
        <w:pStyle w:val="Nivel4"/>
        <w:ind w:left="1474"/>
        <w:rPr>
          <w:spacing w:val="-3"/>
        </w:rPr>
      </w:pPr>
      <w:r w:rsidRPr="000F3A95">
        <w:rPr>
          <w:spacing w:val="-3"/>
        </w:rPr>
        <w:t xml:space="preserve">Clasifica el </w:t>
      </w:r>
      <w:r w:rsidR="000F3A95" w:rsidRPr="000F3A95">
        <w:rPr>
          <w:spacing w:val="-3"/>
        </w:rPr>
        <w:t>gasto público</w:t>
      </w:r>
      <w:r w:rsidRPr="000F3A95">
        <w:rPr>
          <w:spacing w:val="-3"/>
        </w:rPr>
        <w:t xml:space="preserve"> por destino económico. Responde a la pregunta </w:t>
      </w:r>
      <w:r w:rsidRPr="000F3A95">
        <w:rPr>
          <w:i/>
          <w:iCs/>
          <w:spacing w:val="-3"/>
        </w:rPr>
        <w:t>¿cómo se gasta?</w:t>
      </w:r>
    </w:p>
    <w:p w14:paraId="448240E3" w14:textId="66EEB603" w:rsidR="00183AD7" w:rsidRPr="00183AD7" w:rsidRDefault="00183AD7" w:rsidP="00297560">
      <w:pPr>
        <w:pStyle w:val="Nivel3SM"/>
        <w:keepNext/>
      </w:pPr>
      <w:r w:rsidRPr="000F3A95">
        <w:rPr>
          <w:i/>
          <w:iCs/>
        </w:rPr>
        <w:t>Estructura</w:t>
      </w:r>
      <w:r w:rsidR="00E060EC">
        <w:t>:</w:t>
      </w:r>
    </w:p>
    <w:p w14:paraId="54002E56" w14:textId="64B09FC8" w:rsidR="000A0CD5" w:rsidRDefault="000A0CD5" w:rsidP="00297560">
      <w:pPr>
        <w:pStyle w:val="Nivel4"/>
        <w:keepNext/>
        <w:ind w:left="1474"/>
      </w:pPr>
      <w:r w:rsidRPr="00E060EC">
        <w:rPr>
          <w:i/>
          <w:iCs/>
          <w:u w:val="single"/>
        </w:rPr>
        <w:t>Operaciones no</w:t>
      </w:r>
      <w:r w:rsidR="00E060EC">
        <w:rPr>
          <w:i/>
          <w:iCs/>
          <w:u w:val="single"/>
        </w:rPr>
        <w:t> </w:t>
      </w:r>
      <w:r w:rsidRPr="00E060EC">
        <w:rPr>
          <w:i/>
          <w:iCs/>
          <w:u w:val="single"/>
        </w:rPr>
        <w:t>financieras</w:t>
      </w:r>
      <w:r>
        <w:t>:</w:t>
      </w:r>
    </w:p>
    <w:p w14:paraId="25FE8C55" w14:textId="77777777" w:rsidR="000A0CD5" w:rsidRDefault="000A0CD5" w:rsidP="00297560">
      <w:pPr>
        <w:pStyle w:val="Nivel5"/>
        <w:keepNext/>
        <w:ind w:left="1871"/>
      </w:pPr>
      <w:r w:rsidRPr="00E060EC">
        <w:rPr>
          <w:i/>
          <w:iCs/>
        </w:rPr>
        <w:t>Gastos corrientes</w:t>
      </w:r>
      <w:r>
        <w:t>:</w:t>
      </w:r>
    </w:p>
    <w:p w14:paraId="315A72B8" w14:textId="10F8EBC1" w:rsidR="000A0CD5" w:rsidRDefault="000A0CD5" w:rsidP="00297560">
      <w:pPr>
        <w:pStyle w:val="Nivel6"/>
        <w:ind w:left="2212"/>
      </w:pPr>
      <w:r w:rsidRPr="0075712D">
        <w:t>Capítulo</w:t>
      </w:r>
      <w:r w:rsidR="007F027D">
        <w:t> </w:t>
      </w:r>
      <w:r w:rsidRPr="0075712D">
        <w:t>I</w:t>
      </w:r>
      <w:r>
        <w:t>: Gastos de personal (altos cargos, funcionarios</w:t>
      </w:r>
      <w:r w:rsidR="007F027D">
        <w:t>…</w:t>
      </w:r>
      <w:r>
        <w:t>).</w:t>
      </w:r>
    </w:p>
    <w:p w14:paraId="75EFCE83" w14:textId="16E6B048" w:rsidR="000A0CD5" w:rsidRDefault="000A0CD5" w:rsidP="00297560">
      <w:pPr>
        <w:pStyle w:val="Nivel6"/>
        <w:ind w:left="2212"/>
      </w:pPr>
      <w:r w:rsidRPr="0075712D">
        <w:t>Capítulo</w:t>
      </w:r>
      <w:r w:rsidR="007F027D">
        <w:t> </w:t>
      </w:r>
      <w:r>
        <w:t>I</w:t>
      </w:r>
      <w:r w:rsidRPr="0075712D">
        <w:t>I</w:t>
      </w:r>
      <w:r>
        <w:t>: Gasto en bienes y servicios (arrendamientos, material</w:t>
      </w:r>
      <w:r w:rsidR="007F027D">
        <w:t>…</w:t>
      </w:r>
      <w:r>
        <w:t>).</w:t>
      </w:r>
    </w:p>
    <w:p w14:paraId="0BD27759" w14:textId="0C487AA3" w:rsidR="000A0CD5" w:rsidRDefault="000A0CD5" w:rsidP="00297560">
      <w:pPr>
        <w:pStyle w:val="Nivel6"/>
        <w:ind w:left="2212"/>
      </w:pPr>
      <w:r w:rsidRPr="0075712D">
        <w:t>Capítulo</w:t>
      </w:r>
      <w:r w:rsidR="007F027D">
        <w:t> </w:t>
      </w:r>
      <w:r w:rsidRPr="0075712D">
        <w:t>I</w:t>
      </w:r>
      <w:r>
        <w:t>II: Gastos financieros (intereses de deuda pública, intereses de préstamos, intereses de demora</w:t>
      </w:r>
      <w:r w:rsidR="007F027D">
        <w:t>…</w:t>
      </w:r>
      <w:r>
        <w:t>).</w:t>
      </w:r>
    </w:p>
    <w:p w14:paraId="24393945" w14:textId="273863A8" w:rsidR="000A0CD5" w:rsidRDefault="000A0CD5" w:rsidP="00297560">
      <w:pPr>
        <w:pStyle w:val="Nivel6"/>
        <w:ind w:left="2212"/>
      </w:pPr>
      <w:r w:rsidRPr="0075712D">
        <w:t>Capítulo</w:t>
      </w:r>
      <w:r w:rsidR="007F027D">
        <w:t> </w:t>
      </w:r>
      <w:r w:rsidRPr="0075712D">
        <w:t>I</w:t>
      </w:r>
      <w:r>
        <w:t>V: Transferencias corrientes pagadas.</w:t>
      </w:r>
    </w:p>
    <w:p w14:paraId="4256DECA" w14:textId="62B5AE6B" w:rsidR="000A0CD5" w:rsidRDefault="000A0CD5" w:rsidP="00297560">
      <w:pPr>
        <w:pStyle w:val="Nivel6"/>
        <w:ind w:left="2212"/>
      </w:pPr>
      <w:r w:rsidRPr="0075712D">
        <w:t>Capítulo</w:t>
      </w:r>
      <w:r w:rsidR="007F027D">
        <w:t> </w:t>
      </w:r>
      <w:r>
        <w:t>V: Fondo de contingencia.</w:t>
      </w:r>
    </w:p>
    <w:p w14:paraId="19ADB33E" w14:textId="77777777" w:rsidR="000A0CD5" w:rsidRDefault="000A0CD5" w:rsidP="00297560">
      <w:pPr>
        <w:pStyle w:val="Nivel5"/>
        <w:keepNext/>
        <w:ind w:left="1871"/>
      </w:pPr>
      <w:r w:rsidRPr="00E060EC">
        <w:rPr>
          <w:i/>
          <w:iCs/>
        </w:rPr>
        <w:t>Gastos de capital</w:t>
      </w:r>
      <w:r>
        <w:t>:</w:t>
      </w:r>
    </w:p>
    <w:p w14:paraId="37C20C6B" w14:textId="370DB916" w:rsidR="000A0CD5" w:rsidRDefault="000A0CD5" w:rsidP="00297560">
      <w:pPr>
        <w:pStyle w:val="Nivel6"/>
        <w:ind w:left="2212"/>
      </w:pPr>
      <w:r w:rsidRPr="0075712D">
        <w:t>Capítulo</w:t>
      </w:r>
      <w:r w:rsidR="007F027D">
        <w:t> </w:t>
      </w:r>
      <w:r>
        <w:t>VI: Inversiones reales (en bienes e infraestructuras de uso general, en bienes e infraestructuras militares</w:t>
      </w:r>
      <w:r w:rsidR="007F027D">
        <w:t>…</w:t>
      </w:r>
      <w:r>
        <w:t>).</w:t>
      </w:r>
    </w:p>
    <w:p w14:paraId="2A6335DF" w14:textId="354E4CCC" w:rsidR="000A0CD5" w:rsidRDefault="000A0CD5" w:rsidP="00297560">
      <w:pPr>
        <w:pStyle w:val="Nivel6"/>
        <w:ind w:left="2212"/>
      </w:pPr>
      <w:r w:rsidRPr="0075712D">
        <w:t>Capítulo</w:t>
      </w:r>
      <w:r w:rsidR="007F027D">
        <w:t> </w:t>
      </w:r>
      <w:r>
        <w:t>VII: Transferencias de capital pagadas.</w:t>
      </w:r>
    </w:p>
    <w:p w14:paraId="3B166D0D" w14:textId="77777777" w:rsidR="000A0CD5" w:rsidRDefault="000A0CD5" w:rsidP="00297560">
      <w:pPr>
        <w:pStyle w:val="Nivel4"/>
        <w:keepNext/>
        <w:ind w:left="1474"/>
      </w:pPr>
      <w:r w:rsidRPr="00E060EC">
        <w:rPr>
          <w:i/>
          <w:iCs/>
          <w:u w:val="single"/>
        </w:rPr>
        <w:t>Operaciones financieras</w:t>
      </w:r>
      <w:r>
        <w:t>:</w:t>
      </w:r>
    </w:p>
    <w:p w14:paraId="666258AC" w14:textId="03C12449" w:rsidR="000A0CD5" w:rsidRDefault="000A0CD5" w:rsidP="00297560">
      <w:pPr>
        <w:pStyle w:val="Nivel5"/>
        <w:ind w:left="1871"/>
      </w:pPr>
      <w:r w:rsidRPr="0075712D">
        <w:t>Capítulo</w:t>
      </w:r>
      <w:r w:rsidR="005827E8">
        <w:t> </w:t>
      </w:r>
      <w:r>
        <w:t>V</w:t>
      </w:r>
      <w:r w:rsidRPr="0075712D">
        <w:t>I</w:t>
      </w:r>
      <w:r>
        <w:t>II: Activos financieros (préstamos del sector público…).</w:t>
      </w:r>
    </w:p>
    <w:p w14:paraId="5D3275BE" w14:textId="07F5AEBF" w:rsidR="00EC4346" w:rsidRDefault="000A0CD5" w:rsidP="00297560">
      <w:pPr>
        <w:pStyle w:val="Nivel5"/>
        <w:ind w:left="1871"/>
      </w:pPr>
      <w:r w:rsidRPr="0075712D">
        <w:lastRenderedPageBreak/>
        <w:t>Capítulo</w:t>
      </w:r>
      <w:r w:rsidR="000F3A95">
        <w:t> </w:t>
      </w:r>
      <w:r w:rsidRPr="0075712D">
        <w:t>I</w:t>
      </w:r>
      <w:r>
        <w:t>X: Pasivos financieros (amortización de deuda pública, amortización de préstamos</w:t>
      </w:r>
      <w:r w:rsidR="007F027D">
        <w:t>…</w:t>
      </w:r>
      <w:r>
        <w:t>).</w:t>
      </w:r>
    </w:p>
    <w:p w14:paraId="73DBD489" w14:textId="59CD782F" w:rsidR="00183AD7" w:rsidRDefault="000A0CD5" w:rsidP="00297560">
      <w:pPr>
        <w:pStyle w:val="Nivel2SM"/>
        <w:keepNext/>
        <w:spacing w:after="0"/>
      </w:pPr>
      <w:r w:rsidRPr="00E060EC">
        <w:rPr>
          <w:b/>
          <w:bCs/>
        </w:rPr>
        <w:t>Clasificación funcional</w:t>
      </w:r>
      <w:r>
        <w:t>:</w:t>
      </w:r>
    </w:p>
    <w:p w14:paraId="537575CB" w14:textId="43A73523" w:rsidR="00183AD7" w:rsidRPr="00183AD7" w:rsidRDefault="00183AD7" w:rsidP="00297560">
      <w:pPr>
        <w:pStyle w:val="Nivel3SM"/>
        <w:keepNext/>
      </w:pPr>
      <w:r w:rsidRPr="000F3A95">
        <w:rPr>
          <w:i/>
          <w:iCs/>
        </w:rPr>
        <w:t>Idea</w:t>
      </w:r>
      <w:r w:rsidR="00E060EC">
        <w:t>:</w:t>
      </w:r>
    </w:p>
    <w:p w14:paraId="5C34C77C" w14:textId="6D420163" w:rsidR="00334C45" w:rsidRDefault="004B4093" w:rsidP="00E060EC">
      <w:pPr>
        <w:pStyle w:val="Nivel4"/>
        <w:ind w:left="1474"/>
      </w:pPr>
      <w:r>
        <w:t xml:space="preserve">Clasifica el </w:t>
      </w:r>
      <w:r w:rsidR="004372F0">
        <w:t>gasto público</w:t>
      </w:r>
      <w:r>
        <w:t xml:space="preserve"> según su función o finalidad, por lo que también se le llama “clasificación del ciudadano”. Responde a la pregunta </w:t>
      </w:r>
      <w:r w:rsidRPr="00483298">
        <w:rPr>
          <w:i/>
          <w:iCs/>
        </w:rPr>
        <w:t>¿para qué se gasta?</w:t>
      </w:r>
      <w:r>
        <w:t xml:space="preserve"> Proporciona así información sobre las prioridades y objetivos del </w:t>
      </w:r>
      <w:r w:rsidR="004372F0">
        <w:t>gasto público</w:t>
      </w:r>
      <w:r>
        <w:t>.</w:t>
      </w:r>
    </w:p>
    <w:p w14:paraId="6FD5B89C" w14:textId="3B527266" w:rsidR="00EC4346" w:rsidRPr="00183AD7" w:rsidRDefault="00183AD7" w:rsidP="00297560">
      <w:pPr>
        <w:pStyle w:val="Nivel3SM"/>
        <w:keepNext/>
      </w:pPr>
      <w:r w:rsidRPr="000F3A95">
        <w:rPr>
          <w:i/>
          <w:iCs/>
        </w:rPr>
        <w:t>Estructura</w:t>
      </w:r>
      <w:r w:rsidR="00E060EC">
        <w:t>:</w:t>
      </w:r>
    </w:p>
    <w:p w14:paraId="3B900F0A" w14:textId="02427BB1" w:rsidR="00EC4346" w:rsidRDefault="00EC4346" w:rsidP="00E060EC">
      <w:pPr>
        <w:pStyle w:val="Nivel4"/>
        <w:ind w:left="1474"/>
      </w:pPr>
      <w:r w:rsidRPr="00E060EC">
        <w:rPr>
          <w:i/>
          <w:iCs/>
        </w:rPr>
        <w:t>Servicios públicos básicos</w:t>
      </w:r>
      <w:r w:rsidR="00E060EC">
        <w:t xml:space="preserve">: </w:t>
      </w:r>
      <w:r>
        <w:t>Justicia, Defensa, Seguridad Ciudadana, Política exterior.</w:t>
      </w:r>
    </w:p>
    <w:p w14:paraId="209DC189" w14:textId="1D1FC4E6" w:rsidR="00EC4346" w:rsidRDefault="00EC4346" w:rsidP="00297560">
      <w:pPr>
        <w:pStyle w:val="Nivel4"/>
        <w:keepNext/>
        <w:ind w:left="1474"/>
      </w:pPr>
      <w:r w:rsidRPr="00E060EC">
        <w:rPr>
          <w:i/>
          <w:iCs/>
        </w:rPr>
        <w:t>Gasto social</w:t>
      </w:r>
      <w:r>
        <w:t>:</w:t>
      </w:r>
    </w:p>
    <w:p w14:paraId="78CE08D6" w14:textId="24752FED" w:rsidR="00EC4346" w:rsidRPr="005E68B0" w:rsidRDefault="00EC4346" w:rsidP="00E060EC">
      <w:pPr>
        <w:pStyle w:val="Nivel5"/>
        <w:ind w:left="1871"/>
      </w:pPr>
      <w:r w:rsidRPr="005E68B0">
        <w:t>Actuaciones de protección y promoción social</w:t>
      </w:r>
      <w:r w:rsidR="00E060EC" w:rsidRPr="005E68B0">
        <w:t xml:space="preserve">: </w:t>
      </w:r>
      <w:r w:rsidRPr="005E68B0">
        <w:t>Pensiones, prestaciones por desempleo.</w:t>
      </w:r>
    </w:p>
    <w:p w14:paraId="1A5218C3" w14:textId="7A3538E6" w:rsidR="00EC4346" w:rsidRPr="005E68B0" w:rsidRDefault="00EC4346" w:rsidP="00E060EC">
      <w:pPr>
        <w:pStyle w:val="Nivel5"/>
        <w:ind w:left="1871"/>
        <w:rPr>
          <w:spacing w:val="-4"/>
        </w:rPr>
      </w:pPr>
      <w:r w:rsidRPr="005E68B0">
        <w:rPr>
          <w:spacing w:val="-4"/>
        </w:rPr>
        <w:t>Producción de bienes públicos de carácter preferente</w:t>
      </w:r>
      <w:r w:rsidR="00E060EC" w:rsidRPr="005E68B0">
        <w:rPr>
          <w:spacing w:val="-4"/>
        </w:rPr>
        <w:t xml:space="preserve">: </w:t>
      </w:r>
      <w:r w:rsidRPr="005E68B0">
        <w:rPr>
          <w:spacing w:val="-4"/>
        </w:rPr>
        <w:t>Educación, Sanidad, Cultura.</w:t>
      </w:r>
    </w:p>
    <w:p w14:paraId="62F28D4A" w14:textId="4287C29E" w:rsidR="00EC4346" w:rsidRDefault="00EC4346" w:rsidP="00E060EC">
      <w:pPr>
        <w:pStyle w:val="Nivel4"/>
        <w:ind w:left="1474"/>
      </w:pPr>
      <w:r w:rsidRPr="00E060EC">
        <w:rPr>
          <w:i/>
          <w:iCs/>
        </w:rPr>
        <w:t>Actuaciones de carácter económico</w:t>
      </w:r>
      <w:r w:rsidR="00E060EC">
        <w:t xml:space="preserve">: </w:t>
      </w:r>
      <w:r w:rsidR="00483298">
        <w:t>A</w:t>
      </w:r>
      <w:r>
        <w:t>gricultura y pesca, Comercio, Turismo, Industria y Energía</w:t>
      </w:r>
      <w:r w:rsidR="007F027D">
        <w:t>…</w:t>
      </w:r>
    </w:p>
    <w:p w14:paraId="7EF7EC28" w14:textId="11AAEF92" w:rsidR="008E4DEF" w:rsidRDefault="00EC4346" w:rsidP="00E060EC">
      <w:pPr>
        <w:pStyle w:val="Nivel4"/>
        <w:ind w:left="1474"/>
      </w:pPr>
      <w:r w:rsidRPr="00E060EC">
        <w:rPr>
          <w:i/>
          <w:iCs/>
        </w:rPr>
        <w:t>Actuaciones de carácter general</w:t>
      </w:r>
      <w:r w:rsidR="00E060EC">
        <w:t xml:space="preserve">: </w:t>
      </w:r>
      <w:r>
        <w:t>Servicios de carácter general, administración financiera y tributaria, transferencias a otras AAPP, deuda pública.</w:t>
      </w:r>
    </w:p>
    <w:p w14:paraId="27F2F907" w14:textId="5B5EC105" w:rsidR="00BF51A5" w:rsidRDefault="0049674F" w:rsidP="0049674F">
      <w:pPr>
        <w:pStyle w:val="Ttulo6"/>
      </w:pPr>
      <w:bookmarkStart w:id="56" w:name="_Toc150445822"/>
      <w:r>
        <w:t>Valoración</w:t>
      </w:r>
      <w:bookmarkEnd w:id="56"/>
    </w:p>
    <w:p w14:paraId="46AE3346" w14:textId="77777777" w:rsidR="00313FD9" w:rsidRDefault="00313FD9" w:rsidP="00313FD9">
      <w:pPr>
        <w:pStyle w:val="Nivel1SM"/>
        <w:keepNext/>
        <w:spacing w:before="0" w:after="0"/>
      </w:pPr>
    </w:p>
    <w:p w14:paraId="43CF033D" w14:textId="78E00F0C" w:rsidR="00313FD9" w:rsidRDefault="0049674F" w:rsidP="0049674F">
      <w:pPr>
        <w:pStyle w:val="Nivel2SM"/>
      </w:pPr>
      <w:r>
        <w:t>Se trata de un método</w:t>
      </w:r>
      <w:r w:rsidRPr="00550252">
        <w:t xml:space="preserve"> </w:t>
      </w:r>
      <w:r w:rsidRPr="00313FD9">
        <w:rPr>
          <w:b/>
          <w:bCs/>
        </w:rPr>
        <w:t xml:space="preserve">satisfactorio para controlar un </w:t>
      </w:r>
      <w:r w:rsidR="00F001B4" w:rsidRPr="00313FD9">
        <w:rPr>
          <w:b/>
          <w:bCs/>
        </w:rPr>
        <w:t>sector público</w:t>
      </w:r>
      <w:r w:rsidRPr="00313FD9">
        <w:rPr>
          <w:b/>
          <w:bCs/>
        </w:rPr>
        <w:t xml:space="preserve"> de tamaño reducido</w:t>
      </w:r>
      <w:r w:rsidRPr="00550252">
        <w:t>, con tareas bien definidas y escasa capacidad gestora</w:t>
      </w:r>
      <w:r w:rsidR="00313FD9">
        <w:t>.</w:t>
      </w:r>
    </w:p>
    <w:p w14:paraId="49F79EBD" w14:textId="77BC131F" w:rsidR="00313FD9" w:rsidRDefault="00313FD9" w:rsidP="00313FD9">
      <w:pPr>
        <w:pStyle w:val="Nivel2SM"/>
        <w:keepNext/>
        <w:spacing w:after="0"/>
      </w:pPr>
      <w:r>
        <w:t>P</w:t>
      </w:r>
      <w:r w:rsidR="0049674F">
        <w:t xml:space="preserve">ero tiene importantes </w:t>
      </w:r>
      <w:r w:rsidR="0049674F" w:rsidRPr="00313FD9">
        <w:rPr>
          <w:b/>
          <w:bCs/>
        </w:rPr>
        <w:t>limitaciones</w:t>
      </w:r>
      <w:r w:rsidR="0049674F">
        <w:t>.</w:t>
      </w:r>
    </w:p>
    <w:p w14:paraId="6E768B85" w14:textId="74B474F4" w:rsidR="0049674F" w:rsidRDefault="0049674F" w:rsidP="00313FD9">
      <w:pPr>
        <w:pStyle w:val="Nivel3SM"/>
      </w:pPr>
      <w:r>
        <w:t>Así, n</w:t>
      </w:r>
      <w:r w:rsidRPr="00550252">
        <w:t xml:space="preserve">o </w:t>
      </w:r>
      <w:r>
        <w:t>proporciona</w:t>
      </w:r>
      <w:r w:rsidRPr="00550252">
        <w:t xml:space="preserve"> información acerca del fin del gasto</w:t>
      </w:r>
      <w:r>
        <w:t xml:space="preserve">, </w:t>
      </w:r>
      <w:r w:rsidRPr="00E31E9C">
        <w:t xml:space="preserve">lo que </w:t>
      </w:r>
      <w:r w:rsidRPr="00313FD9">
        <w:rPr>
          <w:i/>
          <w:iCs/>
          <w:u w:val="single"/>
        </w:rPr>
        <w:t>facilita el incrementalismo presupuestario</w:t>
      </w:r>
      <w:r>
        <w:t xml:space="preserve"> (</w:t>
      </w:r>
      <w:r w:rsidRPr="0049674F">
        <w:rPr>
          <w:smallCaps/>
        </w:rPr>
        <w:t>Wildavsky</w:t>
      </w:r>
      <w:r w:rsidRPr="00550252">
        <w:t xml:space="preserve"> sostiene que, en un contexto de incertidumbre, en el que es complicado calcular los verdaderos costes de los distintos órganos y agencias gubernamentales, éstos tenderán a demandar un cierto incremento en sus partidas con respecto al año anterior, provocando así un aumento continuo del </w:t>
      </w:r>
      <w:r w:rsidR="0021552B">
        <w:t>gasto público</w:t>
      </w:r>
      <w:r>
        <w:rPr>
          <w:rStyle w:val="Refdenotaalpie"/>
          <w:rFonts w:cs="Times New Roman"/>
        </w:rPr>
        <w:footnoteReference w:id="12"/>
      </w:r>
      <w:r>
        <w:t>)</w:t>
      </w:r>
      <w:r w:rsidRPr="00550252">
        <w:t>.</w:t>
      </w:r>
    </w:p>
    <w:p w14:paraId="27471ED5" w14:textId="7C400858" w:rsidR="0049674F" w:rsidRPr="0049674F" w:rsidRDefault="0049674F" w:rsidP="00313FD9">
      <w:pPr>
        <w:pStyle w:val="Nivel1SM"/>
      </w:pPr>
      <w:r w:rsidRPr="00550252">
        <w:t xml:space="preserve">Dado que desde la </w:t>
      </w:r>
      <w:r w:rsidR="0021552B">
        <w:t>Segunda Guerra Mundial</w:t>
      </w:r>
      <w:r w:rsidRPr="00550252">
        <w:t xml:space="preserve"> el </w:t>
      </w:r>
      <w:r w:rsidR="0021552B">
        <w:t>sector público</w:t>
      </w:r>
      <w:r w:rsidRPr="00550252">
        <w:t xml:space="preserve"> ha crecido en tamaño y complejidad, </w:t>
      </w:r>
      <w:r>
        <w:t xml:space="preserve">este método presupuestario resulta </w:t>
      </w:r>
      <w:r w:rsidRPr="00550252">
        <w:t xml:space="preserve">insuficiente. Así, </w:t>
      </w:r>
      <w:r>
        <w:t xml:space="preserve">se han </w:t>
      </w:r>
      <w:r w:rsidRPr="00550252">
        <w:t>ido introduciendo diversas reformas presupuestarias</w:t>
      </w:r>
      <w:r>
        <w:t xml:space="preserve"> hasta llegar al método </w:t>
      </w:r>
      <w:r w:rsidRPr="00550252">
        <w:t>actual</w:t>
      </w:r>
      <w:r>
        <w:t xml:space="preserve">. </w:t>
      </w:r>
      <w:r w:rsidRPr="00550252">
        <w:t>A continuación veremos las más importantes.</w:t>
      </w:r>
    </w:p>
    <w:p w14:paraId="1199052F" w14:textId="051F8601" w:rsidR="008F3F26" w:rsidRPr="007F027D" w:rsidRDefault="008F3F26" w:rsidP="00A36A31">
      <w:pPr>
        <w:pStyle w:val="Ttulo3"/>
      </w:pPr>
      <w:bookmarkStart w:id="57" w:name="_Toc150445823"/>
      <w:r>
        <w:t>Presupuesto de ejecución</w:t>
      </w:r>
      <w:r w:rsidR="008E4DEF">
        <w:t xml:space="preserve"> (</w:t>
      </w:r>
      <w:r w:rsidR="00A02380">
        <w:t>performance b</w:t>
      </w:r>
      <w:r w:rsidR="00A02380" w:rsidRPr="00A02380">
        <w:t>udget</w:t>
      </w:r>
      <w:r w:rsidR="00A02380">
        <w:t xml:space="preserve">, </w:t>
      </w:r>
      <w:r w:rsidR="008E4DEF" w:rsidRPr="00A02380">
        <w:t>EEUU</w:t>
      </w:r>
      <w:r w:rsidR="000E367B">
        <w:t xml:space="preserve"> 19</w:t>
      </w:r>
      <w:r w:rsidR="003A662E">
        <w:t>50s</w:t>
      </w:r>
      <w:r w:rsidR="008E4DEF">
        <w:t>)</w:t>
      </w:r>
      <w:bookmarkEnd w:id="57"/>
    </w:p>
    <w:p w14:paraId="652F7C31" w14:textId="4D28A366" w:rsidR="00183AD7" w:rsidRPr="007F027D" w:rsidRDefault="00183AD7" w:rsidP="007F027D">
      <w:pPr>
        <w:pStyle w:val="Ttulo6"/>
      </w:pPr>
      <w:bookmarkStart w:id="58" w:name="_Toc150445824"/>
      <w:r w:rsidRPr="00183AD7">
        <w:t>Objetivo</w:t>
      </w:r>
      <w:bookmarkEnd w:id="58"/>
    </w:p>
    <w:p w14:paraId="7AF0B08F" w14:textId="1C2C5C58" w:rsidR="00183AD7" w:rsidRDefault="00183AD7" w:rsidP="00313FD9">
      <w:pPr>
        <w:pStyle w:val="Nivel1SM"/>
        <w:spacing w:before="0"/>
      </w:pPr>
      <w:r w:rsidRPr="003F79B5">
        <w:rPr>
          <w:i/>
          <w:iCs/>
        </w:rPr>
        <w:t xml:space="preserve">Ofrecer información sobre la </w:t>
      </w:r>
      <w:r w:rsidRPr="003F79B5">
        <w:rPr>
          <w:i/>
          <w:iCs/>
          <w:u w:val="single"/>
        </w:rPr>
        <w:t>eficacia</w:t>
      </w:r>
      <w:r w:rsidRPr="003F79B5">
        <w:rPr>
          <w:i/>
          <w:iCs/>
        </w:rPr>
        <w:t xml:space="preserve"> del gasto público</w:t>
      </w:r>
      <w:r>
        <w:t>, con el fin de promover una mejor asignación de recursos en el sector público (i.e. una mejor gestión).</w:t>
      </w:r>
    </w:p>
    <w:p w14:paraId="1A6000AD" w14:textId="6F54B143" w:rsidR="00183AD7" w:rsidRDefault="00183AD7" w:rsidP="007F027D">
      <w:pPr>
        <w:pStyle w:val="Ttulo6"/>
      </w:pPr>
      <w:bookmarkStart w:id="59" w:name="_Toc150445825"/>
      <w:r w:rsidRPr="00183AD7">
        <w:t>Origen</w:t>
      </w:r>
      <w:bookmarkEnd w:id="59"/>
    </w:p>
    <w:p w14:paraId="4A77D3DB" w14:textId="77A5975F" w:rsidR="00183AD7" w:rsidRDefault="00183AD7" w:rsidP="00313FD9">
      <w:pPr>
        <w:pStyle w:val="Nivel1SM"/>
        <w:spacing w:before="0"/>
      </w:pPr>
      <w:r>
        <w:t xml:space="preserve">El término se introduce en EEUU en 1949 tras las recomendaciones de la Comisión </w:t>
      </w:r>
      <w:r w:rsidR="00A02380">
        <w:rPr>
          <w:smallCaps/>
        </w:rPr>
        <w:t>Hoover</w:t>
      </w:r>
      <w:r>
        <w:t xml:space="preserve">. Tras </w:t>
      </w:r>
      <w:r w:rsidR="003B3D72">
        <w:t>2 </w:t>
      </w:r>
      <w:r>
        <w:t>experiencias a nivel local, se propone la adopción de esta técnica por parte del gobierno federal.</w:t>
      </w:r>
    </w:p>
    <w:p w14:paraId="202FCADD" w14:textId="3453E5DE" w:rsidR="00183AD7" w:rsidRPr="007F027D" w:rsidRDefault="00183AD7" w:rsidP="007F027D">
      <w:pPr>
        <w:pStyle w:val="Ttulo6"/>
      </w:pPr>
      <w:bookmarkStart w:id="60" w:name="_Toc150445826"/>
      <w:r w:rsidRPr="00183AD7">
        <w:t>Características</w:t>
      </w:r>
      <w:bookmarkEnd w:id="60"/>
    </w:p>
    <w:p w14:paraId="56A7B3D7" w14:textId="77777777" w:rsidR="005F2FCF" w:rsidRPr="005F2FCF" w:rsidRDefault="005F2FCF" w:rsidP="003D330B">
      <w:pPr>
        <w:pStyle w:val="Nivel1SM"/>
        <w:keepNext/>
        <w:spacing w:before="0" w:after="0"/>
      </w:pPr>
      <w:r>
        <w:t>En su</w:t>
      </w:r>
      <w:r w:rsidRPr="001D0529">
        <w:t xml:space="preserve"> </w:t>
      </w:r>
      <w:r w:rsidRPr="005F2FCF">
        <w:t xml:space="preserve">procedimiento de elaboración podemos distinguir varias </w:t>
      </w:r>
      <w:r w:rsidRPr="00313FD9">
        <w:rPr>
          <w:b/>
          <w:bCs/>
        </w:rPr>
        <w:t>fases</w:t>
      </w:r>
      <w:r w:rsidRPr="005F2FCF">
        <w:t>:</w:t>
      </w:r>
    </w:p>
    <w:p w14:paraId="7AAB2528" w14:textId="77777777" w:rsidR="005F2FCF" w:rsidRPr="005F2FCF" w:rsidRDefault="005F2FCF" w:rsidP="003D330B">
      <w:pPr>
        <w:pStyle w:val="Prrafodelista"/>
        <w:numPr>
          <w:ilvl w:val="0"/>
          <w:numId w:val="57"/>
        </w:numPr>
        <w:spacing w:after="100"/>
        <w:ind w:left="567" w:hanging="113"/>
        <w:rPr>
          <w:lang w:eastAsia="zh-CN" w:bidi="hi-IN"/>
        </w:rPr>
      </w:pPr>
      <w:r w:rsidRPr="005F2FCF">
        <w:rPr>
          <w:lang w:eastAsia="zh-CN" w:bidi="hi-IN"/>
        </w:rPr>
        <w:t xml:space="preserve">Se definen los </w:t>
      </w:r>
      <w:r w:rsidRPr="003D330B">
        <w:rPr>
          <w:i/>
          <w:iCs/>
          <w:lang w:eastAsia="zh-CN" w:bidi="hi-IN"/>
        </w:rPr>
        <w:t>objetivos para los que se requieren los fondos públicos</w:t>
      </w:r>
      <w:r w:rsidRPr="005F2FCF">
        <w:rPr>
          <w:lang w:eastAsia="zh-CN" w:bidi="hi-IN"/>
        </w:rPr>
        <w:t>, en vez de las partidas de gasto.</w:t>
      </w:r>
    </w:p>
    <w:p w14:paraId="12BD5882" w14:textId="77777777" w:rsidR="005F2FCF" w:rsidRPr="005F2FCF" w:rsidRDefault="005F2FCF" w:rsidP="003D330B">
      <w:pPr>
        <w:pStyle w:val="Prrafodelista"/>
        <w:numPr>
          <w:ilvl w:val="0"/>
          <w:numId w:val="57"/>
        </w:numPr>
        <w:spacing w:after="100"/>
        <w:ind w:left="567" w:hanging="113"/>
        <w:rPr>
          <w:lang w:eastAsia="zh-CN" w:bidi="hi-IN"/>
        </w:rPr>
      </w:pPr>
      <w:r w:rsidRPr="005F2FCF">
        <w:rPr>
          <w:lang w:eastAsia="zh-CN" w:bidi="hi-IN"/>
        </w:rPr>
        <w:t xml:space="preserve">Se identifica la </w:t>
      </w:r>
      <w:r w:rsidRPr="003D330B">
        <w:rPr>
          <w:i/>
          <w:iCs/>
          <w:lang w:eastAsia="zh-CN" w:bidi="hi-IN"/>
        </w:rPr>
        <w:t>unidad administrativa idónea</w:t>
      </w:r>
      <w:r w:rsidRPr="005F2FCF">
        <w:rPr>
          <w:lang w:eastAsia="zh-CN" w:bidi="hi-IN"/>
        </w:rPr>
        <w:t xml:space="preserve"> para acometer esa tarea de la manera más eficaz.</w:t>
      </w:r>
    </w:p>
    <w:p w14:paraId="04F93923" w14:textId="77777777" w:rsidR="005F2FCF" w:rsidRPr="005F2FCF" w:rsidRDefault="005F2FCF" w:rsidP="003D330B">
      <w:pPr>
        <w:pStyle w:val="Prrafodelista"/>
        <w:numPr>
          <w:ilvl w:val="0"/>
          <w:numId w:val="57"/>
        </w:numPr>
        <w:spacing w:after="100"/>
        <w:ind w:left="567" w:hanging="113"/>
        <w:rPr>
          <w:lang w:eastAsia="zh-CN" w:bidi="hi-IN"/>
        </w:rPr>
      </w:pPr>
      <w:r w:rsidRPr="005F2FCF">
        <w:rPr>
          <w:lang w:eastAsia="zh-CN" w:bidi="hi-IN"/>
        </w:rPr>
        <w:t xml:space="preserve">Se miden los </w:t>
      </w:r>
      <w:r w:rsidRPr="003D330B">
        <w:rPr>
          <w:i/>
          <w:iCs/>
          <w:lang w:eastAsia="zh-CN" w:bidi="hi-IN"/>
        </w:rPr>
        <w:t>costes de cada actividad</w:t>
      </w:r>
      <w:r w:rsidRPr="005F2FCF">
        <w:rPr>
          <w:lang w:eastAsia="zh-CN" w:bidi="hi-IN"/>
        </w:rPr>
        <w:t>.</w:t>
      </w:r>
    </w:p>
    <w:p w14:paraId="6811B93F" w14:textId="77777777" w:rsidR="005F2FCF" w:rsidRPr="005F2FCF" w:rsidRDefault="005F2FCF" w:rsidP="003D330B">
      <w:pPr>
        <w:pStyle w:val="Prrafodelista"/>
        <w:numPr>
          <w:ilvl w:val="0"/>
          <w:numId w:val="57"/>
        </w:numPr>
        <w:spacing w:after="100"/>
        <w:ind w:left="567" w:hanging="113"/>
        <w:rPr>
          <w:lang w:eastAsia="zh-CN" w:bidi="hi-IN"/>
        </w:rPr>
      </w:pPr>
      <w:r w:rsidRPr="005F2FCF">
        <w:rPr>
          <w:lang w:eastAsia="zh-CN" w:bidi="hi-IN"/>
        </w:rPr>
        <w:lastRenderedPageBreak/>
        <w:t xml:space="preserve">Se </w:t>
      </w:r>
      <w:r w:rsidRPr="003D330B">
        <w:rPr>
          <w:i/>
          <w:iCs/>
          <w:lang w:eastAsia="zh-CN" w:bidi="hi-IN"/>
        </w:rPr>
        <w:t>evalúa la ejecución</w:t>
      </w:r>
      <w:r w:rsidRPr="005F2FCF">
        <w:rPr>
          <w:lang w:eastAsia="zh-CN" w:bidi="hi-IN"/>
        </w:rPr>
        <w:t xml:space="preserve"> mediante una serie de medidas que permiten evaluar la productividad de cada unidad administrativa en la realización de las tareas asignadas.</w:t>
      </w:r>
    </w:p>
    <w:p w14:paraId="543E0E7F" w14:textId="4D561208" w:rsidR="00922BC3" w:rsidRDefault="00183AD7" w:rsidP="007F027D">
      <w:pPr>
        <w:pStyle w:val="Ttulo6"/>
      </w:pPr>
      <w:bookmarkStart w:id="61" w:name="_Toc150445827"/>
      <w:r w:rsidRPr="00922BC3">
        <w:t>Valoración</w:t>
      </w:r>
      <w:bookmarkEnd w:id="61"/>
    </w:p>
    <w:p w14:paraId="7789B957" w14:textId="77777777" w:rsidR="003D330B" w:rsidRPr="003D330B" w:rsidRDefault="003D330B" w:rsidP="003D330B">
      <w:pPr>
        <w:pStyle w:val="Nivel1SM"/>
        <w:keepNext/>
        <w:spacing w:before="0" w:after="0"/>
      </w:pPr>
    </w:p>
    <w:p w14:paraId="53077C03" w14:textId="6843DBBB" w:rsidR="00922BC3" w:rsidRDefault="00183AD7" w:rsidP="005F2FCF">
      <w:pPr>
        <w:pStyle w:val="Nivel2SM"/>
      </w:pPr>
      <w:r w:rsidRPr="006B7850">
        <w:rPr>
          <w:i/>
          <w:iCs/>
          <w:u w:val="single"/>
        </w:rPr>
        <w:t>Positivo</w:t>
      </w:r>
      <w:r>
        <w:t>:</w:t>
      </w:r>
      <w:r w:rsidR="005F2FCF">
        <w:t xml:space="preserve"> </w:t>
      </w:r>
      <w:r w:rsidR="00922BC3">
        <w:t>M</w:t>
      </w:r>
      <w:r>
        <w:t>ayor rendición de cuentas y, por tanto, una mayor eficacia del gasto</w:t>
      </w:r>
      <w:r w:rsidR="005F2FCF">
        <w:t>: aumenta</w:t>
      </w:r>
      <w:r w:rsidR="005F2FCF" w:rsidRPr="00E31E9C">
        <w:t xml:space="preserve"> la </w:t>
      </w:r>
      <w:r w:rsidR="005F2FCF">
        <w:t>responsabilidad de los gestores</w:t>
      </w:r>
      <w:r w:rsidR="00B5084B">
        <w:t>.</w:t>
      </w:r>
    </w:p>
    <w:p w14:paraId="612D6524" w14:textId="660C432D" w:rsidR="00183AD7" w:rsidRDefault="00183AD7" w:rsidP="005F2FCF">
      <w:pPr>
        <w:pStyle w:val="Nivel2SM"/>
      </w:pPr>
      <w:r w:rsidRPr="006B7850">
        <w:rPr>
          <w:i/>
          <w:iCs/>
          <w:u w:val="single"/>
        </w:rPr>
        <w:t>Negativo</w:t>
      </w:r>
      <w:r>
        <w:t>:</w:t>
      </w:r>
      <w:r w:rsidR="005F2FCF">
        <w:t xml:space="preserve"> E</w:t>
      </w:r>
      <w:r w:rsidR="005F2FCF" w:rsidRPr="00E31E9C">
        <w:t xml:space="preserve">l grado de </w:t>
      </w:r>
      <w:r w:rsidR="005F2FCF" w:rsidRPr="005F2FCF">
        <w:t>cumplimiento</w:t>
      </w:r>
      <w:r w:rsidR="005F2FCF" w:rsidRPr="00E31E9C">
        <w:t xml:space="preserve"> de los objetivos no siempre resulta fácilmente observable</w:t>
      </w:r>
      <w:r w:rsidR="005F2FCF">
        <w:t>.</w:t>
      </w:r>
    </w:p>
    <w:p w14:paraId="5138D835" w14:textId="458F452D" w:rsidR="005F2FCF" w:rsidRPr="007F027D" w:rsidRDefault="005F2FCF" w:rsidP="003D330B">
      <w:pPr>
        <w:pStyle w:val="Nivel1SM"/>
      </w:pPr>
      <w:r w:rsidRPr="001D0529">
        <w:t>En España</w:t>
      </w:r>
      <w:r>
        <w:t xml:space="preserve"> es un método que</w:t>
      </w:r>
      <w:r w:rsidRPr="001D0529">
        <w:t xml:space="preserve"> nunca se ha empleado.</w:t>
      </w:r>
    </w:p>
    <w:p w14:paraId="65BD4260" w14:textId="6969AB6A" w:rsidR="008F3F26" w:rsidRPr="007F027D" w:rsidRDefault="008F3F26" w:rsidP="00A36A31">
      <w:pPr>
        <w:pStyle w:val="Ttulo3"/>
      </w:pPr>
      <w:bookmarkStart w:id="62" w:name="_Toc150445828"/>
      <w:r>
        <w:t xml:space="preserve">Presupuesto de planificación por programas (program </w:t>
      </w:r>
      <w:r w:rsidR="005F2FCF">
        <w:t>b</w:t>
      </w:r>
      <w:r>
        <w:t>udget)</w:t>
      </w:r>
      <w:r w:rsidR="008642F9">
        <w:t xml:space="preserve"> (EEUU 19</w:t>
      </w:r>
      <w:r w:rsidR="003A662E">
        <w:t>6</w:t>
      </w:r>
      <w:r w:rsidR="008642F9">
        <w:t>0</w:t>
      </w:r>
      <w:r w:rsidR="003A662E">
        <w:t>s</w:t>
      </w:r>
      <w:r w:rsidR="008642F9">
        <w:t>)</w:t>
      </w:r>
      <w:bookmarkEnd w:id="62"/>
    </w:p>
    <w:p w14:paraId="5DA2FE76" w14:textId="7709A20A" w:rsidR="00922BC3" w:rsidRDefault="00922BC3" w:rsidP="00B5084B">
      <w:pPr>
        <w:pStyle w:val="Ttulo6"/>
        <w:spacing w:before="0"/>
      </w:pPr>
      <w:bookmarkStart w:id="63" w:name="_Toc150445829"/>
      <w:r w:rsidRPr="00922BC3">
        <w:t>Objetivo</w:t>
      </w:r>
      <w:bookmarkEnd w:id="63"/>
    </w:p>
    <w:p w14:paraId="5E3BB5E4" w14:textId="5A2316F6" w:rsidR="00922BC3" w:rsidRDefault="00922BC3" w:rsidP="00B5084B">
      <w:pPr>
        <w:pStyle w:val="Nivel1SM"/>
        <w:spacing w:before="0"/>
      </w:pPr>
      <w:r>
        <w:t xml:space="preserve">Superar las limitaciones del presupuesto de ejecución a través de la </w:t>
      </w:r>
      <w:r w:rsidRPr="004E231A">
        <w:rPr>
          <w:i/>
          <w:iCs/>
        </w:rPr>
        <w:t>comparación de alternativas para promover la</w:t>
      </w:r>
      <w:r>
        <w:t xml:space="preserve"> </w:t>
      </w:r>
      <w:r w:rsidRPr="004E231A">
        <w:rPr>
          <w:i/>
          <w:iCs/>
          <w:u w:val="single"/>
        </w:rPr>
        <w:t>eficiencia</w:t>
      </w:r>
      <w:r>
        <w:t xml:space="preserve"> (esto es, teniendo en cuenta el coste de oportunidad).</w:t>
      </w:r>
    </w:p>
    <w:p w14:paraId="1731AACC" w14:textId="6C72B315" w:rsidR="00922BC3" w:rsidRDefault="00922BC3" w:rsidP="007F027D">
      <w:pPr>
        <w:pStyle w:val="Ttulo6"/>
      </w:pPr>
      <w:bookmarkStart w:id="64" w:name="_Toc150445830"/>
      <w:r w:rsidRPr="00922BC3">
        <w:t>Origen</w:t>
      </w:r>
      <w:bookmarkEnd w:id="64"/>
    </w:p>
    <w:p w14:paraId="1F5457BD" w14:textId="7CC26025" w:rsidR="00922BC3" w:rsidRDefault="003F79B5" w:rsidP="00B5084B">
      <w:pPr>
        <w:pStyle w:val="Nivel1SM"/>
        <w:spacing w:before="0"/>
      </w:pPr>
      <w:r>
        <w:t>S</w:t>
      </w:r>
      <w:r w:rsidR="00922BC3">
        <w:t>ector privado en EEUU (</w:t>
      </w:r>
      <w:r w:rsidR="00922BC3" w:rsidRPr="003F79B5">
        <w:rPr>
          <w:i/>
          <w:iCs/>
        </w:rPr>
        <w:t>General Motors</w:t>
      </w:r>
      <w:r w:rsidR="00922BC3">
        <w:t>) en los años</w:t>
      </w:r>
      <w:r w:rsidR="0021552B">
        <w:t> </w:t>
      </w:r>
      <w:r w:rsidR="00922BC3">
        <w:t xml:space="preserve">60, y se aplicó sobre todo en el Departamento de Defensa (dirigido por </w:t>
      </w:r>
      <w:r w:rsidR="007F027D">
        <w:rPr>
          <w:smallCaps/>
        </w:rPr>
        <w:t>R</w:t>
      </w:r>
      <w:r w:rsidR="007F027D" w:rsidRPr="007F027D">
        <w:rPr>
          <w:smallCaps/>
        </w:rPr>
        <w:t xml:space="preserve">obert </w:t>
      </w:r>
      <w:r w:rsidR="006B7850">
        <w:rPr>
          <w:smallCaps/>
        </w:rPr>
        <w:t>M</w:t>
      </w:r>
      <w:r w:rsidR="006B7850" w:rsidRPr="007F027D">
        <w:rPr>
          <w:smallCaps/>
        </w:rPr>
        <w:t>cNamara</w:t>
      </w:r>
      <w:r w:rsidR="00922BC3">
        <w:t>).</w:t>
      </w:r>
    </w:p>
    <w:p w14:paraId="5B66B2CD" w14:textId="673024B3" w:rsidR="00922BC3" w:rsidRDefault="00922BC3" w:rsidP="007F027D">
      <w:pPr>
        <w:pStyle w:val="Ttulo6"/>
      </w:pPr>
      <w:bookmarkStart w:id="65" w:name="_Toc150445831"/>
      <w:r w:rsidRPr="00922BC3">
        <w:t>Principales diferencias respecto al presupuesto de ejecución</w:t>
      </w:r>
      <w:bookmarkEnd w:id="65"/>
    </w:p>
    <w:p w14:paraId="064A2EED" w14:textId="2F6229ED" w:rsidR="00C52ED5" w:rsidRPr="00C52ED5" w:rsidRDefault="00C52ED5" w:rsidP="00B5084B">
      <w:pPr>
        <w:pStyle w:val="Nivel1SM"/>
        <w:keepNext/>
        <w:spacing w:before="0" w:after="0"/>
      </w:pPr>
      <w:r w:rsidRPr="00ED6121">
        <w:t>E</w:t>
      </w:r>
      <w:r>
        <w:t>n e</w:t>
      </w:r>
      <w:r w:rsidRPr="00ED6121">
        <w:t xml:space="preserve">ste método presupuestario </w:t>
      </w:r>
      <w:r>
        <w:t>e</w:t>
      </w:r>
      <w:r w:rsidRPr="00ED6121">
        <w:t xml:space="preserve">l </w:t>
      </w:r>
      <w:r w:rsidR="00952588">
        <w:t xml:space="preserve">sector público </w:t>
      </w:r>
      <w:r w:rsidRPr="00ED6121">
        <w:t>eli</w:t>
      </w:r>
      <w:r>
        <w:t>ge, a partir de los recursos disponibles,</w:t>
      </w:r>
      <w:r w:rsidRPr="00ED6121">
        <w:t xml:space="preserve"> aquellos </w:t>
      </w:r>
      <w:r w:rsidRPr="00B5084B">
        <w:rPr>
          <w:i/>
          <w:iCs/>
        </w:rPr>
        <w:t>programas que más bienestar aportan a la sociedad</w:t>
      </w:r>
      <w:r w:rsidRPr="00C52ED5">
        <w:t xml:space="preserve">. Así, se añaden a los objetivos de eficacia </w:t>
      </w:r>
      <w:r w:rsidR="00B5084B" w:rsidRPr="00B5084B">
        <w:rPr>
          <w:sz w:val="19"/>
          <w:szCs w:val="19"/>
        </w:rPr>
        <w:t>(</w:t>
      </w:r>
      <w:r w:rsidRPr="00B5084B">
        <w:rPr>
          <w:sz w:val="19"/>
          <w:szCs w:val="19"/>
        </w:rPr>
        <w:t>propios del presupuesto de ejecución</w:t>
      </w:r>
      <w:r w:rsidR="00B5084B">
        <w:rPr>
          <w:sz w:val="19"/>
          <w:szCs w:val="19"/>
        </w:rPr>
        <w:t>)</w:t>
      </w:r>
      <w:r w:rsidRPr="00C52ED5">
        <w:t xml:space="preserve"> objetivos de eficiencia. Se trata, además, de un método presupuestario con visión a medio y </w:t>
      </w:r>
      <w:r>
        <w:t xml:space="preserve">largo </w:t>
      </w:r>
      <w:r w:rsidRPr="00C52ED5">
        <w:t>p</w:t>
      </w:r>
      <w:r>
        <w:t>lazo</w:t>
      </w:r>
      <w:r w:rsidRPr="00C52ED5">
        <w:t>. En su procedimiento de elaboración podemos distinguir varias fases:</w:t>
      </w:r>
    </w:p>
    <w:p w14:paraId="66F6FDAE" w14:textId="77777777" w:rsidR="00C52ED5" w:rsidRPr="00C52ED5" w:rsidRDefault="00C52ED5" w:rsidP="005D1CE2">
      <w:pPr>
        <w:pStyle w:val="Prrafodelista"/>
        <w:numPr>
          <w:ilvl w:val="0"/>
          <w:numId w:val="59"/>
        </w:numPr>
        <w:spacing w:after="100"/>
        <w:ind w:left="567" w:hanging="113"/>
      </w:pPr>
      <w:r w:rsidRPr="00C52ED5">
        <w:rPr>
          <w:rFonts w:cs="Arial"/>
        </w:rPr>
        <w:t xml:space="preserve">Se </w:t>
      </w:r>
      <w:r w:rsidRPr="00C52ED5">
        <w:rPr>
          <w:lang w:eastAsia="zh-CN" w:bidi="hi-IN"/>
        </w:rPr>
        <w:t xml:space="preserve">definen los </w:t>
      </w:r>
      <w:r w:rsidRPr="00657227">
        <w:rPr>
          <w:i/>
          <w:iCs/>
          <w:lang w:eastAsia="zh-CN" w:bidi="hi-IN"/>
        </w:rPr>
        <w:t>objetivos</w:t>
      </w:r>
      <w:r w:rsidRPr="00C52ED5">
        <w:rPr>
          <w:lang w:eastAsia="zh-CN" w:bidi="hi-IN"/>
        </w:rPr>
        <w:t xml:space="preserve"> para los que se requieren los fondos públicos.</w:t>
      </w:r>
    </w:p>
    <w:p w14:paraId="2C6EF645" w14:textId="3B3F0AB6" w:rsidR="00C52ED5" w:rsidRPr="00F07D18" w:rsidRDefault="00C52ED5" w:rsidP="005D1CE2">
      <w:pPr>
        <w:pStyle w:val="Prrafodelista"/>
        <w:keepNext/>
        <w:numPr>
          <w:ilvl w:val="0"/>
          <w:numId w:val="59"/>
        </w:numPr>
        <w:spacing w:after="0"/>
        <w:ind w:left="567" w:hanging="113"/>
      </w:pPr>
      <w:r w:rsidRPr="00657227">
        <w:rPr>
          <w:rFonts w:cs="Arial"/>
          <w:i/>
          <w:iCs/>
        </w:rPr>
        <w:t>Se analizan</w:t>
      </w:r>
      <w:r w:rsidRPr="00C52ED5">
        <w:rPr>
          <w:rFonts w:cs="Arial"/>
        </w:rPr>
        <w:t xml:space="preserve"> </w:t>
      </w:r>
      <w:r w:rsidRPr="00657227">
        <w:rPr>
          <w:rFonts w:cs="Arial"/>
          <w:i/>
          <w:iCs/>
        </w:rPr>
        <w:t>programas alternativos</w:t>
      </w:r>
      <w:r w:rsidRPr="00C52ED5">
        <w:rPr>
          <w:rFonts w:cs="Arial"/>
        </w:rPr>
        <w:t xml:space="preserve"> mediante técnicas de análisis como el Análisis Coste-Beneficio o el Análisis Coste-Eficacia para ver cuál es el más eficiente para alcanzar cada objetivo</w:t>
      </w:r>
      <w:r w:rsidR="006B7850">
        <w:rPr>
          <w:rFonts w:cs="Arial"/>
        </w:rPr>
        <w:t xml:space="preserve"> </w:t>
      </w:r>
      <w:r w:rsidR="006B7850" w:rsidRPr="006B7850">
        <w:rPr>
          <w:rFonts w:cs="Arial"/>
          <w:color w:val="767171" w:themeColor="background2" w:themeShade="80"/>
          <w:sz w:val="19"/>
          <w:szCs w:val="19"/>
        </w:rPr>
        <w:t>[</w:t>
      </w:r>
      <w:r w:rsidR="006B7850">
        <w:rPr>
          <w:rFonts w:cs="Arial"/>
          <w:color w:val="767171" w:themeColor="background2" w:themeShade="80"/>
          <w:sz w:val="19"/>
          <w:szCs w:val="19"/>
        </w:rPr>
        <w:t>ver tema 4.B.7</w:t>
      </w:r>
      <w:r w:rsidR="006B7850" w:rsidRPr="006B7850">
        <w:rPr>
          <w:rFonts w:cs="Arial"/>
          <w:color w:val="767171" w:themeColor="background2" w:themeShade="80"/>
          <w:sz w:val="19"/>
          <w:szCs w:val="19"/>
        </w:rPr>
        <w:t>]</w:t>
      </w:r>
      <w:r w:rsidRPr="00C52ED5">
        <w:rPr>
          <w:rFonts w:cs="Arial"/>
        </w:rPr>
        <w:t>.</w:t>
      </w:r>
    </w:p>
    <w:p w14:paraId="2BB793CA" w14:textId="1881AD4F" w:rsidR="00F07D18" w:rsidRPr="00657227" w:rsidRDefault="00F07D18" w:rsidP="005D1CE2">
      <w:pPr>
        <w:pStyle w:val="Nivel3SM"/>
        <w:rPr>
          <w:spacing w:val="-2"/>
        </w:rPr>
      </w:pPr>
      <w:r w:rsidRPr="00657227">
        <w:rPr>
          <w:i/>
          <w:iCs/>
          <w:spacing w:val="-2"/>
        </w:rPr>
        <w:t>Análisis coste-beneficio</w:t>
      </w:r>
      <w:r w:rsidRPr="00657227">
        <w:rPr>
          <w:spacing w:val="-2"/>
        </w:rPr>
        <w:t xml:space="preserve">: </w:t>
      </w:r>
      <w:r w:rsidR="006B7850" w:rsidRPr="00657227">
        <w:rPr>
          <w:spacing w:val="-2"/>
        </w:rPr>
        <w:t>I</w:t>
      </w:r>
      <w:r w:rsidRPr="00657227">
        <w:rPr>
          <w:spacing w:val="-2"/>
        </w:rPr>
        <w:t>ntenta evaluar monetariamente las corrientes de beneficios y costes.</w:t>
      </w:r>
    </w:p>
    <w:p w14:paraId="3CAD816D" w14:textId="26D811F1" w:rsidR="00F07D18" w:rsidRDefault="00F07D18" w:rsidP="005D1CE2">
      <w:pPr>
        <w:pStyle w:val="Nivel3SM"/>
      </w:pPr>
      <w:r w:rsidRPr="006B7850">
        <w:rPr>
          <w:i/>
          <w:iCs/>
        </w:rPr>
        <w:t>Análisis coste-eficacia</w:t>
      </w:r>
      <w:r w:rsidRPr="00F07D18">
        <w:t xml:space="preserve">: </w:t>
      </w:r>
      <w:r w:rsidR="006B7850">
        <w:t>V</w:t>
      </w:r>
      <w:r w:rsidRPr="00F07D18">
        <w:t>ariante del análisis coste-beneficio, útil cuando</w:t>
      </w:r>
      <w:r>
        <w:t xml:space="preserve"> se conoce la corriente monetaria de costes pero es difícil asignar un precio a los beneficios </w:t>
      </w:r>
      <w:r w:rsidRPr="005D1CE2">
        <w:rPr>
          <w:spacing w:val="-2"/>
        </w:rPr>
        <w:t>(por lo que éstos se miden según un indicador y no en unidades monetarias –p.ej. €/hospitalización–)</w:t>
      </w:r>
      <w:r>
        <w:t>.</w:t>
      </w:r>
    </w:p>
    <w:p w14:paraId="37EA8AC9" w14:textId="77777777" w:rsidR="00C52ED5" w:rsidRPr="00C52ED5" w:rsidRDefault="00C52ED5" w:rsidP="005D1CE2">
      <w:pPr>
        <w:pStyle w:val="Prrafodelista"/>
        <w:numPr>
          <w:ilvl w:val="0"/>
          <w:numId w:val="59"/>
        </w:numPr>
        <w:spacing w:after="100"/>
        <w:ind w:left="567" w:hanging="113"/>
      </w:pPr>
      <w:r w:rsidRPr="00C52ED5">
        <w:rPr>
          <w:rFonts w:cs="Arial"/>
        </w:rPr>
        <w:t xml:space="preserve">Se </w:t>
      </w:r>
      <w:r w:rsidRPr="00657227">
        <w:rPr>
          <w:rFonts w:cs="Arial"/>
          <w:i/>
          <w:iCs/>
        </w:rPr>
        <w:t>organizan y jerarquizan los diversos programas seleccionados</w:t>
      </w:r>
      <w:r w:rsidRPr="00C52ED5">
        <w:rPr>
          <w:rFonts w:cs="Arial"/>
        </w:rPr>
        <w:t>.</w:t>
      </w:r>
    </w:p>
    <w:p w14:paraId="3BDB1311" w14:textId="3D165314" w:rsidR="00C52ED5" w:rsidRPr="00C52ED5" w:rsidRDefault="00C52ED5" w:rsidP="005D1CE2">
      <w:pPr>
        <w:pStyle w:val="Prrafodelista"/>
        <w:numPr>
          <w:ilvl w:val="0"/>
          <w:numId w:val="59"/>
        </w:numPr>
        <w:spacing w:after="100"/>
        <w:ind w:left="567" w:hanging="113"/>
      </w:pPr>
      <w:r w:rsidRPr="00C52ED5">
        <w:rPr>
          <w:rFonts w:cs="Arial"/>
        </w:rPr>
        <w:t>Dado el nivel de recursos disponible</w:t>
      </w:r>
      <w:r w:rsidR="007A3C94">
        <w:rPr>
          <w:rFonts w:cs="Arial"/>
        </w:rPr>
        <w:t>s</w:t>
      </w:r>
      <w:r w:rsidRPr="00C52ED5">
        <w:rPr>
          <w:rFonts w:cs="Arial"/>
        </w:rPr>
        <w:t xml:space="preserve">, </w:t>
      </w:r>
      <w:r w:rsidRPr="00657227">
        <w:rPr>
          <w:rFonts w:cs="Arial"/>
          <w:i/>
          <w:iCs/>
        </w:rPr>
        <w:t>se aprueban los programas más beneficiosos</w:t>
      </w:r>
      <w:r w:rsidRPr="00C52ED5">
        <w:rPr>
          <w:rFonts w:cs="Arial"/>
        </w:rPr>
        <w:t>.</w:t>
      </w:r>
    </w:p>
    <w:p w14:paraId="6A933F10" w14:textId="2158C1B6" w:rsidR="00922BC3" w:rsidRDefault="00922BC3" w:rsidP="00FC5A16">
      <w:pPr>
        <w:pStyle w:val="Ttulo6"/>
      </w:pPr>
      <w:bookmarkStart w:id="66" w:name="_Toc150445832"/>
      <w:r w:rsidRPr="00922BC3">
        <w:t>Valoración</w:t>
      </w:r>
      <w:bookmarkEnd w:id="66"/>
    </w:p>
    <w:p w14:paraId="51BC5431" w14:textId="77777777" w:rsidR="008212CB" w:rsidRPr="008212CB" w:rsidRDefault="008212CB" w:rsidP="008212CB">
      <w:pPr>
        <w:pStyle w:val="Nivel1SM"/>
        <w:keepNext/>
        <w:spacing w:before="0" w:after="0"/>
      </w:pPr>
    </w:p>
    <w:p w14:paraId="2DE73DA1" w14:textId="34F5B8B9" w:rsidR="00922BC3" w:rsidRDefault="00922BC3" w:rsidP="00F64AF0">
      <w:pPr>
        <w:pStyle w:val="Nivel2SM"/>
        <w:keepNext/>
        <w:spacing w:after="0"/>
      </w:pPr>
      <w:r w:rsidRPr="00053A00">
        <w:rPr>
          <w:i/>
          <w:iCs/>
          <w:u w:val="single"/>
        </w:rPr>
        <w:t>Positivo</w:t>
      </w:r>
      <w:r>
        <w:t>:</w:t>
      </w:r>
    </w:p>
    <w:p w14:paraId="3581F5A2" w14:textId="1652E058" w:rsidR="00922BC3" w:rsidRDefault="00922BC3" w:rsidP="00F64AF0">
      <w:pPr>
        <w:pStyle w:val="Nivel3SM"/>
      </w:pPr>
      <w:r>
        <w:t>Mayor eficiencia del gasto público.</w:t>
      </w:r>
    </w:p>
    <w:p w14:paraId="55B929DB" w14:textId="34E62027" w:rsidR="00922BC3" w:rsidRDefault="00922BC3" w:rsidP="00F64AF0">
      <w:pPr>
        <w:pStyle w:val="Nivel2SM"/>
        <w:keepNext/>
        <w:spacing w:after="0"/>
      </w:pPr>
      <w:r w:rsidRPr="00053A00">
        <w:rPr>
          <w:i/>
          <w:iCs/>
          <w:u w:val="single"/>
        </w:rPr>
        <w:t>Negativo</w:t>
      </w:r>
      <w:r>
        <w:t>:</w:t>
      </w:r>
    </w:p>
    <w:p w14:paraId="5E19C3ED" w14:textId="1A511D84" w:rsidR="008F3F26" w:rsidRDefault="00922BC3" w:rsidP="00F64AF0">
      <w:pPr>
        <w:pStyle w:val="Nivel3SM"/>
      </w:pPr>
      <w:r>
        <w:t>Limitaciones prácticas (p.ej. evaluar todas las alternativas puede ser difícil y costoso).</w:t>
      </w:r>
    </w:p>
    <w:p w14:paraId="10902DB7" w14:textId="137F1C8F" w:rsidR="00F07D18" w:rsidRPr="00F07D18" w:rsidRDefault="00F07D18" w:rsidP="00F07D18">
      <w:pPr>
        <w:pStyle w:val="Nivel3SM"/>
      </w:pPr>
      <w:r>
        <w:t>Por ello, s</w:t>
      </w:r>
      <w:r w:rsidRPr="00F07D18">
        <w:t>e trata de un sistema muy complejo que ha impedido su plena implementación a gran escala, si bien sí que ha tenido cierto éxito en determinados departamentos o en administraciones locales.</w:t>
      </w:r>
    </w:p>
    <w:p w14:paraId="18994A01" w14:textId="7DB73050" w:rsidR="00F07D18" w:rsidRDefault="00F07D18" w:rsidP="00F07D18">
      <w:pPr>
        <w:pStyle w:val="Nivel2SM"/>
      </w:pPr>
      <w:r w:rsidRPr="00C52ED5">
        <w:t>En definitiva, este</w:t>
      </w:r>
      <w:r w:rsidRPr="00452266">
        <w:t xml:space="preserve"> método no se ha mostrado muy eficaz </w:t>
      </w:r>
      <w:r>
        <w:t xml:space="preserve">para reducir el tamaño del </w:t>
      </w:r>
      <w:r w:rsidR="00053A00">
        <w:t>sector</w:t>
      </w:r>
      <w:r w:rsidR="00053A00">
        <w:t xml:space="preserve"> público</w:t>
      </w:r>
      <w:r>
        <w:t xml:space="preserve"> o</w:t>
      </w:r>
      <w:r w:rsidRPr="00452266">
        <w:t xml:space="preserve"> abandonar funciones poco rentables desde el punto de vista </w:t>
      </w:r>
      <w:r>
        <w:t>d</w:t>
      </w:r>
      <w:r w:rsidRPr="00452266">
        <w:t>el bienestar social.</w:t>
      </w:r>
      <w:r>
        <w:t xml:space="preserve"> </w:t>
      </w:r>
      <w:r w:rsidRPr="003834D1">
        <w:t xml:space="preserve">La finalidad de rebajar el </w:t>
      </w:r>
      <w:r w:rsidR="00053A00">
        <w:t>gasto público</w:t>
      </w:r>
      <w:r w:rsidRPr="003834D1">
        <w:t xml:space="preserve"> parece más clara </w:t>
      </w:r>
      <w:r>
        <w:t>en</w:t>
      </w:r>
      <w:r w:rsidRPr="003834D1">
        <w:t xml:space="preserve"> la si</w:t>
      </w:r>
      <w:r>
        <w:t>guiente técnica presupuestaria.</w:t>
      </w:r>
    </w:p>
    <w:p w14:paraId="7BD87BB0" w14:textId="3B0E11FD" w:rsidR="00F07D18" w:rsidRDefault="00F07D18" w:rsidP="008212CB">
      <w:pPr>
        <w:pStyle w:val="Nivel1SM"/>
      </w:pPr>
      <w:r w:rsidRPr="00C52ED5">
        <w:t>En 1984 se trató de aplicar este método a los PGE, pero la reforma presupuestaria no resultó demasiado exitosa como veremos.</w:t>
      </w:r>
    </w:p>
    <w:p w14:paraId="1222BA6D" w14:textId="657C00AC" w:rsidR="00256F20" w:rsidRPr="00FC5A16" w:rsidRDefault="008F3F26" w:rsidP="00A36A31">
      <w:pPr>
        <w:pStyle w:val="Ttulo3"/>
      </w:pPr>
      <w:bookmarkStart w:id="67" w:name="_Toc150445833"/>
      <w:r>
        <w:lastRenderedPageBreak/>
        <w:t>Presupuesto de base-cero</w:t>
      </w:r>
      <w:r w:rsidR="001C7848">
        <w:t xml:space="preserve"> (</w:t>
      </w:r>
      <w:r w:rsidR="00A02380">
        <w:t xml:space="preserve">zero based budget, </w:t>
      </w:r>
      <w:r w:rsidR="001C7848">
        <w:t xml:space="preserve">EEUU </w:t>
      </w:r>
      <w:r w:rsidR="00AA130E">
        <w:t>19</w:t>
      </w:r>
      <w:r w:rsidR="001C7848">
        <w:t>70s)</w:t>
      </w:r>
      <w:bookmarkEnd w:id="67"/>
    </w:p>
    <w:p w14:paraId="6B11F35D" w14:textId="0ADC9716" w:rsidR="00256F20" w:rsidRDefault="00256F20" w:rsidP="00532279">
      <w:pPr>
        <w:pStyle w:val="Ttulo6"/>
        <w:spacing w:before="0"/>
      </w:pPr>
      <w:bookmarkStart w:id="68" w:name="_Toc150445834"/>
      <w:r w:rsidRPr="00256F20">
        <w:t>Objetivo</w:t>
      </w:r>
      <w:bookmarkEnd w:id="68"/>
    </w:p>
    <w:p w14:paraId="10FD24C8" w14:textId="52F9C309" w:rsidR="00256F20" w:rsidRDefault="00256F20" w:rsidP="00FF2E7B">
      <w:pPr>
        <w:pStyle w:val="Nivel1SM"/>
        <w:keepNext/>
        <w:spacing w:before="0" w:after="0"/>
      </w:pPr>
      <w:r>
        <w:t>E</w:t>
      </w:r>
      <w:r w:rsidR="00FF2E7B">
        <w:t xml:space="preserve">l objetivo de esta metodología es </w:t>
      </w:r>
      <w:r w:rsidRPr="00256F20">
        <w:t>vitar el incrementalismo, empezando desde cero el presupuesto cada año, de modo que el sector público se replantea anualmente todas sus asignaciones de recursos, evitando que las líneas ineficientes de gasto se perpetúen en el tiempo.</w:t>
      </w:r>
    </w:p>
    <w:p w14:paraId="5A78CFCA" w14:textId="77777777" w:rsidR="00256F20" w:rsidRDefault="00256F20" w:rsidP="00F64AF0">
      <w:pPr>
        <w:pStyle w:val="Nivel2SM"/>
        <w:keepNext/>
        <w:spacing w:after="0"/>
      </w:pPr>
      <w:r w:rsidRPr="00256F20">
        <w:t>En efecto, si el presupuesto es incremental, el mayor determinante de un presupuesto concreto será el presupuesto del año anterior.</w:t>
      </w:r>
    </w:p>
    <w:p w14:paraId="67C86EFE" w14:textId="77777777" w:rsidR="00256F20" w:rsidRDefault="00256F20" w:rsidP="00F64AF0">
      <w:pPr>
        <w:pStyle w:val="Nivel3SM"/>
      </w:pPr>
      <w:r w:rsidRPr="00256F20">
        <w:t>En cambio, el presupuesto de base cero busca que cada departamento justifique cada año todos sus gastos en lugar de que se dedique sólo a defender aumentos de su presupuesto.</w:t>
      </w:r>
    </w:p>
    <w:p w14:paraId="15F706A5" w14:textId="43388CCF" w:rsidR="00256F20" w:rsidRDefault="00256F20" w:rsidP="00F64AF0">
      <w:pPr>
        <w:pStyle w:val="Nivel3SM"/>
      </w:pPr>
      <w:r w:rsidRPr="00256F20">
        <w:t>De esta manera, los departamentos no explican por qué se gasta más o menos que el año anterior, sino por qué se gasta cada euro.</w:t>
      </w:r>
    </w:p>
    <w:p w14:paraId="20D76BEE" w14:textId="7EC49C0B" w:rsidR="00256F20" w:rsidRDefault="00256F20" w:rsidP="00435895">
      <w:pPr>
        <w:pStyle w:val="Nivel2SM"/>
      </w:pPr>
      <w:r w:rsidRPr="00256F20">
        <w:t>En la práctica, no se trata de que el presupuesto de un año no tenga ninguna consideración sobre el del año anterior (pues, al fin y al cabo, hay costes fijos), sino que se trata de romper con la inercia incrementalista de manera que todo gasto esté bien justificado.</w:t>
      </w:r>
    </w:p>
    <w:p w14:paraId="53EE9B1F" w14:textId="2E9CC962" w:rsidR="006827B4" w:rsidRDefault="006827B4" w:rsidP="00FC5A16">
      <w:pPr>
        <w:pStyle w:val="Ttulo6"/>
      </w:pPr>
      <w:bookmarkStart w:id="69" w:name="_Toc150445835"/>
      <w:r w:rsidRPr="006827B4">
        <w:t>El problema del incrementalismo más en profundidad (</w:t>
      </w:r>
      <w:r w:rsidR="003C213C" w:rsidRPr="00FC5A16">
        <w:rPr>
          <w:smallCaps/>
        </w:rPr>
        <w:t>Wildavsky</w:t>
      </w:r>
      <w:r w:rsidRPr="006827B4">
        <w:t>)</w:t>
      </w:r>
      <w:bookmarkEnd w:id="69"/>
    </w:p>
    <w:p w14:paraId="1A4B91B8" w14:textId="7FC71704" w:rsidR="003C213C" w:rsidRPr="003C213C" w:rsidRDefault="003C213C" w:rsidP="00053A00">
      <w:pPr>
        <w:pStyle w:val="Notaalopositor"/>
      </w:pPr>
      <w:r>
        <w:t>Coordinar en temas 4.B.3 y 4.B.6</w:t>
      </w:r>
    </w:p>
    <w:p w14:paraId="03C1E58F" w14:textId="57A33D85" w:rsidR="006827B4" w:rsidRPr="00F64AF0" w:rsidRDefault="006827B4" w:rsidP="00F64AF0">
      <w:pPr>
        <w:pStyle w:val="Nivel2SM"/>
        <w:keepNext/>
        <w:spacing w:after="0"/>
        <w:rPr>
          <w:u w:val="single"/>
        </w:rPr>
      </w:pPr>
      <w:bookmarkStart w:id="70" w:name="_Hlk146524368"/>
      <w:r w:rsidRPr="00DD00BD">
        <w:rPr>
          <w:i/>
          <w:iCs/>
          <w:u w:val="single"/>
        </w:rPr>
        <w:t>Idea</w:t>
      </w:r>
      <w:r w:rsidR="00DD00BD">
        <w:t>:</w:t>
      </w:r>
    </w:p>
    <w:p w14:paraId="7D18815C" w14:textId="2BB57D35" w:rsidR="006827B4" w:rsidRDefault="006827B4" w:rsidP="00F64AF0">
      <w:pPr>
        <w:pStyle w:val="Nivel3SM"/>
      </w:pPr>
      <w:r>
        <w:t xml:space="preserve">La técnica de elaboración presupuestaria tradicional contribuye al aumento del gasto público, ya que el proceso presupuestario se suele formular en </w:t>
      </w:r>
      <w:r w:rsidRPr="00584373">
        <w:rPr>
          <w:i/>
        </w:rPr>
        <w:t>términos incrementales</w:t>
      </w:r>
      <w:r>
        <w:t>, esto es, las partidas de gasto suelen consolidarse, de manera que el único gasto que se discute es el adicional.</w:t>
      </w:r>
    </w:p>
    <w:p w14:paraId="30279E02" w14:textId="77777777" w:rsidR="006827B4" w:rsidRDefault="006827B4" w:rsidP="00F64AF0">
      <w:pPr>
        <w:pStyle w:val="Nivel2SM"/>
        <w:keepNext/>
        <w:spacing w:after="0"/>
      </w:pPr>
      <w:r w:rsidRPr="00DD00BD">
        <w:rPr>
          <w:i/>
          <w:iCs/>
          <w:u w:val="single"/>
        </w:rPr>
        <w:t>Modelo</w:t>
      </w:r>
      <w:r>
        <w:t>:</w:t>
      </w:r>
    </w:p>
    <w:p w14:paraId="52B8EF12" w14:textId="1BC066D8" w:rsidR="006827B4" w:rsidRDefault="006827B4" w:rsidP="00F64AF0">
      <w:pPr>
        <w:pStyle w:val="Nivel3SM"/>
        <w:keepNext/>
      </w:pPr>
      <w:r w:rsidRPr="00330F15">
        <w:t xml:space="preserve">Las unidades de gasto realizan peticiones de fondos, </w:t>
      </w:r>
      <m:oMath>
        <m:r>
          <m:rPr>
            <m:nor/>
          </m:rPr>
          <w:rPr>
            <w:i/>
            <w:iCs/>
          </w:rPr>
          <m:t>X</m:t>
        </m:r>
      </m:oMath>
      <w:r w:rsidRPr="00330F15">
        <w:t xml:space="preserve">, que generalmente consistirán en un aumento de los fondos concedidos el año anterior, </w:t>
      </w:r>
      <m:oMath>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oMath>
      <w:r w:rsidRPr="00330F15">
        <w:t xml:space="preserve">, es decir, en un factor </w:t>
      </w:r>
      <m:oMath>
        <m:r>
          <m:rPr>
            <m:nor/>
          </m:rPr>
          <w:rPr>
            <w:i/>
          </w:rPr>
          <m:t>β</m:t>
        </m:r>
        <m:r>
          <w:rPr>
            <w:rFonts w:ascii="Cambria Math" w:hAnsi="Cambria Math"/>
          </w:rPr>
          <m:t>&gt;</m:t>
        </m:r>
        <m:r>
          <m:rPr>
            <m:nor/>
          </m:rPr>
          <w:rPr>
            <w:i/>
          </w:rPr>
          <m:t>1</m:t>
        </m:r>
      </m:oMath>
      <w:r w:rsidRPr="00330F15">
        <w:t xml:space="preserve"> de los fondos del año anterior:</w:t>
      </w:r>
    </w:p>
    <w:p w14:paraId="0E82B7A2" w14:textId="63E8570F" w:rsidR="006827B4" w:rsidRDefault="00000000" w:rsidP="00F64AF0">
      <w:pPr>
        <w:tabs>
          <w:tab w:val="left" w:pos="1365"/>
        </w:tabs>
        <w:spacing w:after="0"/>
        <w:ind w:left="1440"/>
        <w:jc w:val="center"/>
      </w:pPr>
      <m:oMathPara>
        <m:oMath>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r>
            <m:rPr>
              <m:nor/>
            </m:rPr>
            <w:rPr>
              <w:i/>
            </w:rPr>
            <m:t>β</m:t>
          </m:r>
          <m:r>
            <w:rPr>
              <w:rFonts w:ascii="Cambria Math" w:hAnsi="Cambria Math"/>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r>
            <w:rPr>
              <w:rFonts w:ascii="Cambria Math" w:hAnsi="Cambria Math"/>
            </w:rPr>
            <m:t>+</m:t>
          </m:r>
          <m:sSub>
            <m:sSubPr>
              <m:ctrlPr>
                <w:rPr>
                  <w:rFonts w:ascii="Cambria Math" w:hAnsi="Cambria Math"/>
                  <w:i/>
                  <w:iCs/>
                </w:rPr>
              </m:ctrlPr>
            </m:sSubPr>
            <m:e>
              <m:r>
                <m:rPr>
                  <m:nor/>
                </m:rPr>
                <w:rPr>
                  <w:i/>
                  <w:iCs/>
                </w:rPr>
                <m:t>u</m:t>
              </m:r>
            </m:e>
            <m:sub>
              <m:r>
                <m:rPr>
                  <m:nor/>
                </m:rPr>
                <w:rPr>
                  <w:i/>
                  <w:iCs/>
                </w:rPr>
                <m:t>t</m:t>
              </m:r>
            </m:sub>
          </m:sSub>
        </m:oMath>
      </m:oMathPara>
    </w:p>
    <w:p w14:paraId="647A9C83" w14:textId="1B6953BE" w:rsidR="006827B4" w:rsidRPr="00787E51" w:rsidRDefault="006827B4" w:rsidP="00F64AF0">
      <w:pPr>
        <w:pStyle w:val="Nivel3SM"/>
        <w:keepNext/>
        <w:rPr>
          <w:spacing w:val="-2"/>
        </w:rPr>
      </w:pPr>
      <w:r w:rsidRPr="00787E51">
        <w:rPr>
          <w:spacing w:val="-2"/>
        </w:rPr>
        <w:t xml:space="preserve">El Ministerio de Hacienda, cuando recibe los anteproyectos parciales de cada departamento, ajusta a la baja dichas solicitudes, concediendo una fracción </w:t>
      </w:r>
      <m:oMath>
        <m:r>
          <m:rPr>
            <m:nor/>
          </m:rPr>
          <w:rPr>
            <w:i/>
            <w:iCs/>
          </w:rPr>
          <m:t>α</m:t>
        </m:r>
        <m:r>
          <w:rPr>
            <w:rFonts w:ascii="Cambria Math" w:hAnsi="Cambria Math"/>
          </w:rPr>
          <m:t>&lt;</m:t>
        </m:r>
        <m:r>
          <m:rPr>
            <m:nor/>
          </m:rPr>
          <w:rPr>
            <w:i/>
          </w:rPr>
          <m:t>1</m:t>
        </m:r>
      </m:oMath>
      <w:r w:rsidRPr="00787E51">
        <w:rPr>
          <w:spacing w:val="-2"/>
        </w:rPr>
        <w:t xml:space="preserve"> de las mismas:</w:t>
      </w:r>
    </w:p>
    <w:p w14:paraId="1842DA1D" w14:textId="1EA7BA28" w:rsidR="006827B4" w:rsidRDefault="00000000" w:rsidP="00F64AF0">
      <w:pPr>
        <w:spacing w:after="0"/>
        <w:ind w:left="144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α</m:t>
          </m:r>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v</m:t>
              </m:r>
            </m:e>
            <m:sub>
              <m:r>
                <m:rPr>
                  <m:nor/>
                </m:rPr>
                <w:rPr>
                  <w:i/>
                  <w:iCs/>
                </w:rPr>
                <m:t>t</m:t>
              </m:r>
            </m:sub>
          </m:sSub>
        </m:oMath>
      </m:oMathPara>
    </w:p>
    <w:p w14:paraId="091EE09B" w14:textId="3A136AAF" w:rsidR="006827B4" w:rsidRDefault="006827B4" w:rsidP="00F64AF0">
      <w:pPr>
        <w:pStyle w:val="Nivel3SM"/>
        <w:keepNext/>
      </w:pPr>
      <w:r>
        <w:t>El presupuesto aprobado por tanto será:</w:t>
      </w:r>
    </w:p>
    <w:p w14:paraId="60D5EBC2" w14:textId="51ECCCB3" w:rsidR="006827B4" w:rsidRPr="003C213C" w:rsidRDefault="00000000" w:rsidP="003C213C">
      <w:pPr>
        <w:spacing w:after="0"/>
        <w:ind w:left="144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rPr>
            <m:t>α</m:t>
          </m:r>
          <m:r>
            <w:rPr>
              <w:rFonts w:ascii="Cambria Math" w:hAnsi="Cambria Math"/>
              <w:lang w:val="fr-FR"/>
            </w:rPr>
            <m:t>∙</m:t>
          </m:r>
          <m:r>
            <m:rPr>
              <m:nor/>
            </m:rPr>
            <w:rPr>
              <w:i/>
            </w:rPr>
            <m:t>β</m:t>
          </m:r>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lang w:val="fr-FR"/>
                </w:rPr>
                <m:t>ε</m:t>
              </m:r>
            </m:e>
            <m:sub>
              <m:r>
                <m:rPr>
                  <m:nor/>
                </m:rPr>
                <w:rPr>
                  <w:i/>
                  <w:iCs/>
                  <w:lang w:val="fr-FR"/>
                </w:rPr>
                <m:t>t</m:t>
              </m:r>
            </m:sub>
          </m:sSub>
        </m:oMath>
      </m:oMathPara>
    </w:p>
    <w:p w14:paraId="01E0D0C0" w14:textId="1B50A127" w:rsidR="006827B4" w:rsidRPr="00256F20" w:rsidRDefault="006827B4" w:rsidP="00F64AF0">
      <w:pPr>
        <w:pStyle w:val="Nivel2SM"/>
      </w:pPr>
      <w:r>
        <w:t>Por tanto, cuanto mayores sean las solicitudes de fondos con respecto al año anterior (</w:t>
      </w:r>
      <w:r w:rsidRPr="004D1FA7">
        <w:rPr>
          <w:rFonts w:ascii="Times New Roman" w:hAnsi="Times New Roman" w:cs="Times New Roman"/>
        </w:rPr>
        <w:t>↑</w:t>
      </w:r>
      <w:r w:rsidRPr="006827B4">
        <w:rPr>
          <w:i/>
        </w:rPr>
        <w:t>β</w:t>
      </w:r>
      <w:r>
        <w:t>) y mayor sea la permisividad del Ministerio de Hacienda (</w:t>
      </w:r>
      <w:r w:rsidRPr="004D1FA7">
        <w:rPr>
          <w:rFonts w:ascii="Times New Roman" w:hAnsi="Times New Roman" w:cs="Times New Roman"/>
        </w:rPr>
        <w:t>↑</w:t>
      </w:r>
      <w:r w:rsidRPr="006827B4">
        <w:rPr>
          <w:i/>
        </w:rPr>
        <w:t>α</w:t>
      </w:r>
      <w:r>
        <w:t xml:space="preserve">), más probable será que se cumpla que </w:t>
      </w:r>
      <m:oMath>
        <m:r>
          <m:rPr>
            <m:nor/>
          </m:rPr>
          <w:rPr>
            <w:i/>
            <w:iCs/>
          </w:rPr>
          <m:t>α</m:t>
        </m:r>
        <m:r>
          <w:rPr>
            <w:rFonts w:ascii="Cambria Math" w:hAnsi="Cambria Math"/>
          </w:rPr>
          <m:t>∙</m:t>
        </m:r>
        <m:r>
          <m:rPr>
            <m:nor/>
          </m:rPr>
          <w:rPr>
            <w:i/>
          </w:rPr>
          <m:t>β</m:t>
        </m:r>
        <m:r>
          <w:rPr>
            <w:rFonts w:ascii="Cambria Math" w:hAnsi="Cambria Math"/>
          </w:rPr>
          <m:t>&gt;</m:t>
        </m:r>
        <m:r>
          <m:rPr>
            <m:nor/>
          </m:rPr>
          <w:rPr>
            <w:i/>
          </w:rPr>
          <m:t>1</m:t>
        </m:r>
      </m:oMath>
      <w:r>
        <w:t xml:space="preserve"> y que, por lo tanto, se incremente el gasto con respecto al año anterior.</w:t>
      </w:r>
    </w:p>
    <w:p w14:paraId="4391AEDC" w14:textId="3A9DFAA1" w:rsidR="00256F20" w:rsidRDefault="00256F20" w:rsidP="00FC5A16">
      <w:pPr>
        <w:pStyle w:val="Ttulo6"/>
      </w:pPr>
      <w:bookmarkStart w:id="71" w:name="_Toc150445836"/>
      <w:bookmarkEnd w:id="70"/>
      <w:r w:rsidRPr="00256F20">
        <w:t>Origen</w:t>
      </w:r>
      <w:bookmarkEnd w:id="71"/>
    </w:p>
    <w:p w14:paraId="46EDF46E" w14:textId="34549AB4" w:rsidR="00256F20" w:rsidRDefault="00BF5355" w:rsidP="00435895">
      <w:pPr>
        <w:pStyle w:val="Nivel2SM"/>
        <w:keepNext/>
        <w:spacing w:after="0"/>
      </w:pPr>
      <w:r>
        <w:rPr>
          <w:rFonts w:cs="Times New Roman"/>
        </w:rPr>
        <w:t>Su</w:t>
      </w:r>
      <w:r w:rsidRPr="00E31E9C">
        <w:rPr>
          <w:rFonts w:cs="Times New Roman"/>
        </w:rPr>
        <w:t xml:space="preserve"> base teórica se debe a </w:t>
      </w:r>
      <w:r w:rsidRPr="00BF5355">
        <w:rPr>
          <w:rFonts w:cs="Times New Roman"/>
          <w:smallCaps/>
        </w:rPr>
        <w:t>Peter Phyrr</w:t>
      </w:r>
      <w:r>
        <w:rPr>
          <w:rFonts w:cs="Times New Roman"/>
        </w:rPr>
        <w:t>, quien</w:t>
      </w:r>
      <w:r w:rsidRPr="00E31E9C">
        <w:rPr>
          <w:rFonts w:cs="Times New Roman"/>
        </w:rPr>
        <w:t xml:space="preserve"> </w:t>
      </w:r>
      <w:r>
        <w:rPr>
          <w:rFonts w:cs="Times New Roman"/>
        </w:rPr>
        <w:t>en un artículo de 1970 analizó</w:t>
      </w:r>
      <w:r w:rsidRPr="00E31E9C">
        <w:rPr>
          <w:rFonts w:cs="Times New Roman"/>
        </w:rPr>
        <w:t xml:space="preserve"> el método </w:t>
      </w:r>
      <w:r>
        <w:rPr>
          <w:rFonts w:cs="Times New Roman"/>
        </w:rPr>
        <w:t xml:space="preserve">presupuestario utilizado </w:t>
      </w:r>
      <w:r w:rsidRPr="00E31E9C">
        <w:rPr>
          <w:rFonts w:cs="Times New Roman"/>
        </w:rPr>
        <w:t xml:space="preserve">en la empresa privada </w:t>
      </w:r>
      <w:r w:rsidRPr="00BF5355">
        <w:rPr>
          <w:rFonts w:cs="Times New Roman"/>
          <w:i/>
          <w:iCs/>
        </w:rPr>
        <w:t>Texas Instruments</w:t>
      </w:r>
      <w:r w:rsidRPr="00E31E9C">
        <w:rPr>
          <w:rFonts w:cs="Times New Roman"/>
        </w:rPr>
        <w:t>.</w:t>
      </w:r>
    </w:p>
    <w:p w14:paraId="38F9E430" w14:textId="6C3A6FAA" w:rsidR="00256F20" w:rsidRPr="00256F20" w:rsidRDefault="00FC5A16" w:rsidP="00435895">
      <w:pPr>
        <w:pStyle w:val="Nivel3SM"/>
      </w:pPr>
      <w:r w:rsidRPr="00FC5A16">
        <w:rPr>
          <w:smallCaps/>
        </w:rPr>
        <w:t xml:space="preserve">Jimmy </w:t>
      </w:r>
      <w:r>
        <w:rPr>
          <w:smallCaps/>
        </w:rPr>
        <w:t>C</w:t>
      </w:r>
      <w:r w:rsidRPr="00FC5A16">
        <w:rPr>
          <w:smallCaps/>
        </w:rPr>
        <w:t>arter</w:t>
      </w:r>
      <w:r w:rsidR="00256F20" w:rsidRPr="00256F20">
        <w:t xml:space="preserve"> se interesó por esta técnica cuando era Gobernador de Georgia. La aplicó por primera vez a dicho Estado en 1972, y 5</w:t>
      </w:r>
      <w:r w:rsidR="00435895">
        <w:t> </w:t>
      </w:r>
      <w:r w:rsidR="00256F20" w:rsidRPr="00256F20">
        <w:t>años más tarde la aplicó al presupuesto federal cuando fue elegido Presidente de los EEUU.</w:t>
      </w:r>
    </w:p>
    <w:p w14:paraId="418F0CB2" w14:textId="501A4042" w:rsidR="00256F20" w:rsidRPr="00FC5A16" w:rsidRDefault="00256F20" w:rsidP="00FC5A16">
      <w:pPr>
        <w:pStyle w:val="Ttulo6"/>
      </w:pPr>
      <w:bookmarkStart w:id="72" w:name="_Toc150445837"/>
      <w:r w:rsidRPr="00256F20">
        <w:t>Proceso</w:t>
      </w:r>
      <w:bookmarkEnd w:id="72"/>
    </w:p>
    <w:p w14:paraId="50701F78" w14:textId="787427A4" w:rsidR="00497D1F" w:rsidRPr="00497D1F" w:rsidRDefault="00497D1F" w:rsidP="00497D1F">
      <w:pPr>
        <w:pStyle w:val="Nivel2SM"/>
        <w:keepNext/>
        <w:spacing w:after="0"/>
      </w:pPr>
      <w:r w:rsidRPr="002147DF">
        <w:rPr>
          <w:rFonts w:cs="Times New Roman"/>
          <w:smallCaps/>
        </w:rPr>
        <w:t>Phyrr</w:t>
      </w:r>
      <w:r w:rsidRPr="00E31E9C">
        <w:rPr>
          <w:rFonts w:cs="Times New Roman"/>
        </w:rPr>
        <w:t xml:space="preserve"> lo define como un proceso presupuestario que exige a cada </w:t>
      </w:r>
      <w:r>
        <w:rPr>
          <w:rFonts w:cs="Times New Roman"/>
        </w:rPr>
        <w:t>administrador</w:t>
      </w:r>
      <w:r w:rsidRPr="00E31E9C">
        <w:rPr>
          <w:rFonts w:cs="Times New Roman"/>
        </w:rPr>
        <w:t xml:space="preserve"> justificar cada año detalladamente la totalidad</w:t>
      </w:r>
      <w:r w:rsidRPr="00C07EC8">
        <w:rPr>
          <w:rFonts w:cs="Times New Roman"/>
          <w:vertAlign w:val="superscript"/>
        </w:rPr>
        <w:footnoteReference w:id="13"/>
      </w:r>
      <w:r w:rsidRPr="00C07EC8">
        <w:rPr>
          <w:rFonts w:cs="Times New Roman"/>
        </w:rPr>
        <w:t xml:space="preserve"> </w:t>
      </w:r>
      <w:r w:rsidRPr="00E31E9C">
        <w:rPr>
          <w:rFonts w:cs="Times New Roman"/>
        </w:rPr>
        <w:t xml:space="preserve">de sus peticiones presupuestarias, trasladándole la obligación de probar la necesidad de cada importe que debe gastarse. </w:t>
      </w:r>
      <w:r w:rsidRPr="00B56911">
        <w:rPr>
          <w:rFonts w:cs="Times New Roman"/>
        </w:rPr>
        <w:t xml:space="preserve">Precisamente, de ahí </w:t>
      </w:r>
      <w:r w:rsidRPr="00B56911">
        <w:rPr>
          <w:rFonts w:cs="Times New Roman"/>
        </w:rPr>
        <w:lastRenderedPageBreak/>
        <w:t xml:space="preserve">viene el nombre, ya que al principio de cada año cada unidad de gasto parte de cero, y el </w:t>
      </w:r>
      <w:r>
        <w:rPr>
          <w:rFonts w:cs="Times New Roman"/>
        </w:rPr>
        <w:t>administrador</w:t>
      </w:r>
      <w:r w:rsidRPr="00B56911">
        <w:rPr>
          <w:rFonts w:cs="Times New Roman"/>
        </w:rPr>
        <w:t xml:space="preserve"> debe justificar por qué precisa de recursos.</w:t>
      </w:r>
      <w:r>
        <w:rPr>
          <w:rFonts w:cs="Times New Roman"/>
        </w:rPr>
        <w:t xml:space="preserve"> </w:t>
      </w:r>
      <w:r w:rsidRPr="00E31E9C">
        <w:rPr>
          <w:rFonts w:cs="Times New Roman"/>
        </w:rPr>
        <w:t>Así, la negociación presupuestaria no se basa en la asignación del año anterior sino en lo que efectivamente se necesita.</w:t>
      </w:r>
      <w:r>
        <w:rPr>
          <w:rFonts w:cs="Times New Roman"/>
        </w:rPr>
        <w:t xml:space="preserve"> </w:t>
      </w:r>
      <w:r w:rsidRPr="00452266">
        <w:rPr>
          <w:rFonts w:cs="Times New Roman"/>
        </w:rPr>
        <w:t xml:space="preserve">En su procedimiento de elaboración podemos distinguir varias </w:t>
      </w:r>
      <w:r w:rsidRPr="00053A00">
        <w:rPr>
          <w:rFonts w:cs="Times New Roman"/>
          <w:b/>
          <w:bCs/>
        </w:rPr>
        <w:t>fases</w:t>
      </w:r>
      <w:r w:rsidRPr="00452266">
        <w:rPr>
          <w:rFonts w:cs="Times New Roman"/>
        </w:rPr>
        <w:t>:</w:t>
      </w:r>
    </w:p>
    <w:p w14:paraId="77552CAE" w14:textId="77777777" w:rsidR="00497D1F" w:rsidRPr="009962C7" w:rsidRDefault="00497D1F" w:rsidP="00497D1F">
      <w:pPr>
        <w:pStyle w:val="Prrafodelista"/>
        <w:numPr>
          <w:ilvl w:val="0"/>
          <w:numId w:val="60"/>
        </w:numPr>
        <w:spacing w:after="0"/>
        <w:ind w:left="1134" w:hanging="113"/>
      </w:pPr>
      <w:r w:rsidRPr="009962C7">
        <w:rPr>
          <w:i/>
          <w:iCs/>
        </w:rPr>
        <w:t>Identificación de las unidades de decisión que solicitan y necesitan recursos presupuestarios</w:t>
      </w:r>
      <w:r w:rsidRPr="009962C7">
        <w:t>.</w:t>
      </w:r>
    </w:p>
    <w:p w14:paraId="19A00E71" w14:textId="4DEC871C" w:rsidR="00497D1F" w:rsidRDefault="00497D1F" w:rsidP="009616EE">
      <w:pPr>
        <w:pStyle w:val="Prrafodelista"/>
        <w:keepNext/>
        <w:numPr>
          <w:ilvl w:val="0"/>
          <w:numId w:val="60"/>
        </w:numPr>
        <w:spacing w:after="0"/>
        <w:ind w:left="1134" w:hanging="113"/>
      </w:pPr>
      <w:r>
        <w:t xml:space="preserve">Preparación de los </w:t>
      </w:r>
      <w:r w:rsidRPr="007247EE">
        <w:rPr>
          <w:i/>
          <w:iCs/>
        </w:rPr>
        <w:t>paquetes de decisión</w:t>
      </w:r>
      <w:r>
        <w:t>: cada unidad de decisión elabora los paquetes de decisión para cada acción, en los que se establecen los objetivos pretendidos y las distintas alternativas abiertas a su acción, junto con sus costes asociados. Cada paquete de decisión incluye 3 posibles niveles de dotación de recursos:</w:t>
      </w:r>
    </w:p>
    <w:p w14:paraId="715FADCD" w14:textId="77777777" w:rsidR="007247EE" w:rsidRPr="007247EE" w:rsidRDefault="007247EE" w:rsidP="007247EE">
      <w:pPr>
        <w:pStyle w:val="Nivel4"/>
        <w:ind w:left="1474"/>
      </w:pPr>
      <w:r w:rsidRPr="007247EE">
        <w:t>Nivel mínimo (i.e. aquel por debajo del cual no sería factible continuar la actividad; la experiencia muestra que suele ser el 85% del nivel de gasto actual).</w:t>
      </w:r>
    </w:p>
    <w:p w14:paraId="7E9B87EE" w14:textId="77777777" w:rsidR="007247EE" w:rsidRPr="007247EE" w:rsidRDefault="007247EE" w:rsidP="007247EE">
      <w:pPr>
        <w:pStyle w:val="Nivel4"/>
        <w:ind w:left="1474"/>
      </w:pPr>
      <w:r w:rsidRPr="007247EE">
        <w:t>Nivel corriente (i.e. el nivel actual).</w:t>
      </w:r>
    </w:p>
    <w:p w14:paraId="2FBABC68" w14:textId="77777777" w:rsidR="007247EE" w:rsidRDefault="007247EE" w:rsidP="007247EE">
      <w:pPr>
        <w:pStyle w:val="Nivel4"/>
        <w:ind w:left="1474"/>
      </w:pPr>
      <w:r w:rsidRPr="007247EE">
        <w:t>Nivel de mejora</w:t>
      </w:r>
      <w:r w:rsidRPr="00256F20">
        <w:t xml:space="preserve"> (i.e. aquel por encima del actual).</w:t>
      </w:r>
    </w:p>
    <w:p w14:paraId="6CF334A6" w14:textId="77777777" w:rsidR="007247EE" w:rsidRDefault="007247EE" w:rsidP="007247EE">
      <w:pPr>
        <w:pStyle w:val="Prrafodelista"/>
        <w:numPr>
          <w:ilvl w:val="0"/>
          <w:numId w:val="60"/>
        </w:numPr>
        <w:spacing w:after="0"/>
        <w:ind w:left="1134" w:hanging="113"/>
      </w:pPr>
      <w:r>
        <w:t xml:space="preserve">Estos paquetes se envían a una entidad supervisora, que </w:t>
      </w:r>
      <w:r w:rsidRPr="00456317">
        <w:rPr>
          <w:i/>
          <w:iCs/>
        </w:rPr>
        <w:t>analiza conjuntamente las propuestas y elabora un paquete consolidado</w:t>
      </w:r>
      <w:r>
        <w:t>.</w:t>
      </w:r>
    </w:p>
    <w:p w14:paraId="593DF6CC" w14:textId="4740CEA5" w:rsidR="00497D1F" w:rsidRPr="007247EE" w:rsidRDefault="007247EE" w:rsidP="00A9552D">
      <w:pPr>
        <w:pStyle w:val="Prrafodelista"/>
        <w:numPr>
          <w:ilvl w:val="0"/>
          <w:numId w:val="60"/>
        </w:numPr>
        <w:spacing w:after="0"/>
        <w:ind w:left="1134" w:hanging="113"/>
        <w:rPr>
          <w:spacing w:val="-2"/>
        </w:rPr>
      </w:pPr>
      <w:r w:rsidRPr="007247EE">
        <w:rPr>
          <w:spacing w:val="-2"/>
        </w:rPr>
        <w:t xml:space="preserve">Este proceso se repite a varios niveles (p.ej. nivel departamento, ministerio, y país), dando lugar a la </w:t>
      </w:r>
      <w:r w:rsidRPr="007247EE">
        <w:rPr>
          <w:i/>
          <w:iCs/>
          <w:spacing w:val="-2"/>
        </w:rPr>
        <w:t>e</w:t>
      </w:r>
      <w:r w:rsidR="00497D1F" w:rsidRPr="007247EE">
        <w:rPr>
          <w:i/>
          <w:iCs/>
          <w:spacing w:val="-2"/>
        </w:rPr>
        <w:t>laboración del presupuesto</w:t>
      </w:r>
      <w:r w:rsidRPr="007247EE">
        <w:rPr>
          <w:spacing w:val="-2"/>
        </w:rPr>
        <w:t>, es decir,</w:t>
      </w:r>
      <w:r w:rsidR="00497D1F" w:rsidRPr="007247EE">
        <w:rPr>
          <w:spacing w:val="-2"/>
        </w:rPr>
        <w:t xml:space="preserve"> una vez jerarquizados todos los paquetes de decisión, se decide el presupuesto teniendo en cuenta los ingresos disponibles.</w:t>
      </w:r>
    </w:p>
    <w:p w14:paraId="6689F293" w14:textId="590525DB" w:rsidR="00256F20" w:rsidRPr="00FC5A16" w:rsidRDefault="00256F20" w:rsidP="00FC5A16">
      <w:pPr>
        <w:pStyle w:val="Ttulo6"/>
      </w:pPr>
      <w:bookmarkStart w:id="73" w:name="_Toc150445838"/>
      <w:r w:rsidRPr="00256F20">
        <w:t>Valoración</w:t>
      </w:r>
      <w:bookmarkEnd w:id="73"/>
    </w:p>
    <w:p w14:paraId="552BEB16" w14:textId="77777777" w:rsidR="00256F20" w:rsidRDefault="00256F20" w:rsidP="00F64AF0">
      <w:pPr>
        <w:pStyle w:val="Nivel2SM"/>
        <w:keepNext/>
        <w:spacing w:after="0"/>
      </w:pPr>
      <w:r w:rsidRPr="008F7315">
        <w:rPr>
          <w:i/>
          <w:iCs/>
          <w:u w:val="single"/>
        </w:rPr>
        <w:t>Positivo</w:t>
      </w:r>
      <w:r w:rsidRPr="00256F20">
        <w:t>:</w:t>
      </w:r>
    </w:p>
    <w:p w14:paraId="10E6843C" w14:textId="77777777" w:rsidR="006827B4" w:rsidRDefault="006827B4" w:rsidP="00F64AF0">
      <w:pPr>
        <w:pStyle w:val="Nivel3SM"/>
        <w:keepNext/>
      </w:pPr>
      <w:r w:rsidRPr="006827B4">
        <w:t>Ruptura del incrementalismo en momentos de expansión</w:t>
      </w:r>
      <w:r>
        <w:t>:</w:t>
      </w:r>
    </w:p>
    <w:p w14:paraId="766BB215" w14:textId="77777777" w:rsidR="00256F20" w:rsidRDefault="00256F20" w:rsidP="00F64AF0">
      <w:pPr>
        <w:pStyle w:val="Nivel4"/>
        <w:ind w:left="1474"/>
      </w:pPr>
      <w:r w:rsidRPr="00256F20">
        <w:t>En momentos de expansión rompe la inercia incrementalista, y en momentos de recesión facilita la reducción del gasto (pues, al obligar que se reevalúen los niveles de gasto, facilita identificar lo innecesario).</w:t>
      </w:r>
    </w:p>
    <w:p w14:paraId="1C9BC9FD" w14:textId="190324BF" w:rsidR="006827B4" w:rsidRPr="006827B4" w:rsidRDefault="006827B4" w:rsidP="00F64AF0">
      <w:pPr>
        <w:pStyle w:val="Nivel3SM"/>
        <w:keepNext/>
      </w:pPr>
      <w:r w:rsidRPr="006827B4">
        <w:t>Involucración de ges</w:t>
      </w:r>
      <w:r w:rsidR="000B792E">
        <w:t>t</w:t>
      </w:r>
      <w:r w:rsidRPr="006827B4">
        <w:t>ores a todos los niveles</w:t>
      </w:r>
      <w:r w:rsidR="000B792E">
        <w:t>:</w:t>
      </w:r>
    </w:p>
    <w:p w14:paraId="74149882" w14:textId="38C493A9" w:rsidR="00256F20" w:rsidRDefault="00256F20" w:rsidP="00F64AF0">
      <w:pPr>
        <w:pStyle w:val="Nivel4"/>
        <w:ind w:left="1474"/>
      </w:pPr>
      <w:r w:rsidRPr="00256F20">
        <w:t>Se involucra en el proceso presupuestario a los gestores a todos los niveles, es decir, es un método descentralizador del proceso presupuestario, lo contrario que el presupuesto por programas.</w:t>
      </w:r>
    </w:p>
    <w:p w14:paraId="552BACD6" w14:textId="38C122DE" w:rsidR="00256F20" w:rsidRPr="00256F20" w:rsidRDefault="00256F20" w:rsidP="00F64AF0">
      <w:pPr>
        <w:pStyle w:val="Nivel2SM"/>
        <w:keepNext/>
        <w:spacing w:after="0"/>
      </w:pPr>
      <w:r w:rsidRPr="008F7315">
        <w:rPr>
          <w:i/>
          <w:iCs/>
          <w:u w:val="single"/>
        </w:rPr>
        <w:t>Negativo</w:t>
      </w:r>
      <w:r w:rsidR="00F64AF0">
        <w:t>:</w:t>
      </w:r>
    </w:p>
    <w:p w14:paraId="07926018" w14:textId="77777777" w:rsidR="00256F20" w:rsidRDefault="00256F20" w:rsidP="00F64AF0">
      <w:pPr>
        <w:pStyle w:val="Nivel3SM"/>
      </w:pPr>
      <w:r w:rsidRPr="00256F20">
        <w:t>No aplicable a todos los gastos, pues hay gastos comprometidos (p.ej. funcionarios).</w:t>
      </w:r>
    </w:p>
    <w:p w14:paraId="157D1DBC" w14:textId="77777777" w:rsidR="00256F20" w:rsidRDefault="00256F20" w:rsidP="00F64AF0">
      <w:pPr>
        <w:pStyle w:val="Nivel3SM"/>
      </w:pPr>
      <w:r w:rsidRPr="00256F20">
        <w:t>Precisa de una preparación técnica y de unos elevados medios en todos los niveles de la administración.</w:t>
      </w:r>
    </w:p>
    <w:p w14:paraId="7BEA84CB" w14:textId="77777777" w:rsidR="00256F20" w:rsidRDefault="00256F20" w:rsidP="00F64AF0">
      <w:pPr>
        <w:pStyle w:val="Nivel3SM"/>
      </w:pPr>
      <w:r w:rsidRPr="00256F20">
        <w:t>Mayor coste del proceso presupuestario que el enfoque incrementalista.</w:t>
      </w:r>
    </w:p>
    <w:p w14:paraId="54D3B171" w14:textId="6D94D06D" w:rsidR="00256F20" w:rsidRDefault="00256F20" w:rsidP="00F64AF0">
      <w:pPr>
        <w:pStyle w:val="Nivel3SM"/>
      </w:pPr>
      <w:r w:rsidRPr="00256F20">
        <w:t>Manipulable, pues los departamentos pueden tratar de exagerar los niveles de gasto mínimo.</w:t>
      </w:r>
    </w:p>
    <w:p w14:paraId="55990638" w14:textId="6D7E041A" w:rsidR="00256F20" w:rsidRPr="00256F20" w:rsidRDefault="00256F20" w:rsidP="00F64AF0">
      <w:pPr>
        <w:pStyle w:val="Nivel2SM"/>
      </w:pPr>
      <w:r w:rsidRPr="00256F20">
        <w:t>Como valoración global, puede decirse que el presupuesto de base cero generó unas expectativas demasiado optimistas que no se han visto confirmadas por los hechos. Posiblemente sea un sistema adecuado para el replanteamiento de las funciones desempeñadas por una unidad administrativa pero no parece tener un gran éxito en grandes Departamentos de la Administración.</w:t>
      </w:r>
    </w:p>
    <w:p w14:paraId="45532D8D" w14:textId="62F6E4B3" w:rsidR="00465AAC" w:rsidRDefault="006827B4" w:rsidP="00371ED0">
      <w:pPr>
        <w:pStyle w:val="Ttulo6"/>
      </w:pPr>
      <w:bookmarkStart w:id="74" w:name="_Toc150445839"/>
      <w:r>
        <w:t xml:space="preserve">Evidencia empírica: </w:t>
      </w:r>
      <w:r w:rsidR="00465AAC" w:rsidRPr="006827B4">
        <w:t>Efectos de la implantación</w:t>
      </w:r>
      <w:bookmarkEnd w:id="74"/>
    </w:p>
    <w:p w14:paraId="66FC8750" w14:textId="0E179632" w:rsidR="00465AAC" w:rsidRDefault="00465AAC" w:rsidP="00655635">
      <w:pPr>
        <w:pStyle w:val="Nivel2SM"/>
        <w:keepNext/>
        <w:spacing w:after="0"/>
      </w:pPr>
      <w:r>
        <w:t xml:space="preserve">Los resultados de la adopción del </w:t>
      </w:r>
      <w:r w:rsidR="00456317">
        <w:t>presupuesto de base cero</w:t>
      </w:r>
      <w:r>
        <w:t xml:space="preserve"> no han sido tan espectaculares como esperaban sus defensores.</w:t>
      </w:r>
      <w:r w:rsidR="00456317">
        <w:t xml:space="preserve"> </w:t>
      </w:r>
      <w:r w:rsidRPr="00BE76C2">
        <w:t xml:space="preserve">En tal sentido, podemos destacar las siguientes </w:t>
      </w:r>
      <w:r w:rsidRPr="00456317">
        <w:rPr>
          <w:i/>
          <w:iCs/>
          <w:u w:val="single"/>
        </w:rPr>
        <w:t>consecuencias</w:t>
      </w:r>
      <w:r>
        <w:t>:</w:t>
      </w:r>
    </w:p>
    <w:p w14:paraId="00DFEB59" w14:textId="4481BAB7" w:rsidR="006827B4" w:rsidRPr="006827B4" w:rsidRDefault="006827B4" w:rsidP="00F64AF0">
      <w:pPr>
        <w:pStyle w:val="Nivel3SM"/>
        <w:keepNext/>
      </w:pPr>
      <w:r w:rsidRPr="00456317">
        <w:rPr>
          <w:i/>
          <w:iCs/>
        </w:rPr>
        <w:t>No reducción del gasto público</w:t>
      </w:r>
      <w:r w:rsidR="005A7FD6">
        <w:t>:</w:t>
      </w:r>
    </w:p>
    <w:p w14:paraId="29545C4C" w14:textId="77777777" w:rsidR="00465AAC" w:rsidRDefault="00465AAC" w:rsidP="00F64AF0">
      <w:pPr>
        <w:pStyle w:val="Nivel4"/>
        <w:ind w:left="1474"/>
      </w:pPr>
      <w:r>
        <w:t>No ha logrado reducir de forma significativa el gasto público. La interpretación habitual es que el crecimiento del gasto depende más de las actitudes políticas y de las posibilidades recaudatorias que de los procedimientos presupuestarios</w:t>
      </w:r>
    </w:p>
    <w:p w14:paraId="24659479" w14:textId="3FE4D759" w:rsidR="006827B4" w:rsidRPr="006827B4" w:rsidRDefault="006827B4" w:rsidP="00F64AF0">
      <w:pPr>
        <w:pStyle w:val="Nivel3SM"/>
        <w:keepNext/>
      </w:pPr>
      <w:r w:rsidRPr="00456317">
        <w:rPr>
          <w:i/>
          <w:iCs/>
        </w:rPr>
        <w:lastRenderedPageBreak/>
        <w:t>Transferencia de fondos</w:t>
      </w:r>
      <w:r w:rsidR="005A7FD6">
        <w:t>:</w:t>
      </w:r>
    </w:p>
    <w:p w14:paraId="67FDA229" w14:textId="77777777" w:rsidR="00465AAC" w:rsidRDefault="00465AAC" w:rsidP="00F64AF0">
      <w:pPr>
        <w:pStyle w:val="Nivel4"/>
        <w:ind w:left="1474"/>
      </w:pPr>
      <w:r>
        <w:t>Genera con frecuencia transferencias de fondos dentro de una misma unidad administrativa, sin modificar el importe total del presupuesto asignado a la misma. El director de la unidad se ve incentivado a presentar nuevos programas.</w:t>
      </w:r>
    </w:p>
    <w:p w14:paraId="0842E9EF" w14:textId="49263524" w:rsidR="006827B4" w:rsidRPr="006827B4" w:rsidRDefault="006827B4" w:rsidP="00F64AF0">
      <w:pPr>
        <w:pStyle w:val="Nivel3SM"/>
        <w:keepNext/>
      </w:pPr>
      <w:r w:rsidRPr="00456317">
        <w:rPr>
          <w:i/>
          <w:iCs/>
        </w:rPr>
        <w:t>Eliminación parcial de actividades menos productivas</w:t>
      </w:r>
      <w:r w:rsidR="005A7FD6">
        <w:t>:</w:t>
      </w:r>
    </w:p>
    <w:p w14:paraId="0A152854" w14:textId="5CD0A100" w:rsidR="00465AAC" w:rsidRDefault="00465AAC" w:rsidP="00F64AF0">
      <w:pPr>
        <w:pStyle w:val="Nivel4"/>
        <w:ind w:left="1474"/>
      </w:pPr>
      <w:r>
        <w:t xml:space="preserve">El </w:t>
      </w:r>
      <w:r w:rsidR="00456317">
        <w:t>presupuesto de base cero</w:t>
      </w:r>
      <w:r>
        <w:t xml:space="preserve"> ha servido para eliminar las actividades menos productivas de un centro de gasto, pero no de un modo absoluto.</w:t>
      </w:r>
    </w:p>
    <w:p w14:paraId="68B8E253" w14:textId="59D18EAD" w:rsidR="006827B4" w:rsidRPr="006827B4" w:rsidRDefault="006827B4" w:rsidP="00F64AF0">
      <w:pPr>
        <w:pStyle w:val="Nivel3SM"/>
        <w:keepNext/>
      </w:pPr>
      <w:r w:rsidRPr="00565C5F">
        <w:rPr>
          <w:i/>
          <w:iCs/>
        </w:rPr>
        <w:t>Mejor conocimiento sobre el destino de recursos</w:t>
      </w:r>
      <w:r w:rsidR="005A7FD6">
        <w:t>:</w:t>
      </w:r>
    </w:p>
    <w:p w14:paraId="0C721F79" w14:textId="0796EFFF" w:rsidR="00465AAC" w:rsidRDefault="00465AAC" w:rsidP="00F64AF0">
      <w:pPr>
        <w:pStyle w:val="Nivel4"/>
        <w:ind w:left="1474"/>
      </w:pPr>
      <w:r>
        <w:t>Ha permitido un mejor conocimiento sobre el destino de los recursos entregados a cada unidad administrativa en relación al coste de un programa y el rendimiento del mismo</w:t>
      </w:r>
      <w:r w:rsidR="005A7FD6">
        <w:t>.</w:t>
      </w:r>
    </w:p>
    <w:p w14:paraId="112E11C4" w14:textId="6F308D5D" w:rsidR="00465AAC" w:rsidRDefault="00465AAC" w:rsidP="00F64AF0">
      <w:pPr>
        <w:pStyle w:val="Nivel2SM"/>
        <w:keepNext/>
        <w:spacing w:after="0"/>
      </w:pPr>
      <w:r w:rsidRPr="00BE76C2">
        <w:rPr>
          <w:i/>
          <w:iCs/>
          <w:u w:val="single"/>
        </w:rPr>
        <w:t>Valoración global</w:t>
      </w:r>
      <w:r w:rsidRPr="00465AAC">
        <w:t>:</w:t>
      </w:r>
    </w:p>
    <w:p w14:paraId="2F6C5782" w14:textId="21E25AB6" w:rsidR="00465AAC" w:rsidRPr="00465AAC" w:rsidRDefault="00465AAC" w:rsidP="00F64AF0">
      <w:pPr>
        <w:pStyle w:val="Nivel3SM"/>
      </w:pPr>
      <w:r>
        <w:t>H</w:t>
      </w:r>
      <w:r w:rsidRPr="00465AAC">
        <w:t>abía generado unas expectativas demasiado optimistas que no se han visto confirmadas por los hechos</w:t>
      </w:r>
      <w:r w:rsidR="00F40637">
        <w:t>. Posiblemente sea un sistema adecuado para el replanteamiento de las funciones desempeñadas por una unidad administrativa, pero no parece tener un gran éxito en grandes Departamentos de la Administración.</w:t>
      </w:r>
    </w:p>
    <w:p w14:paraId="12400A7B" w14:textId="6B05B914" w:rsidR="006827B4" w:rsidRPr="00371ED0" w:rsidRDefault="006827B4" w:rsidP="00A36A31">
      <w:pPr>
        <w:pStyle w:val="Ttulo3"/>
      </w:pPr>
      <w:bookmarkStart w:id="75" w:name="_Toc150445840"/>
      <w:r>
        <w:t>Presupuesto participativo</w:t>
      </w:r>
      <w:bookmarkEnd w:id="75"/>
    </w:p>
    <w:p w14:paraId="28A1CD57" w14:textId="690B81FC" w:rsidR="006827B4" w:rsidRPr="00371ED0" w:rsidRDefault="006827B4" w:rsidP="00A36A31">
      <w:pPr>
        <w:pStyle w:val="Ttulo6"/>
        <w:spacing w:before="0"/>
      </w:pPr>
      <w:bookmarkStart w:id="76" w:name="_Toc150445841"/>
      <w:r w:rsidRPr="006827B4">
        <w:t>Objetivo</w:t>
      </w:r>
      <w:bookmarkEnd w:id="76"/>
    </w:p>
    <w:p w14:paraId="17F0E63B" w14:textId="2D3FB6A0" w:rsidR="006827B4" w:rsidRDefault="006827B4" w:rsidP="00C83D53">
      <w:pPr>
        <w:pStyle w:val="Nivel2SM"/>
      </w:pPr>
      <w:r>
        <w:t>Involucrar directamente a los ciudadanos en el proceso presupuestario, para lograr una mayor adaptación del mismo a las verdaderas preferencias de la comunidad.</w:t>
      </w:r>
    </w:p>
    <w:p w14:paraId="63CABBD1" w14:textId="40872C41" w:rsidR="006827B4" w:rsidRDefault="006827B4" w:rsidP="00C83D53">
      <w:pPr>
        <w:pStyle w:val="Ttulo6"/>
      </w:pPr>
      <w:bookmarkStart w:id="77" w:name="_Toc150445842"/>
      <w:r w:rsidRPr="006827B4">
        <w:t>Proceso</w:t>
      </w:r>
      <w:bookmarkEnd w:id="77"/>
    </w:p>
    <w:p w14:paraId="15159465" w14:textId="2979E9BB" w:rsidR="006827B4" w:rsidRDefault="006827B4" w:rsidP="00C83D53">
      <w:pPr>
        <w:pStyle w:val="Nivel2SM"/>
      </w:pPr>
      <w:r>
        <w:t>Se lleva a cabo mediante asambleas abiertas para determinar las necesidades.</w:t>
      </w:r>
    </w:p>
    <w:p w14:paraId="7DEFB7E0" w14:textId="55471463" w:rsidR="006827B4" w:rsidRDefault="006827B4" w:rsidP="00371ED0">
      <w:pPr>
        <w:pStyle w:val="Ttulo6"/>
      </w:pPr>
      <w:bookmarkStart w:id="78" w:name="_Toc150445843"/>
      <w:r w:rsidRPr="006827B4">
        <w:t>Valoración</w:t>
      </w:r>
      <w:bookmarkEnd w:id="78"/>
    </w:p>
    <w:p w14:paraId="706E11F8" w14:textId="3DF2607F" w:rsidR="006827B4" w:rsidRDefault="006827B4" w:rsidP="00F64AF0">
      <w:pPr>
        <w:pStyle w:val="Nivel2SM"/>
        <w:keepNext/>
        <w:spacing w:after="0"/>
      </w:pPr>
      <w:r w:rsidRPr="00BE76C2">
        <w:rPr>
          <w:i/>
          <w:iCs/>
          <w:u w:val="single"/>
        </w:rPr>
        <w:t>Positivo</w:t>
      </w:r>
      <w:r>
        <w:t>:</w:t>
      </w:r>
    </w:p>
    <w:p w14:paraId="49B45233" w14:textId="77777777" w:rsidR="006827B4" w:rsidRDefault="006827B4" w:rsidP="00F64AF0">
      <w:pPr>
        <w:pStyle w:val="Nivel3SM"/>
        <w:keepNext/>
      </w:pPr>
      <w:r>
        <w:t>Favorece la implicación de los ciudadanos y la legitimidad del presupuesto.</w:t>
      </w:r>
    </w:p>
    <w:p w14:paraId="25C25927" w14:textId="39633E9E" w:rsidR="006827B4" w:rsidRDefault="006827B4" w:rsidP="00DB40C1">
      <w:pPr>
        <w:pStyle w:val="Nivel4"/>
        <w:keepNext/>
        <w:ind w:left="1474"/>
      </w:pPr>
      <w:r>
        <w:t>Numerosos estudios demuestran que cuanto mayor es la participación del grupo objetivo en la elección del bien público a proveer, mayor predisposición tienen los individuos a contribuir</w:t>
      </w:r>
      <w:r w:rsidR="00DB40C1">
        <w:rPr>
          <w:rStyle w:val="Refdenotaalpie"/>
        </w:rPr>
        <w:footnoteReference w:id="14"/>
      </w:r>
      <w:r>
        <w:t>.</w:t>
      </w:r>
    </w:p>
    <w:p w14:paraId="3C8B6C30" w14:textId="1A63E851" w:rsidR="006827B4" w:rsidRDefault="006827B4" w:rsidP="00DB40C1">
      <w:pPr>
        <w:pStyle w:val="Nivel5"/>
        <w:ind w:left="1871"/>
      </w:pPr>
      <w:r>
        <w:t>A modo de ejemplo, en 2010 economistas del MIT llevaron a cabo un experimento en 49</w:t>
      </w:r>
      <w:r w:rsidR="006C5809">
        <w:t> </w:t>
      </w:r>
      <w:r>
        <w:t>aldeas indonesias a las que se les daba a elegir un bien público (pozo, alcantarillado, alumbrado, etc.). Algunas aldeas tomaron la decisión a través de comités elegidos por ellos; otras, por referéndum directo. Los habitantes de las aldeas que decidieron vía plebiscito directo mostraron mayor predisposición a contribuir a la financiación, construcción y protección del bien.</w:t>
      </w:r>
    </w:p>
    <w:p w14:paraId="4BC242DB" w14:textId="06753EB1" w:rsidR="006827B4" w:rsidRDefault="006827B4" w:rsidP="00F64AF0">
      <w:pPr>
        <w:pStyle w:val="Nivel2SM"/>
        <w:keepNext/>
        <w:spacing w:after="0"/>
      </w:pPr>
      <w:r w:rsidRPr="00BE76C2">
        <w:rPr>
          <w:i/>
          <w:iCs/>
          <w:u w:val="single"/>
        </w:rPr>
        <w:t>Negativo</w:t>
      </w:r>
      <w:r>
        <w:t>:</w:t>
      </w:r>
    </w:p>
    <w:p w14:paraId="768BA818" w14:textId="77777777" w:rsidR="006827B4" w:rsidRDefault="006827B4" w:rsidP="00F64AF0">
      <w:pPr>
        <w:pStyle w:val="Nivel3SM"/>
      </w:pPr>
      <w:r>
        <w:t>Técnica restringida a niveles inferiores de la administración (p.ej. municipios pequeños), pues es difícil de llevar a cabo en unidades administrativas más grandes.</w:t>
      </w:r>
    </w:p>
    <w:p w14:paraId="69969C2C" w14:textId="0C1E6E2C" w:rsidR="006827B4" w:rsidRPr="009940F7" w:rsidRDefault="006827B4" w:rsidP="00F64AF0">
      <w:pPr>
        <w:pStyle w:val="Nivel3SM"/>
      </w:pPr>
      <w:r>
        <w:lastRenderedPageBreak/>
        <w:t>Fácil manipulación, pues la movilización de determinados grupos puede hacer que se aprueben proyectos ineficientes.</w:t>
      </w:r>
    </w:p>
    <w:p w14:paraId="52CD7E09" w14:textId="1B7D158A" w:rsidR="008F3F26" w:rsidRDefault="008575AC" w:rsidP="006C5809">
      <w:pPr>
        <w:pStyle w:val="Ttulo2"/>
      </w:pPr>
      <w:bookmarkStart w:id="79" w:name="_Toc150445844"/>
      <w:r>
        <w:t xml:space="preserve">Las </w:t>
      </w:r>
      <w:r w:rsidRPr="006C5809">
        <w:t>reformas</w:t>
      </w:r>
      <w:r>
        <w:t xml:space="preserve"> presupuestarias en España</w:t>
      </w:r>
      <w:bookmarkEnd w:id="79"/>
    </w:p>
    <w:p w14:paraId="4803C381" w14:textId="19E037C2" w:rsidR="006827B4" w:rsidRPr="00C83D53" w:rsidRDefault="006827B4" w:rsidP="00C83D53">
      <w:pPr>
        <w:pStyle w:val="Nivel2SM"/>
      </w:pPr>
      <w:r w:rsidRPr="006827B4">
        <w:t>Hoy en día, la mayoría de países no aplican de forma total ninguno de estos tipos de presupuestos, pero adoptan determinados aspectos en mayor o menor medida.</w:t>
      </w:r>
    </w:p>
    <w:p w14:paraId="53700FD1" w14:textId="77777777" w:rsidR="006827B4" w:rsidRPr="006827B4" w:rsidRDefault="006827B4" w:rsidP="00C83D53">
      <w:pPr>
        <w:pStyle w:val="Nivel2SM"/>
        <w:keepNext/>
        <w:spacing w:after="0"/>
      </w:pPr>
      <w:r w:rsidRPr="006827B4">
        <w:t xml:space="preserve">En </w:t>
      </w:r>
      <w:r w:rsidRPr="007439DD">
        <w:rPr>
          <w:b/>
          <w:bCs/>
        </w:rPr>
        <w:t>España</w:t>
      </w:r>
      <w:r w:rsidRPr="006827B4">
        <w:t xml:space="preserve">, las </w:t>
      </w:r>
      <w:r w:rsidRPr="007439DD">
        <w:rPr>
          <w:b/>
          <w:bCs/>
        </w:rPr>
        <w:t>técnicas presupuestarias</w:t>
      </w:r>
      <w:r w:rsidRPr="006827B4">
        <w:t xml:space="preserve"> aplicadas han sido las siguientes:</w:t>
      </w:r>
    </w:p>
    <w:p w14:paraId="1FA89340" w14:textId="63831598" w:rsidR="00173854" w:rsidRPr="00173854" w:rsidRDefault="00173854" w:rsidP="00173854">
      <w:pPr>
        <w:pStyle w:val="Nivel3SM"/>
      </w:pPr>
      <w:r w:rsidRPr="00173854">
        <w:t xml:space="preserve">En España se empezó utilizando el típico </w:t>
      </w:r>
      <w:r w:rsidRPr="00173854">
        <w:rPr>
          <w:i/>
          <w:iCs/>
        </w:rPr>
        <w:t>modelo de presupuesto tradicional por administraciones</w:t>
      </w:r>
      <w:r w:rsidRPr="00173854">
        <w:t xml:space="preserve">. A lo largo de la segunda mitad del </w:t>
      </w:r>
      <w:r>
        <w:t>siglo </w:t>
      </w:r>
      <w:r w:rsidRPr="00173854">
        <w:t>XX se llevaron a cabo varias reformas presupuestarias que, pese a todo, no han impedido que el actual sistema se encuentre más próximo al tradicional que a cualquier otro.</w:t>
      </w:r>
    </w:p>
    <w:p w14:paraId="0D1BAA9B" w14:textId="4A75AE32" w:rsidR="006827B4" w:rsidRDefault="006827B4" w:rsidP="00C83D53">
      <w:pPr>
        <w:pStyle w:val="Nivel3SM"/>
        <w:keepNext/>
      </w:pPr>
      <w:r w:rsidRPr="00C83D53">
        <w:rPr>
          <w:i/>
          <w:iCs/>
        </w:rPr>
        <w:t>Presupuesto de planificación por programas</w:t>
      </w:r>
      <w:r w:rsidRPr="006827B4">
        <w:t>.</w:t>
      </w:r>
    </w:p>
    <w:p w14:paraId="5201AFD1" w14:textId="77777777" w:rsidR="00173854" w:rsidRDefault="006827B4" w:rsidP="00C83D53">
      <w:pPr>
        <w:pStyle w:val="Nivel4"/>
        <w:ind w:left="1474"/>
      </w:pPr>
      <w:r w:rsidRPr="006827B4">
        <w:t>Se plantea por primera vez en la Ley General Presupuestaria de 1977. A partir de 1985 se emplean en nuestra administración modelos presupuestarios basados en clasificaciones por programas incluyendo objetivos e indicadores de seguimiento.</w:t>
      </w:r>
    </w:p>
    <w:p w14:paraId="724B7BE9" w14:textId="49EB505A" w:rsidR="00173854" w:rsidRDefault="00173854" w:rsidP="00C83D53">
      <w:pPr>
        <w:pStyle w:val="Nivel4"/>
        <w:ind w:left="1474"/>
      </w:pPr>
      <w:r>
        <w:t>P</w:t>
      </w:r>
      <w:r w:rsidRPr="00173854">
        <w:t>ero el éxito fue muy escaso. La clase política no tenía interés en basar la negociación presupuestaria en el análisis y evaluación, sino en el “incrementalismo”, y además faltaron medios humanos e información para realizar ese tipo de presupuesto.</w:t>
      </w:r>
    </w:p>
    <w:p w14:paraId="5C6C437D" w14:textId="019AC534" w:rsidR="006827B4" w:rsidRDefault="006827B4" w:rsidP="00C83D53">
      <w:pPr>
        <w:pStyle w:val="Nivel3SM"/>
        <w:keepNext/>
      </w:pPr>
      <w:r w:rsidRPr="00C83D53">
        <w:rPr>
          <w:i/>
          <w:iCs/>
        </w:rPr>
        <w:t>Presupuesto de base cero</w:t>
      </w:r>
      <w:r w:rsidRPr="006827B4">
        <w:t>.</w:t>
      </w:r>
    </w:p>
    <w:p w14:paraId="5FD586D1" w14:textId="77777777" w:rsidR="00173854" w:rsidRPr="00173854" w:rsidRDefault="00173854" w:rsidP="00C83D53">
      <w:pPr>
        <w:pStyle w:val="Nivel4"/>
        <w:ind w:left="1474"/>
      </w:pPr>
      <w:r>
        <w:rPr>
          <w:rFonts w:eastAsia="Times" w:cs="Times New Roman"/>
        </w:rPr>
        <w:t>En 1995, l</w:t>
      </w:r>
      <w:r w:rsidRPr="005F29EC">
        <w:rPr>
          <w:rFonts w:eastAsia="Times" w:cs="Times New Roman"/>
        </w:rPr>
        <w:t xml:space="preserve">as exigencias de Maastricht y la UEM, y el deseo de llegar al déficit cero impusieron una reforma presupuestaria </w:t>
      </w:r>
      <w:r>
        <w:rPr>
          <w:rFonts w:eastAsia="Times" w:cs="Times New Roman"/>
        </w:rPr>
        <w:t>para la elaboración del Presupuesto de 1996 en la que se incluyeron algunos elementos propios del presupuesto de base cero.</w:t>
      </w:r>
    </w:p>
    <w:p w14:paraId="165392D3" w14:textId="65D60D9F" w:rsidR="00173854" w:rsidRDefault="00173854" w:rsidP="00C83D53">
      <w:pPr>
        <w:pStyle w:val="Nivel4"/>
        <w:ind w:left="1474"/>
      </w:pPr>
      <w:r>
        <w:rPr>
          <w:rFonts w:eastAsia="Times" w:cs="Times New Roman"/>
        </w:rPr>
        <w:t>La reforma, no obstante, careció de credibilidad política, y de hecho los presupuestos de 1996 no llegaron a aprobarse, desencadenando un adelanto electoral.</w:t>
      </w:r>
    </w:p>
    <w:p w14:paraId="228994E3" w14:textId="56266EFF" w:rsidR="006827B4" w:rsidRPr="006827B4" w:rsidRDefault="006827B4" w:rsidP="00C83D53">
      <w:pPr>
        <w:pStyle w:val="Nivel3SM"/>
        <w:keepNext/>
      </w:pPr>
      <w:r w:rsidRPr="00C83D53">
        <w:rPr>
          <w:i/>
          <w:iCs/>
        </w:rPr>
        <w:t>Presupuesto participativo</w:t>
      </w:r>
      <w:r w:rsidRPr="006827B4">
        <w:t>.</w:t>
      </w:r>
    </w:p>
    <w:p w14:paraId="0A73B1FF" w14:textId="4A3108AB" w:rsidR="008F3F26" w:rsidRDefault="006827B4" w:rsidP="00C83D53">
      <w:pPr>
        <w:pStyle w:val="Nivel4"/>
        <w:ind w:left="1474"/>
      </w:pPr>
      <w:r w:rsidRPr="006827B4">
        <w:t>Utilizado recientemente en muchos municipios.</w:t>
      </w:r>
    </w:p>
    <w:p w14:paraId="550B15D2" w14:textId="77777777" w:rsidR="00050723" w:rsidRDefault="006F7F65" w:rsidP="00512B89">
      <w:pPr>
        <w:pStyle w:val="Nivel2SM"/>
        <w:keepNext/>
        <w:spacing w:after="0"/>
      </w:pPr>
      <w:r>
        <w:t xml:space="preserve">Las últimas reformas han ido encaminadas no tanto a modificar la técnica presupuestaria como a </w:t>
      </w:r>
      <w:r w:rsidRPr="000E4208">
        <w:rPr>
          <w:b/>
          <w:bCs/>
        </w:rPr>
        <w:t>reforzar el principio de estabilidad presupuestaria</w:t>
      </w:r>
      <w:r>
        <w:t>.</w:t>
      </w:r>
    </w:p>
    <w:p w14:paraId="23E2A9D5" w14:textId="5E939D8C" w:rsidR="00050723" w:rsidRDefault="006F7F65" w:rsidP="00050723">
      <w:pPr>
        <w:pStyle w:val="Nivel3SM"/>
      </w:pPr>
      <w:r>
        <w:t xml:space="preserve">Así, </w:t>
      </w:r>
      <w:r w:rsidRPr="0078662E">
        <w:t xml:space="preserve">en septiembre de 2011 (incluso antes de que se aprobara el Pacto Fiscal) </w:t>
      </w:r>
      <w:r>
        <w:t xml:space="preserve">se aprueba </w:t>
      </w:r>
      <w:r w:rsidRPr="0078662E">
        <w:t xml:space="preserve">la reforma del </w:t>
      </w:r>
      <w:r w:rsidRPr="00050723">
        <w:rPr>
          <w:i/>
          <w:iCs/>
          <w:u w:val="single"/>
        </w:rPr>
        <w:t>artículo</w:t>
      </w:r>
      <w:r w:rsidR="000E4208" w:rsidRPr="00050723">
        <w:rPr>
          <w:i/>
          <w:iCs/>
          <w:u w:val="single"/>
        </w:rPr>
        <w:t> </w:t>
      </w:r>
      <w:r w:rsidRPr="00050723">
        <w:rPr>
          <w:i/>
          <w:iCs/>
          <w:u w:val="single"/>
        </w:rPr>
        <w:t>135 de la Constitución</w:t>
      </w:r>
      <w:r w:rsidRPr="0078662E">
        <w:t xml:space="preserve">, que </w:t>
      </w:r>
      <w:r w:rsidRPr="009360ED">
        <w:t xml:space="preserve">eleva a rango constitucional </w:t>
      </w:r>
      <w:r w:rsidRPr="0078662E">
        <w:t>la obligación de que todas las AAPP adec</w:t>
      </w:r>
      <w:r w:rsidR="00720FB2">
        <w:t>ú</w:t>
      </w:r>
      <w:r w:rsidRPr="0078662E">
        <w:t>en sus actuaciones al principio de estabilidad presupuestaria.</w:t>
      </w:r>
    </w:p>
    <w:p w14:paraId="4B5CEE84" w14:textId="07C21B15" w:rsidR="006F7F65" w:rsidRPr="0078662E" w:rsidRDefault="006F7F65" w:rsidP="00050723">
      <w:pPr>
        <w:pStyle w:val="Nivel3SM"/>
        <w:keepNext/>
      </w:pPr>
      <w:r w:rsidRPr="0078662E">
        <w:t xml:space="preserve">En 2012 se aprueba la </w:t>
      </w:r>
      <w:r w:rsidRPr="00050723">
        <w:rPr>
          <w:i/>
          <w:iCs/>
          <w:u w:val="single"/>
        </w:rPr>
        <w:t>Ley Orgánica de Estabilidad Presupuestaria y Sostenibilidad Financiera (LOEPSF)</w:t>
      </w:r>
      <w:r w:rsidRPr="0078662E">
        <w:t>, que desarrolla la reforma constitucional y reemplaza las leyes de estabilidad vigentes. Esta Ley establece</w:t>
      </w:r>
      <w:r>
        <w:t xml:space="preserve"> 3</w:t>
      </w:r>
      <w:r w:rsidR="00050723">
        <w:t> </w:t>
      </w:r>
      <w:r>
        <w:t>grandes reglas fiscales</w:t>
      </w:r>
      <w:r w:rsidR="00050723">
        <w:rPr>
          <w:rStyle w:val="Refdenotaalpie"/>
          <w:rFonts w:eastAsia="Times" w:cs="Times New Roman"/>
        </w:rPr>
        <w:footnoteReference w:id="15"/>
      </w:r>
      <w:r w:rsidRPr="0078662E">
        <w:t>:</w:t>
      </w:r>
    </w:p>
    <w:p w14:paraId="47372AC0" w14:textId="10565EC5" w:rsidR="006F7F65" w:rsidRPr="0078662E" w:rsidRDefault="006F7F65" w:rsidP="00050723">
      <w:pPr>
        <w:pStyle w:val="Nivel4"/>
        <w:ind w:left="1474"/>
      </w:pPr>
      <w:r w:rsidRPr="0014443A">
        <w:rPr>
          <w:i/>
          <w:iCs/>
        </w:rPr>
        <w:t>Principio de estabilidad presupuestaria</w:t>
      </w:r>
      <w:r w:rsidRPr="0078662E">
        <w:t xml:space="preserve">: </w:t>
      </w:r>
      <w:r w:rsidR="0014443A">
        <w:t>N</w:t>
      </w:r>
      <w:r w:rsidRPr="0078662E">
        <w:t>inguna AA.PP. podrá incurrir en déficit estructural, neto de medidas excepcionales y temporales, aunque se establecen ciertas excepciones (p.ej. en caso de reformas estructurales con efectos presupuestarios a largo plazo, podrá alcanzarse en el conjunto de AA.PP. un déficit estructural del 0,4</w:t>
      </w:r>
      <w:r w:rsidR="00512B89">
        <w:t> </w:t>
      </w:r>
      <w:r w:rsidRPr="0078662E">
        <w:t>% del PIB nacional).</w:t>
      </w:r>
    </w:p>
    <w:p w14:paraId="2A6FD7B3" w14:textId="76506354" w:rsidR="006F7F65" w:rsidRPr="0078662E" w:rsidRDefault="006F7F65" w:rsidP="00050723">
      <w:pPr>
        <w:pStyle w:val="Nivel4"/>
        <w:ind w:left="1474"/>
      </w:pPr>
      <w:r w:rsidRPr="0014443A">
        <w:rPr>
          <w:i/>
          <w:iCs/>
        </w:rPr>
        <w:t>Principio de sostenibilidad financiera</w:t>
      </w:r>
      <w:r w:rsidRPr="0078662E">
        <w:t xml:space="preserve">: </w:t>
      </w:r>
      <w:r w:rsidR="0014443A">
        <w:t>L</w:t>
      </w:r>
      <w:r w:rsidRPr="0078662E">
        <w:t>a deuda de las AA.PP. no podrá superar el valor de referencia del 60</w:t>
      </w:r>
      <w:r w:rsidR="00512B89">
        <w:t> </w:t>
      </w:r>
      <w:r w:rsidRPr="0078662E">
        <w:t>% del PIB</w:t>
      </w:r>
      <w:r w:rsidRPr="0078662E">
        <w:rPr>
          <w:vertAlign w:val="superscript"/>
        </w:rPr>
        <w:footnoteReference w:id="16"/>
      </w:r>
      <w:r w:rsidRPr="0078662E">
        <w:t xml:space="preserve"> establecido en la normativa europea, salvo en las mismas circunstancias excepcionales en que se puede presentar déficit estructural.</w:t>
      </w:r>
    </w:p>
    <w:p w14:paraId="153E0EA5" w14:textId="67E7A407" w:rsidR="006F7F65" w:rsidRDefault="006F7F65" w:rsidP="00050723">
      <w:pPr>
        <w:pStyle w:val="Nivel4"/>
        <w:ind w:left="1474"/>
      </w:pPr>
      <w:r w:rsidRPr="002134E0">
        <w:rPr>
          <w:i/>
          <w:iCs/>
        </w:rPr>
        <w:lastRenderedPageBreak/>
        <w:t>Regla de gasto</w:t>
      </w:r>
      <w:r>
        <w:rPr>
          <w:rStyle w:val="Refdenotaalpie"/>
          <w:rFonts w:eastAsia="Times" w:cs="Times New Roman"/>
        </w:rPr>
        <w:footnoteReference w:id="17"/>
      </w:r>
      <w:r w:rsidRPr="0078662E">
        <w:t xml:space="preserve">: </w:t>
      </w:r>
      <w:r w:rsidR="002134E0">
        <w:t>L</w:t>
      </w:r>
      <w:r w:rsidRPr="0078662E">
        <w:t>a variación del gasto computable</w:t>
      </w:r>
      <w:r w:rsidRPr="0078662E">
        <w:rPr>
          <w:vertAlign w:val="superscript"/>
        </w:rPr>
        <w:footnoteReference w:id="18"/>
      </w:r>
      <w:r w:rsidRPr="0078662E">
        <w:t xml:space="preserve"> de las AA.PP. (Administración Central, CC.AA. y entes locales) no podrá superar la tasa de crecimiento del PIB de medio plazo de la economía española</w:t>
      </w:r>
      <w:r w:rsidRPr="0078662E">
        <w:rPr>
          <w:vertAlign w:val="superscript"/>
        </w:rPr>
        <w:footnoteReference w:id="19"/>
      </w:r>
      <w:r w:rsidRPr="0078662E">
        <w:t>.</w:t>
      </w:r>
    </w:p>
    <w:p w14:paraId="737820EA" w14:textId="111C1049" w:rsidR="009E0385" w:rsidRDefault="009E0385" w:rsidP="009E0385">
      <w:pPr>
        <w:pStyle w:val="Ttulo1"/>
      </w:pPr>
      <w:r>
        <w:t>COMODÍN: ASPECTOS ADICIONALES RELATIVOS A LOS PGE</w:t>
      </w:r>
    </w:p>
    <w:p w14:paraId="0A586062" w14:textId="1A8A8514" w:rsidR="009E0385" w:rsidRDefault="009E0385" w:rsidP="009E0385">
      <w:pPr>
        <w:pStyle w:val="Notaalopositor"/>
      </w:pPr>
      <w:r>
        <w:t>Llegados a este punto, cantar el tema 4.B.24 de manera descarada.</w:t>
      </w:r>
    </w:p>
    <w:p w14:paraId="422398EF" w14:textId="77777777" w:rsidR="009E0385" w:rsidRPr="009E0385" w:rsidRDefault="009E0385" w:rsidP="009E0385">
      <w:pPr>
        <w:pStyle w:val="Nivel2SM"/>
      </w:pPr>
    </w:p>
    <w:p w14:paraId="138040B5" w14:textId="77777777" w:rsidR="008F3F26" w:rsidRPr="007B6F56" w:rsidRDefault="008F3F26" w:rsidP="009940F7">
      <w:pPr>
        <w:pStyle w:val="Introduccinyconclusin"/>
      </w:pPr>
      <w:r>
        <w:t>CONCLUSION</w:t>
      </w:r>
    </w:p>
    <w:p w14:paraId="6447E8C8" w14:textId="0895BEAD" w:rsidR="00050723" w:rsidRPr="00050723" w:rsidRDefault="00050723" w:rsidP="00050723">
      <w:pPr>
        <w:pStyle w:val="Nivel2"/>
      </w:pPr>
      <w:r w:rsidRPr="00050723">
        <w:t>A lo largo de est</w:t>
      </w:r>
      <w:r>
        <w:t>a</w:t>
      </w:r>
      <w:r w:rsidRPr="00050723">
        <w:t xml:space="preserve"> </w:t>
      </w:r>
      <w:r>
        <w:t>exposición</w:t>
      </w:r>
      <w:r w:rsidRPr="00050723">
        <w:t xml:space="preserve"> hemos analizado las </w:t>
      </w:r>
      <w:r w:rsidRPr="00050723">
        <w:rPr>
          <w:i/>
          <w:iCs/>
        </w:rPr>
        <w:t>principales características del presupuesto</w:t>
      </w:r>
      <w:r w:rsidRPr="00050723">
        <w:t xml:space="preserve">, el </w:t>
      </w:r>
      <w:r w:rsidRPr="00050723">
        <w:rPr>
          <w:i/>
          <w:iCs/>
        </w:rPr>
        <w:t>ciclo presupuestario</w:t>
      </w:r>
      <w:r w:rsidRPr="00050723">
        <w:t xml:space="preserve"> y las </w:t>
      </w:r>
      <w:r w:rsidRPr="00050723">
        <w:rPr>
          <w:i/>
          <w:iCs/>
        </w:rPr>
        <w:t>distintas técnicas presupuestarias</w:t>
      </w:r>
      <w:r w:rsidRPr="00050723">
        <w:t>.</w:t>
      </w:r>
    </w:p>
    <w:p w14:paraId="7ED5D760" w14:textId="40CC7C48" w:rsidR="00050723" w:rsidRDefault="00050723" w:rsidP="00050723">
      <w:pPr>
        <w:pStyle w:val="Nivel2"/>
      </w:pPr>
      <w:r w:rsidRPr="00050723">
        <w:t xml:space="preserve">Respecto a esto último, hemos visto cómo desde mediados de los 90 </w:t>
      </w:r>
      <w:r>
        <w:t>(</w:t>
      </w:r>
      <w:r w:rsidRPr="00050723">
        <w:t xml:space="preserve">y especialmente desde la crisis </w:t>
      </w:r>
      <w:r>
        <w:t xml:space="preserve">financiera global), </w:t>
      </w:r>
      <w:r w:rsidRPr="00050723">
        <w:t xml:space="preserve">en España y la mayoría de PDs se está poniendo cada vez un mayor énfasis en ejercer un control más férreo del GP que permita llevar a cabo una </w:t>
      </w:r>
      <w:r w:rsidRPr="00050723">
        <w:rPr>
          <w:i/>
          <w:iCs/>
        </w:rPr>
        <w:t>consolidación fiscal</w:t>
      </w:r>
      <w:r w:rsidRPr="00050723">
        <w:t>; y en la maximización de la eficiencia de los recursos disponibles. Este control, no obstante, está teniendo lugar no tanto a través de la modificación de la técnica presupuestaria como del refuerzo del principio de estabilidad presupuestaria.</w:t>
      </w:r>
    </w:p>
    <w:p w14:paraId="51CC111F" w14:textId="1BF0C582" w:rsidR="00704CDE" w:rsidRDefault="00704CDE" w:rsidP="00050723">
      <w:pPr>
        <w:pStyle w:val="Nivel2"/>
      </w:pPr>
      <w:r>
        <w:br w:type="page"/>
      </w:r>
    </w:p>
    <w:p w14:paraId="7EDE5131" w14:textId="77777777" w:rsidR="00D27DD6" w:rsidRDefault="00D27DD6" w:rsidP="00D27DD6">
      <w:pPr>
        <w:pStyle w:val="Ttulo4"/>
      </w:pPr>
      <w:r>
        <w:lastRenderedPageBreak/>
        <w:t>Bibliografía</w:t>
      </w:r>
    </w:p>
    <w:p w14:paraId="31DDBF03" w14:textId="77777777" w:rsidR="00D27DD6" w:rsidRDefault="00D27DD6" w:rsidP="00D27DD6">
      <w:r>
        <w:t>Tema María Palacios Carrere</w:t>
      </w:r>
    </w:p>
    <w:p w14:paraId="3483C3E5" w14:textId="663C87DC" w:rsidR="009E0385" w:rsidRDefault="009E0385" w:rsidP="00D27DD6">
      <w:r>
        <w:t>Tema Juan Luis Cordero</w:t>
      </w:r>
    </w:p>
    <w:p w14:paraId="63AB364A" w14:textId="7AFF71A0" w:rsidR="00D27DD6" w:rsidRDefault="00D27DD6" w:rsidP="00D27DD6">
      <w:r w:rsidRPr="00AB12D0">
        <w:rPr>
          <w:i/>
          <w:iCs/>
        </w:rPr>
        <w:t>“Economía pública: una introducción”</w:t>
      </w:r>
      <w:r>
        <w:t>, de Fernando Álvarez Gómez (disponible en Google libros).</w:t>
      </w:r>
    </w:p>
    <w:p w14:paraId="3A4E8E33" w14:textId="77777777" w:rsidR="00D27DD6" w:rsidRDefault="00D27DD6" w:rsidP="00D27DD6">
      <w:pPr>
        <w:pStyle w:val="Ttulo4"/>
      </w:pPr>
      <w:r>
        <w:t>Preguntas de otros exámenes</w:t>
      </w:r>
    </w:p>
    <w:p w14:paraId="72B201C8" w14:textId="77777777" w:rsidR="00D27DD6" w:rsidRPr="002908B3" w:rsidRDefault="00D27DD6" w:rsidP="00D27DD6">
      <w:pPr>
        <w:pStyle w:val="Nivel2SM"/>
      </w:pPr>
    </w:p>
    <w:p w14:paraId="31FB4BE5" w14:textId="77777777" w:rsidR="00D27DD6" w:rsidRDefault="00D27DD6" w:rsidP="00D27DD6">
      <w:pPr>
        <w:pStyle w:val="Ttulo4"/>
      </w:pPr>
      <w:r w:rsidRPr="00342648">
        <w:t>Anexos</w:t>
      </w:r>
    </w:p>
    <w:p w14:paraId="3AB5CBC9" w14:textId="597AF66E" w:rsidR="00284D9F" w:rsidRDefault="00D27DD6" w:rsidP="00C221CF">
      <w:pPr>
        <w:pStyle w:val="Ttulo5"/>
        <w:rPr>
          <w:u w:val="none"/>
        </w:rPr>
      </w:pPr>
      <w:r w:rsidRPr="0002549F">
        <w:t>Anexo</w:t>
      </w:r>
      <w:r>
        <w:t> </w:t>
      </w:r>
      <w:r w:rsidRPr="0002549F">
        <w:t>1</w:t>
      </w:r>
      <w:r w:rsidRPr="00AF1FE6">
        <w:rPr>
          <w:u w:val="none"/>
        </w:rPr>
        <w:t xml:space="preserve">: </w:t>
      </w:r>
    </w:p>
    <w:p w14:paraId="656C10AF" w14:textId="77777777" w:rsidR="00C221CF" w:rsidRPr="00C221CF" w:rsidRDefault="00C221CF" w:rsidP="00C221CF"/>
    <w:sectPr w:rsidR="00C221CF" w:rsidRPr="00C221CF" w:rsidSect="00B91849">
      <w:headerReference w:type="even" r:id="rId10"/>
      <w:headerReference w:type="default" r:id="rId11"/>
      <w:footerReference w:type="even" r:id="rId12"/>
      <w:footerReference w:type="default" r:id="rId13"/>
      <w:headerReference w:type="first" r:id="rId14"/>
      <w:footerReference w:type="first" r:id="rId1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B195D" w14:textId="77777777" w:rsidR="0096435C" w:rsidRDefault="0096435C">
      <w:r>
        <w:separator/>
      </w:r>
    </w:p>
  </w:endnote>
  <w:endnote w:type="continuationSeparator" w:id="0">
    <w:p w14:paraId="602CF147" w14:textId="77777777" w:rsidR="0096435C" w:rsidRDefault="0096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B91849" w:rsidRPr="009B5FC2" w14:paraId="719ED072" w14:textId="77777777" w:rsidTr="00B91849">
      <w:trPr>
        <w:trHeight w:val="138"/>
        <w:jc w:val="center"/>
      </w:trPr>
      <w:tc>
        <w:tcPr>
          <w:tcW w:w="1134" w:type="dxa"/>
          <w:shd w:val="clear" w:color="auto" w:fill="auto"/>
        </w:tcPr>
        <w:p w14:paraId="64387924" w14:textId="77777777" w:rsidR="00B91849" w:rsidRPr="00B91849" w:rsidRDefault="00B91849" w:rsidP="00B91849">
          <w:pPr>
            <w:pStyle w:val="Encabezado"/>
            <w:tabs>
              <w:tab w:val="clear" w:pos="4252"/>
              <w:tab w:val="clear" w:pos="8504"/>
              <w:tab w:val="right" w:pos="924"/>
              <w:tab w:val="center" w:pos="1310"/>
            </w:tabs>
            <w:spacing w:after="0"/>
            <w:contextualSpacing/>
            <w:jc w:val="left"/>
            <w:rPr>
              <w:i/>
              <w:iCs/>
              <w:color w:val="5F2987"/>
              <w:sz w:val="18"/>
              <w:szCs w:val="18"/>
            </w:rPr>
          </w:pPr>
          <w:r w:rsidRPr="00B91849">
            <w:rPr>
              <w:b/>
              <w:bCs/>
              <w:i/>
              <w:iCs/>
              <w:color w:val="5F2987"/>
              <w:spacing w:val="-6"/>
              <w:sz w:val="18"/>
              <w:szCs w:val="18"/>
            </w:rPr>
            <w:fldChar w:fldCharType="begin"/>
          </w:r>
          <w:r w:rsidRPr="00B91849">
            <w:rPr>
              <w:b/>
              <w:bCs/>
              <w:i/>
              <w:iCs/>
              <w:color w:val="5F2987"/>
              <w:spacing w:val="-6"/>
              <w:sz w:val="18"/>
              <w:szCs w:val="18"/>
            </w:rPr>
            <w:instrText>PAGE  \* Arabic  \* MERGEFORMAT</w:instrText>
          </w:r>
          <w:r w:rsidRPr="00B91849">
            <w:rPr>
              <w:b/>
              <w:bCs/>
              <w:i/>
              <w:iCs/>
              <w:color w:val="5F2987"/>
              <w:spacing w:val="-6"/>
              <w:sz w:val="18"/>
              <w:szCs w:val="18"/>
            </w:rPr>
            <w:fldChar w:fldCharType="separate"/>
          </w:r>
          <w:r w:rsidRPr="00B91849">
            <w:rPr>
              <w:b/>
              <w:bCs/>
              <w:i/>
              <w:iCs/>
              <w:color w:val="5F2987"/>
              <w:spacing w:val="-6"/>
              <w:sz w:val="18"/>
              <w:szCs w:val="18"/>
            </w:rPr>
            <w:t>2</w:t>
          </w:r>
          <w:r w:rsidRPr="00B91849">
            <w:rPr>
              <w:b/>
              <w:bCs/>
              <w:i/>
              <w:iCs/>
              <w:color w:val="5F2987"/>
              <w:spacing w:val="-6"/>
              <w:sz w:val="18"/>
              <w:szCs w:val="18"/>
            </w:rPr>
            <w:fldChar w:fldCharType="end"/>
          </w:r>
          <w:r w:rsidRPr="00B91849">
            <w:rPr>
              <w:b/>
              <w:bCs/>
              <w:i/>
              <w:iCs/>
              <w:color w:val="5F2987"/>
              <w:spacing w:val="-6"/>
              <w:sz w:val="18"/>
              <w:szCs w:val="18"/>
            </w:rPr>
            <w:t>/</w:t>
          </w:r>
          <w:r w:rsidRPr="00B91849">
            <w:rPr>
              <w:b/>
              <w:bCs/>
              <w:i/>
              <w:iCs/>
              <w:color w:val="5F2987"/>
              <w:spacing w:val="-6"/>
              <w:sz w:val="18"/>
              <w:szCs w:val="18"/>
            </w:rPr>
            <w:fldChar w:fldCharType="begin"/>
          </w:r>
          <w:r w:rsidRPr="00B91849">
            <w:rPr>
              <w:b/>
              <w:bCs/>
              <w:i/>
              <w:iCs/>
              <w:color w:val="5F2987"/>
              <w:spacing w:val="-6"/>
              <w:sz w:val="18"/>
              <w:szCs w:val="18"/>
            </w:rPr>
            <w:instrText>NUMPAGES  \* Arabic  \* MERGEFORMAT</w:instrText>
          </w:r>
          <w:r w:rsidRPr="00B91849">
            <w:rPr>
              <w:b/>
              <w:bCs/>
              <w:i/>
              <w:iCs/>
              <w:color w:val="5F2987"/>
              <w:spacing w:val="-6"/>
              <w:sz w:val="18"/>
              <w:szCs w:val="18"/>
            </w:rPr>
            <w:fldChar w:fldCharType="separate"/>
          </w:r>
          <w:r w:rsidRPr="00B91849">
            <w:rPr>
              <w:b/>
              <w:bCs/>
              <w:i/>
              <w:iCs/>
              <w:color w:val="5F2987"/>
              <w:spacing w:val="-6"/>
              <w:sz w:val="18"/>
              <w:szCs w:val="18"/>
            </w:rPr>
            <w:t>9</w:t>
          </w:r>
          <w:r w:rsidRPr="00B91849">
            <w:rPr>
              <w:b/>
              <w:bCs/>
              <w:i/>
              <w:iCs/>
              <w:color w:val="5F2987"/>
              <w:spacing w:val="-6"/>
              <w:sz w:val="18"/>
              <w:szCs w:val="18"/>
            </w:rPr>
            <w:fldChar w:fldCharType="end"/>
          </w:r>
        </w:p>
      </w:tc>
      <w:tc>
        <w:tcPr>
          <w:tcW w:w="7088" w:type="dxa"/>
          <w:shd w:val="clear" w:color="auto" w:fill="auto"/>
          <w:vAlign w:val="center"/>
        </w:tcPr>
        <w:p w14:paraId="658C52B6" w14:textId="77777777" w:rsidR="00B91849" w:rsidRPr="00B91849" w:rsidRDefault="00B91849" w:rsidP="00B91849">
          <w:pPr>
            <w:pStyle w:val="Encabezado"/>
            <w:spacing w:after="0"/>
            <w:ind w:right="-110"/>
            <w:contextualSpacing/>
            <w:jc w:val="center"/>
            <w:rPr>
              <w:i/>
              <w:iCs/>
              <w:color w:val="5F2987"/>
              <w:sz w:val="18"/>
              <w:szCs w:val="18"/>
            </w:rPr>
          </w:pPr>
        </w:p>
      </w:tc>
      <w:tc>
        <w:tcPr>
          <w:tcW w:w="2551" w:type="dxa"/>
          <w:shd w:val="clear" w:color="auto" w:fill="auto"/>
          <w:vAlign w:val="center"/>
        </w:tcPr>
        <w:p w14:paraId="534DFAE4" w14:textId="77777777" w:rsidR="00B91849" w:rsidRPr="00B91849" w:rsidRDefault="00B91849" w:rsidP="00B91849">
          <w:pPr>
            <w:pStyle w:val="Encabezado"/>
            <w:spacing w:after="0"/>
            <w:contextualSpacing/>
            <w:jc w:val="right"/>
            <w:rPr>
              <w:b/>
              <w:bCs/>
              <w:i/>
              <w:iCs/>
              <w:color w:val="5F2987"/>
              <w:spacing w:val="-6"/>
              <w:sz w:val="18"/>
              <w:szCs w:val="18"/>
            </w:rPr>
          </w:pPr>
        </w:p>
      </w:tc>
    </w:tr>
  </w:tbl>
  <w:p w14:paraId="74AF9A86" w14:textId="77777777" w:rsidR="00B91849" w:rsidRPr="009C61AF" w:rsidRDefault="00B91849"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B91849" w:rsidRPr="009B5FC2" w14:paraId="66DEA3DB" w14:textId="77777777" w:rsidTr="00B91849">
      <w:trPr>
        <w:trHeight w:val="138"/>
        <w:jc w:val="center"/>
      </w:trPr>
      <w:tc>
        <w:tcPr>
          <w:tcW w:w="1134" w:type="dxa"/>
          <w:shd w:val="clear" w:color="auto" w:fill="auto"/>
        </w:tcPr>
        <w:p w14:paraId="3D0F4B9A" w14:textId="77777777" w:rsidR="00B91849" w:rsidRPr="00B91849" w:rsidRDefault="00B91849" w:rsidP="00B91849">
          <w:pPr>
            <w:pStyle w:val="Encabezado"/>
            <w:tabs>
              <w:tab w:val="clear" w:pos="4252"/>
              <w:tab w:val="clear" w:pos="8504"/>
              <w:tab w:val="right" w:pos="924"/>
              <w:tab w:val="center" w:pos="1310"/>
            </w:tabs>
            <w:spacing w:after="0"/>
            <w:contextualSpacing/>
            <w:jc w:val="left"/>
            <w:rPr>
              <w:i/>
              <w:iCs/>
              <w:color w:val="5F2987"/>
              <w:sz w:val="18"/>
              <w:szCs w:val="18"/>
            </w:rPr>
          </w:pPr>
          <w:r w:rsidRPr="00B91849">
            <w:rPr>
              <w:b/>
              <w:bCs/>
              <w:i/>
              <w:iCs/>
              <w:color w:val="5F2987"/>
              <w:spacing w:val="-6"/>
              <w:sz w:val="18"/>
              <w:szCs w:val="18"/>
            </w:rPr>
            <w:fldChar w:fldCharType="begin"/>
          </w:r>
          <w:r w:rsidRPr="00B91849">
            <w:rPr>
              <w:b/>
              <w:bCs/>
              <w:i/>
              <w:iCs/>
              <w:color w:val="5F2987"/>
              <w:spacing w:val="-6"/>
              <w:sz w:val="18"/>
              <w:szCs w:val="18"/>
            </w:rPr>
            <w:instrText>PAGE  \* Arabic  \* MERGEFORMAT</w:instrText>
          </w:r>
          <w:r w:rsidRPr="00B91849">
            <w:rPr>
              <w:b/>
              <w:bCs/>
              <w:i/>
              <w:iCs/>
              <w:color w:val="5F2987"/>
              <w:spacing w:val="-6"/>
              <w:sz w:val="18"/>
              <w:szCs w:val="18"/>
            </w:rPr>
            <w:fldChar w:fldCharType="separate"/>
          </w:r>
          <w:r w:rsidRPr="00B91849">
            <w:rPr>
              <w:b/>
              <w:bCs/>
              <w:i/>
              <w:iCs/>
              <w:color w:val="5F2987"/>
              <w:spacing w:val="-6"/>
              <w:sz w:val="18"/>
              <w:szCs w:val="18"/>
            </w:rPr>
            <w:t>2</w:t>
          </w:r>
          <w:r w:rsidRPr="00B91849">
            <w:rPr>
              <w:b/>
              <w:bCs/>
              <w:i/>
              <w:iCs/>
              <w:color w:val="5F2987"/>
              <w:spacing w:val="-6"/>
              <w:sz w:val="18"/>
              <w:szCs w:val="18"/>
            </w:rPr>
            <w:fldChar w:fldCharType="end"/>
          </w:r>
          <w:r w:rsidRPr="00B91849">
            <w:rPr>
              <w:b/>
              <w:bCs/>
              <w:i/>
              <w:iCs/>
              <w:color w:val="5F2987"/>
              <w:spacing w:val="-6"/>
              <w:sz w:val="18"/>
              <w:szCs w:val="18"/>
            </w:rPr>
            <w:t>/</w:t>
          </w:r>
          <w:r w:rsidRPr="00B91849">
            <w:rPr>
              <w:b/>
              <w:bCs/>
              <w:i/>
              <w:iCs/>
              <w:color w:val="5F2987"/>
              <w:spacing w:val="-6"/>
              <w:sz w:val="18"/>
              <w:szCs w:val="18"/>
            </w:rPr>
            <w:fldChar w:fldCharType="begin"/>
          </w:r>
          <w:r w:rsidRPr="00B91849">
            <w:rPr>
              <w:b/>
              <w:bCs/>
              <w:i/>
              <w:iCs/>
              <w:color w:val="5F2987"/>
              <w:spacing w:val="-6"/>
              <w:sz w:val="18"/>
              <w:szCs w:val="18"/>
            </w:rPr>
            <w:instrText>NUMPAGES  \* Arabic  \* MERGEFORMAT</w:instrText>
          </w:r>
          <w:r w:rsidRPr="00B91849">
            <w:rPr>
              <w:b/>
              <w:bCs/>
              <w:i/>
              <w:iCs/>
              <w:color w:val="5F2987"/>
              <w:spacing w:val="-6"/>
              <w:sz w:val="18"/>
              <w:szCs w:val="18"/>
            </w:rPr>
            <w:fldChar w:fldCharType="separate"/>
          </w:r>
          <w:r w:rsidRPr="00B91849">
            <w:rPr>
              <w:b/>
              <w:bCs/>
              <w:i/>
              <w:iCs/>
              <w:color w:val="5F2987"/>
              <w:spacing w:val="-6"/>
              <w:sz w:val="18"/>
              <w:szCs w:val="18"/>
            </w:rPr>
            <w:t>9</w:t>
          </w:r>
          <w:r w:rsidRPr="00B91849">
            <w:rPr>
              <w:b/>
              <w:bCs/>
              <w:i/>
              <w:iCs/>
              <w:color w:val="5F2987"/>
              <w:spacing w:val="-6"/>
              <w:sz w:val="18"/>
              <w:szCs w:val="18"/>
            </w:rPr>
            <w:fldChar w:fldCharType="end"/>
          </w:r>
        </w:p>
      </w:tc>
      <w:tc>
        <w:tcPr>
          <w:tcW w:w="7088" w:type="dxa"/>
          <w:shd w:val="clear" w:color="auto" w:fill="auto"/>
          <w:vAlign w:val="center"/>
        </w:tcPr>
        <w:p w14:paraId="0ED425D2" w14:textId="77777777" w:rsidR="00B91849" w:rsidRPr="00B91849" w:rsidRDefault="00B91849" w:rsidP="00B91849">
          <w:pPr>
            <w:pStyle w:val="Encabezado"/>
            <w:spacing w:after="0"/>
            <w:ind w:right="-110"/>
            <w:contextualSpacing/>
            <w:jc w:val="center"/>
            <w:rPr>
              <w:i/>
              <w:iCs/>
              <w:color w:val="5F2987"/>
              <w:sz w:val="18"/>
              <w:szCs w:val="18"/>
            </w:rPr>
          </w:pPr>
        </w:p>
      </w:tc>
      <w:tc>
        <w:tcPr>
          <w:tcW w:w="2551" w:type="dxa"/>
          <w:shd w:val="clear" w:color="auto" w:fill="auto"/>
          <w:vAlign w:val="center"/>
        </w:tcPr>
        <w:p w14:paraId="7BBB98B7" w14:textId="77777777" w:rsidR="00B91849" w:rsidRPr="00B91849" w:rsidRDefault="00B91849" w:rsidP="00B91849">
          <w:pPr>
            <w:pStyle w:val="Encabezado"/>
            <w:spacing w:after="0"/>
            <w:contextualSpacing/>
            <w:jc w:val="right"/>
            <w:rPr>
              <w:b/>
              <w:bCs/>
              <w:i/>
              <w:iCs/>
              <w:color w:val="5F2987"/>
              <w:spacing w:val="-6"/>
              <w:sz w:val="18"/>
              <w:szCs w:val="18"/>
            </w:rPr>
          </w:pPr>
        </w:p>
      </w:tc>
    </w:tr>
  </w:tbl>
  <w:p w14:paraId="064100AC" w14:textId="77777777" w:rsidR="00B91849" w:rsidRPr="009C61AF" w:rsidRDefault="00B91849" w:rsidP="009B5FC2">
    <w:pPr>
      <w:pStyle w:val="Piedepgina"/>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B91849" w:rsidRPr="00C44422" w14:paraId="7E0CEC5A" w14:textId="77777777" w:rsidTr="00B91849">
      <w:trPr>
        <w:trHeight w:val="138"/>
        <w:jc w:val="center"/>
      </w:trPr>
      <w:tc>
        <w:tcPr>
          <w:tcW w:w="1134" w:type="dxa"/>
          <w:shd w:val="clear" w:color="auto" w:fill="auto"/>
          <w:vAlign w:val="center"/>
        </w:tcPr>
        <w:p w14:paraId="745CC2C2" w14:textId="77777777" w:rsidR="00B91849" w:rsidRPr="00B91849" w:rsidRDefault="00B91849" w:rsidP="00B91849">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25A87E4B" w14:textId="77777777" w:rsidR="00B91849" w:rsidRPr="00B91849" w:rsidRDefault="00B91849" w:rsidP="00B91849">
          <w:pPr>
            <w:pStyle w:val="Encabezado"/>
            <w:spacing w:after="0"/>
            <w:ind w:right="-110"/>
            <w:contextualSpacing/>
            <w:jc w:val="center"/>
            <w:rPr>
              <w:i/>
              <w:iCs/>
              <w:color w:val="5F2987"/>
              <w:sz w:val="18"/>
              <w:szCs w:val="18"/>
            </w:rPr>
          </w:pPr>
        </w:p>
      </w:tc>
      <w:tc>
        <w:tcPr>
          <w:tcW w:w="2551" w:type="dxa"/>
          <w:shd w:val="clear" w:color="auto" w:fill="auto"/>
          <w:vAlign w:val="center"/>
        </w:tcPr>
        <w:p w14:paraId="4C01D9CA" w14:textId="77777777" w:rsidR="00B91849" w:rsidRPr="00B91849" w:rsidRDefault="00B91849" w:rsidP="00B91849">
          <w:pPr>
            <w:pStyle w:val="Encabezado"/>
            <w:spacing w:after="0"/>
            <w:contextualSpacing/>
            <w:jc w:val="right"/>
            <w:rPr>
              <w:b/>
              <w:bCs/>
              <w:i/>
              <w:iCs/>
              <w:color w:val="5F2987"/>
              <w:spacing w:val="-6"/>
              <w:sz w:val="18"/>
              <w:szCs w:val="18"/>
            </w:rPr>
          </w:pPr>
          <w:r w:rsidRPr="00B91849">
            <w:rPr>
              <w:b/>
              <w:bCs/>
              <w:i/>
              <w:iCs/>
              <w:color w:val="5F2987"/>
              <w:spacing w:val="-6"/>
              <w:sz w:val="18"/>
              <w:szCs w:val="18"/>
            </w:rPr>
            <w:fldChar w:fldCharType="begin"/>
          </w:r>
          <w:r w:rsidRPr="00B91849">
            <w:rPr>
              <w:b/>
              <w:bCs/>
              <w:i/>
              <w:iCs/>
              <w:color w:val="5F2987"/>
              <w:spacing w:val="-6"/>
              <w:sz w:val="18"/>
              <w:szCs w:val="18"/>
            </w:rPr>
            <w:instrText>PAGE  \* Arabic  \* MERGEFORMAT</w:instrText>
          </w:r>
          <w:r w:rsidRPr="00B91849">
            <w:rPr>
              <w:b/>
              <w:bCs/>
              <w:i/>
              <w:iCs/>
              <w:color w:val="5F2987"/>
              <w:spacing w:val="-6"/>
              <w:sz w:val="18"/>
              <w:szCs w:val="18"/>
            </w:rPr>
            <w:fldChar w:fldCharType="separate"/>
          </w:r>
          <w:r w:rsidRPr="00B91849">
            <w:rPr>
              <w:b/>
              <w:bCs/>
              <w:i/>
              <w:iCs/>
              <w:color w:val="5F2987"/>
              <w:spacing w:val="-6"/>
              <w:sz w:val="18"/>
              <w:szCs w:val="18"/>
            </w:rPr>
            <w:t>1</w:t>
          </w:r>
          <w:r w:rsidRPr="00B91849">
            <w:rPr>
              <w:b/>
              <w:bCs/>
              <w:i/>
              <w:iCs/>
              <w:color w:val="5F2987"/>
              <w:spacing w:val="-6"/>
              <w:sz w:val="18"/>
              <w:szCs w:val="18"/>
            </w:rPr>
            <w:fldChar w:fldCharType="end"/>
          </w:r>
          <w:r w:rsidRPr="00B91849">
            <w:rPr>
              <w:b/>
              <w:bCs/>
              <w:i/>
              <w:iCs/>
              <w:color w:val="5F2987"/>
              <w:spacing w:val="-6"/>
              <w:sz w:val="18"/>
              <w:szCs w:val="18"/>
            </w:rPr>
            <w:t>/</w:t>
          </w:r>
          <w:r w:rsidRPr="00B91849">
            <w:rPr>
              <w:b/>
              <w:bCs/>
              <w:i/>
              <w:iCs/>
              <w:color w:val="5F2987"/>
              <w:spacing w:val="-6"/>
              <w:sz w:val="18"/>
              <w:szCs w:val="18"/>
            </w:rPr>
            <w:fldChar w:fldCharType="begin"/>
          </w:r>
          <w:r w:rsidRPr="00B91849">
            <w:rPr>
              <w:b/>
              <w:bCs/>
              <w:i/>
              <w:iCs/>
              <w:color w:val="5F2987"/>
              <w:spacing w:val="-6"/>
              <w:sz w:val="18"/>
              <w:szCs w:val="18"/>
            </w:rPr>
            <w:instrText>NUMPAGES  \* Arabic  \* MERGEFORMAT</w:instrText>
          </w:r>
          <w:r w:rsidRPr="00B91849">
            <w:rPr>
              <w:b/>
              <w:bCs/>
              <w:i/>
              <w:iCs/>
              <w:color w:val="5F2987"/>
              <w:spacing w:val="-6"/>
              <w:sz w:val="18"/>
              <w:szCs w:val="18"/>
            </w:rPr>
            <w:fldChar w:fldCharType="separate"/>
          </w:r>
          <w:r w:rsidRPr="00B91849">
            <w:rPr>
              <w:b/>
              <w:bCs/>
              <w:i/>
              <w:iCs/>
              <w:color w:val="5F2987"/>
              <w:spacing w:val="-6"/>
              <w:sz w:val="18"/>
              <w:szCs w:val="18"/>
            </w:rPr>
            <w:t>2</w:t>
          </w:r>
          <w:r w:rsidRPr="00B91849">
            <w:rPr>
              <w:b/>
              <w:bCs/>
              <w:i/>
              <w:iCs/>
              <w:color w:val="5F2987"/>
              <w:spacing w:val="-6"/>
              <w:sz w:val="18"/>
              <w:szCs w:val="18"/>
            </w:rPr>
            <w:fldChar w:fldCharType="end"/>
          </w:r>
        </w:p>
      </w:tc>
    </w:tr>
  </w:tbl>
  <w:p w14:paraId="50D42DF5" w14:textId="77777777" w:rsidR="00B91849" w:rsidRPr="00BE1B62" w:rsidRDefault="00B91849"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8FBC9" w14:textId="77777777" w:rsidR="0096435C" w:rsidRPr="00FF5BE0" w:rsidRDefault="0096435C" w:rsidP="00FF5BE0">
      <w:pPr>
        <w:spacing w:after="0" w:line="240" w:lineRule="auto"/>
        <w:rPr>
          <w:sz w:val="16"/>
          <w:szCs w:val="16"/>
        </w:rPr>
      </w:pPr>
      <w:r w:rsidRPr="00FF5BE0">
        <w:rPr>
          <w:sz w:val="16"/>
          <w:szCs w:val="16"/>
        </w:rPr>
        <w:separator/>
      </w:r>
    </w:p>
  </w:footnote>
  <w:footnote w:type="continuationSeparator" w:id="0">
    <w:p w14:paraId="37394AB1" w14:textId="77777777" w:rsidR="0096435C" w:rsidRPr="00FF5BE0" w:rsidRDefault="0096435C" w:rsidP="00FF5BE0">
      <w:pPr>
        <w:spacing w:after="0" w:line="240" w:lineRule="auto"/>
        <w:rPr>
          <w:sz w:val="16"/>
          <w:szCs w:val="16"/>
        </w:rPr>
      </w:pPr>
      <w:r w:rsidRPr="00FF5BE0">
        <w:rPr>
          <w:sz w:val="16"/>
          <w:szCs w:val="16"/>
        </w:rPr>
        <w:continuationSeparator/>
      </w:r>
    </w:p>
  </w:footnote>
  <w:footnote w:type="continuationNotice" w:id="1">
    <w:p w14:paraId="2F4B6498" w14:textId="77777777" w:rsidR="0096435C" w:rsidRPr="00FF5BE0" w:rsidRDefault="0096435C" w:rsidP="00FF5BE0">
      <w:pPr>
        <w:spacing w:after="0" w:line="192" w:lineRule="auto"/>
        <w:jc w:val="right"/>
        <w:rPr>
          <w:sz w:val="16"/>
          <w:szCs w:val="16"/>
        </w:rPr>
      </w:pPr>
      <w:r w:rsidRPr="00FF5BE0">
        <w:rPr>
          <w:rFonts w:ascii="Cambria Math" w:hAnsi="Cambria Math" w:cs="Cambria Math"/>
          <w:color w:val="202122"/>
          <w:sz w:val="16"/>
          <w:szCs w:val="16"/>
          <w:shd w:val="clear" w:color="auto" w:fill="FFFFFF"/>
        </w:rPr>
        <w:t>↪</w:t>
      </w:r>
    </w:p>
  </w:footnote>
  <w:footnote w:id="2">
    <w:p w14:paraId="08FE4492" w14:textId="77777777" w:rsidR="009D1FA1" w:rsidRDefault="009D1FA1" w:rsidP="009D1FA1">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1D995687" w14:textId="77777777" w:rsidR="009D1FA1" w:rsidRDefault="009D1FA1" w:rsidP="009D1FA1">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1E994972" w14:textId="77777777" w:rsidR="009D1FA1" w:rsidRPr="00446C0D" w:rsidRDefault="009D1FA1" w:rsidP="009D1FA1">
      <w:pPr>
        <w:pStyle w:val="Textonotapie"/>
      </w:pPr>
      <w:r>
        <w:t>Además, la microeconomía también estudia a otros agentes como las instituciones financieras o el Estado.</w:t>
      </w:r>
    </w:p>
  </w:footnote>
  <w:footnote w:id="4">
    <w:p w14:paraId="79A34A11" w14:textId="77777777" w:rsidR="009D1FA1" w:rsidRDefault="009D1FA1" w:rsidP="009D1FA1">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085D5C19" w14:textId="77777777" w:rsidR="009D1FA1" w:rsidRDefault="009D1FA1" w:rsidP="009D1FA1">
      <w:pPr>
        <w:pStyle w:val="Textonotapie"/>
        <w:numPr>
          <w:ilvl w:val="0"/>
          <w:numId w:val="64"/>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00A2F08B" w14:textId="77777777" w:rsidR="009D1FA1" w:rsidRDefault="009D1FA1" w:rsidP="009D1FA1">
      <w:pPr>
        <w:pStyle w:val="Textonotapie"/>
        <w:numPr>
          <w:ilvl w:val="0"/>
          <w:numId w:val="64"/>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05F2C696" w14:textId="77777777" w:rsidR="009D1FA1" w:rsidRPr="002A08C4" w:rsidRDefault="009D1FA1" w:rsidP="009D1FA1">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4DB923E9" w14:textId="77777777" w:rsidR="009D1FA1" w:rsidRPr="002A08C4" w:rsidRDefault="009D1FA1" w:rsidP="009D1FA1">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166C63D5" w14:textId="2E55B129" w:rsidR="00A56F42" w:rsidRDefault="00A56F42" w:rsidP="00A56F42">
      <w:pPr>
        <w:pStyle w:val="Textonotapie"/>
        <w:keepNext/>
        <w:spacing w:after="0"/>
      </w:pPr>
      <w:r>
        <w:rPr>
          <w:rStyle w:val="Refdenotaalpie"/>
        </w:rPr>
        <w:footnoteRef/>
      </w:r>
      <w:r>
        <w:t xml:space="preserve"> Por ejemplo:</w:t>
      </w:r>
    </w:p>
    <w:p w14:paraId="73FDBC64" w14:textId="0E04566F" w:rsidR="00A56F42" w:rsidRPr="00A56F42" w:rsidRDefault="00A56F42" w:rsidP="00A56F42">
      <w:pPr>
        <w:pStyle w:val="Textonotapie"/>
        <w:numPr>
          <w:ilvl w:val="0"/>
          <w:numId w:val="65"/>
        </w:numPr>
        <w:spacing w:after="0"/>
        <w:ind w:left="283" w:hanging="113"/>
        <w:rPr>
          <w:spacing w:val="-4"/>
        </w:rPr>
      </w:pPr>
      <w:r w:rsidRPr="00A56F42">
        <w:rPr>
          <w:spacing w:val="-4"/>
        </w:rPr>
        <w:t>Desde una perspectiva política, el presupuesto se podría definir como la expresión contable del plan económico del Gobierno a corto plazo.</w:t>
      </w:r>
    </w:p>
    <w:p w14:paraId="318ED4B1" w14:textId="42BA00CB" w:rsidR="00A56F42" w:rsidRDefault="00A56F42" w:rsidP="00A56F42">
      <w:pPr>
        <w:pStyle w:val="Textonotapie"/>
        <w:numPr>
          <w:ilvl w:val="0"/>
          <w:numId w:val="65"/>
        </w:numPr>
        <w:ind w:left="283" w:hanging="113"/>
      </w:pPr>
      <w:r>
        <w:t>Cuantificación económica de las políticas del Gobierno.</w:t>
      </w:r>
    </w:p>
  </w:footnote>
  <w:footnote w:id="7">
    <w:p w14:paraId="670D74BA" w14:textId="633132CA" w:rsidR="000F4BEB" w:rsidRDefault="000F4BEB">
      <w:pPr>
        <w:pStyle w:val="Textonotapie"/>
      </w:pPr>
      <w:r>
        <w:rPr>
          <w:rStyle w:val="Refdenotaalpie"/>
        </w:rPr>
        <w:footnoteRef/>
      </w:r>
      <w:r>
        <w:t xml:space="preserve"> E</w:t>
      </w:r>
      <w:r w:rsidRPr="000F4BEB">
        <w:t xml:space="preserve">n España, al pertenecer a la UEM, existen unas fases adicionales, asociadas al PEC y al Semestre Europeo, que tienen como objetivos mejorar la coordinación de las políticas económicas de los </w:t>
      </w:r>
      <w:r>
        <w:t>Estados miembros</w:t>
      </w:r>
      <w:r w:rsidRPr="000F4BEB">
        <w:t>.</w:t>
      </w:r>
    </w:p>
  </w:footnote>
  <w:footnote w:id="8">
    <w:p w14:paraId="7112D605" w14:textId="0728D7AF" w:rsidR="00316B0E" w:rsidRPr="00512DB7" w:rsidRDefault="00316B0E" w:rsidP="00316B0E">
      <w:pPr>
        <w:pStyle w:val="Textonotapie"/>
      </w:pPr>
      <w:r w:rsidRPr="00512DB7">
        <w:rPr>
          <w:rStyle w:val="Refdenotaalpie"/>
          <w:rFonts w:cs="Times New Roman"/>
          <w:sz w:val="20"/>
        </w:rPr>
        <w:footnoteRef/>
      </w:r>
      <w:r w:rsidRPr="00512DB7">
        <w:t xml:space="preserve"> Depende de cada país</w:t>
      </w:r>
      <w:r>
        <w:t xml:space="preserve">, </w:t>
      </w:r>
      <w:r w:rsidR="004426C9">
        <w:t>aquí hacemos referencia a</w:t>
      </w:r>
      <w:r w:rsidRPr="00512DB7">
        <w:t xml:space="preserve"> los datos del ciclo presupuestario español. En países como Francia, Alemania o R</w:t>
      </w:r>
      <w:r>
        <w:t xml:space="preserve">eino </w:t>
      </w:r>
      <w:r w:rsidRPr="00512DB7">
        <w:t>U</w:t>
      </w:r>
      <w:r>
        <w:t>nido</w:t>
      </w:r>
      <w:r w:rsidRPr="00512DB7">
        <w:t xml:space="preserve"> la elaboración dura </w:t>
      </w:r>
      <w:r w:rsidR="004426C9">
        <w:t>9 </w:t>
      </w:r>
      <w:r w:rsidRPr="00512DB7">
        <w:t>meses y en EEUU 15</w:t>
      </w:r>
      <w:r w:rsidR="004426C9">
        <w:t> </w:t>
      </w:r>
      <w:r w:rsidRPr="00512DB7">
        <w:t>meses.</w:t>
      </w:r>
    </w:p>
  </w:footnote>
  <w:footnote w:id="9">
    <w:p w14:paraId="3BAE15C9" w14:textId="77777777" w:rsidR="00F017B4" w:rsidRPr="002F3AF3" w:rsidRDefault="00F017B4" w:rsidP="00F017B4">
      <w:pPr>
        <w:pStyle w:val="Textonotapie"/>
        <w:keepNext/>
        <w:spacing w:after="0"/>
        <w:rPr>
          <w:rFonts w:cs="Times New Roman"/>
        </w:rPr>
      </w:pPr>
      <w:r w:rsidRPr="002F3AF3">
        <w:rPr>
          <w:rStyle w:val="Refdenotaalpie"/>
          <w:rFonts w:cs="Times New Roman"/>
        </w:rPr>
        <w:footnoteRef/>
      </w:r>
      <w:r w:rsidRPr="002F3AF3">
        <w:rPr>
          <w:rFonts w:cs="Times New Roman"/>
        </w:rPr>
        <w:t xml:space="preserve"> Una vez aprobado el proyecto de Ley en el Congreso, se remite al Senado que puede aprobar, enmendar, o vetar el proyecto de Ley.</w:t>
      </w:r>
      <w:r>
        <w:rPr>
          <w:rFonts w:cs="Times New Roman"/>
        </w:rPr>
        <w:t xml:space="preserve"> </w:t>
      </w:r>
      <w:r w:rsidRPr="002F3AF3">
        <w:rPr>
          <w:rFonts w:cs="Times New Roman"/>
        </w:rPr>
        <w:t>Si se produce un veto al proyecto, el texto se devuelve al Congreso y se realiza una votación sobre el texto original aprobado por el Congreso:</w:t>
      </w:r>
    </w:p>
    <w:p w14:paraId="2086924B" w14:textId="77777777" w:rsidR="00F017B4" w:rsidRPr="002F3AF3" w:rsidRDefault="00F017B4" w:rsidP="00F017B4">
      <w:pPr>
        <w:pStyle w:val="Textonotapie"/>
        <w:keepLines w:val="0"/>
        <w:numPr>
          <w:ilvl w:val="0"/>
          <w:numId w:val="51"/>
        </w:numPr>
        <w:spacing w:after="0"/>
        <w:ind w:left="283" w:hanging="113"/>
        <w:rPr>
          <w:rFonts w:cs="Times New Roman"/>
        </w:rPr>
      </w:pPr>
      <w:r w:rsidRPr="002F3AF3">
        <w:rPr>
          <w:rFonts w:cs="Times New Roman"/>
        </w:rPr>
        <w:t>Si se aprueba por mayoría absoluta, se levanta el veto y los PGE están aprobados.</w:t>
      </w:r>
    </w:p>
    <w:p w14:paraId="65A70BA7" w14:textId="725725AA" w:rsidR="00F017B4" w:rsidRPr="002F3AF3" w:rsidRDefault="00F017B4" w:rsidP="00F017B4">
      <w:pPr>
        <w:pStyle w:val="Textonotapie"/>
        <w:keepNext/>
        <w:keepLines w:val="0"/>
        <w:numPr>
          <w:ilvl w:val="0"/>
          <w:numId w:val="51"/>
        </w:numPr>
        <w:spacing w:after="0"/>
        <w:ind w:left="283" w:hanging="113"/>
        <w:rPr>
          <w:rFonts w:cs="Times New Roman"/>
        </w:rPr>
      </w:pPr>
      <w:r w:rsidRPr="002F3AF3">
        <w:rPr>
          <w:rFonts w:cs="Times New Roman"/>
        </w:rPr>
        <w:t>Si no alcanza la mayoría absoluta, se realizará una nueva votación a los 2</w:t>
      </w:r>
      <w:r>
        <w:rPr>
          <w:rFonts w:cs="Times New Roman"/>
        </w:rPr>
        <w:t> </w:t>
      </w:r>
      <w:r w:rsidRPr="002F3AF3">
        <w:rPr>
          <w:rFonts w:cs="Times New Roman"/>
        </w:rPr>
        <w:t>meses:</w:t>
      </w:r>
    </w:p>
    <w:p w14:paraId="5476FFA6" w14:textId="77777777" w:rsidR="00F017B4" w:rsidRDefault="00F017B4" w:rsidP="00F017B4">
      <w:pPr>
        <w:pStyle w:val="Textonotapie"/>
        <w:keepLines w:val="0"/>
        <w:numPr>
          <w:ilvl w:val="1"/>
          <w:numId w:val="51"/>
        </w:numPr>
        <w:spacing w:after="0"/>
        <w:ind w:left="567" w:hanging="113"/>
        <w:rPr>
          <w:rFonts w:cs="Times New Roman"/>
        </w:rPr>
      </w:pPr>
      <w:r w:rsidRPr="002F3AF3">
        <w:rPr>
          <w:rFonts w:cs="Times New Roman"/>
        </w:rPr>
        <w:t>Si el proyecto obtiene mayoría simple, se levanta el veto.</w:t>
      </w:r>
    </w:p>
    <w:p w14:paraId="743A786A" w14:textId="77777777" w:rsidR="00F017B4" w:rsidRPr="002F3AF3" w:rsidRDefault="00F017B4" w:rsidP="00F017B4">
      <w:pPr>
        <w:pStyle w:val="Textonotapie"/>
        <w:keepLines w:val="0"/>
        <w:numPr>
          <w:ilvl w:val="1"/>
          <w:numId w:val="51"/>
        </w:numPr>
        <w:spacing w:after="0"/>
        <w:ind w:left="567" w:hanging="113"/>
        <w:rPr>
          <w:rFonts w:cs="Times New Roman"/>
        </w:rPr>
      </w:pPr>
      <w:r w:rsidRPr="002F3AF3">
        <w:rPr>
          <w:rFonts w:cs="Times New Roman"/>
        </w:rPr>
        <w:t>Si no, el proyecto se rechaza y deberá iniciarse de nuevo.</w:t>
      </w:r>
    </w:p>
  </w:footnote>
  <w:footnote w:id="10">
    <w:p w14:paraId="473D3DD5" w14:textId="5280F916" w:rsidR="00B175F1" w:rsidRDefault="00B175F1" w:rsidP="00B175F1">
      <w:pPr>
        <w:pStyle w:val="Textonotapie"/>
        <w:keepNext/>
        <w:spacing w:after="0"/>
      </w:pPr>
      <w:r>
        <w:rPr>
          <w:rStyle w:val="Refdenotaalpie"/>
        </w:rPr>
        <w:footnoteRef/>
      </w:r>
      <w:r>
        <w:t xml:space="preserve"> 3 fases:</w:t>
      </w:r>
    </w:p>
    <w:p w14:paraId="1A841BDB" w14:textId="12E75C8F" w:rsidR="00B175F1" w:rsidRDefault="00B175F1" w:rsidP="00B175F1">
      <w:pPr>
        <w:pStyle w:val="Textonotapie"/>
        <w:numPr>
          <w:ilvl w:val="0"/>
          <w:numId w:val="74"/>
        </w:numPr>
        <w:spacing w:after="0"/>
        <w:ind w:left="284" w:hanging="57"/>
      </w:pPr>
      <w:r>
        <w:rPr>
          <w:i/>
          <w:iCs/>
        </w:rPr>
        <w:t>Autorización</w:t>
      </w:r>
      <w:r w:rsidR="0054353B">
        <w:t xml:space="preserve"> del gasto por el órgano competente.</w:t>
      </w:r>
    </w:p>
    <w:p w14:paraId="638D6118" w14:textId="43AAAB81" w:rsidR="00B175F1" w:rsidRDefault="00B175F1" w:rsidP="00B175F1">
      <w:pPr>
        <w:pStyle w:val="Textonotapie"/>
        <w:numPr>
          <w:ilvl w:val="0"/>
          <w:numId w:val="74"/>
        </w:numPr>
        <w:spacing w:after="0"/>
        <w:ind w:left="284" w:hanging="57"/>
      </w:pPr>
      <w:r>
        <w:rPr>
          <w:i/>
          <w:iCs/>
        </w:rPr>
        <w:t>Disposición</w:t>
      </w:r>
      <w:r>
        <w:t>:</w:t>
      </w:r>
      <w:r w:rsidR="0054353B">
        <w:t xml:space="preserve"> Compromiso frente a terceros por un importe concreto.</w:t>
      </w:r>
    </w:p>
    <w:p w14:paraId="14F0B3FF" w14:textId="66BF9552" w:rsidR="00B175F1" w:rsidRDefault="00B175F1" w:rsidP="00B175F1">
      <w:pPr>
        <w:pStyle w:val="Textonotapie"/>
        <w:numPr>
          <w:ilvl w:val="0"/>
          <w:numId w:val="74"/>
        </w:numPr>
        <w:ind w:left="284" w:hanging="57"/>
      </w:pPr>
      <w:r>
        <w:rPr>
          <w:i/>
          <w:iCs/>
        </w:rPr>
        <w:t>Pago efectivo</w:t>
      </w:r>
      <w:r>
        <w:t>:</w:t>
      </w:r>
      <w:r w:rsidR="0054353B">
        <w:t xml:space="preserve"> El Tesoro es el órgano que realiza las operaciones de caja. Si no se cumplen las previsiones de ingresos, el Tesoro se encarga de obtener liquidez extra.</w:t>
      </w:r>
    </w:p>
  </w:footnote>
  <w:footnote w:id="11">
    <w:p w14:paraId="1D7DD6B5" w14:textId="4634AB8C" w:rsidR="00683322" w:rsidRDefault="00790C7A">
      <w:pPr>
        <w:pStyle w:val="Textonotapie"/>
      </w:pPr>
      <w:r>
        <w:rPr>
          <w:rStyle w:val="Refdenotaalpie"/>
        </w:rPr>
        <w:footnoteRef/>
      </w:r>
      <w:r>
        <w:t xml:space="preserve"> </w:t>
      </w:r>
      <w:r w:rsidR="00683322" w:rsidRPr="00683322">
        <w:t>La misión del Tribunal de Cuentas es revisar las cuentas públicas y enjuiciar las posibles responsabilidades de los gestores de recursos públicos. Para ello, emite un informe anual que cuenta con 2</w:t>
      </w:r>
      <w:r w:rsidR="00683322">
        <w:t> </w:t>
      </w:r>
      <w:r w:rsidR="00683322" w:rsidRPr="00683322">
        <w:t>secciones: fiscalización de las cuentas públicas y enjuiciamiento de responsabilidad de los gestores de los recursos públicos.</w:t>
      </w:r>
    </w:p>
    <w:p w14:paraId="4254928F" w14:textId="10260440" w:rsidR="00790C7A" w:rsidRDefault="00790C7A">
      <w:pPr>
        <w:pStyle w:val="Textonotapie"/>
      </w:pPr>
      <w:r w:rsidRPr="00790C7A">
        <w:t>Procedimiento: finalizado el ejercicio presupuestario la IGAE envía al Tribunal de Cuentas (antes del 31 de octubre del año siguiente al que se refiera) su informe, y este emite su propio dictamen en el plazo de 6</w:t>
      </w:r>
      <w:r>
        <w:t> </w:t>
      </w:r>
      <w:r w:rsidRPr="00790C7A">
        <w:t>meses y lo eleva al legislativo (lo normal es que el proceso presupuestario finalice con el "descargo presupuestario”, por el cual el Parlamento aprueba la gestión del Ejecutivo).</w:t>
      </w:r>
    </w:p>
    <w:p w14:paraId="355CA7E9" w14:textId="0D1C2F2F" w:rsidR="00081752" w:rsidRDefault="00081752" w:rsidP="00081752">
      <w:pPr>
        <w:pStyle w:val="Textonotapie"/>
        <w:jc w:val="right"/>
      </w:pPr>
      <w:hyperlink r:id="rId1" w:history="1">
        <w:r w:rsidRPr="007F0E8E">
          <w:rPr>
            <w:rStyle w:val="Hipervnculo"/>
          </w:rPr>
          <w:t>https://www.tcu.es/es/la-institucion/regimen-juridico-y-economico/regimen-juridico</w:t>
        </w:r>
      </w:hyperlink>
    </w:p>
  </w:footnote>
  <w:footnote w:id="12">
    <w:p w14:paraId="0054ADCC" w14:textId="02261A8F" w:rsidR="0049674F" w:rsidRDefault="003B3D72" w:rsidP="003B3D72">
      <w:pPr>
        <w:pStyle w:val="Textonotapie"/>
        <w:jc w:val="left"/>
      </w:pPr>
      <m:oMath>
        <m:r>
          <w:rPr>
            <w:rFonts w:ascii="Cambria Math" w:hAnsi="Cambria Math" w:cs="Times New Roman"/>
          </w:rPr>
          <m:t xml:space="preserve"> </m:t>
        </m:r>
      </m:oMath>
      <w:r w:rsidR="0049674F">
        <w:rPr>
          <w:rStyle w:val="Refdenotaalpie"/>
        </w:rPr>
        <w:footnoteRef/>
      </w:r>
      <w:r>
        <w:rPr>
          <w:rFonts w:eastAsiaTheme="minorEastAsia"/>
        </w:rPr>
        <w:t xml:space="preserve"> </w:t>
      </w:r>
      <m:oMath>
        <m:sSub>
          <m:sSubPr>
            <m:ctrlPr>
              <w:rPr>
                <w:rFonts w:ascii="Cambria Math" w:hAnsi="Cambria Math" w:cs="Times New Roman"/>
                <w:i/>
              </w:rPr>
            </m:ctrlPr>
          </m:sSubPr>
          <m:e>
            <m:r>
              <m:rPr>
                <m:nor/>
              </m:rPr>
              <w:rPr>
                <w:rFonts w:cs="Times New Roman"/>
                <w:i/>
              </w:rPr>
              <m:t>G</m:t>
            </m:r>
          </m:e>
          <m:sub>
            <m:r>
              <m:rPr>
                <m:nor/>
              </m:rPr>
              <w:rPr>
                <w:rFonts w:cs="Times New Roman"/>
                <w:i/>
              </w:rPr>
              <m:t>t</m:t>
            </m:r>
          </m:sub>
        </m:sSub>
        <m:r>
          <w:rPr>
            <w:rFonts w:ascii="Cambria Math" w:hAnsi="Cambria Math" w:cs="Times New Roman"/>
          </w:rPr>
          <m:t>=</m:t>
        </m:r>
        <m:r>
          <m:rPr>
            <m:nor/>
          </m:rPr>
          <w:rPr>
            <w:rFonts w:cs="Times New Roman"/>
            <w:i/>
          </w:rPr>
          <m:t>b</m:t>
        </m:r>
        <m:r>
          <w:rPr>
            <w:rFonts w:ascii="Cambria Math" w:hAnsi="Cambria Math" w:cs="Times New Roman"/>
          </w:rPr>
          <m:t>∙</m:t>
        </m:r>
        <m:sSub>
          <m:sSubPr>
            <m:ctrlPr>
              <w:rPr>
                <w:rFonts w:ascii="Cambria Math" w:hAnsi="Cambria Math" w:cs="Times New Roman"/>
                <w:i/>
              </w:rPr>
            </m:ctrlPr>
          </m:sSubPr>
          <m:e>
            <m:r>
              <m:rPr>
                <m:nor/>
              </m:rPr>
              <w:rPr>
                <w:rFonts w:cs="Times New Roman"/>
                <w:i/>
              </w:rPr>
              <m:t>G</m:t>
            </m:r>
          </m:e>
          <m:sub>
            <m:r>
              <m:rPr>
                <m:nor/>
              </m:rPr>
              <w:rPr>
                <w:rFonts w:cs="Times New Roman"/>
                <w:i/>
              </w:rPr>
              <m:t>t</m:t>
            </m:r>
            <m:r>
              <w:rPr>
                <w:rFonts w:ascii="Cambria Math" w:hAnsi="Cambria Math" w:cs="Times New Roman"/>
              </w:rPr>
              <m:t>-</m:t>
            </m:r>
            <m:r>
              <m:rPr>
                <m:nor/>
              </m:rPr>
              <w:rPr>
                <w:rFonts w:cs="Times New Roman"/>
                <w:i/>
              </w:rPr>
              <m:t>1</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ε</m:t>
            </m:r>
          </m:e>
          <m:sub>
            <m:r>
              <m:rPr>
                <m:nor/>
              </m:rPr>
              <w:rPr>
                <w:rFonts w:cs="Times New Roman"/>
                <w:i/>
              </w:rPr>
              <m:t>t</m:t>
            </m:r>
          </m:sub>
        </m:sSub>
        <m:r>
          <m:rPr>
            <m:sty m:val="p"/>
          </m:rPr>
          <w:rPr>
            <w:rFonts w:ascii="Cambria Math" w:hAnsi="Cambria Math" w:cs="Times New Roman"/>
          </w:rPr>
          <w:br/>
        </m:r>
      </m:oMath>
      <w:r>
        <w:rPr>
          <w:rFonts w:cs="Times New Roman"/>
        </w:rPr>
        <w:t>d</w:t>
      </w:r>
      <w:r w:rsidR="0049674F" w:rsidRPr="00550252">
        <w:rPr>
          <w:rFonts w:cs="Times New Roman"/>
        </w:rPr>
        <w:t xml:space="preserve">onde </w:t>
      </w:r>
      <m:oMath>
        <m:r>
          <w:rPr>
            <w:rFonts w:ascii="Cambria Math" w:hAnsi="Cambria Math" w:cs="Times New Roman"/>
          </w:rPr>
          <m:t>b</m:t>
        </m:r>
      </m:oMath>
      <w:r w:rsidR="0049674F" w:rsidRPr="00550252">
        <w:rPr>
          <w:rFonts w:cs="Times New Roman"/>
        </w:rPr>
        <w:t xml:space="preserve"> es un coeficiente de incremento (normalmente &gt;1) y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49674F" w:rsidRPr="00550252">
        <w:rPr>
          <w:rFonts w:cs="Times New Roman"/>
        </w:rPr>
        <w:t xml:space="preserve"> una variable aleatoria de media 0 y varianza constante.</w:t>
      </w:r>
    </w:p>
  </w:footnote>
  <w:footnote w:id="13">
    <w:p w14:paraId="1B21B1BF" w14:textId="77777777" w:rsidR="00497D1F" w:rsidRPr="00C07EC8" w:rsidRDefault="00497D1F" w:rsidP="00497D1F">
      <w:pPr>
        <w:pStyle w:val="Textonotapie"/>
      </w:pPr>
      <w:r w:rsidRPr="00C07EC8">
        <w:rPr>
          <w:rStyle w:val="Refdenotaalpie"/>
          <w:rFonts w:cs="Times New Roman"/>
          <w:szCs w:val="24"/>
        </w:rPr>
        <w:footnoteRef/>
      </w:r>
      <w:r w:rsidRPr="00C07EC8">
        <w:t xml:space="preserve"> Cada gasto debe justificarse desde el 1</w:t>
      </w:r>
      <w:r w:rsidRPr="00C07EC8">
        <w:rPr>
          <w:vertAlign w:val="superscript"/>
        </w:rPr>
        <w:t xml:space="preserve">er </w:t>
      </w:r>
      <w:r w:rsidRPr="00C07EC8">
        <w:t>euro; no se debe explicar por qué se gasta más o menos que el año anterior, sino por qué se gasta en una partida, y esto debe hacerse en todos los ejercicios.</w:t>
      </w:r>
    </w:p>
  </w:footnote>
  <w:footnote w:id="14">
    <w:p w14:paraId="2F660512" w14:textId="77777777" w:rsidR="00DB40C1" w:rsidRDefault="00DB40C1" w:rsidP="00DB40C1">
      <w:pPr>
        <w:pStyle w:val="Textonotapie"/>
      </w:pPr>
      <w:r>
        <w:rPr>
          <w:rStyle w:val="Refdenotaalpie"/>
        </w:rPr>
        <w:footnoteRef/>
      </w:r>
      <w:r>
        <w:t xml:space="preserve"> </w:t>
      </w:r>
      <w:r w:rsidRPr="00976457">
        <w:t xml:space="preserve">Novo Corti, I., Díaz Roldán, C. &amp; Ruesga Benito, S. M. (2020). </w:t>
      </w:r>
      <w:r w:rsidRPr="00976457">
        <w:rPr>
          <w:i/>
          <w:iCs/>
        </w:rPr>
        <w:t>Presión y fraude fiscales, predisposición a pagar impuestos y satisfacción personal en España / Fiscal Pressure and Fraud, Predisposition to Pay Taxes and Personal Satisfaction in Spain</w:t>
      </w:r>
      <w:r w:rsidRPr="00976457">
        <w:t xml:space="preserve">. Revista Española de Investigaciones Sociológicas. </w:t>
      </w:r>
      <w:hyperlink r:id="rId2" w:history="1">
        <w:r w:rsidRPr="00DB339D">
          <w:rPr>
            <w:rStyle w:val="Hipervnculo"/>
          </w:rPr>
          <w:t>https://doi.org/10.5477/cis/reis.172.101</w:t>
        </w:r>
      </w:hyperlink>
    </w:p>
    <w:p w14:paraId="77DD5CED" w14:textId="77777777" w:rsidR="00DB40C1" w:rsidRDefault="00DB40C1" w:rsidP="00DB40C1">
      <w:pPr>
        <w:pStyle w:val="Textonotapie"/>
        <w:jc w:val="center"/>
      </w:pPr>
      <w:r>
        <w:rPr>
          <w:noProof/>
        </w:rPr>
        <w:drawing>
          <wp:inline distT="0" distB="0" distL="0" distR="0" wp14:anchorId="0242E4B1" wp14:editId="77548E37">
            <wp:extent cx="2472063" cy="1163187"/>
            <wp:effectExtent l="0" t="0" r="4445" b="0"/>
            <wp:docPr id="153326891" name="Imagen 1" descr="Imagen de la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6891" name="Imagen 1" descr="Imagen de la pantalla de un celular con texto&#10;&#10;Descripción generada automáticamente con confianza media"/>
                    <pic:cNvPicPr/>
                  </pic:nvPicPr>
                  <pic:blipFill>
                    <a:blip r:embed="rId3"/>
                    <a:stretch>
                      <a:fillRect/>
                    </a:stretch>
                  </pic:blipFill>
                  <pic:spPr>
                    <a:xfrm>
                      <a:off x="0" y="0"/>
                      <a:ext cx="2509118" cy="1180623"/>
                    </a:xfrm>
                    <a:prstGeom prst="rect">
                      <a:avLst/>
                    </a:prstGeom>
                  </pic:spPr>
                </pic:pic>
              </a:graphicData>
            </a:graphic>
          </wp:inline>
        </w:drawing>
      </w:r>
    </w:p>
  </w:footnote>
  <w:footnote w:id="15">
    <w:p w14:paraId="3C95B1FF" w14:textId="28F3AA99" w:rsidR="00050723" w:rsidRDefault="00050723" w:rsidP="00050723">
      <w:pPr>
        <w:pStyle w:val="Textonotapie"/>
      </w:pPr>
      <w:r>
        <w:rPr>
          <w:rStyle w:val="Refdenotaalpie"/>
        </w:rPr>
        <w:footnoteRef/>
      </w:r>
      <w:r>
        <w:t xml:space="preserve"> A</w:t>
      </w:r>
      <w:r w:rsidRPr="0078662E">
        <w:t>unque la L</w:t>
      </w:r>
      <w:r>
        <w:t>O</w:t>
      </w:r>
      <w:r w:rsidRPr="0078662E">
        <w:t>EP</w:t>
      </w:r>
      <w:r>
        <w:t>SF</w:t>
      </w:r>
      <w:r w:rsidRPr="0078662E">
        <w:t xml:space="preserve"> entró en vigor en 201</w:t>
      </w:r>
      <w:r>
        <w:t>2</w:t>
      </w:r>
      <w:r w:rsidRPr="0078662E">
        <w:t>, los límites de estabilidad presupuestaria y de sostenibilidad financiera no entr</w:t>
      </w:r>
      <w:r w:rsidR="00720FB2">
        <w:t>a</w:t>
      </w:r>
      <w:r w:rsidRPr="0078662E">
        <w:t>n en vigor hasta el 1 de enero de 2020. Hasta entonces, se prevé un periodo transitorio para la reducción del volumen de deuda pública y del déficit público estructural. Respecto a la senda de reducción del déficit en este periodo transitorio, se establece que el déficit estructural del conjunto de las AA.PP. se deberá reducir, al menor, un 0,8</w:t>
      </w:r>
      <w:r w:rsidR="00720FB2">
        <w:t> </w:t>
      </w:r>
      <w:r w:rsidRPr="0078662E">
        <w:t>% del PIB nacional de media anual.</w:t>
      </w:r>
    </w:p>
  </w:footnote>
  <w:footnote w:id="16">
    <w:p w14:paraId="62B640C8" w14:textId="2A794CFA" w:rsidR="006F7F65" w:rsidRPr="005C386C" w:rsidRDefault="006F7F65" w:rsidP="006F7F65">
      <w:pPr>
        <w:pStyle w:val="Textonotapie"/>
      </w:pPr>
      <w:r w:rsidRPr="005C386C">
        <w:rPr>
          <w:rStyle w:val="Refdenotaalpie"/>
          <w:rFonts w:cs="Times New Roman"/>
          <w:sz w:val="20"/>
        </w:rPr>
        <w:footnoteRef/>
      </w:r>
      <w:r w:rsidRPr="005C386C">
        <w:t xml:space="preserve"> A la Administración Central le corresponde un 44</w:t>
      </w:r>
      <w:r w:rsidR="00363E82">
        <w:t> </w:t>
      </w:r>
      <w:r w:rsidRPr="005C386C">
        <w:t>% del PIB; al conjunto de CCAA, un 13</w:t>
      </w:r>
      <w:r w:rsidR="00363E82">
        <w:t> </w:t>
      </w:r>
      <w:r w:rsidRPr="005C386C">
        <w:t>% (este límite se aplica también a cada una de ellas con respe</w:t>
      </w:r>
      <w:r>
        <w:t>cto a su PIB regional), y a los entes locales</w:t>
      </w:r>
      <w:r w:rsidRPr="005C386C">
        <w:t>, un 3</w:t>
      </w:r>
      <w:r w:rsidR="00363E82">
        <w:t> </w:t>
      </w:r>
      <w:r w:rsidRPr="005C386C">
        <w:t>%. En el caso del déficit estructural: 0,26</w:t>
      </w:r>
      <w:r w:rsidR="00363E82">
        <w:t> </w:t>
      </w:r>
      <w:r w:rsidRPr="005C386C">
        <w:t>% del PIB para la Admón. Central y 0,14</w:t>
      </w:r>
      <w:r w:rsidR="00363E82">
        <w:t> </w:t>
      </w:r>
      <w:r w:rsidRPr="005C386C">
        <w:t>% para las CCAA. La Admón. Central cuenta con un límite mayor porque puede ayudar a suavizar las perturbaciones idiosincrásicas de cada territorio de forma más efectiva y dispone de mayor capacidad de acceso a los MFI</w:t>
      </w:r>
      <w:r>
        <w:t>.</w:t>
      </w:r>
    </w:p>
  </w:footnote>
  <w:footnote w:id="17">
    <w:p w14:paraId="04E02F46" w14:textId="77777777" w:rsidR="006F7F65" w:rsidRDefault="006F7F65" w:rsidP="006F7F65">
      <w:pPr>
        <w:pStyle w:val="Textonotapie"/>
      </w:pPr>
      <w:r>
        <w:rPr>
          <w:rStyle w:val="Refdenotaalpie"/>
        </w:rPr>
        <w:footnoteRef/>
      </w:r>
      <w:r>
        <w:t xml:space="preserve"> Introduce un procedimiento por el que los organismos que no la cumplan, tras varios avisos, puedan ser intervenidos por el Estado.</w:t>
      </w:r>
    </w:p>
  </w:footnote>
  <w:footnote w:id="18">
    <w:p w14:paraId="27823226" w14:textId="6B810E36" w:rsidR="006F7F65" w:rsidRPr="00BE76C2" w:rsidRDefault="006F7F65" w:rsidP="006F7F65">
      <w:pPr>
        <w:pStyle w:val="Textonotapie"/>
        <w:rPr>
          <w:spacing w:val="-2"/>
        </w:rPr>
      </w:pPr>
      <w:r w:rsidRPr="00BE76C2">
        <w:rPr>
          <w:rStyle w:val="Refdenotaalpie"/>
          <w:spacing w:val="-2"/>
        </w:rPr>
        <w:footnoteRef/>
      </w:r>
      <w:r w:rsidRPr="00BE76C2">
        <w:rPr>
          <w:spacing w:val="-2"/>
        </w:rPr>
        <w:t xml:space="preserve"> El gasto computable incluye los gastos no financiero excluidos intereses de la deuda, gasto no discrecional en prestaciones por desempleo, pensiones (SS en general), etc., de forma que se excluyen elementos sobre los que la autoridad fiscal tiene poco control. Además, si se aprueban cambios normativos que incrementen (reduzcan) permanentemente la recaudación, el límite de gasto deberá aumentar (disminuir) en la cuantía equivalente (si subes los impuestos puedes subir el gasto por encima de la tasa de crecimiento del PIB de medio plazo).</w:t>
      </w:r>
    </w:p>
  </w:footnote>
  <w:footnote w:id="19">
    <w:p w14:paraId="48CAAB9A" w14:textId="33F54E1B" w:rsidR="006F7F65" w:rsidRPr="00CD0BC7" w:rsidRDefault="006F7F65" w:rsidP="006F7F65">
      <w:pPr>
        <w:pStyle w:val="Textonotapie"/>
      </w:pPr>
      <w:r w:rsidRPr="005C386C">
        <w:rPr>
          <w:rStyle w:val="Refdenotaalpie"/>
          <w:rFonts w:cs="Times New Roman"/>
          <w:sz w:val="20"/>
        </w:rPr>
        <w:footnoteRef/>
      </w:r>
      <w:r>
        <w:t xml:space="preserve"> S</w:t>
      </w:r>
      <w:r w:rsidRPr="00CD0BC7">
        <w:t>e define como la media de las estimaciones del crecimiento potencial del PIB de 10</w:t>
      </w:r>
      <w:r>
        <w:t> </w:t>
      </w:r>
      <w:r w:rsidRPr="00CD0BC7">
        <w:t>años: los último 5</w:t>
      </w:r>
      <w:r>
        <w:t> </w:t>
      </w:r>
      <w:r w:rsidRPr="00CD0BC7">
        <w:t>años, el año corriente y las proyecciones para los siguientes 4</w:t>
      </w:r>
      <w:r>
        <w:t> </w:t>
      </w:r>
      <w:r w:rsidRPr="00CD0BC7">
        <w:t xml:space="preserve">años, de acuerdo a los criterios empleados por la Comisión Europea. Al calcular el límite de gasto en base a la evolución del PIB de diez años se evita que la regla genere un comportamiento procíclico del </w:t>
      </w:r>
      <w:r>
        <w:t>GP</w:t>
      </w:r>
      <w:r w:rsidRPr="00CD0BC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5" w:type="dxa"/>
      <w:jc w:val="center"/>
      <w:tblBorders>
        <w:bottom w:val="thickThinSmallGap" w:sz="12" w:space="0" w:color="5F2987"/>
      </w:tblBorders>
      <w:tblLook w:val="04A0" w:firstRow="1" w:lastRow="0" w:firstColumn="1" w:lastColumn="0" w:noHBand="0" w:noVBand="1"/>
    </w:tblPr>
    <w:tblGrid>
      <w:gridCol w:w="607"/>
      <w:gridCol w:w="7937"/>
      <w:gridCol w:w="2261"/>
    </w:tblGrid>
    <w:tr w:rsidR="00887FAF" w:rsidRPr="00704CDE" w14:paraId="444F6C15" w14:textId="77777777" w:rsidTr="00221254">
      <w:trPr>
        <w:trHeight w:val="136"/>
        <w:jc w:val="center"/>
      </w:trPr>
      <w:sdt>
        <w:sdtPr>
          <w:rPr>
            <w:b/>
            <w:bCs/>
            <w:i/>
            <w:iCs/>
            <w:caps/>
            <w:color w:val="5F2987"/>
            <w:sz w:val="18"/>
            <w:szCs w:val="18"/>
          </w:rPr>
          <w:alias w:val="Title"/>
          <w:tag w:val=""/>
          <w:id w:val="-2133399209"/>
          <w:dataBinding w:prefixMappings="xmlns:ns0='http://purl.org/dc/elements/1.1/' xmlns:ns1='http://schemas.openxmlformats.org/package/2006/metadata/core-properties' " w:xpath="/ns1:coreProperties[1]/ns0:title[1]" w:storeItemID="{6C3C8BC8-F283-45AE-878A-BAB7291924A1}"/>
          <w:text/>
        </w:sdtPr>
        <w:sdtContent>
          <w:tc>
            <w:tcPr>
              <w:tcW w:w="607" w:type="dxa"/>
              <w:shd w:val="clear" w:color="auto" w:fill="auto"/>
              <w:vAlign w:val="center"/>
            </w:tcPr>
            <w:p w14:paraId="0D314BED" w14:textId="77777777" w:rsidR="00887FAF" w:rsidRPr="00704CDE" w:rsidRDefault="00887FAF" w:rsidP="00887FAF">
              <w:pPr>
                <w:pStyle w:val="Encabezado"/>
                <w:tabs>
                  <w:tab w:val="clear" w:pos="4252"/>
                  <w:tab w:val="clear" w:pos="8504"/>
                  <w:tab w:val="right" w:pos="924"/>
                  <w:tab w:val="center" w:pos="1310"/>
                </w:tabs>
                <w:spacing w:after="0"/>
                <w:contextualSpacing/>
                <w:rPr>
                  <w:i/>
                  <w:iCs/>
                  <w:color w:val="5F2987"/>
                  <w:sz w:val="18"/>
                  <w:szCs w:val="18"/>
                </w:rPr>
              </w:pPr>
              <w:r w:rsidRPr="00704CDE">
                <w:rPr>
                  <w:b/>
                  <w:bCs/>
                  <w:i/>
                  <w:iCs/>
                  <w:caps/>
                  <w:color w:val="5F2987"/>
                  <w:sz w:val="18"/>
                  <w:szCs w:val="18"/>
                </w:rPr>
                <w:t>4.B.3</w:t>
              </w:r>
            </w:p>
          </w:tc>
        </w:sdtContent>
      </w:sdt>
      <w:tc>
        <w:tcPr>
          <w:tcW w:w="7937" w:type="dxa"/>
          <w:shd w:val="clear" w:color="auto" w:fill="auto"/>
          <w:vAlign w:val="center"/>
        </w:tcPr>
        <w:sdt>
          <w:sdtPr>
            <w:rPr>
              <w:i/>
              <w:iCs/>
              <w:color w:val="5F2987"/>
              <w:spacing w:val="-4"/>
              <w:sz w:val="18"/>
              <w:szCs w:val="18"/>
            </w:rPr>
            <w:alias w:val="Subject"/>
            <w:tag w:val=""/>
            <w:id w:val="715940301"/>
            <w:dataBinding w:prefixMappings="xmlns:ns0='http://purl.org/dc/elements/1.1/' xmlns:ns1='http://schemas.openxmlformats.org/package/2006/metadata/core-properties' " w:xpath="/ns1:coreProperties[1]/ns0:subject[1]" w:storeItemID="{6C3C8BC8-F283-45AE-878A-BAB7291924A1}"/>
            <w:text/>
          </w:sdtPr>
          <w:sdtContent>
            <w:p w14:paraId="373A851C" w14:textId="77777777" w:rsidR="00887FAF" w:rsidRPr="00704CDE" w:rsidRDefault="00887FAF" w:rsidP="00887FAF">
              <w:pPr>
                <w:pStyle w:val="Encabezado"/>
                <w:spacing w:after="0"/>
                <w:ind w:right="-110"/>
                <w:contextualSpacing/>
                <w:jc w:val="center"/>
                <w:rPr>
                  <w:i/>
                  <w:iCs/>
                  <w:color w:val="5F2987"/>
                  <w:sz w:val="18"/>
                  <w:szCs w:val="18"/>
                </w:rPr>
              </w:pPr>
              <w:r w:rsidRPr="00887FAF">
                <w:rPr>
                  <w:i/>
                  <w:iCs/>
                  <w:color w:val="5F2987"/>
                  <w:spacing w:val="-4"/>
                  <w:sz w:val="18"/>
                  <w:szCs w:val="18"/>
                </w:rPr>
                <w:t>Conceptos y características del presupuesto. Fases del proceso presupuestario. Principios clásicos del presupuesto y sus modificaciones. Las reformas presupuestarias más destacadas. Especial referencia al presupuesto de base cero.</w:t>
              </w:r>
            </w:p>
          </w:sdtContent>
        </w:sdt>
      </w:tc>
      <w:sdt>
        <w:sdtPr>
          <w:rPr>
            <w:b/>
            <w:bCs/>
            <w:i/>
            <w:iCs/>
            <w:color w:val="5F2987"/>
            <w:spacing w:val="-6"/>
            <w:sz w:val="18"/>
            <w:szCs w:val="18"/>
          </w:rPr>
          <w:alias w:val="Author"/>
          <w:tag w:val=""/>
          <w:id w:val="1271581420"/>
          <w:dataBinding w:prefixMappings="xmlns:ns0='http://purl.org/dc/elements/1.1/' xmlns:ns1='http://schemas.openxmlformats.org/package/2006/metadata/core-properties' " w:xpath="/ns1:coreProperties[1]/ns0:creator[1]" w:storeItemID="{6C3C8BC8-F283-45AE-878A-BAB7291924A1}"/>
          <w:text/>
        </w:sdtPr>
        <w:sdtContent>
          <w:tc>
            <w:tcPr>
              <w:tcW w:w="2261" w:type="dxa"/>
              <w:shd w:val="clear" w:color="auto" w:fill="auto"/>
              <w:vAlign w:val="center"/>
            </w:tcPr>
            <w:p w14:paraId="5B115DFC" w14:textId="77777777" w:rsidR="00887FAF" w:rsidRPr="00704CDE" w:rsidRDefault="00887FAF" w:rsidP="00887FAF">
              <w:pPr>
                <w:pStyle w:val="Encabezado"/>
                <w:spacing w:after="0"/>
                <w:contextualSpacing/>
                <w:jc w:val="right"/>
                <w:rPr>
                  <w:b/>
                  <w:bCs/>
                  <w:i/>
                  <w:iCs/>
                  <w:color w:val="5F2987"/>
                  <w:spacing w:val="-6"/>
                  <w:sz w:val="18"/>
                  <w:szCs w:val="18"/>
                </w:rPr>
              </w:pPr>
              <w:r w:rsidRPr="00704CDE">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5" w:type="dxa"/>
      <w:jc w:val="center"/>
      <w:tblBorders>
        <w:bottom w:val="thickThinSmallGap" w:sz="12" w:space="0" w:color="5F2987"/>
      </w:tblBorders>
      <w:tblLook w:val="04A0" w:firstRow="1" w:lastRow="0" w:firstColumn="1" w:lastColumn="0" w:noHBand="0" w:noVBand="1"/>
    </w:tblPr>
    <w:tblGrid>
      <w:gridCol w:w="607"/>
      <w:gridCol w:w="7937"/>
      <w:gridCol w:w="2261"/>
    </w:tblGrid>
    <w:tr w:rsidR="00704CDE" w:rsidRPr="00704CDE" w14:paraId="22552E10" w14:textId="77777777" w:rsidTr="00887FAF">
      <w:trPr>
        <w:trHeight w:val="136"/>
        <w:jc w:val="center"/>
      </w:trPr>
      <w:bookmarkStart w:id="80" w:name="_Hlk72149218" w:displacedByCustomXml="next"/>
      <w:sdt>
        <w:sdtPr>
          <w:rPr>
            <w:b/>
            <w:bCs/>
            <w:i/>
            <w:iCs/>
            <w:caps/>
            <w:color w:val="5F2987"/>
            <w:sz w:val="18"/>
            <w:szCs w:val="18"/>
          </w:rPr>
          <w:alias w:val="Title"/>
          <w:tag w:val=""/>
          <w:id w:val="-624615561"/>
          <w:dataBinding w:prefixMappings="xmlns:ns0='http://purl.org/dc/elements/1.1/' xmlns:ns1='http://schemas.openxmlformats.org/package/2006/metadata/core-properties' " w:xpath="/ns1:coreProperties[1]/ns0:title[1]" w:storeItemID="{6C3C8BC8-F283-45AE-878A-BAB7291924A1}"/>
          <w:text/>
        </w:sdtPr>
        <w:sdtContent>
          <w:tc>
            <w:tcPr>
              <w:tcW w:w="607" w:type="dxa"/>
              <w:shd w:val="clear" w:color="auto" w:fill="auto"/>
              <w:vAlign w:val="center"/>
            </w:tcPr>
            <w:p w14:paraId="3A9A58EE" w14:textId="2AAC02AA" w:rsidR="00B91849" w:rsidRPr="00704CDE" w:rsidRDefault="00B91849" w:rsidP="00B91849">
              <w:pPr>
                <w:pStyle w:val="Encabezado"/>
                <w:tabs>
                  <w:tab w:val="clear" w:pos="4252"/>
                  <w:tab w:val="clear" w:pos="8504"/>
                  <w:tab w:val="right" w:pos="924"/>
                  <w:tab w:val="center" w:pos="1310"/>
                </w:tabs>
                <w:spacing w:after="0"/>
                <w:contextualSpacing/>
                <w:rPr>
                  <w:i/>
                  <w:iCs/>
                  <w:color w:val="5F2987"/>
                  <w:sz w:val="18"/>
                  <w:szCs w:val="18"/>
                </w:rPr>
              </w:pPr>
              <w:r w:rsidRPr="00704CDE">
                <w:rPr>
                  <w:b/>
                  <w:bCs/>
                  <w:i/>
                  <w:iCs/>
                  <w:caps/>
                  <w:color w:val="5F2987"/>
                  <w:sz w:val="18"/>
                  <w:szCs w:val="18"/>
                </w:rPr>
                <w:t>4.B.3</w:t>
              </w:r>
            </w:p>
          </w:tc>
        </w:sdtContent>
      </w:sdt>
      <w:tc>
        <w:tcPr>
          <w:tcW w:w="7937" w:type="dxa"/>
          <w:shd w:val="clear" w:color="auto" w:fill="auto"/>
          <w:vAlign w:val="center"/>
        </w:tcPr>
        <w:sdt>
          <w:sdtPr>
            <w:rPr>
              <w:i/>
              <w:iCs/>
              <w:color w:val="5F2987"/>
              <w:spacing w:val="-4"/>
              <w:sz w:val="18"/>
              <w:szCs w:val="18"/>
            </w:rPr>
            <w:alias w:val="Subject"/>
            <w:tag w:val=""/>
            <w:id w:val="1963759230"/>
            <w:dataBinding w:prefixMappings="xmlns:ns0='http://purl.org/dc/elements/1.1/' xmlns:ns1='http://schemas.openxmlformats.org/package/2006/metadata/core-properties' " w:xpath="/ns1:coreProperties[1]/ns0:subject[1]" w:storeItemID="{6C3C8BC8-F283-45AE-878A-BAB7291924A1}"/>
            <w:text/>
          </w:sdtPr>
          <w:sdtContent>
            <w:p w14:paraId="4E5275A1" w14:textId="799889C7" w:rsidR="00B91849" w:rsidRPr="00704CDE" w:rsidRDefault="00412760" w:rsidP="00B91849">
              <w:pPr>
                <w:pStyle w:val="Encabezado"/>
                <w:spacing w:after="0"/>
                <w:ind w:right="-110"/>
                <w:contextualSpacing/>
                <w:jc w:val="center"/>
                <w:rPr>
                  <w:i/>
                  <w:iCs/>
                  <w:color w:val="5F2987"/>
                  <w:sz w:val="18"/>
                  <w:szCs w:val="18"/>
                </w:rPr>
              </w:pPr>
              <w:r w:rsidRPr="00887FAF">
                <w:rPr>
                  <w:i/>
                  <w:iCs/>
                  <w:color w:val="5F2987"/>
                  <w:spacing w:val="-4"/>
                  <w:sz w:val="18"/>
                  <w:szCs w:val="18"/>
                </w:rPr>
                <w:t>Conceptos y características del presupuesto. Fases del proceso presupuestario. Principios clásicos del presupuesto y sus modificaciones. Las reformas presupuestarias más destacadas. Especial referencia al presupuesto de base cero.</w:t>
              </w:r>
            </w:p>
          </w:sdtContent>
        </w:sdt>
      </w:tc>
      <w:sdt>
        <w:sdtPr>
          <w:rPr>
            <w:b/>
            <w:bCs/>
            <w:i/>
            <w:iCs/>
            <w:color w:val="5F2987"/>
            <w:spacing w:val="-6"/>
            <w:sz w:val="18"/>
            <w:szCs w:val="18"/>
          </w:rPr>
          <w:alias w:val="Author"/>
          <w:tag w:val=""/>
          <w:id w:val="-1117748930"/>
          <w:dataBinding w:prefixMappings="xmlns:ns0='http://purl.org/dc/elements/1.1/' xmlns:ns1='http://schemas.openxmlformats.org/package/2006/metadata/core-properties' " w:xpath="/ns1:coreProperties[1]/ns0:creator[1]" w:storeItemID="{6C3C8BC8-F283-45AE-878A-BAB7291924A1}"/>
          <w:text/>
        </w:sdtPr>
        <w:sdtContent>
          <w:tc>
            <w:tcPr>
              <w:tcW w:w="2261" w:type="dxa"/>
              <w:shd w:val="clear" w:color="auto" w:fill="auto"/>
              <w:vAlign w:val="center"/>
            </w:tcPr>
            <w:p w14:paraId="4C779327" w14:textId="519C1880" w:rsidR="00B91849" w:rsidRPr="00704CDE" w:rsidRDefault="00704CDE" w:rsidP="00B91849">
              <w:pPr>
                <w:pStyle w:val="Encabezado"/>
                <w:spacing w:after="0"/>
                <w:contextualSpacing/>
                <w:jc w:val="right"/>
                <w:rPr>
                  <w:b/>
                  <w:bCs/>
                  <w:i/>
                  <w:iCs/>
                  <w:color w:val="5F2987"/>
                  <w:spacing w:val="-6"/>
                  <w:sz w:val="18"/>
                  <w:szCs w:val="18"/>
                </w:rPr>
              </w:pPr>
              <w:r w:rsidRPr="00704CDE">
                <w:rPr>
                  <w:b/>
                  <w:bCs/>
                  <w:i/>
                  <w:iCs/>
                  <w:color w:val="5F2987"/>
                  <w:spacing w:val="-6"/>
                  <w:sz w:val="18"/>
                  <w:szCs w:val="18"/>
                </w:rPr>
                <w:t>Víctor Gutiérrez Marcos</w:t>
              </w:r>
            </w:p>
          </w:tc>
        </w:sdtContent>
      </w:sdt>
    </w:tr>
    <w:bookmarkEnd w:id="80"/>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24" w:type="dxa"/>
      <w:tblInd w:w="-885" w:type="dxa"/>
      <w:tblBorders>
        <w:bottom w:val="single" w:sz="4" w:space="0" w:color="5F2987"/>
      </w:tblBorders>
      <w:tblLook w:val="04A0" w:firstRow="1" w:lastRow="0" w:firstColumn="1" w:lastColumn="0" w:noHBand="0" w:noVBand="1"/>
    </w:tblPr>
    <w:tblGrid>
      <w:gridCol w:w="3261"/>
      <w:gridCol w:w="4819"/>
      <w:gridCol w:w="3544"/>
    </w:tblGrid>
    <w:tr w:rsidR="00B91849" w:rsidRPr="00B91849" w14:paraId="54D01F23" w14:textId="77777777" w:rsidTr="00B91849">
      <w:tc>
        <w:tcPr>
          <w:tcW w:w="3261" w:type="dxa"/>
          <w:tcBorders>
            <w:bottom w:val="thickThinSmallGap" w:sz="12" w:space="0" w:color="5F2987"/>
          </w:tcBorders>
          <w:shd w:val="clear" w:color="auto" w:fill="auto"/>
        </w:tcPr>
        <w:p w14:paraId="01615039" w14:textId="5B6B7A55" w:rsidR="00B91849" w:rsidRPr="00B91849" w:rsidRDefault="00B91849" w:rsidP="00B91849">
          <w:pPr>
            <w:pStyle w:val="Encabezado"/>
            <w:spacing w:after="0"/>
            <w:jc w:val="left"/>
            <w:rPr>
              <w:i/>
              <w:iCs/>
              <w:color w:val="5F2987"/>
              <w:spacing w:val="-6"/>
              <w:sz w:val="18"/>
              <w:szCs w:val="18"/>
            </w:rPr>
          </w:pPr>
          <w:r w:rsidRPr="00B91849">
            <w:rPr>
              <w:i/>
              <w:iCs/>
              <w:color w:val="5F2987"/>
              <w:spacing w:val="-6"/>
              <w:sz w:val="14"/>
              <w:szCs w:val="14"/>
            </w:rPr>
            <w:t>Fecha de la última actualización:</w:t>
          </w:r>
          <w:r w:rsidRPr="00B91849">
            <w:rPr>
              <w:i/>
              <w:iCs/>
              <w:color w:val="5F2987"/>
              <w:spacing w:val="-6"/>
              <w:sz w:val="18"/>
              <w:szCs w:val="18"/>
            </w:rPr>
            <w:t xml:space="preserve"> </w:t>
          </w:r>
          <w:r w:rsidRPr="00B91849">
            <w:rPr>
              <w:i/>
              <w:iCs/>
              <w:color w:val="5F2987"/>
              <w:spacing w:val="-6"/>
              <w:sz w:val="18"/>
              <w:szCs w:val="18"/>
            </w:rPr>
            <w:fldChar w:fldCharType="begin"/>
          </w:r>
          <w:r w:rsidRPr="00B91849">
            <w:rPr>
              <w:i/>
              <w:iCs/>
              <w:color w:val="5F2987"/>
              <w:spacing w:val="-6"/>
              <w:sz w:val="18"/>
              <w:szCs w:val="18"/>
            </w:rPr>
            <w:instrText xml:space="preserve"> SAVEDATE  \@ "dd/MM/yyyy"  \* MERGEFORMAT </w:instrText>
          </w:r>
          <w:r w:rsidRPr="00B91849">
            <w:rPr>
              <w:i/>
              <w:iCs/>
              <w:color w:val="5F2987"/>
              <w:spacing w:val="-6"/>
              <w:sz w:val="18"/>
              <w:szCs w:val="18"/>
            </w:rPr>
            <w:fldChar w:fldCharType="separate"/>
          </w:r>
          <w:r w:rsidR="00991809">
            <w:rPr>
              <w:i/>
              <w:iCs/>
              <w:noProof/>
              <w:color w:val="5F2987"/>
              <w:spacing w:val="-6"/>
              <w:sz w:val="18"/>
              <w:szCs w:val="18"/>
            </w:rPr>
            <w:t>31/10/2023</w:t>
          </w:r>
          <w:r w:rsidRPr="00B91849">
            <w:rPr>
              <w:i/>
              <w:iCs/>
              <w:color w:val="5F2987"/>
              <w:spacing w:val="-6"/>
              <w:sz w:val="18"/>
              <w:szCs w:val="18"/>
            </w:rPr>
            <w:fldChar w:fldCharType="end"/>
          </w:r>
        </w:p>
      </w:tc>
      <w:tc>
        <w:tcPr>
          <w:tcW w:w="4819" w:type="dxa"/>
          <w:tcBorders>
            <w:bottom w:val="thickThinSmallGap" w:sz="12" w:space="0" w:color="5F2987"/>
          </w:tcBorders>
          <w:shd w:val="clear" w:color="auto" w:fill="auto"/>
        </w:tcPr>
        <w:p w14:paraId="0D4F51B5" w14:textId="77777777" w:rsidR="00B91849" w:rsidRPr="00B91849" w:rsidRDefault="00B91849" w:rsidP="00B91849">
          <w:pPr>
            <w:pStyle w:val="Encabezado"/>
            <w:spacing w:after="0"/>
            <w:jc w:val="center"/>
            <w:rPr>
              <w:i/>
              <w:iCs/>
              <w:color w:val="5F2987"/>
              <w:spacing w:val="-6"/>
              <w:sz w:val="18"/>
              <w:szCs w:val="18"/>
            </w:rPr>
          </w:pPr>
          <w:r w:rsidRPr="00B91849">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69B40C2AE5054ACCB37A57585144BFB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shd w:val="clear" w:color="auto" w:fill="auto"/>
            </w:tcPr>
            <w:p w14:paraId="36FE4CAB" w14:textId="578669F7" w:rsidR="00B91849" w:rsidRPr="00B91849" w:rsidRDefault="00B91849" w:rsidP="00B91849">
              <w:pPr>
                <w:pStyle w:val="Encabezado"/>
                <w:spacing w:after="0"/>
                <w:jc w:val="right"/>
                <w:rPr>
                  <w:i/>
                  <w:iCs/>
                  <w:color w:val="5F2987"/>
                  <w:spacing w:val="-6"/>
                  <w:sz w:val="18"/>
                  <w:szCs w:val="18"/>
                </w:rPr>
              </w:pPr>
              <w:r w:rsidRPr="00B91849">
                <w:rPr>
                  <w:i/>
                  <w:iCs/>
                  <w:color w:val="5F2987"/>
                  <w:spacing w:val="-6"/>
                  <w:sz w:val="18"/>
                  <w:szCs w:val="18"/>
                </w:rPr>
                <w:t>4.B.3</w:t>
              </w:r>
            </w:p>
          </w:tc>
        </w:sdtContent>
      </w:sdt>
    </w:tr>
  </w:tbl>
  <w:p w14:paraId="4F477029" w14:textId="77777777" w:rsidR="00B91849" w:rsidRPr="00C80BBD" w:rsidRDefault="00B91849"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1DA2D1F"/>
    <w:multiLevelType w:val="hybridMultilevel"/>
    <w:tmpl w:val="81F617BE"/>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37140AB"/>
    <w:multiLevelType w:val="hybridMultilevel"/>
    <w:tmpl w:val="27788F96"/>
    <w:lvl w:ilvl="0" w:tplc="EB8CEA22">
      <w:start w:val="1"/>
      <w:numFmt w:val="lowerRoman"/>
      <w:lvlText w:val="%1)"/>
      <w:lvlJc w:val="right"/>
      <w:pPr>
        <w:ind w:left="1080" w:hanging="720"/>
      </w:pPr>
      <w:rPr>
        <w:rFonts w:hint="default"/>
        <w:i/>
        <w:iCs/>
      </w:rPr>
    </w:lvl>
    <w:lvl w:ilvl="1" w:tplc="30EA0E0E">
      <w:start w:val="1"/>
      <w:numFmt w:val="lowerLetter"/>
      <w:lvlText w:val="%2."/>
      <w:lvlJc w:val="right"/>
      <w:pPr>
        <w:ind w:left="1440" w:hanging="360"/>
      </w:pPr>
      <w:rPr>
        <w:rFonts w:hint="default"/>
        <w:i w:val="0"/>
        <w:iCs w:val="0"/>
      </w:rPr>
    </w:lvl>
    <w:lvl w:ilvl="2" w:tplc="0C0A001B">
      <w:start w:val="1"/>
      <w:numFmt w:val="lowerRoman"/>
      <w:lvlText w:val="%3."/>
      <w:lvlJc w:val="right"/>
      <w:pPr>
        <w:ind w:left="2160" w:hanging="180"/>
      </w:pPr>
    </w:lvl>
    <w:lvl w:ilvl="3" w:tplc="06CCF902">
      <w:start w:val="1"/>
      <w:numFmt w:val="decimal"/>
      <w:lvlText w:val="%4."/>
      <w:lvlJc w:val="left"/>
      <w:pPr>
        <w:ind w:left="2880" w:hanging="360"/>
      </w:pPr>
      <w:rPr>
        <w:rFonts w:hint="default"/>
      </w:rPr>
    </w:lvl>
    <w:lvl w:ilvl="4" w:tplc="DB7A87F2">
      <w:start w:val="1"/>
      <w:numFmt w:val="decimal"/>
      <w:lvlText w:val="%5)"/>
      <w:lvlJc w:val="left"/>
      <w:pPr>
        <w:ind w:left="3600" w:hanging="360"/>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097747F8"/>
    <w:multiLevelType w:val="multilevel"/>
    <w:tmpl w:val="89C60358"/>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5"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7" w15:restartNumberingAfterBreak="0">
    <w:nsid w:val="0C0B4544"/>
    <w:multiLevelType w:val="hybridMultilevel"/>
    <w:tmpl w:val="F41EE4B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0CB2498E"/>
    <w:multiLevelType w:val="hybridMultilevel"/>
    <w:tmpl w:val="1608A4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0E970FA"/>
    <w:multiLevelType w:val="hybridMultilevel"/>
    <w:tmpl w:val="1188CA0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0" w15:restartNumberingAfterBreak="0">
    <w:nsid w:val="154B221C"/>
    <w:multiLevelType w:val="hybridMultilevel"/>
    <w:tmpl w:val="806E94F8"/>
    <w:lvl w:ilvl="0" w:tplc="DB7A87F2">
      <w:start w:val="1"/>
      <w:numFmt w:val="decimal"/>
      <w:lvlText w:val="%1)"/>
      <w:lvlJc w:val="left"/>
      <w:pPr>
        <w:ind w:left="36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A097876"/>
    <w:multiLevelType w:val="hybridMultilevel"/>
    <w:tmpl w:val="541060D2"/>
    <w:lvl w:ilvl="0" w:tplc="06CCF902">
      <w:start w:val="1"/>
      <w:numFmt w:val="decimal"/>
      <w:lvlText w:val="%1."/>
      <w:lvlJc w:val="left"/>
      <w:pPr>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B2A3F81"/>
    <w:multiLevelType w:val="hybridMultilevel"/>
    <w:tmpl w:val="EDD6C65E"/>
    <w:lvl w:ilvl="0" w:tplc="66B6B50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EB119D2"/>
    <w:multiLevelType w:val="hybridMultilevel"/>
    <w:tmpl w:val="BE9AC78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22096DF0"/>
    <w:multiLevelType w:val="hybridMultilevel"/>
    <w:tmpl w:val="BB041B2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248D731C"/>
    <w:multiLevelType w:val="hybridMultilevel"/>
    <w:tmpl w:val="ACC0B7EE"/>
    <w:lvl w:ilvl="0" w:tplc="33CA3306">
      <w:start w:val="1"/>
      <w:numFmt w:val="decimal"/>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4EA62EB"/>
    <w:multiLevelType w:val="hybridMultilevel"/>
    <w:tmpl w:val="BC98928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4" w15:restartNumberingAfterBreak="0">
    <w:nsid w:val="27E35B33"/>
    <w:multiLevelType w:val="hybridMultilevel"/>
    <w:tmpl w:val="ACE44EA0"/>
    <w:lvl w:ilvl="0" w:tplc="FFFFFFFF">
      <w:start w:val="1"/>
      <w:numFmt w:val="decimal"/>
      <w:lvlText w:val="%1."/>
      <w:lvlJc w:val="righ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2C352E71"/>
    <w:multiLevelType w:val="hybridMultilevel"/>
    <w:tmpl w:val="1AA828FE"/>
    <w:lvl w:ilvl="0" w:tplc="F57EAA90">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D293470"/>
    <w:multiLevelType w:val="multilevel"/>
    <w:tmpl w:val="E4901C82"/>
    <w:styleLink w:val="WW8Num17"/>
    <w:lvl w:ilvl="0">
      <w:numFmt w:val="bullet"/>
      <w:lvlText w:val=""/>
      <w:lvlJc w:val="left"/>
      <w:rPr>
        <w:rFonts w:ascii="Wingdings" w:hAnsi="Wingdings"/>
      </w:rPr>
    </w:lvl>
    <w:lvl w:ilvl="1">
      <w:numFmt w:val="bullet"/>
      <w:lvlText w:val=""/>
      <w:lvlJc w:val="left"/>
      <w:rPr>
        <w:rFonts w:ascii="Symbol" w:hAnsi="Symbol"/>
        <w:sz w:val="24"/>
      </w:rPr>
    </w:lvl>
    <w:lvl w:ilvl="2">
      <w:start w:val="1"/>
      <w:numFmt w:val="upperRoman"/>
      <w:lvlText w:val="%3."/>
      <w:lvlJc w:val="right"/>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15:restartNumberingAfterBreak="0">
    <w:nsid w:val="2F4C2055"/>
    <w:multiLevelType w:val="hybridMultilevel"/>
    <w:tmpl w:val="1646DA96"/>
    <w:lvl w:ilvl="0" w:tplc="33CA3306">
      <w:start w:val="1"/>
      <w:numFmt w:val="decimal"/>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1F711E1"/>
    <w:multiLevelType w:val="hybridMultilevel"/>
    <w:tmpl w:val="1F0C6D8C"/>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389D19BA"/>
    <w:multiLevelType w:val="hybridMultilevel"/>
    <w:tmpl w:val="57722844"/>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60D1D98"/>
    <w:multiLevelType w:val="hybridMultilevel"/>
    <w:tmpl w:val="2E8ACCD8"/>
    <w:lvl w:ilvl="0" w:tplc="4CA2692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461B3AF4"/>
    <w:multiLevelType w:val="hybridMultilevel"/>
    <w:tmpl w:val="CE4486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50FB7C1A"/>
    <w:multiLevelType w:val="multilevel"/>
    <w:tmpl w:val="0809001D"/>
    <w:numStyleLink w:val="Lista1"/>
  </w:abstractNum>
  <w:abstractNum w:abstractNumId="4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A384D50"/>
    <w:multiLevelType w:val="hybridMultilevel"/>
    <w:tmpl w:val="5D02B38A"/>
    <w:lvl w:ilvl="0" w:tplc="0C0A000F">
      <w:start w:val="1"/>
      <w:numFmt w:val="decimal"/>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3" w15:restartNumberingAfterBreak="0">
    <w:nsid w:val="5B8E2D74"/>
    <w:multiLevelType w:val="hybridMultilevel"/>
    <w:tmpl w:val="D0840B62"/>
    <w:lvl w:ilvl="0" w:tplc="891448C0">
      <w:numFmt w:val="decimal"/>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22E5C28"/>
    <w:multiLevelType w:val="hybridMultilevel"/>
    <w:tmpl w:val="10E0B998"/>
    <w:lvl w:ilvl="0" w:tplc="9F68E436">
      <w:start w:val="1"/>
      <w:numFmt w:val="decimal"/>
      <w:lvlText w:val="%1."/>
      <w:lvlJc w:val="left"/>
      <w:pPr>
        <w:ind w:left="1069" w:hanging="360"/>
      </w:pPr>
      <w:rPr>
        <w:rFonts w:ascii="Times New Roman" w:hAnsi="Times New Roman" w:cs="Times New Roman" w:hint="default"/>
        <w:sz w:val="24"/>
        <w:szCs w:val="24"/>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5" w15:restartNumberingAfterBreak="0">
    <w:nsid w:val="63CF4529"/>
    <w:multiLevelType w:val="hybridMultilevel"/>
    <w:tmpl w:val="F9F492B8"/>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8"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8E4353"/>
    <w:multiLevelType w:val="hybridMultilevel"/>
    <w:tmpl w:val="F3220D54"/>
    <w:lvl w:ilvl="0" w:tplc="470E56E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6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65" w15:restartNumberingAfterBreak="0">
    <w:nsid w:val="79EB6E6D"/>
    <w:multiLevelType w:val="hybridMultilevel"/>
    <w:tmpl w:val="7A5A63B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7A741307"/>
    <w:multiLevelType w:val="hybridMultilevel"/>
    <w:tmpl w:val="ACE44EA0"/>
    <w:lvl w:ilvl="0" w:tplc="B2E2FD5E">
      <w:start w:val="1"/>
      <w:numFmt w:val="decimal"/>
      <w:lvlText w:val="%1."/>
      <w:lvlJc w:val="right"/>
      <w:pPr>
        <w:ind w:left="720" w:hanging="360"/>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7C994BE1"/>
    <w:multiLevelType w:val="hybridMultilevel"/>
    <w:tmpl w:val="90E4F624"/>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7F98487A"/>
    <w:multiLevelType w:val="hybridMultilevel"/>
    <w:tmpl w:val="89C01D5E"/>
    <w:lvl w:ilvl="0" w:tplc="EA0A409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85370576">
    <w:abstractNumId w:val="30"/>
  </w:num>
  <w:num w:numId="2" w16cid:durableId="2053335384">
    <w:abstractNumId w:val="35"/>
  </w:num>
  <w:num w:numId="3" w16cid:durableId="814875591">
    <w:abstractNumId w:val="23"/>
  </w:num>
  <w:num w:numId="4" w16cid:durableId="700010767">
    <w:abstractNumId w:val="15"/>
  </w:num>
  <w:num w:numId="5" w16cid:durableId="1677540814">
    <w:abstractNumId w:val="58"/>
  </w:num>
  <w:num w:numId="6" w16cid:durableId="1207333162">
    <w:abstractNumId w:val="10"/>
  </w:num>
  <w:num w:numId="7" w16cid:durableId="998920055">
    <w:abstractNumId w:val="49"/>
  </w:num>
  <w:num w:numId="8" w16cid:durableId="1033572710">
    <w:abstractNumId w:val="27"/>
  </w:num>
  <w:num w:numId="9" w16cid:durableId="865337879">
    <w:abstractNumId w:val="41"/>
  </w:num>
  <w:num w:numId="10" w16cid:durableId="1723941119">
    <w:abstractNumId w:val="29"/>
  </w:num>
  <w:num w:numId="11" w16cid:durableId="717239131">
    <w:abstractNumId w:val="46"/>
  </w:num>
  <w:num w:numId="12" w16cid:durableId="2048796861">
    <w:abstractNumId w:val="37"/>
  </w:num>
  <w:num w:numId="13" w16cid:durableId="66391008">
    <w:abstractNumId w:val="25"/>
  </w:num>
  <w:num w:numId="14" w16cid:durableId="948201015">
    <w:abstractNumId w:val="43"/>
  </w:num>
  <w:num w:numId="15" w16cid:durableId="794758472">
    <w:abstractNumId w:val="60"/>
  </w:num>
  <w:num w:numId="16" w16cid:durableId="1045835839">
    <w:abstractNumId w:val="16"/>
  </w:num>
  <w:num w:numId="17" w16cid:durableId="622855953">
    <w:abstractNumId w:val="61"/>
  </w:num>
  <w:num w:numId="18" w16cid:durableId="898053714">
    <w:abstractNumId w:val="64"/>
  </w:num>
  <w:num w:numId="19" w16cid:durableId="685911556">
    <w:abstractNumId w:val="63"/>
  </w:num>
  <w:num w:numId="20" w16cid:durableId="364016091">
    <w:abstractNumId w:val="31"/>
  </w:num>
  <w:num w:numId="21" w16cid:durableId="936139868">
    <w:abstractNumId w:val="51"/>
  </w:num>
  <w:num w:numId="22" w16cid:durableId="1941601567">
    <w:abstractNumId w:val="32"/>
  </w:num>
  <w:num w:numId="23" w16cid:durableId="1628200384">
    <w:abstractNumId w:val="47"/>
  </w:num>
  <w:num w:numId="24" w16cid:durableId="1204636104">
    <w:abstractNumId w:val="57"/>
  </w:num>
  <w:num w:numId="25" w16cid:durableId="1313871252">
    <w:abstractNumId w:val="33"/>
  </w:num>
  <w:num w:numId="26" w16cid:durableId="354111216">
    <w:abstractNumId w:val="9"/>
  </w:num>
  <w:num w:numId="27" w16cid:durableId="44918062">
    <w:abstractNumId w:val="7"/>
  </w:num>
  <w:num w:numId="28" w16cid:durableId="1535074854">
    <w:abstractNumId w:val="6"/>
  </w:num>
  <w:num w:numId="29" w16cid:durableId="563486466">
    <w:abstractNumId w:val="5"/>
  </w:num>
  <w:num w:numId="30" w16cid:durableId="1337000309">
    <w:abstractNumId w:val="4"/>
  </w:num>
  <w:num w:numId="31" w16cid:durableId="606349811">
    <w:abstractNumId w:val="8"/>
  </w:num>
  <w:num w:numId="32" w16cid:durableId="2146658207">
    <w:abstractNumId w:val="3"/>
  </w:num>
  <w:num w:numId="33" w16cid:durableId="127476851">
    <w:abstractNumId w:val="2"/>
  </w:num>
  <w:num w:numId="34" w16cid:durableId="265890891">
    <w:abstractNumId w:val="1"/>
  </w:num>
  <w:num w:numId="35" w16cid:durableId="1711565914">
    <w:abstractNumId w:val="0"/>
  </w:num>
  <w:num w:numId="36" w16cid:durableId="297034374">
    <w:abstractNumId w:val="62"/>
  </w:num>
  <w:num w:numId="37" w16cid:durableId="1792355248">
    <w:abstractNumId w:val="42"/>
  </w:num>
  <w:num w:numId="38" w16cid:durableId="961888626">
    <w:abstractNumId w:val="44"/>
  </w:num>
  <w:num w:numId="39" w16cid:durableId="7665390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11194641">
    <w:abstractNumId w:val="48"/>
  </w:num>
  <w:num w:numId="41" w16cid:durableId="868379089">
    <w:abstractNumId w:val="13"/>
  </w:num>
  <w:num w:numId="42" w16cid:durableId="1161240551">
    <w:abstractNumId w:val="21"/>
  </w:num>
  <w:num w:numId="43" w16cid:durableId="291862300">
    <w:abstractNumId w:val="56"/>
  </w:num>
  <w:num w:numId="44" w16cid:durableId="2004159994">
    <w:abstractNumId w:val="40"/>
  </w:num>
  <w:num w:numId="45" w16cid:durableId="1176655160">
    <w:abstractNumId w:val="24"/>
  </w:num>
  <w:num w:numId="46" w16cid:durableId="340663110">
    <w:abstractNumId w:val="21"/>
    <w:lvlOverride w:ilvl="0">
      <w:startOverride w:val="1"/>
    </w:lvlOverride>
    <w:lvlOverride w:ilvl="1"/>
  </w:num>
  <w:num w:numId="47" w16cid:durableId="1809735530">
    <w:abstractNumId w:val="28"/>
  </w:num>
  <w:num w:numId="48" w16cid:durableId="627275806">
    <w:abstractNumId w:val="53"/>
  </w:num>
  <w:num w:numId="49" w16cid:durableId="436947333">
    <w:abstractNumId w:val="36"/>
  </w:num>
  <w:num w:numId="50" w16cid:durableId="361907890">
    <w:abstractNumId w:val="12"/>
  </w:num>
  <w:num w:numId="51" w16cid:durableId="1428310825">
    <w:abstractNumId w:val="17"/>
  </w:num>
  <w:num w:numId="52" w16cid:durableId="1213233029">
    <w:abstractNumId w:val="67"/>
  </w:num>
  <w:num w:numId="53" w16cid:durableId="40712880">
    <w:abstractNumId w:val="38"/>
  </w:num>
  <w:num w:numId="54" w16cid:durableId="1039547362">
    <w:abstractNumId w:val="66"/>
  </w:num>
  <w:num w:numId="55" w16cid:durableId="1130131099">
    <w:abstractNumId w:val="11"/>
  </w:num>
  <w:num w:numId="56" w16cid:durableId="1458601646">
    <w:abstractNumId w:val="52"/>
  </w:num>
  <w:num w:numId="57" w16cid:durableId="1544900837">
    <w:abstractNumId w:val="39"/>
  </w:num>
  <w:num w:numId="58" w16cid:durableId="643393493">
    <w:abstractNumId w:val="54"/>
  </w:num>
  <w:num w:numId="59" w16cid:durableId="1836802453">
    <w:abstractNumId w:val="55"/>
  </w:num>
  <w:num w:numId="60" w16cid:durableId="1657954416">
    <w:abstractNumId w:val="59"/>
  </w:num>
  <w:num w:numId="61" w16cid:durableId="555432474">
    <w:abstractNumId w:val="44"/>
    <w:lvlOverride w:ilvl="0">
      <w:startOverride w:val="1"/>
    </w:lvlOverride>
    <w:lvlOverride w:ilvl="1"/>
  </w:num>
  <w:num w:numId="62" w16cid:durableId="1196692557">
    <w:abstractNumId w:val="19"/>
  </w:num>
  <w:num w:numId="63" w16cid:durableId="1304894882">
    <w:abstractNumId w:val="14"/>
  </w:num>
  <w:num w:numId="64" w16cid:durableId="1699235751">
    <w:abstractNumId w:val="50"/>
  </w:num>
  <w:num w:numId="65" w16cid:durableId="280763897">
    <w:abstractNumId w:val="18"/>
  </w:num>
  <w:num w:numId="66" w16cid:durableId="473525259">
    <w:abstractNumId w:val="44"/>
    <w:lvlOverride w:ilvl="0">
      <w:startOverride w:val="1"/>
    </w:lvlOverride>
    <w:lvlOverride w:ilvl="1">
      <w:startOverride w:val="3"/>
    </w:lvlOverride>
    <w:lvlOverride w:ilvl="2"/>
  </w:num>
  <w:num w:numId="67" w16cid:durableId="1467968759">
    <w:abstractNumId w:val="22"/>
  </w:num>
  <w:num w:numId="68" w16cid:durableId="208151563">
    <w:abstractNumId w:val="34"/>
  </w:num>
  <w:num w:numId="69" w16cid:durableId="723603662">
    <w:abstractNumId w:val="65"/>
  </w:num>
  <w:num w:numId="70" w16cid:durableId="1673408934">
    <w:abstractNumId w:val="26"/>
  </w:num>
  <w:num w:numId="71" w16cid:durableId="2140106973">
    <w:abstractNumId w:val="20"/>
  </w:num>
  <w:num w:numId="72" w16cid:durableId="1804226051">
    <w:abstractNumId w:val="45"/>
  </w:num>
  <w:num w:numId="73" w16cid:durableId="894511467">
    <w:abstractNumId w:val="44"/>
    <w:lvlOverride w:ilvl="0">
      <w:startOverride w:val="2"/>
    </w:lvlOverride>
    <w:lvlOverride w:ilvl="1"/>
  </w:num>
  <w:num w:numId="74" w16cid:durableId="1399548381">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66E"/>
    <w:rsid w:val="000016E3"/>
    <w:rsid w:val="00001E3D"/>
    <w:rsid w:val="00001E9E"/>
    <w:rsid w:val="000023C4"/>
    <w:rsid w:val="00002A09"/>
    <w:rsid w:val="00002B76"/>
    <w:rsid w:val="00002E3A"/>
    <w:rsid w:val="00002EB6"/>
    <w:rsid w:val="000032B1"/>
    <w:rsid w:val="000034E3"/>
    <w:rsid w:val="00003A25"/>
    <w:rsid w:val="000040EA"/>
    <w:rsid w:val="00004264"/>
    <w:rsid w:val="000051EF"/>
    <w:rsid w:val="000053F9"/>
    <w:rsid w:val="00005501"/>
    <w:rsid w:val="00005F38"/>
    <w:rsid w:val="00005F55"/>
    <w:rsid w:val="00006470"/>
    <w:rsid w:val="0000663D"/>
    <w:rsid w:val="000066BD"/>
    <w:rsid w:val="000066C0"/>
    <w:rsid w:val="0000675F"/>
    <w:rsid w:val="0000696D"/>
    <w:rsid w:val="00006E30"/>
    <w:rsid w:val="000072C5"/>
    <w:rsid w:val="000073AA"/>
    <w:rsid w:val="000076BF"/>
    <w:rsid w:val="000077E2"/>
    <w:rsid w:val="00007F0E"/>
    <w:rsid w:val="00010D0C"/>
    <w:rsid w:val="000110EF"/>
    <w:rsid w:val="00011356"/>
    <w:rsid w:val="000115D9"/>
    <w:rsid w:val="00012701"/>
    <w:rsid w:val="00012CD0"/>
    <w:rsid w:val="00013A71"/>
    <w:rsid w:val="00013BF9"/>
    <w:rsid w:val="00014326"/>
    <w:rsid w:val="0001470D"/>
    <w:rsid w:val="0001569A"/>
    <w:rsid w:val="000157F5"/>
    <w:rsid w:val="00015997"/>
    <w:rsid w:val="000160C9"/>
    <w:rsid w:val="000161D0"/>
    <w:rsid w:val="00016574"/>
    <w:rsid w:val="0001668B"/>
    <w:rsid w:val="00017700"/>
    <w:rsid w:val="00017730"/>
    <w:rsid w:val="00017B40"/>
    <w:rsid w:val="00017C10"/>
    <w:rsid w:val="00017ED1"/>
    <w:rsid w:val="00020166"/>
    <w:rsid w:val="0002076A"/>
    <w:rsid w:val="00020816"/>
    <w:rsid w:val="00021052"/>
    <w:rsid w:val="00021279"/>
    <w:rsid w:val="000214D2"/>
    <w:rsid w:val="0002185E"/>
    <w:rsid w:val="000218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A80"/>
    <w:rsid w:val="00024CD1"/>
    <w:rsid w:val="000254B1"/>
    <w:rsid w:val="0002556A"/>
    <w:rsid w:val="00025A5C"/>
    <w:rsid w:val="00025C78"/>
    <w:rsid w:val="0002613E"/>
    <w:rsid w:val="00026E2C"/>
    <w:rsid w:val="000272EA"/>
    <w:rsid w:val="00027B20"/>
    <w:rsid w:val="00027DD5"/>
    <w:rsid w:val="00027DF3"/>
    <w:rsid w:val="00030BE9"/>
    <w:rsid w:val="0003115D"/>
    <w:rsid w:val="0003122B"/>
    <w:rsid w:val="000317B6"/>
    <w:rsid w:val="000319FC"/>
    <w:rsid w:val="00031D49"/>
    <w:rsid w:val="000322BC"/>
    <w:rsid w:val="000329E8"/>
    <w:rsid w:val="00032AA1"/>
    <w:rsid w:val="00032E0F"/>
    <w:rsid w:val="00032EA1"/>
    <w:rsid w:val="00032EC1"/>
    <w:rsid w:val="00032ECC"/>
    <w:rsid w:val="0003313A"/>
    <w:rsid w:val="0003352F"/>
    <w:rsid w:val="000335BC"/>
    <w:rsid w:val="000346B5"/>
    <w:rsid w:val="00036EAA"/>
    <w:rsid w:val="00037286"/>
    <w:rsid w:val="0003746A"/>
    <w:rsid w:val="000379B1"/>
    <w:rsid w:val="00037BA7"/>
    <w:rsid w:val="00040C13"/>
    <w:rsid w:val="000411AD"/>
    <w:rsid w:val="0004175F"/>
    <w:rsid w:val="000419AD"/>
    <w:rsid w:val="00041BFD"/>
    <w:rsid w:val="000421C1"/>
    <w:rsid w:val="000423AB"/>
    <w:rsid w:val="00042696"/>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72B2"/>
    <w:rsid w:val="00047596"/>
    <w:rsid w:val="000478BB"/>
    <w:rsid w:val="00047F74"/>
    <w:rsid w:val="00050723"/>
    <w:rsid w:val="0005073C"/>
    <w:rsid w:val="000508D3"/>
    <w:rsid w:val="00050D66"/>
    <w:rsid w:val="00051268"/>
    <w:rsid w:val="000515EB"/>
    <w:rsid w:val="00051EC1"/>
    <w:rsid w:val="00052224"/>
    <w:rsid w:val="00052AD8"/>
    <w:rsid w:val="00052E5A"/>
    <w:rsid w:val="0005333B"/>
    <w:rsid w:val="00053393"/>
    <w:rsid w:val="00053A00"/>
    <w:rsid w:val="00053B06"/>
    <w:rsid w:val="00053C54"/>
    <w:rsid w:val="00053CEF"/>
    <w:rsid w:val="000545A3"/>
    <w:rsid w:val="000549AD"/>
    <w:rsid w:val="00054CB3"/>
    <w:rsid w:val="0005513E"/>
    <w:rsid w:val="0005534A"/>
    <w:rsid w:val="00056419"/>
    <w:rsid w:val="000567DF"/>
    <w:rsid w:val="0005681F"/>
    <w:rsid w:val="00056F79"/>
    <w:rsid w:val="000570D0"/>
    <w:rsid w:val="000574BB"/>
    <w:rsid w:val="0005794D"/>
    <w:rsid w:val="000601B9"/>
    <w:rsid w:val="000603B8"/>
    <w:rsid w:val="00060B47"/>
    <w:rsid w:val="000612D3"/>
    <w:rsid w:val="00061379"/>
    <w:rsid w:val="00061555"/>
    <w:rsid w:val="00061865"/>
    <w:rsid w:val="0006187D"/>
    <w:rsid w:val="000621FB"/>
    <w:rsid w:val="00062584"/>
    <w:rsid w:val="00062667"/>
    <w:rsid w:val="00062B55"/>
    <w:rsid w:val="00063066"/>
    <w:rsid w:val="0006321F"/>
    <w:rsid w:val="00063852"/>
    <w:rsid w:val="00064985"/>
    <w:rsid w:val="000649BE"/>
    <w:rsid w:val="00064AA9"/>
    <w:rsid w:val="00065961"/>
    <w:rsid w:val="00065B51"/>
    <w:rsid w:val="00065D5E"/>
    <w:rsid w:val="00065F29"/>
    <w:rsid w:val="00066999"/>
    <w:rsid w:val="00066AD2"/>
    <w:rsid w:val="00066DB4"/>
    <w:rsid w:val="00066EA5"/>
    <w:rsid w:val="000675E4"/>
    <w:rsid w:val="0007015B"/>
    <w:rsid w:val="00070191"/>
    <w:rsid w:val="000705E3"/>
    <w:rsid w:val="00070AB1"/>
    <w:rsid w:val="00070C1B"/>
    <w:rsid w:val="0007141A"/>
    <w:rsid w:val="00071619"/>
    <w:rsid w:val="0007194A"/>
    <w:rsid w:val="00072504"/>
    <w:rsid w:val="00072553"/>
    <w:rsid w:val="0007259E"/>
    <w:rsid w:val="000725F5"/>
    <w:rsid w:val="000745FB"/>
    <w:rsid w:val="0007480F"/>
    <w:rsid w:val="00074AAF"/>
    <w:rsid w:val="0007508F"/>
    <w:rsid w:val="00076382"/>
    <w:rsid w:val="000764AD"/>
    <w:rsid w:val="00076B08"/>
    <w:rsid w:val="0007702B"/>
    <w:rsid w:val="0007729D"/>
    <w:rsid w:val="00077DFE"/>
    <w:rsid w:val="00081752"/>
    <w:rsid w:val="00081B23"/>
    <w:rsid w:val="0008229C"/>
    <w:rsid w:val="00082C9E"/>
    <w:rsid w:val="0008375E"/>
    <w:rsid w:val="00084408"/>
    <w:rsid w:val="00085177"/>
    <w:rsid w:val="00085FC9"/>
    <w:rsid w:val="0008688A"/>
    <w:rsid w:val="00086893"/>
    <w:rsid w:val="00086A82"/>
    <w:rsid w:val="00087BA9"/>
    <w:rsid w:val="00090006"/>
    <w:rsid w:val="0009025A"/>
    <w:rsid w:val="00090C80"/>
    <w:rsid w:val="00091307"/>
    <w:rsid w:val="00091BDA"/>
    <w:rsid w:val="00091DC2"/>
    <w:rsid w:val="000927C7"/>
    <w:rsid w:val="00093C52"/>
    <w:rsid w:val="00094FE7"/>
    <w:rsid w:val="000954D2"/>
    <w:rsid w:val="00095F6E"/>
    <w:rsid w:val="00096069"/>
    <w:rsid w:val="00096521"/>
    <w:rsid w:val="000968C5"/>
    <w:rsid w:val="00096C51"/>
    <w:rsid w:val="00096DFA"/>
    <w:rsid w:val="0009707D"/>
    <w:rsid w:val="000974BE"/>
    <w:rsid w:val="00097953"/>
    <w:rsid w:val="000979F7"/>
    <w:rsid w:val="000A00F4"/>
    <w:rsid w:val="000A0126"/>
    <w:rsid w:val="000A0643"/>
    <w:rsid w:val="000A0CD5"/>
    <w:rsid w:val="000A11D2"/>
    <w:rsid w:val="000A12DC"/>
    <w:rsid w:val="000A16CE"/>
    <w:rsid w:val="000A1D85"/>
    <w:rsid w:val="000A27FB"/>
    <w:rsid w:val="000A280C"/>
    <w:rsid w:val="000A2927"/>
    <w:rsid w:val="000A312B"/>
    <w:rsid w:val="000A3861"/>
    <w:rsid w:val="000A39AE"/>
    <w:rsid w:val="000A3EEA"/>
    <w:rsid w:val="000A442B"/>
    <w:rsid w:val="000A454A"/>
    <w:rsid w:val="000A5531"/>
    <w:rsid w:val="000A554E"/>
    <w:rsid w:val="000A6519"/>
    <w:rsid w:val="000A6528"/>
    <w:rsid w:val="000A6D52"/>
    <w:rsid w:val="000A6DE8"/>
    <w:rsid w:val="000A6F27"/>
    <w:rsid w:val="000A6FA7"/>
    <w:rsid w:val="000A73E3"/>
    <w:rsid w:val="000A7DBE"/>
    <w:rsid w:val="000A7E52"/>
    <w:rsid w:val="000B0054"/>
    <w:rsid w:val="000B0096"/>
    <w:rsid w:val="000B0BAE"/>
    <w:rsid w:val="000B11F8"/>
    <w:rsid w:val="000B15D8"/>
    <w:rsid w:val="000B19FF"/>
    <w:rsid w:val="000B1C3E"/>
    <w:rsid w:val="000B1D8F"/>
    <w:rsid w:val="000B1E8A"/>
    <w:rsid w:val="000B2526"/>
    <w:rsid w:val="000B30E2"/>
    <w:rsid w:val="000B3B89"/>
    <w:rsid w:val="000B3C7C"/>
    <w:rsid w:val="000B41CD"/>
    <w:rsid w:val="000B4B3B"/>
    <w:rsid w:val="000B5B11"/>
    <w:rsid w:val="000B6476"/>
    <w:rsid w:val="000B69FA"/>
    <w:rsid w:val="000B7003"/>
    <w:rsid w:val="000B7180"/>
    <w:rsid w:val="000B7442"/>
    <w:rsid w:val="000B744C"/>
    <w:rsid w:val="000B7548"/>
    <w:rsid w:val="000B792E"/>
    <w:rsid w:val="000B7DB6"/>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3DC2"/>
    <w:rsid w:val="000C3FA8"/>
    <w:rsid w:val="000C4B4C"/>
    <w:rsid w:val="000C4FD1"/>
    <w:rsid w:val="000C56EF"/>
    <w:rsid w:val="000C675D"/>
    <w:rsid w:val="000C703F"/>
    <w:rsid w:val="000C762E"/>
    <w:rsid w:val="000C76CF"/>
    <w:rsid w:val="000C7AB9"/>
    <w:rsid w:val="000D010B"/>
    <w:rsid w:val="000D0FDC"/>
    <w:rsid w:val="000D1552"/>
    <w:rsid w:val="000D18D7"/>
    <w:rsid w:val="000D22F9"/>
    <w:rsid w:val="000D2489"/>
    <w:rsid w:val="000D2E97"/>
    <w:rsid w:val="000D324F"/>
    <w:rsid w:val="000D329E"/>
    <w:rsid w:val="000D3789"/>
    <w:rsid w:val="000D4047"/>
    <w:rsid w:val="000D4E26"/>
    <w:rsid w:val="000D5122"/>
    <w:rsid w:val="000D530C"/>
    <w:rsid w:val="000D5388"/>
    <w:rsid w:val="000D5511"/>
    <w:rsid w:val="000D5658"/>
    <w:rsid w:val="000D79D9"/>
    <w:rsid w:val="000D7B09"/>
    <w:rsid w:val="000D7FAC"/>
    <w:rsid w:val="000E0D36"/>
    <w:rsid w:val="000E1061"/>
    <w:rsid w:val="000E112F"/>
    <w:rsid w:val="000E1335"/>
    <w:rsid w:val="000E140A"/>
    <w:rsid w:val="000E144E"/>
    <w:rsid w:val="000E1949"/>
    <w:rsid w:val="000E1A81"/>
    <w:rsid w:val="000E23AA"/>
    <w:rsid w:val="000E23EA"/>
    <w:rsid w:val="000E28EA"/>
    <w:rsid w:val="000E367B"/>
    <w:rsid w:val="000E39AF"/>
    <w:rsid w:val="000E3E9D"/>
    <w:rsid w:val="000E4208"/>
    <w:rsid w:val="000E47C9"/>
    <w:rsid w:val="000E48DC"/>
    <w:rsid w:val="000E49B1"/>
    <w:rsid w:val="000E537D"/>
    <w:rsid w:val="000E599F"/>
    <w:rsid w:val="000E5A0A"/>
    <w:rsid w:val="000E5A42"/>
    <w:rsid w:val="000E6261"/>
    <w:rsid w:val="000E65E9"/>
    <w:rsid w:val="000E6621"/>
    <w:rsid w:val="000E6FA0"/>
    <w:rsid w:val="000E7029"/>
    <w:rsid w:val="000E70A6"/>
    <w:rsid w:val="000E7B38"/>
    <w:rsid w:val="000F05E1"/>
    <w:rsid w:val="000F0914"/>
    <w:rsid w:val="000F0B43"/>
    <w:rsid w:val="000F12C9"/>
    <w:rsid w:val="000F12FD"/>
    <w:rsid w:val="000F1641"/>
    <w:rsid w:val="000F3A95"/>
    <w:rsid w:val="000F41A6"/>
    <w:rsid w:val="000F4BEB"/>
    <w:rsid w:val="000F51DA"/>
    <w:rsid w:val="000F5222"/>
    <w:rsid w:val="000F57A9"/>
    <w:rsid w:val="000F57CE"/>
    <w:rsid w:val="000F58E0"/>
    <w:rsid w:val="000F591C"/>
    <w:rsid w:val="000F595B"/>
    <w:rsid w:val="000F5E3F"/>
    <w:rsid w:val="000F6025"/>
    <w:rsid w:val="000F6E15"/>
    <w:rsid w:val="000F7357"/>
    <w:rsid w:val="000F75ED"/>
    <w:rsid w:val="000F79E6"/>
    <w:rsid w:val="000F7F30"/>
    <w:rsid w:val="001002DD"/>
    <w:rsid w:val="00100DE1"/>
    <w:rsid w:val="00101138"/>
    <w:rsid w:val="00101768"/>
    <w:rsid w:val="00101A75"/>
    <w:rsid w:val="00101CA5"/>
    <w:rsid w:val="001025D7"/>
    <w:rsid w:val="001033DC"/>
    <w:rsid w:val="00103552"/>
    <w:rsid w:val="00103677"/>
    <w:rsid w:val="001039D3"/>
    <w:rsid w:val="00103C93"/>
    <w:rsid w:val="00103D94"/>
    <w:rsid w:val="00103FD3"/>
    <w:rsid w:val="00104262"/>
    <w:rsid w:val="00104428"/>
    <w:rsid w:val="00104A2E"/>
    <w:rsid w:val="00104A41"/>
    <w:rsid w:val="001061BE"/>
    <w:rsid w:val="001062F1"/>
    <w:rsid w:val="00106401"/>
    <w:rsid w:val="00106C24"/>
    <w:rsid w:val="00107791"/>
    <w:rsid w:val="00107C93"/>
    <w:rsid w:val="001100D5"/>
    <w:rsid w:val="00110A50"/>
    <w:rsid w:val="00110C5E"/>
    <w:rsid w:val="00110FE6"/>
    <w:rsid w:val="0011118B"/>
    <w:rsid w:val="001111EE"/>
    <w:rsid w:val="00111F70"/>
    <w:rsid w:val="001123A7"/>
    <w:rsid w:val="00112A64"/>
    <w:rsid w:val="00113181"/>
    <w:rsid w:val="001132CB"/>
    <w:rsid w:val="001138C0"/>
    <w:rsid w:val="001138F3"/>
    <w:rsid w:val="00113926"/>
    <w:rsid w:val="00113C92"/>
    <w:rsid w:val="00113F74"/>
    <w:rsid w:val="0011405A"/>
    <w:rsid w:val="00114121"/>
    <w:rsid w:val="00114156"/>
    <w:rsid w:val="00114458"/>
    <w:rsid w:val="0011502D"/>
    <w:rsid w:val="001150C5"/>
    <w:rsid w:val="00115210"/>
    <w:rsid w:val="001152BD"/>
    <w:rsid w:val="00115FDC"/>
    <w:rsid w:val="001164CB"/>
    <w:rsid w:val="001168B8"/>
    <w:rsid w:val="00116B7B"/>
    <w:rsid w:val="001170B7"/>
    <w:rsid w:val="00117B8A"/>
    <w:rsid w:val="001204C9"/>
    <w:rsid w:val="001205E1"/>
    <w:rsid w:val="0012126B"/>
    <w:rsid w:val="00121369"/>
    <w:rsid w:val="001221B5"/>
    <w:rsid w:val="00122278"/>
    <w:rsid w:val="00122371"/>
    <w:rsid w:val="00122900"/>
    <w:rsid w:val="00122936"/>
    <w:rsid w:val="00123AF0"/>
    <w:rsid w:val="001244FF"/>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30361"/>
    <w:rsid w:val="001306CD"/>
    <w:rsid w:val="00130762"/>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632D"/>
    <w:rsid w:val="00136690"/>
    <w:rsid w:val="00136C70"/>
    <w:rsid w:val="001373DE"/>
    <w:rsid w:val="00137705"/>
    <w:rsid w:val="00137C0D"/>
    <w:rsid w:val="00141AE8"/>
    <w:rsid w:val="00142095"/>
    <w:rsid w:val="00142BF8"/>
    <w:rsid w:val="0014336D"/>
    <w:rsid w:val="00143B41"/>
    <w:rsid w:val="00143F4A"/>
    <w:rsid w:val="0014443A"/>
    <w:rsid w:val="00144545"/>
    <w:rsid w:val="00144DAA"/>
    <w:rsid w:val="0014577B"/>
    <w:rsid w:val="001459B6"/>
    <w:rsid w:val="00145BD6"/>
    <w:rsid w:val="001463EC"/>
    <w:rsid w:val="001467B0"/>
    <w:rsid w:val="001468F2"/>
    <w:rsid w:val="00146924"/>
    <w:rsid w:val="00146ACA"/>
    <w:rsid w:val="00146D04"/>
    <w:rsid w:val="00147934"/>
    <w:rsid w:val="00147EAD"/>
    <w:rsid w:val="00150090"/>
    <w:rsid w:val="00151742"/>
    <w:rsid w:val="0015199E"/>
    <w:rsid w:val="00152780"/>
    <w:rsid w:val="00153316"/>
    <w:rsid w:val="0015419A"/>
    <w:rsid w:val="0015430F"/>
    <w:rsid w:val="001545D6"/>
    <w:rsid w:val="0015495C"/>
    <w:rsid w:val="00154E47"/>
    <w:rsid w:val="00154EE3"/>
    <w:rsid w:val="00155144"/>
    <w:rsid w:val="00155472"/>
    <w:rsid w:val="001555E0"/>
    <w:rsid w:val="001558F1"/>
    <w:rsid w:val="00155B6D"/>
    <w:rsid w:val="00155D0A"/>
    <w:rsid w:val="00155EE2"/>
    <w:rsid w:val="00156641"/>
    <w:rsid w:val="001567CD"/>
    <w:rsid w:val="001569BA"/>
    <w:rsid w:val="00156EFF"/>
    <w:rsid w:val="00156F36"/>
    <w:rsid w:val="00157504"/>
    <w:rsid w:val="001577A2"/>
    <w:rsid w:val="00157C44"/>
    <w:rsid w:val="00157DE8"/>
    <w:rsid w:val="00157E61"/>
    <w:rsid w:val="00160011"/>
    <w:rsid w:val="00160023"/>
    <w:rsid w:val="00160061"/>
    <w:rsid w:val="00160698"/>
    <w:rsid w:val="001606DB"/>
    <w:rsid w:val="00160842"/>
    <w:rsid w:val="00160A2E"/>
    <w:rsid w:val="00160CF7"/>
    <w:rsid w:val="00161146"/>
    <w:rsid w:val="00161F76"/>
    <w:rsid w:val="001633DA"/>
    <w:rsid w:val="001637CC"/>
    <w:rsid w:val="001639C2"/>
    <w:rsid w:val="00163DDF"/>
    <w:rsid w:val="00163E43"/>
    <w:rsid w:val="00164977"/>
    <w:rsid w:val="00164C6B"/>
    <w:rsid w:val="00164D68"/>
    <w:rsid w:val="00164E25"/>
    <w:rsid w:val="00164F52"/>
    <w:rsid w:val="001650FE"/>
    <w:rsid w:val="00165EAD"/>
    <w:rsid w:val="00166877"/>
    <w:rsid w:val="00167DC8"/>
    <w:rsid w:val="00170321"/>
    <w:rsid w:val="001705BE"/>
    <w:rsid w:val="00171335"/>
    <w:rsid w:val="001714B6"/>
    <w:rsid w:val="00171FA8"/>
    <w:rsid w:val="00172068"/>
    <w:rsid w:val="001727E7"/>
    <w:rsid w:val="00173386"/>
    <w:rsid w:val="00173854"/>
    <w:rsid w:val="0017386A"/>
    <w:rsid w:val="001738A9"/>
    <w:rsid w:val="00173968"/>
    <w:rsid w:val="00173D3A"/>
    <w:rsid w:val="0017427D"/>
    <w:rsid w:val="0017486E"/>
    <w:rsid w:val="00174A9E"/>
    <w:rsid w:val="001751AD"/>
    <w:rsid w:val="001757B8"/>
    <w:rsid w:val="00175BC9"/>
    <w:rsid w:val="00176A0F"/>
    <w:rsid w:val="0017709E"/>
    <w:rsid w:val="0017722C"/>
    <w:rsid w:val="00177664"/>
    <w:rsid w:val="00177708"/>
    <w:rsid w:val="0017771E"/>
    <w:rsid w:val="00177836"/>
    <w:rsid w:val="001778CD"/>
    <w:rsid w:val="00177A61"/>
    <w:rsid w:val="00177D42"/>
    <w:rsid w:val="0018013F"/>
    <w:rsid w:val="00180335"/>
    <w:rsid w:val="001817E7"/>
    <w:rsid w:val="00181C36"/>
    <w:rsid w:val="00182034"/>
    <w:rsid w:val="00182462"/>
    <w:rsid w:val="00182AFD"/>
    <w:rsid w:val="00182CAE"/>
    <w:rsid w:val="00182F6F"/>
    <w:rsid w:val="00183427"/>
    <w:rsid w:val="00183AD7"/>
    <w:rsid w:val="00184D75"/>
    <w:rsid w:val="0018589E"/>
    <w:rsid w:val="00185B9F"/>
    <w:rsid w:val="00185ECD"/>
    <w:rsid w:val="0018673F"/>
    <w:rsid w:val="0018728D"/>
    <w:rsid w:val="001878DE"/>
    <w:rsid w:val="00190397"/>
    <w:rsid w:val="00190D02"/>
    <w:rsid w:val="00190F33"/>
    <w:rsid w:val="0019127C"/>
    <w:rsid w:val="00191285"/>
    <w:rsid w:val="00191311"/>
    <w:rsid w:val="001913DF"/>
    <w:rsid w:val="00191492"/>
    <w:rsid w:val="00192870"/>
    <w:rsid w:val="0019287E"/>
    <w:rsid w:val="001930F3"/>
    <w:rsid w:val="00193CB3"/>
    <w:rsid w:val="00193F15"/>
    <w:rsid w:val="00194EAD"/>
    <w:rsid w:val="001953E5"/>
    <w:rsid w:val="00195400"/>
    <w:rsid w:val="001958A6"/>
    <w:rsid w:val="00195F6D"/>
    <w:rsid w:val="00196044"/>
    <w:rsid w:val="00196147"/>
    <w:rsid w:val="00196972"/>
    <w:rsid w:val="00196B4B"/>
    <w:rsid w:val="00196C5B"/>
    <w:rsid w:val="00197282"/>
    <w:rsid w:val="001A03F7"/>
    <w:rsid w:val="001A0631"/>
    <w:rsid w:val="001A06D9"/>
    <w:rsid w:val="001A09E4"/>
    <w:rsid w:val="001A0CAC"/>
    <w:rsid w:val="001A0FD0"/>
    <w:rsid w:val="001A1ABF"/>
    <w:rsid w:val="001A25CD"/>
    <w:rsid w:val="001A2639"/>
    <w:rsid w:val="001A2719"/>
    <w:rsid w:val="001A2890"/>
    <w:rsid w:val="001A31DF"/>
    <w:rsid w:val="001A37B6"/>
    <w:rsid w:val="001A388D"/>
    <w:rsid w:val="001A45AD"/>
    <w:rsid w:val="001A4BB3"/>
    <w:rsid w:val="001A4D51"/>
    <w:rsid w:val="001A5858"/>
    <w:rsid w:val="001A5B6C"/>
    <w:rsid w:val="001A5E4B"/>
    <w:rsid w:val="001A6380"/>
    <w:rsid w:val="001A67F5"/>
    <w:rsid w:val="001A6C6C"/>
    <w:rsid w:val="001A6FAD"/>
    <w:rsid w:val="001A729F"/>
    <w:rsid w:val="001A7844"/>
    <w:rsid w:val="001A7895"/>
    <w:rsid w:val="001A7B4D"/>
    <w:rsid w:val="001B074F"/>
    <w:rsid w:val="001B111A"/>
    <w:rsid w:val="001B15CC"/>
    <w:rsid w:val="001B1E01"/>
    <w:rsid w:val="001B1FF4"/>
    <w:rsid w:val="001B22E1"/>
    <w:rsid w:val="001B23B4"/>
    <w:rsid w:val="001B26CF"/>
    <w:rsid w:val="001B2BA5"/>
    <w:rsid w:val="001B3038"/>
    <w:rsid w:val="001B3172"/>
    <w:rsid w:val="001B34E9"/>
    <w:rsid w:val="001B416B"/>
    <w:rsid w:val="001B4D08"/>
    <w:rsid w:val="001B4E25"/>
    <w:rsid w:val="001B5466"/>
    <w:rsid w:val="001B55C2"/>
    <w:rsid w:val="001B5793"/>
    <w:rsid w:val="001B58CA"/>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CCF"/>
    <w:rsid w:val="001C1DC8"/>
    <w:rsid w:val="001C1F92"/>
    <w:rsid w:val="001C2236"/>
    <w:rsid w:val="001C2A5B"/>
    <w:rsid w:val="001C2CAD"/>
    <w:rsid w:val="001C2EE4"/>
    <w:rsid w:val="001C3046"/>
    <w:rsid w:val="001C3ACE"/>
    <w:rsid w:val="001C3D0B"/>
    <w:rsid w:val="001C3DB7"/>
    <w:rsid w:val="001C4500"/>
    <w:rsid w:val="001C4953"/>
    <w:rsid w:val="001C4C26"/>
    <w:rsid w:val="001C4EA1"/>
    <w:rsid w:val="001C535E"/>
    <w:rsid w:val="001C53F5"/>
    <w:rsid w:val="001C6141"/>
    <w:rsid w:val="001C6951"/>
    <w:rsid w:val="001C7721"/>
    <w:rsid w:val="001C7848"/>
    <w:rsid w:val="001C7C16"/>
    <w:rsid w:val="001C7E0C"/>
    <w:rsid w:val="001D22E5"/>
    <w:rsid w:val="001D2AD9"/>
    <w:rsid w:val="001D2E0E"/>
    <w:rsid w:val="001D2EA1"/>
    <w:rsid w:val="001D391F"/>
    <w:rsid w:val="001D3C3D"/>
    <w:rsid w:val="001D3DEB"/>
    <w:rsid w:val="001D4096"/>
    <w:rsid w:val="001D4865"/>
    <w:rsid w:val="001D4E9B"/>
    <w:rsid w:val="001D559C"/>
    <w:rsid w:val="001D5A90"/>
    <w:rsid w:val="001D6930"/>
    <w:rsid w:val="001D6A97"/>
    <w:rsid w:val="001D6C3D"/>
    <w:rsid w:val="001D6EA3"/>
    <w:rsid w:val="001D73D5"/>
    <w:rsid w:val="001E014D"/>
    <w:rsid w:val="001E0354"/>
    <w:rsid w:val="001E03FE"/>
    <w:rsid w:val="001E0479"/>
    <w:rsid w:val="001E065A"/>
    <w:rsid w:val="001E0910"/>
    <w:rsid w:val="001E0D4E"/>
    <w:rsid w:val="001E11BE"/>
    <w:rsid w:val="001E12E2"/>
    <w:rsid w:val="001E14A2"/>
    <w:rsid w:val="001E1A52"/>
    <w:rsid w:val="001E1DA3"/>
    <w:rsid w:val="001E2164"/>
    <w:rsid w:val="001E3D44"/>
    <w:rsid w:val="001E3ED4"/>
    <w:rsid w:val="001E5634"/>
    <w:rsid w:val="001E5BBB"/>
    <w:rsid w:val="001E603D"/>
    <w:rsid w:val="001E6095"/>
    <w:rsid w:val="001E65E6"/>
    <w:rsid w:val="001E68C5"/>
    <w:rsid w:val="001E6E7B"/>
    <w:rsid w:val="001E7465"/>
    <w:rsid w:val="001E7791"/>
    <w:rsid w:val="001E798B"/>
    <w:rsid w:val="001E7BDD"/>
    <w:rsid w:val="001E7C03"/>
    <w:rsid w:val="001F00AD"/>
    <w:rsid w:val="001F0432"/>
    <w:rsid w:val="001F061D"/>
    <w:rsid w:val="001F09F2"/>
    <w:rsid w:val="001F0AD8"/>
    <w:rsid w:val="001F0FBD"/>
    <w:rsid w:val="001F0FC5"/>
    <w:rsid w:val="001F12B2"/>
    <w:rsid w:val="001F206A"/>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737C"/>
    <w:rsid w:val="001F73CB"/>
    <w:rsid w:val="001F7856"/>
    <w:rsid w:val="001F7896"/>
    <w:rsid w:val="0020044B"/>
    <w:rsid w:val="002004F7"/>
    <w:rsid w:val="00200B0E"/>
    <w:rsid w:val="00200C78"/>
    <w:rsid w:val="00200DE2"/>
    <w:rsid w:val="00200E22"/>
    <w:rsid w:val="00200EFE"/>
    <w:rsid w:val="002011D7"/>
    <w:rsid w:val="002015C1"/>
    <w:rsid w:val="002015F2"/>
    <w:rsid w:val="002017A6"/>
    <w:rsid w:val="0020182E"/>
    <w:rsid w:val="00201E27"/>
    <w:rsid w:val="002022B2"/>
    <w:rsid w:val="00202384"/>
    <w:rsid w:val="00202B5D"/>
    <w:rsid w:val="00202FE3"/>
    <w:rsid w:val="0020322D"/>
    <w:rsid w:val="002032BD"/>
    <w:rsid w:val="002035BB"/>
    <w:rsid w:val="00203AAD"/>
    <w:rsid w:val="00203E2F"/>
    <w:rsid w:val="00203F81"/>
    <w:rsid w:val="002042F4"/>
    <w:rsid w:val="00204948"/>
    <w:rsid w:val="00204BCA"/>
    <w:rsid w:val="00204E5D"/>
    <w:rsid w:val="00205221"/>
    <w:rsid w:val="00205552"/>
    <w:rsid w:val="0020598B"/>
    <w:rsid w:val="00206587"/>
    <w:rsid w:val="00206A8B"/>
    <w:rsid w:val="00207B84"/>
    <w:rsid w:val="002103E5"/>
    <w:rsid w:val="00210B62"/>
    <w:rsid w:val="00211C3A"/>
    <w:rsid w:val="00211E9D"/>
    <w:rsid w:val="00211F87"/>
    <w:rsid w:val="00212224"/>
    <w:rsid w:val="002129EF"/>
    <w:rsid w:val="0021349C"/>
    <w:rsid w:val="002134E0"/>
    <w:rsid w:val="0021352E"/>
    <w:rsid w:val="00213604"/>
    <w:rsid w:val="00213694"/>
    <w:rsid w:val="00213A95"/>
    <w:rsid w:val="00213C4E"/>
    <w:rsid w:val="00214595"/>
    <w:rsid w:val="00214ABD"/>
    <w:rsid w:val="00214BD2"/>
    <w:rsid w:val="00214D29"/>
    <w:rsid w:val="00214E4A"/>
    <w:rsid w:val="002152E7"/>
    <w:rsid w:val="0021552B"/>
    <w:rsid w:val="00215757"/>
    <w:rsid w:val="00215AA6"/>
    <w:rsid w:val="00215CAF"/>
    <w:rsid w:val="00215DD8"/>
    <w:rsid w:val="0021631D"/>
    <w:rsid w:val="002165E0"/>
    <w:rsid w:val="00216792"/>
    <w:rsid w:val="0021696D"/>
    <w:rsid w:val="00217336"/>
    <w:rsid w:val="0021737E"/>
    <w:rsid w:val="00217C4A"/>
    <w:rsid w:val="00217DFD"/>
    <w:rsid w:val="002202ED"/>
    <w:rsid w:val="002204FC"/>
    <w:rsid w:val="00220558"/>
    <w:rsid w:val="0022093F"/>
    <w:rsid w:val="00221390"/>
    <w:rsid w:val="0022185E"/>
    <w:rsid w:val="00221E5A"/>
    <w:rsid w:val="00222140"/>
    <w:rsid w:val="002221E3"/>
    <w:rsid w:val="002226D7"/>
    <w:rsid w:val="00222879"/>
    <w:rsid w:val="00223249"/>
    <w:rsid w:val="00223852"/>
    <w:rsid w:val="00223940"/>
    <w:rsid w:val="00224451"/>
    <w:rsid w:val="00225A4A"/>
    <w:rsid w:val="00226A1A"/>
    <w:rsid w:val="00226D92"/>
    <w:rsid w:val="0022753A"/>
    <w:rsid w:val="0022784E"/>
    <w:rsid w:val="00227A67"/>
    <w:rsid w:val="00227CEB"/>
    <w:rsid w:val="00227F49"/>
    <w:rsid w:val="0023047B"/>
    <w:rsid w:val="0023064E"/>
    <w:rsid w:val="0023072F"/>
    <w:rsid w:val="0023073A"/>
    <w:rsid w:val="00230A96"/>
    <w:rsid w:val="002310E7"/>
    <w:rsid w:val="00231F63"/>
    <w:rsid w:val="00232273"/>
    <w:rsid w:val="002325D0"/>
    <w:rsid w:val="00232977"/>
    <w:rsid w:val="0023328C"/>
    <w:rsid w:val="002334F9"/>
    <w:rsid w:val="00233538"/>
    <w:rsid w:val="00233CC7"/>
    <w:rsid w:val="00233FF0"/>
    <w:rsid w:val="00234361"/>
    <w:rsid w:val="00234569"/>
    <w:rsid w:val="00235884"/>
    <w:rsid w:val="00236081"/>
    <w:rsid w:val="002366E4"/>
    <w:rsid w:val="00236D8B"/>
    <w:rsid w:val="00236ED0"/>
    <w:rsid w:val="00237369"/>
    <w:rsid w:val="002373A2"/>
    <w:rsid w:val="00237599"/>
    <w:rsid w:val="0023792E"/>
    <w:rsid w:val="00237A1C"/>
    <w:rsid w:val="002401C4"/>
    <w:rsid w:val="00240471"/>
    <w:rsid w:val="00242152"/>
    <w:rsid w:val="0024217B"/>
    <w:rsid w:val="002422A9"/>
    <w:rsid w:val="00242F49"/>
    <w:rsid w:val="00242F80"/>
    <w:rsid w:val="0024324F"/>
    <w:rsid w:val="002436C1"/>
    <w:rsid w:val="002437DE"/>
    <w:rsid w:val="00243B69"/>
    <w:rsid w:val="0024415A"/>
    <w:rsid w:val="002450CD"/>
    <w:rsid w:val="002455EA"/>
    <w:rsid w:val="00245669"/>
    <w:rsid w:val="00245BE4"/>
    <w:rsid w:val="002460FB"/>
    <w:rsid w:val="00247220"/>
    <w:rsid w:val="00247C23"/>
    <w:rsid w:val="00250B87"/>
    <w:rsid w:val="00250EF6"/>
    <w:rsid w:val="0025135D"/>
    <w:rsid w:val="002513D1"/>
    <w:rsid w:val="0025205A"/>
    <w:rsid w:val="0025207F"/>
    <w:rsid w:val="00252362"/>
    <w:rsid w:val="00253F2E"/>
    <w:rsid w:val="0025409B"/>
    <w:rsid w:val="0025411D"/>
    <w:rsid w:val="002542B0"/>
    <w:rsid w:val="00254A2E"/>
    <w:rsid w:val="00254E6D"/>
    <w:rsid w:val="00255325"/>
    <w:rsid w:val="00255AD9"/>
    <w:rsid w:val="00255BDA"/>
    <w:rsid w:val="002562DB"/>
    <w:rsid w:val="0025647A"/>
    <w:rsid w:val="00256D5F"/>
    <w:rsid w:val="00256E4B"/>
    <w:rsid w:val="00256F20"/>
    <w:rsid w:val="00257085"/>
    <w:rsid w:val="00257F09"/>
    <w:rsid w:val="00260022"/>
    <w:rsid w:val="002600A5"/>
    <w:rsid w:val="002606E7"/>
    <w:rsid w:val="0026094A"/>
    <w:rsid w:val="0026124E"/>
    <w:rsid w:val="00261919"/>
    <w:rsid w:val="00261A24"/>
    <w:rsid w:val="00261DF2"/>
    <w:rsid w:val="0026300C"/>
    <w:rsid w:val="002635F6"/>
    <w:rsid w:val="00264633"/>
    <w:rsid w:val="00264CB8"/>
    <w:rsid w:val="00264F4B"/>
    <w:rsid w:val="00265E3F"/>
    <w:rsid w:val="0026611F"/>
    <w:rsid w:val="002666DB"/>
    <w:rsid w:val="00266A7E"/>
    <w:rsid w:val="00266C46"/>
    <w:rsid w:val="002671E8"/>
    <w:rsid w:val="00267369"/>
    <w:rsid w:val="00267E3F"/>
    <w:rsid w:val="00270597"/>
    <w:rsid w:val="00270602"/>
    <w:rsid w:val="002709BD"/>
    <w:rsid w:val="00270FAD"/>
    <w:rsid w:val="002717E7"/>
    <w:rsid w:val="00271E4F"/>
    <w:rsid w:val="002720CC"/>
    <w:rsid w:val="00272AD7"/>
    <w:rsid w:val="00272DCD"/>
    <w:rsid w:val="002730E8"/>
    <w:rsid w:val="0027335E"/>
    <w:rsid w:val="002733B8"/>
    <w:rsid w:val="00273840"/>
    <w:rsid w:val="00273BCD"/>
    <w:rsid w:val="00273F89"/>
    <w:rsid w:val="0027423C"/>
    <w:rsid w:val="00274759"/>
    <w:rsid w:val="002753A9"/>
    <w:rsid w:val="00275844"/>
    <w:rsid w:val="00275B88"/>
    <w:rsid w:val="00275C40"/>
    <w:rsid w:val="00275DAE"/>
    <w:rsid w:val="00275EEB"/>
    <w:rsid w:val="00275F17"/>
    <w:rsid w:val="002761D4"/>
    <w:rsid w:val="0027631D"/>
    <w:rsid w:val="0027685F"/>
    <w:rsid w:val="00276A31"/>
    <w:rsid w:val="0027735D"/>
    <w:rsid w:val="00277B20"/>
    <w:rsid w:val="00277BC3"/>
    <w:rsid w:val="0028039A"/>
    <w:rsid w:val="00281016"/>
    <w:rsid w:val="002813C7"/>
    <w:rsid w:val="00281DBD"/>
    <w:rsid w:val="002820A0"/>
    <w:rsid w:val="00282575"/>
    <w:rsid w:val="002829DB"/>
    <w:rsid w:val="00282F5B"/>
    <w:rsid w:val="00283057"/>
    <w:rsid w:val="00283388"/>
    <w:rsid w:val="00283B9C"/>
    <w:rsid w:val="00283EAB"/>
    <w:rsid w:val="002845C9"/>
    <w:rsid w:val="00284CA2"/>
    <w:rsid w:val="00284D9F"/>
    <w:rsid w:val="00284F63"/>
    <w:rsid w:val="002850CA"/>
    <w:rsid w:val="002851AA"/>
    <w:rsid w:val="002855C3"/>
    <w:rsid w:val="002855CF"/>
    <w:rsid w:val="00285B27"/>
    <w:rsid w:val="002900F8"/>
    <w:rsid w:val="00291208"/>
    <w:rsid w:val="00291B4B"/>
    <w:rsid w:val="00291DD0"/>
    <w:rsid w:val="00291E53"/>
    <w:rsid w:val="00291EE3"/>
    <w:rsid w:val="00292021"/>
    <w:rsid w:val="002921C7"/>
    <w:rsid w:val="002927FF"/>
    <w:rsid w:val="0029284A"/>
    <w:rsid w:val="0029285F"/>
    <w:rsid w:val="00292C24"/>
    <w:rsid w:val="00293D85"/>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560"/>
    <w:rsid w:val="00297D4B"/>
    <w:rsid w:val="00297F55"/>
    <w:rsid w:val="002A0153"/>
    <w:rsid w:val="002A0346"/>
    <w:rsid w:val="002A0515"/>
    <w:rsid w:val="002A0894"/>
    <w:rsid w:val="002A0F3C"/>
    <w:rsid w:val="002A1427"/>
    <w:rsid w:val="002A1A48"/>
    <w:rsid w:val="002A1C11"/>
    <w:rsid w:val="002A1C56"/>
    <w:rsid w:val="002A229C"/>
    <w:rsid w:val="002A23EB"/>
    <w:rsid w:val="002A291C"/>
    <w:rsid w:val="002A29B7"/>
    <w:rsid w:val="002A2CD8"/>
    <w:rsid w:val="002A2EB1"/>
    <w:rsid w:val="002A3240"/>
    <w:rsid w:val="002A3A6D"/>
    <w:rsid w:val="002A3F66"/>
    <w:rsid w:val="002A409D"/>
    <w:rsid w:val="002A4195"/>
    <w:rsid w:val="002A4383"/>
    <w:rsid w:val="002A4CD3"/>
    <w:rsid w:val="002A5433"/>
    <w:rsid w:val="002A590B"/>
    <w:rsid w:val="002A5D72"/>
    <w:rsid w:val="002A5FC3"/>
    <w:rsid w:val="002A5FEA"/>
    <w:rsid w:val="002A6354"/>
    <w:rsid w:val="002A6641"/>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24F5"/>
    <w:rsid w:val="002B404A"/>
    <w:rsid w:val="002B435A"/>
    <w:rsid w:val="002B46EF"/>
    <w:rsid w:val="002B50AE"/>
    <w:rsid w:val="002B510C"/>
    <w:rsid w:val="002B601D"/>
    <w:rsid w:val="002B652F"/>
    <w:rsid w:val="002B668A"/>
    <w:rsid w:val="002B6878"/>
    <w:rsid w:val="002B6BE4"/>
    <w:rsid w:val="002B6EBC"/>
    <w:rsid w:val="002B6F45"/>
    <w:rsid w:val="002B70F4"/>
    <w:rsid w:val="002B74B5"/>
    <w:rsid w:val="002B7700"/>
    <w:rsid w:val="002B79A4"/>
    <w:rsid w:val="002C04D4"/>
    <w:rsid w:val="002C1334"/>
    <w:rsid w:val="002C151D"/>
    <w:rsid w:val="002C1559"/>
    <w:rsid w:val="002C159B"/>
    <w:rsid w:val="002C22D0"/>
    <w:rsid w:val="002C2BC0"/>
    <w:rsid w:val="002C2E9C"/>
    <w:rsid w:val="002C2F29"/>
    <w:rsid w:val="002C3060"/>
    <w:rsid w:val="002C355C"/>
    <w:rsid w:val="002C3A97"/>
    <w:rsid w:val="002C3AB9"/>
    <w:rsid w:val="002C3DFA"/>
    <w:rsid w:val="002C41D5"/>
    <w:rsid w:val="002C4352"/>
    <w:rsid w:val="002C47CF"/>
    <w:rsid w:val="002C49FF"/>
    <w:rsid w:val="002C537C"/>
    <w:rsid w:val="002C5791"/>
    <w:rsid w:val="002C58B1"/>
    <w:rsid w:val="002C5D43"/>
    <w:rsid w:val="002C60D1"/>
    <w:rsid w:val="002C6DD9"/>
    <w:rsid w:val="002C6E92"/>
    <w:rsid w:val="002C79BB"/>
    <w:rsid w:val="002D012B"/>
    <w:rsid w:val="002D04C1"/>
    <w:rsid w:val="002D074D"/>
    <w:rsid w:val="002D0D0E"/>
    <w:rsid w:val="002D0F55"/>
    <w:rsid w:val="002D0F97"/>
    <w:rsid w:val="002D1943"/>
    <w:rsid w:val="002D1A73"/>
    <w:rsid w:val="002D1B88"/>
    <w:rsid w:val="002D2871"/>
    <w:rsid w:val="002D2937"/>
    <w:rsid w:val="002D2F39"/>
    <w:rsid w:val="002D3151"/>
    <w:rsid w:val="002D35FE"/>
    <w:rsid w:val="002D3700"/>
    <w:rsid w:val="002D3C97"/>
    <w:rsid w:val="002D3F74"/>
    <w:rsid w:val="002D41CF"/>
    <w:rsid w:val="002D4F5E"/>
    <w:rsid w:val="002D6445"/>
    <w:rsid w:val="002D65ED"/>
    <w:rsid w:val="002D67F9"/>
    <w:rsid w:val="002D694D"/>
    <w:rsid w:val="002D6FBA"/>
    <w:rsid w:val="002D704B"/>
    <w:rsid w:val="002D7650"/>
    <w:rsid w:val="002D7DB7"/>
    <w:rsid w:val="002D7DEC"/>
    <w:rsid w:val="002E02FF"/>
    <w:rsid w:val="002E0509"/>
    <w:rsid w:val="002E0C5D"/>
    <w:rsid w:val="002E1545"/>
    <w:rsid w:val="002E1E46"/>
    <w:rsid w:val="002E28A5"/>
    <w:rsid w:val="002E2BA7"/>
    <w:rsid w:val="002E35A7"/>
    <w:rsid w:val="002E3857"/>
    <w:rsid w:val="002E3B09"/>
    <w:rsid w:val="002E3F29"/>
    <w:rsid w:val="002E4952"/>
    <w:rsid w:val="002E51A2"/>
    <w:rsid w:val="002E5CDA"/>
    <w:rsid w:val="002E60C7"/>
    <w:rsid w:val="002E622D"/>
    <w:rsid w:val="002E6641"/>
    <w:rsid w:val="002E66A6"/>
    <w:rsid w:val="002E6A02"/>
    <w:rsid w:val="002E6B49"/>
    <w:rsid w:val="002E7189"/>
    <w:rsid w:val="002E7600"/>
    <w:rsid w:val="002E7815"/>
    <w:rsid w:val="002F0DC1"/>
    <w:rsid w:val="002F10A0"/>
    <w:rsid w:val="002F13B1"/>
    <w:rsid w:val="002F1556"/>
    <w:rsid w:val="002F1700"/>
    <w:rsid w:val="002F184D"/>
    <w:rsid w:val="002F1CA7"/>
    <w:rsid w:val="002F22D6"/>
    <w:rsid w:val="002F2459"/>
    <w:rsid w:val="002F2F23"/>
    <w:rsid w:val="002F2F49"/>
    <w:rsid w:val="002F3188"/>
    <w:rsid w:val="002F33EB"/>
    <w:rsid w:val="002F3B14"/>
    <w:rsid w:val="002F404C"/>
    <w:rsid w:val="002F414F"/>
    <w:rsid w:val="002F4AD0"/>
    <w:rsid w:val="002F4C9D"/>
    <w:rsid w:val="002F4F33"/>
    <w:rsid w:val="002F594E"/>
    <w:rsid w:val="002F59F8"/>
    <w:rsid w:val="002F5F22"/>
    <w:rsid w:val="002F6BB4"/>
    <w:rsid w:val="002F6F47"/>
    <w:rsid w:val="002F728D"/>
    <w:rsid w:val="002F7760"/>
    <w:rsid w:val="002F7C05"/>
    <w:rsid w:val="00300EF3"/>
    <w:rsid w:val="00301345"/>
    <w:rsid w:val="00301677"/>
    <w:rsid w:val="003017D1"/>
    <w:rsid w:val="003019C7"/>
    <w:rsid w:val="00301C50"/>
    <w:rsid w:val="00301C76"/>
    <w:rsid w:val="0030204F"/>
    <w:rsid w:val="003024A3"/>
    <w:rsid w:val="003026D6"/>
    <w:rsid w:val="003033DF"/>
    <w:rsid w:val="00303714"/>
    <w:rsid w:val="003039FE"/>
    <w:rsid w:val="00303A91"/>
    <w:rsid w:val="00303B26"/>
    <w:rsid w:val="003045D2"/>
    <w:rsid w:val="00305451"/>
    <w:rsid w:val="003056BC"/>
    <w:rsid w:val="00305D84"/>
    <w:rsid w:val="00306111"/>
    <w:rsid w:val="003068C2"/>
    <w:rsid w:val="0030690C"/>
    <w:rsid w:val="00306B9C"/>
    <w:rsid w:val="00306D9E"/>
    <w:rsid w:val="00306DD4"/>
    <w:rsid w:val="00306E78"/>
    <w:rsid w:val="00306ED4"/>
    <w:rsid w:val="00307FCB"/>
    <w:rsid w:val="003104F3"/>
    <w:rsid w:val="00310B41"/>
    <w:rsid w:val="00311181"/>
    <w:rsid w:val="0031202A"/>
    <w:rsid w:val="00312034"/>
    <w:rsid w:val="00312401"/>
    <w:rsid w:val="00312B1A"/>
    <w:rsid w:val="00312C58"/>
    <w:rsid w:val="00312FA3"/>
    <w:rsid w:val="00313643"/>
    <w:rsid w:val="00313C0B"/>
    <w:rsid w:val="00313FD9"/>
    <w:rsid w:val="00314096"/>
    <w:rsid w:val="003143FB"/>
    <w:rsid w:val="0031476B"/>
    <w:rsid w:val="0031483F"/>
    <w:rsid w:val="0031491B"/>
    <w:rsid w:val="00315CA4"/>
    <w:rsid w:val="0031626A"/>
    <w:rsid w:val="003164EA"/>
    <w:rsid w:val="00316B0E"/>
    <w:rsid w:val="00317447"/>
    <w:rsid w:val="00317C80"/>
    <w:rsid w:val="00320AB2"/>
    <w:rsid w:val="00320E74"/>
    <w:rsid w:val="00321147"/>
    <w:rsid w:val="00321EEF"/>
    <w:rsid w:val="00321F9C"/>
    <w:rsid w:val="003226AA"/>
    <w:rsid w:val="003226F9"/>
    <w:rsid w:val="00322815"/>
    <w:rsid w:val="003231EF"/>
    <w:rsid w:val="00323872"/>
    <w:rsid w:val="00323B38"/>
    <w:rsid w:val="00323C1C"/>
    <w:rsid w:val="00324755"/>
    <w:rsid w:val="003247AF"/>
    <w:rsid w:val="003249F0"/>
    <w:rsid w:val="00324D19"/>
    <w:rsid w:val="0032501D"/>
    <w:rsid w:val="003253BE"/>
    <w:rsid w:val="0032558C"/>
    <w:rsid w:val="0032580C"/>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752"/>
    <w:rsid w:val="0033197E"/>
    <w:rsid w:val="00331E23"/>
    <w:rsid w:val="00331FC9"/>
    <w:rsid w:val="003320DD"/>
    <w:rsid w:val="00333628"/>
    <w:rsid w:val="00333E87"/>
    <w:rsid w:val="00333F01"/>
    <w:rsid w:val="00334465"/>
    <w:rsid w:val="003348E4"/>
    <w:rsid w:val="00334C45"/>
    <w:rsid w:val="00334E73"/>
    <w:rsid w:val="00334F36"/>
    <w:rsid w:val="00334F3D"/>
    <w:rsid w:val="0033519B"/>
    <w:rsid w:val="00335261"/>
    <w:rsid w:val="003355AF"/>
    <w:rsid w:val="003357F5"/>
    <w:rsid w:val="00335830"/>
    <w:rsid w:val="00336993"/>
    <w:rsid w:val="003369F5"/>
    <w:rsid w:val="00336C24"/>
    <w:rsid w:val="00336E6C"/>
    <w:rsid w:val="003371DB"/>
    <w:rsid w:val="00337400"/>
    <w:rsid w:val="00337A39"/>
    <w:rsid w:val="003405F0"/>
    <w:rsid w:val="00340F2B"/>
    <w:rsid w:val="00341177"/>
    <w:rsid w:val="00341C4D"/>
    <w:rsid w:val="00341D94"/>
    <w:rsid w:val="0034223E"/>
    <w:rsid w:val="003422B6"/>
    <w:rsid w:val="00342675"/>
    <w:rsid w:val="00342B0D"/>
    <w:rsid w:val="00342D34"/>
    <w:rsid w:val="00343C24"/>
    <w:rsid w:val="00343F79"/>
    <w:rsid w:val="003447CC"/>
    <w:rsid w:val="00344BFC"/>
    <w:rsid w:val="00344F32"/>
    <w:rsid w:val="003455BF"/>
    <w:rsid w:val="00345BC0"/>
    <w:rsid w:val="0034657E"/>
    <w:rsid w:val="00346632"/>
    <w:rsid w:val="00346BD7"/>
    <w:rsid w:val="0034741C"/>
    <w:rsid w:val="003479C3"/>
    <w:rsid w:val="003500E4"/>
    <w:rsid w:val="0035016E"/>
    <w:rsid w:val="0035068E"/>
    <w:rsid w:val="003506BE"/>
    <w:rsid w:val="00350B7F"/>
    <w:rsid w:val="00350DF3"/>
    <w:rsid w:val="0035129A"/>
    <w:rsid w:val="0035195B"/>
    <w:rsid w:val="00351BF1"/>
    <w:rsid w:val="00352301"/>
    <w:rsid w:val="0035232C"/>
    <w:rsid w:val="00352776"/>
    <w:rsid w:val="00352A43"/>
    <w:rsid w:val="00352D60"/>
    <w:rsid w:val="003533A1"/>
    <w:rsid w:val="00353478"/>
    <w:rsid w:val="003535DB"/>
    <w:rsid w:val="00353CB5"/>
    <w:rsid w:val="00353E1E"/>
    <w:rsid w:val="0035487A"/>
    <w:rsid w:val="00354F45"/>
    <w:rsid w:val="003555F6"/>
    <w:rsid w:val="00355F82"/>
    <w:rsid w:val="003566D2"/>
    <w:rsid w:val="00356AB7"/>
    <w:rsid w:val="003573E0"/>
    <w:rsid w:val="00357782"/>
    <w:rsid w:val="003578DC"/>
    <w:rsid w:val="00357F3A"/>
    <w:rsid w:val="0036036B"/>
    <w:rsid w:val="0036060F"/>
    <w:rsid w:val="00360A57"/>
    <w:rsid w:val="00360BCC"/>
    <w:rsid w:val="00360F63"/>
    <w:rsid w:val="003611AC"/>
    <w:rsid w:val="003613E3"/>
    <w:rsid w:val="003618D6"/>
    <w:rsid w:val="00361E5B"/>
    <w:rsid w:val="00361EA2"/>
    <w:rsid w:val="003620B4"/>
    <w:rsid w:val="003626B5"/>
    <w:rsid w:val="00362C5A"/>
    <w:rsid w:val="003630F0"/>
    <w:rsid w:val="003633DE"/>
    <w:rsid w:val="003635AA"/>
    <w:rsid w:val="003637D8"/>
    <w:rsid w:val="0036390A"/>
    <w:rsid w:val="00363C16"/>
    <w:rsid w:val="00363E82"/>
    <w:rsid w:val="003649C8"/>
    <w:rsid w:val="0036513B"/>
    <w:rsid w:val="003656EB"/>
    <w:rsid w:val="00365731"/>
    <w:rsid w:val="00365A29"/>
    <w:rsid w:val="00366668"/>
    <w:rsid w:val="00366C0A"/>
    <w:rsid w:val="00367103"/>
    <w:rsid w:val="00367568"/>
    <w:rsid w:val="00367AAD"/>
    <w:rsid w:val="00367CDD"/>
    <w:rsid w:val="00370ADE"/>
    <w:rsid w:val="00370CCF"/>
    <w:rsid w:val="00370DBC"/>
    <w:rsid w:val="00370FAB"/>
    <w:rsid w:val="0037106F"/>
    <w:rsid w:val="00371723"/>
    <w:rsid w:val="0037178E"/>
    <w:rsid w:val="00371B46"/>
    <w:rsid w:val="00371EBE"/>
    <w:rsid w:val="00371ED0"/>
    <w:rsid w:val="003720AE"/>
    <w:rsid w:val="0037241F"/>
    <w:rsid w:val="00372772"/>
    <w:rsid w:val="00373925"/>
    <w:rsid w:val="0037397B"/>
    <w:rsid w:val="00373A63"/>
    <w:rsid w:val="00373AD0"/>
    <w:rsid w:val="00373DF0"/>
    <w:rsid w:val="0037442E"/>
    <w:rsid w:val="0037456A"/>
    <w:rsid w:val="00374694"/>
    <w:rsid w:val="003746BB"/>
    <w:rsid w:val="00374713"/>
    <w:rsid w:val="00374FD2"/>
    <w:rsid w:val="003766E3"/>
    <w:rsid w:val="0037774A"/>
    <w:rsid w:val="00377772"/>
    <w:rsid w:val="003777BA"/>
    <w:rsid w:val="00380620"/>
    <w:rsid w:val="0038090E"/>
    <w:rsid w:val="00380BF7"/>
    <w:rsid w:val="00380C05"/>
    <w:rsid w:val="00380DCC"/>
    <w:rsid w:val="00380FC5"/>
    <w:rsid w:val="0038139C"/>
    <w:rsid w:val="0038141E"/>
    <w:rsid w:val="00381649"/>
    <w:rsid w:val="00381912"/>
    <w:rsid w:val="003824BC"/>
    <w:rsid w:val="00382555"/>
    <w:rsid w:val="003825BE"/>
    <w:rsid w:val="003826D9"/>
    <w:rsid w:val="00382CAD"/>
    <w:rsid w:val="0038324E"/>
    <w:rsid w:val="00383BD1"/>
    <w:rsid w:val="00385564"/>
    <w:rsid w:val="00386540"/>
    <w:rsid w:val="003874D1"/>
    <w:rsid w:val="00387B4B"/>
    <w:rsid w:val="003901DE"/>
    <w:rsid w:val="00390454"/>
    <w:rsid w:val="0039086F"/>
    <w:rsid w:val="003915DA"/>
    <w:rsid w:val="00391B48"/>
    <w:rsid w:val="00391F49"/>
    <w:rsid w:val="00391F4C"/>
    <w:rsid w:val="00391F61"/>
    <w:rsid w:val="00392C51"/>
    <w:rsid w:val="00392C90"/>
    <w:rsid w:val="00392CF9"/>
    <w:rsid w:val="00392DEE"/>
    <w:rsid w:val="003931F7"/>
    <w:rsid w:val="0039341D"/>
    <w:rsid w:val="00393BA1"/>
    <w:rsid w:val="003941DC"/>
    <w:rsid w:val="00394818"/>
    <w:rsid w:val="00394945"/>
    <w:rsid w:val="00394A46"/>
    <w:rsid w:val="0039614D"/>
    <w:rsid w:val="003962A8"/>
    <w:rsid w:val="003967EC"/>
    <w:rsid w:val="00396920"/>
    <w:rsid w:val="00396C98"/>
    <w:rsid w:val="00397665"/>
    <w:rsid w:val="003A006F"/>
    <w:rsid w:val="003A0680"/>
    <w:rsid w:val="003A13AE"/>
    <w:rsid w:val="003A2BCB"/>
    <w:rsid w:val="003A2F4D"/>
    <w:rsid w:val="003A3050"/>
    <w:rsid w:val="003A34F1"/>
    <w:rsid w:val="003A3605"/>
    <w:rsid w:val="003A362F"/>
    <w:rsid w:val="003A3EF3"/>
    <w:rsid w:val="003A4827"/>
    <w:rsid w:val="003A499F"/>
    <w:rsid w:val="003A4FBA"/>
    <w:rsid w:val="003A5040"/>
    <w:rsid w:val="003A51CF"/>
    <w:rsid w:val="003A6238"/>
    <w:rsid w:val="003A662E"/>
    <w:rsid w:val="003A6826"/>
    <w:rsid w:val="003A68FD"/>
    <w:rsid w:val="003A6942"/>
    <w:rsid w:val="003A6C85"/>
    <w:rsid w:val="003A6F93"/>
    <w:rsid w:val="003A721F"/>
    <w:rsid w:val="003A7F37"/>
    <w:rsid w:val="003B014C"/>
    <w:rsid w:val="003B0914"/>
    <w:rsid w:val="003B1416"/>
    <w:rsid w:val="003B2F26"/>
    <w:rsid w:val="003B3490"/>
    <w:rsid w:val="003B3D0E"/>
    <w:rsid w:val="003B3D72"/>
    <w:rsid w:val="003B42A8"/>
    <w:rsid w:val="003B439F"/>
    <w:rsid w:val="003B46BE"/>
    <w:rsid w:val="003B507D"/>
    <w:rsid w:val="003B5A30"/>
    <w:rsid w:val="003B5E14"/>
    <w:rsid w:val="003B6F84"/>
    <w:rsid w:val="003B77FB"/>
    <w:rsid w:val="003B7CF2"/>
    <w:rsid w:val="003C0322"/>
    <w:rsid w:val="003C0BA9"/>
    <w:rsid w:val="003C135D"/>
    <w:rsid w:val="003C1D9F"/>
    <w:rsid w:val="003C213C"/>
    <w:rsid w:val="003C26C1"/>
    <w:rsid w:val="003C2A95"/>
    <w:rsid w:val="003C33B1"/>
    <w:rsid w:val="003C3BB4"/>
    <w:rsid w:val="003C4218"/>
    <w:rsid w:val="003C42DC"/>
    <w:rsid w:val="003C4426"/>
    <w:rsid w:val="003C4573"/>
    <w:rsid w:val="003C4ADA"/>
    <w:rsid w:val="003C4D01"/>
    <w:rsid w:val="003C4DA2"/>
    <w:rsid w:val="003C5060"/>
    <w:rsid w:val="003C5C2B"/>
    <w:rsid w:val="003C5DA0"/>
    <w:rsid w:val="003C5E17"/>
    <w:rsid w:val="003C6EC8"/>
    <w:rsid w:val="003D079A"/>
    <w:rsid w:val="003D0963"/>
    <w:rsid w:val="003D18E6"/>
    <w:rsid w:val="003D1A11"/>
    <w:rsid w:val="003D1D6F"/>
    <w:rsid w:val="003D2529"/>
    <w:rsid w:val="003D25C9"/>
    <w:rsid w:val="003D2DEE"/>
    <w:rsid w:val="003D2EBE"/>
    <w:rsid w:val="003D3178"/>
    <w:rsid w:val="003D330B"/>
    <w:rsid w:val="003D4159"/>
    <w:rsid w:val="003D433B"/>
    <w:rsid w:val="003D4F68"/>
    <w:rsid w:val="003D5374"/>
    <w:rsid w:val="003D5DC8"/>
    <w:rsid w:val="003D616A"/>
    <w:rsid w:val="003D6A1A"/>
    <w:rsid w:val="003D6CAC"/>
    <w:rsid w:val="003D716D"/>
    <w:rsid w:val="003D7C32"/>
    <w:rsid w:val="003D7D46"/>
    <w:rsid w:val="003E05E7"/>
    <w:rsid w:val="003E081B"/>
    <w:rsid w:val="003E09B9"/>
    <w:rsid w:val="003E1129"/>
    <w:rsid w:val="003E13F9"/>
    <w:rsid w:val="003E20B2"/>
    <w:rsid w:val="003E20D6"/>
    <w:rsid w:val="003E2205"/>
    <w:rsid w:val="003E2858"/>
    <w:rsid w:val="003E336E"/>
    <w:rsid w:val="003E3BD5"/>
    <w:rsid w:val="003E3D2C"/>
    <w:rsid w:val="003E3E09"/>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F82"/>
    <w:rsid w:val="003F019D"/>
    <w:rsid w:val="003F027D"/>
    <w:rsid w:val="003F071C"/>
    <w:rsid w:val="003F07FB"/>
    <w:rsid w:val="003F0CF5"/>
    <w:rsid w:val="003F0E27"/>
    <w:rsid w:val="003F12DB"/>
    <w:rsid w:val="003F150C"/>
    <w:rsid w:val="003F203E"/>
    <w:rsid w:val="003F2202"/>
    <w:rsid w:val="003F25EF"/>
    <w:rsid w:val="003F273D"/>
    <w:rsid w:val="003F2A76"/>
    <w:rsid w:val="003F3803"/>
    <w:rsid w:val="003F39E4"/>
    <w:rsid w:val="003F3A8D"/>
    <w:rsid w:val="003F3AB8"/>
    <w:rsid w:val="003F3D95"/>
    <w:rsid w:val="003F3DD4"/>
    <w:rsid w:val="003F4724"/>
    <w:rsid w:val="003F4EF0"/>
    <w:rsid w:val="003F5430"/>
    <w:rsid w:val="003F55F4"/>
    <w:rsid w:val="003F566B"/>
    <w:rsid w:val="003F589A"/>
    <w:rsid w:val="003F5DED"/>
    <w:rsid w:val="003F5F0F"/>
    <w:rsid w:val="003F6221"/>
    <w:rsid w:val="003F66C2"/>
    <w:rsid w:val="003F6FBA"/>
    <w:rsid w:val="003F7672"/>
    <w:rsid w:val="003F7889"/>
    <w:rsid w:val="003F79B5"/>
    <w:rsid w:val="003F7CE5"/>
    <w:rsid w:val="003F7FE4"/>
    <w:rsid w:val="00400736"/>
    <w:rsid w:val="0040089B"/>
    <w:rsid w:val="00400B7A"/>
    <w:rsid w:val="00400B80"/>
    <w:rsid w:val="004013CD"/>
    <w:rsid w:val="0040185F"/>
    <w:rsid w:val="004018D1"/>
    <w:rsid w:val="00401B94"/>
    <w:rsid w:val="004022CE"/>
    <w:rsid w:val="004028BA"/>
    <w:rsid w:val="004035A7"/>
    <w:rsid w:val="004039C5"/>
    <w:rsid w:val="00403B22"/>
    <w:rsid w:val="00403D3E"/>
    <w:rsid w:val="00403DEA"/>
    <w:rsid w:val="00403E5A"/>
    <w:rsid w:val="00404177"/>
    <w:rsid w:val="004044F1"/>
    <w:rsid w:val="004045C3"/>
    <w:rsid w:val="00404EE3"/>
    <w:rsid w:val="00404EEC"/>
    <w:rsid w:val="00405007"/>
    <w:rsid w:val="00405520"/>
    <w:rsid w:val="0040572B"/>
    <w:rsid w:val="00405882"/>
    <w:rsid w:val="00405D03"/>
    <w:rsid w:val="004060B3"/>
    <w:rsid w:val="00406201"/>
    <w:rsid w:val="00406AA6"/>
    <w:rsid w:val="004074B9"/>
    <w:rsid w:val="004104FC"/>
    <w:rsid w:val="004107C1"/>
    <w:rsid w:val="004107D8"/>
    <w:rsid w:val="0041127B"/>
    <w:rsid w:val="0041158D"/>
    <w:rsid w:val="00411AB2"/>
    <w:rsid w:val="00411EF1"/>
    <w:rsid w:val="00411F1F"/>
    <w:rsid w:val="004122E3"/>
    <w:rsid w:val="00412760"/>
    <w:rsid w:val="00413ECE"/>
    <w:rsid w:val="004149CB"/>
    <w:rsid w:val="00414CEB"/>
    <w:rsid w:val="00414F98"/>
    <w:rsid w:val="004158AA"/>
    <w:rsid w:val="0041599F"/>
    <w:rsid w:val="00415E37"/>
    <w:rsid w:val="00415F5E"/>
    <w:rsid w:val="00415FC0"/>
    <w:rsid w:val="00416056"/>
    <w:rsid w:val="00416080"/>
    <w:rsid w:val="00416983"/>
    <w:rsid w:val="00417007"/>
    <w:rsid w:val="00417132"/>
    <w:rsid w:val="00417902"/>
    <w:rsid w:val="00417FE3"/>
    <w:rsid w:val="004202B5"/>
    <w:rsid w:val="0042068F"/>
    <w:rsid w:val="00420F31"/>
    <w:rsid w:val="004211B1"/>
    <w:rsid w:val="0042187D"/>
    <w:rsid w:val="00421A31"/>
    <w:rsid w:val="004224B4"/>
    <w:rsid w:val="00422787"/>
    <w:rsid w:val="00422F93"/>
    <w:rsid w:val="004232ED"/>
    <w:rsid w:val="004237C9"/>
    <w:rsid w:val="0042424E"/>
    <w:rsid w:val="0042538D"/>
    <w:rsid w:val="00425A1A"/>
    <w:rsid w:val="00425BCF"/>
    <w:rsid w:val="004262AA"/>
    <w:rsid w:val="0042671E"/>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1744"/>
    <w:rsid w:val="00431AD6"/>
    <w:rsid w:val="00431B48"/>
    <w:rsid w:val="00431D0E"/>
    <w:rsid w:val="0043265C"/>
    <w:rsid w:val="00432F99"/>
    <w:rsid w:val="004337C9"/>
    <w:rsid w:val="00433A0E"/>
    <w:rsid w:val="00433A3E"/>
    <w:rsid w:val="00433A94"/>
    <w:rsid w:val="00433DEB"/>
    <w:rsid w:val="0043413D"/>
    <w:rsid w:val="0043442C"/>
    <w:rsid w:val="0043486A"/>
    <w:rsid w:val="00434DE9"/>
    <w:rsid w:val="00434FF9"/>
    <w:rsid w:val="00435495"/>
    <w:rsid w:val="00435895"/>
    <w:rsid w:val="0043595A"/>
    <w:rsid w:val="00435C91"/>
    <w:rsid w:val="004362A2"/>
    <w:rsid w:val="0043677C"/>
    <w:rsid w:val="004368AA"/>
    <w:rsid w:val="004371DE"/>
    <w:rsid w:val="004372F0"/>
    <w:rsid w:val="00437528"/>
    <w:rsid w:val="00437581"/>
    <w:rsid w:val="00437B06"/>
    <w:rsid w:val="00437EBB"/>
    <w:rsid w:val="0044015A"/>
    <w:rsid w:val="00440380"/>
    <w:rsid w:val="004403AA"/>
    <w:rsid w:val="0044146D"/>
    <w:rsid w:val="004420DF"/>
    <w:rsid w:val="004426C9"/>
    <w:rsid w:val="004427DB"/>
    <w:rsid w:val="00442809"/>
    <w:rsid w:val="00442BE4"/>
    <w:rsid w:val="00442CEF"/>
    <w:rsid w:val="00442D3C"/>
    <w:rsid w:val="004430FA"/>
    <w:rsid w:val="00443159"/>
    <w:rsid w:val="004433BD"/>
    <w:rsid w:val="0044355D"/>
    <w:rsid w:val="00443C87"/>
    <w:rsid w:val="00443FB2"/>
    <w:rsid w:val="004447B5"/>
    <w:rsid w:val="004456C3"/>
    <w:rsid w:val="004465D0"/>
    <w:rsid w:val="00446790"/>
    <w:rsid w:val="00446B03"/>
    <w:rsid w:val="004502B2"/>
    <w:rsid w:val="0045068C"/>
    <w:rsid w:val="00450CAB"/>
    <w:rsid w:val="00450F85"/>
    <w:rsid w:val="004517AF"/>
    <w:rsid w:val="00451FF2"/>
    <w:rsid w:val="00453B76"/>
    <w:rsid w:val="00453F07"/>
    <w:rsid w:val="00454181"/>
    <w:rsid w:val="0045434F"/>
    <w:rsid w:val="0045438C"/>
    <w:rsid w:val="00454477"/>
    <w:rsid w:val="00454C5A"/>
    <w:rsid w:val="00455701"/>
    <w:rsid w:val="004559F9"/>
    <w:rsid w:val="00455C80"/>
    <w:rsid w:val="0045611C"/>
    <w:rsid w:val="00456317"/>
    <w:rsid w:val="004563DD"/>
    <w:rsid w:val="00456CDF"/>
    <w:rsid w:val="00456F6D"/>
    <w:rsid w:val="0045739D"/>
    <w:rsid w:val="00457458"/>
    <w:rsid w:val="00457741"/>
    <w:rsid w:val="00457F73"/>
    <w:rsid w:val="00460A93"/>
    <w:rsid w:val="00460B9F"/>
    <w:rsid w:val="00460DE4"/>
    <w:rsid w:val="0046107F"/>
    <w:rsid w:val="0046115B"/>
    <w:rsid w:val="00461274"/>
    <w:rsid w:val="004614B2"/>
    <w:rsid w:val="004614B4"/>
    <w:rsid w:val="0046193D"/>
    <w:rsid w:val="004643E8"/>
    <w:rsid w:val="00464D2F"/>
    <w:rsid w:val="004654B1"/>
    <w:rsid w:val="0046557B"/>
    <w:rsid w:val="0046557C"/>
    <w:rsid w:val="00465AAC"/>
    <w:rsid w:val="00465B3C"/>
    <w:rsid w:val="00465E83"/>
    <w:rsid w:val="00465EAF"/>
    <w:rsid w:val="00466114"/>
    <w:rsid w:val="004666EB"/>
    <w:rsid w:val="00466845"/>
    <w:rsid w:val="0046684E"/>
    <w:rsid w:val="0046692F"/>
    <w:rsid w:val="0046757E"/>
    <w:rsid w:val="00467BAF"/>
    <w:rsid w:val="00470338"/>
    <w:rsid w:val="0047033E"/>
    <w:rsid w:val="00470EFE"/>
    <w:rsid w:val="00471F10"/>
    <w:rsid w:val="00472568"/>
    <w:rsid w:val="00472C70"/>
    <w:rsid w:val="004730EF"/>
    <w:rsid w:val="004736B1"/>
    <w:rsid w:val="004738F5"/>
    <w:rsid w:val="004740F2"/>
    <w:rsid w:val="0047417D"/>
    <w:rsid w:val="00474E77"/>
    <w:rsid w:val="00475708"/>
    <w:rsid w:val="0047581F"/>
    <w:rsid w:val="004766B7"/>
    <w:rsid w:val="004767F5"/>
    <w:rsid w:val="00476C8F"/>
    <w:rsid w:val="00477416"/>
    <w:rsid w:val="00477FAB"/>
    <w:rsid w:val="00480656"/>
    <w:rsid w:val="00480D1E"/>
    <w:rsid w:val="00480F76"/>
    <w:rsid w:val="00481D33"/>
    <w:rsid w:val="00482295"/>
    <w:rsid w:val="004822A0"/>
    <w:rsid w:val="004822E9"/>
    <w:rsid w:val="0048269D"/>
    <w:rsid w:val="00482798"/>
    <w:rsid w:val="00482D74"/>
    <w:rsid w:val="00483298"/>
    <w:rsid w:val="00484659"/>
    <w:rsid w:val="00484678"/>
    <w:rsid w:val="004848D8"/>
    <w:rsid w:val="00484E04"/>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64"/>
    <w:rsid w:val="00487899"/>
    <w:rsid w:val="00487D78"/>
    <w:rsid w:val="004902B4"/>
    <w:rsid w:val="004905F3"/>
    <w:rsid w:val="00490985"/>
    <w:rsid w:val="00490B10"/>
    <w:rsid w:val="00490B67"/>
    <w:rsid w:val="00490E53"/>
    <w:rsid w:val="00491305"/>
    <w:rsid w:val="0049147B"/>
    <w:rsid w:val="00491668"/>
    <w:rsid w:val="00491C14"/>
    <w:rsid w:val="0049261B"/>
    <w:rsid w:val="004929E8"/>
    <w:rsid w:val="00492F2D"/>
    <w:rsid w:val="00492FD6"/>
    <w:rsid w:val="004936E8"/>
    <w:rsid w:val="00493B80"/>
    <w:rsid w:val="0049401A"/>
    <w:rsid w:val="00494332"/>
    <w:rsid w:val="00494BE0"/>
    <w:rsid w:val="004958F6"/>
    <w:rsid w:val="00495AB3"/>
    <w:rsid w:val="00495EE8"/>
    <w:rsid w:val="0049674F"/>
    <w:rsid w:val="004968C1"/>
    <w:rsid w:val="00496A5F"/>
    <w:rsid w:val="00496A8D"/>
    <w:rsid w:val="00497246"/>
    <w:rsid w:val="004974D9"/>
    <w:rsid w:val="004977C3"/>
    <w:rsid w:val="00497D1F"/>
    <w:rsid w:val="004A09C8"/>
    <w:rsid w:val="004A11F0"/>
    <w:rsid w:val="004A1251"/>
    <w:rsid w:val="004A17BB"/>
    <w:rsid w:val="004A1AD7"/>
    <w:rsid w:val="004A1B5F"/>
    <w:rsid w:val="004A1FB2"/>
    <w:rsid w:val="004A2FA9"/>
    <w:rsid w:val="004A341F"/>
    <w:rsid w:val="004A3531"/>
    <w:rsid w:val="004A36CE"/>
    <w:rsid w:val="004A3CFE"/>
    <w:rsid w:val="004A4621"/>
    <w:rsid w:val="004A4BDE"/>
    <w:rsid w:val="004A4D66"/>
    <w:rsid w:val="004A519F"/>
    <w:rsid w:val="004A5295"/>
    <w:rsid w:val="004A52A8"/>
    <w:rsid w:val="004A5500"/>
    <w:rsid w:val="004A5C1E"/>
    <w:rsid w:val="004A5DC5"/>
    <w:rsid w:val="004A63A9"/>
    <w:rsid w:val="004A63FA"/>
    <w:rsid w:val="004A679F"/>
    <w:rsid w:val="004A6B1E"/>
    <w:rsid w:val="004A7631"/>
    <w:rsid w:val="004A77D6"/>
    <w:rsid w:val="004A7952"/>
    <w:rsid w:val="004A7DE3"/>
    <w:rsid w:val="004B0148"/>
    <w:rsid w:val="004B052B"/>
    <w:rsid w:val="004B0AA1"/>
    <w:rsid w:val="004B0ABB"/>
    <w:rsid w:val="004B0C11"/>
    <w:rsid w:val="004B1554"/>
    <w:rsid w:val="004B19BE"/>
    <w:rsid w:val="004B1A72"/>
    <w:rsid w:val="004B1A7A"/>
    <w:rsid w:val="004B1C77"/>
    <w:rsid w:val="004B20FA"/>
    <w:rsid w:val="004B29FF"/>
    <w:rsid w:val="004B2D91"/>
    <w:rsid w:val="004B3053"/>
    <w:rsid w:val="004B3247"/>
    <w:rsid w:val="004B32E0"/>
    <w:rsid w:val="004B3BDB"/>
    <w:rsid w:val="004B4093"/>
    <w:rsid w:val="004B40BF"/>
    <w:rsid w:val="004B4569"/>
    <w:rsid w:val="004B4863"/>
    <w:rsid w:val="004B4D7D"/>
    <w:rsid w:val="004B603D"/>
    <w:rsid w:val="004B67A4"/>
    <w:rsid w:val="004B685E"/>
    <w:rsid w:val="004B69F5"/>
    <w:rsid w:val="004B6A26"/>
    <w:rsid w:val="004B6E5D"/>
    <w:rsid w:val="004B7264"/>
    <w:rsid w:val="004B7474"/>
    <w:rsid w:val="004B74D9"/>
    <w:rsid w:val="004B7E94"/>
    <w:rsid w:val="004B7FAD"/>
    <w:rsid w:val="004C00E1"/>
    <w:rsid w:val="004C0AA7"/>
    <w:rsid w:val="004C0BC5"/>
    <w:rsid w:val="004C1234"/>
    <w:rsid w:val="004C13CF"/>
    <w:rsid w:val="004C18E3"/>
    <w:rsid w:val="004C236A"/>
    <w:rsid w:val="004C2598"/>
    <w:rsid w:val="004C2DD9"/>
    <w:rsid w:val="004C2F45"/>
    <w:rsid w:val="004C3E60"/>
    <w:rsid w:val="004C42BE"/>
    <w:rsid w:val="004C4AF6"/>
    <w:rsid w:val="004C528A"/>
    <w:rsid w:val="004C6075"/>
    <w:rsid w:val="004C6742"/>
    <w:rsid w:val="004C6A4A"/>
    <w:rsid w:val="004C6BCC"/>
    <w:rsid w:val="004C702A"/>
    <w:rsid w:val="004C7147"/>
    <w:rsid w:val="004C770B"/>
    <w:rsid w:val="004C7817"/>
    <w:rsid w:val="004C7C30"/>
    <w:rsid w:val="004D02FB"/>
    <w:rsid w:val="004D068D"/>
    <w:rsid w:val="004D0A75"/>
    <w:rsid w:val="004D135D"/>
    <w:rsid w:val="004D246B"/>
    <w:rsid w:val="004D248F"/>
    <w:rsid w:val="004D2C1A"/>
    <w:rsid w:val="004D2C5E"/>
    <w:rsid w:val="004D2CB6"/>
    <w:rsid w:val="004D4293"/>
    <w:rsid w:val="004D5719"/>
    <w:rsid w:val="004D6739"/>
    <w:rsid w:val="004D6CF9"/>
    <w:rsid w:val="004D6EC1"/>
    <w:rsid w:val="004D7370"/>
    <w:rsid w:val="004D7479"/>
    <w:rsid w:val="004D7BAF"/>
    <w:rsid w:val="004D7D6E"/>
    <w:rsid w:val="004D7D80"/>
    <w:rsid w:val="004D7E8D"/>
    <w:rsid w:val="004E0480"/>
    <w:rsid w:val="004E16EE"/>
    <w:rsid w:val="004E1948"/>
    <w:rsid w:val="004E1A3B"/>
    <w:rsid w:val="004E1AE9"/>
    <w:rsid w:val="004E1D13"/>
    <w:rsid w:val="004E1E85"/>
    <w:rsid w:val="004E217E"/>
    <w:rsid w:val="004E219E"/>
    <w:rsid w:val="004E22CD"/>
    <w:rsid w:val="004E231A"/>
    <w:rsid w:val="004E2929"/>
    <w:rsid w:val="004E2DDF"/>
    <w:rsid w:val="004E3223"/>
    <w:rsid w:val="004E3274"/>
    <w:rsid w:val="004E3916"/>
    <w:rsid w:val="004E41A4"/>
    <w:rsid w:val="004E4538"/>
    <w:rsid w:val="004E56E0"/>
    <w:rsid w:val="004E5A20"/>
    <w:rsid w:val="004E5D42"/>
    <w:rsid w:val="004E6399"/>
    <w:rsid w:val="004E6A41"/>
    <w:rsid w:val="004E6EAF"/>
    <w:rsid w:val="004E73E0"/>
    <w:rsid w:val="004E7444"/>
    <w:rsid w:val="004E7BE3"/>
    <w:rsid w:val="004E7CB4"/>
    <w:rsid w:val="004E7CF2"/>
    <w:rsid w:val="004E7DC1"/>
    <w:rsid w:val="004F0865"/>
    <w:rsid w:val="004F0A00"/>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F0"/>
    <w:rsid w:val="004F5E8D"/>
    <w:rsid w:val="004F66BD"/>
    <w:rsid w:val="004F6C91"/>
    <w:rsid w:val="00500238"/>
    <w:rsid w:val="005007A6"/>
    <w:rsid w:val="0050086D"/>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35D"/>
    <w:rsid w:val="00503EE8"/>
    <w:rsid w:val="00504865"/>
    <w:rsid w:val="00504F24"/>
    <w:rsid w:val="005058C6"/>
    <w:rsid w:val="00505F8A"/>
    <w:rsid w:val="005060D9"/>
    <w:rsid w:val="00506A30"/>
    <w:rsid w:val="00506EE2"/>
    <w:rsid w:val="00507067"/>
    <w:rsid w:val="005078A5"/>
    <w:rsid w:val="00510464"/>
    <w:rsid w:val="00510EC1"/>
    <w:rsid w:val="00511213"/>
    <w:rsid w:val="005119F8"/>
    <w:rsid w:val="00511BD1"/>
    <w:rsid w:val="00512384"/>
    <w:rsid w:val="005123B0"/>
    <w:rsid w:val="00512B89"/>
    <w:rsid w:val="00513439"/>
    <w:rsid w:val="005135A3"/>
    <w:rsid w:val="00513630"/>
    <w:rsid w:val="00513707"/>
    <w:rsid w:val="00513AA0"/>
    <w:rsid w:val="00513B8E"/>
    <w:rsid w:val="00513C25"/>
    <w:rsid w:val="005147AA"/>
    <w:rsid w:val="00514AFA"/>
    <w:rsid w:val="00514FED"/>
    <w:rsid w:val="00515427"/>
    <w:rsid w:val="00515606"/>
    <w:rsid w:val="00515711"/>
    <w:rsid w:val="00515B3B"/>
    <w:rsid w:val="00515B67"/>
    <w:rsid w:val="005160B2"/>
    <w:rsid w:val="00516149"/>
    <w:rsid w:val="0051656F"/>
    <w:rsid w:val="00516DAF"/>
    <w:rsid w:val="00517084"/>
    <w:rsid w:val="00517FF0"/>
    <w:rsid w:val="0052028A"/>
    <w:rsid w:val="00520AED"/>
    <w:rsid w:val="00520D6D"/>
    <w:rsid w:val="00520E11"/>
    <w:rsid w:val="005216D7"/>
    <w:rsid w:val="00521BD6"/>
    <w:rsid w:val="00521C17"/>
    <w:rsid w:val="00521D24"/>
    <w:rsid w:val="0052252E"/>
    <w:rsid w:val="00522829"/>
    <w:rsid w:val="00523150"/>
    <w:rsid w:val="00523C53"/>
    <w:rsid w:val="005241D0"/>
    <w:rsid w:val="00524534"/>
    <w:rsid w:val="00524EDB"/>
    <w:rsid w:val="005250CD"/>
    <w:rsid w:val="0052529A"/>
    <w:rsid w:val="00525677"/>
    <w:rsid w:val="00525DAE"/>
    <w:rsid w:val="00525F63"/>
    <w:rsid w:val="00525FE1"/>
    <w:rsid w:val="0052653C"/>
    <w:rsid w:val="005269AC"/>
    <w:rsid w:val="00526FB5"/>
    <w:rsid w:val="005273BA"/>
    <w:rsid w:val="005276FF"/>
    <w:rsid w:val="005305FC"/>
    <w:rsid w:val="00530B64"/>
    <w:rsid w:val="00531581"/>
    <w:rsid w:val="00531ECB"/>
    <w:rsid w:val="00532279"/>
    <w:rsid w:val="00532555"/>
    <w:rsid w:val="00532590"/>
    <w:rsid w:val="005336F5"/>
    <w:rsid w:val="005338F5"/>
    <w:rsid w:val="0053396B"/>
    <w:rsid w:val="00533B19"/>
    <w:rsid w:val="005343DC"/>
    <w:rsid w:val="00534469"/>
    <w:rsid w:val="00534A74"/>
    <w:rsid w:val="00535237"/>
    <w:rsid w:val="005359FD"/>
    <w:rsid w:val="00535FAB"/>
    <w:rsid w:val="00536170"/>
    <w:rsid w:val="005368C8"/>
    <w:rsid w:val="00536CAC"/>
    <w:rsid w:val="00536CD5"/>
    <w:rsid w:val="00536E4B"/>
    <w:rsid w:val="00536E4D"/>
    <w:rsid w:val="005372E4"/>
    <w:rsid w:val="0053796C"/>
    <w:rsid w:val="00537CC0"/>
    <w:rsid w:val="00540CA3"/>
    <w:rsid w:val="00541283"/>
    <w:rsid w:val="00541743"/>
    <w:rsid w:val="00541AC4"/>
    <w:rsid w:val="00541C62"/>
    <w:rsid w:val="00542509"/>
    <w:rsid w:val="005427B7"/>
    <w:rsid w:val="00543132"/>
    <w:rsid w:val="0054353B"/>
    <w:rsid w:val="00544538"/>
    <w:rsid w:val="005449A9"/>
    <w:rsid w:val="005449C6"/>
    <w:rsid w:val="00544FBD"/>
    <w:rsid w:val="00545049"/>
    <w:rsid w:val="005456D9"/>
    <w:rsid w:val="00545713"/>
    <w:rsid w:val="00545E9D"/>
    <w:rsid w:val="005464F3"/>
    <w:rsid w:val="00546A89"/>
    <w:rsid w:val="00546FED"/>
    <w:rsid w:val="00550004"/>
    <w:rsid w:val="00550329"/>
    <w:rsid w:val="00550467"/>
    <w:rsid w:val="005505B7"/>
    <w:rsid w:val="0055086E"/>
    <w:rsid w:val="00550D05"/>
    <w:rsid w:val="00551098"/>
    <w:rsid w:val="00551560"/>
    <w:rsid w:val="00551653"/>
    <w:rsid w:val="0055178B"/>
    <w:rsid w:val="00551A2E"/>
    <w:rsid w:val="0055204C"/>
    <w:rsid w:val="0055232B"/>
    <w:rsid w:val="00552B9C"/>
    <w:rsid w:val="00552BF9"/>
    <w:rsid w:val="00553D8D"/>
    <w:rsid w:val="00554353"/>
    <w:rsid w:val="005545B2"/>
    <w:rsid w:val="0055460C"/>
    <w:rsid w:val="00554747"/>
    <w:rsid w:val="00554D73"/>
    <w:rsid w:val="005557E3"/>
    <w:rsid w:val="00555BEA"/>
    <w:rsid w:val="005560C7"/>
    <w:rsid w:val="00556A0E"/>
    <w:rsid w:val="0055702D"/>
    <w:rsid w:val="00557487"/>
    <w:rsid w:val="005577B3"/>
    <w:rsid w:val="005577CD"/>
    <w:rsid w:val="005579EC"/>
    <w:rsid w:val="0056013E"/>
    <w:rsid w:val="00561E7E"/>
    <w:rsid w:val="005623D5"/>
    <w:rsid w:val="00562481"/>
    <w:rsid w:val="005627AE"/>
    <w:rsid w:val="00562E6A"/>
    <w:rsid w:val="0056323F"/>
    <w:rsid w:val="00563498"/>
    <w:rsid w:val="0056389D"/>
    <w:rsid w:val="00563DAD"/>
    <w:rsid w:val="00563DE8"/>
    <w:rsid w:val="00563F57"/>
    <w:rsid w:val="005646E1"/>
    <w:rsid w:val="005648D9"/>
    <w:rsid w:val="00564A23"/>
    <w:rsid w:val="0056508D"/>
    <w:rsid w:val="00565971"/>
    <w:rsid w:val="00565B86"/>
    <w:rsid w:val="00565C5F"/>
    <w:rsid w:val="00565D61"/>
    <w:rsid w:val="00566232"/>
    <w:rsid w:val="0056686F"/>
    <w:rsid w:val="00566C34"/>
    <w:rsid w:val="00566C6B"/>
    <w:rsid w:val="005673AA"/>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4E07"/>
    <w:rsid w:val="00575484"/>
    <w:rsid w:val="00575CFA"/>
    <w:rsid w:val="00576111"/>
    <w:rsid w:val="00576B33"/>
    <w:rsid w:val="00576E44"/>
    <w:rsid w:val="005772B4"/>
    <w:rsid w:val="0057752D"/>
    <w:rsid w:val="005777FB"/>
    <w:rsid w:val="005778E0"/>
    <w:rsid w:val="00577EC4"/>
    <w:rsid w:val="00580170"/>
    <w:rsid w:val="0058023D"/>
    <w:rsid w:val="00580A48"/>
    <w:rsid w:val="00580E4E"/>
    <w:rsid w:val="00581212"/>
    <w:rsid w:val="00581530"/>
    <w:rsid w:val="00581C01"/>
    <w:rsid w:val="00581FE4"/>
    <w:rsid w:val="00582191"/>
    <w:rsid w:val="005822F6"/>
    <w:rsid w:val="0058263F"/>
    <w:rsid w:val="005827E8"/>
    <w:rsid w:val="005829F3"/>
    <w:rsid w:val="00582AD5"/>
    <w:rsid w:val="00582D9A"/>
    <w:rsid w:val="005833C6"/>
    <w:rsid w:val="005836EC"/>
    <w:rsid w:val="00583AF2"/>
    <w:rsid w:val="00583BA8"/>
    <w:rsid w:val="0058408C"/>
    <w:rsid w:val="00584485"/>
    <w:rsid w:val="00584CB9"/>
    <w:rsid w:val="00584F4C"/>
    <w:rsid w:val="0058504C"/>
    <w:rsid w:val="00585AA0"/>
    <w:rsid w:val="005861B6"/>
    <w:rsid w:val="00586250"/>
    <w:rsid w:val="005865CE"/>
    <w:rsid w:val="005873BB"/>
    <w:rsid w:val="00587A29"/>
    <w:rsid w:val="00587D87"/>
    <w:rsid w:val="005903CD"/>
    <w:rsid w:val="00590BE2"/>
    <w:rsid w:val="005917B6"/>
    <w:rsid w:val="005917D0"/>
    <w:rsid w:val="00592732"/>
    <w:rsid w:val="00592A05"/>
    <w:rsid w:val="00592B97"/>
    <w:rsid w:val="00593BD2"/>
    <w:rsid w:val="00593F95"/>
    <w:rsid w:val="00593FF1"/>
    <w:rsid w:val="00594008"/>
    <w:rsid w:val="0059475F"/>
    <w:rsid w:val="00594CD7"/>
    <w:rsid w:val="00594ECB"/>
    <w:rsid w:val="00595791"/>
    <w:rsid w:val="005958AE"/>
    <w:rsid w:val="00595A4F"/>
    <w:rsid w:val="00595ED6"/>
    <w:rsid w:val="00596052"/>
    <w:rsid w:val="005965A9"/>
    <w:rsid w:val="00596D0B"/>
    <w:rsid w:val="00597283"/>
    <w:rsid w:val="00597448"/>
    <w:rsid w:val="00597804"/>
    <w:rsid w:val="00597A41"/>
    <w:rsid w:val="00597BE4"/>
    <w:rsid w:val="005A019E"/>
    <w:rsid w:val="005A09C2"/>
    <w:rsid w:val="005A1399"/>
    <w:rsid w:val="005A1418"/>
    <w:rsid w:val="005A1514"/>
    <w:rsid w:val="005A1A34"/>
    <w:rsid w:val="005A1D50"/>
    <w:rsid w:val="005A21EE"/>
    <w:rsid w:val="005A2F41"/>
    <w:rsid w:val="005A33CB"/>
    <w:rsid w:val="005A350C"/>
    <w:rsid w:val="005A3693"/>
    <w:rsid w:val="005A3D56"/>
    <w:rsid w:val="005A3DD0"/>
    <w:rsid w:val="005A47D5"/>
    <w:rsid w:val="005A52E6"/>
    <w:rsid w:val="005A5783"/>
    <w:rsid w:val="005A6108"/>
    <w:rsid w:val="005A7376"/>
    <w:rsid w:val="005A7820"/>
    <w:rsid w:val="005A7879"/>
    <w:rsid w:val="005A788F"/>
    <w:rsid w:val="005A7E7F"/>
    <w:rsid w:val="005A7FD6"/>
    <w:rsid w:val="005B02DF"/>
    <w:rsid w:val="005B0437"/>
    <w:rsid w:val="005B05B3"/>
    <w:rsid w:val="005B05F5"/>
    <w:rsid w:val="005B0677"/>
    <w:rsid w:val="005B0F39"/>
    <w:rsid w:val="005B1AB9"/>
    <w:rsid w:val="005B1BEA"/>
    <w:rsid w:val="005B1CC5"/>
    <w:rsid w:val="005B1DA5"/>
    <w:rsid w:val="005B202F"/>
    <w:rsid w:val="005B21DA"/>
    <w:rsid w:val="005B260E"/>
    <w:rsid w:val="005B2EA8"/>
    <w:rsid w:val="005B34C2"/>
    <w:rsid w:val="005B380E"/>
    <w:rsid w:val="005B3C3E"/>
    <w:rsid w:val="005B3D32"/>
    <w:rsid w:val="005B51AC"/>
    <w:rsid w:val="005B5335"/>
    <w:rsid w:val="005B5853"/>
    <w:rsid w:val="005B5A1E"/>
    <w:rsid w:val="005B5EEC"/>
    <w:rsid w:val="005B647D"/>
    <w:rsid w:val="005B6B38"/>
    <w:rsid w:val="005B6EEC"/>
    <w:rsid w:val="005B6EF1"/>
    <w:rsid w:val="005B6F05"/>
    <w:rsid w:val="005B7AE1"/>
    <w:rsid w:val="005B7F43"/>
    <w:rsid w:val="005C02D9"/>
    <w:rsid w:val="005C0D70"/>
    <w:rsid w:val="005C1182"/>
    <w:rsid w:val="005C11E1"/>
    <w:rsid w:val="005C1467"/>
    <w:rsid w:val="005C1502"/>
    <w:rsid w:val="005C1746"/>
    <w:rsid w:val="005C1F6A"/>
    <w:rsid w:val="005C2F03"/>
    <w:rsid w:val="005C2F77"/>
    <w:rsid w:val="005C3717"/>
    <w:rsid w:val="005C38A2"/>
    <w:rsid w:val="005C4361"/>
    <w:rsid w:val="005C45E4"/>
    <w:rsid w:val="005C4B7F"/>
    <w:rsid w:val="005C4FBE"/>
    <w:rsid w:val="005C50FA"/>
    <w:rsid w:val="005C52C4"/>
    <w:rsid w:val="005C5A2E"/>
    <w:rsid w:val="005C6045"/>
    <w:rsid w:val="005C63FF"/>
    <w:rsid w:val="005C6499"/>
    <w:rsid w:val="005C661A"/>
    <w:rsid w:val="005C6E7D"/>
    <w:rsid w:val="005C74C0"/>
    <w:rsid w:val="005C7E2E"/>
    <w:rsid w:val="005D00E2"/>
    <w:rsid w:val="005D0170"/>
    <w:rsid w:val="005D0566"/>
    <w:rsid w:val="005D0B0A"/>
    <w:rsid w:val="005D187A"/>
    <w:rsid w:val="005D1ACA"/>
    <w:rsid w:val="005D1CE2"/>
    <w:rsid w:val="005D2272"/>
    <w:rsid w:val="005D33E5"/>
    <w:rsid w:val="005D3557"/>
    <w:rsid w:val="005D3C95"/>
    <w:rsid w:val="005D451F"/>
    <w:rsid w:val="005D4815"/>
    <w:rsid w:val="005D4AF6"/>
    <w:rsid w:val="005D4D9E"/>
    <w:rsid w:val="005D5072"/>
    <w:rsid w:val="005D516B"/>
    <w:rsid w:val="005D58C3"/>
    <w:rsid w:val="005D7678"/>
    <w:rsid w:val="005D76C8"/>
    <w:rsid w:val="005D76E3"/>
    <w:rsid w:val="005E1B51"/>
    <w:rsid w:val="005E25A6"/>
    <w:rsid w:val="005E270C"/>
    <w:rsid w:val="005E276A"/>
    <w:rsid w:val="005E29E9"/>
    <w:rsid w:val="005E2BE7"/>
    <w:rsid w:val="005E3036"/>
    <w:rsid w:val="005E334F"/>
    <w:rsid w:val="005E3557"/>
    <w:rsid w:val="005E3630"/>
    <w:rsid w:val="005E3B74"/>
    <w:rsid w:val="005E3BFB"/>
    <w:rsid w:val="005E41B1"/>
    <w:rsid w:val="005E435B"/>
    <w:rsid w:val="005E47DD"/>
    <w:rsid w:val="005E4942"/>
    <w:rsid w:val="005E4948"/>
    <w:rsid w:val="005E5ABA"/>
    <w:rsid w:val="005E5DE3"/>
    <w:rsid w:val="005E5F36"/>
    <w:rsid w:val="005E6744"/>
    <w:rsid w:val="005E6815"/>
    <w:rsid w:val="005E68B0"/>
    <w:rsid w:val="005E6F6E"/>
    <w:rsid w:val="005E7604"/>
    <w:rsid w:val="005F0324"/>
    <w:rsid w:val="005F0747"/>
    <w:rsid w:val="005F07F5"/>
    <w:rsid w:val="005F0C58"/>
    <w:rsid w:val="005F0F49"/>
    <w:rsid w:val="005F1651"/>
    <w:rsid w:val="005F1B67"/>
    <w:rsid w:val="005F23DE"/>
    <w:rsid w:val="005F2E83"/>
    <w:rsid w:val="005F2FCF"/>
    <w:rsid w:val="005F33FB"/>
    <w:rsid w:val="005F3E68"/>
    <w:rsid w:val="005F431A"/>
    <w:rsid w:val="005F4458"/>
    <w:rsid w:val="005F4532"/>
    <w:rsid w:val="005F472D"/>
    <w:rsid w:val="005F4815"/>
    <w:rsid w:val="005F4DAF"/>
    <w:rsid w:val="005F5141"/>
    <w:rsid w:val="005F51F2"/>
    <w:rsid w:val="005F5F0B"/>
    <w:rsid w:val="005F6230"/>
    <w:rsid w:val="005F668D"/>
    <w:rsid w:val="005F676F"/>
    <w:rsid w:val="005F6BE6"/>
    <w:rsid w:val="005F70AD"/>
    <w:rsid w:val="005F730C"/>
    <w:rsid w:val="005F7584"/>
    <w:rsid w:val="005F77A1"/>
    <w:rsid w:val="005F77E4"/>
    <w:rsid w:val="005F784F"/>
    <w:rsid w:val="005F78BA"/>
    <w:rsid w:val="00600146"/>
    <w:rsid w:val="00600379"/>
    <w:rsid w:val="006003DE"/>
    <w:rsid w:val="00600EC1"/>
    <w:rsid w:val="006015FF"/>
    <w:rsid w:val="00602183"/>
    <w:rsid w:val="006023EB"/>
    <w:rsid w:val="00602528"/>
    <w:rsid w:val="00602B10"/>
    <w:rsid w:val="00603A3B"/>
    <w:rsid w:val="00603B58"/>
    <w:rsid w:val="00604544"/>
    <w:rsid w:val="00604BFB"/>
    <w:rsid w:val="00604C74"/>
    <w:rsid w:val="00605191"/>
    <w:rsid w:val="00605227"/>
    <w:rsid w:val="0060562E"/>
    <w:rsid w:val="006064D4"/>
    <w:rsid w:val="006066EE"/>
    <w:rsid w:val="00606B28"/>
    <w:rsid w:val="00606EFA"/>
    <w:rsid w:val="006072E6"/>
    <w:rsid w:val="00607679"/>
    <w:rsid w:val="006079C8"/>
    <w:rsid w:val="00607A44"/>
    <w:rsid w:val="00607A7B"/>
    <w:rsid w:val="00607A85"/>
    <w:rsid w:val="00607CE3"/>
    <w:rsid w:val="006107D3"/>
    <w:rsid w:val="00610E58"/>
    <w:rsid w:val="00611D0D"/>
    <w:rsid w:val="006125BB"/>
    <w:rsid w:val="00612725"/>
    <w:rsid w:val="00612F11"/>
    <w:rsid w:val="0061308B"/>
    <w:rsid w:val="00613AE5"/>
    <w:rsid w:val="00614B3A"/>
    <w:rsid w:val="00614E2C"/>
    <w:rsid w:val="00615320"/>
    <w:rsid w:val="006161D7"/>
    <w:rsid w:val="006165DE"/>
    <w:rsid w:val="00616DC1"/>
    <w:rsid w:val="00616E2B"/>
    <w:rsid w:val="0061700A"/>
    <w:rsid w:val="0061718B"/>
    <w:rsid w:val="006175A0"/>
    <w:rsid w:val="00617811"/>
    <w:rsid w:val="00617828"/>
    <w:rsid w:val="00617A55"/>
    <w:rsid w:val="006201C7"/>
    <w:rsid w:val="006204DC"/>
    <w:rsid w:val="0062163E"/>
    <w:rsid w:val="0062180A"/>
    <w:rsid w:val="00622415"/>
    <w:rsid w:val="0062246F"/>
    <w:rsid w:val="00622567"/>
    <w:rsid w:val="00622D25"/>
    <w:rsid w:val="00622D41"/>
    <w:rsid w:val="00622E72"/>
    <w:rsid w:val="00623287"/>
    <w:rsid w:val="0062329A"/>
    <w:rsid w:val="0062349A"/>
    <w:rsid w:val="00623845"/>
    <w:rsid w:val="00623852"/>
    <w:rsid w:val="006248B4"/>
    <w:rsid w:val="006249DA"/>
    <w:rsid w:val="006256F9"/>
    <w:rsid w:val="00625DDF"/>
    <w:rsid w:val="00626072"/>
    <w:rsid w:val="006267A6"/>
    <w:rsid w:val="00626D9F"/>
    <w:rsid w:val="00626E9E"/>
    <w:rsid w:val="00626F26"/>
    <w:rsid w:val="00627011"/>
    <w:rsid w:val="00627130"/>
    <w:rsid w:val="00627181"/>
    <w:rsid w:val="00627392"/>
    <w:rsid w:val="006273F6"/>
    <w:rsid w:val="00627579"/>
    <w:rsid w:val="00627CD7"/>
    <w:rsid w:val="006300AD"/>
    <w:rsid w:val="00630421"/>
    <w:rsid w:val="00631076"/>
    <w:rsid w:val="00631DE8"/>
    <w:rsid w:val="006324AB"/>
    <w:rsid w:val="00632644"/>
    <w:rsid w:val="00633C56"/>
    <w:rsid w:val="00634BCB"/>
    <w:rsid w:val="00635096"/>
    <w:rsid w:val="00635303"/>
    <w:rsid w:val="00635505"/>
    <w:rsid w:val="0063561F"/>
    <w:rsid w:val="0063583F"/>
    <w:rsid w:val="006363A7"/>
    <w:rsid w:val="006367C4"/>
    <w:rsid w:val="0063695F"/>
    <w:rsid w:val="00636D55"/>
    <w:rsid w:val="00636DE3"/>
    <w:rsid w:val="00636F58"/>
    <w:rsid w:val="00637011"/>
    <w:rsid w:val="006371B3"/>
    <w:rsid w:val="006375DB"/>
    <w:rsid w:val="0063781B"/>
    <w:rsid w:val="006378D3"/>
    <w:rsid w:val="006379AE"/>
    <w:rsid w:val="0064003F"/>
    <w:rsid w:val="006404E7"/>
    <w:rsid w:val="006405A1"/>
    <w:rsid w:val="00640B38"/>
    <w:rsid w:val="0064135A"/>
    <w:rsid w:val="00641640"/>
    <w:rsid w:val="00641B26"/>
    <w:rsid w:val="006421B4"/>
    <w:rsid w:val="00642BD3"/>
    <w:rsid w:val="00642BD7"/>
    <w:rsid w:val="0064337B"/>
    <w:rsid w:val="006433F4"/>
    <w:rsid w:val="006434FC"/>
    <w:rsid w:val="00643804"/>
    <w:rsid w:val="006438CB"/>
    <w:rsid w:val="00643B67"/>
    <w:rsid w:val="0064450A"/>
    <w:rsid w:val="00644734"/>
    <w:rsid w:val="00644906"/>
    <w:rsid w:val="00644C72"/>
    <w:rsid w:val="0064519E"/>
    <w:rsid w:val="006451CF"/>
    <w:rsid w:val="00645B88"/>
    <w:rsid w:val="006463C9"/>
    <w:rsid w:val="00646BFE"/>
    <w:rsid w:val="006500CC"/>
    <w:rsid w:val="00650A67"/>
    <w:rsid w:val="00650DF8"/>
    <w:rsid w:val="00650FE0"/>
    <w:rsid w:val="00651566"/>
    <w:rsid w:val="006517B7"/>
    <w:rsid w:val="006518C6"/>
    <w:rsid w:val="00651BA9"/>
    <w:rsid w:val="00651E4F"/>
    <w:rsid w:val="00651F5A"/>
    <w:rsid w:val="006522C6"/>
    <w:rsid w:val="00652A4C"/>
    <w:rsid w:val="00653A3A"/>
    <w:rsid w:val="00653FBB"/>
    <w:rsid w:val="006541D5"/>
    <w:rsid w:val="006543F3"/>
    <w:rsid w:val="00654892"/>
    <w:rsid w:val="00654CFA"/>
    <w:rsid w:val="00655505"/>
    <w:rsid w:val="00655849"/>
    <w:rsid w:val="00655CC6"/>
    <w:rsid w:val="00656041"/>
    <w:rsid w:val="006560AD"/>
    <w:rsid w:val="00656EED"/>
    <w:rsid w:val="00657227"/>
    <w:rsid w:val="006576BB"/>
    <w:rsid w:val="006576CB"/>
    <w:rsid w:val="0065778E"/>
    <w:rsid w:val="006579D0"/>
    <w:rsid w:val="00657B85"/>
    <w:rsid w:val="00657B8A"/>
    <w:rsid w:val="00657E3E"/>
    <w:rsid w:val="00660854"/>
    <w:rsid w:val="0066092A"/>
    <w:rsid w:val="00661026"/>
    <w:rsid w:val="006614DF"/>
    <w:rsid w:val="00661D2B"/>
    <w:rsid w:val="006624C6"/>
    <w:rsid w:val="00662888"/>
    <w:rsid w:val="00662C78"/>
    <w:rsid w:val="00663491"/>
    <w:rsid w:val="00663578"/>
    <w:rsid w:val="00663C1B"/>
    <w:rsid w:val="00663E18"/>
    <w:rsid w:val="006645C2"/>
    <w:rsid w:val="00664839"/>
    <w:rsid w:val="00664897"/>
    <w:rsid w:val="0066507D"/>
    <w:rsid w:val="006652D0"/>
    <w:rsid w:val="006659D5"/>
    <w:rsid w:val="00665FC9"/>
    <w:rsid w:val="00666236"/>
    <w:rsid w:val="0066653E"/>
    <w:rsid w:val="0066738D"/>
    <w:rsid w:val="006679D7"/>
    <w:rsid w:val="0067004D"/>
    <w:rsid w:val="006702DC"/>
    <w:rsid w:val="00670507"/>
    <w:rsid w:val="00670E79"/>
    <w:rsid w:val="0067128E"/>
    <w:rsid w:val="00671B1E"/>
    <w:rsid w:val="00671B73"/>
    <w:rsid w:val="00672034"/>
    <w:rsid w:val="006735C3"/>
    <w:rsid w:val="00673A9D"/>
    <w:rsid w:val="00673FF8"/>
    <w:rsid w:val="0067413B"/>
    <w:rsid w:val="00674B54"/>
    <w:rsid w:val="00674CD3"/>
    <w:rsid w:val="00674D6B"/>
    <w:rsid w:val="00674FD4"/>
    <w:rsid w:val="00675184"/>
    <w:rsid w:val="006751F1"/>
    <w:rsid w:val="0067524A"/>
    <w:rsid w:val="006759D6"/>
    <w:rsid w:val="00675C0A"/>
    <w:rsid w:val="00675E6D"/>
    <w:rsid w:val="00676048"/>
    <w:rsid w:val="00676890"/>
    <w:rsid w:val="00676C3C"/>
    <w:rsid w:val="00677775"/>
    <w:rsid w:val="00677B72"/>
    <w:rsid w:val="00677BA6"/>
    <w:rsid w:val="00677FD1"/>
    <w:rsid w:val="00680C4B"/>
    <w:rsid w:val="00680FD9"/>
    <w:rsid w:val="00681ACA"/>
    <w:rsid w:val="0068207D"/>
    <w:rsid w:val="006827B4"/>
    <w:rsid w:val="00683134"/>
    <w:rsid w:val="0068324E"/>
    <w:rsid w:val="00683262"/>
    <w:rsid w:val="00683322"/>
    <w:rsid w:val="00683B25"/>
    <w:rsid w:val="00683DF7"/>
    <w:rsid w:val="0068487E"/>
    <w:rsid w:val="00684BD7"/>
    <w:rsid w:val="00686041"/>
    <w:rsid w:val="0068666A"/>
    <w:rsid w:val="006869E6"/>
    <w:rsid w:val="00686B5C"/>
    <w:rsid w:val="00686DE3"/>
    <w:rsid w:val="00686F9D"/>
    <w:rsid w:val="00687372"/>
    <w:rsid w:val="006873C0"/>
    <w:rsid w:val="006877D5"/>
    <w:rsid w:val="00687BEE"/>
    <w:rsid w:val="0069106B"/>
    <w:rsid w:val="00691282"/>
    <w:rsid w:val="00691730"/>
    <w:rsid w:val="00692295"/>
    <w:rsid w:val="00692415"/>
    <w:rsid w:val="006929CC"/>
    <w:rsid w:val="00692B17"/>
    <w:rsid w:val="00693903"/>
    <w:rsid w:val="00693A68"/>
    <w:rsid w:val="00693C79"/>
    <w:rsid w:val="00693E3D"/>
    <w:rsid w:val="0069494F"/>
    <w:rsid w:val="0069499C"/>
    <w:rsid w:val="0069509F"/>
    <w:rsid w:val="00695C15"/>
    <w:rsid w:val="0069657D"/>
    <w:rsid w:val="00696B3D"/>
    <w:rsid w:val="00696DA1"/>
    <w:rsid w:val="00697260"/>
    <w:rsid w:val="0069786F"/>
    <w:rsid w:val="00697A66"/>
    <w:rsid w:val="006A0116"/>
    <w:rsid w:val="006A0C41"/>
    <w:rsid w:val="006A14F2"/>
    <w:rsid w:val="006A16B8"/>
    <w:rsid w:val="006A1F28"/>
    <w:rsid w:val="006A2335"/>
    <w:rsid w:val="006A2748"/>
    <w:rsid w:val="006A2771"/>
    <w:rsid w:val="006A27FD"/>
    <w:rsid w:val="006A289B"/>
    <w:rsid w:val="006A295A"/>
    <w:rsid w:val="006A33CD"/>
    <w:rsid w:val="006A3961"/>
    <w:rsid w:val="006A4864"/>
    <w:rsid w:val="006A54C7"/>
    <w:rsid w:val="006A582D"/>
    <w:rsid w:val="006A582E"/>
    <w:rsid w:val="006A5E28"/>
    <w:rsid w:val="006A655B"/>
    <w:rsid w:val="006A67B9"/>
    <w:rsid w:val="006A67C6"/>
    <w:rsid w:val="006A6812"/>
    <w:rsid w:val="006A6959"/>
    <w:rsid w:val="006A6C70"/>
    <w:rsid w:val="006A6D2C"/>
    <w:rsid w:val="006A70C8"/>
    <w:rsid w:val="006A7250"/>
    <w:rsid w:val="006B0D03"/>
    <w:rsid w:val="006B105C"/>
    <w:rsid w:val="006B10A3"/>
    <w:rsid w:val="006B10C3"/>
    <w:rsid w:val="006B1559"/>
    <w:rsid w:val="006B18A5"/>
    <w:rsid w:val="006B19D9"/>
    <w:rsid w:val="006B1AB6"/>
    <w:rsid w:val="006B1BFE"/>
    <w:rsid w:val="006B1F09"/>
    <w:rsid w:val="006B224E"/>
    <w:rsid w:val="006B2C7B"/>
    <w:rsid w:val="006B2D6C"/>
    <w:rsid w:val="006B3891"/>
    <w:rsid w:val="006B3CBF"/>
    <w:rsid w:val="006B43AA"/>
    <w:rsid w:val="006B4BB6"/>
    <w:rsid w:val="006B506A"/>
    <w:rsid w:val="006B51A5"/>
    <w:rsid w:val="006B5FA6"/>
    <w:rsid w:val="006B6278"/>
    <w:rsid w:val="006B65FB"/>
    <w:rsid w:val="006B662D"/>
    <w:rsid w:val="006B6842"/>
    <w:rsid w:val="006B6BF0"/>
    <w:rsid w:val="006B71B6"/>
    <w:rsid w:val="006B7850"/>
    <w:rsid w:val="006B7865"/>
    <w:rsid w:val="006B7DEE"/>
    <w:rsid w:val="006B7F9B"/>
    <w:rsid w:val="006C056E"/>
    <w:rsid w:val="006C09C6"/>
    <w:rsid w:val="006C0C3C"/>
    <w:rsid w:val="006C0FCE"/>
    <w:rsid w:val="006C1183"/>
    <w:rsid w:val="006C11F9"/>
    <w:rsid w:val="006C2200"/>
    <w:rsid w:val="006C2203"/>
    <w:rsid w:val="006C25D4"/>
    <w:rsid w:val="006C26AE"/>
    <w:rsid w:val="006C329C"/>
    <w:rsid w:val="006C3446"/>
    <w:rsid w:val="006C349C"/>
    <w:rsid w:val="006C3D25"/>
    <w:rsid w:val="006C4061"/>
    <w:rsid w:val="006C42E6"/>
    <w:rsid w:val="006C4A8C"/>
    <w:rsid w:val="006C4B22"/>
    <w:rsid w:val="006C4F6A"/>
    <w:rsid w:val="006C5150"/>
    <w:rsid w:val="006C5809"/>
    <w:rsid w:val="006C69D0"/>
    <w:rsid w:val="006C6AA9"/>
    <w:rsid w:val="006C7739"/>
    <w:rsid w:val="006C7955"/>
    <w:rsid w:val="006C7AC4"/>
    <w:rsid w:val="006C7B62"/>
    <w:rsid w:val="006D0008"/>
    <w:rsid w:val="006D026B"/>
    <w:rsid w:val="006D03A5"/>
    <w:rsid w:val="006D091C"/>
    <w:rsid w:val="006D1E25"/>
    <w:rsid w:val="006D1F98"/>
    <w:rsid w:val="006D238A"/>
    <w:rsid w:val="006D2500"/>
    <w:rsid w:val="006D3214"/>
    <w:rsid w:val="006D3501"/>
    <w:rsid w:val="006D40A4"/>
    <w:rsid w:val="006D55DD"/>
    <w:rsid w:val="006D581A"/>
    <w:rsid w:val="006D5E35"/>
    <w:rsid w:val="006D60C5"/>
    <w:rsid w:val="006D61C8"/>
    <w:rsid w:val="006D6367"/>
    <w:rsid w:val="006D64E0"/>
    <w:rsid w:val="006D7A29"/>
    <w:rsid w:val="006D7F74"/>
    <w:rsid w:val="006E0791"/>
    <w:rsid w:val="006E10AA"/>
    <w:rsid w:val="006E16DE"/>
    <w:rsid w:val="006E1DD9"/>
    <w:rsid w:val="006E2206"/>
    <w:rsid w:val="006E260F"/>
    <w:rsid w:val="006E2AAF"/>
    <w:rsid w:val="006E2C7B"/>
    <w:rsid w:val="006E3F6F"/>
    <w:rsid w:val="006E403F"/>
    <w:rsid w:val="006E5629"/>
    <w:rsid w:val="006E566B"/>
    <w:rsid w:val="006E5B5A"/>
    <w:rsid w:val="006E5BA3"/>
    <w:rsid w:val="006E5FB3"/>
    <w:rsid w:val="006E61A6"/>
    <w:rsid w:val="006E735F"/>
    <w:rsid w:val="006E78EE"/>
    <w:rsid w:val="006E7E8D"/>
    <w:rsid w:val="006F032D"/>
    <w:rsid w:val="006F06A1"/>
    <w:rsid w:val="006F0DB4"/>
    <w:rsid w:val="006F154D"/>
    <w:rsid w:val="006F18AD"/>
    <w:rsid w:val="006F1C18"/>
    <w:rsid w:val="006F1CF6"/>
    <w:rsid w:val="006F1E7F"/>
    <w:rsid w:val="006F1EFD"/>
    <w:rsid w:val="006F24E5"/>
    <w:rsid w:val="006F257A"/>
    <w:rsid w:val="006F269A"/>
    <w:rsid w:val="006F2CA0"/>
    <w:rsid w:val="006F2E7A"/>
    <w:rsid w:val="006F3098"/>
    <w:rsid w:val="006F33D5"/>
    <w:rsid w:val="006F33F3"/>
    <w:rsid w:val="006F3584"/>
    <w:rsid w:val="006F39E1"/>
    <w:rsid w:val="006F4E52"/>
    <w:rsid w:val="006F4F4C"/>
    <w:rsid w:val="006F4FE1"/>
    <w:rsid w:val="006F5550"/>
    <w:rsid w:val="006F5D37"/>
    <w:rsid w:val="006F6A2B"/>
    <w:rsid w:val="006F6F76"/>
    <w:rsid w:val="006F7250"/>
    <w:rsid w:val="006F7410"/>
    <w:rsid w:val="006F7F65"/>
    <w:rsid w:val="00700663"/>
    <w:rsid w:val="0070071F"/>
    <w:rsid w:val="00700790"/>
    <w:rsid w:val="007007BD"/>
    <w:rsid w:val="00700ABD"/>
    <w:rsid w:val="00701524"/>
    <w:rsid w:val="00702801"/>
    <w:rsid w:val="00702AF7"/>
    <w:rsid w:val="0070304E"/>
    <w:rsid w:val="00703395"/>
    <w:rsid w:val="00703501"/>
    <w:rsid w:val="0070469F"/>
    <w:rsid w:val="00704CDE"/>
    <w:rsid w:val="007051A4"/>
    <w:rsid w:val="00706096"/>
    <w:rsid w:val="00706159"/>
    <w:rsid w:val="007064A8"/>
    <w:rsid w:val="007064B2"/>
    <w:rsid w:val="007068AB"/>
    <w:rsid w:val="007074FD"/>
    <w:rsid w:val="0070755C"/>
    <w:rsid w:val="007076BB"/>
    <w:rsid w:val="00710038"/>
    <w:rsid w:val="00710041"/>
    <w:rsid w:val="00710652"/>
    <w:rsid w:val="00710718"/>
    <w:rsid w:val="007109D0"/>
    <w:rsid w:val="0071114A"/>
    <w:rsid w:val="007116E6"/>
    <w:rsid w:val="00711733"/>
    <w:rsid w:val="007118C3"/>
    <w:rsid w:val="007127DF"/>
    <w:rsid w:val="00712E78"/>
    <w:rsid w:val="00712FC1"/>
    <w:rsid w:val="0071301B"/>
    <w:rsid w:val="007136F0"/>
    <w:rsid w:val="007141E6"/>
    <w:rsid w:val="007143E6"/>
    <w:rsid w:val="007147B0"/>
    <w:rsid w:val="00714BF7"/>
    <w:rsid w:val="00714DC1"/>
    <w:rsid w:val="007152E8"/>
    <w:rsid w:val="007155A9"/>
    <w:rsid w:val="00715B83"/>
    <w:rsid w:val="007163B9"/>
    <w:rsid w:val="00716447"/>
    <w:rsid w:val="007165AC"/>
    <w:rsid w:val="0071675B"/>
    <w:rsid w:val="00716B63"/>
    <w:rsid w:val="00716DBF"/>
    <w:rsid w:val="00716EA5"/>
    <w:rsid w:val="007171A3"/>
    <w:rsid w:val="0071736D"/>
    <w:rsid w:val="00717481"/>
    <w:rsid w:val="00717BC0"/>
    <w:rsid w:val="007200C7"/>
    <w:rsid w:val="0072015D"/>
    <w:rsid w:val="00720494"/>
    <w:rsid w:val="00720E60"/>
    <w:rsid w:val="00720F7B"/>
    <w:rsid w:val="00720FB2"/>
    <w:rsid w:val="00721747"/>
    <w:rsid w:val="00722486"/>
    <w:rsid w:val="00722979"/>
    <w:rsid w:val="00722AC1"/>
    <w:rsid w:val="00724300"/>
    <w:rsid w:val="00724407"/>
    <w:rsid w:val="007247EE"/>
    <w:rsid w:val="007248EE"/>
    <w:rsid w:val="00724A6F"/>
    <w:rsid w:val="00724AE9"/>
    <w:rsid w:val="0072518F"/>
    <w:rsid w:val="007257E0"/>
    <w:rsid w:val="00725B73"/>
    <w:rsid w:val="00725D94"/>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745"/>
    <w:rsid w:val="007346AA"/>
    <w:rsid w:val="00734801"/>
    <w:rsid w:val="00734E00"/>
    <w:rsid w:val="00735378"/>
    <w:rsid w:val="00735726"/>
    <w:rsid w:val="007359B3"/>
    <w:rsid w:val="00735CB8"/>
    <w:rsid w:val="00735F1C"/>
    <w:rsid w:val="00736116"/>
    <w:rsid w:val="007368ED"/>
    <w:rsid w:val="0074014F"/>
    <w:rsid w:val="00740C09"/>
    <w:rsid w:val="00741830"/>
    <w:rsid w:val="007419A5"/>
    <w:rsid w:val="00742331"/>
    <w:rsid w:val="00742668"/>
    <w:rsid w:val="00742C4B"/>
    <w:rsid w:val="00742CC1"/>
    <w:rsid w:val="00742DE2"/>
    <w:rsid w:val="00743375"/>
    <w:rsid w:val="007439DD"/>
    <w:rsid w:val="00743BE2"/>
    <w:rsid w:val="00744210"/>
    <w:rsid w:val="00744687"/>
    <w:rsid w:val="0074477F"/>
    <w:rsid w:val="00744989"/>
    <w:rsid w:val="00744E34"/>
    <w:rsid w:val="00745888"/>
    <w:rsid w:val="00745B23"/>
    <w:rsid w:val="0074601D"/>
    <w:rsid w:val="00747528"/>
    <w:rsid w:val="00747738"/>
    <w:rsid w:val="00747AE8"/>
    <w:rsid w:val="00747EB9"/>
    <w:rsid w:val="007501BA"/>
    <w:rsid w:val="0075025C"/>
    <w:rsid w:val="00750391"/>
    <w:rsid w:val="007506A7"/>
    <w:rsid w:val="00750AD6"/>
    <w:rsid w:val="00750ED6"/>
    <w:rsid w:val="007521DE"/>
    <w:rsid w:val="0075244D"/>
    <w:rsid w:val="007538BD"/>
    <w:rsid w:val="00753A3E"/>
    <w:rsid w:val="007543C4"/>
    <w:rsid w:val="00754E08"/>
    <w:rsid w:val="00755668"/>
    <w:rsid w:val="00755801"/>
    <w:rsid w:val="00755B1F"/>
    <w:rsid w:val="00755F9C"/>
    <w:rsid w:val="00757B82"/>
    <w:rsid w:val="00757CCA"/>
    <w:rsid w:val="007602A1"/>
    <w:rsid w:val="007606F9"/>
    <w:rsid w:val="00760CC4"/>
    <w:rsid w:val="00760D45"/>
    <w:rsid w:val="0076147E"/>
    <w:rsid w:val="007614F6"/>
    <w:rsid w:val="0076159C"/>
    <w:rsid w:val="007618DB"/>
    <w:rsid w:val="00761997"/>
    <w:rsid w:val="00761B4A"/>
    <w:rsid w:val="00761F26"/>
    <w:rsid w:val="007626C2"/>
    <w:rsid w:val="007629E5"/>
    <w:rsid w:val="00763A8E"/>
    <w:rsid w:val="00763E10"/>
    <w:rsid w:val="00764642"/>
    <w:rsid w:val="00764B37"/>
    <w:rsid w:val="00764C22"/>
    <w:rsid w:val="007652A6"/>
    <w:rsid w:val="0076535B"/>
    <w:rsid w:val="00765847"/>
    <w:rsid w:val="0076592B"/>
    <w:rsid w:val="007659FE"/>
    <w:rsid w:val="00766280"/>
    <w:rsid w:val="00766318"/>
    <w:rsid w:val="007664A8"/>
    <w:rsid w:val="00766FED"/>
    <w:rsid w:val="00770C02"/>
    <w:rsid w:val="00770EDB"/>
    <w:rsid w:val="0077101D"/>
    <w:rsid w:val="007714C1"/>
    <w:rsid w:val="00771832"/>
    <w:rsid w:val="007732FA"/>
    <w:rsid w:val="00774252"/>
    <w:rsid w:val="00774E52"/>
    <w:rsid w:val="007750D3"/>
    <w:rsid w:val="00775127"/>
    <w:rsid w:val="007759A5"/>
    <w:rsid w:val="00776179"/>
    <w:rsid w:val="007763A0"/>
    <w:rsid w:val="007767CE"/>
    <w:rsid w:val="00777364"/>
    <w:rsid w:val="007777C4"/>
    <w:rsid w:val="00777B0A"/>
    <w:rsid w:val="00780455"/>
    <w:rsid w:val="00780BD0"/>
    <w:rsid w:val="00781FDF"/>
    <w:rsid w:val="0078201A"/>
    <w:rsid w:val="00782082"/>
    <w:rsid w:val="00782A60"/>
    <w:rsid w:val="00782BA7"/>
    <w:rsid w:val="00783491"/>
    <w:rsid w:val="00783ADB"/>
    <w:rsid w:val="00783B02"/>
    <w:rsid w:val="00784397"/>
    <w:rsid w:val="00784586"/>
    <w:rsid w:val="00784CBC"/>
    <w:rsid w:val="00785095"/>
    <w:rsid w:val="0078534A"/>
    <w:rsid w:val="00785585"/>
    <w:rsid w:val="00785604"/>
    <w:rsid w:val="007867AE"/>
    <w:rsid w:val="00787A23"/>
    <w:rsid w:val="00787BFF"/>
    <w:rsid w:val="00787E51"/>
    <w:rsid w:val="0079006F"/>
    <w:rsid w:val="007903C6"/>
    <w:rsid w:val="00790C7A"/>
    <w:rsid w:val="00791628"/>
    <w:rsid w:val="00791DB6"/>
    <w:rsid w:val="00792912"/>
    <w:rsid w:val="00792A3D"/>
    <w:rsid w:val="00792ACE"/>
    <w:rsid w:val="007931DE"/>
    <w:rsid w:val="007935E4"/>
    <w:rsid w:val="00793EE4"/>
    <w:rsid w:val="0079403F"/>
    <w:rsid w:val="00794216"/>
    <w:rsid w:val="00794817"/>
    <w:rsid w:val="00795410"/>
    <w:rsid w:val="00795434"/>
    <w:rsid w:val="00795838"/>
    <w:rsid w:val="00795B30"/>
    <w:rsid w:val="00795C4D"/>
    <w:rsid w:val="00795FD8"/>
    <w:rsid w:val="00796222"/>
    <w:rsid w:val="0079626F"/>
    <w:rsid w:val="00796374"/>
    <w:rsid w:val="00796A9F"/>
    <w:rsid w:val="00796B93"/>
    <w:rsid w:val="00797044"/>
    <w:rsid w:val="007976FC"/>
    <w:rsid w:val="00797986"/>
    <w:rsid w:val="00797D15"/>
    <w:rsid w:val="007A0203"/>
    <w:rsid w:val="007A080E"/>
    <w:rsid w:val="007A13A0"/>
    <w:rsid w:val="007A1F4B"/>
    <w:rsid w:val="007A20BE"/>
    <w:rsid w:val="007A226C"/>
    <w:rsid w:val="007A23C4"/>
    <w:rsid w:val="007A2998"/>
    <w:rsid w:val="007A2BB2"/>
    <w:rsid w:val="007A3A38"/>
    <w:rsid w:val="007A3A94"/>
    <w:rsid w:val="007A3C94"/>
    <w:rsid w:val="007A4FFC"/>
    <w:rsid w:val="007A510C"/>
    <w:rsid w:val="007A58D8"/>
    <w:rsid w:val="007A5AEE"/>
    <w:rsid w:val="007A5F17"/>
    <w:rsid w:val="007A6516"/>
    <w:rsid w:val="007A65DF"/>
    <w:rsid w:val="007A66F6"/>
    <w:rsid w:val="007A687C"/>
    <w:rsid w:val="007A6D88"/>
    <w:rsid w:val="007A724F"/>
    <w:rsid w:val="007A7679"/>
    <w:rsid w:val="007A7E3E"/>
    <w:rsid w:val="007B0889"/>
    <w:rsid w:val="007B0ABB"/>
    <w:rsid w:val="007B0B01"/>
    <w:rsid w:val="007B0DE0"/>
    <w:rsid w:val="007B1376"/>
    <w:rsid w:val="007B1558"/>
    <w:rsid w:val="007B1B06"/>
    <w:rsid w:val="007B227F"/>
    <w:rsid w:val="007B2534"/>
    <w:rsid w:val="007B3BFF"/>
    <w:rsid w:val="007B3DF1"/>
    <w:rsid w:val="007B44B8"/>
    <w:rsid w:val="007B45C1"/>
    <w:rsid w:val="007B4664"/>
    <w:rsid w:val="007B4831"/>
    <w:rsid w:val="007B4990"/>
    <w:rsid w:val="007B5376"/>
    <w:rsid w:val="007B5587"/>
    <w:rsid w:val="007B55B9"/>
    <w:rsid w:val="007B585A"/>
    <w:rsid w:val="007B5A6D"/>
    <w:rsid w:val="007B5C7D"/>
    <w:rsid w:val="007B63FF"/>
    <w:rsid w:val="007B6786"/>
    <w:rsid w:val="007B6821"/>
    <w:rsid w:val="007B6A27"/>
    <w:rsid w:val="007B6F56"/>
    <w:rsid w:val="007B7529"/>
    <w:rsid w:val="007B76E7"/>
    <w:rsid w:val="007C013F"/>
    <w:rsid w:val="007C015D"/>
    <w:rsid w:val="007C0726"/>
    <w:rsid w:val="007C1B87"/>
    <w:rsid w:val="007C1C44"/>
    <w:rsid w:val="007C2126"/>
    <w:rsid w:val="007C238E"/>
    <w:rsid w:val="007C2646"/>
    <w:rsid w:val="007C27D7"/>
    <w:rsid w:val="007C2AD3"/>
    <w:rsid w:val="007C2EC3"/>
    <w:rsid w:val="007C3384"/>
    <w:rsid w:val="007C3908"/>
    <w:rsid w:val="007C3A16"/>
    <w:rsid w:val="007C3A9E"/>
    <w:rsid w:val="007C4065"/>
    <w:rsid w:val="007C448C"/>
    <w:rsid w:val="007C4639"/>
    <w:rsid w:val="007C4BBE"/>
    <w:rsid w:val="007C59C2"/>
    <w:rsid w:val="007C5AF2"/>
    <w:rsid w:val="007C5D77"/>
    <w:rsid w:val="007C62BE"/>
    <w:rsid w:val="007C63DA"/>
    <w:rsid w:val="007C6EE5"/>
    <w:rsid w:val="007C6F5A"/>
    <w:rsid w:val="007C6FF4"/>
    <w:rsid w:val="007C71B9"/>
    <w:rsid w:val="007C78C8"/>
    <w:rsid w:val="007C7FA7"/>
    <w:rsid w:val="007C7FE9"/>
    <w:rsid w:val="007D06D3"/>
    <w:rsid w:val="007D115A"/>
    <w:rsid w:val="007D1257"/>
    <w:rsid w:val="007D283F"/>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610B"/>
    <w:rsid w:val="007D621F"/>
    <w:rsid w:val="007D6248"/>
    <w:rsid w:val="007D69A0"/>
    <w:rsid w:val="007D73B0"/>
    <w:rsid w:val="007D7952"/>
    <w:rsid w:val="007D7D13"/>
    <w:rsid w:val="007E0835"/>
    <w:rsid w:val="007E0A8A"/>
    <w:rsid w:val="007E0B89"/>
    <w:rsid w:val="007E0F52"/>
    <w:rsid w:val="007E1454"/>
    <w:rsid w:val="007E22C2"/>
    <w:rsid w:val="007E2ADF"/>
    <w:rsid w:val="007E33ED"/>
    <w:rsid w:val="007E353A"/>
    <w:rsid w:val="007E3623"/>
    <w:rsid w:val="007E3993"/>
    <w:rsid w:val="007E3B8C"/>
    <w:rsid w:val="007E3E9F"/>
    <w:rsid w:val="007E3EB4"/>
    <w:rsid w:val="007E45A8"/>
    <w:rsid w:val="007E4B1B"/>
    <w:rsid w:val="007E4E18"/>
    <w:rsid w:val="007E53C3"/>
    <w:rsid w:val="007E56CD"/>
    <w:rsid w:val="007E5755"/>
    <w:rsid w:val="007E5990"/>
    <w:rsid w:val="007E6A4F"/>
    <w:rsid w:val="007E793C"/>
    <w:rsid w:val="007E7CC4"/>
    <w:rsid w:val="007E7D7A"/>
    <w:rsid w:val="007E7E66"/>
    <w:rsid w:val="007F00A1"/>
    <w:rsid w:val="007F027D"/>
    <w:rsid w:val="007F0903"/>
    <w:rsid w:val="007F0E6A"/>
    <w:rsid w:val="007F22A7"/>
    <w:rsid w:val="007F2434"/>
    <w:rsid w:val="007F2B53"/>
    <w:rsid w:val="007F2B91"/>
    <w:rsid w:val="007F2F5A"/>
    <w:rsid w:val="007F40B7"/>
    <w:rsid w:val="007F4EA3"/>
    <w:rsid w:val="007F4EFB"/>
    <w:rsid w:val="007F5590"/>
    <w:rsid w:val="007F55CB"/>
    <w:rsid w:val="007F5632"/>
    <w:rsid w:val="007F5806"/>
    <w:rsid w:val="007F5D34"/>
    <w:rsid w:val="007F5EDD"/>
    <w:rsid w:val="007F5F90"/>
    <w:rsid w:val="007F61D0"/>
    <w:rsid w:val="007F6E4E"/>
    <w:rsid w:val="007F75E9"/>
    <w:rsid w:val="007F7BDA"/>
    <w:rsid w:val="00800747"/>
    <w:rsid w:val="00800751"/>
    <w:rsid w:val="0080116C"/>
    <w:rsid w:val="00801416"/>
    <w:rsid w:val="00801AEC"/>
    <w:rsid w:val="00801F1E"/>
    <w:rsid w:val="008023E5"/>
    <w:rsid w:val="008023F2"/>
    <w:rsid w:val="00802401"/>
    <w:rsid w:val="00802D01"/>
    <w:rsid w:val="00803082"/>
    <w:rsid w:val="0080323A"/>
    <w:rsid w:val="008034DC"/>
    <w:rsid w:val="00803C0C"/>
    <w:rsid w:val="00803F9C"/>
    <w:rsid w:val="008042E8"/>
    <w:rsid w:val="00805087"/>
    <w:rsid w:val="00805A45"/>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CBB"/>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357"/>
    <w:rsid w:val="008154E0"/>
    <w:rsid w:val="0081674A"/>
    <w:rsid w:val="008168E7"/>
    <w:rsid w:val="00816E01"/>
    <w:rsid w:val="008171D5"/>
    <w:rsid w:val="00817551"/>
    <w:rsid w:val="008201B4"/>
    <w:rsid w:val="00820698"/>
    <w:rsid w:val="0082093F"/>
    <w:rsid w:val="008209B5"/>
    <w:rsid w:val="00820A07"/>
    <w:rsid w:val="00820A81"/>
    <w:rsid w:val="00820B35"/>
    <w:rsid w:val="00820ECD"/>
    <w:rsid w:val="0082103D"/>
    <w:rsid w:val="008212CB"/>
    <w:rsid w:val="00821A8D"/>
    <w:rsid w:val="00821ADD"/>
    <w:rsid w:val="00821B31"/>
    <w:rsid w:val="00821BB5"/>
    <w:rsid w:val="008221E8"/>
    <w:rsid w:val="00822289"/>
    <w:rsid w:val="00822549"/>
    <w:rsid w:val="0082269C"/>
    <w:rsid w:val="00822942"/>
    <w:rsid w:val="008230D5"/>
    <w:rsid w:val="00823295"/>
    <w:rsid w:val="008242CB"/>
    <w:rsid w:val="008245D8"/>
    <w:rsid w:val="00824608"/>
    <w:rsid w:val="00824CD4"/>
    <w:rsid w:val="00825167"/>
    <w:rsid w:val="00825314"/>
    <w:rsid w:val="00825567"/>
    <w:rsid w:val="008259B2"/>
    <w:rsid w:val="00825A69"/>
    <w:rsid w:val="00826404"/>
    <w:rsid w:val="00826440"/>
    <w:rsid w:val="00826744"/>
    <w:rsid w:val="008267C1"/>
    <w:rsid w:val="00826BC5"/>
    <w:rsid w:val="008275C4"/>
    <w:rsid w:val="00827FCD"/>
    <w:rsid w:val="0083008C"/>
    <w:rsid w:val="00830421"/>
    <w:rsid w:val="008309E7"/>
    <w:rsid w:val="008309EF"/>
    <w:rsid w:val="00830C99"/>
    <w:rsid w:val="00830D22"/>
    <w:rsid w:val="0083118C"/>
    <w:rsid w:val="008319B3"/>
    <w:rsid w:val="00832835"/>
    <w:rsid w:val="00832AED"/>
    <w:rsid w:val="00832C8E"/>
    <w:rsid w:val="00832E30"/>
    <w:rsid w:val="00833118"/>
    <w:rsid w:val="00833193"/>
    <w:rsid w:val="00833256"/>
    <w:rsid w:val="00833ABA"/>
    <w:rsid w:val="008341F0"/>
    <w:rsid w:val="00834A2D"/>
    <w:rsid w:val="00834AEF"/>
    <w:rsid w:val="008359FD"/>
    <w:rsid w:val="00835ADF"/>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21B0"/>
    <w:rsid w:val="00842934"/>
    <w:rsid w:val="00842D55"/>
    <w:rsid w:val="00843109"/>
    <w:rsid w:val="00843206"/>
    <w:rsid w:val="008432C8"/>
    <w:rsid w:val="008435D4"/>
    <w:rsid w:val="0084362D"/>
    <w:rsid w:val="00843788"/>
    <w:rsid w:val="008437B1"/>
    <w:rsid w:val="00843918"/>
    <w:rsid w:val="00843FD3"/>
    <w:rsid w:val="00843FD7"/>
    <w:rsid w:val="00844633"/>
    <w:rsid w:val="008446E6"/>
    <w:rsid w:val="00844943"/>
    <w:rsid w:val="008449D9"/>
    <w:rsid w:val="008459E2"/>
    <w:rsid w:val="00845E2F"/>
    <w:rsid w:val="00846950"/>
    <w:rsid w:val="00846AB3"/>
    <w:rsid w:val="00847244"/>
    <w:rsid w:val="00847335"/>
    <w:rsid w:val="0084737B"/>
    <w:rsid w:val="0084755C"/>
    <w:rsid w:val="00847588"/>
    <w:rsid w:val="00847601"/>
    <w:rsid w:val="00847EEE"/>
    <w:rsid w:val="0085056C"/>
    <w:rsid w:val="008508F1"/>
    <w:rsid w:val="00851936"/>
    <w:rsid w:val="00851A3F"/>
    <w:rsid w:val="00852070"/>
    <w:rsid w:val="00852672"/>
    <w:rsid w:val="00853139"/>
    <w:rsid w:val="00854037"/>
    <w:rsid w:val="00854065"/>
    <w:rsid w:val="008542AA"/>
    <w:rsid w:val="0085433D"/>
    <w:rsid w:val="008546B0"/>
    <w:rsid w:val="00854994"/>
    <w:rsid w:val="00854999"/>
    <w:rsid w:val="00854E4B"/>
    <w:rsid w:val="0085507A"/>
    <w:rsid w:val="008553F1"/>
    <w:rsid w:val="0085563C"/>
    <w:rsid w:val="008558B3"/>
    <w:rsid w:val="00855A32"/>
    <w:rsid w:val="00855C5D"/>
    <w:rsid w:val="00855F01"/>
    <w:rsid w:val="0085601B"/>
    <w:rsid w:val="00856AAC"/>
    <w:rsid w:val="008575AC"/>
    <w:rsid w:val="00857BFA"/>
    <w:rsid w:val="00857C66"/>
    <w:rsid w:val="00857FCD"/>
    <w:rsid w:val="00860742"/>
    <w:rsid w:val="008607BE"/>
    <w:rsid w:val="00860B93"/>
    <w:rsid w:val="00860DEB"/>
    <w:rsid w:val="00860EF6"/>
    <w:rsid w:val="00861BCC"/>
    <w:rsid w:val="008624BA"/>
    <w:rsid w:val="008631EF"/>
    <w:rsid w:val="00863230"/>
    <w:rsid w:val="008642F9"/>
    <w:rsid w:val="0086494E"/>
    <w:rsid w:val="00864AAA"/>
    <w:rsid w:val="00864E2F"/>
    <w:rsid w:val="008651A3"/>
    <w:rsid w:val="00865978"/>
    <w:rsid w:val="00865981"/>
    <w:rsid w:val="00865A84"/>
    <w:rsid w:val="008669A4"/>
    <w:rsid w:val="00866B3C"/>
    <w:rsid w:val="008672AC"/>
    <w:rsid w:val="00867423"/>
    <w:rsid w:val="00867ACD"/>
    <w:rsid w:val="00870067"/>
    <w:rsid w:val="008708C8"/>
    <w:rsid w:val="00870A00"/>
    <w:rsid w:val="00870FB5"/>
    <w:rsid w:val="0087153F"/>
    <w:rsid w:val="008715EF"/>
    <w:rsid w:val="008719FB"/>
    <w:rsid w:val="00871A31"/>
    <w:rsid w:val="0087223B"/>
    <w:rsid w:val="008725D4"/>
    <w:rsid w:val="00872AB8"/>
    <w:rsid w:val="00872B73"/>
    <w:rsid w:val="00872B9C"/>
    <w:rsid w:val="00872EF5"/>
    <w:rsid w:val="008738E5"/>
    <w:rsid w:val="00873DC0"/>
    <w:rsid w:val="00873F37"/>
    <w:rsid w:val="0087423F"/>
    <w:rsid w:val="0087479E"/>
    <w:rsid w:val="0087536B"/>
    <w:rsid w:val="00876684"/>
    <w:rsid w:val="00876AEE"/>
    <w:rsid w:val="008772A6"/>
    <w:rsid w:val="00877A9E"/>
    <w:rsid w:val="00877D0D"/>
    <w:rsid w:val="00877E1B"/>
    <w:rsid w:val="00880D38"/>
    <w:rsid w:val="00881199"/>
    <w:rsid w:val="008814C7"/>
    <w:rsid w:val="008824E7"/>
    <w:rsid w:val="00882B16"/>
    <w:rsid w:val="00882CAB"/>
    <w:rsid w:val="00882DF9"/>
    <w:rsid w:val="008837A4"/>
    <w:rsid w:val="008838FA"/>
    <w:rsid w:val="00883E43"/>
    <w:rsid w:val="008842CF"/>
    <w:rsid w:val="008849F3"/>
    <w:rsid w:val="00884DC3"/>
    <w:rsid w:val="00884E3A"/>
    <w:rsid w:val="00885187"/>
    <w:rsid w:val="008856FD"/>
    <w:rsid w:val="00885919"/>
    <w:rsid w:val="008859D2"/>
    <w:rsid w:val="00885D3A"/>
    <w:rsid w:val="00886581"/>
    <w:rsid w:val="00886AD9"/>
    <w:rsid w:val="0088715F"/>
    <w:rsid w:val="008876D1"/>
    <w:rsid w:val="008877EA"/>
    <w:rsid w:val="00887ADF"/>
    <w:rsid w:val="00887AF2"/>
    <w:rsid w:val="00887F45"/>
    <w:rsid w:val="00887FAF"/>
    <w:rsid w:val="00890864"/>
    <w:rsid w:val="00890FB9"/>
    <w:rsid w:val="008915E6"/>
    <w:rsid w:val="00891B1F"/>
    <w:rsid w:val="00891BB5"/>
    <w:rsid w:val="0089253E"/>
    <w:rsid w:val="00892A1F"/>
    <w:rsid w:val="00892C1E"/>
    <w:rsid w:val="00892F7D"/>
    <w:rsid w:val="008935A3"/>
    <w:rsid w:val="00893613"/>
    <w:rsid w:val="00893AB4"/>
    <w:rsid w:val="00893B38"/>
    <w:rsid w:val="00893C34"/>
    <w:rsid w:val="00894534"/>
    <w:rsid w:val="00895559"/>
    <w:rsid w:val="008957BE"/>
    <w:rsid w:val="008957D4"/>
    <w:rsid w:val="00895F31"/>
    <w:rsid w:val="008963F5"/>
    <w:rsid w:val="008966E7"/>
    <w:rsid w:val="00896A63"/>
    <w:rsid w:val="00896EE6"/>
    <w:rsid w:val="00897CD0"/>
    <w:rsid w:val="00897E55"/>
    <w:rsid w:val="008A0071"/>
    <w:rsid w:val="008A0620"/>
    <w:rsid w:val="008A09F6"/>
    <w:rsid w:val="008A1204"/>
    <w:rsid w:val="008A14F6"/>
    <w:rsid w:val="008A1924"/>
    <w:rsid w:val="008A1A9C"/>
    <w:rsid w:val="008A26B9"/>
    <w:rsid w:val="008A2970"/>
    <w:rsid w:val="008A3331"/>
    <w:rsid w:val="008A3406"/>
    <w:rsid w:val="008A360A"/>
    <w:rsid w:val="008A3A85"/>
    <w:rsid w:val="008A3B3D"/>
    <w:rsid w:val="008A3BEC"/>
    <w:rsid w:val="008A3C4A"/>
    <w:rsid w:val="008A420D"/>
    <w:rsid w:val="008A4E03"/>
    <w:rsid w:val="008A541D"/>
    <w:rsid w:val="008A5544"/>
    <w:rsid w:val="008A5CB1"/>
    <w:rsid w:val="008A5DCB"/>
    <w:rsid w:val="008A6027"/>
    <w:rsid w:val="008A6936"/>
    <w:rsid w:val="008A77AB"/>
    <w:rsid w:val="008A7C3C"/>
    <w:rsid w:val="008A7C7C"/>
    <w:rsid w:val="008B0EFC"/>
    <w:rsid w:val="008B1447"/>
    <w:rsid w:val="008B161A"/>
    <w:rsid w:val="008B2D9C"/>
    <w:rsid w:val="008B2E14"/>
    <w:rsid w:val="008B2EEB"/>
    <w:rsid w:val="008B2F1E"/>
    <w:rsid w:val="008B3070"/>
    <w:rsid w:val="008B3124"/>
    <w:rsid w:val="008B3DEB"/>
    <w:rsid w:val="008B3E2D"/>
    <w:rsid w:val="008B469A"/>
    <w:rsid w:val="008B473F"/>
    <w:rsid w:val="008B4C55"/>
    <w:rsid w:val="008B4F47"/>
    <w:rsid w:val="008B57C1"/>
    <w:rsid w:val="008B59E0"/>
    <w:rsid w:val="008B5D62"/>
    <w:rsid w:val="008B5E00"/>
    <w:rsid w:val="008B5FD0"/>
    <w:rsid w:val="008B6F62"/>
    <w:rsid w:val="008B712F"/>
    <w:rsid w:val="008B782B"/>
    <w:rsid w:val="008B78E0"/>
    <w:rsid w:val="008C0238"/>
    <w:rsid w:val="008C0417"/>
    <w:rsid w:val="008C0CAC"/>
    <w:rsid w:val="008C0EAD"/>
    <w:rsid w:val="008C1538"/>
    <w:rsid w:val="008C1ACF"/>
    <w:rsid w:val="008C1DDC"/>
    <w:rsid w:val="008C29EA"/>
    <w:rsid w:val="008C3245"/>
    <w:rsid w:val="008C352E"/>
    <w:rsid w:val="008C3673"/>
    <w:rsid w:val="008C37E6"/>
    <w:rsid w:val="008C3B37"/>
    <w:rsid w:val="008C3C1F"/>
    <w:rsid w:val="008C4230"/>
    <w:rsid w:val="008C43F8"/>
    <w:rsid w:val="008C4670"/>
    <w:rsid w:val="008C4814"/>
    <w:rsid w:val="008C4A09"/>
    <w:rsid w:val="008C4D5D"/>
    <w:rsid w:val="008C5982"/>
    <w:rsid w:val="008C5A79"/>
    <w:rsid w:val="008C5F17"/>
    <w:rsid w:val="008C5FAB"/>
    <w:rsid w:val="008C6030"/>
    <w:rsid w:val="008C7549"/>
    <w:rsid w:val="008C790B"/>
    <w:rsid w:val="008D0BB5"/>
    <w:rsid w:val="008D16C2"/>
    <w:rsid w:val="008D17B2"/>
    <w:rsid w:val="008D1A4D"/>
    <w:rsid w:val="008D22EA"/>
    <w:rsid w:val="008D24EF"/>
    <w:rsid w:val="008D2734"/>
    <w:rsid w:val="008D2F1C"/>
    <w:rsid w:val="008D3191"/>
    <w:rsid w:val="008D3818"/>
    <w:rsid w:val="008D3E60"/>
    <w:rsid w:val="008D4017"/>
    <w:rsid w:val="008D4285"/>
    <w:rsid w:val="008D4540"/>
    <w:rsid w:val="008D4EA1"/>
    <w:rsid w:val="008D5082"/>
    <w:rsid w:val="008D59D4"/>
    <w:rsid w:val="008D5F0D"/>
    <w:rsid w:val="008D67F2"/>
    <w:rsid w:val="008D6A49"/>
    <w:rsid w:val="008D6CE5"/>
    <w:rsid w:val="008D76BB"/>
    <w:rsid w:val="008D77FB"/>
    <w:rsid w:val="008D7D9D"/>
    <w:rsid w:val="008E0783"/>
    <w:rsid w:val="008E0A83"/>
    <w:rsid w:val="008E0E36"/>
    <w:rsid w:val="008E1222"/>
    <w:rsid w:val="008E18E6"/>
    <w:rsid w:val="008E1A9D"/>
    <w:rsid w:val="008E1ABE"/>
    <w:rsid w:val="008E2173"/>
    <w:rsid w:val="008E26E6"/>
    <w:rsid w:val="008E27A4"/>
    <w:rsid w:val="008E295D"/>
    <w:rsid w:val="008E2C90"/>
    <w:rsid w:val="008E2D58"/>
    <w:rsid w:val="008E301E"/>
    <w:rsid w:val="008E35CD"/>
    <w:rsid w:val="008E3FD5"/>
    <w:rsid w:val="008E40FE"/>
    <w:rsid w:val="008E4244"/>
    <w:rsid w:val="008E43A3"/>
    <w:rsid w:val="008E442C"/>
    <w:rsid w:val="008E46AB"/>
    <w:rsid w:val="008E4A38"/>
    <w:rsid w:val="008E4A53"/>
    <w:rsid w:val="008E4DEF"/>
    <w:rsid w:val="008E4F57"/>
    <w:rsid w:val="008E549D"/>
    <w:rsid w:val="008E550A"/>
    <w:rsid w:val="008E666F"/>
    <w:rsid w:val="008E68EF"/>
    <w:rsid w:val="008E69CB"/>
    <w:rsid w:val="008E6FCA"/>
    <w:rsid w:val="008E772F"/>
    <w:rsid w:val="008E77D4"/>
    <w:rsid w:val="008E7861"/>
    <w:rsid w:val="008E7DA1"/>
    <w:rsid w:val="008F025A"/>
    <w:rsid w:val="008F0291"/>
    <w:rsid w:val="008F031D"/>
    <w:rsid w:val="008F06F5"/>
    <w:rsid w:val="008F0ADA"/>
    <w:rsid w:val="008F0E73"/>
    <w:rsid w:val="008F11F9"/>
    <w:rsid w:val="008F1645"/>
    <w:rsid w:val="008F1C4B"/>
    <w:rsid w:val="008F20DD"/>
    <w:rsid w:val="008F2127"/>
    <w:rsid w:val="008F2219"/>
    <w:rsid w:val="008F2ADC"/>
    <w:rsid w:val="008F2DC7"/>
    <w:rsid w:val="008F2DD7"/>
    <w:rsid w:val="008F31BE"/>
    <w:rsid w:val="008F3866"/>
    <w:rsid w:val="008F3F26"/>
    <w:rsid w:val="008F3FA7"/>
    <w:rsid w:val="008F41EB"/>
    <w:rsid w:val="008F4264"/>
    <w:rsid w:val="008F44EA"/>
    <w:rsid w:val="008F4581"/>
    <w:rsid w:val="008F4D2F"/>
    <w:rsid w:val="008F573A"/>
    <w:rsid w:val="008F59DD"/>
    <w:rsid w:val="008F6034"/>
    <w:rsid w:val="008F6449"/>
    <w:rsid w:val="008F6591"/>
    <w:rsid w:val="008F65F8"/>
    <w:rsid w:val="008F6EF1"/>
    <w:rsid w:val="008F72F7"/>
    <w:rsid w:val="008F7315"/>
    <w:rsid w:val="008F749F"/>
    <w:rsid w:val="00900384"/>
    <w:rsid w:val="00900BA7"/>
    <w:rsid w:val="00900C0E"/>
    <w:rsid w:val="00900D77"/>
    <w:rsid w:val="00901BE2"/>
    <w:rsid w:val="00902396"/>
    <w:rsid w:val="0090295D"/>
    <w:rsid w:val="00902D47"/>
    <w:rsid w:val="00902F49"/>
    <w:rsid w:val="00903257"/>
    <w:rsid w:val="00903695"/>
    <w:rsid w:val="009038E5"/>
    <w:rsid w:val="00903C4F"/>
    <w:rsid w:val="00903E78"/>
    <w:rsid w:val="00903FA4"/>
    <w:rsid w:val="00904036"/>
    <w:rsid w:val="00904860"/>
    <w:rsid w:val="009049E3"/>
    <w:rsid w:val="0090510A"/>
    <w:rsid w:val="0090526F"/>
    <w:rsid w:val="009058AF"/>
    <w:rsid w:val="009058ED"/>
    <w:rsid w:val="00905B43"/>
    <w:rsid w:val="00906A01"/>
    <w:rsid w:val="00906C18"/>
    <w:rsid w:val="00907163"/>
    <w:rsid w:val="009072C7"/>
    <w:rsid w:val="0090759A"/>
    <w:rsid w:val="0090788C"/>
    <w:rsid w:val="00907A06"/>
    <w:rsid w:val="009105EB"/>
    <w:rsid w:val="009105FD"/>
    <w:rsid w:val="00910C1B"/>
    <w:rsid w:val="00910C34"/>
    <w:rsid w:val="0091100B"/>
    <w:rsid w:val="00911790"/>
    <w:rsid w:val="00911BE7"/>
    <w:rsid w:val="00912723"/>
    <w:rsid w:val="009128D6"/>
    <w:rsid w:val="00912FBA"/>
    <w:rsid w:val="00913284"/>
    <w:rsid w:val="00913C94"/>
    <w:rsid w:val="00913CAE"/>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D1F"/>
    <w:rsid w:val="00916FB7"/>
    <w:rsid w:val="00917067"/>
    <w:rsid w:val="009175C7"/>
    <w:rsid w:val="00917EF2"/>
    <w:rsid w:val="00917F58"/>
    <w:rsid w:val="00920F73"/>
    <w:rsid w:val="00921569"/>
    <w:rsid w:val="00921676"/>
    <w:rsid w:val="00921760"/>
    <w:rsid w:val="00921B00"/>
    <w:rsid w:val="00921E9A"/>
    <w:rsid w:val="00922127"/>
    <w:rsid w:val="00922332"/>
    <w:rsid w:val="00922748"/>
    <w:rsid w:val="00922BC3"/>
    <w:rsid w:val="00922F6D"/>
    <w:rsid w:val="00923019"/>
    <w:rsid w:val="00923526"/>
    <w:rsid w:val="00923594"/>
    <w:rsid w:val="00923992"/>
    <w:rsid w:val="009239EA"/>
    <w:rsid w:val="00923B6B"/>
    <w:rsid w:val="00924007"/>
    <w:rsid w:val="00924042"/>
    <w:rsid w:val="0092432C"/>
    <w:rsid w:val="00924DB4"/>
    <w:rsid w:val="00925049"/>
    <w:rsid w:val="00926A16"/>
    <w:rsid w:val="009271FC"/>
    <w:rsid w:val="00927375"/>
    <w:rsid w:val="009278AF"/>
    <w:rsid w:val="00927919"/>
    <w:rsid w:val="009312EF"/>
    <w:rsid w:val="009313B1"/>
    <w:rsid w:val="009313FE"/>
    <w:rsid w:val="00932944"/>
    <w:rsid w:val="00932BA7"/>
    <w:rsid w:val="009333AA"/>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49C"/>
    <w:rsid w:val="009403DB"/>
    <w:rsid w:val="009404A4"/>
    <w:rsid w:val="0094062A"/>
    <w:rsid w:val="00940A1B"/>
    <w:rsid w:val="00940C72"/>
    <w:rsid w:val="00940EAA"/>
    <w:rsid w:val="00941197"/>
    <w:rsid w:val="00941252"/>
    <w:rsid w:val="00941631"/>
    <w:rsid w:val="0094172C"/>
    <w:rsid w:val="009420D1"/>
    <w:rsid w:val="00942A19"/>
    <w:rsid w:val="00942C0E"/>
    <w:rsid w:val="00942F38"/>
    <w:rsid w:val="00943071"/>
    <w:rsid w:val="00944B0A"/>
    <w:rsid w:val="00945045"/>
    <w:rsid w:val="009454BB"/>
    <w:rsid w:val="00945699"/>
    <w:rsid w:val="009456A4"/>
    <w:rsid w:val="00945F30"/>
    <w:rsid w:val="00946480"/>
    <w:rsid w:val="009464FC"/>
    <w:rsid w:val="009469F4"/>
    <w:rsid w:val="00946E7A"/>
    <w:rsid w:val="00947950"/>
    <w:rsid w:val="009501BA"/>
    <w:rsid w:val="00950AE4"/>
    <w:rsid w:val="00950E73"/>
    <w:rsid w:val="00950EB1"/>
    <w:rsid w:val="00951192"/>
    <w:rsid w:val="0095127F"/>
    <w:rsid w:val="00951537"/>
    <w:rsid w:val="00951ACA"/>
    <w:rsid w:val="00951E3A"/>
    <w:rsid w:val="00952285"/>
    <w:rsid w:val="00952588"/>
    <w:rsid w:val="00952C41"/>
    <w:rsid w:val="00953614"/>
    <w:rsid w:val="0095425E"/>
    <w:rsid w:val="009543DE"/>
    <w:rsid w:val="00954441"/>
    <w:rsid w:val="009557AA"/>
    <w:rsid w:val="00955807"/>
    <w:rsid w:val="009562EA"/>
    <w:rsid w:val="0095630C"/>
    <w:rsid w:val="009568B4"/>
    <w:rsid w:val="00956ECE"/>
    <w:rsid w:val="0095708D"/>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6EE"/>
    <w:rsid w:val="009617D9"/>
    <w:rsid w:val="00961818"/>
    <w:rsid w:val="0096201C"/>
    <w:rsid w:val="009625DA"/>
    <w:rsid w:val="00962E26"/>
    <w:rsid w:val="009631B1"/>
    <w:rsid w:val="00963688"/>
    <w:rsid w:val="00963C62"/>
    <w:rsid w:val="00963D4F"/>
    <w:rsid w:val="0096407D"/>
    <w:rsid w:val="0096435C"/>
    <w:rsid w:val="00965016"/>
    <w:rsid w:val="009651CF"/>
    <w:rsid w:val="0096630C"/>
    <w:rsid w:val="00966312"/>
    <w:rsid w:val="00966482"/>
    <w:rsid w:val="00966650"/>
    <w:rsid w:val="00966CF5"/>
    <w:rsid w:val="00966E32"/>
    <w:rsid w:val="0096746F"/>
    <w:rsid w:val="009678C4"/>
    <w:rsid w:val="00967CB0"/>
    <w:rsid w:val="0097064A"/>
    <w:rsid w:val="00970C3C"/>
    <w:rsid w:val="00971AA9"/>
    <w:rsid w:val="00971F25"/>
    <w:rsid w:val="0097222A"/>
    <w:rsid w:val="00972CA1"/>
    <w:rsid w:val="00973028"/>
    <w:rsid w:val="009733FC"/>
    <w:rsid w:val="00973444"/>
    <w:rsid w:val="009740A5"/>
    <w:rsid w:val="0097464F"/>
    <w:rsid w:val="00974758"/>
    <w:rsid w:val="0097522B"/>
    <w:rsid w:val="009758D1"/>
    <w:rsid w:val="009762A9"/>
    <w:rsid w:val="0097638D"/>
    <w:rsid w:val="00976457"/>
    <w:rsid w:val="00976DE4"/>
    <w:rsid w:val="00977162"/>
    <w:rsid w:val="009773DE"/>
    <w:rsid w:val="009776D1"/>
    <w:rsid w:val="0097773E"/>
    <w:rsid w:val="009779EF"/>
    <w:rsid w:val="00977F18"/>
    <w:rsid w:val="009805C6"/>
    <w:rsid w:val="00981433"/>
    <w:rsid w:val="00982479"/>
    <w:rsid w:val="009827D0"/>
    <w:rsid w:val="009829A4"/>
    <w:rsid w:val="00982B6E"/>
    <w:rsid w:val="00982D59"/>
    <w:rsid w:val="0098352A"/>
    <w:rsid w:val="00983545"/>
    <w:rsid w:val="00984143"/>
    <w:rsid w:val="00984243"/>
    <w:rsid w:val="009843AB"/>
    <w:rsid w:val="00985428"/>
    <w:rsid w:val="00985611"/>
    <w:rsid w:val="00985821"/>
    <w:rsid w:val="00985BD9"/>
    <w:rsid w:val="00985D0F"/>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09"/>
    <w:rsid w:val="0099182A"/>
    <w:rsid w:val="009919CB"/>
    <w:rsid w:val="00992EA5"/>
    <w:rsid w:val="00992F90"/>
    <w:rsid w:val="0099362A"/>
    <w:rsid w:val="00993B1C"/>
    <w:rsid w:val="00993D26"/>
    <w:rsid w:val="00993ECF"/>
    <w:rsid w:val="009940F7"/>
    <w:rsid w:val="009946BB"/>
    <w:rsid w:val="00994BB1"/>
    <w:rsid w:val="00994E9D"/>
    <w:rsid w:val="00995535"/>
    <w:rsid w:val="00995AE9"/>
    <w:rsid w:val="009962C7"/>
    <w:rsid w:val="00996726"/>
    <w:rsid w:val="0099739B"/>
    <w:rsid w:val="009A01A1"/>
    <w:rsid w:val="009A0C05"/>
    <w:rsid w:val="009A10D0"/>
    <w:rsid w:val="009A1122"/>
    <w:rsid w:val="009A1243"/>
    <w:rsid w:val="009A1469"/>
    <w:rsid w:val="009A1DF0"/>
    <w:rsid w:val="009A1E1C"/>
    <w:rsid w:val="009A2328"/>
    <w:rsid w:val="009A2F20"/>
    <w:rsid w:val="009A30EB"/>
    <w:rsid w:val="009A3790"/>
    <w:rsid w:val="009A3C99"/>
    <w:rsid w:val="009A4B16"/>
    <w:rsid w:val="009A4D68"/>
    <w:rsid w:val="009A52DC"/>
    <w:rsid w:val="009A53B3"/>
    <w:rsid w:val="009A54D4"/>
    <w:rsid w:val="009A5A00"/>
    <w:rsid w:val="009A5AAE"/>
    <w:rsid w:val="009A62DB"/>
    <w:rsid w:val="009A6414"/>
    <w:rsid w:val="009A66A9"/>
    <w:rsid w:val="009A69B7"/>
    <w:rsid w:val="009A70DE"/>
    <w:rsid w:val="009A7834"/>
    <w:rsid w:val="009A7854"/>
    <w:rsid w:val="009A78FB"/>
    <w:rsid w:val="009A7B7B"/>
    <w:rsid w:val="009B015B"/>
    <w:rsid w:val="009B0FB0"/>
    <w:rsid w:val="009B1029"/>
    <w:rsid w:val="009B166A"/>
    <w:rsid w:val="009B1A15"/>
    <w:rsid w:val="009B24D5"/>
    <w:rsid w:val="009B26FB"/>
    <w:rsid w:val="009B2B0D"/>
    <w:rsid w:val="009B2F6E"/>
    <w:rsid w:val="009B32AD"/>
    <w:rsid w:val="009B33EC"/>
    <w:rsid w:val="009B3516"/>
    <w:rsid w:val="009B3720"/>
    <w:rsid w:val="009B38C3"/>
    <w:rsid w:val="009B3A4B"/>
    <w:rsid w:val="009B3B9C"/>
    <w:rsid w:val="009B3E56"/>
    <w:rsid w:val="009B3FD1"/>
    <w:rsid w:val="009B44B5"/>
    <w:rsid w:val="009B484B"/>
    <w:rsid w:val="009B5DC9"/>
    <w:rsid w:val="009B60B6"/>
    <w:rsid w:val="009B690E"/>
    <w:rsid w:val="009B6E1C"/>
    <w:rsid w:val="009B7452"/>
    <w:rsid w:val="009B7F9D"/>
    <w:rsid w:val="009C029C"/>
    <w:rsid w:val="009C0DDC"/>
    <w:rsid w:val="009C1390"/>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6402"/>
    <w:rsid w:val="009C6A00"/>
    <w:rsid w:val="009C6E63"/>
    <w:rsid w:val="009C6F2D"/>
    <w:rsid w:val="009C7620"/>
    <w:rsid w:val="009C7B34"/>
    <w:rsid w:val="009C7B7F"/>
    <w:rsid w:val="009C7F9B"/>
    <w:rsid w:val="009C7FD8"/>
    <w:rsid w:val="009D00C5"/>
    <w:rsid w:val="009D00F7"/>
    <w:rsid w:val="009D1315"/>
    <w:rsid w:val="009D142C"/>
    <w:rsid w:val="009D1F46"/>
    <w:rsid w:val="009D1FA1"/>
    <w:rsid w:val="009D2192"/>
    <w:rsid w:val="009D2843"/>
    <w:rsid w:val="009D2BCD"/>
    <w:rsid w:val="009D323A"/>
    <w:rsid w:val="009D3722"/>
    <w:rsid w:val="009D382C"/>
    <w:rsid w:val="009D43CE"/>
    <w:rsid w:val="009D43EF"/>
    <w:rsid w:val="009D48C5"/>
    <w:rsid w:val="009D537E"/>
    <w:rsid w:val="009D5782"/>
    <w:rsid w:val="009D5C56"/>
    <w:rsid w:val="009D5FFA"/>
    <w:rsid w:val="009D64EA"/>
    <w:rsid w:val="009D66C7"/>
    <w:rsid w:val="009D67E5"/>
    <w:rsid w:val="009D687C"/>
    <w:rsid w:val="009D6A81"/>
    <w:rsid w:val="009D7214"/>
    <w:rsid w:val="009D7D69"/>
    <w:rsid w:val="009D7F4E"/>
    <w:rsid w:val="009E0385"/>
    <w:rsid w:val="009E0453"/>
    <w:rsid w:val="009E04C6"/>
    <w:rsid w:val="009E19F7"/>
    <w:rsid w:val="009E1CC4"/>
    <w:rsid w:val="009E1D13"/>
    <w:rsid w:val="009E2025"/>
    <w:rsid w:val="009E2544"/>
    <w:rsid w:val="009E298C"/>
    <w:rsid w:val="009E33C4"/>
    <w:rsid w:val="009E3AF4"/>
    <w:rsid w:val="009E3CFA"/>
    <w:rsid w:val="009E3F94"/>
    <w:rsid w:val="009E3FDE"/>
    <w:rsid w:val="009E40B9"/>
    <w:rsid w:val="009E535E"/>
    <w:rsid w:val="009E56D7"/>
    <w:rsid w:val="009E57FD"/>
    <w:rsid w:val="009E5D0D"/>
    <w:rsid w:val="009E5DC6"/>
    <w:rsid w:val="009E5E8A"/>
    <w:rsid w:val="009E634A"/>
    <w:rsid w:val="009E6C56"/>
    <w:rsid w:val="009E6D63"/>
    <w:rsid w:val="009E7025"/>
    <w:rsid w:val="009E728C"/>
    <w:rsid w:val="009E7AFF"/>
    <w:rsid w:val="009E7C82"/>
    <w:rsid w:val="009E7EA6"/>
    <w:rsid w:val="009F06C9"/>
    <w:rsid w:val="009F0F2A"/>
    <w:rsid w:val="009F10A1"/>
    <w:rsid w:val="009F18E0"/>
    <w:rsid w:val="009F1A41"/>
    <w:rsid w:val="009F1D0B"/>
    <w:rsid w:val="009F2B33"/>
    <w:rsid w:val="009F2D05"/>
    <w:rsid w:val="009F2F4E"/>
    <w:rsid w:val="009F3072"/>
    <w:rsid w:val="009F3199"/>
    <w:rsid w:val="009F3A31"/>
    <w:rsid w:val="009F3C99"/>
    <w:rsid w:val="009F3D94"/>
    <w:rsid w:val="009F4895"/>
    <w:rsid w:val="009F491C"/>
    <w:rsid w:val="009F4B0B"/>
    <w:rsid w:val="009F4D1E"/>
    <w:rsid w:val="009F4EDD"/>
    <w:rsid w:val="009F57AB"/>
    <w:rsid w:val="009F5CBB"/>
    <w:rsid w:val="009F5FDA"/>
    <w:rsid w:val="009F6875"/>
    <w:rsid w:val="009F6B4C"/>
    <w:rsid w:val="009F6FD2"/>
    <w:rsid w:val="009F7224"/>
    <w:rsid w:val="009F7EA2"/>
    <w:rsid w:val="00A00546"/>
    <w:rsid w:val="00A006E0"/>
    <w:rsid w:val="00A007C4"/>
    <w:rsid w:val="00A009A9"/>
    <w:rsid w:val="00A00F74"/>
    <w:rsid w:val="00A011B4"/>
    <w:rsid w:val="00A012AF"/>
    <w:rsid w:val="00A01E64"/>
    <w:rsid w:val="00A02380"/>
    <w:rsid w:val="00A02A8B"/>
    <w:rsid w:val="00A03415"/>
    <w:rsid w:val="00A03433"/>
    <w:rsid w:val="00A03F47"/>
    <w:rsid w:val="00A04462"/>
    <w:rsid w:val="00A0465F"/>
    <w:rsid w:val="00A0488C"/>
    <w:rsid w:val="00A04E82"/>
    <w:rsid w:val="00A0504D"/>
    <w:rsid w:val="00A05433"/>
    <w:rsid w:val="00A05B36"/>
    <w:rsid w:val="00A05E44"/>
    <w:rsid w:val="00A06282"/>
    <w:rsid w:val="00A062A0"/>
    <w:rsid w:val="00A06577"/>
    <w:rsid w:val="00A068FB"/>
    <w:rsid w:val="00A06EF3"/>
    <w:rsid w:val="00A0704D"/>
    <w:rsid w:val="00A07221"/>
    <w:rsid w:val="00A0732F"/>
    <w:rsid w:val="00A0780B"/>
    <w:rsid w:val="00A1021B"/>
    <w:rsid w:val="00A10599"/>
    <w:rsid w:val="00A10F47"/>
    <w:rsid w:val="00A112F1"/>
    <w:rsid w:val="00A11530"/>
    <w:rsid w:val="00A12268"/>
    <w:rsid w:val="00A1258F"/>
    <w:rsid w:val="00A129BB"/>
    <w:rsid w:val="00A12D58"/>
    <w:rsid w:val="00A138DC"/>
    <w:rsid w:val="00A13EEC"/>
    <w:rsid w:val="00A13F3B"/>
    <w:rsid w:val="00A13F97"/>
    <w:rsid w:val="00A14379"/>
    <w:rsid w:val="00A1438A"/>
    <w:rsid w:val="00A149CA"/>
    <w:rsid w:val="00A14C81"/>
    <w:rsid w:val="00A15016"/>
    <w:rsid w:val="00A15CB0"/>
    <w:rsid w:val="00A16D32"/>
    <w:rsid w:val="00A16E7A"/>
    <w:rsid w:val="00A171C4"/>
    <w:rsid w:val="00A173F8"/>
    <w:rsid w:val="00A17634"/>
    <w:rsid w:val="00A17CBE"/>
    <w:rsid w:val="00A20152"/>
    <w:rsid w:val="00A20F41"/>
    <w:rsid w:val="00A21FA8"/>
    <w:rsid w:val="00A22162"/>
    <w:rsid w:val="00A22418"/>
    <w:rsid w:val="00A22886"/>
    <w:rsid w:val="00A231C2"/>
    <w:rsid w:val="00A24204"/>
    <w:rsid w:val="00A24354"/>
    <w:rsid w:val="00A245F5"/>
    <w:rsid w:val="00A24C51"/>
    <w:rsid w:val="00A251E2"/>
    <w:rsid w:val="00A25B82"/>
    <w:rsid w:val="00A25BA4"/>
    <w:rsid w:val="00A25C1E"/>
    <w:rsid w:val="00A25DFB"/>
    <w:rsid w:val="00A26063"/>
    <w:rsid w:val="00A2647D"/>
    <w:rsid w:val="00A268C0"/>
    <w:rsid w:val="00A26ADF"/>
    <w:rsid w:val="00A279D1"/>
    <w:rsid w:val="00A279EC"/>
    <w:rsid w:val="00A3027A"/>
    <w:rsid w:val="00A304F1"/>
    <w:rsid w:val="00A307E4"/>
    <w:rsid w:val="00A30AB3"/>
    <w:rsid w:val="00A30F4C"/>
    <w:rsid w:val="00A31A23"/>
    <w:rsid w:val="00A31A8E"/>
    <w:rsid w:val="00A31D9F"/>
    <w:rsid w:val="00A31FFB"/>
    <w:rsid w:val="00A325D0"/>
    <w:rsid w:val="00A32977"/>
    <w:rsid w:val="00A32C00"/>
    <w:rsid w:val="00A32CBA"/>
    <w:rsid w:val="00A32E70"/>
    <w:rsid w:val="00A337BE"/>
    <w:rsid w:val="00A33CA3"/>
    <w:rsid w:val="00A33E94"/>
    <w:rsid w:val="00A347FA"/>
    <w:rsid w:val="00A34831"/>
    <w:rsid w:val="00A35380"/>
    <w:rsid w:val="00A35644"/>
    <w:rsid w:val="00A35B44"/>
    <w:rsid w:val="00A361BD"/>
    <w:rsid w:val="00A3648B"/>
    <w:rsid w:val="00A366EA"/>
    <w:rsid w:val="00A36832"/>
    <w:rsid w:val="00A36938"/>
    <w:rsid w:val="00A3699B"/>
    <w:rsid w:val="00A36A31"/>
    <w:rsid w:val="00A36E31"/>
    <w:rsid w:val="00A36FAF"/>
    <w:rsid w:val="00A370B9"/>
    <w:rsid w:val="00A3722E"/>
    <w:rsid w:val="00A37897"/>
    <w:rsid w:val="00A4046C"/>
    <w:rsid w:val="00A4083E"/>
    <w:rsid w:val="00A40ADB"/>
    <w:rsid w:val="00A417A6"/>
    <w:rsid w:val="00A41C63"/>
    <w:rsid w:val="00A41D40"/>
    <w:rsid w:val="00A420BA"/>
    <w:rsid w:val="00A420F9"/>
    <w:rsid w:val="00A42214"/>
    <w:rsid w:val="00A42A0F"/>
    <w:rsid w:val="00A42EB4"/>
    <w:rsid w:val="00A43362"/>
    <w:rsid w:val="00A43650"/>
    <w:rsid w:val="00A44393"/>
    <w:rsid w:val="00A4454F"/>
    <w:rsid w:val="00A446F7"/>
    <w:rsid w:val="00A44AEB"/>
    <w:rsid w:val="00A4557C"/>
    <w:rsid w:val="00A45739"/>
    <w:rsid w:val="00A45907"/>
    <w:rsid w:val="00A45FC4"/>
    <w:rsid w:val="00A46106"/>
    <w:rsid w:val="00A4686B"/>
    <w:rsid w:val="00A4697E"/>
    <w:rsid w:val="00A47795"/>
    <w:rsid w:val="00A47D1A"/>
    <w:rsid w:val="00A47D5E"/>
    <w:rsid w:val="00A50328"/>
    <w:rsid w:val="00A503C6"/>
    <w:rsid w:val="00A50621"/>
    <w:rsid w:val="00A50D76"/>
    <w:rsid w:val="00A51487"/>
    <w:rsid w:val="00A51513"/>
    <w:rsid w:val="00A519CD"/>
    <w:rsid w:val="00A52ED9"/>
    <w:rsid w:val="00A52F78"/>
    <w:rsid w:val="00A53339"/>
    <w:rsid w:val="00A53C18"/>
    <w:rsid w:val="00A5401C"/>
    <w:rsid w:val="00A54AFE"/>
    <w:rsid w:val="00A54B85"/>
    <w:rsid w:val="00A55330"/>
    <w:rsid w:val="00A555E6"/>
    <w:rsid w:val="00A55977"/>
    <w:rsid w:val="00A55DB6"/>
    <w:rsid w:val="00A56C45"/>
    <w:rsid w:val="00A56DBB"/>
    <w:rsid w:val="00A56F42"/>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C13"/>
    <w:rsid w:val="00A63E5A"/>
    <w:rsid w:val="00A64A30"/>
    <w:rsid w:val="00A64FC5"/>
    <w:rsid w:val="00A6515D"/>
    <w:rsid w:val="00A6653B"/>
    <w:rsid w:val="00A6685C"/>
    <w:rsid w:val="00A66907"/>
    <w:rsid w:val="00A66914"/>
    <w:rsid w:val="00A66977"/>
    <w:rsid w:val="00A66ADF"/>
    <w:rsid w:val="00A6765F"/>
    <w:rsid w:val="00A70918"/>
    <w:rsid w:val="00A70984"/>
    <w:rsid w:val="00A70B30"/>
    <w:rsid w:val="00A71135"/>
    <w:rsid w:val="00A71AF4"/>
    <w:rsid w:val="00A72466"/>
    <w:rsid w:val="00A72602"/>
    <w:rsid w:val="00A72D9D"/>
    <w:rsid w:val="00A72EDC"/>
    <w:rsid w:val="00A73216"/>
    <w:rsid w:val="00A739E6"/>
    <w:rsid w:val="00A73BDE"/>
    <w:rsid w:val="00A73CB9"/>
    <w:rsid w:val="00A73FC5"/>
    <w:rsid w:val="00A74399"/>
    <w:rsid w:val="00A74B7A"/>
    <w:rsid w:val="00A74E0F"/>
    <w:rsid w:val="00A75B77"/>
    <w:rsid w:val="00A766E4"/>
    <w:rsid w:val="00A76892"/>
    <w:rsid w:val="00A76965"/>
    <w:rsid w:val="00A76A44"/>
    <w:rsid w:val="00A76C3C"/>
    <w:rsid w:val="00A771DC"/>
    <w:rsid w:val="00A77295"/>
    <w:rsid w:val="00A77961"/>
    <w:rsid w:val="00A80276"/>
    <w:rsid w:val="00A802E6"/>
    <w:rsid w:val="00A804E6"/>
    <w:rsid w:val="00A804F8"/>
    <w:rsid w:val="00A80527"/>
    <w:rsid w:val="00A80675"/>
    <w:rsid w:val="00A80B21"/>
    <w:rsid w:val="00A80BFD"/>
    <w:rsid w:val="00A817C9"/>
    <w:rsid w:val="00A817FD"/>
    <w:rsid w:val="00A81961"/>
    <w:rsid w:val="00A82657"/>
    <w:rsid w:val="00A82836"/>
    <w:rsid w:val="00A82955"/>
    <w:rsid w:val="00A82D45"/>
    <w:rsid w:val="00A82F61"/>
    <w:rsid w:val="00A830DB"/>
    <w:rsid w:val="00A838D3"/>
    <w:rsid w:val="00A83E6F"/>
    <w:rsid w:val="00A8463C"/>
    <w:rsid w:val="00A8493A"/>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703B"/>
    <w:rsid w:val="00A87D7E"/>
    <w:rsid w:val="00A90058"/>
    <w:rsid w:val="00A9009B"/>
    <w:rsid w:val="00A904F1"/>
    <w:rsid w:val="00A907EC"/>
    <w:rsid w:val="00A90BE1"/>
    <w:rsid w:val="00A9110D"/>
    <w:rsid w:val="00A9124E"/>
    <w:rsid w:val="00A912A8"/>
    <w:rsid w:val="00A912F3"/>
    <w:rsid w:val="00A91A2D"/>
    <w:rsid w:val="00A920B2"/>
    <w:rsid w:val="00A9298B"/>
    <w:rsid w:val="00A92A99"/>
    <w:rsid w:val="00A92C11"/>
    <w:rsid w:val="00A93561"/>
    <w:rsid w:val="00A94017"/>
    <w:rsid w:val="00A94563"/>
    <w:rsid w:val="00A94A22"/>
    <w:rsid w:val="00A94FC8"/>
    <w:rsid w:val="00A954E4"/>
    <w:rsid w:val="00A95A14"/>
    <w:rsid w:val="00A95A5B"/>
    <w:rsid w:val="00A9615B"/>
    <w:rsid w:val="00A96189"/>
    <w:rsid w:val="00A965F9"/>
    <w:rsid w:val="00A966C0"/>
    <w:rsid w:val="00A96C0E"/>
    <w:rsid w:val="00A97DB8"/>
    <w:rsid w:val="00AA0CD9"/>
    <w:rsid w:val="00AA130E"/>
    <w:rsid w:val="00AA1327"/>
    <w:rsid w:val="00AA14D6"/>
    <w:rsid w:val="00AA155C"/>
    <w:rsid w:val="00AA1A24"/>
    <w:rsid w:val="00AA1A8B"/>
    <w:rsid w:val="00AA1BB4"/>
    <w:rsid w:val="00AA1EAD"/>
    <w:rsid w:val="00AA2491"/>
    <w:rsid w:val="00AA2617"/>
    <w:rsid w:val="00AA2F9F"/>
    <w:rsid w:val="00AA30B6"/>
    <w:rsid w:val="00AA341A"/>
    <w:rsid w:val="00AA3423"/>
    <w:rsid w:val="00AA372C"/>
    <w:rsid w:val="00AA4468"/>
    <w:rsid w:val="00AA49DB"/>
    <w:rsid w:val="00AA4BFD"/>
    <w:rsid w:val="00AA559E"/>
    <w:rsid w:val="00AA5CAB"/>
    <w:rsid w:val="00AA5D36"/>
    <w:rsid w:val="00AA641A"/>
    <w:rsid w:val="00AA7249"/>
    <w:rsid w:val="00AA74AA"/>
    <w:rsid w:val="00AA74B0"/>
    <w:rsid w:val="00AA7C4E"/>
    <w:rsid w:val="00AA7CCD"/>
    <w:rsid w:val="00AB028E"/>
    <w:rsid w:val="00AB047A"/>
    <w:rsid w:val="00AB055F"/>
    <w:rsid w:val="00AB062C"/>
    <w:rsid w:val="00AB06B2"/>
    <w:rsid w:val="00AB0D6F"/>
    <w:rsid w:val="00AB13F5"/>
    <w:rsid w:val="00AB16D8"/>
    <w:rsid w:val="00AB187B"/>
    <w:rsid w:val="00AB189E"/>
    <w:rsid w:val="00AB1F37"/>
    <w:rsid w:val="00AB2188"/>
    <w:rsid w:val="00AB2388"/>
    <w:rsid w:val="00AB29A7"/>
    <w:rsid w:val="00AB2B6A"/>
    <w:rsid w:val="00AB2F76"/>
    <w:rsid w:val="00AB3493"/>
    <w:rsid w:val="00AB38CA"/>
    <w:rsid w:val="00AB3B2A"/>
    <w:rsid w:val="00AB46BC"/>
    <w:rsid w:val="00AB491F"/>
    <w:rsid w:val="00AB4BDF"/>
    <w:rsid w:val="00AB5196"/>
    <w:rsid w:val="00AB5430"/>
    <w:rsid w:val="00AB543E"/>
    <w:rsid w:val="00AB5749"/>
    <w:rsid w:val="00AB5C0F"/>
    <w:rsid w:val="00AB5F86"/>
    <w:rsid w:val="00AB64F9"/>
    <w:rsid w:val="00AB6F0F"/>
    <w:rsid w:val="00AB725B"/>
    <w:rsid w:val="00AB75DE"/>
    <w:rsid w:val="00AB799B"/>
    <w:rsid w:val="00AB7E41"/>
    <w:rsid w:val="00AC040D"/>
    <w:rsid w:val="00AC0492"/>
    <w:rsid w:val="00AC0610"/>
    <w:rsid w:val="00AC099F"/>
    <w:rsid w:val="00AC1326"/>
    <w:rsid w:val="00AC17A3"/>
    <w:rsid w:val="00AC17C0"/>
    <w:rsid w:val="00AC1964"/>
    <w:rsid w:val="00AC3983"/>
    <w:rsid w:val="00AC4494"/>
    <w:rsid w:val="00AC4DF0"/>
    <w:rsid w:val="00AC5FAA"/>
    <w:rsid w:val="00AC67BE"/>
    <w:rsid w:val="00AC7084"/>
    <w:rsid w:val="00AC7399"/>
    <w:rsid w:val="00AC7841"/>
    <w:rsid w:val="00AD0D35"/>
    <w:rsid w:val="00AD139C"/>
    <w:rsid w:val="00AD15B3"/>
    <w:rsid w:val="00AD170B"/>
    <w:rsid w:val="00AD1C1B"/>
    <w:rsid w:val="00AD1D90"/>
    <w:rsid w:val="00AD2BE3"/>
    <w:rsid w:val="00AD35A8"/>
    <w:rsid w:val="00AD3840"/>
    <w:rsid w:val="00AD3879"/>
    <w:rsid w:val="00AD40D7"/>
    <w:rsid w:val="00AD552D"/>
    <w:rsid w:val="00AD56B8"/>
    <w:rsid w:val="00AD632D"/>
    <w:rsid w:val="00AD656A"/>
    <w:rsid w:val="00AD6A7D"/>
    <w:rsid w:val="00AD7511"/>
    <w:rsid w:val="00AD7B90"/>
    <w:rsid w:val="00AD7FC7"/>
    <w:rsid w:val="00AE022A"/>
    <w:rsid w:val="00AE03FE"/>
    <w:rsid w:val="00AE0639"/>
    <w:rsid w:val="00AE0C64"/>
    <w:rsid w:val="00AE16C8"/>
    <w:rsid w:val="00AE1CAE"/>
    <w:rsid w:val="00AE1DC4"/>
    <w:rsid w:val="00AE1E1D"/>
    <w:rsid w:val="00AE1EDF"/>
    <w:rsid w:val="00AE1F90"/>
    <w:rsid w:val="00AE2BBE"/>
    <w:rsid w:val="00AE3DA7"/>
    <w:rsid w:val="00AE4705"/>
    <w:rsid w:val="00AE47E7"/>
    <w:rsid w:val="00AE47FD"/>
    <w:rsid w:val="00AE4B26"/>
    <w:rsid w:val="00AE4DF8"/>
    <w:rsid w:val="00AE4ED7"/>
    <w:rsid w:val="00AE503F"/>
    <w:rsid w:val="00AE5554"/>
    <w:rsid w:val="00AE5635"/>
    <w:rsid w:val="00AE5906"/>
    <w:rsid w:val="00AE594C"/>
    <w:rsid w:val="00AE5F28"/>
    <w:rsid w:val="00AE66D7"/>
    <w:rsid w:val="00AE6830"/>
    <w:rsid w:val="00AE6CDD"/>
    <w:rsid w:val="00AE7153"/>
    <w:rsid w:val="00AE74E9"/>
    <w:rsid w:val="00AE7CAF"/>
    <w:rsid w:val="00AF077A"/>
    <w:rsid w:val="00AF087D"/>
    <w:rsid w:val="00AF0AFA"/>
    <w:rsid w:val="00AF0E2E"/>
    <w:rsid w:val="00AF12CC"/>
    <w:rsid w:val="00AF193B"/>
    <w:rsid w:val="00AF197D"/>
    <w:rsid w:val="00AF1DF6"/>
    <w:rsid w:val="00AF247F"/>
    <w:rsid w:val="00AF27DA"/>
    <w:rsid w:val="00AF2849"/>
    <w:rsid w:val="00AF3348"/>
    <w:rsid w:val="00AF342B"/>
    <w:rsid w:val="00AF3443"/>
    <w:rsid w:val="00AF3D2B"/>
    <w:rsid w:val="00AF3D6E"/>
    <w:rsid w:val="00AF40EA"/>
    <w:rsid w:val="00AF426C"/>
    <w:rsid w:val="00AF43AA"/>
    <w:rsid w:val="00AF460F"/>
    <w:rsid w:val="00AF4868"/>
    <w:rsid w:val="00AF558B"/>
    <w:rsid w:val="00AF5891"/>
    <w:rsid w:val="00AF5895"/>
    <w:rsid w:val="00AF5909"/>
    <w:rsid w:val="00AF5CB8"/>
    <w:rsid w:val="00AF6231"/>
    <w:rsid w:val="00AF6429"/>
    <w:rsid w:val="00AF65AE"/>
    <w:rsid w:val="00AF6863"/>
    <w:rsid w:val="00AF695A"/>
    <w:rsid w:val="00AF77F8"/>
    <w:rsid w:val="00AF79F8"/>
    <w:rsid w:val="00AF7BE5"/>
    <w:rsid w:val="00B0058A"/>
    <w:rsid w:val="00B00AFB"/>
    <w:rsid w:val="00B013BA"/>
    <w:rsid w:val="00B017F5"/>
    <w:rsid w:val="00B0234C"/>
    <w:rsid w:val="00B02355"/>
    <w:rsid w:val="00B0331D"/>
    <w:rsid w:val="00B0338D"/>
    <w:rsid w:val="00B0350F"/>
    <w:rsid w:val="00B035A8"/>
    <w:rsid w:val="00B037FE"/>
    <w:rsid w:val="00B038B0"/>
    <w:rsid w:val="00B03900"/>
    <w:rsid w:val="00B045FE"/>
    <w:rsid w:val="00B051F9"/>
    <w:rsid w:val="00B05792"/>
    <w:rsid w:val="00B05B6F"/>
    <w:rsid w:val="00B061A9"/>
    <w:rsid w:val="00B062CD"/>
    <w:rsid w:val="00B076F3"/>
    <w:rsid w:val="00B07A1F"/>
    <w:rsid w:val="00B07B18"/>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357"/>
    <w:rsid w:val="00B17598"/>
    <w:rsid w:val="00B175F1"/>
    <w:rsid w:val="00B17683"/>
    <w:rsid w:val="00B177D7"/>
    <w:rsid w:val="00B20043"/>
    <w:rsid w:val="00B2180F"/>
    <w:rsid w:val="00B21DA6"/>
    <w:rsid w:val="00B223BB"/>
    <w:rsid w:val="00B22ED2"/>
    <w:rsid w:val="00B23AD0"/>
    <w:rsid w:val="00B23EDF"/>
    <w:rsid w:val="00B24335"/>
    <w:rsid w:val="00B2450C"/>
    <w:rsid w:val="00B248DC"/>
    <w:rsid w:val="00B25463"/>
    <w:rsid w:val="00B254C4"/>
    <w:rsid w:val="00B25918"/>
    <w:rsid w:val="00B25BEB"/>
    <w:rsid w:val="00B25EE7"/>
    <w:rsid w:val="00B26024"/>
    <w:rsid w:val="00B26EC4"/>
    <w:rsid w:val="00B2705C"/>
    <w:rsid w:val="00B27962"/>
    <w:rsid w:val="00B279FC"/>
    <w:rsid w:val="00B303C8"/>
    <w:rsid w:val="00B30825"/>
    <w:rsid w:val="00B312F6"/>
    <w:rsid w:val="00B3135E"/>
    <w:rsid w:val="00B3147B"/>
    <w:rsid w:val="00B32E3B"/>
    <w:rsid w:val="00B32EAA"/>
    <w:rsid w:val="00B33D05"/>
    <w:rsid w:val="00B33DDD"/>
    <w:rsid w:val="00B3527C"/>
    <w:rsid w:val="00B35A30"/>
    <w:rsid w:val="00B35C02"/>
    <w:rsid w:val="00B35CD3"/>
    <w:rsid w:val="00B35DE5"/>
    <w:rsid w:val="00B35E18"/>
    <w:rsid w:val="00B35E74"/>
    <w:rsid w:val="00B3675F"/>
    <w:rsid w:val="00B367F3"/>
    <w:rsid w:val="00B36B6F"/>
    <w:rsid w:val="00B36D8B"/>
    <w:rsid w:val="00B378D2"/>
    <w:rsid w:val="00B40571"/>
    <w:rsid w:val="00B40891"/>
    <w:rsid w:val="00B40F4B"/>
    <w:rsid w:val="00B4112C"/>
    <w:rsid w:val="00B4130A"/>
    <w:rsid w:val="00B41522"/>
    <w:rsid w:val="00B416B3"/>
    <w:rsid w:val="00B41700"/>
    <w:rsid w:val="00B41D93"/>
    <w:rsid w:val="00B42CBD"/>
    <w:rsid w:val="00B42E1D"/>
    <w:rsid w:val="00B43299"/>
    <w:rsid w:val="00B4330E"/>
    <w:rsid w:val="00B4351F"/>
    <w:rsid w:val="00B43FE6"/>
    <w:rsid w:val="00B44D14"/>
    <w:rsid w:val="00B44E28"/>
    <w:rsid w:val="00B44FF1"/>
    <w:rsid w:val="00B45090"/>
    <w:rsid w:val="00B453D7"/>
    <w:rsid w:val="00B46160"/>
    <w:rsid w:val="00B4694C"/>
    <w:rsid w:val="00B47E1D"/>
    <w:rsid w:val="00B50176"/>
    <w:rsid w:val="00B50413"/>
    <w:rsid w:val="00B506D7"/>
    <w:rsid w:val="00B5084B"/>
    <w:rsid w:val="00B50A43"/>
    <w:rsid w:val="00B50E35"/>
    <w:rsid w:val="00B511AC"/>
    <w:rsid w:val="00B51C87"/>
    <w:rsid w:val="00B51EB2"/>
    <w:rsid w:val="00B5233E"/>
    <w:rsid w:val="00B523D7"/>
    <w:rsid w:val="00B52874"/>
    <w:rsid w:val="00B52A8F"/>
    <w:rsid w:val="00B531CA"/>
    <w:rsid w:val="00B5325C"/>
    <w:rsid w:val="00B5391A"/>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A78"/>
    <w:rsid w:val="00B56B69"/>
    <w:rsid w:val="00B572E8"/>
    <w:rsid w:val="00B57483"/>
    <w:rsid w:val="00B577FB"/>
    <w:rsid w:val="00B579A6"/>
    <w:rsid w:val="00B57D90"/>
    <w:rsid w:val="00B60240"/>
    <w:rsid w:val="00B60410"/>
    <w:rsid w:val="00B60ABC"/>
    <w:rsid w:val="00B60DE6"/>
    <w:rsid w:val="00B61065"/>
    <w:rsid w:val="00B61143"/>
    <w:rsid w:val="00B61323"/>
    <w:rsid w:val="00B61446"/>
    <w:rsid w:val="00B615D5"/>
    <w:rsid w:val="00B6185F"/>
    <w:rsid w:val="00B619F8"/>
    <w:rsid w:val="00B62136"/>
    <w:rsid w:val="00B62C1C"/>
    <w:rsid w:val="00B63BB8"/>
    <w:rsid w:val="00B63EA6"/>
    <w:rsid w:val="00B64229"/>
    <w:rsid w:val="00B64672"/>
    <w:rsid w:val="00B6472A"/>
    <w:rsid w:val="00B65021"/>
    <w:rsid w:val="00B654C2"/>
    <w:rsid w:val="00B65CAD"/>
    <w:rsid w:val="00B65D5D"/>
    <w:rsid w:val="00B6641C"/>
    <w:rsid w:val="00B66A0D"/>
    <w:rsid w:val="00B66D72"/>
    <w:rsid w:val="00B67478"/>
    <w:rsid w:val="00B67890"/>
    <w:rsid w:val="00B678AC"/>
    <w:rsid w:val="00B67B81"/>
    <w:rsid w:val="00B701DC"/>
    <w:rsid w:val="00B70544"/>
    <w:rsid w:val="00B70B1F"/>
    <w:rsid w:val="00B718D1"/>
    <w:rsid w:val="00B71F5D"/>
    <w:rsid w:val="00B721A1"/>
    <w:rsid w:val="00B722A1"/>
    <w:rsid w:val="00B72535"/>
    <w:rsid w:val="00B72637"/>
    <w:rsid w:val="00B72750"/>
    <w:rsid w:val="00B727A3"/>
    <w:rsid w:val="00B72C4B"/>
    <w:rsid w:val="00B7317A"/>
    <w:rsid w:val="00B73BFD"/>
    <w:rsid w:val="00B73EA4"/>
    <w:rsid w:val="00B74E5C"/>
    <w:rsid w:val="00B7550F"/>
    <w:rsid w:val="00B758D2"/>
    <w:rsid w:val="00B7697D"/>
    <w:rsid w:val="00B76A2E"/>
    <w:rsid w:val="00B77226"/>
    <w:rsid w:val="00B7723D"/>
    <w:rsid w:val="00B775CE"/>
    <w:rsid w:val="00B77932"/>
    <w:rsid w:val="00B803DB"/>
    <w:rsid w:val="00B80617"/>
    <w:rsid w:val="00B80643"/>
    <w:rsid w:val="00B80656"/>
    <w:rsid w:val="00B808E9"/>
    <w:rsid w:val="00B80A49"/>
    <w:rsid w:val="00B81619"/>
    <w:rsid w:val="00B81CE1"/>
    <w:rsid w:val="00B822F5"/>
    <w:rsid w:val="00B827A7"/>
    <w:rsid w:val="00B82808"/>
    <w:rsid w:val="00B83335"/>
    <w:rsid w:val="00B8358C"/>
    <w:rsid w:val="00B83764"/>
    <w:rsid w:val="00B83782"/>
    <w:rsid w:val="00B83964"/>
    <w:rsid w:val="00B83A84"/>
    <w:rsid w:val="00B83DD1"/>
    <w:rsid w:val="00B83F04"/>
    <w:rsid w:val="00B84373"/>
    <w:rsid w:val="00B84F51"/>
    <w:rsid w:val="00B8510F"/>
    <w:rsid w:val="00B851DC"/>
    <w:rsid w:val="00B85A1D"/>
    <w:rsid w:val="00B8651F"/>
    <w:rsid w:val="00B865E2"/>
    <w:rsid w:val="00B86A33"/>
    <w:rsid w:val="00B86C39"/>
    <w:rsid w:val="00B86E84"/>
    <w:rsid w:val="00B86FC3"/>
    <w:rsid w:val="00B870E8"/>
    <w:rsid w:val="00B87BA4"/>
    <w:rsid w:val="00B87CBA"/>
    <w:rsid w:val="00B87DAA"/>
    <w:rsid w:val="00B87F60"/>
    <w:rsid w:val="00B90324"/>
    <w:rsid w:val="00B903C9"/>
    <w:rsid w:val="00B90DB4"/>
    <w:rsid w:val="00B90E39"/>
    <w:rsid w:val="00B917C1"/>
    <w:rsid w:val="00B91849"/>
    <w:rsid w:val="00B9195F"/>
    <w:rsid w:val="00B91BF4"/>
    <w:rsid w:val="00B921CF"/>
    <w:rsid w:val="00B923E9"/>
    <w:rsid w:val="00B924EA"/>
    <w:rsid w:val="00B92691"/>
    <w:rsid w:val="00B9415C"/>
    <w:rsid w:val="00B941BA"/>
    <w:rsid w:val="00B94387"/>
    <w:rsid w:val="00B9480B"/>
    <w:rsid w:val="00B94AFE"/>
    <w:rsid w:val="00B94BC8"/>
    <w:rsid w:val="00B94D3A"/>
    <w:rsid w:val="00B95684"/>
    <w:rsid w:val="00B9582A"/>
    <w:rsid w:val="00B958B1"/>
    <w:rsid w:val="00B95B8C"/>
    <w:rsid w:val="00B95C32"/>
    <w:rsid w:val="00B95D49"/>
    <w:rsid w:val="00B963EB"/>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FF7"/>
    <w:rsid w:val="00BA31F1"/>
    <w:rsid w:val="00BA32E3"/>
    <w:rsid w:val="00BA34D4"/>
    <w:rsid w:val="00BA3700"/>
    <w:rsid w:val="00BA41AA"/>
    <w:rsid w:val="00BA4D29"/>
    <w:rsid w:val="00BA500C"/>
    <w:rsid w:val="00BA54B7"/>
    <w:rsid w:val="00BA5915"/>
    <w:rsid w:val="00BA5D15"/>
    <w:rsid w:val="00BA5DFB"/>
    <w:rsid w:val="00BA609F"/>
    <w:rsid w:val="00BA6E28"/>
    <w:rsid w:val="00BA711F"/>
    <w:rsid w:val="00BA719B"/>
    <w:rsid w:val="00BA7954"/>
    <w:rsid w:val="00BA7A10"/>
    <w:rsid w:val="00BA7E0C"/>
    <w:rsid w:val="00BB0D0A"/>
    <w:rsid w:val="00BB157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D9D"/>
    <w:rsid w:val="00BB5002"/>
    <w:rsid w:val="00BB53B9"/>
    <w:rsid w:val="00BB5614"/>
    <w:rsid w:val="00BB5639"/>
    <w:rsid w:val="00BB5902"/>
    <w:rsid w:val="00BB608B"/>
    <w:rsid w:val="00BB639F"/>
    <w:rsid w:val="00BB6B51"/>
    <w:rsid w:val="00BB6E31"/>
    <w:rsid w:val="00BB75D6"/>
    <w:rsid w:val="00BB7A08"/>
    <w:rsid w:val="00BB7BC9"/>
    <w:rsid w:val="00BC08F5"/>
    <w:rsid w:val="00BC0D27"/>
    <w:rsid w:val="00BC0F44"/>
    <w:rsid w:val="00BC1835"/>
    <w:rsid w:val="00BC1A54"/>
    <w:rsid w:val="00BC24E2"/>
    <w:rsid w:val="00BC26E8"/>
    <w:rsid w:val="00BC29CE"/>
    <w:rsid w:val="00BC2FD6"/>
    <w:rsid w:val="00BC310B"/>
    <w:rsid w:val="00BC38DC"/>
    <w:rsid w:val="00BC3B6B"/>
    <w:rsid w:val="00BC5A2D"/>
    <w:rsid w:val="00BC5D85"/>
    <w:rsid w:val="00BC60C9"/>
    <w:rsid w:val="00BC6E0B"/>
    <w:rsid w:val="00BC6E77"/>
    <w:rsid w:val="00BC703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2164"/>
    <w:rsid w:val="00BD299C"/>
    <w:rsid w:val="00BD2E93"/>
    <w:rsid w:val="00BD2F6F"/>
    <w:rsid w:val="00BD3A40"/>
    <w:rsid w:val="00BD53A7"/>
    <w:rsid w:val="00BD5439"/>
    <w:rsid w:val="00BD5756"/>
    <w:rsid w:val="00BD57A5"/>
    <w:rsid w:val="00BD693B"/>
    <w:rsid w:val="00BD6A23"/>
    <w:rsid w:val="00BD702F"/>
    <w:rsid w:val="00BD751E"/>
    <w:rsid w:val="00BD786C"/>
    <w:rsid w:val="00BD7D46"/>
    <w:rsid w:val="00BD7FC9"/>
    <w:rsid w:val="00BE017E"/>
    <w:rsid w:val="00BE06C9"/>
    <w:rsid w:val="00BE0EC2"/>
    <w:rsid w:val="00BE13BF"/>
    <w:rsid w:val="00BE1849"/>
    <w:rsid w:val="00BE1CB1"/>
    <w:rsid w:val="00BE1EA9"/>
    <w:rsid w:val="00BE237B"/>
    <w:rsid w:val="00BE2A43"/>
    <w:rsid w:val="00BE2C32"/>
    <w:rsid w:val="00BE4914"/>
    <w:rsid w:val="00BE4928"/>
    <w:rsid w:val="00BE4B43"/>
    <w:rsid w:val="00BE59F2"/>
    <w:rsid w:val="00BE5D52"/>
    <w:rsid w:val="00BE6106"/>
    <w:rsid w:val="00BE642D"/>
    <w:rsid w:val="00BE669E"/>
    <w:rsid w:val="00BE6CD9"/>
    <w:rsid w:val="00BE75D5"/>
    <w:rsid w:val="00BE76C2"/>
    <w:rsid w:val="00BF06F4"/>
    <w:rsid w:val="00BF0C2D"/>
    <w:rsid w:val="00BF1429"/>
    <w:rsid w:val="00BF1616"/>
    <w:rsid w:val="00BF199A"/>
    <w:rsid w:val="00BF237C"/>
    <w:rsid w:val="00BF24F5"/>
    <w:rsid w:val="00BF2E5A"/>
    <w:rsid w:val="00BF352D"/>
    <w:rsid w:val="00BF3606"/>
    <w:rsid w:val="00BF3799"/>
    <w:rsid w:val="00BF3854"/>
    <w:rsid w:val="00BF3E51"/>
    <w:rsid w:val="00BF3E89"/>
    <w:rsid w:val="00BF4006"/>
    <w:rsid w:val="00BF48A6"/>
    <w:rsid w:val="00BF4975"/>
    <w:rsid w:val="00BF4E65"/>
    <w:rsid w:val="00BF500D"/>
    <w:rsid w:val="00BF5184"/>
    <w:rsid w:val="00BF51A5"/>
    <w:rsid w:val="00BF5355"/>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CC2"/>
    <w:rsid w:val="00C0108B"/>
    <w:rsid w:val="00C02822"/>
    <w:rsid w:val="00C029BE"/>
    <w:rsid w:val="00C02DAA"/>
    <w:rsid w:val="00C0453D"/>
    <w:rsid w:val="00C046A1"/>
    <w:rsid w:val="00C048C0"/>
    <w:rsid w:val="00C04A35"/>
    <w:rsid w:val="00C05055"/>
    <w:rsid w:val="00C05131"/>
    <w:rsid w:val="00C0539C"/>
    <w:rsid w:val="00C055F0"/>
    <w:rsid w:val="00C05684"/>
    <w:rsid w:val="00C06278"/>
    <w:rsid w:val="00C06CB8"/>
    <w:rsid w:val="00C102B2"/>
    <w:rsid w:val="00C10517"/>
    <w:rsid w:val="00C106A0"/>
    <w:rsid w:val="00C1071E"/>
    <w:rsid w:val="00C1073C"/>
    <w:rsid w:val="00C108FA"/>
    <w:rsid w:val="00C10A4C"/>
    <w:rsid w:val="00C10D11"/>
    <w:rsid w:val="00C1100B"/>
    <w:rsid w:val="00C11534"/>
    <w:rsid w:val="00C11C09"/>
    <w:rsid w:val="00C12907"/>
    <w:rsid w:val="00C129A0"/>
    <w:rsid w:val="00C1325F"/>
    <w:rsid w:val="00C133F9"/>
    <w:rsid w:val="00C1340C"/>
    <w:rsid w:val="00C13C87"/>
    <w:rsid w:val="00C13D35"/>
    <w:rsid w:val="00C13E4B"/>
    <w:rsid w:val="00C141CB"/>
    <w:rsid w:val="00C1498A"/>
    <w:rsid w:val="00C150CD"/>
    <w:rsid w:val="00C15214"/>
    <w:rsid w:val="00C15318"/>
    <w:rsid w:val="00C1642B"/>
    <w:rsid w:val="00C16B5D"/>
    <w:rsid w:val="00C17252"/>
    <w:rsid w:val="00C1754C"/>
    <w:rsid w:val="00C177BE"/>
    <w:rsid w:val="00C1792F"/>
    <w:rsid w:val="00C179B5"/>
    <w:rsid w:val="00C200B8"/>
    <w:rsid w:val="00C205F5"/>
    <w:rsid w:val="00C2162E"/>
    <w:rsid w:val="00C21737"/>
    <w:rsid w:val="00C21B52"/>
    <w:rsid w:val="00C221CF"/>
    <w:rsid w:val="00C222ED"/>
    <w:rsid w:val="00C227AE"/>
    <w:rsid w:val="00C22AFB"/>
    <w:rsid w:val="00C22C26"/>
    <w:rsid w:val="00C230CE"/>
    <w:rsid w:val="00C23145"/>
    <w:rsid w:val="00C23397"/>
    <w:rsid w:val="00C2354D"/>
    <w:rsid w:val="00C2414E"/>
    <w:rsid w:val="00C24256"/>
    <w:rsid w:val="00C24441"/>
    <w:rsid w:val="00C2476B"/>
    <w:rsid w:val="00C24956"/>
    <w:rsid w:val="00C24AA5"/>
    <w:rsid w:val="00C24D48"/>
    <w:rsid w:val="00C2579F"/>
    <w:rsid w:val="00C26059"/>
    <w:rsid w:val="00C26C4E"/>
    <w:rsid w:val="00C27169"/>
    <w:rsid w:val="00C27170"/>
    <w:rsid w:val="00C27D05"/>
    <w:rsid w:val="00C27FC4"/>
    <w:rsid w:val="00C301A0"/>
    <w:rsid w:val="00C3125E"/>
    <w:rsid w:val="00C316B4"/>
    <w:rsid w:val="00C31B0A"/>
    <w:rsid w:val="00C32159"/>
    <w:rsid w:val="00C326B9"/>
    <w:rsid w:val="00C32EF5"/>
    <w:rsid w:val="00C32F90"/>
    <w:rsid w:val="00C33272"/>
    <w:rsid w:val="00C3361F"/>
    <w:rsid w:val="00C3369A"/>
    <w:rsid w:val="00C341FB"/>
    <w:rsid w:val="00C34757"/>
    <w:rsid w:val="00C347A0"/>
    <w:rsid w:val="00C3628C"/>
    <w:rsid w:val="00C3661C"/>
    <w:rsid w:val="00C36769"/>
    <w:rsid w:val="00C36787"/>
    <w:rsid w:val="00C369DC"/>
    <w:rsid w:val="00C36B2C"/>
    <w:rsid w:val="00C375BB"/>
    <w:rsid w:val="00C37A0A"/>
    <w:rsid w:val="00C37C02"/>
    <w:rsid w:val="00C37FF6"/>
    <w:rsid w:val="00C4016C"/>
    <w:rsid w:val="00C401FF"/>
    <w:rsid w:val="00C40401"/>
    <w:rsid w:val="00C40CB6"/>
    <w:rsid w:val="00C41417"/>
    <w:rsid w:val="00C41453"/>
    <w:rsid w:val="00C41902"/>
    <w:rsid w:val="00C4216F"/>
    <w:rsid w:val="00C428DF"/>
    <w:rsid w:val="00C42F0F"/>
    <w:rsid w:val="00C4382A"/>
    <w:rsid w:val="00C43DCF"/>
    <w:rsid w:val="00C452E2"/>
    <w:rsid w:val="00C4540A"/>
    <w:rsid w:val="00C45770"/>
    <w:rsid w:val="00C45C10"/>
    <w:rsid w:val="00C45C86"/>
    <w:rsid w:val="00C465F9"/>
    <w:rsid w:val="00C470ED"/>
    <w:rsid w:val="00C47983"/>
    <w:rsid w:val="00C47B9A"/>
    <w:rsid w:val="00C503A5"/>
    <w:rsid w:val="00C50486"/>
    <w:rsid w:val="00C50986"/>
    <w:rsid w:val="00C50C26"/>
    <w:rsid w:val="00C52A21"/>
    <w:rsid w:val="00C52EAD"/>
    <w:rsid w:val="00C52ED5"/>
    <w:rsid w:val="00C532EA"/>
    <w:rsid w:val="00C534A4"/>
    <w:rsid w:val="00C537D2"/>
    <w:rsid w:val="00C53990"/>
    <w:rsid w:val="00C53A95"/>
    <w:rsid w:val="00C53DE9"/>
    <w:rsid w:val="00C53FCB"/>
    <w:rsid w:val="00C54D51"/>
    <w:rsid w:val="00C565C6"/>
    <w:rsid w:val="00C56E05"/>
    <w:rsid w:val="00C57035"/>
    <w:rsid w:val="00C57804"/>
    <w:rsid w:val="00C578F3"/>
    <w:rsid w:val="00C57C5E"/>
    <w:rsid w:val="00C60839"/>
    <w:rsid w:val="00C609DD"/>
    <w:rsid w:val="00C60B8F"/>
    <w:rsid w:val="00C60EC2"/>
    <w:rsid w:val="00C61FB0"/>
    <w:rsid w:val="00C6270F"/>
    <w:rsid w:val="00C631EF"/>
    <w:rsid w:val="00C63298"/>
    <w:rsid w:val="00C637C5"/>
    <w:rsid w:val="00C6383D"/>
    <w:rsid w:val="00C639B8"/>
    <w:rsid w:val="00C639F6"/>
    <w:rsid w:val="00C63EED"/>
    <w:rsid w:val="00C650BA"/>
    <w:rsid w:val="00C65AF4"/>
    <w:rsid w:val="00C66029"/>
    <w:rsid w:val="00C6608C"/>
    <w:rsid w:val="00C66BC1"/>
    <w:rsid w:val="00C6733E"/>
    <w:rsid w:val="00C67726"/>
    <w:rsid w:val="00C706B7"/>
    <w:rsid w:val="00C70ACA"/>
    <w:rsid w:val="00C710C3"/>
    <w:rsid w:val="00C7163D"/>
    <w:rsid w:val="00C71B8C"/>
    <w:rsid w:val="00C71D2A"/>
    <w:rsid w:val="00C72B2F"/>
    <w:rsid w:val="00C72BE2"/>
    <w:rsid w:val="00C72CDC"/>
    <w:rsid w:val="00C73211"/>
    <w:rsid w:val="00C738C7"/>
    <w:rsid w:val="00C73D7D"/>
    <w:rsid w:val="00C7442E"/>
    <w:rsid w:val="00C7454B"/>
    <w:rsid w:val="00C74937"/>
    <w:rsid w:val="00C74FEF"/>
    <w:rsid w:val="00C751FE"/>
    <w:rsid w:val="00C757C2"/>
    <w:rsid w:val="00C75C9E"/>
    <w:rsid w:val="00C75DC0"/>
    <w:rsid w:val="00C75EE9"/>
    <w:rsid w:val="00C75F0A"/>
    <w:rsid w:val="00C76772"/>
    <w:rsid w:val="00C76806"/>
    <w:rsid w:val="00C76861"/>
    <w:rsid w:val="00C7687D"/>
    <w:rsid w:val="00C76AA1"/>
    <w:rsid w:val="00C76D20"/>
    <w:rsid w:val="00C76D47"/>
    <w:rsid w:val="00C77263"/>
    <w:rsid w:val="00C77D35"/>
    <w:rsid w:val="00C77E2F"/>
    <w:rsid w:val="00C77EC9"/>
    <w:rsid w:val="00C77FB2"/>
    <w:rsid w:val="00C8083A"/>
    <w:rsid w:val="00C80B48"/>
    <w:rsid w:val="00C81102"/>
    <w:rsid w:val="00C81635"/>
    <w:rsid w:val="00C81669"/>
    <w:rsid w:val="00C828F1"/>
    <w:rsid w:val="00C82900"/>
    <w:rsid w:val="00C82B9B"/>
    <w:rsid w:val="00C831D7"/>
    <w:rsid w:val="00C8327A"/>
    <w:rsid w:val="00C83D53"/>
    <w:rsid w:val="00C83E94"/>
    <w:rsid w:val="00C83EA7"/>
    <w:rsid w:val="00C842BD"/>
    <w:rsid w:val="00C8556F"/>
    <w:rsid w:val="00C857F2"/>
    <w:rsid w:val="00C85CE5"/>
    <w:rsid w:val="00C86456"/>
    <w:rsid w:val="00C865DB"/>
    <w:rsid w:val="00C86AA6"/>
    <w:rsid w:val="00C8709A"/>
    <w:rsid w:val="00C8728D"/>
    <w:rsid w:val="00C873FD"/>
    <w:rsid w:val="00C87C53"/>
    <w:rsid w:val="00C9020F"/>
    <w:rsid w:val="00C905B6"/>
    <w:rsid w:val="00C90799"/>
    <w:rsid w:val="00C90BF7"/>
    <w:rsid w:val="00C90F77"/>
    <w:rsid w:val="00C91102"/>
    <w:rsid w:val="00C91407"/>
    <w:rsid w:val="00C91628"/>
    <w:rsid w:val="00C9186A"/>
    <w:rsid w:val="00C91E22"/>
    <w:rsid w:val="00C92206"/>
    <w:rsid w:val="00C926EA"/>
    <w:rsid w:val="00C929B3"/>
    <w:rsid w:val="00C92DAC"/>
    <w:rsid w:val="00C92F28"/>
    <w:rsid w:val="00C94827"/>
    <w:rsid w:val="00C94C93"/>
    <w:rsid w:val="00C9544F"/>
    <w:rsid w:val="00C96011"/>
    <w:rsid w:val="00C9637D"/>
    <w:rsid w:val="00C965B9"/>
    <w:rsid w:val="00C9709D"/>
    <w:rsid w:val="00C977C8"/>
    <w:rsid w:val="00C979B2"/>
    <w:rsid w:val="00CA02EE"/>
    <w:rsid w:val="00CA08BF"/>
    <w:rsid w:val="00CA0956"/>
    <w:rsid w:val="00CA0A9E"/>
    <w:rsid w:val="00CA0B2F"/>
    <w:rsid w:val="00CA171E"/>
    <w:rsid w:val="00CA1C60"/>
    <w:rsid w:val="00CA1EED"/>
    <w:rsid w:val="00CA2157"/>
    <w:rsid w:val="00CA2162"/>
    <w:rsid w:val="00CA3045"/>
    <w:rsid w:val="00CA3246"/>
    <w:rsid w:val="00CA32D0"/>
    <w:rsid w:val="00CA3941"/>
    <w:rsid w:val="00CA3F16"/>
    <w:rsid w:val="00CA4281"/>
    <w:rsid w:val="00CA431F"/>
    <w:rsid w:val="00CA49D7"/>
    <w:rsid w:val="00CA5562"/>
    <w:rsid w:val="00CA5642"/>
    <w:rsid w:val="00CA5659"/>
    <w:rsid w:val="00CA5BCC"/>
    <w:rsid w:val="00CA61EB"/>
    <w:rsid w:val="00CA6D29"/>
    <w:rsid w:val="00CA7210"/>
    <w:rsid w:val="00CB006D"/>
    <w:rsid w:val="00CB033E"/>
    <w:rsid w:val="00CB04EF"/>
    <w:rsid w:val="00CB04F1"/>
    <w:rsid w:val="00CB12C0"/>
    <w:rsid w:val="00CB1511"/>
    <w:rsid w:val="00CB1711"/>
    <w:rsid w:val="00CB185A"/>
    <w:rsid w:val="00CB1BBA"/>
    <w:rsid w:val="00CB1BC1"/>
    <w:rsid w:val="00CB1DCE"/>
    <w:rsid w:val="00CB325B"/>
    <w:rsid w:val="00CB34A1"/>
    <w:rsid w:val="00CB3B3B"/>
    <w:rsid w:val="00CB3B71"/>
    <w:rsid w:val="00CB3E7B"/>
    <w:rsid w:val="00CB3F46"/>
    <w:rsid w:val="00CB4023"/>
    <w:rsid w:val="00CB439D"/>
    <w:rsid w:val="00CB46A4"/>
    <w:rsid w:val="00CB4798"/>
    <w:rsid w:val="00CB492A"/>
    <w:rsid w:val="00CB4A7C"/>
    <w:rsid w:val="00CB577C"/>
    <w:rsid w:val="00CB6549"/>
    <w:rsid w:val="00CB73F0"/>
    <w:rsid w:val="00CB76BD"/>
    <w:rsid w:val="00CB7969"/>
    <w:rsid w:val="00CB79F5"/>
    <w:rsid w:val="00CB7A50"/>
    <w:rsid w:val="00CB7E2D"/>
    <w:rsid w:val="00CC04A9"/>
    <w:rsid w:val="00CC08A7"/>
    <w:rsid w:val="00CC099B"/>
    <w:rsid w:val="00CC1259"/>
    <w:rsid w:val="00CC153C"/>
    <w:rsid w:val="00CC179A"/>
    <w:rsid w:val="00CC1F9D"/>
    <w:rsid w:val="00CC269A"/>
    <w:rsid w:val="00CC2738"/>
    <w:rsid w:val="00CC2766"/>
    <w:rsid w:val="00CC2BAC"/>
    <w:rsid w:val="00CC350D"/>
    <w:rsid w:val="00CC3E9B"/>
    <w:rsid w:val="00CC3EBD"/>
    <w:rsid w:val="00CC4669"/>
    <w:rsid w:val="00CC4C6D"/>
    <w:rsid w:val="00CC531A"/>
    <w:rsid w:val="00CC55D4"/>
    <w:rsid w:val="00CC57E3"/>
    <w:rsid w:val="00CC5A08"/>
    <w:rsid w:val="00CC5CA5"/>
    <w:rsid w:val="00CC5E01"/>
    <w:rsid w:val="00CC6240"/>
    <w:rsid w:val="00CC6FC9"/>
    <w:rsid w:val="00CC7236"/>
    <w:rsid w:val="00CC73D1"/>
    <w:rsid w:val="00CC7B78"/>
    <w:rsid w:val="00CD0DEE"/>
    <w:rsid w:val="00CD1752"/>
    <w:rsid w:val="00CD1BE3"/>
    <w:rsid w:val="00CD1F99"/>
    <w:rsid w:val="00CD24E7"/>
    <w:rsid w:val="00CD2703"/>
    <w:rsid w:val="00CD2C14"/>
    <w:rsid w:val="00CD2E4A"/>
    <w:rsid w:val="00CD3246"/>
    <w:rsid w:val="00CD3524"/>
    <w:rsid w:val="00CD3AD3"/>
    <w:rsid w:val="00CD46EA"/>
    <w:rsid w:val="00CD51BA"/>
    <w:rsid w:val="00CD581F"/>
    <w:rsid w:val="00CD5987"/>
    <w:rsid w:val="00CD5E67"/>
    <w:rsid w:val="00CD66C2"/>
    <w:rsid w:val="00CD69D3"/>
    <w:rsid w:val="00CD69D4"/>
    <w:rsid w:val="00CD6E7B"/>
    <w:rsid w:val="00CD6F8C"/>
    <w:rsid w:val="00CD70E5"/>
    <w:rsid w:val="00CD7553"/>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E91"/>
    <w:rsid w:val="00CE4078"/>
    <w:rsid w:val="00CE43B7"/>
    <w:rsid w:val="00CE44AE"/>
    <w:rsid w:val="00CE4B3A"/>
    <w:rsid w:val="00CE5F47"/>
    <w:rsid w:val="00CE67FC"/>
    <w:rsid w:val="00CE69F8"/>
    <w:rsid w:val="00CE6CCE"/>
    <w:rsid w:val="00CE6D5A"/>
    <w:rsid w:val="00CE73EF"/>
    <w:rsid w:val="00CE75BC"/>
    <w:rsid w:val="00CE7D88"/>
    <w:rsid w:val="00CF00DD"/>
    <w:rsid w:val="00CF013F"/>
    <w:rsid w:val="00CF0440"/>
    <w:rsid w:val="00CF06A0"/>
    <w:rsid w:val="00CF0A63"/>
    <w:rsid w:val="00CF0A69"/>
    <w:rsid w:val="00CF0A88"/>
    <w:rsid w:val="00CF0E97"/>
    <w:rsid w:val="00CF121D"/>
    <w:rsid w:val="00CF1954"/>
    <w:rsid w:val="00CF1A05"/>
    <w:rsid w:val="00CF260C"/>
    <w:rsid w:val="00CF2627"/>
    <w:rsid w:val="00CF2685"/>
    <w:rsid w:val="00CF32DF"/>
    <w:rsid w:val="00CF34AC"/>
    <w:rsid w:val="00CF34F5"/>
    <w:rsid w:val="00CF3782"/>
    <w:rsid w:val="00CF574A"/>
    <w:rsid w:val="00CF5804"/>
    <w:rsid w:val="00CF5BAF"/>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1004"/>
    <w:rsid w:val="00D0116A"/>
    <w:rsid w:val="00D012E6"/>
    <w:rsid w:val="00D0186C"/>
    <w:rsid w:val="00D01A64"/>
    <w:rsid w:val="00D01D3B"/>
    <w:rsid w:val="00D02344"/>
    <w:rsid w:val="00D02509"/>
    <w:rsid w:val="00D02618"/>
    <w:rsid w:val="00D02965"/>
    <w:rsid w:val="00D03A5E"/>
    <w:rsid w:val="00D03B2A"/>
    <w:rsid w:val="00D03ECC"/>
    <w:rsid w:val="00D05186"/>
    <w:rsid w:val="00D054F0"/>
    <w:rsid w:val="00D05686"/>
    <w:rsid w:val="00D05E49"/>
    <w:rsid w:val="00D076CE"/>
    <w:rsid w:val="00D077B2"/>
    <w:rsid w:val="00D077BD"/>
    <w:rsid w:val="00D077D8"/>
    <w:rsid w:val="00D07C62"/>
    <w:rsid w:val="00D07F36"/>
    <w:rsid w:val="00D11C05"/>
    <w:rsid w:val="00D11F93"/>
    <w:rsid w:val="00D12C18"/>
    <w:rsid w:val="00D12FF9"/>
    <w:rsid w:val="00D13212"/>
    <w:rsid w:val="00D1368A"/>
    <w:rsid w:val="00D13889"/>
    <w:rsid w:val="00D13B2E"/>
    <w:rsid w:val="00D13BEF"/>
    <w:rsid w:val="00D141B1"/>
    <w:rsid w:val="00D1454C"/>
    <w:rsid w:val="00D14D28"/>
    <w:rsid w:val="00D14DB9"/>
    <w:rsid w:val="00D14F95"/>
    <w:rsid w:val="00D15396"/>
    <w:rsid w:val="00D1545B"/>
    <w:rsid w:val="00D15623"/>
    <w:rsid w:val="00D15835"/>
    <w:rsid w:val="00D16168"/>
    <w:rsid w:val="00D16B06"/>
    <w:rsid w:val="00D16C4C"/>
    <w:rsid w:val="00D1753D"/>
    <w:rsid w:val="00D20B06"/>
    <w:rsid w:val="00D20CC6"/>
    <w:rsid w:val="00D215AC"/>
    <w:rsid w:val="00D21883"/>
    <w:rsid w:val="00D218D4"/>
    <w:rsid w:val="00D21B79"/>
    <w:rsid w:val="00D21C1E"/>
    <w:rsid w:val="00D21DAC"/>
    <w:rsid w:val="00D226C7"/>
    <w:rsid w:val="00D226DF"/>
    <w:rsid w:val="00D227C5"/>
    <w:rsid w:val="00D22EC9"/>
    <w:rsid w:val="00D23674"/>
    <w:rsid w:val="00D23CB0"/>
    <w:rsid w:val="00D24C87"/>
    <w:rsid w:val="00D24D13"/>
    <w:rsid w:val="00D24EDB"/>
    <w:rsid w:val="00D252A3"/>
    <w:rsid w:val="00D261C3"/>
    <w:rsid w:val="00D2622A"/>
    <w:rsid w:val="00D2625E"/>
    <w:rsid w:val="00D263B5"/>
    <w:rsid w:val="00D2683D"/>
    <w:rsid w:val="00D27206"/>
    <w:rsid w:val="00D274EB"/>
    <w:rsid w:val="00D27802"/>
    <w:rsid w:val="00D278E7"/>
    <w:rsid w:val="00D27DD6"/>
    <w:rsid w:val="00D30488"/>
    <w:rsid w:val="00D3056D"/>
    <w:rsid w:val="00D30849"/>
    <w:rsid w:val="00D30D84"/>
    <w:rsid w:val="00D313BF"/>
    <w:rsid w:val="00D31DC8"/>
    <w:rsid w:val="00D31E33"/>
    <w:rsid w:val="00D32B02"/>
    <w:rsid w:val="00D33429"/>
    <w:rsid w:val="00D33878"/>
    <w:rsid w:val="00D33CCE"/>
    <w:rsid w:val="00D33EB9"/>
    <w:rsid w:val="00D340D7"/>
    <w:rsid w:val="00D34D99"/>
    <w:rsid w:val="00D34DD3"/>
    <w:rsid w:val="00D3561C"/>
    <w:rsid w:val="00D356B9"/>
    <w:rsid w:val="00D35914"/>
    <w:rsid w:val="00D35B2E"/>
    <w:rsid w:val="00D35BBE"/>
    <w:rsid w:val="00D35CC1"/>
    <w:rsid w:val="00D36404"/>
    <w:rsid w:val="00D36751"/>
    <w:rsid w:val="00D369E3"/>
    <w:rsid w:val="00D36DA2"/>
    <w:rsid w:val="00D36E9B"/>
    <w:rsid w:val="00D373E1"/>
    <w:rsid w:val="00D3751A"/>
    <w:rsid w:val="00D377D8"/>
    <w:rsid w:val="00D379EC"/>
    <w:rsid w:val="00D37D45"/>
    <w:rsid w:val="00D37E67"/>
    <w:rsid w:val="00D400F9"/>
    <w:rsid w:val="00D40435"/>
    <w:rsid w:val="00D408E2"/>
    <w:rsid w:val="00D40AAE"/>
    <w:rsid w:val="00D412EE"/>
    <w:rsid w:val="00D413E6"/>
    <w:rsid w:val="00D41509"/>
    <w:rsid w:val="00D417CE"/>
    <w:rsid w:val="00D41BAC"/>
    <w:rsid w:val="00D41EE0"/>
    <w:rsid w:val="00D41F78"/>
    <w:rsid w:val="00D425BB"/>
    <w:rsid w:val="00D4269A"/>
    <w:rsid w:val="00D427F1"/>
    <w:rsid w:val="00D42B8C"/>
    <w:rsid w:val="00D43010"/>
    <w:rsid w:val="00D43674"/>
    <w:rsid w:val="00D43693"/>
    <w:rsid w:val="00D4390D"/>
    <w:rsid w:val="00D43A3E"/>
    <w:rsid w:val="00D43BCF"/>
    <w:rsid w:val="00D43C35"/>
    <w:rsid w:val="00D43F92"/>
    <w:rsid w:val="00D4453A"/>
    <w:rsid w:val="00D44D0B"/>
    <w:rsid w:val="00D44F32"/>
    <w:rsid w:val="00D44FE6"/>
    <w:rsid w:val="00D45020"/>
    <w:rsid w:val="00D45CA3"/>
    <w:rsid w:val="00D4618B"/>
    <w:rsid w:val="00D46254"/>
    <w:rsid w:val="00D468BF"/>
    <w:rsid w:val="00D468EC"/>
    <w:rsid w:val="00D46FAE"/>
    <w:rsid w:val="00D4717E"/>
    <w:rsid w:val="00D47859"/>
    <w:rsid w:val="00D47F92"/>
    <w:rsid w:val="00D50075"/>
    <w:rsid w:val="00D50671"/>
    <w:rsid w:val="00D50CC5"/>
    <w:rsid w:val="00D5109E"/>
    <w:rsid w:val="00D516AB"/>
    <w:rsid w:val="00D51B0D"/>
    <w:rsid w:val="00D51B4A"/>
    <w:rsid w:val="00D5270E"/>
    <w:rsid w:val="00D53271"/>
    <w:rsid w:val="00D534D7"/>
    <w:rsid w:val="00D53AC5"/>
    <w:rsid w:val="00D53EE9"/>
    <w:rsid w:val="00D53F2D"/>
    <w:rsid w:val="00D53FC1"/>
    <w:rsid w:val="00D54184"/>
    <w:rsid w:val="00D54E52"/>
    <w:rsid w:val="00D54F0D"/>
    <w:rsid w:val="00D55B18"/>
    <w:rsid w:val="00D56332"/>
    <w:rsid w:val="00D5670E"/>
    <w:rsid w:val="00D5679A"/>
    <w:rsid w:val="00D567FD"/>
    <w:rsid w:val="00D56EE3"/>
    <w:rsid w:val="00D5753B"/>
    <w:rsid w:val="00D5760A"/>
    <w:rsid w:val="00D579F2"/>
    <w:rsid w:val="00D57A5C"/>
    <w:rsid w:val="00D607EE"/>
    <w:rsid w:val="00D608D0"/>
    <w:rsid w:val="00D61407"/>
    <w:rsid w:val="00D616D3"/>
    <w:rsid w:val="00D61BA9"/>
    <w:rsid w:val="00D620FB"/>
    <w:rsid w:val="00D62A70"/>
    <w:rsid w:val="00D62BCF"/>
    <w:rsid w:val="00D6312D"/>
    <w:rsid w:val="00D6472A"/>
    <w:rsid w:val="00D64E73"/>
    <w:rsid w:val="00D64F97"/>
    <w:rsid w:val="00D653C1"/>
    <w:rsid w:val="00D65471"/>
    <w:rsid w:val="00D66081"/>
    <w:rsid w:val="00D66185"/>
    <w:rsid w:val="00D666CD"/>
    <w:rsid w:val="00D66B68"/>
    <w:rsid w:val="00D66DB6"/>
    <w:rsid w:val="00D67095"/>
    <w:rsid w:val="00D67105"/>
    <w:rsid w:val="00D67329"/>
    <w:rsid w:val="00D67A0B"/>
    <w:rsid w:val="00D70968"/>
    <w:rsid w:val="00D70BB4"/>
    <w:rsid w:val="00D70F1D"/>
    <w:rsid w:val="00D717AB"/>
    <w:rsid w:val="00D718EA"/>
    <w:rsid w:val="00D71DA1"/>
    <w:rsid w:val="00D72356"/>
    <w:rsid w:val="00D723C3"/>
    <w:rsid w:val="00D72528"/>
    <w:rsid w:val="00D7346D"/>
    <w:rsid w:val="00D7355B"/>
    <w:rsid w:val="00D7362D"/>
    <w:rsid w:val="00D73A89"/>
    <w:rsid w:val="00D73CA3"/>
    <w:rsid w:val="00D74309"/>
    <w:rsid w:val="00D745D4"/>
    <w:rsid w:val="00D749CF"/>
    <w:rsid w:val="00D74B4B"/>
    <w:rsid w:val="00D75053"/>
    <w:rsid w:val="00D750E6"/>
    <w:rsid w:val="00D75261"/>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BC"/>
    <w:rsid w:val="00D82EE5"/>
    <w:rsid w:val="00D82F7B"/>
    <w:rsid w:val="00D831C3"/>
    <w:rsid w:val="00D83519"/>
    <w:rsid w:val="00D840DD"/>
    <w:rsid w:val="00D84156"/>
    <w:rsid w:val="00D8449C"/>
    <w:rsid w:val="00D8479A"/>
    <w:rsid w:val="00D84980"/>
    <w:rsid w:val="00D84A54"/>
    <w:rsid w:val="00D84D23"/>
    <w:rsid w:val="00D8608A"/>
    <w:rsid w:val="00D86BB2"/>
    <w:rsid w:val="00D86FAE"/>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8A2"/>
    <w:rsid w:val="00D92DD9"/>
    <w:rsid w:val="00D9349D"/>
    <w:rsid w:val="00D934D4"/>
    <w:rsid w:val="00D936AB"/>
    <w:rsid w:val="00D93EE7"/>
    <w:rsid w:val="00D947A4"/>
    <w:rsid w:val="00D94871"/>
    <w:rsid w:val="00D9487D"/>
    <w:rsid w:val="00D94BA4"/>
    <w:rsid w:val="00D94DAE"/>
    <w:rsid w:val="00D94E13"/>
    <w:rsid w:val="00D958FA"/>
    <w:rsid w:val="00D95CF2"/>
    <w:rsid w:val="00D96149"/>
    <w:rsid w:val="00D96D4E"/>
    <w:rsid w:val="00D976A9"/>
    <w:rsid w:val="00D977E9"/>
    <w:rsid w:val="00D9781D"/>
    <w:rsid w:val="00D97E7F"/>
    <w:rsid w:val="00DA0C5C"/>
    <w:rsid w:val="00DA0E98"/>
    <w:rsid w:val="00DA1308"/>
    <w:rsid w:val="00DA1367"/>
    <w:rsid w:val="00DA161F"/>
    <w:rsid w:val="00DA1EEE"/>
    <w:rsid w:val="00DA2A13"/>
    <w:rsid w:val="00DA340E"/>
    <w:rsid w:val="00DA349B"/>
    <w:rsid w:val="00DA3AE5"/>
    <w:rsid w:val="00DA442D"/>
    <w:rsid w:val="00DA4622"/>
    <w:rsid w:val="00DA46A9"/>
    <w:rsid w:val="00DA5A00"/>
    <w:rsid w:val="00DA5A11"/>
    <w:rsid w:val="00DA5FDF"/>
    <w:rsid w:val="00DA6305"/>
    <w:rsid w:val="00DA6462"/>
    <w:rsid w:val="00DA6751"/>
    <w:rsid w:val="00DA792F"/>
    <w:rsid w:val="00DA7AFF"/>
    <w:rsid w:val="00DB03EB"/>
    <w:rsid w:val="00DB07AD"/>
    <w:rsid w:val="00DB0DDA"/>
    <w:rsid w:val="00DB0E78"/>
    <w:rsid w:val="00DB1068"/>
    <w:rsid w:val="00DB245E"/>
    <w:rsid w:val="00DB2999"/>
    <w:rsid w:val="00DB2F1D"/>
    <w:rsid w:val="00DB3604"/>
    <w:rsid w:val="00DB3960"/>
    <w:rsid w:val="00DB40C1"/>
    <w:rsid w:val="00DB4317"/>
    <w:rsid w:val="00DB45A8"/>
    <w:rsid w:val="00DB46FE"/>
    <w:rsid w:val="00DB475D"/>
    <w:rsid w:val="00DB4892"/>
    <w:rsid w:val="00DB4B03"/>
    <w:rsid w:val="00DB4C9B"/>
    <w:rsid w:val="00DB53DE"/>
    <w:rsid w:val="00DB5CC5"/>
    <w:rsid w:val="00DB5F28"/>
    <w:rsid w:val="00DB6214"/>
    <w:rsid w:val="00DB75D8"/>
    <w:rsid w:val="00DB7915"/>
    <w:rsid w:val="00DB7A8B"/>
    <w:rsid w:val="00DB7C0A"/>
    <w:rsid w:val="00DB7C23"/>
    <w:rsid w:val="00DB7F14"/>
    <w:rsid w:val="00DC00DD"/>
    <w:rsid w:val="00DC076C"/>
    <w:rsid w:val="00DC09B2"/>
    <w:rsid w:val="00DC0BF9"/>
    <w:rsid w:val="00DC0FB0"/>
    <w:rsid w:val="00DC1220"/>
    <w:rsid w:val="00DC2D95"/>
    <w:rsid w:val="00DC30CE"/>
    <w:rsid w:val="00DC35D2"/>
    <w:rsid w:val="00DC3648"/>
    <w:rsid w:val="00DC4789"/>
    <w:rsid w:val="00DC4C92"/>
    <w:rsid w:val="00DC5128"/>
    <w:rsid w:val="00DC566A"/>
    <w:rsid w:val="00DC5EA8"/>
    <w:rsid w:val="00DC5EB6"/>
    <w:rsid w:val="00DC5FCC"/>
    <w:rsid w:val="00DC6B23"/>
    <w:rsid w:val="00DC716A"/>
    <w:rsid w:val="00DC75A4"/>
    <w:rsid w:val="00DC76C4"/>
    <w:rsid w:val="00DC775E"/>
    <w:rsid w:val="00DC7979"/>
    <w:rsid w:val="00DC7FB9"/>
    <w:rsid w:val="00DD00BD"/>
    <w:rsid w:val="00DD06DA"/>
    <w:rsid w:val="00DD0761"/>
    <w:rsid w:val="00DD0ED2"/>
    <w:rsid w:val="00DD0F8F"/>
    <w:rsid w:val="00DD10B4"/>
    <w:rsid w:val="00DD1AE2"/>
    <w:rsid w:val="00DD1C93"/>
    <w:rsid w:val="00DD1D99"/>
    <w:rsid w:val="00DD278E"/>
    <w:rsid w:val="00DD2BE9"/>
    <w:rsid w:val="00DD3184"/>
    <w:rsid w:val="00DD3684"/>
    <w:rsid w:val="00DD4577"/>
    <w:rsid w:val="00DD4632"/>
    <w:rsid w:val="00DD4647"/>
    <w:rsid w:val="00DD5956"/>
    <w:rsid w:val="00DD5CA0"/>
    <w:rsid w:val="00DD5DC7"/>
    <w:rsid w:val="00DD61E8"/>
    <w:rsid w:val="00DD62C1"/>
    <w:rsid w:val="00DD668C"/>
    <w:rsid w:val="00DD66E5"/>
    <w:rsid w:val="00DD747B"/>
    <w:rsid w:val="00DD76B9"/>
    <w:rsid w:val="00DE01BA"/>
    <w:rsid w:val="00DE0961"/>
    <w:rsid w:val="00DE0AAD"/>
    <w:rsid w:val="00DE0B29"/>
    <w:rsid w:val="00DE0F16"/>
    <w:rsid w:val="00DE1511"/>
    <w:rsid w:val="00DE17B3"/>
    <w:rsid w:val="00DE23E6"/>
    <w:rsid w:val="00DE273E"/>
    <w:rsid w:val="00DE2C70"/>
    <w:rsid w:val="00DE2D66"/>
    <w:rsid w:val="00DE3139"/>
    <w:rsid w:val="00DE3375"/>
    <w:rsid w:val="00DE3C0D"/>
    <w:rsid w:val="00DE47C5"/>
    <w:rsid w:val="00DE48FF"/>
    <w:rsid w:val="00DE51B8"/>
    <w:rsid w:val="00DE52AD"/>
    <w:rsid w:val="00DE53DA"/>
    <w:rsid w:val="00DE58C9"/>
    <w:rsid w:val="00DE59EF"/>
    <w:rsid w:val="00DE5FC8"/>
    <w:rsid w:val="00DE67E2"/>
    <w:rsid w:val="00DE6977"/>
    <w:rsid w:val="00DE70F9"/>
    <w:rsid w:val="00DE714B"/>
    <w:rsid w:val="00DE71F5"/>
    <w:rsid w:val="00DE7284"/>
    <w:rsid w:val="00DE72CD"/>
    <w:rsid w:val="00DE7385"/>
    <w:rsid w:val="00DE755E"/>
    <w:rsid w:val="00DE76FA"/>
    <w:rsid w:val="00DE7D3F"/>
    <w:rsid w:val="00DE7E1A"/>
    <w:rsid w:val="00DF0095"/>
    <w:rsid w:val="00DF00D3"/>
    <w:rsid w:val="00DF1504"/>
    <w:rsid w:val="00DF1BFF"/>
    <w:rsid w:val="00DF20A6"/>
    <w:rsid w:val="00DF20CC"/>
    <w:rsid w:val="00DF24E8"/>
    <w:rsid w:val="00DF2DF6"/>
    <w:rsid w:val="00DF2F00"/>
    <w:rsid w:val="00DF40E0"/>
    <w:rsid w:val="00DF44E9"/>
    <w:rsid w:val="00DF4E10"/>
    <w:rsid w:val="00DF57F3"/>
    <w:rsid w:val="00DF5F60"/>
    <w:rsid w:val="00DF651B"/>
    <w:rsid w:val="00DF6805"/>
    <w:rsid w:val="00DF6889"/>
    <w:rsid w:val="00DF6B2F"/>
    <w:rsid w:val="00DF71A3"/>
    <w:rsid w:val="00DF7201"/>
    <w:rsid w:val="00DF77EC"/>
    <w:rsid w:val="00E0014A"/>
    <w:rsid w:val="00E00633"/>
    <w:rsid w:val="00E00A7C"/>
    <w:rsid w:val="00E0119E"/>
    <w:rsid w:val="00E0137F"/>
    <w:rsid w:val="00E01AB7"/>
    <w:rsid w:val="00E01FA3"/>
    <w:rsid w:val="00E02084"/>
    <w:rsid w:val="00E02418"/>
    <w:rsid w:val="00E0297E"/>
    <w:rsid w:val="00E033F6"/>
    <w:rsid w:val="00E03BFE"/>
    <w:rsid w:val="00E03C67"/>
    <w:rsid w:val="00E03C8B"/>
    <w:rsid w:val="00E040E7"/>
    <w:rsid w:val="00E04309"/>
    <w:rsid w:val="00E043DC"/>
    <w:rsid w:val="00E048CD"/>
    <w:rsid w:val="00E04982"/>
    <w:rsid w:val="00E04C3B"/>
    <w:rsid w:val="00E04E73"/>
    <w:rsid w:val="00E04EC2"/>
    <w:rsid w:val="00E05308"/>
    <w:rsid w:val="00E0531F"/>
    <w:rsid w:val="00E05AAF"/>
    <w:rsid w:val="00E060EC"/>
    <w:rsid w:val="00E06209"/>
    <w:rsid w:val="00E0649A"/>
    <w:rsid w:val="00E067A4"/>
    <w:rsid w:val="00E06A98"/>
    <w:rsid w:val="00E102BE"/>
    <w:rsid w:val="00E110B6"/>
    <w:rsid w:val="00E11C50"/>
    <w:rsid w:val="00E11E12"/>
    <w:rsid w:val="00E12736"/>
    <w:rsid w:val="00E1287F"/>
    <w:rsid w:val="00E12B6A"/>
    <w:rsid w:val="00E12BF5"/>
    <w:rsid w:val="00E12CA0"/>
    <w:rsid w:val="00E13540"/>
    <w:rsid w:val="00E1418E"/>
    <w:rsid w:val="00E14370"/>
    <w:rsid w:val="00E155DC"/>
    <w:rsid w:val="00E15D27"/>
    <w:rsid w:val="00E15D2E"/>
    <w:rsid w:val="00E16BD8"/>
    <w:rsid w:val="00E171ED"/>
    <w:rsid w:val="00E17305"/>
    <w:rsid w:val="00E1757B"/>
    <w:rsid w:val="00E20255"/>
    <w:rsid w:val="00E204ED"/>
    <w:rsid w:val="00E20526"/>
    <w:rsid w:val="00E20963"/>
    <w:rsid w:val="00E209F6"/>
    <w:rsid w:val="00E2166B"/>
    <w:rsid w:val="00E22121"/>
    <w:rsid w:val="00E223E2"/>
    <w:rsid w:val="00E22EEE"/>
    <w:rsid w:val="00E24A4D"/>
    <w:rsid w:val="00E24F8C"/>
    <w:rsid w:val="00E25827"/>
    <w:rsid w:val="00E2582E"/>
    <w:rsid w:val="00E265D1"/>
    <w:rsid w:val="00E268F7"/>
    <w:rsid w:val="00E26C71"/>
    <w:rsid w:val="00E2769B"/>
    <w:rsid w:val="00E27822"/>
    <w:rsid w:val="00E27F85"/>
    <w:rsid w:val="00E30113"/>
    <w:rsid w:val="00E307FF"/>
    <w:rsid w:val="00E308B6"/>
    <w:rsid w:val="00E3103E"/>
    <w:rsid w:val="00E31B04"/>
    <w:rsid w:val="00E31F49"/>
    <w:rsid w:val="00E3299C"/>
    <w:rsid w:val="00E329CC"/>
    <w:rsid w:val="00E32E99"/>
    <w:rsid w:val="00E33361"/>
    <w:rsid w:val="00E33B9E"/>
    <w:rsid w:val="00E33DD9"/>
    <w:rsid w:val="00E34559"/>
    <w:rsid w:val="00E34EEC"/>
    <w:rsid w:val="00E3552E"/>
    <w:rsid w:val="00E363D1"/>
    <w:rsid w:val="00E36931"/>
    <w:rsid w:val="00E3699B"/>
    <w:rsid w:val="00E36A1E"/>
    <w:rsid w:val="00E372C0"/>
    <w:rsid w:val="00E375DF"/>
    <w:rsid w:val="00E3771F"/>
    <w:rsid w:val="00E37E08"/>
    <w:rsid w:val="00E406F8"/>
    <w:rsid w:val="00E4085A"/>
    <w:rsid w:val="00E4111F"/>
    <w:rsid w:val="00E411B1"/>
    <w:rsid w:val="00E4136C"/>
    <w:rsid w:val="00E421C5"/>
    <w:rsid w:val="00E42565"/>
    <w:rsid w:val="00E42925"/>
    <w:rsid w:val="00E42E62"/>
    <w:rsid w:val="00E43A71"/>
    <w:rsid w:val="00E43DD4"/>
    <w:rsid w:val="00E43EE1"/>
    <w:rsid w:val="00E44305"/>
    <w:rsid w:val="00E444F7"/>
    <w:rsid w:val="00E446A7"/>
    <w:rsid w:val="00E44F76"/>
    <w:rsid w:val="00E451F4"/>
    <w:rsid w:val="00E45C0F"/>
    <w:rsid w:val="00E46187"/>
    <w:rsid w:val="00E4678B"/>
    <w:rsid w:val="00E46A43"/>
    <w:rsid w:val="00E46AC7"/>
    <w:rsid w:val="00E46D48"/>
    <w:rsid w:val="00E46DD0"/>
    <w:rsid w:val="00E47952"/>
    <w:rsid w:val="00E47B69"/>
    <w:rsid w:val="00E47DE5"/>
    <w:rsid w:val="00E47FE6"/>
    <w:rsid w:val="00E5003B"/>
    <w:rsid w:val="00E50C0D"/>
    <w:rsid w:val="00E51285"/>
    <w:rsid w:val="00E5165F"/>
    <w:rsid w:val="00E51AC3"/>
    <w:rsid w:val="00E51FD6"/>
    <w:rsid w:val="00E52D71"/>
    <w:rsid w:val="00E535BE"/>
    <w:rsid w:val="00E54268"/>
    <w:rsid w:val="00E54B3E"/>
    <w:rsid w:val="00E54DD9"/>
    <w:rsid w:val="00E5520B"/>
    <w:rsid w:val="00E5603E"/>
    <w:rsid w:val="00E560D7"/>
    <w:rsid w:val="00E56748"/>
    <w:rsid w:val="00E56850"/>
    <w:rsid w:val="00E56A42"/>
    <w:rsid w:val="00E56E04"/>
    <w:rsid w:val="00E572EF"/>
    <w:rsid w:val="00E57399"/>
    <w:rsid w:val="00E5744A"/>
    <w:rsid w:val="00E57B17"/>
    <w:rsid w:val="00E57BF7"/>
    <w:rsid w:val="00E60236"/>
    <w:rsid w:val="00E606B4"/>
    <w:rsid w:val="00E61B2B"/>
    <w:rsid w:val="00E620D6"/>
    <w:rsid w:val="00E62172"/>
    <w:rsid w:val="00E6225E"/>
    <w:rsid w:val="00E622A0"/>
    <w:rsid w:val="00E628AB"/>
    <w:rsid w:val="00E62907"/>
    <w:rsid w:val="00E62921"/>
    <w:rsid w:val="00E62B8F"/>
    <w:rsid w:val="00E62F87"/>
    <w:rsid w:val="00E630FB"/>
    <w:rsid w:val="00E63151"/>
    <w:rsid w:val="00E63FA9"/>
    <w:rsid w:val="00E64AA0"/>
    <w:rsid w:val="00E64B9C"/>
    <w:rsid w:val="00E64FDC"/>
    <w:rsid w:val="00E65001"/>
    <w:rsid w:val="00E6516B"/>
    <w:rsid w:val="00E65472"/>
    <w:rsid w:val="00E65C0B"/>
    <w:rsid w:val="00E65EE5"/>
    <w:rsid w:val="00E66891"/>
    <w:rsid w:val="00E672F9"/>
    <w:rsid w:val="00E6737E"/>
    <w:rsid w:val="00E67538"/>
    <w:rsid w:val="00E67C6D"/>
    <w:rsid w:val="00E70007"/>
    <w:rsid w:val="00E70085"/>
    <w:rsid w:val="00E70ABC"/>
    <w:rsid w:val="00E70BE9"/>
    <w:rsid w:val="00E70DF1"/>
    <w:rsid w:val="00E7116B"/>
    <w:rsid w:val="00E714BC"/>
    <w:rsid w:val="00E7179E"/>
    <w:rsid w:val="00E721B1"/>
    <w:rsid w:val="00E7230D"/>
    <w:rsid w:val="00E725EE"/>
    <w:rsid w:val="00E7297A"/>
    <w:rsid w:val="00E72FE9"/>
    <w:rsid w:val="00E732D1"/>
    <w:rsid w:val="00E7330A"/>
    <w:rsid w:val="00E7386D"/>
    <w:rsid w:val="00E73882"/>
    <w:rsid w:val="00E73DF0"/>
    <w:rsid w:val="00E74221"/>
    <w:rsid w:val="00E74670"/>
    <w:rsid w:val="00E7483D"/>
    <w:rsid w:val="00E759F4"/>
    <w:rsid w:val="00E75B44"/>
    <w:rsid w:val="00E765B0"/>
    <w:rsid w:val="00E76604"/>
    <w:rsid w:val="00E7795B"/>
    <w:rsid w:val="00E77983"/>
    <w:rsid w:val="00E77E92"/>
    <w:rsid w:val="00E8018B"/>
    <w:rsid w:val="00E8030E"/>
    <w:rsid w:val="00E80E8F"/>
    <w:rsid w:val="00E81263"/>
    <w:rsid w:val="00E81501"/>
    <w:rsid w:val="00E82160"/>
    <w:rsid w:val="00E829A0"/>
    <w:rsid w:val="00E82F56"/>
    <w:rsid w:val="00E830BF"/>
    <w:rsid w:val="00E83314"/>
    <w:rsid w:val="00E83438"/>
    <w:rsid w:val="00E8356D"/>
    <w:rsid w:val="00E839DF"/>
    <w:rsid w:val="00E83A07"/>
    <w:rsid w:val="00E83A7E"/>
    <w:rsid w:val="00E83C48"/>
    <w:rsid w:val="00E83E3E"/>
    <w:rsid w:val="00E84105"/>
    <w:rsid w:val="00E843A8"/>
    <w:rsid w:val="00E8442B"/>
    <w:rsid w:val="00E845A9"/>
    <w:rsid w:val="00E849FD"/>
    <w:rsid w:val="00E851FA"/>
    <w:rsid w:val="00E85219"/>
    <w:rsid w:val="00E8546A"/>
    <w:rsid w:val="00E8546F"/>
    <w:rsid w:val="00E854EB"/>
    <w:rsid w:val="00E854EF"/>
    <w:rsid w:val="00E85E89"/>
    <w:rsid w:val="00E860A7"/>
    <w:rsid w:val="00E86D41"/>
    <w:rsid w:val="00E871A4"/>
    <w:rsid w:val="00E871B3"/>
    <w:rsid w:val="00E871F8"/>
    <w:rsid w:val="00E87A0A"/>
    <w:rsid w:val="00E87D1B"/>
    <w:rsid w:val="00E90243"/>
    <w:rsid w:val="00E90C9E"/>
    <w:rsid w:val="00E91048"/>
    <w:rsid w:val="00E913EB"/>
    <w:rsid w:val="00E91EF6"/>
    <w:rsid w:val="00E92737"/>
    <w:rsid w:val="00E92754"/>
    <w:rsid w:val="00E92B43"/>
    <w:rsid w:val="00E92B87"/>
    <w:rsid w:val="00E92C1F"/>
    <w:rsid w:val="00E92E2D"/>
    <w:rsid w:val="00E938E5"/>
    <w:rsid w:val="00E94F82"/>
    <w:rsid w:val="00E956BC"/>
    <w:rsid w:val="00E957EE"/>
    <w:rsid w:val="00E95D2B"/>
    <w:rsid w:val="00E97E08"/>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41D6"/>
    <w:rsid w:val="00EA48CF"/>
    <w:rsid w:val="00EA48EE"/>
    <w:rsid w:val="00EA4A39"/>
    <w:rsid w:val="00EA50F2"/>
    <w:rsid w:val="00EA5410"/>
    <w:rsid w:val="00EA5428"/>
    <w:rsid w:val="00EA5890"/>
    <w:rsid w:val="00EA599D"/>
    <w:rsid w:val="00EA59F7"/>
    <w:rsid w:val="00EA5B0B"/>
    <w:rsid w:val="00EA5B71"/>
    <w:rsid w:val="00EA5CD9"/>
    <w:rsid w:val="00EA65D8"/>
    <w:rsid w:val="00EA7BE1"/>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946"/>
    <w:rsid w:val="00EB3BAB"/>
    <w:rsid w:val="00EB4695"/>
    <w:rsid w:val="00EB4D02"/>
    <w:rsid w:val="00EB54F2"/>
    <w:rsid w:val="00EB5812"/>
    <w:rsid w:val="00EB595D"/>
    <w:rsid w:val="00EB605E"/>
    <w:rsid w:val="00EB6295"/>
    <w:rsid w:val="00EB693B"/>
    <w:rsid w:val="00EB6CA3"/>
    <w:rsid w:val="00EB6CD4"/>
    <w:rsid w:val="00EB7135"/>
    <w:rsid w:val="00EB719E"/>
    <w:rsid w:val="00EB7474"/>
    <w:rsid w:val="00EB7AAA"/>
    <w:rsid w:val="00EC0EEB"/>
    <w:rsid w:val="00EC114D"/>
    <w:rsid w:val="00EC150B"/>
    <w:rsid w:val="00EC167D"/>
    <w:rsid w:val="00EC214D"/>
    <w:rsid w:val="00EC24A6"/>
    <w:rsid w:val="00EC2B01"/>
    <w:rsid w:val="00EC2C90"/>
    <w:rsid w:val="00EC2EAE"/>
    <w:rsid w:val="00EC30FA"/>
    <w:rsid w:val="00EC341C"/>
    <w:rsid w:val="00EC4346"/>
    <w:rsid w:val="00EC43FC"/>
    <w:rsid w:val="00EC4452"/>
    <w:rsid w:val="00EC4461"/>
    <w:rsid w:val="00EC504C"/>
    <w:rsid w:val="00EC5BAC"/>
    <w:rsid w:val="00EC5D5F"/>
    <w:rsid w:val="00EC6244"/>
    <w:rsid w:val="00EC63E4"/>
    <w:rsid w:val="00EC68F4"/>
    <w:rsid w:val="00EC6A0B"/>
    <w:rsid w:val="00EC6EFF"/>
    <w:rsid w:val="00EC72E9"/>
    <w:rsid w:val="00EC746A"/>
    <w:rsid w:val="00EC7EF9"/>
    <w:rsid w:val="00ED0364"/>
    <w:rsid w:val="00ED07F0"/>
    <w:rsid w:val="00ED113D"/>
    <w:rsid w:val="00ED1831"/>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622C"/>
    <w:rsid w:val="00ED62EE"/>
    <w:rsid w:val="00ED660F"/>
    <w:rsid w:val="00ED73FA"/>
    <w:rsid w:val="00ED7A2F"/>
    <w:rsid w:val="00ED7B38"/>
    <w:rsid w:val="00ED7EC8"/>
    <w:rsid w:val="00EE007E"/>
    <w:rsid w:val="00EE08C8"/>
    <w:rsid w:val="00EE08F2"/>
    <w:rsid w:val="00EE0F4A"/>
    <w:rsid w:val="00EE14B4"/>
    <w:rsid w:val="00EE168C"/>
    <w:rsid w:val="00EE16EF"/>
    <w:rsid w:val="00EE1AE0"/>
    <w:rsid w:val="00EE1D1B"/>
    <w:rsid w:val="00EE1E99"/>
    <w:rsid w:val="00EE273D"/>
    <w:rsid w:val="00EE2B86"/>
    <w:rsid w:val="00EE2E1A"/>
    <w:rsid w:val="00EE320F"/>
    <w:rsid w:val="00EE3BEC"/>
    <w:rsid w:val="00EE412D"/>
    <w:rsid w:val="00EE4176"/>
    <w:rsid w:val="00EE447B"/>
    <w:rsid w:val="00EE471B"/>
    <w:rsid w:val="00EE47F2"/>
    <w:rsid w:val="00EE4CFA"/>
    <w:rsid w:val="00EE51F2"/>
    <w:rsid w:val="00EE5570"/>
    <w:rsid w:val="00EE5604"/>
    <w:rsid w:val="00EE5AAB"/>
    <w:rsid w:val="00EE6F51"/>
    <w:rsid w:val="00EE7274"/>
    <w:rsid w:val="00EE72E3"/>
    <w:rsid w:val="00EE75AD"/>
    <w:rsid w:val="00EE761F"/>
    <w:rsid w:val="00EE7A37"/>
    <w:rsid w:val="00EF00E8"/>
    <w:rsid w:val="00EF0162"/>
    <w:rsid w:val="00EF064C"/>
    <w:rsid w:val="00EF1A32"/>
    <w:rsid w:val="00EF1C09"/>
    <w:rsid w:val="00EF2903"/>
    <w:rsid w:val="00EF2999"/>
    <w:rsid w:val="00EF36DB"/>
    <w:rsid w:val="00EF37C9"/>
    <w:rsid w:val="00EF38D5"/>
    <w:rsid w:val="00EF3B18"/>
    <w:rsid w:val="00EF3E68"/>
    <w:rsid w:val="00EF3F49"/>
    <w:rsid w:val="00EF4336"/>
    <w:rsid w:val="00EF49A2"/>
    <w:rsid w:val="00EF53C7"/>
    <w:rsid w:val="00EF5650"/>
    <w:rsid w:val="00EF5AF1"/>
    <w:rsid w:val="00EF64AB"/>
    <w:rsid w:val="00EF706B"/>
    <w:rsid w:val="00EF73DC"/>
    <w:rsid w:val="00EF75C0"/>
    <w:rsid w:val="00EF7A6C"/>
    <w:rsid w:val="00EF7D05"/>
    <w:rsid w:val="00F00188"/>
    <w:rsid w:val="00F001B4"/>
    <w:rsid w:val="00F00F15"/>
    <w:rsid w:val="00F013FF"/>
    <w:rsid w:val="00F017B4"/>
    <w:rsid w:val="00F02284"/>
    <w:rsid w:val="00F02E10"/>
    <w:rsid w:val="00F0332B"/>
    <w:rsid w:val="00F03B6E"/>
    <w:rsid w:val="00F03E80"/>
    <w:rsid w:val="00F0434C"/>
    <w:rsid w:val="00F0439D"/>
    <w:rsid w:val="00F043A5"/>
    <w:rsid w:val="00F04912"/>
    <w:rsid w:val="00F04DFE"/>
    <w:rsid w:val="00F054F3"/>
    <w:rsid w:val="00F056DD"/>
    <w:rsid w:val="00F058A2"/>
    <w:rsid w:val="00F058C7"/>
    <w:rsid w:val="00F0594B"/>
    <w:rsid w:val="00F05B99"/>
    <w:rsid w:val="00F05EAF"/>
    <w:rsid w:val="00F066AB"/>
    <w:rsid w:val="00F06944"/>
    <w:rsid w:val="00F077B0"/>
    <w:rsid w:val="00F07A76"/>
    <w:rsid w:val="00F07D18"/>
    <w:rsid w:val="00F10004"/>
    <w:rsid w:val="00F10615"/>
    <w:rsid w:val="00F1069E"/>
    <w:rsid w:val="00F110A3"/>
    <w:rsid w:val="00F11350"/>
    <w:rsid w:val="00F113AC"/>
    <w:rsid w:val="00F11E08"/>
    <w:rsid w:val="00F12611"/>
    <w:rsid w:val="00F12B59"/>
    <w:rsid w:val="00F12D35"/>
    <w:rsid w:val="00F133A4"/>
    <w:rsid w:val="00F13AB0"/>
    <w:rsid w:val="00F13D21"/>
    <w:rsid w:val="00F14814"/>
    <w:rsid w:val="00F15042"/>
    <w:rsid w:val="00F150DB"/>
    <w:rsid w:val="00F15600"/>
    <w:rsid w:val="00F15749"/>
    <w:rsid w:val="00F16372"/>
    <w:rsid w:val="00F16CEC"/>
    <w:rsid w:val="00F16FD8"/>
    <w:rsid w:val="00F17055"/>
    <w:rsid w:val="00F1707E"/>
    <w:rsid w:val="00F17645"/>
    <w:rsid w:val="00F17C7F"/>
    <w:rsid w:val="00F201A9"/>
    <w:rsid w:val="00F20A06"/>
    <w:rsid w:val="00F20F9A"/>
    <w:rsid w:val="00F21495"/>
    <w:rsid w:val="00F214E8"/>
    <w:rsid w:val="00F21E3E"/>
    <w:rsid w:val="00F21EF2"/>
    <w:rsid w:val="00F22B53"/>
    <w:rsid w:val="00F2310A"/>
    <w:rsid w:val="00F233BE"/>
    <w:rsid w:val="00F2375F"/>
    <w:rsid w:val="00F23809"/>
    <w:rsid w:val="00F23912"/>
    <w:rsid w:val="00F24461"/>
    <w:rsid w:val="00F244A4"/>
    <w:rsid w:val="00F24520"/>
    <w:rsid w:val="00F246B6"/>
    <w:rsid w:val="00F25190"/>
    <w:rsid w:val="00F2655B"/>
    <w:rsid w:val="00F26601"/>
    <w:rsid w:val="00F26D14"/>
    <w:rsid w:val="00F2710E"/>
    <w:rsid w:val="00F2737A"/>
    <w:rsid w:val="00F27830"/>
    <w:rsid w:val="00F300F7"/>
    <w:rsid w:val="00F30553"/>
    <w:rsid w:val="00F30939"/>
    <w:rsid w:val="00F30A36"/>
    <w:rsid w:val="00F30F8C"/>
    <w:rsid w:val="00F3177E"/>
    <w:rsid w:val="00F3189C"/>
    <w:rsid w:val="00F327CF"/>
    <w:rsid w:val="00F329DD"/>
    <w:rsid w:val="00F32DE2"/>
    <w:rsid w:val="00F332D5"/>
    <w:rsid w:val="00F33531"/>
    <w:rsid w:val="00F33CAF"/>
    <w:rsid w:val="00F340E2"/>
    <w:rsid w:val="00F34869"/>
    <w:rsid w:val="00F34873"/>
    <w:rsid w:val="00F34EA6"/>
    <w:rsid w:val="00F352D1"/>
    <w:rsid w:val="00F353B8"/>
    <w:rsid w:val="00F355E8"/>
    <w:rsid w:val="00F358D6"/>
    <w:rsid w:val="00F36C0C"/>
    <w:rsid w:val="00F36D54"/>
    <w:rsid w:val="00F36EA2"/>
    <w:rsid w:val="00F37002"/>
    <w:rsid w:val="00F371B0"/>
    <w:rsid w:val="00F37FEF"/>
    <w:rsid w:val="00F40637"/>
    <w:rsid w:val="00F40759"/>
    <w:rsid w:val="00F4097B"/>
    <w:rsid w:val="00F40BCC"/>
    <w:rsid w:val="00F4259B"/>
    <w:rsid w:val="00F42716"/>
    <w:rsid w:val="00F4282F"/>
    <w:rsid w:val="00F4293C"/>
    <w:rsid w:val="00F4315E"/>
    <w:rsid w:val="00F43CAC"/>
    <w:rsid w:val="00F43D41"/>
    <w:rsid w:val="00F44234"/>
    <w:rsid w:val="00F45177"/>
    <w:rsid w:val="00F45202"/>
    <w:rsid w:val="00F4538A"/>
    <w:rsid w:val="00F45442"/>
    <w:rsid w:val="00F459F0"/>
    <w:rsid w:val="00F45C57"/>
    <w:rsid w:val="00F45C7C"/>
    <w:rsid w:val="00F461A5"/>
    <w:rsid w:val="00F463F9"/>
    <w:rsid w:val="00F472BD"/>
    <w:rsid w:val="00F4758F"/>
    <w:rsid w:val="00F501B9"/>
    <w:rsid w:val="00F505EE"/>
    <w:rsid w:val="00F50DBC"/>
    <w:rsid w:val="00F5177A"/>
    <w:rsid w:val="00F52150"/>
    <w:rsid w:val="00F522B6"/>
    <w:rsid w:val="00F533E0"/>
    <w:rsid w:val="00F53693"/>
    <w:rsid w:val="00F5383A"/>
    <w:rsid w:val="00F53957"/>
    <w:rsid w:val="00F5522F"/>
    <w:rsid w:val="00F55279"/>
    <w:rsid w:val="00F553EC"/>
    <w:rsid w:val="00F558F1"/>
    <w:rsid w:val="00F55FA4"/>
    <w:rsid w:val="00F5676D"/>
    <w:rsid w:val="00F57292"/>
    <w:rsid w:val="00F57304"/>
    <w:rsid w:val="00F5740B"/>
    <w:rsid w:val="00F60D85"/>
    <w:rsid w:val="00F61231"/>
    <w:rsid w:val="00F61E2B"/>
    <w:rsid w:val="00F620FC"/>
    <w:rsid w:val="00F621EC"/>
    <w:rsid w:val="00F625AE"/>
    <w:rsid w:val="00F62FA2"/>
    <w:rsid w:val="00F636F5"/>
    <w:rsid w:val="00F64AF0"/>
    <w:rsid w:val="00F64E7A"/>
    <w:rsid w:val="00F65139"/>
    <w:rsid w:val="00F65677"/>
    <w:rsid w:val="00F66AAB"/>
    <w:rsid w:val="00F66DDC"/>
    <w:rsid w:val="00F672FE"/>
    <w:rsid w:val="00F67B93"/>
    <w:rsid w:val="00F705FD"/>
    <w:rsid w:val="00F706A4"/>
    <w:rsid w:val="00F70C8C"/>
    <w:rsid w:val="00F714AD"/>
    <w:rsid w:val="00F7172C"/>
    <w:rsid w:val="00F71D13"/>
    <w:rsid w:val="00F71E4A"/>
    <w:rsid w:val="00F729AF"/>
    <w:rsid w:val="00F729D2"/>
    <w:rsid w:val="00F730B4"/>
    <w:rsid w:val="00F737EA"/>
    <w:rsid w:val="00F7422B"/>
    <w:rsid w:val="00F75082"/>
    <w:rsid w:val="00F76235"/>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BDE"/>
    <w:rsid w:val="00F82EE9"/>
    <w:rsid w:val="00F83147"/>
    <w:rsid w:val="00F832F9"/>
    <w:rsid w:val="00F83E58"/>
    <w:rsid w:val="00F83EA4"/>
    <w:rsid w:val="00F84287"/>
    <w:rsid w:val="00F845B2"/>
    <w:rsid w:val="00F8466E"/>
    <w:rsid w:val="00F8477E"/>
    <w:rsid w:val="00F84B5D"/>
    <w:rsid w:val="00F84CB9"/>
    <w:rsid w:val="00F853B9"/>
    <w:rsid w:val="00F854C7"/>
    <w:rsid w:val="00F858F8"/>
    <w:rsid w:val="00F86134"/>
    <w:rsid w:val="00F8673E"/>
    <w:rsid w:val="00F868EF"/>
    <w:rsid w:val="00F86CC0"/>
    <w:rsid w:val="00F86DE8"/>
    <w:rsid w:val="00F86E5B"/>
    <w:rsid w:val="00F8715C"/>
    <w:rsid w:val="00F873AF"/>
    <w:rsid w:val="00F87558"/>
    <w:rsid w:val="00F875BC"/>
    <w:rsid w:val="00F876C7"/>
    <w:rsid w:val="00F900C0"/>
    <w:rsid w:val="00F90503"/>
    <w:rsid w:val="00F9054D"/>
    <w:rsid w:val="00F91972"/>
    <w:rsid w:val="00F91B56"/>
    <w:rsid w:val="00F91CEE"/>
    <w:rsid w:val="00F91EF4"/>
    <w:rsid w:val="00F922D7"/>
    <w:rsid w:val="00F92794"/>
    <w:rsid w:val="00F92F14"/>
    <w:rsid w:val="00F9369D"/>
    <w:rsid w:val="00F93DBC"/>
    <w:rsid w:val="00F94189"/>
    <w:rsid w:val="00F946B3"/>
    <w:rsid w:val="00F94E95"/>
    <w:rsid w:val="00F94EE6"/>
    <w:rsid w:val="00F951EA"/>
    <w:rsid w:val="00F951FC"/>
    <w:rsid w:val="00F95806"/>
    <w:rsid w:val="00F95A33"/>
    <w:rsid w:val="00F96160"/>
    <w:rsid w:val="00F9632F"/>
    <w:rsid w:val="00F96946"/>
    <w:rsid w:val="00F96D9D"/>
    <w:rsid w:val="00F96FFE"/>
    <w:rsid w:val="00F97212"/>
    <w:rsid w:val="00F9740C"/>
    <w:rsid w:val="00F97725"/>
    <w:rsid w:val="00F97E3A"/>
    <w:rsid w:val="00F97ED9"/>
    <w:rsid w:val="00FA0FAC"/>
    <w:rsid w:val="00FA1143"/>
    <w:rsid w:val="00FA21E2"/>
    <w:rsid w:val="00FA2986"/>
    <w:rsid w:val="00FA32A4"/>
    <w:rsid w:val="00FA3AD8"/>
    <w:rsid w:val="00FA3AFC"/>
    <w:rsid w:val="00FA43A8"/>
    <w:rsid w:val="00FA4853"/>
    <w:rsid w:val="00FA4B13"/>
    <w:rsid w:val="00FA5645"/>
    <w:rsid w:val="00FA57F9"/>
    <w:rsid w:val="00FA6B2D"/>
    <w:rsid w:val="00FA76A7"/>
    <w:rsid w:val="00FB02F0"/>
    <w:rsid w:val="00FB0728"/>
    <w:rsid w:val="00FB13A4"/>
    <w:rsid w:val="00FB14B8"/>
    <w:rsid w:val="00FB1B8E"/>
    <w:rsid w:val="00FB1FD0"/>
    <w:rsid w:val="00FB1FDC"/>
    <w:rsid w:val="00FB24B5"/>
    <w:rsid w:val="00FB24BA"/>
    <w:rsid w:val="00FB35DF"/>
    <w:rsid w:val="00FB3DFE"/>
    <w:rsid w:val="00FB3FFE"/>
    <w:rsid w:val="00FB426B"/>
    <w:rsid w:val="00FB451F"/>
    <w:rsid w:val="00FB480D"/>
    <w:rsid w:val="00FB48E1"/>
    <w:rsid w:val="00FB524B"/>
    <w:rsid w:val="00FB53C7"/>
    <w:rsid w:val="00FB5962"/>
    <w:rsid w:val="00FB5981"/>
    <w:rsid w:val="00FB6258"/>
    <w:rsid w:val="00FB6759"/>
    <w:rsid w:val="00FB676E"/>
    <w:rsid w:val="00FB67CE"/>
    <w:rsid w:val="00FB6CE3"/>
    <w:rsid w:val="00FB6CF9"/>
    <w:rsid w:val="00FB7A40"/>
    <w:rsid w:val="00FB7BD7"/>
    <w:rsid w:val="00FC036A"/>
    <w:rsid w:val="00FC05F4"/>
    <w:rsid w:val="00FC0C36"/>
    <w:rsid w:val="00FC1263"/>
    <w:rsid w:val="00FC1BCF"/>
    <w:rsid w:val="00FC2066"/>
    <w:rsid w:val="00FC22A8"/>
    <w:rsid w:val="00FC2745"/>
    <w:rsid w:val="00FC30F1"/>
    <w:rsid w:val="00FC3578"/>
    <w:rsid w:val="00FC35BA"/>
    <w:rsid w:val="00FC3691"/>
    <w:rsid w:val="00FC38EB"/>
    <w:rsid w:val="00FC3B04"/>
    <w:rsid w:val="00FC3F33"/>
    <w:rsid w:val="00FC3F89"/>
    <w:rsid w:val="00FC41B0"/>
    <w:rsid w:val="00FC42D6"/>
    <w:rsid w:val="00FC45FF"/>
    <w:rsid w:val="00FC49A8"/>
    <w:rsid w:val="00FC4A66"/>
    <w:rsid w:val="00FC5512"/>
    <w:rsid w:val="00FC5A16"/>
    <w:rsid w:val="00FC60E6"/>
    <w:rsid w:val="00FC6C19"/>
    <w:rsid w:val="00FC6CD4"/>
    <w:rsid w:val="00FC74A1"/>
    <w:rsid w:val="00FC7618"/>
    <w:rsid w:val="00FC7AE2"/>
    <w:rsid w:val="00FC7D69"/>
    <w:rsid w:val="00FC7D74"/>
    <w:rsid w:val="00FD0442"/>
    <w:rsid w:val="00FD0831"/>
    <w:rsid w:val="00FD18ED"/>
    <w:rsid w:val="00FD22D5"/>
    <w:rsid w:val="00FD29B4"/>
    <w:rsid w:val="00FD2AD2"/>
    <w:rsid w:val="00FD2F73"/>
    <w:rsid w:val="00FD30C5"/>
    <w:rsid w:val="00FD30F1"/>
    <w:rsid w:val="00FD4A16"/>
    <w:rsid w:val="00FD4C96"/>
    <w:rsid w:val="00FD61F8"/>
    <w:rsid w:val="00FD6386"/>
    <w:rsid w:val="00FD6504"/>
    <w:rsid w:val="00FD71D5"/>
    <w:rsid w:val="00FD772E"/>
    <w:rsid w:val="00FD7AC7"/>
    <w:rsid w:val="00FD7B31"/>
    <w:rsid w:val="00FD7CE8"/>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93"/>
    <w:rsid w:val="00FE643C"/>
    <w:rsid w:val="00FE66D9"/>
    <w:rsid w:val="00FE6BD0"/>
    <w:rsid w:val="00FE7CBB"/>
    <w:rsid w:val="00FE7D80"/>
    <w:rsid w:val="00FF05B0"/>
    <w:rsid w:val="00FF07A8"/>
    <w:rsid w:val="00FF09C6"/>
    <w:rsid w:val="00FF1247"/>
    <w:rsid w:val="00FF1946"/>
    <w:rsid w:val="00FF1E34"/>
    <w:rsid w:val="00FF1FCA"/>
    <w:rsid w:val="00FF20E9"/>
    <w:rsid w:val="00FF2855"/>
    <w:rsid w:val="00FF2E7B"/>
    <w:rsid w:val="00FF3820"/>
    <w:rsid w:val="00FF40C2"/>
    <w:rsid w:val="00FF4769"/>
    <w:rsid w:val="00FF4C75"/>
    <w:rsid w:val="00FF4EF4"/>
    <w:rsid w:val="00FF54D7"/>
    <w:rsid w:val="00FF591D"/>
    <w:rsid w:val="00FF5BE0"/>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ADC46"/>
  <w15:chartTrackingRefBased/>
  <w15:docId w15:val="{F6B291CA-5191-4DC7-BB39-3D1A0FC7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809"/>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991809"/>
    <w:pPr>
      <w:keepNext/>
      <w:keepLines/>
      <w:numPr>
        <w:numId w:val="38"/>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991809"/>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991809"/>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991809"/>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991809"/>
    <w:pPr>
      <w:keepNext/>
      <w:numPr>
        <w:numId w:val="19"/>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991809"/>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991809"/>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991809"/>
    <w:pPr>
      <w:ind w:left="993"/>
      <w:outlineLvl w:val="7"/>
    </w:pPr>
    <w:rPr>
      <w:color w:val="321547"/>
      <w:szCs w:val="22"/>
      <w:u w:val="dotDotDash"/>
    </w:rPr>
  </w:style>
  <w:style w:type="paragraph" w:styleId="Ttulo9">
    <w:name w:val="heading 9"/>
    <w:basedOn w:val="Ttulo8"/>
    <w:next w:val="Normal"/>
    <w:link w:val="Ttulo9Car"/>
    <w:uiPriority w:val="9"/>
    <w:unhideWhenUsed/>
    <w:qFormat/>
    <w:rsid w:val="00991809"/>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99180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991809"/>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991809"/>
    <w:rPr>
      <w:color w:val="0563C1" w:themeColor="hyperlink"/>
      <w:u w:val="single"/>
    </w:rPr>
  </w:style>
  <w:style w:type="paragraph" w:styleId="Textonotapie">
    <w:name w:val="footnote text"/>
    <w:aliases w:val="Nota a pie de página"/>
    <w:basedOn w:val="Normal"/>
    <w:link w:val="TextonotapieCar"/>
    <w:uiPriority w:val="99"/>
    <w:unhideWhenUsed/>
    <w:qFormat/>
    <w:rsid w:val="00991809"/>
    <w:pPr>
      <w:keepLines/>
      <w:spacing w:after="40" w:line="240" w:lineRule="auto"/>
    </w:pPr>
    <w:rPr>
      <w:sz w:val="16"/>
      <w:szCs w:val="20"/>
    </w:rPr>
  </w:style>
  <w:style w:type="character" w:styleId="Refdenotaalpie">
    <w:name w:val="footnote reference"/>
    <w:basedOn w:val="Fuentedeprrafopredeter"/>
    <w:uiPriority w:val="99"/>
    <w:unhideWhenUsed/>
    <w:rsid w:val="00991809"/>
    <w:rPr>
      <w:vertAlign w:val="superscript"/>
    </w:rPr>
  </w:style>
  <w:style w:type="table" w:styleId="Tablaconcuadrcula">
    <w:name w:val="Table Grid"/>
    <w:basedOn w:val="Tablanormal"/>
    <w:uiPriority w:val="39"/>
    <w:rsid w:val="00991809"/>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991809"/>
    <w:rPr>
      <w:rFonts w:ascii="Segoe UI" w:hAnsi="Segoe UI" w:cs="Segoe UI"/>
      <w:sz w:val="18"/>
      <w:szCs w:val="18"/>
    </w:rPr>
  </w:style>
  <w:style w:type="paragraph" w:styleId="Prrafodelista">
    <w:name w:val="List Paragraph"/>
    <w:basedOn w:val="Normal"/>
    <w:uiPriority w:val="34"/>
    <w:rsid w:val="00991809"/>
    <w:pPr>
      <w:ind w:left="720"/>
      <w:contextualSpacing/>
    </w:pPr>
  </w:style>
  <w:style w:type="character" w:customStyle="1" w:styleId="TextonotapieCar">
    <w:name w:val="Texto nota pie Car"/>
    <w:aliases w:val="Nota a pie de página Car"/>
    <w:basedOn w:val="Fuentedeprrafopredeter"/>
    <w:link w:val="Textonotapie"/>
    <w:uiPriority w:val="99"/>
    <w:rsid w:val="00991809"/>
    <w:rPr>
      <w:rFonts w:ascii="Palatino Linotype" w:eastAsiaTheme="minorHAnsi" w:hAnsi="Palatino Linotype" w:cstheme="minorBidi"/>
      <w:sz w:val="16"/>
      <w:lang w:eastAsia="en-US"/>
    </w:rPr>
  </w:style>
  <w:style w:type="numbering" w:customStyle="1" w:styleId="WW8Num17">
    <w:name w:val="WW8Num17"/>
    <w:basedOn w:val="Sinlista"/>
    <w:rsid w:val="008575AC"/>
    <w:pPr>
      <w:numPr>
        <w:numId w:val="12"/>
      </w:numPr>
    </w:pPr>
  </w:style>
  <w:style w:type="character" w:customStyle="1" w:styleId="Ttulo1Car">
    <w:name w:val="Título 1 Car"/>
    <w:basedOn w:val="Fuentedeprrafopredeter"/>
    <w:link w:val="Ttulo1"/>
    <w:uiPriority w:val="9"/>
    <w:rsid w:val="00991809"/>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991809"/>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991809"/>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991809"/>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991809"/>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991809"/>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991809"/>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991809"/>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991809"/>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991809"/>
    <w:pPr>
      <w:tabs>
        <w:tab w:val="center" w:pos="4252"/>
        <w:tab w:val="right" w:pos="8504"/>
      </w:tabs>
    </w:pPr>
  </w:style>
  <w:style w:type="character" w:customStyle="1" w:styleId="EncabezadoCar">
    <w:name w:val="Encabezado Car"/>
    <w:basedOn w:val="Fuentedeprrafopredeter"/>
    <w:link w:val="Encabezado"/>
    <w:uiPriority w:val="99"/>
    <w:rsid w:val="00991809"/>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991809"/>
    <w:rPr>
      <w:rFonts w:ascii="Garamond" w:hAnsi="Garamond"/>
      <w:lang w:val="es-ES"/>
    </w:rPr>
  </w:style>
  <w:style w:type="character" w:customStyle="1" w:styleId="FooterChar">
    <w:name w:val="Footer Char"/>
    <w:basedOn w:val="Fuentedeprrafopredeter"/>
    <w:uiPriority w:val="99"/>
    <w:rsid w:val="00991809"/>
    <w:rPr>
      <w:rFonts w:ascii="Garamond" w:hAnsi="Garamond"/>
      <w:lang w:val="es-ES"/>
    </w:rPr>
  </w:style>
  <w:style w:type="character" w:styleId="Textodelmarcadordeposicin">
    <w:name w:val="Placeholder Text"/>
    <w:basedOn w:val="Fuentedeprrafopredeter"/>
    <w:uiPriority w:val="99"/>
    <w:semiHidden/>
    <w:rsid w:val="00991809"/>
    <w:rPr>
      <w:color w:val="808080"/>
    </w:rPr>
  </w:style>
  <w:style w:type="paragraph" w:styleId="Ttulo">
    <w:name w:val="Title"/>
    <w:basedOn w:val="Normal"/>
    <w:next w:val="Normal"/>
    <w:link w:val="TtuloCar"/>
    <w:uiPriority w:val="10"/>
    <w:qFormat/>
    <w:rsid w:val="00991809"/>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991809"/>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991809"/>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991809"/>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991809"/>
    <w:pPr>
      <w:numPr>
        <w:ilvl w:val="1"/>
        <w:numId w:val="16"/>
      </w:numPr>
      <w:spacing w:after="100"/>
      <w:ind w:left="1049" w:hanging="198"/>
      <w:contextualSpacing/>
    </w:pPr>
  </w:style>
  <w:style w:type="character" w:customStyle="1" w:styleId="Heading2Char">
    <w:name w:val="Heading 2 Char"/>
    <w:basedOn w:val="Fuentedeprrafopredeter"/>
    <w:uiPriority w:val="9"/>
    <w:rsid w:val="00991809"/>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991809"/>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991809"/>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991809"/>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991809"/>
    <w:rPr>
      <w:rFonts w:ascii="Garamond" w:hAnsi="Garamond"/>
      <w:i/>
      <w:iCs/>
      <w:color w:val="5F2987"/>
      <w:u w:val="single"/>
      <w:lang w:val="es-ES"/>
    </w:rPr>
  </w:style>
  <w:style w:type="paragraph" w:styleId="TDC3">
    <w:name w:val="toc 3"/>
    <w:basedOn w:val="Normal"/>
    <w:next w:val="FinTDC"/>
    <w:autoRedefine/>
    <w:uiPriority w:val="39"/>
    <w:unhideWhenUsed/>
    <w:rsid w:val="00991809"/>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991809"/>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991809"/>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991809"/>
    <w:rPr>
      <w:color w:val="7F7F7F" w:themeColor="text1" w:themeTint="80"/>
      <w:sz w:val="16"/>
    </w:rPr>
  </w:style>
  <w:style w:type="character" w:customStyle="1" w:styleId="NocantarChar">
    <w:name w:val="No cantar Char"/>
    <w:basedOn w:val="Fuentedeprrafopredeter"/>
    <w:link w:val="Nocantar"/>
    <w:rsid w:val="00991809"/>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991809"/>
    <w:pPr>
      <w:numPr>
        <w:numId w:val="0"/>
      </w:numPr>
      <w:ind w:firstLine="142"/>
    </w:pPr>
  </w:style>
  <w:style w:type="character" w:customStyle="1" w:styleId="IntroduccinyconclusinChar">
    <w:name w:val="Introducción y conclusión Char"/>
    <w:basedOn w:val="Ttulo1Car"/>
    <w:link w:val="Introduccinyconclusin"/>
    <w:rsid w:val="00991809"/>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991809"/>
    <w:pPr>
      <w:numPr>
        <w:numId w:val="22"/>
      </w:numPr>
    </w:pPr>
  </w:style>
  <w:style w:type="paragraph" w:customStyle="1" w:styleId="Nivel1">
    <w:name w:val="Nivel 1"/>
    <w:basedOn w:val="Normal"/>
    <w:qFormat/>
    <w:rsid w:val="00991809"/>
    <w:pPr>
      <w:numPr>
        <w:numId w:val="16"/>
      </w:numPr>
      <w:spacing w:before="100" w:after="100"/>
      <w:ind w:left="623" w:hanging="198"/>
    </w:pPr>
  </w:style>
  <w:style w:type="paragraph" w:customStyle="1" w:styleId="Nivel3">
    <w:name w:val="Nivel 3"/>
    <w:basedOn w:val="Nivel2"/>
    <w:link w:val="Nivel3Car"/>
    <w:qFormat/>
    <w:rsid w:val="00991809"/>
    <w:pPr>
      <w:numPr>
        <w:ilvl w:val="2"/>
      </w:numPr>
      <w:spacing w:after="0"/>
      <w:ind w:left="1474" w:hanging="198"/>
    </w:pPr>
  </w:style>
  <w:style w:type="paragraph" w:customStyle="1" w:styleId="Letra">
    <w:name w:val="Letra"/>
    <w:basedOn w:val="Nivel1"/>
    <w:qFormat/>
    <w:rsid w:val="00991809"/>
    <w:pPr>
      <w:numPr>
        <w:numId w:val="24"/>
      </w:numPr>
      <w:spacing w:before="0" w:after="40"/>
      <w:ind w:left="936" w:hanging="227"/>
    </w:pPr>
  </w:style>
  <w:style w:type="paragraph" w:customStyle="1" w:styleId="Nmero">
    <w:name w:val="Número"/>
    <w:basedOn w:val="Normal"/>
    <w:qFormat/>
    <w:rsid w:val="00991809"/>
    <w:pPr>
      <w:numPr>
        <w:numId w:val="25"/>
      </w:numPr>
      <w:spacing w:after="40"/>
      <w:ind w:left="936" w:hanging="227"/>
    </w:pPr>
  </w:style>
  <w:style w:type="character" w:customStyle="1" w:styleId="BalloonTextChar">
    <w:name w:val="Balloon Text Char"/>
    <w:basedOn w:val="Fuentedeprrafopredeter"/>
    <w:uiPriority w:val="99"/>
    <w:semiHidden/>
    <w:rsid w:val="00991809"/>
    <w:rPr>
      <w:rFonts w:ascii="Segoe UI" w:hAnsi="Segoe UI" w:cs="Segoe UI"/>
      <w:sz w:val="18"/>
      <w:szCs w:val="18"/>
      <w:lang w:val="es-ES"/>
    </w:rPr>
  </w:style>
  <w:style w:type="paragraph" w:customStyle="1" w:styleId="Notaalopositor">
    <w:name w:val="Nota al opositor"/>
    <w:basedOn w:val="Normal"/>
    <w:link w:val="NotaalopositorChar"/>
    <w:qFormat/>
    <w:rsid w:val="00991809"/>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991809"/>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991809"/>
    <w:rPr>
      <w:rFonts w:ascii="Garamond" w:hAnsi="Garamond"/>
      <w:sz w:val="16"/>
      <w:szCs w:val="20"/>
      <w:lang w:val="es-ES"/>
    </w:rPr>
  </w:style>
  <w:style w:type="character" w:customStyle="1" w:styleId="Heading6Char">
    <w:name w:val="Heading 6 Char"/>
    <w:basedOn w:val="Fuentedeprrafopredeter"/>
    <w:uiPriority w:val="9"/>
    <w:semiHidden/>
    <w:rsid w:val="00991809"/>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991809"/>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991809"/>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991809"/>
    <w:rPr>
      <w:rFonts w:ascii="Garamond" w:eastAsiaTheme="minorEastAsia" w:hAnsi="Garamond"/>
      <w:smallCaps/>
      <w:color w:val="5A5A5A" w:themeColor="text1" w:themeTint="A5"/>
      <w:lang w:val="es-ES"/>
    </w:rPr>
  </w:style>
  <w:style w:type="paragraph" w:customStyle="1" w:styleId="Nivel1SM">
    <w:name w:val="Nivel 1 SM"/>
    <w:basedOn w:val="Nivel1"/>
    <w:qFormat/>
    <w:rsid w:val="00991809"/>
    <w:pPr>
      <w:ind w:left="0"/>
    </w:pPr>
  </w:style>
  <w:style w:type="paragraph" w:customStyle="1" w:styleId="Nivel2SM">
    <w:name w:val="Nivel 2 SM"/>
    <w:basedOn w:val="Nivel2"/>
    <w:qFormat/>
    <w:rsid w:val="00991809"/>
    <w:pPr>
      <w:ind w:left="567"/>
    </w:pPr>
  </w:style>
  <w:style w:type="paragraph" w:customStyle="1" w:styleId="Nivel3SM">
    <w:name w:val="Nivel 3 SM"/>
    <w:basedOn w:val="Nivel3"/>
    <w:qFormat/>
    <w:rsid w:val="00991809"/>
    <w:pPr>
      <w:ind w:left="963"/>
    </w:pPr>
  </w:style>
  <w:style w:type="paragraph" w:styleId="Encabezadodelista">
    <w:name w:val="toa heading"/>
    <w:basedOn w:val="Normal"/>
    <w:next w:val="Normal"/>
    <w:uiPriority w:val="99"/>
    <w:unhideWhenUsed/>
    <w:rsid w:val="00991809"/>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991809"/>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991809"/>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991809"/>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991809"/>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991809"/>
    <w:rPr>
      <w:color w:val="605E5C"/>
      <w:shd w:val="clear" w:color="auto" w:fill="E1DFDD"/>
    </w:rPr>
  </w:style>
  <w:style w:type="paragraph" w:styleId="TDC5">
    <w:name w:val="toc 5"/>
    <w:basedOn w:val="Normal"/>
    <w:next w:val="FinTDC"/>
    <w:autoRedefine/>
    <w:uiPriority w:val="39"/>
    <w:unhideWhenUsed/>
    <w:rsid w:val="00991809"/>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991809"/>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991809"/>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991809"/>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991809"/>
    <w:pPr>
      <w:spacing w:line="240" w:lineRule="auto"/>
      <w:ind w:left="567" w:hanging="567"/>
    </w:pPr>
  </w:style>
  <w:style w:type="paragraph" w:customStyle="1" w:styleId="Ttuloimagen">
    <w:name w:val="Título imagen"/>
    <w:basedOn w:val="PiedeImagen"/>
    <w:next w:val="Imagen"/>
    <w:link w:val="TtuloimagenCar"/>
    <w:qFormat/>
    <w:rsid w:val="00991809"/>
    <w:pPr>
      <w:keepNext/>
      <w:spacing w:after="0"/>
    </w:pPr>
    <w:rPr>
      <w:i w:val="0"/>
      <w:smallCaps/>
      <w:sz w:val="20"/>
    </w:rPr>
  </w:style>
  <w:style w:type="character" w:customStyle="1" w:styleId="TtuloimagenCar">
    <w:name w:val="Título imagen Car"/>
    <w:basedOn w:val="ImagenCar"/>
    <w:link w:val="Ttuloimagen"/>
    <w:rsid w:val="00991809"/>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991809"/>
    <w:pPr>
      <w:ind w:left="1100"/>
    </w:pPr>
  </w:style>
  <w:style w:type="paragraph" w:styleId="Sinespaciado">
    <w:name w:val="No Spacing"/>
    <w:link w:val="SinespaciadoCar"/>
    <w:uiPriority w:val="1"/>
    <w:qFormat/>
    <w:rsid w:val="00991809"/>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991809"/>
    <w:rPr>
      <w:rFonts w:asciiTheme="minorHAnsi" w:eastAsiaTheme="minorEastAsia" w:hAnsiTheme="minorHAnsi" w:cstheme="minorBidi"/>
      <w:sz w:val="22"/>
      <w:szCs w:val="22"/>
    </w:rPr>
  </w:style>
  <w:style w:type="paragraph" w:customStyle="1" w:styleId="Nmeroromano">
    <w:name w:val="Número romano"/>
    <w:basedOn w:val="Prrafodelista"/>
    <w:qFormat/>
    <w:rsid w:val="00991809"/>
    <w:pPr>
      <w:numPr>
        <w:numId w:val="43"/>
      </w:numPr>
      <w:spacing w:after="100"/>
      <w:ind w:left="567" w:hanging="113"/>
    </w:pPr>
  </w:style>
  <w:style w:type="paragraph" w:customStyle="1" w:styleId="Saltodettulos">
    <w:name w:val="Salto de títulos"/>
    <w:basedOn w:val="Normal"/>
    <w:rsid w:val="00991809"/>
    <w:pPr>
      <w:spacing w:after="0" w:line="240" w:lineRule="auto"/>
    </w:pPr>
    <w:rPr>
      <w:color w:val="FFFFFF"/>
      <w:sz w:val="2"/>
    </w:rPr>
  </w:style>
  <w:style w:type="paragraph" w:styleId="TDC7">
    <w:name w:val="toc 7"/>
    <w:basedOn w:val="Normal"/>
    <w:next w:val="FinTDC"/>
    <w:autoRedefine/>
    <w:uiPriority w:val="39"/>
    <w:unhideWhenUsed/>
    <w:rsid w:val="00991809"/>
    <w:pPr>
      <w:spacing w:after="0" w:line="20" w:lineRule="atLeast"/>
      <w:ind w:left="1418"/>
      <w:jc w:val="left"/>
    </w:pPr>
    <w:rPr>
      <w:i/>
      <w:color w:val="5F2987"/>
      <w:sz w:val="12"/>
    </w:rPr>
  </w:style>
  <w:style w:type="paragraph" w:customStyle="1" w:styleId="FinTDC">
    <w:name w:val="FinTDC"/>
    <w:basedOn w:val="Nivel1"/>
    <w:qFormat/>
    <w:rsid w:val="00991809"/>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991809"/>
    <w:pPr>
      <w:spacing w:after="0" w:line="240" w:lineRule="auto"/>
      <w:jc w:val="left"/>
    </w:pPr>
    <w:rPr>
      <w:sz w:val="15"/>
    </w:rPr>
  </w:style>
  <w:style w:type="paragraph" w:styleId="TDC9">
    <w:name w:val="toc 9"/>
    <w:basedOn w:val="TDC8"/>
    <w:next w:val="FinTDC"/>
    <w:autoRedefine/>
    <w:uiPriority w:val="39"/>
    <w:unhideWhenUsed/>
    <w:rsid w:val="00991809"/>
    <w:pPr>
      <w:ind w:left="1760"/>
    </w:pPr>
  </w:style>
  <w:style w:type="paragraph" w:customStyle="1" w:styleId="Apartado0">
    <w:name w:val="Apartado 0"/>
    <w:basedOn w:val="Ttulo1"/>
    <w:next w:val="Normal"/>
    <w:link w:val="Apartado0Car"/>
    <w:qFormat/>
    <w:rsid w:val="00991809"/>
    <w:pPr>
      <w:numPr>
        <w:numId w:val="42"/>
      </w:numPr>
      <w:ind w:left="357" w:hanging="357"/>
    </w:pPr>
  </w:style>
  <w:style w:type="character" w:customStyle="1" w:styleId="Apartado0Car">
    <w:name w:val="Apartado 0 Car"/>
    <w:basedOn w:val="Ttulo1Car"/>
    <w:link w:val="Apartado0"/>
    <w:rsid w:val="00991809"/>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991809"/>
    <w:pPr>
      <w:numPr>
        <w:ilvl w:val="3"/>
      </w:numPr>
      <w:ind w:left="1899" w:hanging="198"/>
    </w:pPr>
  </w:style>
  <w:style w:type="paragraph" w:customStyle="1" w:styleId="Nivel5">
    <w:name w:val="Nivel 5"/>
    <w:basedOn w:val="Nivel4"/>
    <w:link w:val="Nivel5Car"/>
    <w:qFormat/>
    <w:rsid w:val="00991809"/>
    <w:pPr>
      <w:numPr>
        <w:ilvl w:val="4"/>
      </w:numPr>
      <w:ind w:left="2155" w:hanging="170"/>
    </w:pPr>
  </w:style>
  <w:style w:type="character" w:customStyle="1" w:styleId="Nivel2Car">
    <w:name w:val="Nivel 2 Car"/>
    <w:basedOn w:val="Fuentedeprrafopredeter"/>
    <w:link w:val="Nivel2"/>
    <w:rsid w:val="00991809"/>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991809"/>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991809"/>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991809"/>
    <w:pPr>
      <w:numPr>
        <w:ilvl w:val="5"/>
      </w:numPr>
      <w:ind w:left="2438" w:hanging="227"/>
    </w:pPr>
  </w:style>
  <w:style w:type="character" w:customStyle="1" w:styleId="Nivel5Car">
    <w:name w:val="Nivel 5 Car"/>
    <w:basedOn w:val="Nivel4Car"/>
    <w:link w:val="Nivel5"/>
    <w:rsid w:val="00991809"/>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991809"/>
    <w:pPr>
      <w:numPr>
        <w:ilvl w:val="6"/>
      </w:numPr>
      <w:ind w:left="2722" w:hanging="170"/>
    </w:pPr>
  </w:style>
  <w:style w:type="character" w:customStyle="1" w:styleId="Nivel6Car">
    <w:name w:val="Nivel 6 Car"/>
    <w:basedOn w:val="Nivel5Car"/>
    <w:link w:val="Nivel6"/>
    <w:rsid w:val="00991809"/>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991809"/>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991809"/>
    <w:pPr>
      <w:spacing w:after="200" w:line="240" w:lineRule="auto"/>
    </w:pPr>
    <w:rPr>
      <w:i/>
      <w:iCs/>
      <w:color w:val="44546A" w:themeColor="text2"/>
      <w:sz w:val="18"/>
      <w:szCs w:val="18"/>
    </w:rPr>
  </w:style>
  <w:style w:type="paragraph" w:customStyle="1" w:styleId="Ttulo10">
    <w:name w:val="Título 10"/>
    <w:basedOn w:val="Ttulo9"/>
    <w:link w:val="Ttulo10Car"/>
    <w:qFormat/>
    <w:rsid w:val="00991809"/>
    <w:pPr>
      <w:ind w:left="1276"/>
    </w:pPr>
    <w:rPr>
      <w:w w:val="97"/>
    </w:rPr>
  </w:style>
  <w:style w:type="character" w:customStyle="1" w:styleId="Ttulo10Car">
    <w:name w:val="Título 10 Car"/>
    <w:basedOn w:val="Ttulo9Car"/>
    <w:link w:val="Ttulo10"/>
    <w:rsid w:val="00991809"/>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991809"/>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991809"/>
    <w:pPr>
      <w:numPr>
        <w:ilvl w:val="7"/>
      </w:numPr>
      <w:ind w:left="3005" w:hanging="170"/>
    </w:pPr>
  </w:style>
  <w:style w:type="character" w:customStyle="1" w:styleId="Nivel8Car">
    <w:name w:val="Nivel 8 Car"/>
    <w:basedOn w:val="Nivel7Car"/>
    <w:link w:val="Nivel8"/>
    <w:rsid w:val="00991809"/>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991809"/>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991809"/>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991809"/>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991809"/>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991809"/>
    <w:rPr>
      <w:vertAlign w:val="superscript"/>
    </w:rPr>
  </w:style>
  <w:style w:type="character" w:customStyle="1" w:styleId="PiedepginaCar">
    <w:name w:val="Pie de página Car"/>
    <w:link w:val="Piedepgina"/>
    <w:uiPriority w:val="99"/>
    <w:rsid w:val="00B91849"/>
    <w:rPr>
      <w:rFonts w:ascii="Palatino Linotype" w:eastAsia="Calibri" w:hAnsi="Palatino Linotype" w:cs="Arial"/>
      <w:sz w:val="22"/>
      <w:szCs w:val="22"/>
      <w:lang w:eastAsia="en-US"/>
    </w:rPr>
  </w:style>
  <w:style w:type="paragraph" w:customStyle="1" w:styleId="Footnote">
    <w:name w:val="Footnote"/>
    <w:basedOn w:val="Normal"/>
    <w:rsid w:val="00497D1F"/>
    <w:pPr>
      <w:widowControl w:val="0"/>
      <w:suppressLineNumbers/>
      <w:suppressAutoHyphens/>
      <w:autoSpaceDN w:val="0"/>
      <w:spacing w:after="0" w:line="240" w:lineRule="auto"/>
      <w:ind w:left="283" w:hanging="283"/>
      <w:jc w:val="left"/>
      <w:textAlignment w:val="baseline"/>
    </w:pPr>
    <w:rPr>
      <w:rFonts w:ascii="Times New Roman" w:eastAsia="SimSun" w:hAnsi="Times New Roman" w:cs="Mangal"/>
      <w:kern w:val="3"/>
      <w:sz w:val="20"/>
      <w:szCs w:val="20"/>
      <w:lang w:eastAsia="zh-CN" w:bidi="hi-IN"/>
    </w:rPr>
  </w:style>
  <w:style w:type="paragraph" w:customStyle="1" w:styleId="Standard">
    <w:name w:val="Standard"/>
    <w:rsid w:val="006F7F65"/>
    <w:pPr>
      <w:widowControl w:val="0"/>
      <w:suppressAutoHyphens/>
      <w:autoSpaceDN w:val="0"/>
      <w:textAlignment w:val="baseline"/>
    </w:pPr>
    <w:rPr>
      <w:rFonts w:eastAsia="SimSun" w:cs="Mangal"/>
      <w:kern w:val="3"/>
      <w:sz w:val="24"/>
      <w:szCs w:val="24"/>
      <w:lang w:eastAsia="zh-CN" w:bidi="hi-IN"/>
    </w:rPr>
  </w:style>
  <w:style w:type="character" w:styleId="Hipervnculovisitado">
    <w:name w:val="FollowedHyperlink"/>
    <w:basedOn w:val="Fuentedeprrafopredeter"/>
    <w:rsid w:val="006B78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22066">
      <w:bodyDiv w:val="1"/>
      <w:marLeft w:val="0"/>
      <w:marRight w:val="0"/>
      <w:marTop w:val="0"/>
      <w:marBottom w:val="0"/>
      <w:divBdr>
        <w:top w:val="none" w:sz="0" w:space="0" w:color="auto"/>
        <w:left w:val="none" w:sz="0" w:space="0" w:color="auto"/>
        <w:bottom w:val="none" w:sz="0" w:space="0" w:color="auto"/>
        <w:right w:val="none" w:sz="0" w:space="0" w:color="auto"/>
      </w:divBdr>
    </w:div>
    <w:div w:id="127406376">
      <w:bodyDiv w:val="1"/>
      <w:marLeft w:val="0"/>
      <w:marRight w:val="0"/>
      <w:marTop w:val="0"/>
      <w:marBottom w:val="0"/>
      <w:divBdr>
        <w:top w:val="none" w:sz="0" w:space="0" w:color="auto"/>
        <w:left w:val="none" w:sz="0" w:space="0" w:color="auto"/>
        <w:bottom w:val="none" w:sz="0" w:space="0" w:color="auto"/>
        <w:right w:val="none" w:sz="0" w:space="0" w:color="auto"/>
      </w:divBdr>
    </w:div>
    <w:div w:id="162404061">
      <w:bodyDiv w:val="1"/>
      <w:marLeft w:val="0"/>
      <w:marRight w:val="0"/>
      <w:marTop w:val="0"/>
      <w:marBottom w:val="0"/>
      <w:divBdr>
        <w:top w:val="none" w:sz="0" w:space="0" w:color="auto"/>
        <w:left w:val="none" w:sz="0" w:space="0" w:color="auto"/>
        <w:bottom w:val="none" w:sz="0" w:space="0" w:color="auto"/>
        <w:right w:val="none" w:sz="0" w:space="0" w:color="auto"/>
      </w:divBdr>
    </w:div>
    <w:div w:id="163864983">
      <w:bodyDiv w:val="1"/>
      <w:marLeft w:val="0"/>
      <w:marRight w:val="0"/>
      <w:marTop w:val="0"/>
      <w:marBottom w:val="0"/>
      <w:divBdr>
        <w:top w:val="none" w:sz="0" w:space="0" w:color="auto"/>
        <w:left w:val="none" w:sz="0" w:space="0" w:color="auto"/>
        <w:bottom w:val="none" w:sz="0" w:space="0" w:color="auto"/>
        <w:right w:val="none" w:sz="0" w:space="0" w:color="auto"/>
      </w:divBdr>
    </w:div>
    <w:div w:id="186991483">
      <w:bodyDiv w:val="1"/>
      <w:marLeft w:val="0"/>
      <w:marRight w:val="0"/>
      <w:marTop w:val="0"/>
      <w:marBottom w:val="0"/>
      <w:divBdr>
        <w:top w:val="none" w:sz="0" w:space="0" w:color="auto"/>
        <w:left w:val="none" w:sz="0" w:space="0" w:color="auto"/>
        <w:bottom w:val="none" w:sz="0" w:space="0" w:color="auto"/>
        <w:right w:val="none" w:sz="0" w:space="0" w:color="auto"/>
      </w:divBdr>
    </w:div>
    <w:div w:id="330331696">
      <w:bodyDiv w:val="1"/>
      <w:marLeft w:val="0"/>
      <w:marRight w:val="0"/>
      <w:marTop w:val="0"/>
      <w:marBottom w:val="0"/>
      <w:divBdr>
        <w:top w:val="none" w:sz="0" w:space="0" w:color="auto"/>
        <w:left w:val="none" w:sz="0" w:space="0" w:color="auto"/>
        <w:bottom w:val="none" w:sz="0" w:space="0" w:color="auto"/>
        <w:right w:val="none" w:sz="0" w:space="0" w:color="auto"/>
      </w:divBdr>
    </w:div>
    <w:div w:id="370880986">
      <w:bodyDiv w:val="1"/>
      <w:marLeft w:val="0"/>
      <w:marRight w:val="0"/>
      <w:marTop w:val="0"/>
      <w:marBottom w:val="0"/>
      <w:divBdr>
        <w:top w:val="none" w:sz="0" w:space="0" w:color="auto"/>
        <w:left w:val="none" w:sz="0" w:space="0" w:color="auto"/>
        <w:bottom w:val="none" w:sz="0" w:space="0" w:color="auto"/>
        <w:right w:val="none" w:sz="0" w:space="0" w:color="auto"/>
      </w:divBdr>
    </w:div>
    <w:div w:id="406000037">
      <w:bodyDiv w:val="1"/>
      <w:marLeft w:val="0"/>
      <w:marRight w:val="0"/>
      <w:marTop w:val="0"/>
      <w:marBottom w:val="0"/>
      <w:divBdr>
        <w:top w:val="none" w:sz="0" w:space="0" w:color="auto"/>
        <w:left w:val="none" w:sz="0" w:space="0" w:color="auto"/>
        <w:bottom w:val="none" w:sz="0" w:space="0" w:color="auto"/>
        <w:right w:val="none" w:sz="0" w:space="0" w:color="auto"/>
      </w:divBdr>
    </w:div>
    <w:div w:id="450976742">
      <w:bodyDiv w:val="1"/>
      <w:marLeft w:val="0"/>
      <w:marRight w:val="0"/>
      <w:marTop w:val="0"/>
      <w:marBottom w:val="0"/>
      <w:divBdr>
        <w:top w:val="none" w:sz="0" w:space="0" w:color="auto"/>
        <w:left w:val="none" w:sz="0" w:space="0" w:color="auto"/>
        <w:bottom w:val="none" w:sz="0" w:space="0" w:color="auto"/>
        <w:right w:val="none" w:sz="0" w:space="0" w:color="auto"/>
      </w:divBdr>
    </w:div>
    <w:div w:id="566692777">
      <w:bodyDiv w:val="1"/>
      <w:marLeft w:val="0"/>
      <w:marRight w:val="0"/>
      <w:marTop w:val="0"/>
      <w:marBottom w:val="0"/>
      <w:divBdr>
        <w:top w:val="none" w:sz="0" w:space="0" w:color="auto"/>
        <w:left w:val="none" w:sz="0" w:space="0" w:color="auto"/>
        <w:bottom w:val="none" w:sz="0" w:space="0" w:color="auto"/>
        <w:right w:val="none" w:sz="0" w:space="0" w:color="auto"/>
      </w:divBdr>
    </w:div>
    <w:div w:id="567377584">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68888608">
      <w:bodyDiv w:val="1"/>
      <w:marLeft w:val="0"/>
      <w:marRight w:val="0"/>
      <w:marTop w:val="0"/>
      <w:marBottom w:val="0"/>
      <w:divBdr>
        <w:top w:val="none" w:sz="0" w:space="0" w:color="auto"/>
        <w:left w:val="none" w:sz="0" w:space="0" w:color="auto"/>
        <w:bottom w:val="none" w:sz="0" w:space="0" w:color="auto"/>
        <w:right w:val="none" w:sz="0" w:space="0" w:color="auto"/>
      </w:divBdr>
    </w:div>
    <w:div w:id="800072086">
      <w:bodyDiv w:val="1"/>
      <w:marLeft w:val="0"/>
      <w:marRight w:val="0"/>
      <w:marTop w:val="0"/>
      <w:marBottom w:val="0"/>
      <w:divBdr>
        <w:top w:val="none" w:sz="0" w:space="0" w:color="auto"/>
        <w:left w:val="none" w:sz="0" w:space="0" w:color="auto"/>
        <w:bottom w:val="none" w:sz="0" w:space="0" w:color="auto"/>
        <w:right w:val="none" w:sz="0" w:space="0" w:color="auto"/>
      </w:divBdr>
    </w:div>
    <w:div w:id="809635634">
      <w:bodyDiv w:val="1"/>
      <w:marLeft w:val="0"/>
      <w:marRight w:val="0"/>
      <w:marTop w:val="0"/>
      <w:marBottom w:val="0"/>
      <w:divBdr>
        <w:top w:val="none" w:sz="0" w:space="0" w:color="auto"/>
        <w:left w:val="none" w:sz="0" w:space="0" w:color="auto"/>
        <w:bottom w:val="none" w:sz="0" w:space="0" w:color="auto"/>
        <w:right w:val="none" w:sz="0" w:space="0" w:color="auto"/>
      </w:divBdr>
    </w:div>
    <w:div w:id="839854795">
      <w:bodyDiv w:val="1"/>
      <w:marLeft w:val="0"/>
      <w:marRight w:val="0"/>
      <w:marTop w:val="0"/>
      <w:marBottom w:val="0"/>
      <w:divBdr>
        <w:top w:val="none" w:sz="0" w:space="0" w:color="auto"/>
        <w:left w:val="none" w:sz="0" w:space="0" w:color="auto"/>
        <w:bottom w:val="none" w:sz="0" w:space="0" w:color="auto"/>
        <w:right w:val="none" w:sz="0" w:space="0" w:color="auto"/>
      </w:divBdr>
    </w:div>
    <w:div w:id="846559268">
      <w:bodyDiv w:val="1"/>
      <w:marLeft w:val="0"/>
      <w:marRight w:val="0"/>
      <w:marTop w:val="0"/>
      <w:marBottom w:val="0"/>
      <w:divBdr>
        <w:top w:val="none" w:sz="0" w:space="0" w:color="auto"/>
        <w:left w:val="none" w:sz="0" w:space="0" w:color="auto"/>
        <w:bottom w:val="none" w:sz="0" w:space="0" w:color="auto"/>
        <w:right w:val="none" w:sz="0" w:space="0" w:color="auto"/>
      </w:divBdr>
    </w:div>
    <w:div w:id="909774613">
      <w:bodyDiv w:val="1"/>
      <w:marLeft w:val="0"/>
      <w:marRight w:val="0"/>
      <w:marTop w:val="0"/>
      <w:marBottom w:val="0"/>
      <w:divBdr>
        <w:top w:val="none" w:sz="0" w:space="0" w:color="auto"/>
        <w:left w:val="none" w:sz="0" w:space="0" w:color="auto"/>
        <w:bottom w:val="none" w:sz="0" w:space="0" w:color="auto"/>
        <w:right w:val="none" w:sz="0" w:space="0" w:color="auto"/>
      </w:divBdr>
    </w:div>
    <w:div w:id="1023895508">
      <w:bodyDiv w:val="1"/>
      <w:marLeft w:val="0"/>
      <w:marRight w:val="0"/>
      <w:marTop w:val="0"/>
      <w:marBottom w:val="0"/>
      <w:divBdr>
        <w:top w:val="none" w:sz="0" w:space="0" w:color="auto"/>
        <w:left w:val="none" w:sz="0" w:space="0" w:color="auto"/>
        <w:bottom w:val="none" w:sz="0" w:space="0" w:color="auto"/>
        <w:right w:val="none" w:sz="0" w:space="0" w:color="auto"/>
      </w:divBdr>
    </w:div>
    <w:div w:id="1035891136">
      <w:bodyDiv w:val="1"/>
      <w:marLeft w:val="0"/>
      <w:marRight w:val="0"/>
      <w:marTop w:val="0"/>
      <w:marBottom w:val="0"/>
      <w:divBdr>
        <w:top w:val="none" w:sz="0" w:space="0" w:color="auto"/>
        <w:left w:val="none" w:sz="0" w:space="0" w:color="auto"/>
        <w:bottom w:val="none" w:sz="0" w:space="0" w:color="auto"/>
        <w:right w:val="none" w:sz="0" w:space="0" w:color="auto"/>
      </w:divBdr>
    </w:div>
    <w:div w:id="1038434561">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306101">
      <w:bodyDiv w:val="1"/>
      <w:marLeft w:val="0"/>
      <w:marRight w:val="0"/>
      <w:marTop w:val="0"/>
      <w:marBottom w:val="0"/>
      <w:divBdr>
        <w:top w:val="none" w:sz="0" w:space="0" w:color="auto"/>
        <w:left w:val="none" w:sz="0" w:space="0" w:color="auto"/>
        <w:bottom w:val="none" w:sz="0" w:space="0" w:color="auto"/>
        <w:right w:val="none" w:sz="0" w:space="0" w:color="auto"/>
      </w:divBdr>
      <w:divsChild>
        <w:div w:id="2011828944">
          <w:marLeft w:val="480"/>
          <w:marRight w:val="0"/>
          <w:marTop w:val="0"/>
          <w:marBottom w:val="0"/>
          <w:divBdr>
            <w:top w:val="none" w:sz="0" w:space="0" w:color="auto"/>
            <w:left w:val="none" w:sz="0" w:space="0" w:color="auto"/>
            <w:bottom w:val="none" w:sz="0" w:space="0" w:color="auto"/>
            <w:right w:val="none" w:sz="0" w:space="0" w:color="auto"/>
          </w:divBdr>
          <w:divsChild>
            <w:div w:id="200692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7681">
      <w:bodyDiv w:val="1"/>
      <w:marLeft w:val="0"/>
      <w:marRight w:val="0"/>
      <w:marTop w:val="0"/>
      <w:marBottom w:val="0"/>
      <w:divBdr>
        <w:top w:val="none" w:sz="0" w:space="0" w:color="auto"/>
        <w:left w:val="none" w:sz="0" w:space="0" w:color="auto"/>
        <w:bottom w:val="none" w:sz="0" w:space="0" w:color="auto"/>
        <w:right w:val="none" w:sz="0" w:space="0" w:color="auto"/>
      </w:divBdr>
    </w:div>
    <w:div w:id="1445660331">
      <w:bodyDiv w:val="1"/>
      <w:marLeft w:val="0"/>
      <w:marRight w:val="0"/>
      <w:marTop w:val="0"/>
      <w:marBottom w:val="0"/>
      <w:divBdr>
        <w:top w:val="none" w:sz="0" w:space="0" w:color="auto"/>
        <w:left w:val="none" w:sz="0" w:space="0" w:color="auto"/>
        <w:bottom w:val="none" w:sz="0" w:space="0" w:color="auto"/>
        <w:right w:val="none" w:sz="0" w:space="0" w:color="auto"/>
      </w:divBdr>
    </w:div>
    <w:div w:id="1446849618">
      <w:bodyDiv w:val="1"/>
      <w:marLeft w:val="0"/>
      <w:marRight w:val="0"/>
      <w:marTop w:val="0"/>
      <w:marBottom w:val="0"/>
      <w:divBdr>
        <w:top w:val="none" w:sz="0" w:space="0" w:color="auto"/>
        <w:left w:val="none" w:sz="0" w:space="0" w:color="auto"/>
        <w:bottom w:val="none" w:sz="0" w:space="0" w:color="auto"/>
        <w:right w:val="none" w:sz="0" w:space="0" w:color="auto"/>
      </w:divBdr>
    </w:div>
    <w:div w:id="1477599621">
      <w:bodyDiv w:val="1"/>
      <w:marLeft w:val="0"/>
      <w:marRight w:val="0"/>
      <w:marTop w:val="0"/>
      <w:marBottom w:val="0"/>
      <w:divBdr>
        <w:top w:val="none" w:sz="0" w:space="0" w:color="auto"/>
        <w:left w:val="none" w:sz="0" w:space="0" w:color="auto"/>
        <w:bottom w:val="none" w:sz="0" w:space="0" w:color="auto"/>
        <w:right w:val="none" w:sz="0" w:space="0" w:color="auto"/>
      </w:divBdr>
    </w:div>
    <w:div w:id="1488790592">
      <w:bodyDiv w:val="1"/>
      <w:marLeft w:val="0"/>
      <w:marRight w:val="0"/>
      <w:marTop w:val="0"/>
      <w:marBottom w:val="0"/>
      <w:divBdr>
        <w:top w:val="none" w:sz="0" w:space="0" w:color="auto"/>
        <w:left w:val="none" w:sz="0" w:space="0" w:color="auto"/>
        <w:bottom w:val="none" w:sz="0" w:space="0" w:color="auto"/>
        <w:right w:val="none" w:sz="0" w:space="0" w:color="auto"/>
      </w:divBdr>
    </w:div>
    <w:div w:id="1552224698">
      <w:bodyDiv w:val="1"/>
      <w:marLeft w:val="0"/>
      <w:marRight w:val="0"/>
      <w:marTop w:val="0"/>
      <w:marBottom w:val="0"/>
      <w:divBdr>
        <w:top w:val="none" w:sz="0" w:space="0" w:color="auto"/>
        <w:left w:val="none" w:sz="0" w:space="0" w:color="auto"/>
        <w:bottom w:val="none" w:sz="0" w:space="0" w:color="auto"/>
        <w:right w:val="none" w:sz="0" w:space="0" w:color="auto"/>
      </w:divBdr>
    </w:div>
    <w:div w:id="1566837545">
      <w:bodyDiv w:val="1"/>
      <w:marLeft w:val="0"/>
      <w:marRight w:val="0"/>
      <w:marTop w:val="0"/>
      <w:marBottom w:val="0"/>
      <w:divBdr>
        <w:top w:val="none" w:sz="0" w:space="0" w:color="auto"/>
        <w:left w:val="none" w:sz="0" w:space="0" w:color="auto"/>
        <w:bottom w:val="none" w:sz="0" w:space="0" w:color="auto"/>
        <w:right w:val="none" w:sz="0" w:space="0" w:color="auto"/>
      </w:divBdr>
    </w:div>
    <w:div w:id="1669407432">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773030">
      <w:bodyDiv w:val="1"/>
      <w:marLeft w:val="0"/>
      <w:marRight w:val="0"/>
      <w:marTop w:val="0"/>
      <w:marBottom w:val="0"/>
      <w:divBdr>
        <w:top w:val="none" w:sz="0" w:space="0" w:color="auto"/>
        <w:left w:val="none" w:sz="0" w:space="0" w:color="auto"/>
        <w:bottom w:val="none" w:sz="0" w:space="0" w:color="auto"/>
        <w:right w:val="none" w:sz="0" w:space="0" w:color="auto"/>
      </w:divBdr>
    </w:div>
    <w:div w:id="1892157320">
      <w:bodyDiv w:val="1"/>
      <w:marLeft w:val="0"/>
      <w:marRight w:val="0"/>
      <w:marTop w:val="0"/>
      <w:marBottom w:val="0"/>
      <w:divBdr>
        <w:top w:val="none" w:sz="0" w:space="0" w:color="auto"/>
        <w:left w:val="none" w:sz="0" w:space="0" w:color="auto"/>
        <w:bottom w:val="none" w:sz="0" w:space="0" w:color="auto"/>
        <w:right w:val="none" w:sz="0" w:space="0" w:color="auto"/>
      </w:divBdr>
    </w:div>
    <w:div w:id="1904026248">
      <w:bodyDiv w:val="1"/>
      <w:marLeft w:val="0"/>
      <w:marRight w:val="0"/>
      <w:marTop w:val="0"/>
      <w:marBottom w:val="0"/>
      <w:divBdr>
        <w:top w:val="none" w:sz="0" w:space="0" w:color="auto"/>
        <w:left w:val="none" w:sz="0" w:space="0" w:color="auto"/>
        <w:bottom w:val="none" w:sz="0" w:space="0" w:color="auto"/>
        <w:right w:val="none" w:sz="0" w:space="0" w:color="auto"/>
      </w:divBdr>
    </w:div>
    <w:div w:id="19073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pg.pap.hacienda.gob.es/sitios/sepg/es-ES/Presupuestos/PGE/ProyectoPGE2023/Documents/LIBROSALMON2023.pdf"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doi.org/10.5477/cis/reis.172.101" TargetMode="External"/><Relationship Id="rId1" Type="http://schemas.openxmlformats.org/officeDocument/2006/relationships/hyperlink" Target="https://www.tcu.es/es/la-institucion/regimen-juridico-y-economico/regimen-juridi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9B40C2AE5054ACCB37A57585144BFBE"/>
        <w:category>
          <w:name w:val="General"/>
          <w:gallery w:val="placeholder"/>
        </w:category>
        <w:types>
          <w:type w:val="bbPlcHdr"/>
        </w:types>
        <w:behaviors>
          <w:behavior w:val="content"/>
        </w:behaviors>
        <w:guid w:val="{59E45694-BB94-401A-9740-0C6289AAEB5C}"/>
      </w:docPartPr>
      <w:docPartBody>
        <w:p w:rsidR="003E3D7F" w:rsidRDefault="00AF7B65" w:rsidP="00AF7B65">
          <w:pPr>
            <w:pStyle w:val="69B40C2AE5054ACCB37A57585144BFBE"/>
          </w:pPr>
          <w:r w:rsidRPr="00722470">
            <w:rPr>
              <w:rStyle w:val="Textodelmarcadordeposicin"/>
            </w:rPr>
            <w:t>[Título]</w:t>
          </w:r>
        </w:p>
      </w:docPartBody>
    </w:docPart>
    <w:docPart>
      <w:docPartPr>
        <w:name w:val="990D943B480D421287AC27DF40BFD704"/>
        <w:category>
          <w:name w:val="General"/>
          <w:gallery w:val="placeholder"/>
        </w:category>
        <w:types>
          <w:type w:val="bbPlcHdr"/>
        </w:types>
        <w:behaviors>
          <w:behavior w:val="content"/>
        </w:behaviors>
        <w:guid w:val="{9DB0B672-D18B-4ABB-9CC9-DC3F1CFD7E61}"/>
      </w:docPartPr>
      <w:docPartBody>
        <w:p w:rsidR="003E3D7F" w:rsidRDefault="00AF7B65" w:rsidP="00AF7B65">
          <w:pPr>
            <w:pStyle w:val="990D943B480D421287AC27DF40BFD704"/>
          </w:pPr>
          <w:r w:rsidRPr="001B5103">
            <w:rPr>
              <w:rStyle w:val="Textodelmarcadordeposicin"/>
            </w:rPr>
            <w:t>[Title]</w:t>
          </w:r>
        </w:p>
      </w:docPartBody>
    </w:docPart>
    <w:docPart>
      <w:docPartPr>
        <w:name w:val="EE4CCB5A0FB24240AE1E94008C61FBD1"/>
        <w:category>
          <w:name w:val="General"/>
          <w:gallery w:val="placeholder"/>
        </w:category>
        <w:types>
          <w:type w:val="bbPlcHdr"/>
        </w:types>
        <w:behaviors>
          <w:behavior w:val="content"/>
        </w:behaviors>
        <w:guid w:val="{F99AAE12-0E66-4A2D-A19B-895C9238A274}"/>
      </w:docPartPr>
      <w:docPartBody>
        <w:p w:rsidR="003E3D7F" w:rsidRDefault="00AF7B65" w:rsidP="00AF7B65">
          <w:pPr>
            <w:pStyle w:val="EE4CCB5A0FB24240AE1E94008C61FBD1"/>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B65"/>
    <w:rsid w:val="001C1952"/>
    <w:rsid w:val="00315ABA"/>
    <w:rsid w:val="003531EE"/>
    <w:rsid w:val="00361B17"/>
    <w:rsid w:val="003E3103"/>
    <w:rsid w:val="003E3D7F"/>
    <w:rsid w:val="004225E0"/>
    <w:rsid w:val="006A1107"/>
    <w:rsid w:val="00890D4B"/>
    <w:rsid w:val="008A075E"/>
    <w:rsid w:val="008E39D9"/>
    <w:rsid w:val="00963993"/>
    <w:rsid w:val="009A6C0D"/>
    <w:rsid w:val="00A03632"/>
    <w:rsid w:val="00A079C0"/>
    <w:rsid w:val="00A512A3"/>
    <w:rsid w:val="00A62BB7"/>
    <w:rsid w:val="00AF7B65"/>
    <w:rsid w:val="00BB7C42"/>
    <w:rsid w:val="00CE211E"/>
    <w:rsid w:val="00DC547C"/>
    <w:rsid w:val="00E43A34"/>
    <w:rsid w:val="00FA3899"/>
    <w:rsid w:val="00FF4E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079C0"/>
    <w:rPr>
      <w:color w:val="808080"/>
    </w:rPr>
  </w:style>
  <w:style w:type="paragraph" w:customStyle="1" w:styleId="69B40C2AE5054ACCB37A57585144BFBE">
    <w:name w:val="69B40C2AE5054ACCB37A57585144BFBE"/>
    <w:rsid w:val="00AF7B65"/>
  </w:style>
  <w:style w:type="paragraph" w:customStyle="1" w:styleId="990D943B480D421287AC27DF40BFD704">
    <w:name w:val="990D943B480D421287AC27DF40BFD704"/>
    <w:rsid w:val="00AF7B65"/>
  </w:style>
  <w:style w:type="paragraph" w:customStyle="1" w:styleId="EE4CCB5A0FB24240AE1E94008C61FBD1">
    <w:name w:val="EE4CCB5A0FB24240AE1E94008C61FBD1"/>
    <w:rsid w:val="00AF7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2B660-93C0-4FC9-A188-0E5A66807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603</TotalTime>
  <Pages>24</Pages>
  <Words>9306</Words>
  <Characters>51185</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4.B.3</vt:lpstr>
    </vt:vector>
  </TitlesOfParts>
  <Company/>
  <LinksUpToDate>false</LinksUpToDate>
  <CharactersWithSpaces>60371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4.B.3</dc:title>
  <dc:subject>Conceptos y características del presupuesto. Fases del proceso presupuestario. Principios clásicos del presupuesto y sus modificaciones. Las reformas presupuestarias más destacadas. Especial referencia al presupuesto de base cero.</dc:subject>
  <dc:creator>Víctor Gutiérrez Marcos</dc:creator>
  <cp:keywords/>
  <cp:lastModifiedBy>Víctor Gutiérrez Marcos</cp:lastModifiedBy>
  <dcterms:created xsi:type="dcterms:W3CDTF">2023-09-18T19:08:00Z</dcterms:created>
  <dcterms:modified xsi:type="dcterms:W3CDTF">2023-11-09T17:12:00Z</dcterms:modified>
</cp:coreProperties>
</file>