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EC586" w14:textId="6A26C9B8" w:rsidR="000040EA" w:rsidRDefault="00000000" w:rsidP="006B58CD">
      <w:pPr>
        <w:pStyle w:val="Ttulo"/>
        <w:rPr>
          <w:spacing w:val="-6"/>
        </w:rPr>
      </w:pPr>
      <w:sdt>
        <w:sdtPr>
          <w:rPr>
            <w:i/>
            <w:u w:val="single"/>
          </w:rPr>
          <w:alias w:val="Title"/>
          <w:tag w:val=""/>
          <w:id w:val="-780801520"/>
          <w:placeholder>
            <w:docPart w:val="125EA7EFCCA64ECF85753CE58764833D"/>
          </w:placeholder>
          <w:dataBinding w:prefixMappings="xmlns:ns0='http://purl.org/dc/elements/1.1/' xmlns:ns1='http://schemas.openxmlformats.org/package/2006/metadata/core-properties' " w:xpath="/ns1:coreProperties[1]/ns0:title[1]" w:storeItemID="{6C3C8BC8-F283-45AE-878A-BAB7291924A1}"/>
          <w:text/>
        </w:sdtPr>
        <w:sdtContent>
          <w:r w:rsidR="006B58CD" w:rsidRPr="006B58CD">
            <w:rPr>
              <w:i/>
              <w:u w:val="single"/>
            </w:rPr>
            <w:t>4.B.1</w:t>
          </w:r>
        </w:sdtContent>
      </w:sdt>
      <w:r w:rsidR="006B58CD">
        <w:t xml:space="preserve"> :</w:t>
      </w:r>
      <w:r w:rsidR="006B58CD" w:rsidRPr="004C0C34">
        <w:t xml:space="preserve"> </w:t>
      </w:r>
      <w:sdt>
        <w:sdtPr>
          <w:rPr>
            <w:spacing w:val="-6"/>
          </w:rPr>
          <w:alias w:val="Subject"/>
          <w:tag w:val=""/>
          <w:id w:val="-1903059896"/>
          <w:placeholder>
            <w:docPart w:val="C1D2BD6994254CF3A776C557BBB755C7"/>
          </w:placeholder>
          <w:dataBinding w:prefixMappings="xmlns:ns0='http://purl.org/dc/elements/1.1/' xmlns:ns1='http://schemas.openxmlformats.org/package/2006/metadata/core-properties' " w:xpath="/ns1:coreProperties[1]/ns0:subject[1]" w:storeItemID="{6C3C8BC8-F283-45AE-878A-BAB7291924A1}"/>
          <w:text/>
        </w:sdtPr>
        <w:sdtContent>
          <w:r w:rsidR="006B58CD">
            <w:rPr>
              <w:spacing w:val="-6"/>
            </w:rPr>
            <w:t>El sector público: delimitación, operaciones y cuentas principales. Comparaciones internacionales.</w:t>
          </w:r>
        </w:sdtContent>
      </w:sdt>
    </w:p>
    <w:p w14:paraId="762835C0" w14:textId="739EFD63" w:rsidR="00A03F68" w:rsidRPr="00A03F68" w:rsidRDefault="00A03F68" w:rsidP="00A03F68">
      <w:pPr>
        <w:pStyle w:val="Notaalopositor"/>
      </w:pPr>
      <w:r>
        <w:t>Aquí faltaría por coordinar el tema de Juan Luis Cordero</w:t>
      </w:r>
      <w:r w:rsidR="0079372F">
        <w:t xml:space="preserve"> (sí que estaría por lo menos hasta </w:t>
      </w:r>
      <w:r w:rsidR="0027338D">
        <w:t>su página </w:t>
      </w:r>
      <w:r w:rsidR="005432AA">
        <w:t>5</w:t>
      </w:r>
      <w:r w:rsidR="0013436E">
        <w:t xml:space="preserve"> (hasta la cuenta de asignación de la renta primaria)</w:t>
      </w:r>
      <w:r w:rsidR="0027338D">
        <w:t>, en la sucesión de cuentas él lo tiene más desarrollado</w:t>
      </w:r>
      <w:r w:rsidR="0079372F">
        <w:t>)</w:t>
      </w:r>
      <w:r w:rsidR="00D125EF">
        <w:t>.</w:t>
      </w:r>
    </w:p>
    <w:p w14:paraId="11B0804A" w14:textId="77777777" w:rsidR="00CE1217" w:rsidRDefault="00CE1217" w:rsidP="00C07581">
      <w:pPr>
        <w:pStyle w:val="Introduccinyconclusin"/>
      </w:pPr>
      <w:r>
        <w:t>INTRODUCCION</w:t>
      </w:r>
    </w:p>
    <w:p w14:paraId="1B62DDCA" w14:textId="031F2E0D" w:rsidR="0072544A" w:rsidRDefault="0072544A" w:rsidP="0072544A">
      <w:pPr>
        <w:pStyle w:val="Nivel1"/>
        <w:keepNext/>
        <w:spacing w:before="0" w:after="0"/>
      </w:pPr>
      <w:r>
        <w:rPr>
          <w:b/>
          <w:bCs/>
          <w:i/>
          <w:iCs/>
        </w:rPr>
        <w:t>Enganche</w:t>
      </w:r>
      <w:r>
        <w:t>:</w:t>
      </w:r>
    </w:p>
    <w:p w14:paraId="0F3D94E0" w14:textId="77777777" w:rsidR="00963A44" w:rsidRPr="008D01A5" w:rsidRDefault="00963A44" w:rsidP="00963A44">
      <w:pPr>
        <w:pStyle w:val="Nivel2"/>
        <w:keepNext/>
        <w:spacing w:after="0"/>
        <w:rPr>
          <w:rStyle w:val="Hipervnculo"/>
          <w:color w:val="auto"/>
        </w:rPr>
      </w:pPr>
      <w:bookmarkStart w:id="0" w:name="_Hlk99365876"/>
      <w:bookmarkStart w:id="1" w:name="_Hlk103165953"/>
      <w:r w:rsidRPr="008D01A5">
        <w:rPr>
          <w:smallCaps/>
        </w:rPr>
        <w:t>Alfred Marshall</w:t>
      </w:r>
      <w:r w:rsidRPr="008D01A5">
        <w:t xml:space="preserve">, en sus </w:t>
      </w:r>
      <w:r w:rsidRPr="008D01A5">
        <w:rPr>
          <w:i/>
          <w:iCs/>
        </w:rPr>
        <w:t>Principios de Economía</w:t>
      </w:r>
      <w:r w:rsidRPr="008D01A5">
        <w:t xml:space="preserve"> (1890) define la economía como</w:t>
      </w:r>
      <w:r w:rsidRPr="008D01A5">
        <w:rPr>
          <w:i/>
          <w:iCs/>
        </w:rPr>
        <w:t xml:space="preserve"> la ciencia de la vida diaria en lo que respecta a las </w:t>
      </w:r>
      <w:r w:rsidRPr="008D01A5">
        <w:rPr>
          <w:i/>
          <w:iCs/>
          <w:u w:val="single"/>
        </w:rPr>
        <w:t>acciones humanas</w:t>
      </w:r>
      <w:r w:rsidRPr="008D01A5">
        <w:rPr>
          <w:i/>
          <w:iCs/>
        </w:rPr>
        <w:t xml:space="preserve"> tomadas para alcanzar un nivel máximo de bienestar</w:t>
      </w:r>
      <w:r w:rsidRPr="008D01A5">
        <w:t>.</w:t>
      </w:r>
    </w:p>
    <w:p w14:paraId="48851178" w14:textId="77777777" w:rsidR="00963A44" w:rsidRPr="008D01A5" w:rsidRDefault="00963A44" w:rsidP="00963A44">
      <w:pPr>
        <w:pStyle w:val="Nivel3"/>
        <w:rPr>
          <w:rStyle w:val="Hipervnculo"/>
          <w:color w:val="auto"/>
          <w:u w:val="none"/>
        </w:rPr>
      </w:pPr>
      <w:r w:rsidRPr="008D01A5">
        <w:rPr>
          <w:rStyle w:val="Hipervnculo"/>
          <w:color w:val="auto"/>
          <w:u w:val="none"/>
        </w:rPr>
        <w:t xml:space="preserve">Esta definición nos muestra cómo uno de los principios subyacentes a la reflexión económica, pero particularmente enfatizado en la teoría neoclásica, es el del </w:t>
      </w:r>
      <w:r w:rsidRPr="008D01A5">
        <w:rPr>
          <w:rStyle w:val="Hipervnculo"/>
          <w:b/>
          <w:bCs/>
          <w:color w:val="auto"/>
          <w:u w:val="none"/>
        </w:rPr>
        <w:t>individualismo metodológico</w:t>
      </w:r>
      <w:bookmarkStart w:id="2" w:name="_Hlk99365893"/>
      <w:r w:rsidRPr="008D01A5">
        <w:rPr>
          <w:rStyle w:val="Refdenotaalpie"/>
        </w:rPr>
        <w:footnoteReference w:id="2"/>
      </w:r>
      <w:bookmarkEnd w:id="2"/>
      <w:r w:rsidRPr="008D01A5">
        <w:rPr>
          <w:rStyle w:val="Hipervnculo"/>
          <w:color w:val="auto"/>
          <w:u w:val="none"/>
        </w:rPr>
        <w:t xml:space="preserve">. Se contempla el objeto de la teoría como una </w:t>
      </w:r>
      <w:r w:rsidRPr="008D01A5">
        <w:rPr>
          <w:rStyle w:val="Hipervnculo"/>
          <w:i/>
          <w:iCs/>
          <w:color w:val="auto"/>
          <w:u w:val="none"/>
        </w:rPr>
        <w:t>realidad social compuesta de individuos que se interrelacionan en economías descentralizadas</w:t>
      </w:r>
      <w:r w:rsidRPr="008D01A5">
        <w:rPr>
          <w:rStyle w:val="Hipervnculo"/>
          <w:color w:val="auto"/>
          <w:u w:val="none"/>
        </w:rPr>
        <w:t>.</w:t>
      </w:r>
    </w:p>
    <w:bookmarkEnd w:id="0"/>
    <w:p w14:paraId="33FC0D00" w14:textId="77777777" w:rsidR="00963A44" w:rsidRPr="00492C10" w:rsidRDefault="00963A44" w:rsidP="00963A44">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678B7BC2" w14:textId="77777777" w:rsidR="00963A44" w:rsidRPr="002A08C4" w:rsidRDefault="00963A44" w:rsidP="00963A44">
      <w:pPr>
        <w:pStyle w:val="Nivel2"/>
        <w:rPr>
          <w:spacing w:val="-2"/>
        </w:rPr>
      </w:pPr>
      <w:r w:rsidRPr="002A08C4">
        <w:rPr>
          <w:spacing w:val="-2"/>
        </w:rPr>
        <w:t xml:space="preserve">Desde un </w:t>
      </w:r>
      <w:r w:rsidRPr="002A08C4">
        <w:rPr>
          <w:i/>
          <w:iCs/>
          <w:spacing w:val="-2"/>
        </w:rPr>
        <w:t>punto de vista positivo</w:t>
      </w:r>
      <w:r w:rsidRPr="002A08C4">
        <w:rPr>
          <w:spacing w:val="-2"/>
        </w:rPr>
        <w:t xml:space="preserve">, el resultado de la interrelación de los agentes constituye el equilibrio de mercado. Otro análisis adicional sería estudiar no solo cuál es este equilibrio de mercado sino, desde un </w:t>
      </w:r>
      <w:r w:rsidRPr="002A08C4">
        <w:rPr>
          <w:i/>
          <w:iCs/>
          <w:spacing w:val="-2"/>
        </w:rPr>
        <w:t>enfoque normativo</w:t>
      </w:r>
      <w:r w:rsidRPr="002A08C4">
        <w:rPr>
          <w:spacing w:val="-2"/>
        </w:rPr>
        <w:t xml:space="preserve">, </w:t>
      </w:r>
      <w:r w:rsidRPr="002A08C4">
        <w:rPr>
          <w:b/>
          <w:spacing w:val="-2"/>
        </w:rPr>
        <w:t>valorar la deseabilidad</w:t>
      </w:r>
      <w:r w:rsidRPr="002A08C4">
        <w:rPr>
          <w:spacing w:val="-2"/>
        </w:rPr>
        <w:t xml:space="preserve"> </w:t>
      </w:r>
      <w:proofErr w:type="gramStart"/>
      <w:r w:rsidRPr="002A08C4">
        <w:rPr>
          <w:spacing w:val="-2"/>
        </w:rPr>
        <w:t>del mismo</w:t>
      </w:r>
      <w:proofErr w:type="gramEnd"/>
      <w:r w:rsidRPr="002A08C4">
        <w:rPr>
          <w:spacing w:val="-2"/>
        </w:rPr>
        <w:t>.</w:t>
      </w:r>
    </w:p>
    <w:p w14:paraId="6D17BB9B" w14:textId="77777777" w:rsidR="00963A44" w:rsidRDefault="00963A44" w:rsidP="00963A44">
      <w:pPr>
        <w:pStyle w:val="Nivel2"/>
        <w:keepNext/>
        <w:spacing w:after="0"/>
      </w:pPr>
      <w:r>
        <w:t xml:space="preserve">La </w:t>
      </w:r>
      <w:r>
        <w:rPr>
          <w:b/>
          <w:bCs/>
        </w:rPr>
        <w:t>economía del bienestar</w:t>
      </w:r>
      <w:r>
        <w:t xml:space="preserve"> está ligada a este enfoque normativo.</w:t>
      </w:r>
    </w:p>
    <w:p w14:paraId="42852C5C" w14:textId="77777777" w:rsidR="00963A44" w:rsidRDefault="00963A44" w:rsidP="00963A44">
      <w:pPr>
        <w:pStyle w:val="Nivel3"/>
        <w:keepNext/>
      </w:pPr>
      <w:r>
        <w:t xml:space="preserve">Concretamente, las </w:t>
      </w:r>
      <w:r w:rsidRPr="00B156D0">
        <w:rPr>
          <w:b/>
          <w:bCs/>
        </w:rPr>
        <w:t>funciones</w:t>
      </w:r>
      <w:r w:rsidRPr="007E0C03">
        <w:rPr>
          <w:bCs/>
        </w:rPr>
        <w:t xml:space="preserve"> de la </w:t>
      </w:r>
      <w:r>
        <w:rPr>
          <w:bCs/>
        </w:rPr>
        <w:t>economía del bienestar</w:t>
      </w:r>
      <w:r>
        <w:t xml:space="preserve"> son</w:t>
      </w:r>
      <w:r>
        <w:rPr>
          <w:rStyle w:val="Refdenotaalpie"/>
        </w:rPr>
        <w:footnoteReference w:id="4"/>
      </w:r>
      <w:r>
        <w:t>:</w:t>
      </w:r>
    </w:p>
    <w:p w14:paraId="0A03936D" w14:textId="77777777" w:rsidR="00963A44" w:rsidRDefault="00963A44" w:rsidP="00963A44">
      <w:pPr>
        <w:pStyle w:val="Letra"/>
        <w:spacing w:after="0"/>
        <w:ind w:left="1843"/>
      </w:pPr>
      <w:r w:rsidRPr="00176868">
        <w:rPr>
          <w:i/>
        </w:rPr>
        <w:t>Proporcionar</w:t>
      </w:r>
      <w:r>
        <w:t xml:space="preserve"> </w:t>
      </w:r>
      <w:r w:rsidRPr="00176868">
        <w:rPr>
          <w:i/>
        </w:rPr>
        <w:t>instrumentos para valorar</w:t>
      </w:r>
      <w:r w:rsidRPr="00176868">
        <w:rPr>
          <w:i/>
          <w:iCs/>
        </w:rPr>
        <w:t xml:space="preserve"> la deseabilidad social</w:t>
      </w:r>
      <w:r>
        <w:t xml:space="preserve"> de los estados alternativos, caracterizados por una asignación de recursos y una distribución de la renta. En principio, valorar esos estados alternativos requiere hacer </w:t>
      </w:r>
      <w:r w:rsidRPr="00112D4A">
        <w:t>juicios de valor</w:t>
      </w:r>
      <w:r>
        <w:t xml:space="preserve"> explícitos sobre los mismos.</w:t>
      </w:r>
    </w:p>
    <w:p w14:paraId="463B7372" w14:textId="77777777" w:rsidR="00963A44" w:rsidRDefault="00963A44" w:rsidP="00963A44">
      <w:pPr>
        <w:pStyle w:val="Letra"/>
        <w:spacing w:after="0"/>
        <w:ind w:left="1843"/>
      </w:pPr>
      <w:r w:rsidRPr="00176868">
        <w:rPr>
          <w:i/>
          <w:iCs/>
        </w:rPr>
        <w:t>Proporcionar normas de política económica</w:t>
      </w:r>
      <w:r w:rsidRPr="00176868">
        <w:rPr>
          <w:i/>
        </w:rPr>
        <w:t xml:space="preserve"> </w:t>
      </w:r>
      <w:r w:rsidRPr="00176868">
        <w:rPr>
          <w:iCs/>
        </w:rPr>
        <w:t>que permitan</w:t>
      </w:r>
      <w:r w:rsidRPr="00AB25E7">
        <w:t xml:space="preserve"> maximizar</w:t>
      </w:r>
      <w:r>
        <w:t xml:space="preserve"> el bienestar social (alcanzar el estado o estados realizables socialmente más preferidos).</w:t>
      </w:r>
    </w:p>
    <w:p w14:paraId="71C8B4C0" w14:textId="77777777" w:rsidR="00963A44" w:rsidRDefault="00963A44" w:rsidP="00963A44">
      <w:pPr>
        <w:pStyle w:val="Nivel1"/>
        <w:keepNext/>
        <w:spacing w:after="0"/>
      </w:pPr>
      <w:r>
        <w:rPr>
          <w:b/>
          <w:bCs/>
          <w:i/>
          <w:iCs/>
        </w:rPr>
        <w:t>Relevancia</w:t>
      </w:r>
      <w:r>
        <w:t>:</w:t>
      </w:r>
    </w:p>
    <w:p w14:paraId="3BCB2FDF" w14:textId="77777777" w:rsidR="00963A44" w:rsidRDefault="00963A44" w:rsidP="00963A44">
      <w:pPr>
        <w:pStyle w:val="Nivel2"/>
        <w:keepNext/>
        <w:spacing w:after="0"/>
      </w:pPr>
      <w:r w:rsidRPr="00516674">
        <w:t>La comparación de diferentes alternativas es algo vital, ya que nos permite</w:t>
      </w:r>
      <w:r>
        <w:t>:</w:t>
      </w:r>
    </w:p>
    <w:p w14:paraId="7CF85D3E" w14:textId="77777777" w:rsidR="00963A44" w:rsidRPr="002A08C4" w:rsidRDefault="00963A44" w:rsidP="00963A44">
      <w:pPr>
        <w:pStyle w:val="Nivel3"/>
        <w:rPr>
          <w:spacing w:val="-1"/>
        </w:rPr>
      </w:pPr>
      <w:r w:rsidRPr="002A08C4">
        <w:rPr>
          <w:spacing w:val="-1"/>
        </w:rPr>
        <w:t>Por un lado, valorar si el resultado al que conduce un sistema económico es apropiado o mejorable.</w:t>
      </w:r>
    </w:p>
    <w:p w14:paraId="5F1E0E8E" w14:textId="77777777" w:rsidR="00963A44" w:rsidRPr="002A08C4" w:rsidRDefault="00963A44" w:rsidP="00963A44">
      <w:pPr>
        <w:pStyle w:val="Nivel3"/>
        <w:rPr>
          <w:spacing w:val="-5"/>
        </w:rPr>
      </w:pPr>
      <w:r w:rsidRPr="002A08C4">
        <w:rPr>
          <w:spacing w:val="-5"/>
        </w:rPr>
        <w:t>Por otro lado, valorar si una política económica que cambie la situación inicial es deseable.</w:t>
      </w:r>
    </w:p>
    <w:p w14:paraId="1F214151" w14:textId="77777777" w:rsidR="00963A44" w:rsidRDefault="00963A44" w:rsidP="00963A44">
      <w:pPr>
        <w:pStyle w:val="Nivel2"/>
        <w:keepNext/>
        <w:spacing w:after="0"/>
      </w:pPr>
      <w:r>
        <w:t xml:space="preserve">Como afirmó </w:t>
      </w:r>
      <w:r>
        <w:rPr>
          <w:smallCaps/>
        </w:rPr>
        <w:t>Atkinson</w:t>
      </w:r>
      <w:r>
        <w:t xml:space="preserve">, el gran teórico de la desigualdad del siglo XX, la ciencia económica no existe sólo para describir el comportamiento humano y satisfacer la </w:t>
      </w:r>
      <w:r>
        <w:lastRenderedPageBreak/>
        <w:t>curiosidad y la vanidad de los economistas, sino para emitir recomendaciones y diseñar y valorar políticas que contribuyan a mejorar la vida de los ciudadanos</w:t>
      </w:r>
      <w:r>
        <w:rPr>
          <w:rStyle w:val="Refdenotaalpie"/>
        </w:rPr>
        <w:footnoteReference w:id="5"/>
      </w:r>
      <w:r>
        <w:t>.</w:t>
      </w:r>
    </w:p>
    <w:p w14:paraId="59D39132" w14:textId="77777777" w:rsidR="00963A44" w:rsidRDefault="00963A44" w:rsidP="00963A44">
      <w:pPr>
        <w:pStyle w:val="Nivel3"/>
      </w:pPr>
      <w:r>
        <w:t xml:space="preserve">Por ello, la economía del bienestar forma parte del “corazón” de la ciencia económica y como tal, debe ocupar un lugar preeminente en la formación de un economista y más aún de un </w:t>
      </w:r>
      <w:r>
        <w:rPr>
          <w:i/>
          <w:iCs/>
        </w:rPr>
        <w:t>policy-maker</w:t>
      </w:r>
      <w:r>
        <w:t>.</w:t>
      </w:r>
    </w:p>
    <w:bookmarkEnd w:id="1"/>
    <w:p w14:paraId="70C99532" w14:textId="77777777" w:rsidR="0072544A" w:rsidRDefault="0072544A" w:rsidP="0072544A">
      <w:pPr>
        <w:pStyle w:val="Nivel1"/>
        <w:keepNext/>
        <w:spacing w:after="0"/>
      </w:pPr>
      <w:r>
        <w:rPr>
          <w:b/>
          <w:bCs/>
          <w:i/>
          <w:iCs/>
        </w:rPr>
        <w:t>Contextualización</w:t>
      </w:r>
      <w:r>
        <w:t>:</w:t>
      </w:r>
    </w:p>
    <w:p w14:paraId="3623144C" w14:textId="77777777" w:rsidR="00963A44" w:rsidRDefault="00963A44" w:rsidP="00963A44">
      <w:pPr>
        <w:pStyle w:val="Nivel2"/>
        <w:keepNext/>
        <w:spacing w:after="0"/>
      </w:pPr>
      <w:bookmarkStart w:id="3" w:name="_Hlk145918007"/>
      <w:r>
        <w:rPr>
          <w:lang w:eastAsia="zh-CN" w:bidi="hi-IN"/>
        </w:rPr>
        <w:t>Y es que las economías actuales son de carácter mixto, no sólo rige el principio de mercado sino también una intervención pública cuya magnitud varía entre los distintos países.</w:t>
      </w:r>
    </w:p>
    <w:p w14:paraId="7ACE8797" w14:textId="77777777" w:rsidR="00963A44" w:rsidRDefault="00963A44" w:rsidP="00963A44">
      <w:pPr>
        <w:pStyle w:val="Nivel3"/>
      </w:pPr>
      <w:r w:rsidRPr="00FE0B31">
        <w:rPr>
          <w:lang w:eastAsia="zh-CN" w:bidi="hi-IN"/>
        </w:rPr>
        <w:t xml:space="preserve">La rama de la teoría económica que estudia </w:t>
      </w:r>
      <w:r w:rsidRPr="009477A5">
        <w:rPr>
          <w:lang w:eastAsia="zh-CN" w:bidi="hi-IN"/>
        </w:rPr>
        <w:t xml:space="preserve">la intervención del </w:t>
      </w:r>
      <w:r>
        <w:rPr>
          <w:lang w:eastAsia="zh-CN" w:bidi="hi-IN"/>
        </w:rPr>
        <w:t>sector público</w:t>
      </w:r>
      <w:r w:rsidRPr="009477A5">
        <w:rPr>
          <w:lang w:eastAsia="zh-CN" w:bidi="hi-IN"/>
        </w:rPr>
        <w:t xml:space="preserve"> en la economía</w:t>
      </w:r>
      <w:r>
        <w:rPr>
          <w:lang w:eastAsia="zh-CN" w:bidi="hi-IN"/>
        </w:rPr>
        <w:t xml:space="preserve"> y</w:t>
      </w:r>
      <w:r w:rsidRPr="00FE0B31">
        <w:rPr>
          <w:lang w:eastAsia="zh-CN" w:bidi="hi-IN"/>
        </w:rPr>
        <w:t xml:space="preserve"> los </w:t>
      </w:r>
      <w:r w:rsidRPr="009477A5">
        <w:rPr>
          <w:lang w:eastAsia="zh-CN" w:bidi="hi-IN"/>
        </w:rPr>
        <w:t>efectos de dicha intervención sobre el bienestar social</w:t>
      </w:r>
      <w:r w:rsidRPr="00FE0B31">
        <w:rPr>
          <w:lang w:eastAsia="zh-CN" w:bidi="hi-IN"/>
        </w:rPr>
        <w:t xml:space="preserve"> es la </w:t>
      </w:r>
      <w:r w:rsidRPr="009477A5">
        <w:rPr>
          <w:b/>
          <w:bCs/>
          <w:lang w:eastAsia="zh-CN" w:bidi="hi-IN"/>
        </w:rPr>
        <w:t>Teoría de la Hacienda Pública</w:t>
      </w:r>
      <w:r w:rsidRPr="00FE0B31">
        <w:rPr>
          <w:lang w:eastAsia="zh-CN" w:bidi="hi-IN"/>
        </w:rPr>
        <w:t xml:space="preserve"> o, como se le denomina cada vez con más frecuencia, la </w:t>
      </w:r>
      <w:r>
        <w:rPr>
          <w:b/>
          <w:bCs/>
          <w:lang w:eastAsia="zh-CN" w:bidi="hi-IN"/>
        </w:rPr>
        <w:t>e</w:t>
      </w:r>
      <w:r w:rsidRPr="009477A5">
        <w:rPr>
          <w:b/>
          <w:bCs/>
          <w:lang w:eastAsia="zh-CN" w:bidi="hi-IN"/>
        </w:rPr>
        <w:t xml:space="preserve">conomía </w:t>
      </w:r>
      <w:r>
        <w:rPr>
          <w:b/>
          <w:bCs/>
          <w:lang w:eastAsia="zh-CN" w:bidi="hi-IN"/>
        </w:rPr>
        <w:t>p</w:t>
      </w:r>
      <w:r w:rsidRPr="009477A5">
        <w:rPr>
          <w:b/>
          <w:bCs/>
          <w:lang w:eastAsia="zh-CN" w:bidi="hi-IN"/>
        </w:rPr>
        <w:t>ública</w:t>
      </w:r>
      <w:r w:rsidRPr="00FE0B31">
        <w:rPr>
          <w:lang w:eastAsia="zh-CN" w:bidi="hi-IN"/>
        </w:rPr>
        <w:t>.</w:t>
      </w:r>
    </w:p>
    <w:p w14:paraId="60349FD8" w14:textId="77777777" w:rsidR="00963A44" w:rsidRDefault="00963A44" w:rsidP="00963A44">
      <w:pPr>
        <w:pStyle w:val="Nivel2"/>
        <w:keepNext/>
        <w:spacing w:after="0"/>
      </w:pPr>
      <w:r>
        <w:rPr>
          <w:rFonts w:eastAsia="SimSun"/>
          <w:kern w:val="3"/>
          <w:lang w:eastAsia="zh-CN" w:bidi="hi-IN"/>
        </w:rPr>
        <w:t>F</w:t>
      </w:r>
      <w:r w:rsidRPr="00FE0B31">
        <w:rPr>
          <w:rFonts w:eastAsia="SimSun"/>
          <w:kern w:val="3"/>
          <w:lang w:eastAsia="zh-CN" w:bidi="hi-IN"/>
        </w:rPr>
        <w:t xml:space="preserve">rente al </w:t>
      </w:r>
      <w:r w:rsidRPr="003C5787">
        <w:rPr>
          <w:rFonts w:eastAsia="SimSun"/>
          <w:i/>
          <w:iCs/>
          <w:kern w:val="3"/>
          <w:lang w:eastAsia="zh-CN" w:bidi="hi-IN"/>
        </w:rPr>
        <w:t>laissez faire</w:t>
      </w:r>
      <w:r w:rsidRPr="00FE0B31">
        <w:rPr>
          <w:rFonts w:eastAsia="SimSun"/>
          <w:kern w:val="3"/>
          <w:lang w:eastAsia="zh-CN" w:bidi="hi-IN"/>
        </w:rPr>
        <w:t xml:space="preserve"> propugnado por los clásicos, la Economía del Bienestar abre la puerta a la intervención pública en la economía para corregir aquellas situaciones en las que el mercado no funciona de forma adecuada.</w:t>
      </w:r>
      <w:r>
        <w:rPr>
          <w:rFonts w:eastAsia="SimSun"/>
          <w:kern w:val="3"/>
          <w:lang w:eastAsia="zh-CN" w:bidi="hi-IN"/>
        </w:rPr>
        <w:t xml:space="preserve"> Así, podemos entender el </w:t>
      </w:r>
      <w:r w:rsidRPr="008C3B65">
        <w:rPr>
          <w:rFonts w:eastAsia="SimSun"/>
          <w:b/>
          <w:bCs/>
          <w:kern w:val="3"/>
          <w:lang w:eastAsia="zh-CN" w:bidi="hi-IN"/>
        </w:rPr>
        <w:t>sector público</w:t>
      </w:r>
      <w:r>
        <w:rPr>
          <w:rFonts w:eastAsia="SimSun"/>
          <w:kern w:val="3"/>
          <w:lang w:eastAsia="zh-CN" w:bidi="hi-IN"/>
        </w:rPr>
        <w:t xml:space="preserve"> como un agente económico cuya intervención en una sociedad de mercado, además de proveer un </w:t>
      </w:r>
      <w:r w:rsidRPr="008C3B65">
        <w:rPr>
          <w:rFonts w:eastAsia="SimSun"/>
          <w:i/>
          <w:iCs/>
          <w:kern w:val="3"/>
          <w:lang w:eastAsia="zh-CN" w:bidi="hi-IN"/>
        </w:rPr>
        <w:t>marco básico donde tiene lugar la actividad económica</w:t>
      </w:r>
      <w:r>
        <w:rPr>
          <w:rFonts w:eastAsia="SimSun"/>
          <w:kern w:val="3"/>
          <w:lang w:eastAsia="zh-CN" w:bidi="hi-IN"/>
        </w:rPr>
        <w:t xml:space="preserve">, se justifica, </w:t>
      </w:r>
      <w:r>
        <w:t xml:space="preserve">siguiendo a </w:t>
      </w:r>
      <w:r w:rsidRPr="006B58CD">
        <w:rPr>
          <w:smallCaps/>
        </w:rPr>
        <w:t>Musgrave</w:t>
      </w:r>
      <w:r>
        <w:t xml:space="preserve"> en base a 3 motivos principales que originan a su vez las </w:t>
      </w:r>
      <w:r w:rsidRPr="00487BD2">
        <w:rPr>
          <w:b/>
          <w:bCs/>
        </w:rPr>
        <w:t>3 principales funciones del sector público</w:t>
      </w:r>
      <w:r>
        <w:t>:</w:t>
      </w:r>
    </w:p>
    <w:p w14:paraId="358A37DC" w14:textId="624B8904" w:rsidR="00A31374" w:rsidRDefault="00A31374" w:rsidP="00A31374">
      <w:pPr>
        <w:pStyle w:val="Prrafodelista"/>
        <w:keepNext/>
        <w:numPr>
          <w:ilvl w:val="0"/>
          <w:numId w:val="9"/>
        </w:numPr>
        <w:spacing w:after="0"/>
        <w:ind w:left="1702" w:hanging="284"/>
      </w:pPr>
      <w:r w:rsidRPr="00A31374">
        <w:rPr>
          <w:i/>
          <w:iCs/>
          <w:u w:val="single"/>
        </w:rPr>
        <w:t>Motivos de eficiencia</w:t>
      </w:r>
      <w:r>
        <w:t>: P</w:t>
      </w:r>
      <w:r w:rsidRPr="00FE0B31">
        <w:t xml:space="preserve">ara corregir fallos de mercado como la existencia de externalidades, bienes públicos, </w:t>
      </w:r>
      <w:proofErr w:type="gramStart"/>
      <w:r w:rsidRPr="00FE0B31">
        <w:t>información imperfecta o competencia imperfecta</w:t>
      </w:r>
      <w:proofErr w:type="gramEnd"/>
      <w:r>
        <w:t xml:space="preserve">. Es decir, en ejercicio de la </w:t>
      </w:r>
      <w:r>
        <w:rPr>
          <w:i/>
          <w:iCs/>
        </w:rPr>
        <w:t>función asignativa</w:t>
      </w:r>
      <w:r>
        <w:t>.</w:t>
      </w:r>
    </w:p>
    <w:p w14:paraId="1407AF5C" w14:textId="04D6532D" w:rsidR="00A31374" w:rsidRPr="00FE0B31" w:rsidRDefault="00A31374" w:rsidP="00A31374">
      <w:pPr>
        <w:pStyle w:val="Prrafodelista"/>
        <w:keepNext/>
        <w:numPr>
          <w:ilvl w:val="0"/>
          <w:numId w:val="9"/>
        </w:numPr>
        <w:spacing w:after="0"/>
        <w:ind w:left="1702" w:hanging="284"/>
      </w:pPr>
      <w:r w:rsidRPr="00A31374">
        <w:rPr>
          <w:i/>
          <w:iCs/>
          <w:u w:val="single"/>
        </w:rPr>
        <w:t>Motivos de equidad</w:t>
      </w:r>
      <w:r>
        <w:t>: P</w:t>
      </w:r>
      <w:r w:rsidRPr="00FE0B31">
        <w:t>ara conseguir una redistribución más equitativa de la renta</w:t>
      </w:r>
      <w:r>
        <w:t>.</w:t>
      </w:r>
      <w:r w:rsidR="005317AA">
        <w:t xml:space="preserve"> Es decir, en ejercicio de la </w:t>
      </w:r>
      <w:r w:rsidR="005317AA">
        <w:rPr>
          <w:i/>
          <w:iCs/>
        </w:rPr>
        <w:t>función redistributiva</w:t>
      </w:r>
      <w:r w:rsidR="005317AA">
        <w:t>.</w:t>
      </w:r>
    </w:p>
    <w:p w14:paraId="41B1984C" w14:textId="4644E76F" w:rsidR="005317AA" w:rsidRDefault="00A31374" w:rsidP="005317AA">
      <w:pPr>
        <w:pStyle w:val="Prrafodelista"/>
        <w:keepNext/>
        <w:numPr>
          <w:ilvl w:val="0"/>
          <w:numId w:val="9"/>
        </w:numPr>
        <w:spacing w:after="0"/>
        <w:ind w:left="1702" w:hanging="284"/>
      </w:pPr>
      <w:r w:rsidRPr="005317AA">
        <w:rPr>
          <w:i/>
          <w:iCs/>
          <w:u w:val="single"/>
        </w:rPr>
        <w:t>Motivos de estabilización</w:t>
      </w:r>
      <w:r w:rsidRPr="005317AA">
        <w:t>:</w:t>
      </w:r>
      <w:r w:rsidR="005317AA">
        <w:t xml:space="preserve"> </w:t>
      </w:r>
      <w:r>
        <w:t>P</w:t>
      </w:r>
      <w:r w:rsidRPr="00FE0B31">
        <w:t>ara conseguir una senda de crecimiento estable y reducir las fluctuaciones cíclicas de la economía.</w:t>
      </w:r>
      <w:r w:rsidR="005317AA">
        <w:t xml:space="preserve"> Es decir, en ejercicio de la función estabilizadora.</w:t>
      </w:r>
    </w:p>
    <w:p w14:paraId="5A5A7C28" w14:textId="77777777" w:rsidR="000A6812" w:rsidRDefault="005317AA" w:rsidP="005317AA">
      <w:pPr>
        <w:pStyle w:val="Nivel4"/>
      </w:pPr>
      <w:r w:rsidRPr="005317AA">
        <w:t xml:space="preserve">Estas </w:t>
      </w:r>
      <w:r>
        <w:t>3 </w:t>
      </w:r>
      <w:r w:rsidRPr="005317AA">
        <w:t>funciones no han recibido siempre el mismo grado de atención. De hecho, hasta l</w:t>
      </w:r>
      <w:r>
        <w:t>os años </w:t>
      </w:r>
      <w:r w:rsidRPr="005317AA">
        <w:t xml:space="preserve">40 las </w:t>
      </w:r>
      <w:r w:rsidRPr="005317AA">
        <w:rPr>
          <w:i/>
          <w:iCs/>
        </w:rPr>
        <w:t>funciones redistributiva</w:t>
      </w:r>
      <w:r w:rsidRPr="005317AA">
        <w:t xml:space="preserve"> y </w:t>
      </w:r>
      <w:r w:rsidRPr="005317AA">
        <w:rPr>
          <w:i/>
          <w:iCs/>
        </w:rPr>
        <w:t>estabilizadora</w:t>
      </w:r>
      <w:r w:rsidRPr="005317AA">
        <w:t xml:space="preserve"> fueron, en cierto modo, desatendidas.</w:t>
      </w:r>
    </w:p>
    <w:p w14:paraId="3700FD03" w14:textId="4175AC29" w:rsidR="005317AA" w:rsidRDefault="005317AA" w:rsidP="005317AA">
      <w:pPr>
        <w:pStyle w:val="Nivel4"/>
      </w:pPr>
      <w:r w:rsidRPr="005317AA">
        <w:t xml:space="preserve">Sin embargo, a partir de </w:t>
      </w:r>
      <w:r>
        <w:t>entonces</w:t>
      </w:r>
      <w:r w:rsidRPr="005317AA">
        <w:t xml:space="preserve">, con el auge del pensamiento </w:t>
      </w:r>
      <w:r>
        <w:t>k</w:t>
      </w:r>
      <w:r w:rsidRPr="005317AA">
        <w:t xml:space="preserve">eynesiano, tiene lugar en los </w:t>
      </w:r>
      <w:r>
        <w:t>países desarrollados</w:t>
      </w:r>
      <w:r w:rsidRPr="005317AA">
        <w:t xml:space="preserve"> el desarrollo del Estado del Bienestar.</w:t>
      </w:r>
    </w:p>
    <w:p w14:paraId="467B84E1" w14:textId="77777777" w:rsidR="00A31374" w:rsidRDefault="00A31374" w:rsidP="00A31374">
      <w:pPr>
        <w:pStyle w:val="Nivel2"/>
        <w:keepNext/>
        <w:spacing w:after="0"/>
      </w:pPr>
      <w:r>
        <w:t>Para conseguir sus objetivos de eficiencia, equidad y estabilización el sector público actúa básicamente de 2 formas:</w:t>
      </w:r>
    </w:p>
    <w:p w14:paraId="581B1AFE" w14:textId="42DC3554" w:rsidR="000A6812" w:rsidRDefault="000A6812" w:rsidP="000A6812">
      <w:pPr>
        <w:pStyle w:val="Nivel3"/>
      </w:pPr>
      <w:r w:rsidRPr="000A6812">
        <w:rPr>
          <w:i/>
          <w:iCs/>
        </w:rPr>
        <w:t>Actividades no financieras</w:t>
      </w:r>
      <w:r>
        <w:t xml:space="preserve">, como la regulación o la producción de bienes y servicios por </w:t>
      </w:r>
      <w:r w:rsidRPr="000A6812">
        <w:t>medio</w:t>
      </w:r>
      <w:r>
        <w:t xml:space="preserve"> de empresas públicas.</w:t>
      </w:r>
    </w:p>
    <w:p w14:paraId="0BA597A3" w14:textId="5C59ED83" w:rsidR="00A31374" w:rsidRPr="001742A5" w:rsidRDefault="00A31374" w:rsidP="00A31374">
      <w:pPr>
        <w:pStyle w:val="Nivel3"/>
        <w:keepNext/>
      </w:pPr>
      <w:r w:rsidRPr="000A6812">
        <w:rPr>
          <w:i/>
          <w:iCs/>
        </w:rPr>
        <w:t>Actividades financieras</w:t>
      </w:r>
      <w:r w:rsidR="000A6812">
        <w:t>:</w:t>
      </w:r>
    </w:p>
    <w:p w14:paraId="6AB71145" w14:textId="77777777" w:rsidR="00A31374" w:rsidRDefault="00A31374" w:rsidP="00A31374">
      <w:pPr>
        <w:pStyle w:val="Nivel4"/>
      </w:pPr>
      <w:r>
        <w:t>La realización de gastos asociados a las funciones del sector público.</w:t>
      </w:r>
    </w:p>
    <w:p w14:paraId="0C1E61BB" w14:textId="77777777" w:rsidR="00A31374" w:rsidRDefault="00A31374" w:rsidP="00A31374">
      <w:pPr>
        <w:pStyle w:val="Nivel4"/>
      </w:pPr>
      <w:r>
        <w:t>La obtención de los ingresos necesarios para hacer frente a esos gastos.</w:t>
      </w:r>
      <w:bookmarkEnd w:id="3"/>
    </w:p>
    <w:p w14:paraId="0EFFFB23" w14:textId="738718CC" w:rsidR="00963A44" w:rsidRPr="00131126" w:rsidRDefault="00963A44" w:rsidP="00963A44">
      <w:pPr>
        <w:pStyle w:val="Nivel2"/>
      </w:pPr>
      <w:bookmarkStart w:id="4" w:name="_Hlk146454526"/>
      <w:bookmarkStart w:id="5" w:name="_Hlk103166308"/>
      <w:r w:rsidRPr="009463BC">
        <w:rPr>
          <w:i/>
          <w:iCs/>
          <w:u w:val="single"/>
        </w:rPr>
        <w:t>E</w:t>
      </w:r>
      <w:r>
        <w:rPr>
          <w:i/>
          <w:iCs/>
          <w:u w:val="single"/>
        </w:rPr>
        <w:t xml:space="preserve">n esta </w:t>
      </w:r>
      <w:r w:rsidRPr="009463BC">
        <w:rPr>
          <w:i/>
          <w:iCs/>
          <w:u w:val="single"/>
        </w:rPr>
        <w:t>exposición</w:t>
      </w:r>
      <w:r>
        <w:t xml:space="preserve">, </w:t>
      </w:r>
      <w:r w:rsidRPr="005936DF">
        <w:rPr>
          <w:i/>
          <w:iCs/>
        </w:rPr>
        <w:t>definiremos qué es el sector público</w:t>
      </w:r>
      <w:r>
        <w:t xml:space="preserve"> y adoptaremos el punto de vista del Sistema Europeo de Cuentas del año 2010 (un sistema contable unificado al nivel de la Unión Europea) y nos centraremos en examinar los rasgos principales de una unidad institucional en particular: las </w:t>
      </w:r>
      <w:r w:rsidRPr="005936DF">
        <w:rPr>
          <w:i/>
          <w:iCs/>
        </w:rPr>
        <w:t>administraciones públicas</w:t>
      </w:r>
      <w:r>
        <w:t>.</w:t>
      </w:r>
    </w:p>
    <w:bookmarkEnd w:id="4"/>
    <w:bookmarkEnd w:id="5"/>
    <w:p w14:paraId="1FFACF42" w14:textId="77777777" w:rsidR="0072544A" w:rsidRDefault="0072544A" w:rsidP="0072544A">
      <w:pPr>
        <w:pStyle w:val="Nivel1"/>
        <w:keepNext/>
        <w:spacing w:after="0"/>
      </w:pPr>
      <w:r>
        <w:rPr>
          <w:b/>
          <w:bCs/>
          <w:i/>
          <w:iCs/>
        </w:rPr>
        <w:lastRenderedPageBreak/>
        <w:t>Problemática</w:t>
      </w:r>
      <w:r>
        <w:t>:</w:t>
      </w:r>
    </w:p>
    <w:p w14:paraId="73EDE114" w14:textId="3E708CA9" w:rsidR="0072544A" w:rsidRDefault="00DF7AB2" w:rsidP="0072544A">
      <w:pPr>
        <w:pStyle w:val="Nivel2"/>
      </w:pPr>
      <w:r>
        <w:t>El objetivo de la presentación será llevar a cabo un análisis del sector público desde una perspectiva general.</w:t>
      </w:r>
    </w:p>
    <w:p w14:paraId="186993B4" w14:textId="7D56281B" w:rsidR="0072544A" w:rsidRDefault="0072544A" w:rsidP="0072544A">
      <w:pPr>
        <w:pStyle w:val="Nivel1"/>
        <w:keepNext/>
        <w:spacing w:after="0"/>
      </w:pPr>
      <w:r w:rsidRPr="00C325BE">
        <w:rPr>
          <w:b/>
          <w:bCs/>
          <w:i/>
          <w:iCs/>
        </w:rPr>
        <w:lastRenderedPageBreak/>
        <w:t>Estructura</w:t>
      </w:r>
      <w:r w:rsidRPr="000A3137">
        <w:t>:</w:t>
      </w:r>
    </w:p>
    <w:tbl>
      <w:tblPr>
        <w:tblStyle w:val="Tablaconcuadrcula"/>
        <w:tblW w:w="10205" w:type="dxa"/>
        <w:jc w:val="center"/>
        <w:tblLook w:val="04A0" w:firstRow="1" w:lastRow="0" w:firstColumn="1" w:lastColumn="0" w:noHBand="0" w:noVBand="1"/>
      </w:tblPr>
      <w:tblGrid>
        <w:gridCol w:w="10205"/>
      </w:tblGrid>
      <w:tr w:rsidR="0072544A" w14:paraId="7DEEE048" w14:textId="77777777" w:rsidTr="00DF7AB2">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bookmarkStart w:id="6" w:name="_Hlk145919368" w:displacedByCustomXml="next"/>
          <w:bookmarkStart w:id="7" w:name="_Hlk145919215" w:displacedByCustomXml="next"/>
        </w:tc>
      </w:tr>
      <w:bookmarkEnd w:id="6"/>
    </w:tbl>
    <w:p w14:paraId="27188FF7" w14:textId="6D1593FF" w:rsidR="006B58CD" w:rsidRPr="00DF7AB2" w:rsidRDefault="006B58CD">
      <w:pPr>
        <w:spacing w:after="0" w:line="240" w:lineRule="auto"/>
        <w:jc w:val="left"/>
        <w:rPr>
          <w:sz w:val="2"/>
          <w:szCs w:val="2"/>
        </w:rPr>
      </w:pPr>
      <w:r w:rsidRPr="00DF7AB2">
        <w:rPr>
          <w:sz w:val="2"/>
          <w:szCs w:val="2"/>
        </w:rPr>
        <w:br w:type="page"/>
      </w:r>
      <w:bookmarkEnd w:id="7"/>
    </w:p>
    <w:p w14:paraId="303B9F22" w14:textId="1486D605" w:rsidR="001E65E7" w:rsidRDefault="001E65E7" w:rsidP="001E65E7">
      <w:pPr>
        <w:pStyle w:val="Apartado0"/>
      </w:pPr>
      <w:bookmarkStart w:id="8" w:name="_Toc151113558"/>
      <w:r>
        <w:lastRenderedPageBreak/>
        <w:t>JUSTIFICACIÓN DEL ESTUDIO DEL SECTOR PÚBLICO</w:t>
      </w:r>
      <w:bookmarkEnd w:id="8"/>
    </w:p>
    <w:p w14:paraId="0B3A5D8B" w14:textId="77777777" w:rsidR="001E65E7" w:rsidRDefault="001E65E7" w:rsidP="009C221C">
      <w:pPr>
        <w:pStyle w:val="Nivel1SM"/>
        <w:keepNext/>
        <w:spacing w:before="0" w:after="0"/>
      </w:pPr>
      <w:r>
        <w:t xml:space="preserve">La </w:t>
      </w:r>
      <w:r w:rsidRPr="009C221C">
        <w:rPr>
          <w:b/>
          <w:bCs/>
        </w:rPr>
        <w:t>importancia</w:t>
      </w:r>
      <w:r>
        <w:t xml:space="preserve"> del sector público en la economía se explica por </w:t>
      </w:r>
      <w:r w:rsidRPr="00433899">
        <w:rPr>
          <w:b/>
          <w:bCs/>
        </w:rPr>
        <w:t>razones</w:t>
      </w:r>
      <w:r>
        <w:t xml:space="preserve"> diversas:</w:t>
      </w:r>
    </w:p>
    <w:p w14:paraId="5923497A" w14:textId="77777777" w:rsidR="001E65E7" w:rsidRDefault="001E65E7" w:rsidP="00433899">
      <w:pPr>
        <w:pStyle w:val="Prrafodelista"/>
        <w:keepNext/>
        <w:numPr>
          <w:ilvl w:val="0"/>
          <w:numId w:val="16"/>
        </w:numPr>
        <w:spacing w:after="0"/>
        <w:ind w:left="567" w:hanging="113"/>
      </w:pPr>
      <w:r>
        <w:t>La actividad, las funciones, los poderes y la motivación del sector público difieren de los del resto de sectores de la economía y, por ello, merecen un estudio detallado.</w:t>
      </w:r>
    </w:p>
    <w:p w14:paraId="39C6BF10" w14:textId="3F8F3BD3" w:rsidR="001E65E7" w:rsidRDefault="001E65E7" w:rsidP="00433899">
      <w:pPr>
        <w:pStyle w:val="Nivel3SM"/>
      </w:pPr>
      <w:r>
        <w:t>Las administraciones públicas (AAPP) son un tipo único de unidades que tienen autoridad legislativa, ejecutiva o judicial sobre otras unidades. Así, s</w:t>
      </w:r>
      <w:r w:rsidR="009C221C">
        <w:t>ó</w:t>
      </w:r>
      <w:r>
        <w:t>lo las administraciones públicas tienen el poder de recaudar impuestos, de modificar la política fiscal y de aprobar leyes que afecten al comportamiento del resto de unidades económicas.</w:t>
      </w:r>
    </w:p>
    <w:p w14:paraId="189C9850" w14:textId="77777777" w:rsidR="001E65E7" w:rsidRDefault="001E65E7" w:rsidP="00433899">
      <w:pPr>
        <w:pStyle w:val="Prrafodelista"/>
        <w:keepNext/>
        <w:numPr>
          <w:ilvl w:val="0"/>
          <w:numId w:val="16"/>
        </w:numPr>
        <w:spacing w:after="0"/>
        <w:ind w:left="567" w:hanging="113"/>
      </w:pPr>
      <w:r>
        <w:t>El consumo y la inversión de las AAPP tienen un peso significativo en el PIB.</w:t>
      </w:r>
    </w:p>
    <w:p w14:paraId="4A8C0430" w14:textId="77777777" w:rsidR="001E65E7" w:rsidRDefault="001E65E7" w:rsidP="00433899">
      <w:pPr>
        <w:pStyle w:val="Nivel3SM"/>
      </w:pPr>
      <w:r>
        <w:t>En el caso de España, la suma de consumo e inversión de las AAPP representa alrededor del 20 % del PIB a precios corrientes si se observa la serie anual 1995-2016.</w:t>
      </w:r>
    </w:p>
    <w:p w14:paraId="78897815" w14:textId="77777777" w:rsidR="001E65E7" w:rsidRDefault="001E65E7" w:rsidP="00433899">
      <w:pPr>
        <w:pStyle w:val="Nivel3SM"/>
      </w:pPr>
      <w:r>
        <w:t>La Administración Pública es, por tanto, un agente macroeconómico relevante. Sin embargo, la importancia del sector público no se debe únicamente al peso de las variables anteriores sobre el PIB, ya que la aportación de otros sectores al PIB (por ejemplo, la aportación de los hogares) es significativamente mayor que la de las AAPP.</w:t>
      </w:r>
    </w:p>
    <w:p w14:paraId="4CD0A4E1" w14:textId="77777777" w:rsidR="001E65E7" w:rsidRDefault="001E65E7" w:rsidP="00433899">
      <w:pPr>
        <w:pStyle w:val="Prrafodelista"/>
        <w:keepNext/>
        <w:numPr>
          <w:ilvl w:val="0"/>
          <w:numId w:val="16"/>
        </w:numPr>
        <w:spacing w:after="0"/>
        <w:ind w:left="567" w:hanging="113"/>
      </w:pPr>
      <w:r>
        <w:t xml:space="preserve">La importancia del sector público en la economía radica sobre todo en que es este sector el principal responsable de instrumentar las políticas económicas (fiscal, monetaria, comercial, de rentas, etc. </w:t>
      </w:r>
      <w:r w:rsidRPr="00FD1B81">
        <w:rPr>
          <w:color w:val="767171" w:themeColor="background2" w:themeShade="80"/>
          <w:sz w:val="19"/>
          <w:szCs w:val="19"/>
        </w:rPr>
        <w:t>[ver temas del tercer ejercicio]</w:t>
      </w:r>
      <w:r>
        <w:t>) que inciden en las variables macroeconómicas (renta, consumo, empleo, déficit público, inflación…) con el fin de estabilizar la economía. Así, las políticas del sector público inciden en el nivel de producción, empleo, inflación, etc. tratando de alcanzar los objetivos de política económica (crecimiento económico, pleno empleo, estabilidad de precios y equilibrio externo)</w:t>
      </w:r>
      <w:r>
        <w:rPr>
          <w:rStyle w:val="Refdenotaalpie"/>
        </w:rPr>
        <w:footnoteReference w:id="6"/>
      </w:r>
      <w:r>
        <w:t>.</w:t>
      </w:r>
    </w:p>
    <w:p w14:paraId="7B523143" w14:textId="77777777" w:rsidR="001E65E7" w:rsidRDefault="001E65E7" w:rsidP="00433899">
      <w:pPr>
        <w:pStyle w:val="Nivel3SM"/>
      </w:pPr>
      <w:r>
        <w:t xml:space="preserve">La </w:t>
      </w:r>
      <w:r w:rsidRPr="00FD1B81">
        <w:rPr>
          <w:i/>
          <w:iCs/>
        </w:rPr>
        <w:t>política monetaria</w:t>
      </w:r>
      <w:r>
        <w:t xml:space="preserve"> tiene por objetivo la estabilidad de precios y consiste en la manipulación, por parte de las autoridades económicas, de la cantidad o del precio del dinero (tipo de interés). En el caso de los países de la zona euro, la política monetaria es responsabilidad del BCE, que es una institución financiera pública de la UE.</w:t>
      </w:r>
    </w:p>
    <w:p w14:paraId="1B38DC44" w14:textId="450D8106" w:rsidR="001E65E7" w:rsidRDefault="001E65E7" w:rsidP="00433899">
      <w:pPr>
        <w:pStyle w:val="Nivel3SM"/>
        <w:keepNext/>
      </w:pPr>
      <w:r>
        <w:t xml:space="preserve">La </w:t>
      </w:r>
      <w:r w:rsidRPr="00FD1B81">
        <w:rPr>
          <w:i/>
          <w:iCs/>
        </w:rPr>
        <w:t>política fiscal</w:t>
      </w:r>
      <w:r>
        <w:t xml:space="preserve"> se define como la acción por parte de los poderes públicos, a través del </w:t>
      </w:r>
      <w:r w:rsidR="009C221C">
        <w:t>g</w:t>
      </w:r>
      <w:r>
        <w:t>asto y de los ingresos de la administración, tendente a estabilizar la economía. Su objetivo es conseguir un nivel de renta compatible con el pleno empleo y la estabilidad de precios. Por lo que atañe a la política fiscal, aún en la zona euro, los gobiernos tienen autonomía para elaborar sus presupuestos y diseñar sus políticas de impuesto</w:t>
      </w:r>
      <w:r w:rsidR="009C221C">
        <w:t>s</w:t>
      </w:r>
      <w:r>
        <w:t xml:space="preserve"> y gasto público, aunque sujetos a ciertos criterios de obligado cumplimiento.</w:t>
      </w:r>
    </w:p>
    <w:p w14:paraId="6F66D92B" w14:textId="77777777" w:rsidR="001E65E7" w:rsidRDefault="001E65E7" w:rsidP="00433899">
      <w:pPr>
        <w:pStyle w:val="Nivel4"/>
        <w:keepNext/>
        <w:ind w:left="1474"/>
      </w:pPr>
      <w:r>
        <w:t xml:space="preserve">La política fiscal cuenta con 2 mecanismos para estabilizar la economía </w:t>
      </w:r>
      <w:r w:rsidRPr="007613D4">
        <w:rPr>
          <w:color w:val="767171" w:themeColor="background2" w:themeShade="80"/>
          <w:sz w:val="19"/>
          <w:szCs w:val="19"/>
        </w:rPr>
        <w:t>[ver tema 4.B.5]</w:t>
      </w:r>
      <w:r>
        <w:t>:</w:t>
      </w:r>
    </w:p>
    <w:p w14:paraId="57A636DD" w14:textId="114E3391" w:rsidR="001E65E7" w:rsidRDefault="001E65E7" w:rsidP="00433899">
      <w:pPr>
        <w:pStyle w:val="Nivel5"/>
        <w:ind w:left="1871"/>
      </w:pPr>
      <w:r>
        <w:t xml:space="preserve">Por un lado, los ingresos y gastos públicos tienen unas características tales que les permiten actuar como </w:t>
      </w:r>
      <w:r w:rsidRPr="007613D4">
        <w:rPr>
          <w:i/>
          <w:iCs/>
        </w:rPr>
        <w:t>estabilizadores</w:t>
      </w:r>
      <w:r w:rsidR="00C2083D">
        <w:rPr>
          <w:i/>
          <w:iCs/>
        </w:rPr>
        <w:t xml:space="preserve"> automáticos</w:t>
      </w:r>
      <w:r>
        <w:t>.</w:t>
      </w:r>
    </w:p>
    <w:p w14:paraId="1E939A06" w14:textId="77777777" w:rsidR="001E65E7" w:rsidRPr="00433899" w:rsidRDefault="001E65E7" w:rsidP="00433899">
      <w:pPr>
        <w:pStyle w:val="Nivel5"/>
        <w:ind w:left="1871"/>
        <w:rPr>
          <w:spacing w:val="-3"/>
        </w:rPr>
      </w:pPr>
      <w:r w:rsidRPr="00433899">
        <w:rPr>
          <w:spacing w:val="-3"/>
        </w:rPr>
        <w:t xml:space="preserve">Por otro lado, las autoridades pueden tomar </w:t>
      </w:r>
      <w:r w:rsidRPr="00433899">
        <w:rPr>
          <w:i/>
          <w:iCs/>
          <w:spacing w:val="-3"/>
        </w:rPr>
        <w:t>decisiones discrecionales</w:t>
      </w:r>
      <w:r w:rsidRPr="00433899">
        <w:rPr>
          <w:spacing w:val="-3"/>
        </w:rPr>
        <w:t xml:space="preserve"> de modificación de los ingresos y gastos públicos con el propósito de estabilizar la economía.</w:t>
      </w:r>
    </w:p>
    <w:p w14:paraId="1F889493" w14:textId="77777777" w:rsidR="001E65E7" w:rsidRDefault="001E65E7" w:rsidP="00433899">
      <w:pPr>
        <w:pStyle w:val="Nivel3SM"/>
      </w:pPr>
      <w:r>
        <w:t xml:space="preserve">La </w:t>
      </w:r>
      <w:r w:rsidRPr="00FD1B81">
        <w:rPr>
          <w:i/>
          <w:iCs/>
        </w:rPr>
        <w:t>política monetaria y la fiscal son interdependientes</w:t>
      </w:r>
      <w:r>
        <w:t xml:space="preserve"> y necesitan coordinarse para jugar un papel estabilizador. Esta relación entre ambas se pone de manifiesto en la Restricción Presupuestaria del Gobierno </w:t>
      </w:r>
      <w:r w:rsidRPr="0028270F">
        <w:rPr>
          <w:color w:val="767171" w:themeColor="background2" w:themeShade="80"/>
          <w:sz w:val="19"/>
          <w:szCs w:val="19"/>
        </w:rPr>
        <w:t>[</w:t>
      </w:r>
      <w:r>
        <w:rPr>
          <w:color w:val="767171" w:themeColor="background2" w:themeShade="80"/>
          <w:sz w:val="19"/>
          <w:szCs w:val="19"/>
        </w:rPr>
        <w:t>ver tema 3.A.38</w:t>
      </w:r>
      <w:r w:rsidRPr="0028270F">
        <w:rPr>
          <w:color w:val="767171" w:themeColor="background2" w:themeShade="80"/>
          <w:sz w:val="19"/>
          <w:szCs w:val="19"/>
        </w:rPr>
        <w:t>]</w:t>
      </w:r>
      <w:r>
        <w:t>: el déficit público, aparte de tener un efecto sobre la producción, puede también afectar a la cantidad de dinero en circulación y a la tenencia de activos públicos por parte de los agentes económicos, atendiendo a la forma en que dicho déficit se financie.</w:t>
      </w:r>
    </w:p>
    <w:p w14:paraId="660C182D" w14:textId="16395341" w:rsidR="00923019" w:rsidRDefault="004A09C8" w:rsidP="00D636B8">
      <w:pPr>
        <w:pStyle w:val="Ttulo1"/>
      </w:pPr>
      <w:bookmarkStart w:id="9" w:name="_Toc151113559"/>
      <w:r>
        <w:lastRenderedPageBreak/>
        <w:t>DELIMITACIÓN</w:t>
      </w:r>
      <w:r w:rsidR="00675BCE">
        <w:t xml:space="preserve"> DEL SECTOR P</w:t>
      </w:r>
      <w:r w:rsidR="00675BCE">
        <w:rPr>
          <w:lang w:val="en-GB"/>
        </w:rPr>
        <w:t>ÚBLICO</w:t>
      </w:r>
      <w:bookmarkEnd w:id="9"/>
    </w:p>
    <w:p w14:paraId="0B033A14" w14:textId="77777777" w:rsidR="007675D5" w:rsidRDefault="007675D5" w:rsidP="007675D5">
      <w:pPr>
        <w:pStyle w:val="Nivel1SM"/>
        <w:keepNext/>
        <w:spacing w:before="0" w:after="0"/>
      </w:pPr>
      <w:r>
        <w:t xml:space="preserve">Como recita el aforismo: </w:t>
      </w:r>
      <w:r w:rsidRPr="00433899">
        <w:rPr>
          <w:i/>
          <w:iCs/>
        </w:rPr>
        <w:t>“no se puede gestionar lo que no se puede medir”</w:t>
      </w:r>
      <w:r>
        <w:t>.</w:t>
      </w:r>
    </w:p>
    <w:p w14:paraId="15D7C14C" w14:textId="77777777" w:rsidR="007675D5" w:rsidRDefault="007675D5" w:rsidP="007675D5">
      <w:pPr>
        <w:pStyle w:val="Nivel2SM"/>
        <w:keepNext/>
        <w:spacing w:after="0"/>
      </w:pPr>
      <w:r>
        <w:t>En este sentido, si queremos estudiar el comportamiento agregado de una economía, necesitamos una forma de registrar las actividades económicas que tienen lugar dentro del propio país con el fin de extraer una serie de macromagnitudes que van a proporcionar una información relevante del estado de una economía.</w:t>
      </w:r>
    </w:p>
    <w:p w14:paraId="111F44A6" w14:textId="3ECA018C" w:rsidR="007675D5" w:rsidRDefault="007675D5" w:rsidP="007675D5">
      <w:pPr>
        <w:pStyle w:val="Nivel3SM"/>
      </w:pPr>
      <w:r>
        <w:t xml:space="preserve">Este es el cometido de la </w:t>
      </w:r>
      <w:r>
        <w:rPr>
          <w:i/>
          <w:iCs/>
        </w:rPr>
        <w:t>Contabilidad Nacional</w:t>
      </w:r>
      <w:r>
        <w:rPr>
          <w:rStyle w:val="Refdenotaalpie"/>
        </w:rPr>
        <w:footnoteReference w:id="7"/>
      </w:r>
      <w:r w:rsidRPr="007675D5">
        <w:rPr>
          <w:vertAlign w:val="superscript"/>
        </w:rPr>
        <w:t>,</w:t>
      </w:r>
      <w:r w:rsidRPr="007675D5">
        <w:rPr>
          <w:rStyle w:val="Refdenotaalpie"/>
          <w:spacing w:val="-3"/>
        </w:rPr>
        <w:footnoteReference w:id="8"/>
      </w:r>
      <w:r w:rsidRPr="007675D5">
        <w:rPr>
          <w:vertAlign w:val="superscript"/>
        </w:rPr>
        <w:t>,</w:t>
      </w:r>
      <w:r w:rsidRPr="007675D5">
        <w:rPr>
          <w:rStyle w:val="Refdenotaalpie"/>
        </w:rPr>
        <w:footnoteReference w:id="9"/>
      </w:r>
      <w:r w:rsidRPr="007675D5">
        <w:rPr>
          <w:vertAlign w:val="superscript"/>
        </w:rPr>
        <w:t>,</w:t>
      </w:r>
      <w:r w:rsidRPr="007675D5">
        <w:rPr>
          <w:rStyle w:val="Refdenotaalpie"/>
          <w:spacing w:val="-3"/>
        </w:rPr>
        <w:footnoteReference w:id="10"/>
      </w:r>
      <w:r w:rsidRPr="007675D5">
        <w:rPr>
          <w:vertAlign w:val="superscript"/>
        </w:rPr>
        <w:t>,</w:t>
      </w:r>
      <w:r w:rsidRPr="007675D5">
        <w:rPr>
          <w:rStyle w:val="Refdenotaalpie"/>
        </w:rPr>
        <w:footnoteReference w:id="11"/>
      </w:r>
      <w:r>
        <w:t>.</w:t>
      </w:r>
    </w:p>
    <w:p w14:paraId="32B6EF4E" w14:textId="08A6BCFD" w:rsidR="007675D5" w:rsidRDefault="007675D5" w:rsidP="007675D5">
      <w:pPr>
        <w:pStyle w:val="Nivel3SM"/>
      </w:pPr>
      <w:r>
        <w:t>Y debido a los motivos expuestos, es de especial relevancia conocer la actividad desarrollada por el sector público.</w:t>
      </w:r>
    </w:p>
    <w:p w14:paraId="07EC303D" w14:textId="502358A0" w:rsidR="007675D5" w:rsidRDefault="007675D5" w:rsidP="007675D5">
      <w:pPr>
        <w:pStyle w:val="Nivel1SM"/>
      </w:pPr>
      <w:r>
        <w:t xml:space="preserve">Pero para ello, antes debemos responder a una cuestión clave </w:t>
      </w:r>
      <w:r w:rsidRPr="006E4DEE">
        <w:rPr>
          <w:b/>
          <w:bCs/>
        </w:rPr>
        <w:t>¿qué es el sector público?</w:t>
      </w:r>
    </w:p>
    <w:p w14:paraId="6E35A500" w14:textId="189EC429" w:rsidR="00A40503" w:rsidRPr="00C07581" w:rsidRDefault="00437F99" w:rsidP="00A00EBA">
      <w:pPr>
        <w:pStyle w:val="Ttulo2"/>
      </w:pPr>
      <w:bookmarkStart w:id="10" w:name="_Toc151113560"/>
      <w:r>
        <w:t>Definición desde el punto de vista económico</w:t>
      </w:r>
      <w:r>
        <w:br/>
        <w:t>(dependencia de la autoridad de los poderes públicos y principio de autoridad)</w:t>
      </w:r>
      <w:bookmarkEnd w:id="10"/>
    </w:p>
    <w:p w14:paraId="076DD0F7" w14:textId="77777777" w:rsidR="00B00B80" w:rsidRDefault="005E4891" w:rsidP="00F712FB">
      <w:pPr>
        <w:pStyle w:val="Nivel1SM"/>
        <w:keepNext/>
        <w:spacing w:before="0" w:after="0"/>
      </w:pPr>
      <w:r>
        <w:t>N</w:t>
      </w:r>
      <w:r w:rsidR="00A40503">
        <w:t xml:space="preserve">o existe un criterio único generalmente aceptado para </w:t>
      </w:r>
      <w:r w:rsidR="00A40503" w:rsidRPr="00437F99">
        <w:t>caracterizar</w:t>
      </w:r>
      <w:r w:rsidR="00CA52A8" w:rsidRPr="00437F99">
        <w:t>lo</w:t>
      </w:r>
      <w:r w:rsidR="00A40503">
        <w:t xml:space="preserve"> y delimitar</w:t>
      </w:r>
      <w:r w:rsidR="00CA52A8">
        <w:t>lo</w:t>
      </w:r>
      <w:r w:rsidR="00A40503">
        <w:t>.</w:t>
      </w:r>
    </w:p>
    <w:p w14:paraId="1A935951" w14:textId="59032774" w:rsidR="00A40503" w:rsidRDefault="00437F99" w:rsidP="00437F99">
      <w:pPr>
        <w:pStyle w:val="Nivel2SM"/>
        <w:keepNext/>
        <w:spacing w:after="0"/>
      </w:pPr>
      <w:r w:rsidRPr="006E4DEE">
        <w:t xml:space="preserve">En cualquier caso, </w:t>
      </w:r>
      <w:r w:rsidRPr="006E4DEE">
        <w:rPr>
          <w:b/>
          <w:bCs/>
        </w:rPr>
        <w:t>d</w:t>
      </w:r>
      <w:r w:rsidR="00A40503" w:rsidRPr="006E4DEE">
        <w:rPr>
          <w:b/>
          <w:bCs/>
        </w:rPr>
        <w:t>esde el punto de vista económico</w:t>
      </w:r>
      <w:r w:rsidR="00C96D3C" w:rsidRPr="006E4DEE">
        <w:t>,</w:t>
      </w:r>
      <w:r w:rsidR="00A40503" w:rsidRPr="006E4DEE">
        <w:t xml:space="preserve"> un</w:t>
      </w:r>
      <w:r w:rsidR="005E4891" w:rsidRPr="006E4DEE">
        <w:t>a unidad institucional</w:t>
      </w:r>
      <w:r w:rsidR="00A40503" w:rsidRPr="006E4DEE">
        <w:t xml:space="preserve"> pertenece al Sector Público </w:t>
      </w:r>
      <w:r w:rsidR="00A40503" w:rsidRPr="006E4DEE">
        <w:rPr>
          <w:i/>
          <w:iCs/>
        </w:rPr>
        <w:t>si sus</w:t>
      </w:r>
      <w:r w:rsidR="00A40503" w:rsidRPr="006E4DEE">
        <w:t xml:space="preserve"> </w:t>
      </w:r>
      <w:r w:rsidR="00A40503" w:rsidRPr="006E4DEE">
        <w:rPr>
          <w:i/>
          <w:iCs/>
        </w:rPr>
        <w:t xml:space="preserve">decisiones </w:t>
      </w:r>
      <w:r w:rsidRPr="006E4DEE">
        <w:rPr>
          <w:i/>
          <w:iCs/>
        </w:rPr>
        <w:t>son dependientes de la autoridad de los poderes públicos</w:t>
      </w:r>
      <w:r>
        <w:rPr>
          <w:i/>
          <w:iCs/>
        </w:rPr>
        <w:t xml:space="preserve"> </w:t>
      </w:r>
      <w:r w:rsidR="006E4DEE">
        <w:rPr>
          <w:i/>
          <w:iCs/>
        </w:rPr>
        <w:t xml:space="preserve">(i.e. </w:t>
      </w:r>
      <w:r w:rsidR="00A40503" w:rsidRPr="00C96D3C">
        <w:rPr>
          <w:i/>
          <w:iCs/>
        </w:rPr>
        <w:t xml:space="preserve">se basan esencialmente en el </w:t>
      </w:r>
      <w:r w:rsidR="00A40503" w:rsidRPr="00437F99">
        <w:rPr>
          <w:i/>
          <w:iCs/>
          <w:u w:val="single"/>
        </w:rPr>
        <w:t>principio de autoridad</w:t>
      </w:r>
      <w:r w:rsidR="00A40503" w:rsidRPr="00437F99">
        <w:rPr>
          <w:i/>
          <w:iCs/>
        </w:rPr>
        <w:t>, jugando el principio de mercado un papel reducido o nulo</w:t>
      </w:r>
      <w:r w:rsidR="006E4DEE">
        <w:rPr>
          <w:i/>
          <w:iCs/>
        </w:rPr>
        <w:t>)</w:t>
      </w:r>
      <w:r w:rsidR="00C96D3C">
        <w:rPr>
          <w:rStyle w:val="Refdenotaalpie"/>
        </w:rPr>
        <w:footnoteReference w:id="12"/>
      </w:r>
      <w:r w:rsidR="00A40503">
        <w:t>.</w:t>
      </w:r>
    </w:p>
    <w:p w14:paraId="5E4ED6AC" w14:textId="43D4A7BF" w:rsidR="00437F99" w:rsidRDefault="00437F99" w:rsidP="00437F99">
      <w:pPr>
        <w:pStyle w:val="Nivel3SM"/>
      </w:pPr>
      <w:r>
        <w:t xml:space="preserve">Esta definición resulta, no obstante, </w:t>
      </w:r>
      <w:r w:rsidRPr="00121A82">
        <w:rPr>
          <w:b/>
          <w:bCs/>
        </w:rPr>
        <w:t>insuficiente</w:t>
      </w:r>
      <w:r>
        <w:t>, ya que la autoridad puede ejercerse sin necesidad</w:t>
      </w:r>
      <w:r w:rsidR="000A3691">
        <w:t xml:space="preserve"> </w:t>
      </w:r>
      <w:r>
        <w:t>de que la propiedad del capital sea pública (p.ej. en aque</w:t>
      </w:r>
      <w:r w:rsidR="000A3691">
        <w:t>ll</w:t>
      </w:r>
      <w:r>
        <w:t>as empresas privadas cuyos precios son regulados).</w:t>
      </w:r>
    </w:p>
    <w:p w14:paraId="41C2AF7B" w14:textId="69A137C2" w:rsidR="00437F99" w:rsidRDefault="00437F99" w:rsidP="00437F99">
      <w:pPr>
        <w:pStyle w:val="Nivel3SM"/>
        <w:keepNext/>
      </w:pPr>
      <w:r>
        <w:t>Así, hay que completar la definición del sector público analizando:</w:t>
      </w:r>
    </w:p>
    <w:p w14:paraId="21615472" w14:textId="18D95EAE" w:rsidR="00551434" w:rsidRDefault="00551434">
      <w:pPr>
        <w:pStyle w:val="Prrafodelista"/>
        <w:numPr>
          <w:ilvl w:val="0"/>
          <w:numId w:val="12"/>
        </w:numPr>
        <w:spacing w:after="0"/>
        <w:ind w:left="1418" w:hanging="284"/>
      </w:pPr>
      <w:r>
        <w:t>Criterios jurídicos.</w:t>
      </w:r>
    </w:p>
    <w:p w14:paraId="01981B1D" w14:textId="77777777" w:rsidR="00551434" w:rsidRDefault="00551434">
      <w:pPr>
        <w:pStyle w:val="Prrafodelista"/>
        <w:numPr>
          <w:ilvl w:val="0"/>
          <w:numId w:val="12"/>
        </w:numPr>
        <w:spacing w:after="0"/>
        <w:ind w:left="1418" w:hanging="284"/>
      </w:pPr>
      <w:r>
        <w:t>Su organización (criterios contables).</w:t>
      </w:r>
    </w:p>
    <w:p w14:paraId="021962EB" w14:textId="7207A33A" w:rsidR="00437F99" w:rsidRPr="00973377" w:rsidRDefault="00437F99" w:rsidP="00A00EBA">
      <w:pPr>
        <w:pStyle w:val="Ttulo2"/>
      </w:pPr>
      <w:bookmarkStart w:id="11" w:name="_Toc151113561"/>
      <w:r w:rsidRPr="00973377">
        <w:lastRenderedPageBreak/>
        <w:t>Completando la definición</w:t>
      </w:r>
      <w:bookmarkEnd w:id="11"/>
    </w:p>
    <w:p w14:paraId="46643AD5" w14:textId="77777777" w:rsidR="00551434" w:rsidRPr="00973377" w:rsidRDefault="00551434" w:rsidP="00973377">
      <w:pPr>
        <w:pStyle w:val="Ttulo3"/>
        <w:spacing w:before="0"/>
      </w:pPr>
      <w:bookmarkStart w:id="12" w:name="_Toc151113562"/>
      <w:r w:rsidRPr="00973377">
        <w:t>Criterios jurídicos</w:t>
      </w:r>
      <w:bookmarkEnd w:id="12"/>
    </w:p>
    <w:p w14:paraId="0E31DE57" w14:textId="42EFC517" w:rsidR="00551434" w:rsidRPr="00973377" w:rsidRDefault="00551434" w:rsidP="009314E8">
      <w:pPr>
        <w:pStyle w:val="Nivel1SM"/>
        <w:keepNext/>
        <w:spacing w:before="0" w:after="0"/>
      </w:pPr>
      <w:r w:rsidRPr="00AF55D2">
        <w:rPr>
          <w:b/>
          <w:bCs/>
        </w:rPr>
        <w:t>Desde un punto de vista jurídico</w:t>
      </w:r>
      <w:r w:rsidRPr="00973377">
        <w:t xml:space="preserve">, una unidad institucional pertenece al </w:t>
      </w:r>
      <w:r w:rsidR="00AF55D2">
        <w:t>s</w:t>
      </w:r>
      <w:r w:rsidRPr="00973377">
        <w:t xml:space="preserve">ector </w:t>
      </w:r>
      <w:r w:rsidR="00AF55D2">
        <w:t>p</w:t>
      </w:r>
      <w:r w:rsidRPr="00973377">
        <w:t xml:space="preserve">úblico </w:t>
      </w:r>
      <w:r w:rsidRPr="00973377">
        <w:rPr>
          <w:i/>
          <w:iCs/>
        </w:rPr>
        <w:t>si fue constituida conforme a derecho público</w:t>
      </w:r>
      <w:r w:rsidRPr="00973377">
        <w:t>. Esto implica el cumplimiento de una serie de características en términos de regulación o régimen presupuestario entre otros.</w:t>
      </w:r>
    </w:p>
    <w:p w14:paraId="2A2B64BB" w14:textId="77777777" w:rsidR="00551434" w:rsidRPr="009314E8" w:rsidRDefault="00551434" w:rsidP="009314E8">
      <w:pPr>
        <w:pStyle w:val="Nivel2SM"/>
        <w:keepNext/>
        <w:spacing w:after="0"/>
        <w:rPr>
          <w:spacing w:val="-2"/>
        </w:rPr>
      </w:pPr>
      <w:r w:rsidRPr="009314E8">
        <w:rPr>
          <w:spacing w:val="-2"/>
        </w:rPr>
        <w:t xml:space="preserve">Las </w:t>
      </w:r>
      <w:r w:rsidRPr="009314E8">
        <w:rPr>
          <w:b/>
          <w:bCs/>
          <w:spacing w:val="-2"/>
        </w:rPr>
        <w:t>formas jurídicas</w:t>
      </w:r>
      <w:r w:rsidRPr="009314E8">
        <w:rPr>
          <w:spacing w:val="-2"/>
        </w:rPr>
        <w:t xml:space="preserve"> que pueden adoptar las instituciones públicas son </w:t>
      </w:r>
      <w:r w:rsidRPr="009314E8">
        <w:rPr>
          <w:b/>
          <w:bCs/>
          <w:spacing w:val="-2"/>
        </w:rPr>
        <w:t>muy variadas</w:t>
      </w:r>
      <w:r w:rsidRPr="009314E8">
        <w:rPr>
          <w:spacing w:val="-2"/>
        </w:rPr>
        <w:t xml:space="preserve"> y los criterios para llevar a cabo una presentación de </w:t>
      </w:r>
      <w:proofErr w:type="gramStart"/>
      <w:r w:rsidRPr="009314E8">
        <w:rPr>
          <w:spacing w:val="-2"/>
        </w:rPr>
        <w:t>las mismas</w:t>
      </w:r>
      <w:proofErr w:type="gramEnd"/>
      <w:r w:rsidRPr="009314E8">
        <w:rPr>
          <w:spacing w:val="-2"/>
        </w:rPr>
        <w:t xml:space="preserve"> pueden concretarse en las siguientes:</w:t>
      </w:r>
    </w:p>
    <w:p w14:paraId="5DC42B74" w14:textId="77777777" w:rsidR="00551434" w:rsidRPr="00973377" w:rsidRDefault="00551434" w:rsidP="009314E8">
      <w:pPr>
        <w:pStyle w:val="Nivel3SM"/>
      </w:pPr>
      <w:r w:rsidRPr="00973377">
        <w:rPr>
          <w:i/>
          <w:iCs/>
          <w:u w:val="single"/>
        </w:rPr>
        <w:t>Regulación</w:t>
      </w:r>
      <w:r w:rsidRPr="00973377">
        <w:t>: Según que las entidades estén o no sujetas a una regulación general en una misma clase o categoría.</w:t>
      </w:r>
    </w:p>
    <w:p w14:paraId="49C3F2F5" w14:textId="77777777" w:rsidR="00551434" w:rsidRPr="00973377" w:rsidRDefault="00551434" w:rsidP="009314E8">
      <w:pPr>
        <w:pStyle w:val="Nivel3SM"/>
      </w:pPr>
      <w:r w:rsidRPr="00973377">
        <w:rPr>
          <w:i/>
          <w:iCs/>
          <w:u w:val="single"/>
        </w:rPr>
        <w:t>Régimen presupuestario</w:t>
      </w:r>
      <w:r w:rsidRPr="00973377">
        <w:t>: Es posible diferenciar entre entidades con sometimiento pleno al régimen presupuestario público y con sus presupuestos integrados en los Presupuestos Generales del Estado (PGE); o por el contrario, sin sometimiento al régimen presupuestario público (p.ej. Banco de España).</w:t>
      </w:r>
    </w:p>
    <w:p w14:paraId="7D4C7778" w14:textId="77777777" w:rsidR="00551434" w:rsidRPr="00973377" w:rsidRDefault="00551434" w:rsidP="009314E8">
      <w:pPr>
        <w:pStyle w:val="Nivel3SM"/>
      </w:pPr>
      <w:r w:rsidRPr="00973377">
        <w:rPr>
          <w:i/>
          <w:iCs/>
          <w:u w:val="single"/>
        </w:rPr>
        <w:t>Régimen financiero y de tesorería</w:t>
      </w:r>
      <w:r w:rsidRPr="00973377">
        <w:t>: Podemos diferenciar entre entidades cuya tesorería se integra en el Tesoro Público y entidades cuyo régimen financiero y de tesorería está regulado por una normativa específica.</w:t>
      </w:r>
    </w:p>
    <w:p w14:paraId="799027F5" w14:textId="29443AF8" w:rsidR="00551434" w:rsidRPr="00973377" w:rsidRDefault="00551434" w:rsidP="009314E8">
      <w:pPr>
        <w:pStyle w:val="Nivel3SM"/>
        <w:rPr>
          <w:spacing w:val="-2"/>
        </w:rPr>
      </w:pPr>
      <w:r w:rsidRPr="00973377">
        <w:rPr>
          <w:i/>
          <w:iCs/>
          <w:spacing w:val="-2"/>
          <w:u w:val="single"/>
        </w:rPr>
        <w:t>Control</w:t>
      </w:r>
      <w:r w:rsidRPr="00973377">
        <w:rPr>
          <w:spacing w:val="-2"/>
        </w:rPr>
        <w:t>: Podemos diferenciar entre entidades sujetas sin limitación a control pre</w:t>
      </w:r>
      <w:r w:rsidR="00973377">
        <w:rPr>
          <w:spacing w:val="-2"/>
        </w:rPr>
        <w:t>v</w:t>
      </w:r>
      <w:r w:rsidRPr="00973377">
        <w:rPr>
          <w:spacing w:val="-2"/>
        </w:rPr>
        <w:t>io de legalidad (ministerios) y entidades no sujetas a control previo de legalidad (RTVE).</w:t>
      </w:r>
    </w:p>
    <w:p w14:paraId="2A59DB77" w14:textId="77777777" w:rsidR="00551434" w:rsidRPr="00973377" w:rsidRDefault="00551434" w:rsidP="009314E8">
      <w:pPr>
        <w:pStyle w:val="Nivel3SM"/>
      </w:pPr>
      <w:r w:rsidRPr="00973377">
        <w:rPr>
          <w:i/>
          <w:iCs/>
          <w:u w:val="single"/>
        </w:rPr>
        <w:t>Contabilidad</w:t>
      </w:r>
      <w:r w:rsidRPr="00973377">
        <w:t>: Podemos encontrar instituciones públicas sometidas al Plan General de Contabilidad Pública, o por el contrario, instituciones públicas con su contabilidad adaptada al Plan General de las empresas.</w:t>
      </w:r>
    </w:p>
    <w:p w14:paraId="544528A4" w14:textId="77777777" w:rsidR="00551434" w:rsidRPr="00973377" w:rsidRDefault="00551434" w:rsidP="009314E8">
      <w:pPr>
        <w:pStyle w:val="Nivel3SM"/>
      </w:pPr>
      <w:r w:rsidRPr="00973377">
        <w:rPr>
          <w:i/>
          <w:iCs/>
          <w:u w:val="single"/>
        </w:rPr>
        <w:t>Régimen de contratación</w:t>
      </w:r>
      <w:r w:rsidRPr="00973377">
        <w:t>: Podemos diferenciar entre aquellas entidades sujetas a las leyes de contratación de las Administraciones Públicas y aquellas que no lo están.</w:t>
      </w:r>
    </w:p>
    <w:p w14:paraId="7C34EF32" w14:textId="6E7D91EA" w:rsidR="00551434" w:rsidRPr="00973377" w:rsidRDefault="00E37517" w:rsidP="009314E8">
      <w:pPr>
        <w:pStyle w:val="Nivel2SM"/>
        <w:keepNext/>
        <w:spacing w:after="0"/>
      </w:pPr>
      <w:r>
        <w:t>Debido a las múltiples interpretaciones</w:t>
      </w:r>
      <w:r w:rsidR="00551434" w:rsidRPr="00973377">
        <w:t>, la forma jurídica de una entidad no es determinante para clasificarla en un sector u otro de la economía.</w:t>
      </w:r>
    </w:p>
    <w:p w14:paraId="15C94648" w14:textId="77777777" w:rsidR="00551434" w:rsidRPr="00973377" w:rsidRDefault="00551434" w:rsidP="009314E8">
      <w:pPr>
        <w:pStyle w:val="Nivel3SM"/>
      </w:pPr>
      <w:r w:rsidRPr="00973377">
        <w:t>Así, ni los criterios económicos (autoridad) ni los jurídicos (derecho público) son suficientes para delimitar de forma clara y precisa qué actividades, objetivos, formas de financiación y criterios de funcionamiento constituyen el sector público y lo diferencian del privado.</w:t>
      </w:r>
    </w:p>
    <w:p w14:paraId="6599E809" w14:textId="5B45CB76" w:rsidR="00551434" w:rsidRPr="00973377" w:rsidRDefault="002F78C3" w:rsidP="009314E8">
      <w:pPr>
        <w:pStyle w:val="Nivel3SM"/>
        <w:rPr>
          <w:spacing w:val="-2"/>
        </w:rPr>
      </w:pPr>
      <w:r>
        <w:rPr>
          <w:spacing w:val="-2"/>
        </w:rPr>
        <w:t>P</w:t>
      </w:r>
      <w:r w:rsidR="00551434" w:rsidRPr="00973377">
        <w:rPr>
          <w:spacing w:val="-2"/>
        </w:rPr>
        <w:t>or tanto</w:t>
      </w:r>
      <w:r>
        <w:rPr>
          <w:spacing w:val="-2"/>
        </w:rPr>
        <w:t>, es</w:t>
      </w:r>
      <w:r w:rsidR="00551434" w:rsidRPr="00973377">
        <w:rPr>
          <w:spacing w:val="-2"/>
        </w:rPr>
        <w:t xml:space="preserve"> necesario recurrir a algún tipo de convención que permita a su vez realizar comparaciones internacionales. Es aquí donde entran en juego los criterios contables.</w:t>
      </w:r>
    </w:p>
    <w:p w14:paraId="53E5CD64" w14:textId="66B7B0F0" w:rsidR="00F37CD5" w:rsidRPr="00C07581" w:rsidRDefault="00437F99" w:rsidP="00551434">
      <w:pPr>
        <w:pStyle w:val="Ttulo3"/>
      </w:pPr>
      <w:bookmarkStart w:id="13" w:name="_Toc151113563"/>
      <w:r>
        <w:t>Organización</w:t>
      </w:r>
      <w:r w:rsidR="00F37CD5">
        <w:t xml:space="preserve"> (</w:t>
      </w:r>
      <w:r w:rsidR="00F37CD5" w:rsidRPr="00992583">
        <w:t>Criterios contables</w:t>
      </w:r>
      <w:r w:rsidR="00F37CD5">
        <w:t>)</w:t>
      </w:r>
      <w:bookmarkEnd w:id="13"/>
    </w:p>
    <w:p w14:paraId="32054AF9" w14:textId="3F2D76B8" w:rsidR="00F37CD5" w:rsidRDefault="00F37CD5" w:rsidP="009314E8">
      <w:pPr>
        <w:pStyle w:val="Nivel1SM"/>
        <w:keepNext/>
        <w:spacing w:before="0" w:after="0"/>
      </w:pPr>
      <w:r w:rsidRPr="007A6659">
        <w:rPr>
          <w:b/>
          <w:bCs/>
        </w:rPr>
        <w:t>Desde un punto de vista contable</w:t>
      </w:r>
      <w:r w:rsidR="007A6659">
        <w:t>,</w:t>
      </w:r>
      <w:r>
        <w:t xml:space="preserve"> y de acuerdo con el SEC (versión europea del SCN elaborado por la ONU), </w:t>
      </w:r>
      <w:r w:rsidRPr="00C96D3C">
        <w:t>una unidad institucional pertenece al S</w:t>
      </w:r>
      <w:r>
        <w:t xml:space="preserve">ector </w:t>
      </w:r>
      <w:r w:rsidRPr="00C96D3C">
        <w:t>P</w:t>
      </w:r>
      <w:r>
        <w:t xml:space="preserve">úblico </w:t>
      </w:r>
      <w:r w:rsidRPr="00C96D3C">
        <w:rPr>
          <w:i/>
          <w:iCs/>
        </w:rPr>
        <w:t>si puede clasificarse bajo 2</w:t>
      </w:r>
      <w:r>
        <w:rPr>
          <w:i/>
          <w:iCs/>
        </w:rPr>
        <w:t> </w:t>
      </w:r>
      <w:r w:rsidRPr="00C96D3C">
        <w:rPr>
          <w:i/>
          <w:iCs/>
        </w:rPr>
        <w:t>tipos de organizaciones</w:t>
      </w:r>
      <w:r>
        <w:rPr>
          <w:rStyle w:val="Refdenotaalpie"/>
        </w:rPr>
        <w:footnoteReference w:id="13"/>
      </w:r>
      <w:r w:rsidR="000E46DE" w:rsidRPr="000E46DE">
        <w:rPr>
          <w:rFonts w:cs="Times New Roman"/>
          <w:bCs/>
          <w:vertAlign w:val="superscript"/>
        </w:rPr>
        <w:t>,</w:t>
      </w:r>
      <w:r w:rsidR="000E46DE" w:rsidRPr="000E46DE">
        <w:rPr>
          <w:vertAlign w:val="superscript"/>
        </w:rPr>
        <w:footnoteReference w:id="14"/>
      </w:r>
      <w:r w:rsidR="000E46DE">
        <w:t>:</w:t>
      </w:r>
    </w:p>
    <w:p w14:paraId="1019FD8A" w14:textId="391A0E0B" w:rsidR="00F37CD5" w:rsidRDefault="00F37CD5" w:rsidP="009314E8">
      <w:pPr>
        <w:pStyle w:val="Prrafodelista"/>
        <w:numPr>
          <w:ilvl w:val="0"/>
          <w:numId w:val="17"/>
        </w:numPr>
        <w:spacing w:after="0"/>
        <w:ind w:left="567" w:hanging="113"/>
      </w:pPr>
      <w:r w:rsidRPr="007A6659">
        <w:rPr>
          <w:i/>
          <w:iCs/>
          <w:u w:val="single"/>
        </w:rPr>
        <w:t>Administraciones Públicas (AAPP)</w:t>
      </w:r>
      <w:r>
        <w:t>.</w:t>
      </w:r>
    </w:p>
    <w:p w14:paraId="50204AC2" w14:textId="37998FB1" w:rsidR="00F37CD5" w:rsidRDefault="00F37CD5" w:rsidP="009314E8">
      <w:pPr>
        <w:pStyle w:val="Prrafodelista"/>
        <w:numPr>
          <w:ilvl w:val="0"/>
          <w:numId w:val="17"/>
        </w:numPr>
        <w:spacing w:after="0"/>
        <w:ind w:left="567" w:hanging="113"/>
      </w:pPr>
      <w:r w:rsidRPr="007A6659">
        <w:rPr>
          <w:i/>
          <w:iCs/>
          <w:u w:val="single"/>
        </w:rPr>
        <w:t>Sector Público empresarial</w:t>
      </w:r>
      <w:r>
        <w:t>.</w:t>
      </w:r>
    </w:p>
    <w:tbl>
      <w:tblPr>
        <w:tblStyle w:val="Tablaconcuadrcula"/>
        <w:tblW w:w="11509" w:type="dxa"/>
        <w:jc w:val="center"/>
        <w:tblLook w:val="04A0" w:firstRow="1" w:lastRow="0" w:firstColumn="1" w:lastColumn="0" w:noHBand="0" w:noVBand="1"/>
      </w:tblPr>
      <w:tblGrid>
        <w:gridCol w:w="2948"/>
        <w:gridCol w:w="4139"/>
        <w:gridCol w:w="1701"/>
        <w:gridCol w:w="2721"/>
      </w:tblGrid>
      <w:tr w:rsidR="00F37CD5" w:rsidRPr="00416D2F" w14:paraId="2852958A" w14:textId="77777777" w:rsidTr="004711E1">
        <w:trPr>
          <w:jc w:val="center"/>
        </w:trPr>
        <w:tc>
          <w:tcPr>
            <w:tcW w:w="2948" w:type="dxa"/>
          </w:tcPr>
          <w:p w14:paraId="01E0D417" w14:textId="77777777" w:rsidR="00F37CD5" w:rsidRPr="00416D2F" w:rsidRDefault="00F37CD5" w:rsidP="004711E1">
            <w:pPr>
              <w:spacing w:after="0"/>
              <w:rPr>
                <w:b/>
                <w:bCs/>
                <w:lang w:val="es-ES"/>
              </w:rPr>
            </w:pPr>
            <w:r w:rsidRPr="00416D2F">
              <w:rPr>
                <w:b/>
                <w:bCs/>
                <w:lang w:val="es-ES"/>
              </w:rPr>
              <w:t>Sector doméstico (S.1)</w:t>
            </w:r>
          </w:p>
        </w:tc>
        <w:tc>
          <w:tcPr>
            <w:tcW w:w="4139" w:type="dxa"/>
          </w:tcPr>
          <w:p w14:paraId="29352124" w14:textId="77777777" w:rsidR="00F37CD5" w:rsidRPr="00416D2F" w:rsidRDefault="00F37CD5" w:rsidP="004711E1">
            <w:pPr>
              <w:spacing w:after="0"/>
              <w:rPr>
                <w:b/>
                <w:bCs/>
                <w:lang w:val="es-ES"/>
              </w:rPr>
            </w:pPr>
            <w:r w:rsidRPr="00416D2F">
              <w:rPr>
                <w:b/>
                <w:bCs/>
                <w:lang w:val="es-ES"/>
              </w:rPr>
              <w:t>Función</w:t>
            </w:r>
          </w:p>
        </w:tc>
        <w:tc>
          <w:tcPr>
            <w:tcW w:w="1701" w:type="dxa"/>
          </w:tcPr>
          <w:p w14:paraId="7645310D" w14:textId="77777777" w:rsidR="00F37CD5" w:rsidRPr="00416D2F" w:rsidRDefault="00F37CD5" w:rsidP="004711E1">
            <w:pPr>
              <w:spacing w:after="0"/>
              <w:rPr>
                <w:b/>
                <w:bCs/>
                <w:lang w:val="es-ES"/>
              </w:rPr>
            </w:pPr>
            <w:r w:rsidRPr="00416D2F">
              <w:rPr>
                <w:b/>
                <w:bCs/>
                <w:lang w:val="es-ES"/>
              </w:rPr>
              <w:t>Productor</w:t>
            </w:r>
          </w:p>
        </w:tc>
        <w:tc>
          <w:tcPr>
            <w:tcW w:w="2721" w:type="dxa"/>
          </w:tcPr>
          <w:p w14:paraId="5777C1CC" w14:textId="77777777" w:rsidR="00F37CD5" w:rsidRPr="00416D2F" w:rsidRDefault="00F37CD5" w:rsidP="004711E1">
            <w:pPr>
              <w:spacing w:after="0"/>
              <w:rPr>
                <w:b/>
                <w:bCs/>
                <w:lang w:val="es-ES"/>
              </w:rPr>
            </w:pPr>
            <w:r w:rsidRPr="00416D2F">
              <w:rPr>
                <w:b/>
                <w:bCs/>
                <w:lang w:val="es-ES"/>
              </w:rPr>
              <w:t>Sector público o privado</w:t>
            </w:r>
          </w:p>
        </w:tc>
      </w:tr>
      <w:tr w:rsidR="00F37CD5" w:rsidRPr="00416D2F" w14:paraId="1D0F928D" w14:textId="77777777" w:rsidTr="004711E1">
        <w:trPr>
          <w:jc w:val="center"/>
        </w:trPr>
        <w:tc>
          <w:tcPr>
            <w:tcW w:w="2948" w:type="dxa"/>
          </w:tcPr>
          <w:p w14:paraId="033F8E3A" w14:textId="77777777" w:rsidR="00F37CD5" w:rsidRPr="00416D2F" w:rsidRDefault="00F37CD5" w:rsidP="004711E1">
            <w:pPr>
              <w:spacing w:after="0"/>
              <w:rPr>
                <w:sz w:val="19"/>
                <w:szCs w:val="19"/>
                <w:lang w:val="es-ES"/>
              </w:rPr>
            </w:pPr>
            <w:r w:rsidRPr="00416D2F">
              <w:rPr>
                <w:sz w:val="19"/>
                <w:szCs w:val="19"/>
                <w:lang w:val="es-ES"/>
              </w:rPr>
              <w:t>S.11: Instituciones no financieras</w:t>
            </w:r>
          </w:p>
        </w:tc>
        <w:tc>
          <w:tcPr>
            <w:tcW w:w="4139" w:type="dxa"/>
          </w:tcPr>
          <w:p w14:paraId="383FF84D" w14:textId="77777777" w:rsidR="00F37CD5" w:rsidRPr="00416D2F" w:rsidRDefault="00F37CD5" w:rsidP="004711E1">
            <w:pPr>
              <w:spacing w:after="0"/>
              <w:rPr>
                <w:sz w:val="19"/>
                <w:szCs w:val="19"/>
                <w:lang w:val="es-ES"/>
              </w:rPr>
            </w:pPr>
            <w:r w:rsidRPr="00416D2F">
              <w:rPr>
                <w:sz w:val="19"/>
                <w:szCs w:val="19"/>
                <w:lang w:val="es-ES"/>
              </w:rPr>
              <w:t>Producción de bienes y servicios no financieros</w:t>
            </w:r>
          </w:p>
        </w:tc>
        <w:tc>
          <w:tcPr>
            <w:tcW w:w="1701" w:type="dxa"/>
          </w:tcPr>
          <w:p w14:paraId="0925626B" w14:textId="77777777" w:rsidR="00F37CD5" w:rsidRPr="00416D2F" w:rsidRDefault="00F37CD5" w:rsidP="004711E1">
            <w:pPr>
              <w:spacing w:after="0"/>
              <w:rPr>
                <w:sz w:val="19"/>
                <w:szCs w:val="19"/>
                <w:lang w:val="es-ES"/>
              </w:rPr>
            </w:pPr>
            <w:r w:rsidRPr="00416D2F">
              <w:rPr>
                <w:sz w:val="19"/>
                <w:szCs w:val="19"/>
                <w:lang w:val="es-ES"/>
              </w:rPr>
              <w:t>De mercado</w:t>
            </w:r>
          </w:p>
        </w:tc>
        <w:tc>
          <w:tcPr>
            <w:tcW w:w="2721" w:type="dxa"/>
          </w:tcPr>
          <w:p w14:paraId="7A3D4F13" w14:textId="77777777" w:rsidR="00F37CD5" w:rsidRPr="00416D2F" w:rsidRDefault="00F37CD5" w:rsidP="004711E1">
            <w:pPr>
              <w:spacing w:after="0"/>
              <w:rPr>
                <w:sz w:val="19"/>
                <w:szCs w:val="19"/>
                <w:lang w:val="es-ES"/>
              </w:rPr>
            </w:pPr>
            <w:r w:rsidRPr="00416D2F">
              <w:rPr>
                <w:sz w:val="19"/>
                <w:szCs w:val="19"/>
                <w:lang w:val="es-ES"/>
              </w:rPr>
              <w:t>Unidades públicas y privadas</w:t>
            </w:r>
          </w:p>
        </w:tc>
      </w:tr>
      <w:tr w:rsidR="00F37CD5" w:rsidRPr="00416D2F" w14:paraId="1DF9CF53" w14:textId="77777777" w:rsidTr="004711E1">
        <w:trPr>
          <w:jc w:val="center"/>
        </w:trPr>
        <w:tc>
          <w:tcPr>
            <w:tcW w:w="2948" w:type="dxa"/>
          </w:tcPr>
          <w:p w14:paraId="7975EE6E" w14:textId="77777777" w:rsidR="00F37CD5" w:rsidRPr="00416D2F" w:rsidRDefault="00F37CD5" w:rsidP="004711E1">
            <w:pPr>
              <w:spacing w:after="0"/>
              <w:rPr>
                <w:sz w:val="19"/>
                <w:szCs w:val="19"/>
                <w:lang w:val="es-ES"/>
              </w:rPr>
            </w:pPr>
            <w:r w:rsidRPr="00416D2F">
              <w:rPr>
                <w:sz w:val="19"/>
                <w:szCs w:val="19"/>
                <w:lang w:val="es-ES"/>
              </w:rPr>
              <w:t>S.12: Instituciones financieras</w:t>
            </w:r>
          </w:p>
        </w:tc>
        <w:tc>
          <w:tcPr>
            <w:tcW w:w="4139" w:type="dxa"/>
          </w:tcPr>
          <w:p w14:paraId="3C48EF8B" w14:textId="77777777" w:rsidR="00F37CD5" w:rsidRPr="00416D2F" w:rsidRDefault="00F37CD5" w:rsidP="004711E1">
            <w:pPr>
              <w:spacing w:after="0"/>
              <w:rPr>
                <w:sz w:val="19"/>
                <w:szCs w:val="19"/>
                <w:lang w:val="es-ES"/>
              </w:rPr>
            </w:pPr>
            <w:r w:rsidRPr="00416D2F">
              <w:rPr>
                <w:sz w:val="19"/>
                <w:szCs w:val="19"/>
                <w:lang w:val="es-ES"/>
              </w:rPr>
              <w:t>Producción de servicios financieros</w:t>
            </w:r>
          </w:p>
        </w:tc>
        <w:tc>
          <w:tcPr>
            <w:tcW w:w="1701" w:type="dxa"/>
          </w:tcPr>
          <w:p w14:paraId="551A6B75" w14:textId="77777777" w:rsidR="00F37CD5" w:rsidRPr="00416D2F" w:rsidRDefault="00F37CD5" w:rsidP="004711E1">
            <w:pPr>
              <w:spacing w:after="0"/>
              <w:rPr>
                <w:sz w:val="19"/>
                <w:szCs w:val="19"/>
                <w:lang w:val="es-ES"/>
              </w:rPr>
            </w:pPr>
            <w:r w:rsidRPr="00416D2F">
              <w:rPr>
                <w:sz w:val="19"/>
                <w:szCs w:val="19"/>
                <w:lang w:val="es-ES"/>
              </w:rPr>
              <w:t>De mercado</w:t>
            </w:r>
          </w:p>
        </w:tc>
        <w:tc>
          <w:tcPr>
            <w:tcW w:w="2721" w:type="dxa"/>
          </w:tcPr>
          <w:p w14:paraId="719937AD" w14:textId="77777777" w:rsidR="00F37CD5" w:rsidRPr="00416D2F" w:rsidRDefault="00F37CD5" w:rsidP="004711E1">
            <w:pPr>
              <w:spacing w:after="0"/>
              <w:rPr>
                <w:sz w:val="19"/>
                <w:szCs w:val="19"/>
                <w:lang w:val="es-ES"/>
              </w:rPr>
            </w:pPr>
            <w:r w:rsidRPr="00416D2F">
              <w:rPr>
                <w:sz w:val="19"/>
                <w:szCs w:val="19"/>
                <w:lang w:val="es-ES"/>
              </w:rPr>
              <w:t>Unidades públicas y privadas</w:t>
            </w:r>
          </w:p>
        </w:tc>
      </w:tr>
      <w:tr w:rsidR="00F37CD5" w:rsidRPr="00416D2F" w14:paraId="5CC5ED48" w14:textId="77777777" w:rsidTr="004711E1">
        <w:trPr>
          <w:jc w:val="center"/>
        </w:trPr>
        <w:tc>
          <w:tcPr>
            <w:tcW w:w="2948" w:type="dxa"/>
          </w:tcPr>
          <w:p w14:paraId="13937726" w14:textId="77777777" w:rsidR="00F37CD5" w:rsidRPr="00416D2F" w:rsidRDefault="00F37CD5" w:rsidP="004711E1">
            <w:pPr>
              <w:spacing w:after="0"/>
              <w:rPr>
                <w:sz w:val="19"/>
                <w:szCs w:val="19"/>
                <w:lang w:val="es-ES"/>
              </w:rPr>
            </w:pPr>
            <w:r w:rsidRPr="00416D2F">
              <w:rPr>
                <w:sz w:val="19"/>
                <w:szCs w:val="19"/>
                <w:lang w:val="es-ES"/>
              </w:rPr>
              <w:t>S.13: AAPP</w:t>
            </w:r>
          </w:p>
        </w:tc>
        <w:tc>
          <w:tcPr>
            <w:tcW w:w="4139" w:type="dxa"/>
          </w:tcPr>
          <w:p w14:paraId="1B4EB809" w14:textId="622CA827" w:rsidR="00F37CD5" w:rsidRPr="00416D2F" w:rsidRDefault="00F37CD5" w:rsidP="004711E1">
            <w:pPr>
              <w:spacing w:after="0"/>
              <w:rPr>
                <w:sz w:val="19"/>
                <w:szCs w:val="19"/>
                <w:lang w:val="es-ES"/>
              </w:rPr>
            </w:pPr>
            <w:r w:rsidRPr="00416D2F">
              <w:rPr>
                <w:sz w:val="19"/>
                <w:szCs w:val="19"/>
                <w:lang w:val="es-ES"/>
              </w:rPr>
              <w:t>Producción no de mercado y redistribución de la renta y</w:t>
            </w:r>
            <w:r w:rsidR="007A6659">
              <w:rPr>
                <w:sz w:val="19"/>
                <w:szCs w:val="19"/>
                <w:lang w:val="es-ES"/>
              </w:rPr>
              <w:t xml:space="preserve"> </w:t>
            </w:r>
            <w:r w:rsidRPr="00416D2F">
              <w:rPr>
                <w:sz w:val="19"/>
                <w:szCs w:val="19"/>
                <w:lang w:val="es-ES"/>
              </w:rPr>
              <w:t>de la riqueza nacional.</w:t>
            </w:r>
          </w:p>
        </w:tc>
        <w:tc>
          <w:tcPr>
            <w:tcW w:w="1701" w:type="dxa"/>
          </w:tcPr>
          <w:p w14:paraId="35F6F2D5" w14:textId="77777777" w:rsidR="00F37CD5" w:rsidRPr="00416D2F" w:rsidRDefault="00F37CD5" w:rsidP="004711E1">
            <w:pPr>
              <w:spacing w:after="0"/>
              <w:rPr>
                <w:sz w:val="19"/>
                <w:szCs w:val="19"/>
                <w:lang w:val="es-ES"/>
              </w:rPr>
            </w:pPr>
            <w:r w:rsidRPr="00416D2F">
              <w:rPr>
                <w:sz w:val="19"/>
                <w:szCs w:val="19"/>
                <w:lang w:val="es-ES"/>
              </w:rPr>
              <w:t>No de mercado</w:t>
            </w:r>
          </w:p>
        </w:tc>
        <w:tc>
          <w:tcPr>
            <w:tcW w:w="2721" w:type="dxa"/>
          </w:tcPr>
          <w:p w14:paraId="5DCEACBE" w14:textId="77777777" w:rsidR="00F37CD5" w:rsidRPr="00416D2F" w:rsidRDefault="00F37CD5" w:rsidP="004711E1">
            <w:pPr>
              <w:spacing w:after="0"/>
              <w:rPr>
                <w:sz w:val="19"/>
                <w:szCs w:val="19"/>
                <w:lang w:val="es-ES"/>
              </w:rPr>
            </w:pPr>
            <w:r w:rsidRPr="00416D2F">
              <w:rPr>
                <w:sz w:val="19"/>
                <w:szCs w:val="19"/>
                <w:lang w:val="es-ES"/>
              </w:rPr>
              <w:t>Público</w:t>
            </w:r>
          </w:p>
        </w:tc>
      </w:tr>
      <w:tr w:rsidR="00F37CD5" w:rsidRPr="00416D2F" w14:paraId="0DCADF9F" w14:textId="77777777" w:rsidTr="004711E1">
        <w:trPr>
          <w:jc w:val="center"/>
        </w:trPr>
        <w:tc>
          <w:tcPr>
            <w:tcW w:w="2948" w:type="dxa"/>
          </w:tcPr>
          <w:p w14:paraId="302CD174" w14:textId="77777777" w:rsidR="00F37CD5" w:rsidRPr="00416D2F" w:rsidRDefault="00F37CD5" w:rsidP="004711E1">
            <w:pPr>
              <w:spacing w:after="0"/>
              <w:rPr>
                <w:sz w:val="19"/>
                <w:szCs w:val="19"/>
                <w:lang w:val="es-ES"/>
              </w:rPr>
            </w:pPr>
            <w:r w:rsidRPr="00416D2F">
              <w:rPr>
                <w:sz w:val="19"/>
                <w:szCs w:val="19"/>
                <w:lang w:val="es-ES"/>
              </w:rPr>
              <w:t>S.14: Hogares</w:t>
            </w:r>
          </w:p>
        </w:tc>
        <w:tc>
          <w:tcPr>
            <w:tcW w:w="4139" w:type="dxa"/>
          </w:tcPr>
          <w:p w14:paraId="426C1101" w14:textId="77777777" w:rsidR="00F37CD5" w:rsidRPr="00416D2F" w:rsidRDefault="00F37CD5" w:rsidP="004711E1">
            <w:pPr>
              <w:spacing w:after="0"/>
              <w:rPr>
                <w:sz w:val="19"/>
                <w:szCs w:val="19"/>
                <w:lang w:val="es-ES"/>
              </w:rPr>
            </w:pPr>
            <w:r w:rsidRPr="00416D2F">
              <w:rPr>
                <w:sz w:val="19"/>
                <w:szCs w:val="19"/>
                <w:lang w:val="es-ES"/>
              </w:rPr>
              <w:t>Consumo (principal) y producción.</w:t>
            </w:r>
          </w:p>
        </w:tc>
        <w:tc>
          <w:tcPr>
            <w:tcW w:w="1701" w:type="dxa"/>
          </w:tcPr>
          <w:p w14:paraId="46D5203D" w14:textId="77777777" w:rsidR="00F37CD5" w:rsidRPr="00416D2F" w:rsidRDefault="00F37CD5" w:rsidP="004711E1">
            <w:pPr>
              <w:spacing w:after="0"/>
              <w:rPr>
                <w:sz w:val="19"/>
                <w:szCs w:val="19"/>
                <w:lang w:val="es-ES"/>
              </w:rPr>
            </w:pPr>
            <w:r w:rsidRPr="00416D2F">
              <w:rPr>
                <w:sz w:val="19"/>
                <w:szCs w:val="19"/>
                <w:lang w:val="es-ES"/>
              </w:rPr>
              <w:t>De mercado</w:t>
            </w:r>
          </w:p>
        </w:tc>
        <w:tc>
          <w:tcPr>
            <w:tcW w:w="2721" w:type="dxa"/>
          </w:tcPr>
          <w:p w14:paraId="7942ABEF" w14:textId="77777777" w:rsidR="00F37CD5" w:rsidRPr="00416D2F" w:rsidRDefault="00F37CD5" w:rsidP="004711E1">
            <w:pPr>
              <w:spacing w:after="0"/>
              <w:rPr>
                <w:sz w:val="19"/>
                <w:szCs w:val="19"/>
                <w:lang w:val="es-ES"/>
              </w:rPr>
            </w:pPr>
            <w:r w:rsidRPr="00416D2F">
              <w:rPr>
                <w:sz w:val="19"/>
                <w:szCs w:val="19"/>
                <w:lang w:val="es-ES"/>
              </w:rPr>
              <w:t>Privado</w:t>
            </w:r>
          </w:p>
        </w:tc>
      </w:tr>
      <w:tr w:rsidR="00F37CD5" w:rsidRPr="00416D2F" w14:paraId="26C812FA" w14:textId="77777777" w:rsidTr="004711E1">
        <w:trPr>
          <w:jc w:val="center"/>
        </w:trPr>
        <w:tc>
          <w:tcPr>
            <w:tcW w:w="2948" w:type="dxa"/>
          </w:tcPr>
          <w:p w14:paraId="3AF18A8A" w14:textId="55384E47" w:rsidR="00F37CD5" w:rsidRPr="00416D2F" w:rsidRDefault="00F37CD5" w:rsidP="004711E1">
            <w:pPr>
              <w:spacing w:after="0"/>
              <w:rPr>
                <w:sz w:val="19"/>
                <w:szCs w:val="19"/>
                <w:lang w:val="es-ES"/>
              </w:rPr>
            </w:pPr>
            <w:r w:rsidRPr="00416D2F">
              <w:rPr>
                <w:sz w:val="19"/>
                <w:szCs w:val="19"/>
                <w:lang w:val="es-ES"/>
              </w:rPr>
              <w:t xml:space="preserve">S.15: </w:t>
            </w:r>
            <w:r w:rsidR="009314E8">
              <w:rPr>
                <w:sz w:val="19"/>
                <w:szCs w:val="19"/>
                <w:lang w:val="es-ES"/>
              </w:rPr>
              <w:t>ISFLSH</w:t>
            </w:r>
          </w:p>
        </w:tc>
        <w:tc>
          <w:tcPr>
            <w:tcW w:w="4139" w:type="dxa"/>
          </w:tcPr>
          <w:p w14:paraId="5F5C9750" w14:textId="77777777" w:rsidR="00F37CD5" w:rsidRPr="00416D2F" w:rsidRDefault="00F37CD5" w:rsidP="004711E1">
            <w:pPr>
              <w:spacing w:after="0"/>
              <w:rPr>
                <w:sz w:val="19"/>
                <w:szCs w:val="19"/>
                <w:lang w:val="es-ES"/>
              </w:rPr>
            </w:pPr>
            <w:r w:rsidRPr="00416D2F">
              <w:rPr>
                <w:sz w:val="19"/>
                <w:szCs w:val="19"/>
                <w:lang w:val="es-ES"/>
              </w:rPr>
              <w:t>Producción</w:t>
            </w:r>
          </w:p>
        </w:tc>
        <w:tc>
          <w:tcPr>
            <w:tcW w:w="1701" w:type="dxa"/>
          </w:tcPr>
          <w:p w14:paraId="7E25C754" w14:textId="77777777" w:rsidR="00F37CD5" w:rsidRPr="00416D2F" w:rsidRDefault="00F37CD5" w:rsidP="004711E1">
            <w:pPr>
              <w:spacing w:after="0"/>
              <w:rPr>
                <w:sz w:val="19"/>
                <w:szCs w:val="19"/>
                <w:lang w:val="es-ES"/>
              </w:rPr>
            </w:pPr>
            <w:r w:rsidRPr="00416D2F">
              <w:rPr>
                <w:sz w:val="19"/>
                <w:szCs w:val="19"/>
                <w:lang w:val="es-ES"/>
              </w:rPr>
              <w:t>No de mercado</w:t>
            </w:r>
          </w:p>
        </w:tc>
        <w:tc>
          <w:tcPr>
            <w:tcW w:w="2721" w:type="dxa"/>
          </w:tcPr>
          <w:p w14:paraId="0A5CD79B" w14:textId="77777777" w:rsidR="00F37CD5" w:rsidRPr="00416D2F" w:rsidRDefault="00F37CD5" w:rsidP="004711E1">
            <w:pPr>
              <w:spacing w:after="0"/>
              <w:rPr>
                <w:sz w:val="19"/>
                <w:szCs w:val="19"/>
                <w:lang w:val="es-ES"/>
              </w:rPr>
            </w:pPr>
            <w:r w:rsidRPr="00416D2F">
              <w:rPr>
                <w:sz w:val="19"/>
                <w:szCs w:val="19"/>
                <w:lang w:val="es-ES"/>
              </w:rPr>
              <w:t>Privado</w:t>
            </w:r>
          </w:p>
        </w:tc>
      </w:tr>
    </w:tbl>
    <w:p w14:paraId="648CC71A" w14:textId="77777777" w:rsidR="00F37CD5" w:rsidRPr="00C07581" w:rsidRDefault="00F37CD5" w:rsidP="00551434">
      <w:pPr>
        <w:pStyle w:val="Ttulo6"/>
      </w:pPr>
      <w:bookmarkStart w:id="14" w:name="_Toc151113564"/>
      <w:r>
        <w:lastRenderedPageBreak/>
        <w:t>Administraciones públicas</w:t>
      </w:r>
      <w:bookmarkEnd w:id="14"/>
    </w:p>
    <w:p w14:paraId="07BF18D3" w14:textId="4EE71875" w:rsidR="00F37CD5" w:rsidRDefault="00F37CD5" w:rsidP="00F37CD5">
      <w:pPr>
        <w:pStyle w:val="Nivel2SM"/>
        <w:keepNext/>
        <w:spacing w:after="0"/>
      </w:pPr>
      <w:r w:rsidRPr="00D82030">
        <w:rPr>
          <w:u w:val="single"/>
        </w:rPr>
        <w:t>Definición del SEC</w:t>
      </w:r>
      <w:r w:rsidR="005E0F01">
        <w:t xml:space="preserve"> (S.13)</w:t>
      </w:r>
      <w:r>
        <w:t>:</w:t>
      </w:r>
    </w:p>
    <w:p w14:paraId="3BF71D34" w14:textId="3A960839" w:rsidR="00A9141C" w:rsidRDefault="00920787" w:rsidP="00A9141C">
      <w:pPr>
        <w:pStyle w:val="Nivel3SM"/>
        <w:keepNext/>
      </w:pPr>
      <w:r>
        <w:t>El sector</w:t>
      </w:r>
      <w:r w:rsidR="00A9141C">
        <w:t xml:space="preserve"> </w:t>
      </w:r>
      <w:r w:rsidR="00963A44" w:rsidRPr="00963A44">
        <w:rPr>
          <w:b/>
          <w:bCs/>
        </w:rPr>
        <w:t>«administraciones públicas»</w:t>
      </w:r>
      <w:r w:rsidR="00963A44">
        <w:t xml:space="preserve"> (S.13)</w:t>
      </w:r>
      <w:r w:rsidR="00A9141C">
        <w:t xml:space="preserve"> está compuest</w:t>
      </w:r>
      <w:r>
        <w:t>o</w:t>
      </w:r>
      <w:r w:rsidR="00A9141C">
        <w:t xml:space="preserve"> por aquellas unidades institucionales:</w:t>
      </w:r>
    </w:p>
    <w:p w14:paraId="12283201" w14:textId="0C2077E3" w:rsidR="00A9141C" w:rsidRDefault="00A9141C" w:rsidP="00A9141C">
      <w:pPr>
        <w:pStyle w:val="Nivel4"/>
        <w:ind w:left="1474"/>
      </w:pPr>
      <w:bookmarkStart w:id="15" w:name="_Hlk146701794"/>
      <w:r>
        <w:t xml:space="preserve">Cuya </w:t>
      </w:r>
      <w:r w:rsidRPr="00A9141C">
        <w:rPr>
          <w:i/>
          <w:iCs/>
          <w:u w:val="single"/>
        </w:rPr>
        <w:t>función principal</w:t>
      </w:r>
      <w:r w:rsidRPr="00A9141C">
        <w:t xml:space="preserve"> es </w:t>
      </w:r>
      <w:r w:rsidRPr="00D82241">
        <w:rPr>
          <w:i/>
          <w:iCs/>
        </w:rPr>
        <w:t xml:space="preserve">producir bienes y servicios no </w:t>
      </w:r>
      <w:r w:rsidR="007B3DF5">
        <w:rPr>
          <w:i/>
          <w:iCs/>
        </w:rPr>
        <w:t>de mercado</w:t>
      </w:r>
      <w:r w:rsidRPr="00D82241">
        <w:rPr>
          <w:i/>
          <w:iCs/>
        </w:rPr>
        <w:t xml:space="preserve"> para </w:t>
      </w:r>
      <w:r w:rsidR="007B3DF5">
        <w:rPr>
          <w:i/>
          <w:iCs/>
        </w:rPr>
        <w:t xml:space="preserve">consumo individual </w:t>
      </w:r>
      <w:r w:rsidR="00963A44">
        <w:rPr>
          <w:i/>
          <w:iCs/>
        </w:rPr>
        <w:t>o</w:t>
      </w:r>
      <w:r w:rsidR="007B3DF5">
        <w:rPr>
          <w:i/>
          <w:iCs/>
        </w:rPr>
        <w:t xml:space="preserve"> </w:t>
      </w:r>
      <w:r w:rsidRPr="00D82241">
        <w:rPr>
          <w:i/>
          <w:iCs/>
        </w:rPr>
        <w:t>colectiv</w:t>
      </w:r>
      <w:r w:rsidR="007B3DF5">
        <w:rPr>
          <w:i/>
          <w:iCs/>
        </w:rPr>
        <w:t>o</w:t>
      </w:r>
      <w:r w:rsidRPr="00D82241">
        <w:rPr>
          <w:i/>
          <w:iCs/>
        </w:rPr>
        <w:t xml:space="preserve"> y efectuar operaciones de redistribución de la renta y la riqueza</w:t>
      </w:r>
      <w:r w:rsidR="007B3DF5">
        <w:rPr>
          <w:i/>
          <w:iCs/>
        </w:rPr>
        <w:t xml:space="preserve"> nacional</w:t>
      </w:r>
      <w:r>
        <w:t>.</w:t>
      </w:r>
    </w:p>
    <w:p w14:paraId="02B20A9A" w14:textId="667EF279" w:rsidR="00D82241" w:rsidRDefault="005E0F01" w:rsidP="005E0F01">
      <w:pPr>
        <w:pStyle w:val="Nivel4"/>
        <w:ind w:left="1474"/>
      </w:pPr>
      <w:r>
        <w:t>P</w:t>
      </w:r>
      <w:r w:rsidR="00D82241" w:rsidRPr="001B647C">
        <w:t xml:space="preserve">rocediendo sus </w:t>
      </w:r>
      <w:r w:rsidR="00D82241" w:rsidRPr="005E0F01">
        <w:rPr>
          <w:i/>
          <w:iCs/>
          <w:u w:val="single"/>
        </w:rPr>
        <w:t>recursos</w:t>
      </w:r>
      <w:r w:rsidR="00D82241" w:rsidRPr="001B647C">
        <w:t xml:space="preserve"> de </w:t>
      </w:r>
      <w:r w:rsidR="00D82241" w:rsidRPr="005E0F01">
        <w:rPr>
          <w:i/>
          <w:iCs/>
        </w:rPr>
        <w:t xml:space="preserve">pagos obligatorios efectuados por los diferentes sectores </w:t>
      </w:r>
      <w:r w:rsidR="00D82241" w:rsidRPr="001B647C">
        <w:t xml:space="preserve">(hogares, empresas, instituciones sin </w:t>
      </w:r>
      <w:r w:rsidR="007B3DF5">
        <w:t>fin</w:t>
      </w:r>
      <w:r w:rsidR="00D82241" w:rsidRPr="001B647C">
        <w:t xml:space="preserve"> de lucro).</w:t>
      </w:r>
    </w:p>
    <w:bookmarkEnd w:id="15"/>
    <w:p w14:paraId="6F7CF756" w14:textId="634503A2" w:rsidR="00F37CD5" w:rsidRDefault="00F37CD5" w:rsidP="00E26905">
      <w:pPr>
        <w:pStyle w:val="Nivel2SM"/>
        <w:keepNext/>
        <w:spacing w:after="0"/>
      </w:pPr>
      <w:r w:rsidRPr="00D82030">
        <w:t>De acuerdo con la C</w:t>
      </w:r>
      <w:r w:rsidR="00E90B9A">
        <w:t xml:space="preserve">ontabilidad </w:t>
      </w:r>
      <w:r w:rsidRPr="00D82030">
        <w:t>N</w:t>
      </w:r>
      <w:r w:rsidR="00E90B9A">
        <w:t>acional</w:t>
      </w:r>
      <w:r w:rsidRPr="00D82030">
        <w:t xml:space="preserve"> en España </w:t>
      </w:r>
      <w:r w:rsidRPr="00E26905">
        <w:rPr>
          <w:u w:val="single"/>
        </w:rPr>
        <w:t>las AAPP se subdividen en</w:t>
      </w:r>
      <w:r>
        <w:t>:</w:t>
      </w:r>
    </w:p>
    <w:p w14:paraId="2829977A" w14:textId="5C5CE9CA" w:rsidR="00F37CD5" w:rsidRDefault="00F37CD5">
      <w:pPr>
        <w:pStyle w:val="Prrafodelista"/>
        <w:keepNext/>
        <w:numPr>
          <w:ilvl w:val="0"/>
          <w:numId w:val="13"/>
        </w:numPr>
        <w:spacing w:after="0"/>
        <w:ind w:left="993" w:hanging="284"/>
        <w:rPr>
          <w:lang w:eastAsia="zh-CN" w:bidi="hi-IN"/>
        </w:rPr>
      </w:pPr>
      <w:r w:rsidRPr="00E65A52">
        <w:rPr>
          <w:i/>
          <w:iCs/>
          <w:u w:val="single"/>
          <w:lang w:eastAsia="zh-CN" w:bidi="hi-IN"/>
        </w:rPr>
        <w:t>Administración Central</w:t>
      </w:r>
      <w:r>
        <w:rPr>
          <w:lang w:eastAsia="zh-CN" w:bidi="hi-IN"/>
        </w:rPr>
        <w:t>:</w:t>
      </w:r>
      <w:r w:rsidR="00E65A52">
        <w:rPr>
          <w:lang w:eastAsia="zh-CN" w:bidi="hi-IN"/>
        </w:rPr>
        <w:t xml:space="preserve"> Agrupa todos los órganos del Estado y OO.AA. cuya competencia se extiende sobre todo el territorio nacional, con excepción de las administraciones centrales de la Seguridad Social.</w:t>
      </w:r>
    </w:p>
    <w:p w14:paraId="79FB664A" w14:textId="43A77666" w:rsidR="00F37CD5" w:rsidRPr="0085578B" w:rsidRDefault="00F37CD5" w:rsidP="00E26905">
      <w:pPr>
        <w:pStyle w:val="Nivel4"/>
        <w:ind w:left="1474"/>
        <w:rPr>
          <w:lang w:bidi="hi-IN"/>
        </w:rPr>
      </w:pPr>
      <w:r w:rsidRPr="0085578B">
        <w:rPr>
          <w:i/>
          <w:iCs/>
          <w:lang w:eastAsia="zh-CN" w:bidi="hi-IN"/>
        </w:rPr>
        <w:t>Administración</w:t>
      </w:r>
      <w:r w:rsidRPr="0085578B">
        <w:rPr>
          <w:i/>
          <w:iCs/>
          <w:lang w:bidi="hi-IN"/>
        </w:rPr>
        <w:t xml:space="preserve"> Central del Estado</w:t>
      </w:r>
      <w:r w:rsidR="009D1E73" w:rsidRPr="0085578B">
        <w:rPr>
          <w:lang w:bidi="hi-IN"/>
        </w:rPr>
        <w:t>:</w:t>
      </w:r>
      <w:r w:rsidR="0085578B" w:rsidRPr="0085578B">
        <w:t xml:space="preserve"> </w:t>
      </w:r>
      <w:r w:rsidRPr="0085578B">
        <w:rPr>
          <w:lang w:bidi="hi-IN"/>
        </w:rPr>
        <w:t>Gobierno, Cortes Generales, Casa del Rey, T</w:t>
      </w:r>
      <w:r w:rsidR="005A0426">
        <w:rPr>
          <w:lang w:bidi="hi-IN"/>
        </w:rPr>
        <w:t xml:space="preserve">ribunal </w:t>
      </w:r>
      <w:r w:rsidRPr="0085578B">
        <w:rPr>
          <w:lang w:bidi="hi-IN"/>
        </w:rPr>
        <w:t>C</w:t>
      </w:r>
      <w:r w:rsidR="005A0426">
        <w:rPr>
          <w:lang w:bidi="hi-IN"/>
        </w:rPr>
        <w:t>onstitucional</w:t>
      </w:r>
      <w:r w:rsidRPr="0085578B">
        <w:rPr>
          <w:lang w:bidi="hi-IN"/>
        </w:rPr>
        <w:t>, CGPJ, etc.</w:t>
      </w:r>
    </w:p>
    <w:p w14:paraId="7E78EAEE" w14:textId="142C834C" w:rsidR="00F37CD5" w:rsidRPr="0085578B" w:rsidRDefault="00F37CD5" w:rsidP="00E26905">
      <w:pPr>
        <w:pStyle w:val="Nivel4"/>
        <w:ind w:left="1474"/>
        <w:rPr>
          <w:lang w:bidi="hi-IN"/>
        </w:rPr>
      </w:pPr>
      <w:r w:rsidRPr="0085578B">
        <w:rPr>
          <w:i/>
          <w:iCs/>
          <w:lang w:bidi="hi-IN"/>
        </w:rPr>
        <w:t>Organismos Autónomos (OO.AA.)</w:t>
      </w:r>
      <w:r w:rsidR="0085578B" w:rsidRPr="0085578B">
        <w:rPr>
          <w:lang w:bidi="hi-IN"/>
        </w:rPr>
        <w:t>:</w:t>
      </w:r>
      <w:r w:rsidR="0085578B" w:rsidRPr="0085578B">
        <w:t xml:space="preserve"> </w:t>
      </w:r>
      <w:r w:rsidRPr="0085578B">
        <w:rPr>
          <w:lang w:bidi="hi-IN"/>
        </w:rPr>
        <w:t>SEPE, INE, INAP, etc.</w:t>
      </w:r>
    </w:p>
    <w:p w14:paraId="5A6342B7" w14:textId="1DD53819" w:rsidR="00F37CD5" w:rsidRPr="00C23902" w:rsidRDefault="00F37CD5" w:rsidP="00E26905">
      <w:pPr>
        <w:pStyle w:val="Nivel4"/>
        <w:ind w:left="1474"/>
        <w:rPr>
          <w:lang w:eastAsia="zh-CN" w:bidi="hi-IN"/>
        </w:rPr>
      </w:pPr>
      <w:r w:rsidRPr="0085578B">
        <w:rPr>
          <w:i/>
          <w:iCs/>
          <w:lang w:bidi="hi-IN"/>
        </w:rPr>
        <w:t>Otras entidades</w:t>
      </w:r>
      <w:r w:rsidR="0085578B" w:rsidRPr="0085578B">
        <w:rPr>
          <w:lang w:bidi="hi-IN"/>
        </w:rPr>
        <w:t>:</w:t>
      </w:r>
      <w:r w:rsidR="0085578B" w:rsidRPr="0085578B">
        <w:t xml:space="preserve"> </w:t>
      </w:r>
      <w:r w:rsidR="00270077">
        <w:rPr>
          <w:lang w:eastAsia="zh-CN" w:bidi="hi-IN"/>
        </w:rPr>
        <w:t>AEMET</w:t>
      </w:r>
      <w:r w:rsidR="009D1E73">
        <w:rPr>
          <w:lang w:eastAsia="zh-CN" w:bidi="hi-IN"/>
        </w:rPr>
        <w:t xml:space="preserve">, </w:t>
      </w:r>
      <w:r w:rsidRPr="00C23902">
        <w:rPr>
          <w:lang w:eastAsia="zh-CN" w:bidi="hi-IN"/>
        </w:rPr>
        <w:t>etc.</w:t>
      </w:r>
    </w:p>
    <w:p w14:paraId="2D03597F" w14:textId="52D0B549" w:rsidR="00F37CD5" w:rsidRDefault="00F37CD5">
      <w:pPr>
        <w:pStyle w:val="Prrafodelista"/>
        <w:numPr>
          <w:ilvl w:val="0"/>
          <w:numId w:val="13"/>
        </w:numPr>
        <w:spacing w:after="0"/>
        <w:ind w:left="993" w:hanging="284"/>
        <w:rPr>
          <w:lang w:eastAsia="zh-CN" w:bidi="hi-IN"/>
        </w:rPr>
      </w:pPr>
      <w:r w:rsidRPr="00E65A52">
        <w:rPr>
          <w:i/>
          <w:iCs/>
          <w:u w:val="single"/>
          <w:lang w:eastAsia="zh-CN" w:bidi="hi-IN"/>
        </w:rPr>
        <w:t>Administraciones territoriales</w:t>
      </w:r>
      <w:r w:rsidRPr="00C23902">
        <w:rPr>
          <w:lang w:eastAsia="zh-CN" w:bidi="hi-IN"/>
        </w:rPr>
        <w:t>:</w:t>
      </w:r>
      <w:r w:rsidR="00657EDC">
        <w:rPr>
          <w:lang w:eastAsia="zh-CN" w:bidi="hi-IN"/>
        </w:rPr>
        <w:t xml:space="preserve"> C</w:t>
      </w:r>
      <w:r w:rsidR="00657EDC" w:rsidRPr="00657EDC">
        <w:rPr>
          <w:lang w:eastAsia="zh-CN" w:bidi="hi-IN"/>
        </w:rPr>
        <w:t>uya competencia se limita a una parte del territorio nacional</w:t>
      </w:r>
      <w:r w:rsidR="0085578B">
        <w:rPr>
          <w:lang w:eastAsia="zh-CN" w:bidi="hi-IN"/>
        </w:rPr>
        <w:t xml:space="preserve"> (</w:t>
      </w:r>
      <w:r w:rsidR="0085578B" w:rsidRPr="00C23902">
        <w:rPr>
          <w:lang w:eastAsia="zh-CN" w:bidi="hi-IN"/>
        </w:rPr>
        <w:t>C</w:t>
      </w:r>
      <w:r w:rsidR="0085578B">
        <w:rPr>
          <w:lang w:eastAsia="zh-CN" w:bidi="hi-IN"/>
        </w:rPr>
        <w:t>omunidades Autónomas (CCAA)</w:t>
      </w:r>
      <w:r w:rsidR="0085578B" w:rsidRPr="00C23902">
        <w:rPr>
          <w:lang w:eastAsia="zh-CN" w:bidi="hi-IN"/>
        </w:rPr>
        <w:t xml:space="preserve"> y </w:t>
      </w:r>
      <w:r w:rsidR="0085578B">
        <w:rPr>
          <w:lang w:eastAsia="zh-CN" w:bidi="hi-IN"/>
        </w:rPr>
        <w:t>Corporaciones Locales (CCLL))</w:t>
      </w:r>
      <w:r w:rsidR="00657EDC" w:rsidRPr="00657EDC">
        <w:rPr>
          <w:lang w:eastAsia="zh-CN" w:bidi="hi-IN"/>
        </w:rPr>
        <w:t>.</w:t>
      </w:r>
    </w:p>
    <w:p w14:paraId="67779284" w14:textId="02FCF6A4" w:rsidR="00F37CD5" w:rsidRDefault="00F37CD5">
      <w:pPr>
        <w:pStyle w:val="Prrafodelista"/>
        <w:keepNext/>
        <w:numPr>
          <w:ilvl w:val="0"/>
          <w:numId w:val="13"/>
        </w:numPr>
        <w:spacing w:after="0"/>
        <w:ind w:left="993" w:hanging="284"/>
      </w:pPr>
      <w:r w:rsidRPr="00E65A52">
        <w:rPr>
          <w:i/>
          <w:iCs/>
          <w:u w:val="single"/>
          <w:lang w:eastAsia="zh-CN" w:bidi="hi-IN"/>
        </w:rPr>
        <w:t>Administraciones de la Seguridad Social</w:t>
      </w:r>
      <w:r w:rsidRPr="0054256A">
        <w:rPr>
          <w:lang w:eastAsia="zh-CN" w:bidi="hi-IN"/>
        </w:rPr>
        <w:t>:</w:t>
      </w:r>
      <w:r w:rsidR="00A4749D">
        <w:rPr>
          <w:lang w:eastAsia="zh-CN" w:bidi="hi-IN"/>
        </w:rPr>
        <w:t xml:space="preserve"> Incluyen unidades institucionales centrales, autonómicas y locales cuya actividad principal consiste en realizar prestaciones sociales y cuyos recursos principales son las cotizaciones sociales obligatorias que recibe de otros sectores.</w:t>
      </w:r>
      <w:r w:rsidR="00657EDC">
        <w:rPr>
          <w:lang w:eastAsia="zh-CN" w:bidi="hi-IN"/>
        </w:rPr>
        <w:t xml:space="preserve"> </w:t>
      </w:r>
      <w:r w:rsidR="00657EDC" w:rsidRPr="00657EDC">
        <w:rPr>
          <w:lang w:eastAsia="zh-CN" w:bidi="hi-IN"/>
        </w:rPr>
        <w:t>De acuerdo con el artículo 66 del RDL 8/2015, que es la principal norma reguladora del sistema de la SS en España, sus entidades gestoras son el Instituto Nacional de la Seguridad Social (INSS), el Instituto Nacional de Gestión Sanitaria y el IMSERSO. Además de estas, existen también otras entidades gestoras que desempeñan funciones relacionadas con la SS, como el SE</w:t>
      </w:r>
      <w:r w:rsidR="00EF7AF9">
        <w:rPr>
          <w:lang w:eastAsia="zh-CN" w:bidi="hi-IN"/>
        </w:rPr>
        <w:t>P</w:t>
      </w:r>
      <w:r w:rsidR="00657EDC" w:rsidRPr="00657EDC">
        <w:rPr>
          <w:lang w:eastAsia="zh-CN" w:bidi="hi-IN"/>
        </w:rPr>
        <w:t>E (antiguo INEM) o el Instituto Social de la Marina.</w:t>
      </w:r>
    </w:p>
    <w:p w14:paraId="453A5B7F" w14:textId="18FA24A7" w:rsidR="00F37CD5" w:rsidRPr="0085578B" w:rsidRDefault="00F37CD5" w:rsidP="00E26905">
      <w:pPr>
        <w:pStyle w:val="Nivel4"/>
        <w:ind w:left="1474"/>
      </w:pPr>
      <w:r w:rsidRPr="00D636B8">
        <w:t>Instituciones</w:t>
      </w:r>
      <w:r w:rsidR="0085578B">
        <w:t xml:space="preserve">: </w:t>
      </w:r>
      <w:r>
        <w:t xml:space="preserve">Incluyen </w:t>
      </w:r>
      <w:r w:rsidRPr="00CD4DB0">
        <w:t xml:space="preserve">unidades institucionales centrales, autonómicas y </w:t>
      </w:r>
      <w:r w:rsidRPr="0085578B">
        <w:t>locales.</w:t>
      </w:r>
    </w:p>
    <w:p w14:paraId="0689745C" w14:textId="56C31B84" w:rsidR="00F37CD5" w:rsidRDefault="00F37CD5" w:rsidP="00E26905">
      <w:pPr>
        <w:pStyle w:val="Nivel4"/>
        <w:ind w:left="1474"/>
      </w:pPr>
      <w:r w:rsidRPr="0085578B">
        <w:t>Actividad y recursos</w:t>
      </w:r>
      <w:r w:rsidR="0085578B" w:rsidRPr="0085578B">
        <w:t xml:space="preserve">: </w:t>
      </w:r>
      <w:r w:rsidRPr="0085578B">
        <w:t>Cuya actividad principal consiste en realizar prestaciones sociales y cuyos recursos principales son las cotizaciones sociales obligatorias</w:t>
      </w:r>
      <w:r w:rsidRPr="0054256A">
        <w:t xml:space="preserve"> que recibe de otros sectores.</w:t>
      </w:r>
    </w:p>
    <w:p w14:paraId="4BFF68B7" w14:textId="48CB546C" w:rsidR="00482B74" w:rsidRPr="00482B74" w:rsidRDefault="00482B74" w:rsidP="00482B74">
      <w:pPr>
        <w:pStyle w:val="Ttuloimagen"/>
        <w:ind w:left="709" w:hanging="709"/>
        <w:rPr>
          <w:i/>
          <w:iCs/>
          <w:smallCaps w:val="0"/>
        </w:rPr>
      </w:pPr>
      <w:r>
        <w:lastRenderedPageBreak/>
        <w:t>Imagen </w:t>
      </w:r>
      <w:r>
        <w:fldChar w:fldCharType="begin"/>
      </w:r>
      <w:r>
        <w:instrText xml:space="preserve"> SEQ Ilustración \* ARABIC </w:instrText>
      </w:r>
      <w:r>
        <w:fldChar w:fldCharType="separate"/>
      </w:r>
      <w:r w:rsidR="0021538E">
        <w:t>1</w:t>
      </w:r>
      <w:r>
        <w:fldChar w:fldCharType="end"/>
      </w:r>
      <w:r>
        <w:rPr>
          <w:smallCaps w:val="0"/>
        </w:rPr>
        <w:t xml:space="preserve">.– </w:t>
      </w:r>
      <w:r>
        <w:rPr>
          <w:i/>
          <w:iCs/>
          <w:smallCaps w:val="0"/>
        </w:rPr>
        <w:t>Delimitación de las AAPP en el SEC-2010</w:t>
      </w:r>
    </w:p>
    <w:p w14:paraId="61AE7596" w14:textId="6B3E8BA0" w:rsidR="00482B74" w:rsidRDefault="00482B74" w:rsidP="00482B74">
      <w:pPr>
        <w:pStyle w:val="Imagen"/>
      </w:pPr>
      <w:r>
        <w:drawing>
          <wp:inline distT="0" distB="0" distL="0" distR="0" wp14:anchorId="28703ABD" wp14:editId="2A64C20B">
            <wp:extent cx="2897710" cy="3068782"/>
            <wp:effectExtent l="0" t="0" r="0" b="0"/>
            <wp:docPr id="1414434333"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34333" name="Imagen 1" descr="Diagrama&#10;&#10;Descripción generada automáticamente"/>
                    <pic:cNvPicPr/>
                  </pic:nvPicPr>
                  <pic:blipFill>
                    <a:blip r:embed="rId8"/>
                    <a:stretch>
                      <a:fillRect/>
                    </a:stretch>
                  </pic:blipFill>
                  <pic:spPr>
                    <a:xfrm>
                      <a:off x="0" y="0"/>
                      <a:ext cx="2903815" cy="3075247"/>
                    </a:xfrm>
                    <a:prstGeom prst="rect">
                      <a:avLst/>
                    </a:prstGeom>
                  </pic:spPr>
                </pic:pic>
              </a:graphicData>
            </a:graphic>
          </wp:inline>
        </w:drawing>
      </w:r>
      <w:r w:rsidR="00547B56" w:rsidRPr="00547B56">
        <w:t xml:space="preserve"> </w:t>
      </w:r>
      <w:r w:rsidR="00547B56">
        <w:drawing>
          <wp:inline distT="0" distB="0" distL="0" distR="0" wp14:anchorId="6845D3A6" wp14:editId="254FEB28">
            <wp:extent cx="2795393" cy="3835400"/>
            <wp:effectExtent l="0" t="0" r="5080" b="0"/>
            <wp:docPr id="303683186"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683186" name="Imagen 1" descr="Diagrama&#10;&#10;Descripción generada automáticamente"/>
                    <pic:cNvPicPr/>
                  </pic:nvPicPr>
                  <pic:blipFill>
                    <a:blip r:embed="rId9"/>
                    <a:stretch>
                      <a:fillRect/>
                    </a:stretch>
                  </pic:blipFill>
                  <pic:spPr>
                    <a:xfrm>
                      <a:off x="0" y="0"/>
                      <a:ext cx="2797400" cy="3838154"/>
                    </a:xfrm>
                    <a:prstGeom prst="rect">
                      <a:avLst/>
                    </a:prstGeom>
                  </pic:spPr>
                </pic:pic>
              </a:graphicData>
            </a:graphic>
          </wp:inline>
        </w:drawing>
      </w:r>
    </w:p>
    <w:p w14:paraId="0099C753" w14:textId="5BA26D5D" w:rsidR="00482B74" w:rsidRPr="00547B56" w:rsidRDefault="00482B74" w:rsidP="00482B74">
      <w:pPr>
        <w:pStyle w:val="PiedeImagen"/>
        <w:rPr>
          <w:i w:val="0"/>
          <w:iCs/>
          <w:lang w:val="en-US"/>
        </w:rPr>
      </w:pPr>
      <w:r>
        <w:t>Fuente</w:t>
      </w:r>
      <w:r>
        <w:rPr>
          <w:i w:val="0"/>
          <w:iCs/>
        </w:rPr>
        <w:t>: Parlamento Europeo y Consejo (2013)</w:t>
      </w:r>
      <w:r w:rsidR="00DE3F57">
        <w:rPr>
          <w:i w:val="0"/>
          <w:iCs/>
        </w:rPr>
        <w:t>.</w:t>
      </w:r>
      <w:r>
        <w:rPr>
          <w:i w:val="0"/>
          <w:iCs/>
        </w:rPr>
        <w:t xml:space="preserve"> Reglamento UE Nº 549/2013 relativo al sistema Europeo de Cuentas nacionales y Regionales de la UE. </w:t>
      </w:r>
      <w:hyperlink r:id="rId10" w:history="1">
        <w:r w:rsidR="00547B56" w:rsidRPr="00C36DDF">
          <w:rPr>
            <w:rStyle w:val="Hipervnculo"/>
            <w:i w:val="0"/>
            <w:iCs/>
            <w:lang w:val="en-US"/>
          </w:rPr>
          <w:t>https://www.boe.es/doue/2013/174/L00001-00727.pdf y imf.org/external/pubs/ft/gfs/manual/2014/gfsm_2014_spa.pdf</w:t>
        </w:r>
      </w:hyperlink>
    </w:p>
    <w:p w14:paraId="62418FD0" w14:textId="192A4F05" w:rsidR="00F37CD5" w:rsidRDefault="00F37CD5" w:rsidP="00551434">
      <w:pPr>
        <w:pStyle w:val="Ttulo6"/>
      </w:pPr>
      <w:bookmarkStart w:id="16" w:name="_Toc151113565"/>
      <w:r w:rsidRPr="009D262B">
        <w:t>S</w:t>
      </w:r>
      <w:r>
        <w:t xml:space="preserve">ector </w:t>
      </w:r>
      <w:r w:rsidRPr="009D262B">
        <w:t>P</w:t>
      </w:r>
      <w:r>
        <w:t>úblico</w:t>
      </w:r>
      <w:r w:rsidRPr="009D262B">
        <w:t xml:space="preserve"> Empresarial</w:t>
      </w:r>
      <w:bookmarkEnd w:id="16"/>
    </w:p>
    <w:p w14:paraId="133453C4" w14:textId="64F8EFF4" w:rsidR="00E26905" w:rsidRDefault="00E26905" w:rsidP="00E26905">
      <w:pPr>
        <w:pStyle w:val="Nivel2SM"/>
        <w:keepNext/>
        <w:spacing w:after="0"/>
      </w:pPr>
      <w:r w:rsidRPr="00E26905">
        <w:rPr>
          <w:u w:val="single"/>
        </w:rPr>
        <w:t>Definición del SEC</w:t>
      </w:r>
      <w:r w:rsidR="005E0F01" w:rsidRPr="005E0F01">
        <w:t xml:space="preserve"> </w:t>
      </w:r>
      <w:r w:rsidR="005E0F01">
        <w:t>(S.11 y S.12)</w:t>
      </w:r>
      <w:r>
        <w:t>:</w:t>
      </w:r>
    </w:p>
    <w:p w14:paraId="2DD43BCD" w14:textId="77777777" w:rsidR="00A9141C" w:rsidRDefault="00F37CD5" w:rsidP="00A9141C">
      <w:pPr>
        <w:pStyle w:val="Nivel3SM"/>
        <w:keepNext/>
      </w:pPr>
      <w:r>
        <w:t xml:space="preserve">El </w:t>
      </w:r>
      <w:r w:rsidRPr="00A9141C">
        <w:rPr>
          <w:b/>
          <w:bCs/>
        </w:rPr>
        <w:t>sector público empresarial</w:t>
      </w:r>
      <w:r>
        <w:t xml:space="preserve"> está compuesto por aquellas unidades institucion</w:t>
      </w:r>
      <w:r w:rsidR="00E26905">
        <w:t>al</w:t>
      </w:r>
      <w:r>
        <w:t>es</w:t>
      </w:r>
      <w:r w:rsidR="00A9141C">
        <w:t>:</w:t>
      </w:r>
    </w:p>
    <w:p w14:paraId="083706B7" w14:textId="3D7E0E06" w:rsidR="00F37CD5" w:rsidRDefault="00A9141C" w:rsidP="00A9141C">
      <w:pPr>
        <w:pStyle w:val="Nivel4"/>
        <w:ind w:left="1474"/>
      </w:pPr>
      <w:r>
        <w:t xml:space="preserve">Cuya </w:t>
      </w:r>
      <w:r w:rsidRPr="00A9141C">
        <w:rPr>
          <w:i/>
          <w:iCs/>
          <w:u w:val="single"/>
        </w:rPr>
        <w:t>función principal</w:t>
      </w:r>
      <w:r w:rsidRPr="00A9141C">
        <w:t xml:space="preserve"> es </w:t>
      </w:r>
      <w:r w:rsidR="00F37CD5" w:rsidRPr="00A9141C">
        <w:t xml:space="preserve">la </w:t>
      </w:r>
      <w:r w:rsidR="00F37CD5" w:rsidRPr="00A9141C">
        <w:rPr>
          <w:i/>
          <w:iCs/>
        </w:rPr>
        <w:t>producción de bienes y servicios que posteriormente venden en el mercado, o que suministran directamente financiándolos mediante impuestos</w:t>
      </w:r>
      <w:r w:rsidR="00F37CD5">
        <w:rPr>
          <w:rStyle w:val="Refdenotaalpie"/>
        </w:rPr>
        <w:footnoteReference w:id="15"/>
      </w:r>
      <w:r w:rsidR="00F37CD5">
        <w:t>.</w:t>
      </w:r>
    </w:p>
    <w:p w14:paraId="7CC3A1DC" w14:textId="6898D673" w:rsidR="00F37CD5" w:rsidRDefault="005E0F01" w:rsidP="00E26905">
      <w:pPr>
        <w:pStyle w:val="Nivel4"/>
        <w:ind w:left="1474"/>
      </w:pPr>
      <w:r>
        <w:t xml:space="preserve">Procediendo sus </w:t>
      </w:r>
      <w:r>
        <w:rPr>
          <w:i/>
          <w:iCs/>
          <w:u w:val="single"/>
        </w:rPr>
        <w:t>recursos</w:t>
      </w:r>
      <w:r w:rsidR="00F37CD5">
        <w:t xml:space="preserve"> de </w:t>
      </w:r>
      <w:r w:rsidR="00F37CD5" w:rsidRPr="005E0F01">
        <w:rPr>
          <w:i/>
          <w:iCs/>
        </w:rPr>
        <w:t xml:space="preserve">sus ventas </w:t>
      </w:r>
      <w:r w:rsidRPr="005E0F01">
        <w:rPr>
          <w:i/>
          <w:iCs/>
        </w:rPr>
        <w:t>y suponiendo est</w:t>
      </w:r>
      <w:r w:rsidR="00820E90">
        <w:rPr>
          <w:i/>
          <w:iCs/>
        </w:rPr>
        <w:t>a</w:t>
      </w:r>
      <w:r w:rsidRPr="005E0F01">
        <w:rPr>
          <w:i/>
          <w:iCs/>
        </w:rPr>
        <w:t xml:space="preserve">s </w:t>
      </w:r>
      <w:r w:rsidR="00F37CD5" w:rsidRPr="005E0F01">
        <w:rPr>
          <w:i/>
          <w:iCs/>
        </w:rPr>
        <w:t>al menos el 50 % de sus costes de producción</w:t>
      </w:r>
      <w:r w:rsidR="00F37CD5">
        <w:t>.</w:t>
      </w:r>
    </w:p>
    <w:p w14:paraId="78256456" w14:textId="4048CBB2" w:rsidR="00F37CD5" w:rsidRDefault="005E0F01" w:rsidP="00E26905">
      <w:pPr>
        <w:pStyle w:val="Nivel4"/>
        <w:keepNext/>
        <w:ind w:left="1474"/>
      </w:pPr>
      <w:r>
        <w:t>Hasta aquí se podría tratar de empresas públicas o privadas, por lo que para formar parte del sector público empresarial debemos imponer que s</w:t>
      </w:r>
      <w:r w:rsidR="00F37CD5">
        <w:t>e</w:t>
      </w:r>
      <w:r>
        <w:t>an</w:t>
      </w:r>
      <w:r w:rsidR="00F37CD5">
        <w:t xml:space="preserve"> controladas por las </w:t>
      </w:r>
      <w:r>
        <w:t>administraciones públicas</w:t>
      </w:r>
      <w:r w:rsidR="00F37CD5">
        <w:t>.</w:t>
      </w:r>
    </w:p>
    <w:p w14:paraId="7C4DD27A" w14:textId="7055CE45" w:rsidR="00B94152" w:rsidRDefault="00B94152" w:rsidP="00E26905">
      <w:pPr>
        <w:pStyle w:val="Nivel5"/>
        <w:ind w:left="1871"/>
      </w:pPr>
      <w:r w:rsidRPr="00B94152">
        <w:t xml:space="preserve">Así, su definición es menos precisa que la de AAPP ya que no se indica qué se entiende por control ni qué </w:t>
      </w:r>
      <w:r>
        <w:t>porcentaje</w:t>
      </w:r>
      <w:r w:rsidRPr="00B94152">
        <w:t xml:space="preserve"> de propiedad se considera determinante para calificar a una empresa como pública. En la práctica, cada país aplica sus propios criterios para catalogar a una empresa como empresa pública.</w:t>
      </w:r>
    </w:p>
    <w:p w14:paraId="4D873B57" w14:textId="13353C0F" w:rsidR="00F37CD5" w:rsidRDefault="00F37CD5" w:rsidP="00E26905">
      <w:pPr>
        <w:pStyle w:val="Nivel5"/>
        <w:ind w:left="1871"/>
      </w:pPr>
      <w:r>
        <w:lastRenderedPageBreak/>
        <w:t>En España el criterio seguido actualmente es poseer más de la mitad de las acciones con derecho a voto o mediante una disposición legal que autorice a determinar la política de la unidad empresarial.</w:t>
      </w:r>
    </w:p>
    <w:p w14:paraId="57FC5B6F" w14:textId="77777777" w:rsidR="00F37CD5" w:rsidRDefault="00F37CD5" w:rsidP="00F37CD5">
      <w:pPr>
        <w:pStyle w:val="Nivel2SM"/>
        <w:keepNext/>
        <w:spacing w:after="0"/>
      </w:pPr>
      <w:r>
        <w:t xml:space="preserve">Pueden clasificarse en </w:t>
      </w:r>
      <w:r w:rsidRPr="00056BC3">
        <w:rPr>
          <w:b/>
          <w:bCs/>
        </w:rPr>
        <w:t>2 grandes grupos</w:t>
      </w:r>
      <w:r>
        <w:rPr>
          <w:rStyle w:val="Refdenotaalpie"/>
        </w:rPr>
        <w:footnoteReference w:id="16"/>
      </w:r>
      <w:r>
        <w:t>:</w:t>
      </w:r>
    </w:p>
    <w:p w14:paraId="074CA192" w14:textId="77777777" w:rsidR="00F37CD5" w:rsidRPr="00BB4918" w:rsidRDefault="00F37CD5" w:rsidP="00F37CD5">
      <w:pPr>
        <w:pStyle w:val="Nivel3SM"/>
        <w:keepNext/>
      </w:pPr>
      <w:r w:rsidRPr="00BB4918">
        <w:rPr>
          <w:i/>
          <w:iCs/>
          <w:u w:val="single"/>
        </w:rPr>
        <w:t>Sociedades no financieras</w:t>
      </w:r>
      <w:r w:rsidRPr="00052B42">
        <w:t xml:space="preserve"> </w:t>
      </w:r>
      <w:r>
        <w:t>(S.11):</w:t>
      </w:r>
    </w:p>
    <w:p w14:paraId="21DF1543" w14:textId="77777777" w:rsidR="00F37CD5" w:rsidRPr="008F2FE0" w:rsidRDefault="00F37CD5" w:rsidP="00F37CD5">
      <w:pPr>
        <w:pStyle w:val="Nivel4"/>
        <w:keepNext/>
        <w:ind w:left="1474"/>
      </w:pPr>
      <w:r w:rsidRPr="00BB4918">
        <w:rPr>
          <w:i/>
          <w:iCs/>
        </w:rPr>
        <w:t>Sociedades mercantiles y asimiladas</w:t>
      </w:r>
      <w:r>
        <w:t>:</w:t>
      </w:r>
    </w:p>
    <w:p w14:paraId="063F802A" w14:textId="77777777" w:rsidR="00F37CD5" w:rsidRDefault="00F37CD5" w:rsidP="00F37CD5">
      <w:pPr>
        <w:pStyle w:val="Nivel5"/>
        <w:ind w:left="1871"/>
      </w:pPr>
      <w:r>
        <w:t>Sociedades de la DG de Patrimonio (Paradores de Turismo).</w:t>
      </w:r>
    </w:p>
    <w:p w14:paraId="4D24700C" w14:textId="77777777" w:rsidR="00F37CD5" w:rsidRDefault="00F37CD5" w:rsidP="00F37CD5">
      <w:pPr>
        <w:pStyle w:val="Nivel5"/>
        <w:ind w:left="1871"/>
      </w:pPr>
      <w:r>
        <w:t>Otras Sociedades controladas por el Estado.</w:t>
      </w:r>
    </w:p>
    <w:p w14:paraId="09EB5D52" w14:textId="77777777" w:rsidR="00F37CD5" w:rsidRDefault="00F37CD5" w:rsidP="00F37CD5">
      <w:pPr>
        <w:pStyle w:val="Nivel5"/>
        <w:ind w:left="1871"/>
      </w:pPr>
      <w:r>
        <w:t>Sociedades controladas por la SEPI (Agencia EFE).</w:t>
      </w:r>
    </w:p>
    <w:p w14:paraId="2567C7EA" w14:textId="77777777" w:rsidR="00F37CD5" w:rsidRDefault="00F37CD5" w:rsidP="00F37CD5">
      <w:pPr>
        <w:pStyle w:val="Nivel5"/>
        <w:ind w:left="1871"/>
      </w:pPr>
      <w:r>
        <w:t>Sociedades controladas por otras Entidades Públicas Empresariales.</w:t>
      </w:r>
    </w:p>
    <w:p w14:paraId="196D2D88" w14:textId="77777777" w:rsidR="00F37CD5" w:rsidRPr="008F2FE0" w:rsidRDefault="00F37CD5" w:rsidP="00F37CD5">
      <w:pPr>
        <w:pStyle w:val="Nivel4"/>
        <w:keepNext/>
        <w:ind w:left="1474"/>
      </w:pPr>
      <w:r w:rsidRPr="00BB4918">
        <w:rPr>
          <w:i/>
          <w:iCs/>
        </w:rPr>
        <w:t>Otros organismos públicos y entidades empresariales</w:t>
      </w:r>
      <w:r>
        <w:t>:</w:t>
      </w:r>
    </w:p>
    <w:p w14:paraId="0C7885DD" w14:textId="77777777" w:rsidR="00F37CD5" w:rsidRDefault="00F37CD5" w:rsidP="00F37CD5">
      <w:pPr>
        <w:pStyle w:val="Nivel5"/>
        <w:ind w:left="1871"/>
      </w:pPr>
      <w:r>
        <w:t>Organismos Autónomos (BOE).</w:t>
      </w:r>
    </w:p>
    <w:p w14:paraId="06B41F65" w14:textId="5A255BC6" w:rsidR="00F37CD5" w:rsidRPr="00CC2868" w:rsidRDefault="00F37CD5" w:rsidP="00F37CD5">
      <w:pPr>
        <w:pStyle w:val="Nivel5"/>
        <w:ind w:left="1871"/>
        <w:rPr>
          <w:spacing w:val="-2"/>
        </w:rPr>
      </w:pPr>
      <w:r w:rsidRPr="00CC2868">
        <w:rPr>
          <w:spacing w:val="-2"/>
        </w:rPr>
        <w:t>Entidades Públicas Empresariales (</w:t>
      </w:r>
      <w:r w:rsidR="00CC2868" w:rsidRPr="00CC2868">
        <w:rPr>
          <w:spacing w:val="-2"/>
        </w:rPr>
        <w:t>Renfe</w:t>
      </w:r>
      <w:r w:rsidRPr="00CC2868">
        <w:rPr>
          <w:spacing w:val="-2"/>
        </w:rPr>
        <w:t>, Loterías y Apuestas del Estado</w:t>
      </w:r>
      <w:r w:rsidR="00CC2868" w:rsidRPr="00CC2868">
        <w:rPr>
          <w:spacing w:val="-2"/>
        </w:rPr>
        <w:t xml:space="preserve"> (SELAE)</w:t>
      </w:r>
      <w:r w:rsidRPr="00CC2868">
        <w:rPr>
          <w:spacing w:val="-2"/>
        </w:rPr>
        <w:t>, AENA, Correos, el Canal de Isabel II, etc.).</w:t>
      </w:r>
    </w:p>
    <w:p w14:paraId="47250A55" w14:textId="77777777" w:rsidR="00F37CD5" w:rsidRDefault="00F37CD5" w:rsidP="00F37CD5">
      <w:pPr>
        <w:pStyle w:val="Nivel3SM"/>
        <w:keepNext/>
      </w:pPr>
      <w:r w:rsidRPr="00BB4918">
        <w:rPr>
          <w:i/>
          <w:iCs/>
          <w:u w:val="single"/>
        </w:rPr>
        <w:t>Sociedades financieras públicas</w:t>
      </w:r>
      <w:r>
        <w:t xml:space="preserve"> (S.12):</w:t>
      </w:r>
    </w:p>
    <w:p w14:paraId="730A31E6" w14:textId="68B89ECF" w:rsidR="00F37CD5" w:rsidRPr="008F2FE0" w:rsidRDefault="00F37CD5" w:rsidP="00F37CD5">
      <w:pPr>
        <w:pStyle w:val="Nivel4"/>
        <w:ind w:left="1474"/>
      </w:pPr>
      <w:r>
        <w:t>Banco Central</w:t>
      </w:r>
      <w:r w:rsidR="006F1E58">
        <w:rPr>
          <w:rStyle w:val="Refdenotaalpie"/>
        </w:rPr>
        <w:footnoteReference w:id="17"/>
      </w:r>
      <w:r>
        <w:t>.</w:t>
      </w:r>
    </w:p>
    <w:p w14:paraId="69292848" w14:textId="53A9DEF9" w:rsidR="00F37CD5" w:rsidRPr="008F2FE0" w:rsidRDefault="00F37CD5" w:rsidP="00F37CD5">
      <w:pPr>
        <w:pStyle w:val="Nivel4"/>
        <w:ind w:left="1474"/>
      </w:pPr>
      <w:r>
        <w:t>Otras Instituciones Financieras Monetarias Públicas (ICO)</w:t>
      </w:r>
      <w:r w:rsidR="006F1E58">
        <w:rPr>
          <w:rStyle w:val="Refdenotaalpie"/>
        </w:rPr>
        <w:footnoteReference w:id="18"/>
      </w:r>
      <w:r>
        <w:t>.</w:t>
      </w:r>
    </w:p>
    <w:p w14:paraId="6AFB495D" w14:textId="77777777" w:rsidR="00F37CD5" w:rsidRPr="008F2FE0" w:rsidRDefault="00F37CD5" w:rsidP="00F37CD5">
      <w:pPr>
        <w:pStyle w:val="Nivel4"/>
        <w:ind w:left="1474"/>
      </w:pPr>
      <w:r>
        <w:t>Otros Intermediarios Financieros Públicos.</w:t>
      </w:r>
    </w:p>
    <w:p w14:paraId="453A749D" w14:textId="77777777" w:rsidR="00F37CD5" w:rsidRPr="008F2FE0" w:rsidRDefault="00F37CD5" w:rsidP="00F37CD5">
      <w:pPr>
        <w:pStyle w:val="Nivel4"/>
        <w:ind w:left="1474"/>
      </w:pPr>
      <w:r>
        <w:t>Auxiliares Financieros Públicos (Fondo de Garantía de Depósitos).</w:t>
      </w:r>
    </w:p>
    <w:p w14:paraId="6E988060" w14:textId="77777777" w:rsidR="00F37CD5" w:rsidRPr="008F2FE0" w:rsidRDefault="00F37CD5" w:rsidP="00F37CD5">
      <w:pPr>
        <w:pStyle w:val="Nivel4"/>
        <w:ind w:left="1474"/>
      </w:pPr>
      <w:r>
        <w:t>Empresas de Seguro y Fondos de Pensiones Públicos (CESCE).</w:t>
      </w:r>
    </w:p>
    <w:p w14:paraId="6B81DECE" w14:textId="66B3A5A7" w:rsidR="00F37CD5" w:rsidRDefault="00F37CD5" w:rsidP="00F37CD5">
      <w:pPr>
        <w:pStyle w:val="Nivel2SM"/>
        <w:keepNext/>
        <w:keepLines/>
        <w:spacing w:after="0"/>
      </w:pPr>
      <w:bookmarkStart w:id="17" w:name="_Hlk146470026"/>
      <w:r>
        <w:t>En cualquier caso, una empresa pública puede estar clasificada en el S.11 o el S.12 y, debido a un cambio en su estatuto, en su estructura, en sus actividades o en sus cuentas puede pasar a ser parte del S.13. Por ello, no es conveniente aprenderse la lista de unidades de memoria sino m</w:t>
      </w:r>
      <w:r w:rsidR="00770C03">
        <w:t>á</w:t>
      </w:r>
      <w:r>
        <w:t>s bien comprender el principio que lleva a clasificar una unidad en las AAPP o en el sector público empresarial.</w:t>
      </w:r>
    </w:p>
    <w:p w14:paraId="704D6F75" w14:textId="77777777" w:rsidR="00F37CD5" w:rsidRDefault="00F37CD5" w:rsidP="00F37CD5">
      <w:pPr>
        <w:pStyle w:val="Nivel3SM"/>
      </w:pPr>
      <w:r>
        <w:t>De la delimitación de las AAPP en contabilidad nacional se encarga la IGAE, en colaboración con el INE y el Banco de España. A su vez, Eurostat hace un seguimiento periódico de esta clasificación y proporciona su opinión para los casos dudosos.</w:t>
      </w:r>
    </w:p>
    <w:p w14:paraId="65B9C7A0" w14:textId="77777777" w:rsidR="00F37CD5" w:rsidRDefault="00F37CD5" w:rsidP="00F37CD5">
      <w:pPr>
        <w:pStyle w:val="Nivel1SM"/>
        <w:keepNext/>
        <w:spacing w:after="0"/>
      </w:pPr>
      <w:r>
        <w:t>Clasificar correctamente las unidades públicas como AAPP (S.13) o como parte del sector empresarial (S.11 y S.12) es crucial a la hora de calcular correctamente el déficit y la deuda pública.</w:t>
      </w:r>
    </w:p>
    <w:p w14:paraId="232C2329" w14:textId="77777777" w:rsidR="00F37CD5" w:rsidRDefault="00F37CD5" w:rsidP="00F37CD5">
      <w:pPr>
        <w:pStyle w:val="Nivel2SM"/>
      </w:pPr>
      <w:r>
        <w:t>Se entiende por déficit público al déficit del sector AAPP según la sectorización de contabilidad nacional y por deuda pública a la deuda del sector AAPP.</w:t>
      </w:r>
    </w:p>
    <w:p w14:paraId="6F4DB428" w14:textId="77777777" w:rsidR="00F37CD5" w:rsidRDefault="00F37CD5" w:rsidP="00F37CD5">
      <w:pPr>
        <w:pStyle w:val="Nivel2SM"/>
        <w:keepNext/>
        <w:spacing w:after="0"/>
      </w:pPr>
      <w:r>
        <w:t>Por tanto, el déficit y la deuda de empresas públicas que son productores de mercado no computarán como déficit/deuda pública, sino como déficit y deuda de los sectores S.11 y S.12. La deuda de las empresas públicas se integra dentro de los pasivos contingentes de las AAPP.</w:t>
      </w:r>
    </w:p>
    <w:p w14:paraId="130561B0" w14:textId="77777777" w:rsidR="00F37CD5" w:rsidRDefault="00F37CD5" w:rsidP="00F37CD5">
      <w:pPr>
        <w:pStyle w:val="Nivel3SM"/>
      </w:pPr>
      <w:r>
        <w:t>La clasificación incorrecta de una empresa pública llevará pues a cifras erróneas del déficit y la deuda pública en contabilidad nacional.</w:t>
      </w:r>
    </w:p>
    <w:p w14:paraId="297B5436" w14:textId="6380D4C1" w:rsidR="00763554" w:rsidRPr="00482B74" w:rsidRDefault="00763554" w:rsidP="00763554">
      <w:pPr>
        <w:pStyle w:val="Ttuloimagen"/>
        <w:ind w:left="709" w:hanging="709"/>
        <w:rPr>
          <w:i/>
          <w:iCs/>
          <w:smallCaps w:val="0"/>
        </w:rPr>
      </w:pPr>
      <w:r>
        <w:lastRenderedPageBreak/>
        <w:t>Imagen </w:t>
      </w:r>
      <w:r>
        <w:fldChar w:fldCharType="begin"/>
      </w:r>
      <w:r>
        <w:instrText xml:space="preserve"> SEQ Ilustración \* ARABIC </w:instrText>
      </w:r>
      <w:r>
        <w:fldChar w:fldCharType="separate"/>
      </w:r>
      <w:r w:rsidR="0021538E">
        <w:t>2</w:t>
      </w:r>
      <w:r>
        <w:fldChar w:fldCharType="end"/>
      </w:r>
      <w:r>
        <w:rPr>
          <w:smallCaps w:val="0"/>
        </w:rPr>
        <w:t xml:space="preserve">.– </w:t>
      </w:r>
      <w:r>
        <w:rPr>
          <w:i/>
          <w:iCs/>
          <w:smallCaps w:val="0"/>
        </w:rPr>
        <w:t>Delimitación del sector público en el SEC-2010</w:t>
      </w:r>
    </w:p>
    <w:p w14:paraId="7B5A5F6D" w14:textId="0F03FD8A" w:rsidR="00763554" w:rsidRDefault="00763554" w:rsidP="00763554">
      <w:pPr>
        <w:pStyle w:val="Imagen"/>
      </w:pPr>
      <w:r>
        <w:drawing>
          <wp:inline distT="0" distB="0" distL="0" distR="0" wp14:anchorId="4E5F7DBE" wp14:editId="360220E1">
            <wp:extent cx="4859904" cy="6465277"/>
            <wp:effectExtent l="0" t="0" r="0" b="0"/>
            <wp:docPr id="70626749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67497" name="Imagen 1" descr="Interfaz de usuario gráfica, Texto, Aplicación&#10;&#10;Descripción generada automáticamente"/>
                    <pic:cNvPicPr/>
                  </pic:nvPicPr>
                  <pic:blipFill rotWithShape="1">
                    <a:blip r:embed="rId11"/>
                    <a:srcRect r="17079" b="23018"/>
                    <a:stretch/>
                  </pic:blipFill>
                  <pic:spPr bwMode="auto">
                    <a:xfrm>
                      <a:off x="0" y="0"/>
                      <a:ext cx="4874300" cy="6484428"/>
                    </a:xfrm>
                    <a:prstGeom prst="rect">
                      <a:avLst/>
                    </a:prstGeom>
                    <a:ln>
                      <a:noFill/>
                    </a:ln>
                    <a:extLst>
                      <a:ext uri="{53640926-AAD7-44D8-BBD7-CCE9431645EC}">
                        <a14:shadowObscured xmlns:a14="http://schemas.microsoft.com/office/drawing/2010/main"/>
                      </a:ext>
                    </a:extLst>
                  </pic:spPr>
                </pic:pic>
              </a:graphicData>
            </a:graphic>
          </wp:inline>
        </w:drawing>
      </w:r>
    </w:p>
    <w:p w14:paraId="2D75664B" w14:textId="41EFF9C0" w:rsidR="00763554" w:rsidRDefault="00763554" w:rsidP="00763554">
      <w:pPr>
        <w:pStyle w:val="PiedeImagen"/>
      </w:pPr>
      <w:r>
        <w:t>Fuente</w:t>
      </w:r>
      <w:r w:rsidRPr="00763554">
        <w:rPr>
          <w:i w:val="0"/>
          <w:iCs/>
        </w:rPr>
        <w:t>: Parlamento Europeo y Consejo (2013)</w:t>
      </w:r>
      <w:r w:rsidR="00DE3F57">
        <w:rPr>
          <w:i w:val="0"/>
          <w:iCs/>
        </w:rPr>
        <w:t>.</w:t>
      </w:r>
      <w:r>
        <w:t xml:space="preserve"> Reglamento UE Nº 549/2013 relativo al sistema Europeo de Cuentas nacionales y Regionales de la UE. </w:t>
      </w:r>
      <w:hyperlink r:id="rId12" w:history="1">
        <w:r w:rsidRPr="008C4AF0">
          <w:rPr>
            <w:rStyle w:val="Hipervnculo"/>
            <w:i w:val="0"/>
            <w:iCs/>
          </w:rPr>
          <w:t>https://www.boe.es/doue/2013/174/L00001-00727.pdf</w:t>
        </w:r>
      </w:hyperlink>
    </w:p>
    <w:p w14:paraId="4D9DD208" w14:textId="6E81DC42" w:rsidR="00797D50" w:rsidRDefault="00820B35" w:rsidP="00D636B8">
      <w:pPr>
        <w:pStyle w:val="Ttulo1"/>
      </w:pPr>
      <w:bookmarkStart w:id="18" w:name="_Toc151113566"/>
      <w:bookmarkEnd w:id="17"/>
      <w:r>
        <w:t>OPERACIONES</w:t>
      </w:r>
      <w:r w:rsidR="00B63CD7">
        <w:t xml:space="preserve"> Y CUENTAS</w:t>
      </w:r>
      <w:r>
        <w:t xml:space="preserve"> </w:t>
      </w:r>
      <w:r w:rsidR="008B5F65">
        <w:t xml:space="preserve">PRINCIPALES </w:t>
      </w:r>
      <w:r>
        <w:t>DEL SECTOR PÚBLICO</w:t>
      </w:r>
      <w:bookmarkEnd w:id="18"/>
    </w:p>
    <w:p w14:paraId="4DAD9AE0" w14:textId="77777777" w:rsidR="00CC2868" w:rsidRDefault="00CC2868" w:rsidP="009A7DDE">
      <w:pPr>
        <w:pStyle w:val="Nivel1SM"/>
        <w:keepNext/>
        <w:spacing w:before="0" w:after="0"/>
      </w:pPr>
      <w:r>
        <w:t xml:space="preserve">Habiendo justificado el estudio del sector público y delimitado su alcance, podemos pasar a estudiar un </w:t>
      </w:r>
      <w:r>
        <w:rPr>
          <w:b/>
          <w:bCs/>
        </w:rPr>
        <w:t>marco sistemático</w:t>
      </w:r>
      <w:r>
        <w:t xml:space="preserve"> en el que registrar su actividad.</w:t>
      </w:r>
    </w:p>
    <w:p w14:paraId="329272CC" w14:textId="77777777" w:rsidR="00CC2868" w:rsidRDefault="00FD2DA6" w:rsidP="00CC2868">
      <w:pPr>
        <w:pStyle w:val="Nivel2SM"/>
      </w:pPr>
      <w:r>
        <w:t xml:space="preserve">Como se ha visto, el </w:t>
      </w:r>
      <w:r w:rsidR="009A7DDE">
        <w:t>s</w:t>
      </w:r>
      <w:r>
        <w:t xml:space="preserve">ector </w:t>
      </w:r>
      <w:r w:rsidR="009A7DDE">
        <w:t>p</w:t>
      </w:r>
      <w:r>
        <w:t xml:space="preserve">úblico interviene en la economía con </w:t>
      </w:r>
      <w:r w:rsidRPr="00CC2868">
        <w:rPr>
          <w:b/>
          <w:bCs/>
        </w:rPr>
        <w:t>actuaciones</w:t>
      </w:r>
      <w:r>
        <w:t xml:space="preserve"> diversas. En contabilidad nacional, estas actividades se traducen en </w:t>
      </w:r>
      <w:r w:rsidRPr="00FD2DA6">
        <w:rPr>
          <w:b/>
          <w:bCs/>
        </w:rPr>
        <w:t>operaciones</w:t>
      </w:r>
      <w:r w:rsidR="00CC2868">
        <w:t>.</w:t>
      </w:r>
    </w:p>
    <w:p w14:paraId="1892F16F" w14:textId="4A63D3DA" w:rsidR="00FD2DA6" w:rsidRPr="00CC2868" w:rsidRDefault="00CC2868" w:rsidP="00CC2868">
      <w:pPr>
        <w:pStyle w:val="Nivel2SM"/>
      </w:pPr>
      <w:r w:rsidRPr="00CC2868">
        <w:t xml:space="preserve">Estas operaciones </w:t>
      </w:r>
      <w:r w:rsidR="00AF6F0B" w:rsidRPr="00CC2868">
        <w:t xml:space="preserve">son medidas por el </w:t>
      </w:r>
      <w:r w:rsidR="00AF6F0B" w:rsidRPr="00CC2868">
        <w:rPr>
          <w:b/>
          <w:bCs/>
        </w:rPr>
        <w:t>Comité Técnico de las Cuentas Nacionales</w:t>
      </w:r>
      <w:r w:rsidR="00EC0BB1" w:rsidRPr="00CC2868">
        <w:t xml:space="preserve"> </w:t>
      </w:r>
      <w:r w:rsidR="00EC0BB1" w:rsidRPr="00CC2868">
        <w:rPr>
          <w:sz w:val="19"/>
          <w:szCs w:val="19"/>
        </w:rPr>
        <w:t>(conformado por el Instituto Nacional de Estadística</w:t>
      </w:r>
      <w:r w:rsidR="003C51AC">
        <w:rPr>
          <w:sz w:val="19"/>
          <w:szCs w:val="19"/>
        </w:rPr>
        <w:t xml:space="preserve"> (INE)</w:t>
      </w:r>
      <w:r w:rsidR="00EC0BB1" w:rsidRPr="00CC2868">
        <w:rPr>
          <w:sz w:val="19"/>
          <w:szCs w:val="19"/>
        </w:rPr>
        <w:t>, el Banco de España y la Intervención General de</w:t>
      </w:r>
      <w:r>
        <w:rPr>
          <w:sz w:val="19"/>
          <w:szCs w:val="19"/>
        </w:rPr>
        <w:t xml:space="preserve"> </w:t>
      </w:r>
      <w:r w:rsidR="00EC0BB1" w:rsidRPr="00CC2868">
        <w:rPr>
          <w:sz w:val="19"/>
          <w:szCs w:val="19"/>
        </w:rPr>
        <w:t>l</w:t>
      </w:r>
      <w:r>
        <w:rPr>
          <w:sz w:val="19"/>
          <w:szCs w:val="19"/>
        </w:rPr>
        <w:t>a</w:t>
      </w:r>
      <w:r w:rsidR="00EC0BB1" w:rsidRPr="00CC2868">
        <w:rPr>
          <w:sz w:val="19"/>
          <w:szCs w:val="19"/>
        </w:rPr>
        <w:t xml:space="preserve"> </w:t>
      </w:r>
      <w:r>
        <w:rPr>
          <w:sz w:val="19"/>
          <w:szCs w:val="19"/>
        </w:rPr>
        <w:t xml:space="preserve">Administración del </w:t>
      </w:r>
      <w:r w:rsidR="00EC0BB1" w:rsidRPr="00CC2868">
        <w:rPr>
          <w:sz w:val="19"/>
          <w:szCs w:val="19"/>
        </w:rPr>
        <w:t xml:space="preserve">Estado </w:t>
      </w:r>
      <w:r w:rsidR="003C51AC">
        <w:rPr>
          <w:sz w:val="19"/>
          <w:szCs w:val="19"/>
        </w:rPr>
        <w:t xml:space="preserve">(IGAE) </w:t>
      </w:r>
      <w:r w:rsidR="00EC0BB1" w:rsidRPr="00CC2868">
        <w:rPr>
          <w:sz w:val="19"/>
          <w:szCs w:val="19"/>
        </w:rPr>
        <w:t>como órganos competentes en la elaboración de las cuentas nacionales de las unidades que componen el sector de las Administraciones Públicas y de las sociedades financieras y no</w:t>
      </w:r>
      <w:r w:rsidR="00F75930" w:rsidRPr="00CC2868">
        <w:rPr>
          <w:sz w:val="19"/>
          <w:szCs w:val="19"/>
        </w:rPr>
        <w:t> </w:t>
      </w:r>
      <w:r w:rsidR="00EC0BB1" w:rsidRPr="00CC2868">
        <w:rPr>
          <w:sz w:val="19"/>
          <w:szCs w:val="19"/>
        </w:rPr>
        <w:t>financieras públicas)</w:t>
      </w:r>
      <w:r w:rsidR="00AF6F0B" w:rsidRPr="00CC2868">
        <w:t>, y</w:t>
      </w:r>
      <w:r w:rsidR="00FD2DA6" w:rsidRPr="00CC2868">
        <w:t xml:space="preserve"> se organizan en un </w:t>
      </w:r>
      <w:r w:rsidR="00FD2DA6" w:rsidRPr="00CC2868">
        <w:rPr>
          <w:b/>
          <w:bCs/>
        </w:rPr>
        <w:t>marco de cuentas</w:t>
      </w:r>
      <w:r w:rsidR="00FD2DA6" w:rsidRPr="00CC2868">
        <w:t>, diseñado para facilitar el análisis macroeconómico y las comparaciones internacionales.</w:t>
      </w:r>
    </w:p>
    <w:p w14:paraId="5844F216" w14:textId="14AA0526" w:rsidR="00FD2DA6" w:rsidRDefault="00FD2DA6" w:rsidP="00FD2DA6">
      <w:pPr>
        <w:pStyle w:val="Nivel2SM"/>
      </w:pPr>
      <w:r>
        <w:t xml:space="preserve">En esta sección veremos cuáles son las principales operaciones de las AAPP y agruparemos dichas operaciones en una </w:t>
      </w:r>
      <w:r w:rsidRPr="00CC2868">
        <w:rPr>
          <w:i/>
          <w:iCs/>
        </w:rPr>
        <w:t>sucesión de cuentas</w:t>
      </w:r>
      <w:r>
        <w:t xml:space="preserve"> de las que obtendremos las principales </w:t>
      </w:r>
      <w:r w:rsidRPr="00CC2868">
        <w:rPr>
          <w:i/>
          <w:iCs/>
        </w:rPr>
        <w:t>macromagnitudes</w:t>
      </w:r>
      <w:r>
        <w:t xml:space="preserve"> como saldos.</w:t>
      </w:r>
    </w:p>
    <w:p w14:paraId="5BC1C272" w14:textId="77777777" w:rsidR="00E42B53" w:rsidRDefault="00E42B53" w:rsidP="00E42B53">
      <w:pPr>
        <w:pStyle w:val="Ttulo2"/>
      </w:pPr>
      <w:bookmarkStart w:id="19" w:name="_Toc151113567"/>
      <w:r>
        <w:lastRenderedPageBreak/>
        <w:t>Fuentes estadísticas</w:t>
      </w:r>
      <w:bookmarkEnd w:id="19"/>
    </w:p>
    <w:p w14:paraId="334D6894" w14:textId="77777777" w:rsidR="00E42B53" w:rsidRDefault="00E42B53" w:rsidP="00E42B53">
      <w:pPr>
        <w:pStyle w:val="Nivel1SM"/>
        <w:keepNext/>
        <w:spacing w:before="0" w:after="0"/>
      </w:pPr>
      <w:bookmarkStart w:id="20" w:name="_Hlk150980616"/>
      <w:r>
        <w:t xml:space="preserve">Para detallar dichas operaciones en la sucesión de cuentas, será clave disponer de información acerca de ellas. En España las </w:t>
      </w:r>
      <w:r w:rsidRPr="005936DF">
        <w:rPr>
          <w:b/>
          <w:bCs/>
        </w:rPr>
        <w:t>fuentes estadísticas</w:t>
      </w:r>
      <w:r>
        <w:t xml:space="preserve"> para la elaboración de las cuentas del sector público son:</w:t>
      </w:r>
    </w:p>
    <w:p w14:paraId="3BB1D573" w14:textId="612E13BD" w:rsidR="00E42B53" w:rsidRDefault="00E42B53">
      <w:pPr>
        <w:pStyle w:val="Prrafodelista"/>
        <w:numPr>
          <w:ilvl w:val="0"/>
          <w:numId w:val="19"/>
        </w:numPr>
        <w:spacing w:after="0"/>
        <w:ind w:left="567" w:hanging="113"/>
      </w:pPr>
      <w:r w:rsidRPr="00145515">
        <w:rPr>
          <w:i/>
          <w:iCs/>
        </w:rPr>
        <w:t>Intervención General de la Administración del Estado (IGAE)</w:t>
      </w:r>
      <w:r w:rsidRPr="005936DF">
        <w:rPr>
          <w:rStyle w:val="Refdenotaalpie"/>
        </w:rPr>
        <w:footnoteReference w:id="19"/>
      </w:r>
      <w:r>
        <w:t xml:space="preserve">: Elabora las cuentas no financieras del sector </w:t>
      </w:r>
      <w:r w:rsidR="007544C8">
        <w:t xml:space="preserve">de las </w:t>
      </w:r>
      <w:r>
        <w:t>AAPP. También se encarga de la delimitación del sector de las AAPP.</w:t>
      </w:r>
    </w:p>
    <w:p w14:paraId="305674E5" w14:textId="3AF71DF2" w:rsidR="00E42B53" w:rsidRDefault="00E42B53">
      <w:pPr>
        <w:pStyle w:val="Prrafodelista"/>
        <w:numPr>
          <w:ilvl w:val="0"/>
          <w:numId w:val="19"/>
        </w:numPr>
        <w:spacing w:after="0"/>
        <w:ind w:left="567" w:hanging="113"/>
      </w:pPr>
      <w:r w:rsidRPr="00145515">
        <w:rPr>
          <w:i/>
          <w:iCs/>
        </w:rPr>
        <w:t>Instituto Nacional de Estadística</w:t>
      </w:r>
      <w:r>
        <w:t>: Se encarga de la publicación de las cuentas no financieras con periodicidad trimestral y anual. Remite la información a Eurostat.</w:t>
      </w:r>
    </w:p>
    <w:p w14:paraId="7FCF400B" w14:textId="77777777" w:rsidR="00E42B53" w:rsidRDefault="00E42B53">
      <w:pPr>
        <w:pStyle w:val="Prrafodelista"/>
        <w:keepNext/>
        <w:numPr>
          <w:ilvl w:val="0"/>
          <w:numId w:val="19"/>
        </w:numPr>
        <w:spacing w:after="0"/>
        <w:ind w:left="567" w:hanging="113"/>
      </w:pPr>
      <w:r w:rsidRPr="00145515">
        <w:rPr>
          <w:i/>
          <w:iCs/>
        </w:rPr>
        <w:t>Banco de España</w:t>
      </w:r>
      <w:r>
        <w:t>: Elabora las cuentas financieras y el balance.</w:t>
      </w:r>
    </w:p>
    <w:p w14:paraId="4CD8D171" w14:textId="63582DB4" w:rsidR="00E42B53" w:rsidRPr="005936DF" w:rsidRDefault="00E42B53" w:rsidP="00E42B53">
      <w:pPr>
        <w:pStyle w:val="Nivel3SM"/>
      </w:pPr>
      <w:r>
        <w:t xml:space="preserve">Estas 3 instituciones integran el </w:t>
      </w:r>
      <w:r>
        <w:rPr>
          <w:b/>
          <w:bCs/>
        </w:rPr>
        <w:t>Comité Técnico de las Cuentas Nacionales</w:t>
      </w:r>
      <w:r>
        <w:t xml:space="preserve">, donde se discuten los asuntos metodológicos que afectan a las cuentas de las </w:t>
      </w:r>
      <w:r w:rsidR="002C631A">
        <w:t>AAPP</w:t>
      </w:r>
      <w:r>
        <w:t>.</w:t>
      </w:r>
    </w:p>
    <w:p w14:paraId="27D770DF" w14:textId="049C12AF" w:rsidR="00AC2EA2" w:rsidRDefault="00856B83" w:rsidP="00D636B8">
      <w:pPr>
        <w:pStyle w:val="Ttulo2"/>
      </w:pPr>
      <w:bookmarkStart w:id="21" w:name="_Toc151113568"/>
      <w:bookmarkEnd w:id="20"/>
      <w:r>
        <w:t>Clasificación de las o</w:t>
      </w:r>
      <w:r w:rsidR="00AC2EA2">
        <w:t>peraciones del sector público</w:t>
      </w:r>
      <w:bookmarkEnd w:id="21"/>
    </w:p>
    <w:p w14:paraId="0B841DB3" w14:textId="6B8ED818" w:rsidR="00F86B49" w:rsidRDefault="00F86B49">
      <w:pPr>
        <w:pStyle w:val="Ttulo6"/>
        <w:numPr>
          <w:ilvl w:val="0"/>
          <w:numId w:val="18"/>
        </w:numPr>
        <w:spacing w:before="0"/>
        <w:ind w:left="0" w:hanging="284"/>
      </w:pPr>
      <w:bookmarkStart w:id="22" w:name="_Toc151113569"/>
      <w:r>
        <w:t>Operaciones financieras y no</w:t>
      </w:r>
      <w:r w:rsidR="00F75930">
        <w:t> </w:t>
      </w:r>
      <w:r>
        <w:t>financieras</w:t>
      </w:r>
      <w:bookmarkEnd w:id="22"/>
    </w:p>
    <w:p w14:paraId="5FC7599B" w14:textId="269FCB94" w:rsidR="00F86B49" w:rsidRDefault="00F86B49" w:rsidP="00F86B49">
      <w:pPr>
        <w:pStyle w:val="Nivel1SM"/>
        <w:keepNext/>
        <w:spacing w:before="0" w:after="0"/>
      </w:pPr>
      <w:r>
        <w:t>Atendiendo a su naturaleza, el SEC</w:t>
      </w:r>
      <w:r w:rsidR="00F75930">
        <w:t>-</w:t>
      </w:r>
      <w:r>
        <w:t xml:space="preserve">2010 distingue </w:t>
      </w:r>
      <w:r w:rsidRPr="00B16D5A">
        <w:rPr>
          <w:b/>
          <w:bCs/>
        </w:rPr>
        <w:t>2 tipos de operaciones</w:t>
      </w:r>
      <w:r>
        <w:t>:</w:t>
      </w:r>
    </w:p>
    <w:p w14:paraId="7EB7F58C" w14:textId="594F72A6" w:rsidR="00856B83" w:rsidRDefault="00F86B49" w:rsidP="00F86B49">
      <w:pPr>
        <w:pStyle w:val="Nivel2SM"/>
        <w:keepNext/>
        <w:spacing w:after="0"/>
      </w:pPr>
      <w:r>
        <w:rPr>
          <w:i/>
          <w:iCs/>
          <w:u w:val="single"/>
        </w:rPr>
        <w:t>Operaciones financieras</w:t>
      </w:r>
      <w:r>
        <w:t xml:space="preserve">: Describen la adquisición </w:t>
      </w:r>
      <w:r w:rsidR="00856B83">
        <w:t xml:space="preserve">y cesión </w:t>
      </w:r>
      <w:r>
        <w:t>de activos y pasivos financieros (efectivo y depósitos, bonos, préstamos, acciones, etc.).</w:t>
      </w:r>
      <w:r w:rsidR="00856B83">
        <w:t xml:space="preserve"> En el SEC estas operaciones se codifican con la letra </w:t>
      </w:r>
      <w:r w:rsidR="00856B83">
        <w:rPr>
          <w:i/>
          <w:iCs/>
        </w:rPr>
        <w:t>F</w:t>
      </w:r>
      <w:r w:rsidR="00856B83">
        <w:t xml:space="preserve"> (= </w:t>
      </w:r>
      <w:proofErr w:type="spellStart"/>
      <w:r w:rsidR="00856B83">
        <w:rPr>
          <w:i/>
          <w:iCs/>
        </w:rPr>
        <w:t>financial</w:t>
      </w:r>
      <w:proofErr w:type="spellEnd"/>
      <w:r w:rsidR="00856B83">
        <w:t>).</w:t>
      </w:r>
    </w:p>
    <w:p w14:paraId="7DC589F6" w14:textId="775A2BCE" w:rsidR="00F86B49" w:rsidRDefault="00856B83" w:rsidP="00856B83">
      <w:pPr>
        <w:pStyle w:val="Nivel2SM"/>
        <w:keepNext/>
        <w:numPr>
          <w:ilvl w:val="0"/>
          <w:numId w:val="0"/>
        </w:numPr>
        <w:spacing w:after="0"/>
        <w:ind w:left="567"/>
      </w:pPr>
      <w:r>
        <w:t>S</w:t>
      </w:r>
      <w:r w:rsidR="00F86B49">
        <w:t>e agrupan en la “Cuenta financiera” y no inciden directamente en el déficit público.</w:t>
      </w:r>
    </w:p>
    <w:p w14:paraId="1E4AAFD6" w14:textId="77777777" w:rsidR="00F86B49" w:rsidRDefault="00F86B49" w:rsidP="00F86B49">
      <w:pPr>
        <w:pStyle w:val="Nivel2SM"/>
        <w:keepNext/>
        <w:spacing w:after="0"/>
      </w:pPr>
      <w:r>
        <w:rPr>
          <w:i/>
          <w:iCs/>
          <w:u w:val="single"/>
        </w:rPr>
        <w:t>Operaciones no financieras</w:t>
      </w:r>
      <w:r>
        <w:t>: Entre las que podemos destacar:</w:t>
      </w:r>
    </w:p>
    <w:p w14:paraId="324855D2" w14:textId="77777777" w:rsidR="00F86B49" w:rsidRDefault="00F86B49" w:rsidP="00F86B49">
      <w:pPr>
        <w:pStyle w:val="Nivel3SM"/>
      </w:pPr>
      <w:r>
        <w:rPr>
          <w:i/>
          <w:iCs/>
        </w:rPr>
        <w:t>Operaciones de bienes y servicios</w:t>
      </w:r>
      <w:r>
        <w:t>: Describen el origen (producción o importación) y el destino (consumo, formación bruta de capital o exportación) de los bienes y servicios. En el SEC se codifican con la letra </w:t>
      </w:r>
      <w:r>
        <w:rPr>
          <w:i/>
          <w:iCs/>
        </w:rPr>
        <w:t>P</w:t>
      </w:r>
      <w:r>
        <w:t xml:space="preserve"> (= </w:t>
      </w:r>
      <w:proofErr w:type="spellStart"/>
      <w:r>
        <w:rPr>
          <w:i/>
          <w:iCs/>
        </w:rPr>
        <w:t>products</w:t>
      </w:r>
      <w:proofErr w:type="spellEnd"/>
      <w:r>
        <w:t>).</w:t>
      </w:r>
    </w:p>
    <w:p w14:paraId="1C113228" w14:textId="77777777" w:rsidR="00F86B49" w:rsidRDefault="00F86B49" w:rsidP="00F86B49">
      <w:pPr>
        <w:pStyle w:val="Nivel3SM"/>
      </w:pPr>
      <w:r>
        <w:rPr>
          <w:i/>
          <w:iCs/>
        </w:rPr>
        <w:t>Operaciones distributivas</w:t>
      </w:r>
      <w:r>
        <w:t xml:space="preserve">: Describen </w:t>
      </w:r>
      <w:r>
        <w:rPr>
          <w:i/>
          <w:iCs/>
        </w:rPr>
        <w:t>(i)</w:t>
      </w:r>
      <w:r>
        <w:t xml:space="preserve"> cómo se distribuye el valor añadido generado en el proceso de producción entre el factor trabajo, el capital y las administraciones públicas, y </w:t>
      </w:r>
      <w:r>
        <w:rPr>
          <w:i/>
          <w:iCs/>
        </w:rPr>
        <w:t>(</w:t>
      </w:r>
      <w:proofErr w:type="spellStart"/>
      <w:r>
        <w:rPr>
          <w:i/>
          <w:iCs/>
        </w:rPr>
        <w:t>ii</w:t>
      </w:r>
      <w:proofErr w:type="spellEnd"/>
      <w:r>
        <w:rPr>
          <w:i/>
          <w:iCs/>
        </w:rPr>
        <w:t>)</w:t>
      </w:r>
      <w:r w:rsidRPr="00F344FD">
        <w:t> </w:t>
      </w:r>
      <w:r>
        <w:t>la redistribución de la renta y la riqueza (p.ej. mediante impuestos sobre la renta y el patrimonio u otras transferencias). En el SEC se codifican con la letra </w:t>
      </w:r>
      <w:r>
        <w:rPr>
          <w:i/>
          <w:iCs/>
        </w:rPr>
        <w:t>D</w:t>
      </w:r>
      <w:r>
        <w:t xml:space="preserve"> (= </w:t>
      </w:r>
      <w:r>
        <w:rPr>
          <w:i/>
          <w:iCs/>
        </w:rPr>
        <w:t>distributive</w:t>
      </w:r>
      <w:r>
        <w:t>).</w:t>
      </w:r>
    </w:p>
    <w:p w14:paraId="4BADBB4B" w14:textId="128FBAF3" w:rsidR="00F86B49" w:rsidRDefault="00F86B49" w:rsidP="00856B83">
      <w:pPr>
        <w:pStyle w:val="Nivel2SM"/>
        <w:keepNext/>
        <w:numPr>
          <w:ilvl w:val="0"/>
          <w:numId w:val="0"/>
        </w:numPr>
        <w:spacing w:after="0"/>
        <w:ind w:left="567"/>
      </w:pPr>
      <w:r>
        <w:t>Las operaciones no financieras se agrupan en la</w:t>
      </w:r>
      <w:r w:rsidR="002520D7">
        <w:t>s</w:t>
      </w:r>
      <w:r>
        <w:t xml:space="preserve"> </w:t>
      </w:r>
      <w:r>
        <w:rPr>
          <w:i/>
          <w:iCs/>
        </w:rPr>
        <w:t>“cuenta</w:t>
      </w:r>
      <w:r w:rsidR="002520D7">
        <w:rPr>
          <w:i/>
          <w:iCs/>
        </w:rPr>
        <w:t>s</w:t>
      </w:r>
      <w:r>
        <w:rPr>
          <w:i/>
          <w:iCs/>
        </w:rPr>
        <w:t xml:space="preserve"> no</w:t>
      </w:r>
      <w:r w:rsidR="002520D7">
        <w:rPr>
          <w:i/>
          <w:iCs/>
        </w:rPr>
        <w:t> </w:t>
      </w:r>
      <w:r>
        <w:rPr>
          <w:i/>
          <w:iCs/>
        </w:rPr>
        <w:t>financiera</w:t>
      </w:r>
      <w:r w:rsidR="002520D7">
        <w:rPr>
          <w:i/>
          <w:iCs/>
        </w:rPr>
        <w:t>s</w:t>
      </w:r>
      <w:r>
        <w:rPr>
          <w:i/>
          <w:iCs/>
        </w:rPr>
        <w:t>”</w:t>
      </w:r>
      <w:r w:rsidRPr="00F86B49">
        <w:t>,</w:t>
      </w:r>
      <w:r>
        <w:t xml:space="preserve"> que incluye</w:t>
      </w:r>
      <w:r w:rsidR="002520D7">
        <w:t>n</w:t>
      </w:r>
      <w:r>
        <w:t xml:space="preserve"> las cuentas corrientes y la cuenta de capital y sería</w:t>
      </w:r>
      <w:r w:rsidR="00FD02C9">
        <w:t>n</w:t>
      </w:r>
      <w:r>
        <w:t xml:space="preserve"> el equivalente a la cuenta de pérdidas y ganancias en contabilidad de empresa.</w:t>
      </w:r>
    </w:p>
    <w:p w14:paraId="3E8EAAC5" w14:textId="6BD7AA50" w:rsidR="00F86B49" w:rsidRPr="00F344FD" w:rsidRDefault="00F86B49" w:rsidP="00856B83">
      <w:pPr>
        <w:pStyle w:val="Nivel3SM"/>
      </w:pPr>
      <w:r>
        <w:t xml:space="preserve">El saldo de esta cuenta (ingresos menos gastos no financieros) se conoce como </w:t>
      </w:r>
      <w:r>
        <w:rPr>
          <w:i/>
          <w:iCs/>
        </w:rPr>
        <w:t>déficit público</w:t>
      </w:r>
      <w:r>
        <w:t>, que es una aproximación del resultado de la cuenta de pérdidas y ganancias en contabilidad de la empresa.</w:t>
      </w:r>
    </w:p>
    <w:p w14:paraId="3F1BC727" w14:textId="67B175BA" w:rsidR="002E544F" w:rsidRDefault="00D945CC">
      <w:pPr>
        <w:pStyle w:val="Ttulo6"/>
        <w:numPr>
          <w:ilvl w:val="0"/>
          <w:numId w:val="18"/>
        </w:numPr>
        <w:ind w:left="0" w:hanging="284"/>
      </w:pPr>
      <w:bookmarkStart w:id="23" w:name="_Toc151113570"/>
      <w:r>
        <w:t>Clasificación económica s</w:t>
      </w:r>
      <w:r w:rsidR="000C0D1E" w:rsidRPr="000C0D1E">
        <w:t xml:space="preserve">egún </w:t>
      </w:r>
      <w:r w:rsidR="007118F5">
        <w:t>el signo de la operación</w:t>
      </w:r>
      <w:r w:rsidR="002E544F">
        <w:t xml:space="preserve"> </w:t>
      </w:r>
      <w:r w:rsidR="007118F5" w:rsidRPr="007118F5">
        <w:t>(ingresos y gastos)</w:t>
      </w:r>
      <w:bookmarkEnd w:id="23"/>
    </w:p>
    <w:p w14:paraId="6572AAEB" w14:textId="60353E57" w:rsidR="00ED64D7" w:rsidRPr="00ED64D7" w:rsidRDefault="00ED64D7" w:rsidP="00ED64D7">
      <w:pPr>
        <w:pStyle w:val="Cajadeanotaciones"/>
        <w:keepNext/>
        <w:rPr>
          <w:sz w:val="19"/>
          <w:szCs w:val="19"/>
        </w:rPr>
      </w:pPr>
      <w:hyperlink r:id="rId13" w:history="1">
        <w:r w:rsidRPr="00ED64D7">
          <w:rPr>
            <w:rStyle w:val="Hipervnculo"/>
            <w:sz w:val="19"/>
            <w:szCs w:val="19"/>
          </w:rPr>
          <w:t>https://www.igae.pap.hacienda.gob.es/sitios/igae/es-ES/Contabilidad/ContabilidadNacional/Publicaciones/Paginas/ianofinancierasTotal.aspx</w:t>
        </w:r>
      </w:hyperlink>
    </w:p>
    <w:p w14:paraId="27B3E961" w14:textId="18FFE2FF" w:rsidR="000C0D1E" w:rsidRDefault="002E544F" w:rsidP="00352C4C">
      <w:pPr>
        <w:pStyle w:val="Nivel2SM"/>
        <w:keepNext/>
        <w:spacing w:after="0"/>
      </w:pPr>
      <w:r w:rsidRPr="00042263">
        <w:rPr>
          <w:i/>
          <w:iCs/>
          <w:u w:val="single"/>
        </w:rPr>
        <w:t>Clasificación económica de i</w:t>
      </w:r>
      <w:r w:rsidR="000C0D1E" w:rsidRPr="00042263">
        <w:rPr>
          <w:i/>
          <w:iCs/>
          <w:u w:val="single"/>
        </w:rPr>
        <w:t>ngresos</w:t>
      </w:r>
      <w:r w:rsidR="000C0D1E">
        <w:t>:</w:t>
      </w:r>
    </w:p>
    <w:p w14:paraId="3C0CE948" w14:textId="43A97AC9" w:rsidR="002E544F" w:rsidRDefault="002E544F" w:rsidP="00352C4C">
      <w:pPr>
        <w:pStyle w:val="Nivel3SM"/>
        <w:keepNext/>
      </w:pPr>
      <w:r w:rsidRPr="00042263">
        <w:rPr>
          <w:i/>
          <w:iCs/>
        </w:rPr>
        <w:t>Operaciones no financieras</w:t>
      </w:r>
      <w:r>
        <w:t>:</w:t>
      </w:r>
    </w:p>
    <w:p w14:paraId="565E4E17" w14:textId="2D7E0CE3" w:rsidR="002E544F" w:rsidRDefault="002E544F" w:rsidP="00352C4C">
      <w:pPr>
        <w:pStyle w:val="Nivel4"/>
        <w:keepNext/>
        <w:ind w:left="1474"/>
      </w:pPr>
      <w:r w:rsidRPr="00AB67E8">
        <w:t>Ingresos corrientes</w:t>
      </w:r>
      <w:r w:rsidR="00ED64D7">
        <w:t xml:space="preserve"> (97,25 % de los ingresos no financieros en 2022)</w:t>
      </w:r>
      <w:r>
        <w:t>:</w:t>
      </w:r>
    </w:p>
    <w:p w14:paraId="7AE6A783" w14:textId="3320DB20" w:rsidR="002E544F" w:rsidRDefault="002E544F" w:rsidP="00352C4C">
      <w:pPr>
        <w:pStyle w:val="Nivel5"/>
        <w:ind w:left="1871"/>
      </w:pPr>
      <w:r>
        <w:t xml:space="preserve">Impuestos directos </w:t>
      </w:r>
      <w:r w:rsidR="000A7AED">
        <w:t>+</w:t>
      </w:r>
      <w:r w:rsidR="00CE7126">
        <w:t xml:space="preserve"> I</w:t>
      </w:r>
      <w:r w:rsidR="000A7AED">
        <w:t>mpuestos indirectos</w:t>
      </w:r>
      <w:r w:rsidR="00ED64D7">
        <w:t xml:space="preserve"> (</w:t>
      </w:r>
      <w:r w:rsidR="000A7AED">
        <w:t>5</w:t>
      </w:r>
      <w:r w:rsidR="00CE7126">
        <w:t>6</w:t>
      </w:r>
      <w:r w:rsidR="000A7AED">
        <w:t>,</w:t>
      </w:r>
      <w:r w:rsidR="00CE7126">
        <w:t>92</w:t>
      </w:r>
      <w:r w:rsidR="00ED64D7">
        <w:t> %)</w:t>
      </w:r>
      <w:r w:rsidR="000A7AED">
        <w:t>.</w:t>
      </w:r>
    </w:p>
    <w:p w14:paraId="1087AAF4" w14:textId="7E1CB8C4" w:rsidR="00ED64D7" w:rsidRDefault="00ED64D7" w:rsidP="00352C4C">
      <w:pPr>
        <w:pStyle w:val="Nivel5"/>
        <w:ind w:left="1871"/>
      </w:pPr>
      <w:r>
        <w:t>Cotizaciones sociales</w:t>
      </w:r>
      <w:r w:rsidR="000A7AED">
        <w:t xml:space="preserve"> (31,55 %)</w:t>
      </w:r>
      <w:r>
        <w:t>.</w:t>
      </w:r>
    </w:p>
    <w:p w14:paraId="2D7E2E72" w14:textId="5AE4A480" w:rsidR="002E544F" w:rsidRDefault="002E544F" w:rsidP="00352C4C">
      <w:pPr>
        <w:pStyle w:val="Nivel5"/>
        <w:ind w:left="1871"/>
      </w:pPr>
      <w:r>
        <w:t>Tasas, precios públicos y otros ingresos.</w:t>
      </w:r>
    </w:p>
    <w:p w14:paraId="5CC894EB" w14:textId="77777777" w:rsidR="002E544F" w:rsidRDefault="002E544F" w:rsidP="00352C4C">
      <w:pPr>
        <w:pStyle w:val="Nivel5"/>
        <w:ind w:left="1871"/>
      </w:pPr>
      <w:r>
        <w:t>Transferencias corrientes.</w:t>
      </w:r>
    </w:p>
    <w:p w14:paraId="1605DC7B" w14:textId="20B37800" w:rsidR="002E544F" w:rsidRDefault="002E544F" w:rsidP="00352C4C">
      <w:pPr>
        <w:pStyle w:val="Nivel5"/>
        <w:ind w:left="1871"/>
      </w:pPr>
      <w:r>
        <w:t>Ingresos patrimoniales</w:t>
      </w:r>
      <w:r w:rsidR="00555A44">
        <w:t>.</w:t>
      </w:r>
    </w:p>
    <w:p w14:paraId="79E81DBE" w14:textId="3C57BDD5" w:rsidR="002E544F" w:rsidRDefault="002E544F" w:rsidP="00352C4C">
      <w:pPr>
        <w:pStyle w:val="Nivel4"/>
        <w:keepNext/>
        <w:ind w:left="1474"/>
      </w:pPr>
      <w:r w:rsidRPr="00AB67E8">
        <w:t>Ingresos de capital</w:t>
      </w:r>
      <w:r w:rsidR="00ED64D7">
        <w:t xml:space="preserve"> (2,75 % de los ingresos no</w:t>
      </w:r>
      <w:r w:rsidR="00FD02C9">
        <w:t> </w:t>
      </w:r>
      <w:r w:rsidR="00ED64D7">
        <w:t>financieros en 2022)</w:t>
      </w:r>
      <w:r>
        <w:t>:</w:t>
      </w:r>
    </w:p>
    <w:p w14:paraId="58C9F1AA" w14:textId="77777777" w:rsidR="002E544F" w:rsidRDefault="002E544F" w:rsidP="00352C4C">
      <w:pPr>
        <w:pStyle w:val="Nivel5"/>
        <w:ind w:left="1871"/>
      </w:pPr>
      <w:r>
        <w:t>Enajenación de inversiones reales.</w:t>
      </w:r>
    </w:p>
    <w:p w14:paraId="5648F979" w14:textId="77777777" w:rsidR="002E544F" w:rsidRDefault="002E544F" w:rsidP="00352C4C">
      <w:pPr>
        <w:pStyle w:val="Nivel5"/>
        <w:ind w:left="1871"/>
      </w:pPr>
      <w:r>
        <w:t>Transferencias de capital</w:t>
      </w:r>
      <w:r w:rsidR="003562EE">
        <w:t xml:space="preserve"> recibidas</w:t>
      </w:r>
      <w:r>
        <w:t>.</w:t>
      </w:r>
    </w:p>
    <w:p w14:paraId="48977451" w14:textId="200F5DC3" w:rsidR="002E544F" w:rsidRDefault="002E544F" w:rsidP="00352C4C">
      <w:pPr>
        <w:pStyle w:val="Nivel3SM"/>
        <w:keepNext/>
      </w:pPr>
      <w:r w:rsidRPr="00042263">
        <w:rPr>
          <w:i/>
          <w:iCs/>
        </w:rPr>
        <w:lastRenderedPageBreak/>
        <w:t>Operaciones financieras</w:t>
      </w:r>
      <w:r>
        <w:t>:</w:t>
      </w:r>
    </w:p>
    <w:p w14:paraId="75562DB3" w14:textId="4B041FAE" w:rsidR="002E544F" w:rsidRDefault="002E544F" w:rsidP="00A56EA6">
      <w:pPr>
        <w:pStyle w:val="Nivel4"/>
        <w:keepNext/>
        <w:ind w:left="1474"/>
      </w:pPr>
      <w:r>
        <w:t>Activos financieros</w:t>
      </w:r>
      <w:r w:rsidR="00CE7126">
        <w:t>:</w:t>
      </w:r>
    </w:p>
    <w:p w14:paraId="062429E9" w14:textId="77777777" w:rsidR="002E544F" w:rsidRDefault="002E544F" w:rsidP="00A56EA6">
      <w:pPr>
        <w:pStyle w:val="Nivel5"/>
        <w:ind w:left="1871"/>
      </w:pPr>
      <w:r>
        <w:t>Enajenación de deuda pública.</w:t>
      </w:r>
    </w:p>
    <w:p w14:paraId="3468891E" w14:textId="52C7E5A7" w:rsidR="002E544F" w:rsidRDefault="002E544F" w:rsidP="00A56EA6">
      <w:pPr>
        <w:pStyle w:val="Nivel4"/>
        <w:keepNext/>
        <w:ind w:left="1474"/>
      </w:pPr>
      <w:r>
        <w:t>Pasivos financieros</w:t>
      </w:r>
      <w:r w:rsidR="00CE7126">
        <w:t>:</w:t>
      </w:r>
    </w:p>
    <w:p w14:paraId="29610397" w14:textId="77777777" w:rsidR="002E544F" w:rsidRDefault="002E544F" w:rsidP="00A56EA6">
      <w:pPr>
        <w:pStyle w:val="Nivel5"/>
        <w:ind w:left="1871"/>
      </w:pPr>
      <w:r>
        <w:t>Préstamos recibidos.</w:t>
      </w:r>
    </w:p>
    <w:p w14:paraId="110E136E" w14:textId="77777777" w:rsidR="000C0D1E" w:rsidRDefault="002E544F" w:rsidP="00352C4C">
      <w:pPr>
        <w:pStyle w:val="Nivel2SM"/>
        <w:keepNext/>
        <w:spacing w:after="0"/>
      </w:pPr>
      <w:r w:rsidRPr="00042263">
        <w:rPr>
          <w:i/>
          <w:iCs/>
          <w:u w:val="single"/>
        </w:rPr>
        <w:t>Clasificación económica de g</w:t>
      </w:r>
      <w:r w:rsidR="000C0D1E" w:rsidRPr="00042263">
        <w:rPr>
          <w:i/>
          <w:iCs/>
          <w:u w:val="single"/>
        </w:rPr>
        <w:t>astos</w:t>
      </w:r>
      <w:r w:rsidR="000C0D1E">
        <w:t>:</w:t>
      </w:r>
    </w:p>
    <w:p w14:paraId="640C2186" w14:textId="3B6ED520" w:rsidR="00CD3ABB" w:rsidRDefault="00CD3ABB" w:rsidP="00352C4C">
      <w:pPr>
        <w:pStyle w:val="Nivel3SM"/>
        <w:keepNext/>
      </w:pPr>
      <w:r w:rsidRPr="00042263">
        <w:rPr>
          <w:i/>
          <w:iCs/>
        </w:rPr>
        <w:t>Operaciones no financieras</w:t>
      </w:r>
      <w:r>
        <w:t>:</w:t>
      </w:r>
    </w:p>
    <w:p w14:paraId="406F0538" w14:textId="00BBB080" w:rsidR="00CD3ABB" w:rsidRDefault="00CD3ABB" w:rsidP="00A56EA6">
      <w:pPr>
        <w:pStyle w:val="Nivel4"/>
        <w:keepNext/>
        <w:ind w:left="1474"/>
      </w:pPr>
      <w:r w:rsidRPr="00AB5C19">
        <w:t>Gastos corrientes</w:t>
      </w:r>
      <w:r>
        <w:t xml:space="preserve"> (operaciones de consumo público):</w:t>
      </w:r>
    </w:p>
    <w:p w14:paraId="625F89CC" w14:textId="7E7EF01B" w:rsidR="00CD3ABB" w:rsidRDefault="00CD3ABB" w:rsidP="00580F30">
      <w:pPr>
        <w:pStyle w:val="Nivel5"/>
        <w:ind w:left="1871"/>
      </w:pPr>
      <w:r w:rsidRPr="00AC36F0">
        <w:t>Gastos de personal</w:t>
      </w:r>
      <w:r w:rsidR="000A7AED">
        <w:t xml:space="preserve"> (24,25 % de los gastos no financieros en 2022)</w:t>
      </w:r>
      <w:r w:rsidR="00580F30">
        <w:t xml:space="preserve">: </w:t>
      </w:r>
      <w:r w:rsidRPr="00580F30">
        <w:rPr>
          <w:sz w:val="19"/>
          <w:szCs w:val="19"/>
        </w:rPr>
        <w:t>Altos cargos, funcionarios…</w:t>
      </w:r>
    </w:p>
    <w:p w14:paraId="7059B88F" w14:textId="6BFE899D" w:rsidR="000A7AED" w:rsidRPr="00580F30" w:rsidRDefault="000A7AED" w:rsidP="00580F30">
      <w:pPr>
        <w:pStyle w:val="Nivel5"/>
        <w:ind w:left="1871"/>
      </w:pPr>
      <w:r>
        <w:t>Consumos intermedios (12,31 %)</w:t>
      </w:r>
      <w:r w:rsidR="00580F30">
        <w:t xml:space="preserve">: </w:t>
      </w:r>
      <w:r w:rsidRPr="00580F30">
        <w:rPr>
          <w:sz w:val="19"/>
          <w:szCs w:val="19"/>
        </w:rPr>
        <w:t>Gastos corrientes de explotación, es decir, los bienes y servicios consumidos como insumos en el proceso productivo, excluidos los activos fijos.</w:t>
      </w:r>
    </w:p>
    <w:p w14:paraId="56EA8D36" w14:textId="5C5C2313" w:rsidR="00CD3ABB" w:rsidRPr="00580F30" w:rsidRDefault="000A7AED" w:rsidP="00580F30">
      <w:pPr>
        <w:pStyle w:val="Nivel5"/>
        <w:ind w:left="1871"/>
      </w:pPr>
      <w:r>
        <w:t>Intereses (4,98 %)</w:t>
      </w:r>
      <w:r w:rsidR="00580F30">
        <w:t xml:space="preserve">: </w:t>
      </w:r>
      <w:r w:rsidR="00CD3ABB" w:rsidRPr="00580F30">
        <w:rPr>
          <w:sz w:val="19"/>
          <w:szCs w:val="19"/>
        </w:rPr>
        <w:t>Intereses de deuda pública, intereses de préstamos, intereses de demora…</w:t>
      </w:r>
    </w:p>
    <w:p w14:paraId="2B39FFBA" w14:textId="5C2427B4" w:rsidR="00CD3ABB" w:rsidRPr="00580F30" w:rsidRDefault="00CD3ABB" w:rsidP="00580F30">
      <w:pPr>
        <w:pStyle w:val="Nivel5"/>
        <w:ind w:left="1871"/>
      </w:pPr>
      <w:r w:rsidRPr="003F088F">
        <w:t>Transferencias corrientes pagadas</w:t>
      </w:r>
      <w:r w:rsidR="000A7AED">
        <w:t xml:space="preserve"> (6,01 %)</w:t>
      </w:r>
      <w:r w:rsidR="00580F30">
        <w:t xml:space="preserve">: </w:t>
      </w:r>
      <w:r w:rsidR="002C6727" w:rsidRPr="00580F30">
        <w:rPr>
          <w:sz w:val="19"/>
          <w:szCs w:val="19"/>
        </w:rPr>
        <w:t>Por ejemplo</w:t>
      </w:r>
      <w:r w:rsidR="00580F30" w:rsidRPr="00580F30">
        <w:rPr>
          <w:sz w:val="19"/>
          <w:szCs w:val="19"/>
        </w:rPr>
        <w:t>,</w:t>
      </w:r>
      <w:r w:rsidR="002C6727" w:rsidRPr="00580F30">
        <w:rPr>
          <w:sz w:val="19"/>
          <w:szCs w:val="19"/>
        </w:rPr>
        <w:t xml:space="preserve"> se incluyen </w:t>
      </w:r>
      <w:r w:rsidRPr="00580F30">
        <w:rPr>
          <w:sz w:val="19"/>
          <w:szCs w:val="19"/>
        </w:rPr>
        <w:t>los recursos que el Estado transfiere para el funcionamiento de otros organismos y administraciones (pensiones, sistema de financiación autonómico y local, aportaciones al presupuesto de la UE, becas, dependencia, etc.).</w:t>
      </w:r>
    </w:p>
    <w:p w14:paraId="6B1443D5" w14:textId="15A5E94B" w:rsidR="00CD3ABB" w:rsidRDefault="00CD3ABB" w:rsidP="00A56EA6">
      <w:pPr>
        <w:pStyle w:val="Nivel4"/>
        <w:keepNext/>
        <w:ind w:left="1474"/>
      </w:pPr>
      <w:r w:rsidRPr="00AB5C19">
        <w:t>Gastos de capital</w:t>
      </w:r>
      <w:r>
        <w:t xml:space="preserve"> (operaciones de </w:t>
      </w:r>
      <w:r w:rsidR="00FD02C9">
        <w:t>FBK</w:t>
      </w:r>
      <w:r>
        <w:t xml:space="preserve"> pública):</w:t>
      </w:r>
    </w:p>
    <w:p w14:paraId="2629F454" w14:textId="293F5DD1" w:rsidR="00CD3ABB" w:rsidRPr="00580F30" w:rsidRDefault="00CD3ABB" w:rsidP="00580F30">
      <w:pPr>
        <w:pStyle w:val="Nivel5"/>
        <w:ind w:left="1871"/>
      </w:pPr>
      <w:r w:rsidRPr="003F088F">
        <w:t>Inversiones reales</w:t>
      </w:r>
      <w:r w:rsidR="00580F30">
        <w:t xml:space="preserve">: </w:t>
      </w:r>
      <w:r w:rsidRPr="00580F30">
        <w:rPr>
          <w:sz w:val="19"/>
          <w:szCs w:val="19"/>
        </w:rPr>
        <w:t>En bienes e infraestructuras de uso general, en bienes e infraestructuras militares…</w:t>
      </w:r>
    </w:p>
    <w:p w14:paraId="353AE22C" w14:textId="0B94021F" w:rsidR="00CD3ABB" w:rsidRDefault="00CD3ABB" w:rsidP="00580F30">
      <w:pPr>
        <w:pStyle w:val="Nivel5"/>
        <w:ind w:left="1871"/>
      </w:pPr>
      <w:r w:rsidRPr="003F088F">
        <w:t>Transferencias de capital pagadas</w:t>
      </w:r>
      <w:r w:rsidR="00580F30">
        <w:t>:</w:t>
      </w:r>
      <w:r w:rsidR="00580F30" w:rsidRPr="00580F30">
        <w:rPr>
          <w:sz w:val="19"/>
          <w:szCs w:val="19"/>
        </w:rPr>
        <w:t xml:space="preserve"> </w:t>
      </w:r>
      <w:r w:rsidR="00667E1A" w:rsidRPr="00580F30">
        <w:rPr>
          <w:sz w:val="19"/>
          <w:szCs w:val="19"/>
        </w:rPr>
        <w:t xml:space="preserve">Por ejemplo </w:t>
      </w:r>
      <w:r w:rsidRPr="00580F30">
        <w:rPr>
          <w:sz w:val="19"/>
          <w:szCs w:val="19"/>
        </w:rPr>
        <w:t>los recursos que el Estado transfiere a otros organismos y administraciones para la realización de actuaciones concretas y puntuales, no recurrentes en el tiempo.</w:t>
      </w:r>
    </w:p>
    <w:p w14:paraId="2F03854E" w14:textId="49DE69DB" w:rsidR="00CD3ABB" w:rsidRDefault="00CD3ABB" w:rsidP="00352C4C">
      <w:pPr>
        <w:pStyle w:val="Nivel3SM"/>
        <w:keepNext/>
      </w:pPr>
      <w:r w:rsidRPr="00042263">
        <w:rPr>
          <w:i/>
          <w:iCs/>
        </w:rPr>
        <w:t>Operaciones financieras</w:t>
      </w:r>
      <w:r w:rsidRPr="00D02B16">
        <w:t>:</w:t>
      </w:r>
    </w:p>
    <w:p w14:paraId="351DDA94" w14:textId="639C823D" w:rsidR="00CD3ABB" w:rsidRDefault="00CD3ABB" w:rsidP="00EE33F5">
      <w:pPr>
        <w:pStyle w:val="Nivel4"/>
        <w:keepNext/>
        <w:ind w:left="1474"/>
      </w:pPr>
      <w:r w:rsidRPr="003F088F">
        <w:t>Activos financieros</w:t>
      </w:r>
      <w:r w:rsidR="00580F30">
        <w:t>:</w:t>
      </w:r>
    </w:p>
    <w:p w14:paraId="0A758D16" w14:textId="79010BC7" w:rsidR="00CD3ABB" w:rsidRDefault="00CD3ABB" w:rsidP="00580F30">
      <w:pPr>
        <w:pStyle w:val="Nivel5"/>
        <w:ind w:left="1871"/>
      </w:pPr>
      <w:r>
        <w:t>Préstamos del sector público a empresas o entes públicos</w:t>
      </w:r>
      <w:r w:rsidR="00580F30">
        <w:t xml:space="preserve"> </w:t>
      </w:r>
      <w:r w:rsidR="00580F30" w:rsidRPr="00580F30">
        <w:rPr>
          <w:sz w:val="19"/>
          <w:szCs w:val="19"/>
        </w:rPr>
        <w:t>(p</w:t>
      </w:r>
      <w:r w:rsidR="00F24E10" w:rsidRPr="00580F30">
        <w:rPr>
          <w:sz w:val="19"/>
          <w:szCs w:val="19"/>
        </w:rPr>
        <w:t>.ej.</w:t>
      </w:r>
      <w:r w:rsidRPr="00580F30">
        <w:rPr>
          <w:sz w:val="19"/>
          <w:szCs w:val="19"/>
        </w:rPr>
        <w:t xml:space="preserve"> A la Seguridad Social, al Fondo de Liquidez Autonómico, etc.)</w:t>
      </w:r>
      <w:r w:rsidR="00580F30">
        <w:t>.</w:t>
      </w:r>
    </w:p>
    <w:p w14:paraId="7FFC9E7B" w14:textId="7D91979E" w:rsidR="00CD3ABB" w:rsidRDefault="00CD3ABB" w:rsidP="00580F30">
      <w:pPr>
        <w:pStyle w:val="Nivel5"/>
        <w:ind w:left="1871"/>
      </w:pPr>
      <w:r>
        <w:t>Préstamos a agentes privados</w:t>
      </w:r>
      <w:r w:rsidR="00580F30">
        <w:t xml:space="preserve"> </w:t>
      </w:r>
      <w:r w:rsidR="00580F30" w:rsidRPr="00580F30">
        <w:rPr>
          <w:sz w:val="19"/>
          <w:szCs w:val="19"/>
        </w:rPr>
        <w:t>(p</w:t>
      </w:r>
      <w:r w:rsidR="00F24E10" w:rsidRPr="00580F30">
        <w:rPr>
          <w:sz w:val="19"/>
          <w:szCs w:val="19"/>
        </w:rPr>
        <w:t>.ej.</w:t>
      </w:r>
      <w:r w:rsidRPr="00580F30">
        <w:rPr>
          <w:sz w:val="19"/>
          <w:szCs w:val="19"/>
        </w:rPr>
        <w:t xml:space="preserve"> Préstamos de I+D+i, préstamos a constructoras para la realización del AVE</w:t>
      </w:r>
      <w:r w:rsidR="00580F30" w:rsidRPr="00580F30">
        <w:rPr>
          <w:sz w:val="19"/>
          <w:szCs w:val="19"/>
        </w:rPr>
        <w:t>)</w:t>
      </w:r>
      <w:r>
        <w:t>.</w:t>
      </w:r>
    </w:p>
    <w:p w14:paraId="7F8CFE8D" w14:textId="52C1B949" w:rsidR="00CD3ABB" w:rsidRDefault="00CD3ABB" w:rsidP="00580F30">
      <w:pPr>
        <w:pStyle w:val="Nivel5"/>
        <w:ind w:left="1871"/>
      </w:pPr>
      <w:r>
        <w:t>Compra de títulos</w:t>
      </w:r>
      <w:r w:rsidR="00580F30">
        <w:t xml:space="preserve"> </w:t>
      </w:r>
      <w:r w:rsidR="00580F30" w:rsidRPr="00580F30">
        <w:rPr>
          <w:sz w:val="19"/>
          <w:szCs w:val="19"/>
        </w:rPr>
        <w:t>(p.e</w:t>
      </w:r>
      <w:r w:rsidRPr="00580F30">
        <w:rPr>
          <w:sz w:val="19"/>
          <w:szCs w:val="19"/>
        </w:rPr>
        <w:t>j. adquisición de acciones en empresas o sociedades estatales o mixtas</w:t>
      </w:r>
      <w:r w:rsidR="00580F30" w:rsidRPr="00580F30">
        <w:rPr>
          <w:sz w:val="19"/>
          <w:szCs w:val="19"/>
        </w:rPr>
        <w:t>)</w:t>
      </w:r>
      <w:r>
        <w:t>.</w:t>
      </w:r>
    </w:p>
    <w:p w14:paraId="5F0E6374" w14:textId="57B205FC" w:rsidR="00CD3ABB" w:rsidRPr="003F088F" w:rsidRDefault="00CD3ABB" w:rsidP="00EE33F5">
      <w:pPr>
        <w:pStyle w:val="Nivel4"/>
        <w:keepNext/>
        <w:ind w:left="1474"/>
      </w:pPr>
      <w:r w:rsidRPr="003F088F">
        <w:t>Pasivos financieros</w:t>
      </w:r>
      <w:r w:rsidR="00580F30">
        <w:t>:</w:t>
      </w:r>
    </w:p>
    <w:p w14:paraId="460A3946" w14:textId="0ED565BD" w:rsidR="002E544F" w:rsidRDefault="00CD3ABB" w:rsidP="00EE33F5">
      <w:pPr>
        <w:pStyle w:val="Nivel5"/>
        <w:ind w:left="1871"/>
      </w:pPr>
      <w:r>
        <w:t>Amortización de deuda pública, amortización de préstamos…</w:t>
      </w:r>
    </w:p>
    <w:p w14:paraId="0A1FA38A" w14:textId="5F4769B4" w:rsidR="00AC2EA2" w:rsidRPr="00D02B16" w:rsidRDefault="00AC2EA2">
      <w:pPr>
        <w:pStyle w:val="Ttulo6"/>
        <w:numPr>
          <w:ilvl w:val="0"/>
          <w:numId w:val="18"/>
        </w:numPr>
        <w:ind w:left="0" w:hanging="284"/>
        <w:rPr>
          <w:u w:val="none"/>
        </w:rPr>
      </w:pPr>
      <w:bookmarkStart w:id="24" w:name="_Toc151113571"/>
      <w:r>
        <w:t>Existencia o no de contraprestación</w:t>
      </w:r>
      <w:bookmarkEnd w:id="24"/>
    </w:p>
    <w:p w14:paraId="7AD1959C" w14:textId="666F5891" w:rsidR="00CD3ABB" w:rsidRPr="00CD3ABB" w:rsidRDefault="00CD3ABB" w:rsidP="000A7AED">
      <w:pPr>
        <w:pStyle w:val="Nivel2SM"/>
        <w:keepNext/>
        <w:spacing w:after="0"/>
        <w:rPr>
          <w:u w:val="single"/>
        </w:rPr>
      </w:pPr>
      <w:r>
        <w:t>Las anteriores operaciones pueden a su vez clasificarse en:</w:t>
      </w:r>
    </w:p>
    <w:p w14:paraId="2F73FFE2" w14:textId="2311026A" w:rsidR="00AC2EA2" w:rsidRPr="00784876" w:rsidRDefault="00AC2EA2" w:rsidP="00784876">
      <w:pPr>
        <w:pStyle w:val="Nivel3SM"/>
      </w:pPr>
      <w:r w:rsidRPr="00784876">
        <w:rPr>
          <w:i/>
          <w:iCs/>
          <w:u w:val="single"/>
        </w:rPr>
        <w:t xml:space="preserve">Operaciones </w:t>
      </w:r>
      <w:r w:rsidR="000A7AED" w:rsidRPr="00784876">
        <w:rPr>
          <w:i/>
          <w:iCs/>
          <w:u w:val="single"/>
        </w:rPr>
        <w:t>b</w:t>
      </w:r>
      <w:r w:rsidRPr="00784876">
        <w:rPr>
          <w:i/>
          <w:iCs/>
          <w:u w:val="single"/>
        </w:rPr>
        <w:t>ilaterales</w:t>
      </w:r>
      <w:r w:rsidRPr="00FF6BC8">
        <w:t>:</w:t>
      </w:r>
      <w:r w:rsidR="00784876">
        <w:t xml:space="preserve"> </w:t>
      </w:r>
      <w:r>
        <w:t>M</w:t>
      </w:r>
      <w:r w:rsidRPr="00FF6BC8">
        <w:t xml:space="preserve">ovimiento de bienes y servicios acompañado de un movimiento contrario de </w:t>
      </w:r>
      <w:r w:rsidRPr="00784876">
        <w:t>fondos.</w:t>
      </w:r>
    </w:p>
    <w:p w14:paraId="0EC3D715" w14:textId="51D5CC4A" w:rsidR="00CD3ABB" w:rsidRDefault="00CD3ABB" w:rsidP="00D945CC">
      <w:pPr>
        <w:pStyle w:val="Nivel3SM"/>
        <w:keepNext/>
      </w:pPr>
      <w:r w:rsidRPr="00784876">
        <w:rPr>
          <w:i/>
          <w:iCs/>
          <w:u w:val="single"/>
        </w:rPr>
        <w:t xml:space="preserve">Operaciones </w:t>
      </w:r>
      <w:r w:rsidR="000A7AED" w:rsidRPr="00784876">
        <w:rPr>
          <w:i/>
          <w:iCs/>
          <w:u w:val="single"/>
        </w:rPr>
        <w:t>u</w:t>
      </w:r>
      <w:r w:rsidRPr="00784876">
        <w:rPr>
          <w:i/>
          <w:iCs/>
          <w:u w:val="single"/>
        </w:rPr>
        <w:t>nilaterales</w:t>
      </w:r>
      <w:r w:rsidRPr="00784876">
        <w:t>:</w:t>
      </w:r>
      <w:r w:rsidR="00784876" w:rsidRPr="00784876">
        <w:t xml:space="preserve"> </w:t>
      </w:r>
      <w:r w:rsidRPr="00784876">
        <w:t>S</w:t>
      </w:r>
      <w:r w:rsidRPr="00FF6BC8">
        <w:t>uponen un</w:t>
      </w:r>
      <w:r>
        <w:t xml:space="preserve"> movimiento </w:t>
      </w:r>
      <w:r w:rsidRPr="00FF6BC8">
        <w:t>únic</w:t>
      </w:r>
      <w:r>
        <w:t>o</w:t>
      </w:r>
      <w:r w:rsidRPr="00FF6BC8">
        <w:t xml:space="preserve"> entre el </w:t>
      </w:r>
      <w:r w:rsidR="000A7AED">
        <w:t>sector público</w:t>
      </w:r>
      <w:r w:rsidRPr="00FF6BC8">
        <w:t xml:space="preserve"> y el sector privado (transferencias). Pueden ser:</w:t>
      </w:r>
    </w:p>
    <w:p w14:paraId="0A1EF994" w14:textId="77777777" w:rsidR="00CD3ABB" w:rsidRDefault="00CD3ABB" w:rsidP="00784876">
      <w:pPr>
        <w:pStyle w:val="Nivel4"/>
        <w:ind w:left="1474"/>
      </w:pPr>
      <w:r w:rsidRPr="00A6049F">
        <w:rPr>
          <w:i/>
          <w:iCs/>
        </w:rPr>
        <w:t>Positivas</w:t>
      </w:r>
      <w:r w:rsidRPr="00FF6BC8">
        <w:t>, si es el sector privado quien recibe los fondos sin contraprestación</w:t>
      </w:r>
      <w:r>
        <w:t>.</w:t>
      </w:r>
    </w:p>
    <w:p w14:paraId="6159580A" w14:textId="2C5C0C2A" w:rsidR="00CD3ABB" w:rsidRPr="00CD3ABB" w:rsidRDefault="00CD3ABB" w:rsidP="00784876">
      <w:pPr>
        <w:pStyle w:val="Nivel4"/>
        <w:ind w:left="1474"/>
      </w:pPr>
      <w:r w:rsidRPr="00A6049F">
        <w:rPr>
          <w:i/>
          <w:iCs/>
        </w:rPr>
        <w:t>Negativas</w:t>
      </w:r>
      <w:r w:rsidRPr="00FF6BC8">
        <w:t xml:space="preserve">, </w:t>
      </w:r>
      <w:r>
        <w:t xml:space="preserve">cuando el </w:t>
      </w:r>
      <w:r w:rsidR="00784876">
        <w:t>sector público</w:t>
      </w:r>
      <w:r>
        <w:t xml:space="preserve"> recibe un ingreso.</w:t>
      </w:r>
    </w:p>
    <w:p w14:paraId="548DDFAD" w14:textId="6DF0F9C3" w:rsidR="00AC2EA2" w:rsidRDefault="00AC2EA2" w:rsidP="00856B83">
      <w:pPr>
        <w:pStyle w:val="Ttulo6"/>
      </w:pPr>
      <w:bookmarkStart w:id="25" w:name="_Toc151113572"/>
      <w:r w:rsidRPr="00AC2EA2">
        <w:t xml:space="preserve">Combinación de Criterios </w:t>
      </w:r>
      <w:r w:rsidR="00D945CC">
        <w:t xml:space="preserve">1, </w:t>
      </w:r>
      <w:r w:rsidR="00856B83">
        <w:t>2</w:t>
      </w:r>
      <w:r w:rsidRPr="00AC2EA2">
        <w:t xml:space="preserve"> y </w:t>
      </w:r>
      <w:r w:rsidR="00856B83">
        <w:t>3</w:t>
      </w:r>
      <w:bookmarkEnd w:id="25"/>
    </w:p>
    <w:p w14:paraId="61CADA2B" w14:textId="15520A90" w:rsidR="00AC2EA2" w:rsidRDefault="00AC2EA2" w:rsidP="000A7AED">
      <w:pPr>
        <w:pStyle w:val="Nivel2SM"/>
        <w:keepNext/>
        <w:spacing w:after="0"/>
      </w:pPr>
      <w:r>
        <w:t xml:space="preserve">Combinando ambos criterios podemos ordenar las </w:t>
      </w:r>
      <w:r w:rsidRPr="009853F3">
        <w:rPr>
          <w:i/>
          <w:iCs/>
        </w:rPr>
        <w:t xml:space="preserve">operaciones del </w:t>
      </w:r>
      <w:r w:rsidR="000A7AED" w:rsidRPr="009853F3">
        <w:rPr>
          <w:i/>
          <w:iCs/>
        </w:rPr>
        <w:t>sector público</w:t>
      </w:r>
      <w:r>
        <w:t>:</w:t>
      </w:r>
    </w:p>
    <w:p w14:paraId="3E209A28" w14:textId="44617F63" w:rsidR="00AC2EA2" w:rsidRDefault="00AC2EA2" w:rsidP="000A7AED">
      <w:pPr>
        <w:pStyle w:val="Nivel3SM"/>
        <w:keepNext/>
      </w:pPr>
      <w:r w:rsidRPr="00FE48EB">
        <w:t xml:space="preserve">Transacciones bilaterales </w:t>
      </w:r>
      <w:r w:rsidR="009853F3">
        <w:t>en</w:t>
      </w:r>
      <w:r w:rsidRPr="00FE48EB">
        <w:t xml:space="preserve"> </w:t>
      </w:r>
      <w:r w:rsidRPr="009853F3">
        <w:rPr>
          <w:b/>
        </w:rPr>
        <w:t>cuenta corriente</w:t>
      </w:r>
      <w:r>
        <w:t>:</w:t>
      </w:r>
    </w:p>
    <w:p w14:paraId="03C6D803" w14:textId="484E304A" w:rsidR="0003695A" w:rsidRPr="00CD3ABB" w:rsidRDefault="00AC2EA2" w:rsidP="000A7AED">
      <w:pPr>
        <w:pStyle w:val="Nivel4"/>
        <w:ind w:left="1474"/>
      </w:pPr>
      <w:r w:rsidRPr="00CD3ABB">
        <w:t>Gastos c</w:t>
      </w:r>
      <w:r w:rsidR="008D48FA" w:rsidRPr="00CD3ABB">
        <w:t>orrientes en bienes y servicios</w:t>
      </w:r>
      <w:r w:rsidR="00555A44">
        <w:t>.</w:t>
      </w:r>
    </w:p>
    <w:p w14:paraId="7E5998A5" w14:textId="7A09A6E6" w:rsidR="0003695A" w:rsidRPr="00CD3ABB" w:rsidRDefault="00AC2EA2" w:rsidP="000A7AED">
      <w:pPr>
        <w:pStyle w:val="Nivel4"/>
        <w:ind w:left="1474"/>
      </w:pPr>
      <w:r w:rsidRPr="00CD3ABB">
        <w:t xml:space="preserve">Ventas de bienes y servicios por el </w:t>
      </w:r>
      <w:r w:rsidR="00693546">
        <w:t>sector público</w:t>
      </w:r>
      <w:r w:rsidR="00555A44">
        <w:t>.</w:t>
      </w:r>
    </w:p>
    <w:p w14:paraId="4E41DC90" w14:textId="7A27EB97" w:rsidR="00FE48EB" w:rsidRDefault="00AC2EA2" w:rsidP="000A7AED">
      <w:pPr>
        <w:pStyle w:val="Nivel3SM"/>
        <w:keepNext/>
      </w:pPr>
      <w:r w:rsidRPr="00FE48EB">
        <w:t xml:space="preserve">Transacciones bilaterales </w:t>
      </w:r>
      <w:r w:rsidR="009853F3">
        <w:t>en</w:t>
      </w:r>
      <w:r w:rsidRPr="00FE48EB">
        <w:t xml:space="preserve"> </w:t>
      </w:r>
      <w:r w:rsidRPr="00FE48EB">
        <w:rPr>
          <w:b/>
        </w:rPr>
        <w:t>cuenta de capital</w:t>
      </w:r>
      <w:r>
        <w:t>:</w:t>
      </w:r>
    </w:p>
    <w:p w14:paraId="4FB76C6F" w14:textId="44C938E7" w:rsidR="00AC2EA2" w:rsidRDefault="00FE48EB" w:rsidP="000A7AED">
      <w:pPr>
        <w:pStyle w:val="Nivel4"/>
        <w:ind w:left="1474"/>
      </w:pPr>
      <w:r>
        <w:t>E</w:t>
      </w:r>
      <w:r w:rsidR="00AC2EA2">
        <w:t xml:space="preserve">s la contribución del </w:t>
      </w:r>
      <w:r w:rsidR="00693546">
        <w:t>sector público</w:t>
      </w:r>
      <w:r w:rsidR="00AC2EA2">
        <w:t xml:space="preserve"> a la FBK</w:t>
      </w:r>
      <w:r>
        <w:t>.</w:t>
      </w:r>
    </w:p>
    <w:p w14:paraId="4AC7BC49" w14:textId="22990251" w:rsidR="00FE48EB" w:rsidRDefault="00FE48EB" w:rsidP="00856B83">
      <w:pPr>
        <w:pStyle w:val="Nivel3SM"/>
        <w:keepNext/>
      </w:pPr>
      <w:r w:rsidRPr="00FE48EB">
        <w:lastRenderedPageBreak/>
        <w:t xml:space="preserve">Transacciones unilaterales </w:t>
      </w:r>
      <w:r w:rsidR="009853F3">
        <w:t>en</w:t>
      </w:r>
      <w:r w:rsidRPr="00FE48EB">
        <w:t xml:space="preserve"> </w:t>
      </w:r>
      <w:r w:rsidRPr="00FE48EB">
        <w:rPr>
          <w:b/>
        </w:rPr>
        <w:t xml:space="preserve">cuenta </w:t>
      </w:r>
      <w:r w:rsidR="009853F3">
        <w:rPr>
          <w:b/>
        </w:rPr>
        <w:t>corriente</w:t>
      </w:r>
      <w:r>
        <w:t>:</w:t>
      </w:r>
    </w:p>
    <w:p w14:paraId="6B8F0DD0" w14:textId="4A2DCE1E" w:rsidR="001C6240" w:rsidRPr="00555A44" w:rsidRDefault="00924C78" w:rsidP="000A7AED">
      <w:pPr>
        <w:pStyle w:val="Nivel4"/>
        <w:ind w:left="1474"/>
      </w:pPr>
      <w:r w:rsidRPr="00555A44">
        <w:t>Transferencias positivas por cuenta de renta</w:t>
      </w:r>
      <w:r w:rsidR="00555A44">
        <w:t>.</w:t>
      </w:r>
    </w:p>
    <w:p w14:paraId="6A11E7D6" w14:textId="77777777" w:rsidR="00FE48EB" w:rsidRPr="00555A44" w:rsidRDefault="00FE48EB" w:rsidP="000A7AED">
      <w:pPr>
        <w:pStyle w:val="Nivel4"/>
        <w:keepNext/>
        <w:ind w:left="1474"/>
      </w:pPr>
      <w:r w:rsidRPr="00555A44">
        <w:t>Transferencias negativas por cuenta de renta</w:t>
      </w:r>
      <w:r w:rsidR="00555A44">
        <w:t>.</w:t>
      </w:r>
    </w:p>
    <w:p w14:paraId="4BF7DF92" w14:textId="77777777" w:rsidR="00FE48EB" w:rsidRPr="0003695A" w:rsidRDefault="00FE48EB" w:rsidP="000A7AED">
      <w:pPr>
        <w:pStyle w:val="Nivel5"/>
        <w:ind w:left="1871"/>
        <w:rPr>
          <w:highlight w:val="yellow"/>
        </w:rPr>
      </w:pPr>
      <w:r w:rsidRPr="0003695A">
        <w:rPr>
          <w:highlight w:val="yellow"/>
        </w:rPr>
        <w:t>Voluntarias.</w:t>
      </w:r>
    </w:p>
    <w:p w14:paraId="7F48D447" w14:textId="1E77FF77" w:rsidR="00AC2EA2" w:rsidRPr="0003695A" w:rsidRDefault="006F35DE" w:rsidP="000A7AED">
      <w:pPr>
        <w:pStyle w:val="Nivel5"/>
        <w:ind w:left="1871"/>
        <w:rPr>
          <w:highlight w:val="yellow"/>
        </w:rPr>
      </w:pPr>
      <w:r w:rsidRPr="0003695A">
        <w:rPr>
          <w:highlight w:val="yellow"/>
        </w:rPr>
        <w:t>Por coacción.</w:t>
      </w:r>
    </w:p>
    <w:p w14:paraId="2804ABBE" w14:textId="6A03073E" w:rsidR="00FE48EB" w:rsidRDefault="00FE48EB" w:rsidP="000A7AED">
      <w:pPr>
        <w:pStyle w:val="Nivel3SM"/>
        <w:keepNext/>
      </w:pPr>
      <w:r w:rsidRPr="00FE48EB">
        <w:t xml:space="preserve">Transacciones unilaterales </w:t>
      </w:r>
      <w:r w:rsidR="009853F3">
        <w:t>en</w:t>
      </w:r>
      <w:r w:rsidRPr="00FE48EB">
        <w:t xml:space="preserve"> </w:t>
      </w:r>
      <w:r w:rsidRPr="006F35DE">
        <w:rPr>
          <w:b/>
        </w:rPr>
        <w:t>cuenta de capital</w:t>
      </w:r>
      <w:r>
        <w:t>:</w:t>
      </w:r>
    </w:p>
    <w:p w14:paraId="563D6CEB" w14:textId="7C903538" w:rsidR="0003695A" w:rsidRPr="00555A44" w:rsidRDefault="0039325A" w:rsidP="000A7AED">
      <w:pPr>
        <w:pStyle w:val="Nivel4"/>
        <w:ind w:left="1474"/>
      </w:pPr>
      <w:r w:rsidRPr="00555A44">
        <w:t>Transferencias positivas por cuenta de capital</w:t>
      </w:r>
      <w:r w:rsidR="002C6727">
        <w:t>.</w:t>
      </w:r>
    </w:p>
    <w:p w14:paraId="0D88457F" w14:textId="4356A000" w:rsidR="0003695A" w:rsidRPr="00555A44" w:rsidRDefault="00FE48EB" w:rsidP="000A7AED">
      <w:pPr>
        <w:pStyle w:val="Nivel4"/>
        <w:ind w:left="1474"/>
      </w:pPr>
      <w:r w:rsidRPr="00555A44">
        <w:t>Transferencias negativas por cuenta de capital</w:t>
      </w:r>
      <w:r w:rsidR="002C6727">
        <w:t>.</w:t>
      </w:r>
    </w:p>
    <w:p w14:paraId="6DF6A8C4" w14:textId="6B861E08" w:rsidR="00AC2EA2" w:rsidRPr="00D02B16" w:rsidRDefault="00856B83">
      <w:pPr>
        <w:pStyle w:val="Ttulo6"/>
        <w:numPr>
          <w:ilvl w:val="0"/>
          <w:numId w:val="18"/>
        </w:numPr>
        <w:ind w:left="0" w:hanging="284"/>
      </w:pPr>
      <w:bookmarkStart w:id="26" w:name="_Toc151113573"/>
      <w:r>
        <w:t>Según las f</w:t>
      </w:r>
      <w:r w:rsidR="00ED5E39" w:rsidRPr="00ED5E39">
        <w:t xml:space="preserve">unciones del </w:t>
      </w:r>
      <w:r w:rsidR="00487BD2">
        <w:t>sector público</w:t>
      </w:r>
      <w:bookmarkEnd w:id="26"/>
    </w:p>
    <w:p w14:paraId="2AB56AC7" w14:textId="77777777" w:rsidR="00AC2EA2" w:rsidRDefault="00AC2EA2" w:rsidP="000A7AED">
      <w:pPr>
        <w:pStyle w:val="Nivel2SM"/>
        <w:keepNext/>
        <w:spacing w:after="0"/>
      </w:pPr>
      <w:r w:rsidRPr="00FF6BC8">
        <w:t xml:space="preserve">En el ejercicio de sus </w:t>
      </w:r>
      <w:r w:rsidRPr="00856B83">
        <w:rPr>
          <w:b/>
          <w:bCs/>
        </w:rPr>
        <w:t>funciones</w:t>
      </w:r>
      <w:r w:rsidRPr="00FF6BC8">
        <w:t xml:space="preserve"> p</w:t>
      </w:r>
      <w:r>
        <w:t>odemos distinguir su labor como:</w:t>
      </w:r>
    </w:p>
    <w:p w14:paraId="5C93229C" w14:textId="1BEE2173" w:rsidR="002C6727" w:rsidRDefault="00AC2EA2" w:rsidP="003B2A4F">
      <w:pPr>
        <w:pStyle w:val="Nivel3SM"/>
        <w:keepNext/>
      </w:pPr>
      <w:r w:rsidRPr="001E142E">
        <w:rPr>
          <w:i/>
          <w:iCs/>
          <w:u w:val="single"/>
        </w:rPr>
        <w:t>Productor</w:t>
      </w:r>
      <w:r>
        <w:t>:</w:t>
      </w:r>
    </w:p>
    <w:p w14:paraId="09E6D314" w14:textId="45F251B8" w:rsidR="002C6727" w:rsidRDefault="002C6727" w:rsidP="006D0183">
      <w:pPr>
        <w:pStyle w:val="Nivel4"/>
        <w:ind w:left="1474"/>
        <w:jc w:val="left"/>
      </w:pPr>
      <w:r w:rsidRPr="006D0183">
        <w:rPr>
          <w:i/>
          <w:iCs/>
        </w:rPr>
        <w:t>Producción Pública Total</w:t>
      </w:r>
      <w:r w:rsidR="006D0183" w:rsidRPr="006D0183">
        <w:rPr>
          <w:i/>
          <w:iCs/>
        </w:rPr>
        <w:t xml:space="preserve"> =</w:t>
      </w:r>
      <w:r w:rsidRPr="006D0183">
        <w:rPr>
          <w:i/>
          <w:iCs/>
        </w:rPr>
        <w:t xml:space="preserve"> Valor Añadido + Consumos Intermedios</w:t>
      </w:r>
      <w:r w:rsidR="00754F16">
        <w:br/>
        <w:t>do</w:t>
      </w:r>
      <w:r>
        <w:t xml:space="preserve">nde: </w:t>
      </w:r>
      <w:r w:rsidRPr="006D0183">
        <w:rPr>
          <w:i/>
          <w:iCs/>
        </w:rPr>
        <w:t>Valor Añadido = Remuneraciones salariales + EBE</w:t>
      </w:r>
    </w:p>
    <w:p w14:paraId="773C6859" w14:textId="4467B0DA" w:rsidR="00AC2EA2" w:rsidRDefault="00AC2EA2" w:rsidP="003B2A4F">
      <w:pPr>
        <w:pStyle w:val="Nivel4"/>
        <w:keepNext/>
        <w:ind w:left="1474"/>
      </w:pPr>
      <w:r>
        <w:t>Para cuantificar el valor añadido generado (o producción pública) nos encontramos 2</w:t>
      </w:r>
      <w:r w:rsidR="00D02B16">
        <w:t> </w:t>
      </w:r>
      <w:r>
        <w:t>dificultades:</w:t>
      </w:r>
    </w:p>
    <w:p w14:paraId="637C267A" w14:textId="77777777" w:rsidR="00AC2EA2" w:rsidRDefault="00AC2EA2" w:rsidP="003B2A4F">
      <w:pPr>
        <w:pStyle w:val="Nivel5"/>
        <w:ind w:left="1871"/>
      </w:pPr>
      <w:r>
        <w:t>Parte de este consiste en productos intermedios para el sector privado.</w:t>
      </w:r>
    </w:p>
    <w:p w14:paraId="2CDCF1CF" w14:textId="77777777" w:rsidR="00AC2EA2" w:rsidRDefault="00AC2EA2" w:rsidP="003B2A4F">
      <w:pPr>
        <w:pStyle w:val="Nivel5"/>
        <w:ind w:left="1871"/>
      </w:pPr>
      <w:r>
        <w:t>Al tratarse de producciones no destinadas a la venta en el mercado, no existirán precios para valorar el output.</w:t>
      </w:r>
    </w:p>
    <w:p w14:paraId="333563B9" w14:textId="5FE1A1C6" w:rsidR="00ED5E39" w:rsidRDefault="00AC2EA2" w:rsidP="003B2A4F">
      <w:pPr>
        <w:pStyle w:val="Nivel4"/>
        <w:ind w:left="1474"/>
      </w:pPr>
      <w:r>
        <w:t>Una medida aproximada de la producción pública final (o valor añadido) viene dada por el total de los sueldos y salarios pagados más el consumo de capital fijo (depreciación). Si se le añaden los consumos intermedios, obtenemos la producción pública total.</w:t>
      </w:r>
    </w:p>
    <w:p w14:paraId="223F7BA9" w14:textId="464037AF" w:rsidR="00AC2EA2" w:rsidRDefault="00AC2EA2" w:rsidP="003B2A4F">
      <w:pPr>
        <w:pStyle w:val="Nivel3SM"/>
        <w:keepNext/>
      </w:pPr>
      <w:r w:rsidRPr="001E142E">
        <w:rPr>
          <w:i/>
          <w:iCs/>
          <w:u w:val="single"/>
        </w:rPr>
        <w:t>Consumidor</w:t>
      </w:r>
      <w:r>
        <w:t>:</w:t>
      </w:r>
    </w:p>
    <w:p w14:paraId="7877D8DC" w14:textId="35BD3EC4" w:rsidR="00AC2EA2" w:rsidRDefault="00AC2EA2" w:rsidP="003B2A4F">
      <w:pPr>
        <w:pStyle w:val="Nivel4"/>
        <w:ind w:left="1474"/>
      </w:pPr>
      <w:r>
        <w:t xml:space="preserve">La absorción pública de recursos o </w:t>
      </w:r>
      <w:r w:rsidR="006D0183">
        <w:t>gasto público</w:t>
      </w:r>
      <w:r>
        <w:t xml:space="preserve"> final viene dada por las compras totales al sector privado (corrientes o de capital</w:t>
      </w:r>
      <w:r w:rsidR="0018389C">
        <w:t>)</w:t>
      </w:r>
      <w:r>
        <w:t>.</w:t>
      </w:r>
    </w:p>
    <w:p w14:paraId="28C7614A" w14:textId="28A51349" w:rsidR="00AC2EA2" w:rsidRDefault="00AC2EA2" w:rsidP="003B2A4F">
      <w:pPr>
        <w:pStyle w:val="Nivel3SM"/>
        <w:keepNext/>
      </w:pPr>
      <w:r w:rsidRPr="001E142E">
        <w:rPr>
          <w:i/>
          <w:iCs/>
          <w:u w:val="single"/>
        </w:rPr>
        <w:t>Empleador</w:t>
      </w:r>
      <w:r>
        <w:t>:</w:t>
      </w:r>
    </w:p>
    <w:p w14:paraId="03EC26FB" w14:textId="712B5BFC" w:rsidR="00AC2EA2" w:rsidRDefault="00AC2EA2" w:rsidP="003B2A4F">
      <w:pPr>
        <w:pStyle w:val="Nivel4"/>
        <w:ind w:left="1474"/>
      </w:pPr>
      <w:r>
        <w:t>El papel de las AAPP como empleadora</w:t>
      </w:r>
      <w:r w:rsidR="00252684" w:rsidRPr="00252684">
        <w:t>s</w:t>
      </w:r>
      <w:r>
        <w:t xml:space="preserve"> de factor trabajo puede aproximarse por el valor total de los sueldos o salarios pagados, o por el número de empleados a su servicio; en cuanto al empleo del factor capital, podemos observar el volumen de capital físico público respecto al total, la FBK públic</w:t>
      </w:r>
      <w:r w:rsidR="0039325A">
        <w:t>o</w:t>
      </w:r>
      <w:r>
        <w:t>…</w:t>
      </w:r>
    </w:p>
    <w:p w14:paraId="15A02F85" w14:textId="58F8684C" w:rsidR="00AC2EA2" w:rsidRDefault="00AC2EA2" w:rsidP="003B2A4F">
      <w:pPr>
        <w:pStyle w:val="Nivel3SM"/>
        <w:keepNext/>
      </w:pPr>
      <w:r w:rsidRPr="001E142E">
        <w:rPr>
          <w:i/>
          <w:iCs/>
          <w:u w:val="single"/>
        </w:rPr>
        <w:t>Redistribuidor</w:t>
      </w:r>
      <w:r>
        <w:t>:</w:t>
      </w:r>
    </w:p>
    <w:p w14:paraId="3D4BCDF8" w14:textId="77777777" w:rsidR="00AC2EA2" w:rsidRDefault="00AC2EA2" w:rsidP="003B2A4F">
      <w:pPr>
        <w:pStyle w:val="Nivel4"/>
        <w:ind w:left="1474"/>
      </w:pPr>
      <w:r>
        <w:t>Una medida de la actividad de las AA.PP. como transferidoras de rentas puede obtenerse como la suma de los gastos de transferencia, los gastos fiscales y los impuestos totales.</w:t>
      </w:r>
    </w:p>
    <w:p w14:paraId="202975F7" w14:textId="6D45072C" w:rsidR="006F35DE" w:rsidRDefault="006F35DE" w:rsidP="003B2A4F">
      <w:pPr>
        <w:pStyle w:val="Nivel3SM"/>
        <w:keepNext/>
      </w:pPr>
      <w:r w:rsidRPr="001E142E">
        <w:rPr>
          <w:i/>
          <w:iCs/>
          <w:u w:val="single"/>
        </w:rPr>
        <w:t>Otras</w:t>
      </w:r>
      <w:r w:rsidRPr="0055324B">
        <w:t>:</w:t>
      </w:r>
    </w:p>
    <w:p w14:paraId="719F5A85" w14:textId="77777777" w:rsidR="006F35DE" w:rsidRDefault="006F35DE" w:rsidP="003B2A4F">
      <w:pPr>
        <w:pStyle w:val="Nivel4"/>
        <w:ind w:left="1474"/>
      </w:pPr>
      <w:r>
        <w:t>A</w:t>
      </w:r>
      <w:r w:rsidRPr="0055324B">
        <w:t>demás de estos papeles, las AA.PP. desarrollan otras tareas cuya cuantificación es difícil o imposible</w:t>
      </w:r>
      <w:r>
        <w:t>,</w:t>
      </w:r>
      <w:r w:rsidRPr="0055324B">
        <w:t xml:space="preserve"> como la actividad reguladora</w:t>
      </w:r>
      <w:r>
        <w:t>,</w:t>
      </w:r>
      <w:r w:rsidRPr="0055324B">
        <w:t xml:space="preserve"> legislativa o </w:t>
      </w:r>
      <w:r>
        <w:t>su</w:t>
      </w:r>
      <w:r w:rsidRPr="0055324B">
        <w:t xml:space="preserve"> papel como asegurador de riesgos.</w:t>
      </w:r>
    </w:p>
    <w:p w14:paraId="47AF7981" w14:textId="4A56B65F" w:rsidR="00082E23" w:rsidRDefault="00604838" w:rsidP="00D02B16">
      <w:pPr>
        <w:pStyle w:val="Ttulo2"/>
      </w:pPr>
      <w:bookmarkStart w:id="27" w:name="_Toc83553997"/>
      <w:bookmarkStart w:id="28" w:name="_Toc134456312"/>
      <w:bookmarkStart w:id="29" w:name="_Toc151113574"/>
      <w:r>
        <w:t>Medición y principios fundamentales del SEC 2010 como sistema</w:t>
      </w:r>
      <w:bookmarkEnd w:id="27"/>
      <w:bookmarkEnd w:id="28"/>
      <w:bookmarkEnd w:id="29"/>
    </w:p>
    <w:p w14:paraId="34450536" w14:textId="629019EF" w:rsidR="002305FD" w:rsidRDefault="002305FD" w:rsidP="002305FD">
      <w:pPr>
        <w:pStyle w:val="Ttulo3"/>
        <w:spacing w:before="0"/>
      </w:pPr>
      <w:bookmarkStart w:id="30" w:name="_Toc83553999"/>
      <w:bookmarkStart w:id="31" w:name="_Toc134456313"/>
      <w:bookmarkStart w:id="32" w:name="_Toc151113575"/>
      <w:r>
        <w:t>Registro de las operaciones: flujos y stocks</w:t>
      </w:r>
      <w:bookmarkEnd w:id="30"/>
      <w:bookmarkEnd w:id="31"/>
      <w:bookmarkEnd w:id="32"/>
    </w:p>
    <w:p w14:paraId="56E5B964" w14:textId="77777777" w:rsidR="002305FD" w:rsidRDefault="002305FD" w:rsidP="002305FD">
      <w:pPr>
        <w:pStyle w:val="Nivel1SM"/>
        <w:keepNext/>
        <w:spacing w:before="0" w:after="0"/>
      </w:pPr>
      <w:r>
        <w:t xml:space="preserve">La </w:t>
      </w:r>
      <w:r w:rsidRPr="00E7603B">
        <w:rPr>
          <w:i/>
          <w:iCs/>
        </w:rPr>
        <w:t>información estadística económica</w:t>
      </w:r>
      <w:r>
        <w:t xml:space="preserve"> queda registrada en el SEC 2010 mediante </w:t>
      </w:r>
      <w:r>
        <w:rPr>
          <w:b/>
          <w:bCs/>
        </w:rPr>
        <w:t>2 </w:t>
      </w:r>
      <w:r w:rsidRPr="00E7603B">
        <w:rPr>
          <w:b/>
          <w:bCs/>
        </w:rPr>
        <w:t>tipos de variables</w:t>
      </w:r>
      <w:r>
        <w:t>:</w:t>
      </w:r>
    </w:p>
    <w:p w14:paraId="460603D3" w14:textId="77777777" w:rsidR="002305FD" w:rsidRDefault="002305FD" w:rsidP="00FD02C9">
      <w:pPr>
        <w:pStyle w:val="Letra"/>
        <w:numPr>
          <w:ilvl w:val="0"/>
          <w:numId w:val="50"/>
        </w:numPr>
        <w:spacing w:after="0"/>
        <w:ind w:left="567" w:hanging="227"/>
      </w:pPr>
      <w:r>
        <w:t xml:space="preserve">Los </w:t>
      </w:r>
      <w:r w:rsidRPr="00FD02C9">
        <w:rPr>
          <w:i/>
          <w:iCs/>
          <w:u w:val="single"/>
        </w:rPr>
        <w:t>flujos</w:t>
      </w:r>
      <w:r>
        <w:t xml:space="preserve"> se refieren a las acciones y los resultados de los acontecimientos que tienen lugar a lo largo de un periodo determinado de tiempo.</w:t>
      </w:r>
    </w:p>
    <w:p w14:paraId="6FCD8EF7" w14:textId="77777777" w:rsidR="002305FD" w:rsidRDefault="002305FD" w:rsidP="002305FD">
      <w:pPr>
        <w:pStyle w:val="Letra"/>
        <w:ind w:left="567"/>
      </w:pPr>
      <w:r>
        <w:t xml:space="preserve">Los </w:t>
      </w:r>
      <w:r w:rsidRPr="00631223">
        <w:rPr>
          <w:i/>
          <w:iCs/>
          <w:u w:val="single"/>
        </w:rPr>
        <w:t>stocks</w:t>
      </w:r>
      <w:r>
        <w:t xml:space="preserve"> se refieren a la situación en un momento concreto.</w:t>
      </w:r>
    </w:p>
    <w:p w14:paraId="3BF2875A" w14:textId="77777777" w:rsidR="002305FD" w:rsidRDefault="002305FD" w:rsidP="002305FD">
      <w:pPr>
        <w:pStyle w:val="Imagen"/>
      </w:pPr>
      <w:r>
        <w:lastRenderedPageBreak/>
        <w:drawing>
          <wp:inline distT="0" distB="0" distL="0" distR="0" wp14:anchorId="20784718" wp14:editId="414C1938">
            <wp:extent cx="2218446" cy="1103323"/>
            <wp:effectExtent l="0" t="0" r="0" b="1905"/>
            <wp:docPr id="34" name="Picture 34" descr="Imagen que contiene carretilla, cocin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Imagen que contiene carretilla, cocina&#10;&#10;Descripción generada automáticamente"/>
                    <pic:cNvPicPr/>
                  </pic:nvPicPr>
                  <pic:blipFill>
                    <a:blip r:embed="rId14"/>
                    <a:stretch>
                      <a:fillRect/>
                    </a:stretch>
                  </pic:blipFill>
                  <pic:spPr>
                    <a:xfrm>
                      <a:off x="0" y="0"/>
                      <a:ext cx="2226942" cy="1107548"/>
                    </a:xfrm>
                    <a:prstGeom prst="rect">
                      <a:avLst/>
                    </a:prstGeom>
                  </pic:spPr>
                </pic:pic>
              </a:graphicData>
            </a:graphic>
          </wp:inline>
        </w:drawing>
      </w:r>
    </w:p>
    <w:p w14:paraId="623F57A4" w14:textId="77777777" w:rsidR="002305FD" w:rsidRDefault="002305FD" w:rsidP="002305FD">
      <w:pPr>
        <w:pStyle w:val="Ttulo6"/>
      </w:pPr>
      <w:bookmarkStart w:id="33" w:name="_Toc134456314"/>
      <w:bookmarkStart w:id="34" w:name="_Toc151113576"/>
      <w:r>
        <w:t>Flujos</w:t>
      </w:r>
      <w:bookmarkEnd w:id="33"/>
      <w:bookmarkEnd w:id="34"/>
    </w:p>
    <w:p w14:paraId="33122783" w14:textId="77777777" w:rsidR="002305FD" w:rsidRPr="00573806" w:rsidRDefault="002305FD" w:rsidP="002305FD">
      <w:pPr>
        <w:pStyle w:val="Nivel1SM"/>
        <w:keepNext/>
        <w:spacing w:before="0" w:after="0"/>
      </w:pPr>
      <w:r>
        <w:t xml:space="preserve">Las variables clasificadas como flujos reflejan la </w:t>
      </w:r>
      <w:r w:rsidRPr="006F2F1A">
        <w:rPr>
          <w:i/>
          <w:iCs/>
        </w:rPr>
        <w:t>creación</w:t>
      </w:r>
      <w:r>
        <w:t xml:space="preserve">, </w:t>
      </w:r>
      <w:r w:rsidRPr="006F2F1A">
        <w:rPr>
          <w:i/>
          <w:iCs/>
        </w:rPr>
        <w:t>transformación</w:t>
      </w:r>
      <w:r>
        <w:t xml:space="preserve">, </w:t>
      </w:r>
      <w:r w:rsidRPr="006F2F1A">
        <w:rPr>
          <w:i/>
          <w:iCs/>
        </w:rPr>
        <w:t>intercambio</w:t>
      </w:r>
      <w:r>
        <w:t xml:space="preserve">, </w:t>
      </w:r>
      <w:r w:rsidRPr="006F2F1A">
        <w:rPr>
          <w:i/>
          <w:iCs/>
        </w:rPr>
        <w:t>transferencia</w:t>
      </w:r>
      <w:r>
        <w:t xml:space="preserve"> o </w:t>
      </w:r>
      <w:r w:rsidRPr="006F2F1A">
        <w:rPr>
          <w:i/>
          <w:iCs/>
        </w:rPr>
        <w:t>extinción</w:t>
      </w:r>
      <w:r>
        <w:t xml:space="preserve"> de valor económico y suponen variaciones de valor de los activos o pasivos de una unidad institucional. Existen 2 tipos de flujos económicos:</w:t>
      </w:r>
    </w:p>
    <w:p w14:paraId="5A82ACDF" w14:textId="77777777" w:rsidR="002305FD" w:rsidRDefault="002305FD" w:rsidP="002305FD">
      <w:pPr>
        <w:pStyle w:val="Nivel2SM"/>
        <w:keepNext/>
        <w:spacing w:after="0"/>
      </w:pPr>
      <w:r w:rsidRPr="00573806">
        <w:rPr>
          <w:b/>
          <w:bCs/>
        </w:rPr>
        <w:t>Operaciones</w:t>
      </w:r>
      <w:r>
        <w:t>: Son flujos económicos que suponen la interacción entre unidades institucionales, o acciones que se realizan dentro de una misma unidad institucional y que resulta útil tratar como una operación porque la unidad desarrolla 2 funciones distintas. Las operaciones se dividen en 4 grupos principales:</w:t>
      </w:r>
    </w:p>
    <w:p w14:paraId="622ED082" w14:textId="77777777" w:rsidR="002305FD" w:rsidRDefault="002305FD">
      <w:pPr>
        <w:pStyle w:val="Letra"/>
        <w:numPr>
          <w:ilvl w:val="0"/>
          <w:numId w:val="21"/>
        </w:numPr>
        <w:spacing w:after="0"/>
        <w:ind w:left="981" w:hanging="193"/>
      </w:pPr>
      <w:r w:rsidRPr="00A439F3">
        <w:rPr>
          <w:i/>
          <w:iCs/>
          <w:u w:val="single"/>
        </w:rPr>
        <w:t>Operaciones de bienes y servicios</w:t>
      </w:r>
      <w:r>
        <w:t xml:space="preserve">: Estas operaciones describen el origen </w:t>
      </w:r>
      <w:r w:rsidRPr="00A439F3">
        <w:rPr>
          <w:sz w:val="19"/>
          <w:szCs w:val="19"/>
        </w:rPr>
        <w:t>(producción interior o importaciones)</w:t>
      </w:r>
      <w:r>
        <w:t xml:space="preserve"> y el destino </w:t>
      </w:r>
      <w:r w:rsidRPr="00A439F3">
        <w:rPr>
          <w:sz w:val="19"/>
          <w:szCs w:val="19"/>
        </w:rPr>
        <w:t>(consumo intermedio, consumo final, formación de capital –incluido el consumo de capital fijo– o exportaciones)</w:t>
      </w:r>
      <w:r>
        <w:t xml:space="preserve"> de los bienes y servicios.</w:t>
      </w:r>
    </w:p>
    <w:p w14:paraId="390201D7" w14:textId="77777777" w:rsidR="002305FD" w:rsidRDefault="002305FD" w:rsidP="002305FD">
      <w:pPr>
        <w:pStyle w:val="Letra"/>
        <w:spacing w:after="0"/>
        <w:ind w:left="981" w:hanging="193"/>
      </w:pPr>
      <w:r w:rsidRPr="00A439F3">
        <w:rPr>
          <w:i/>
          <w:iCs/>
          <w:u w:val="single"/>
        </w:rPr>
        <w:t>Operaciones de distribución</w:t>
      </w:r>
      <w:r>
        <w:t xml:space="preserve">: Estas operaciones describen cómo se distribuye el valor añadido generado en el proceso de producción entre el factor trabajo, el capital y las administraciones públicas, así como la redistribución de la renta y la riqueza </w:t>
      </w:r>
      <w:r w:rsidRPr="00A439F3">
        <w:rPr>
          <w:sz w:val="19"/>
          <w:szCs w:val="19"/>
        </w:rPr>
        <w:t>(impuestos sobre la renta y el patrimonio, y otras transferencias)</w:t>
      </w:r>
      <w:r>
        <w:t>.</w:t>
      </w:r>
    </w:p>
    <w:p w14:paraId="1D0D5D30" w14:textId="77777777" w:rsidR="002305FD" w:rsidRDefault="002305FD" w:rsidP="002305FD">
      <w:pPr>
        <w:pStyle w:val="Letra"/>
        <w:spacing w:after="0"/>
        <w:ind w:left="981" w:hanging="193"/>
      </w:pPr>
      <w:r w:rsidRPr="00A439F3">
        <w:rPr>
          <w:i/>
          <w:iCs/>
          <w:u w:val="single"/>
        </w:rPr>
        <w:t>Operaciones financieras</w:t>
      </w:r>
      <w:r>
        <w:t>: Estas operaciones describen la adquisición neta de activos financieros o la contracción neta de pasivos para cada tipo de instrumento financiero. Este tipo de operaciones son, por una parte, la contrapartida de operaciones no financieras y, por otra, operaciones en las que sólo intervienen instrumentos financieros.</w:t>
      </w:r>
    </w:p>
    <w:p w14:paraId="24BCCA3D" w14:textId="2B6B07E4" w:rsidR="002305FD" w:rsidRDefault="002305FD" w:rsidP="002305FD">
      <w:pPr>
        <w:pStyle w:val="Letra"/>
        <w:spacing w:after="0"/>
        <w:ind w:left="981" w:hanging="193"/>
      </w:pPr>
      <w:r w:rsidRPr="00A439F3">
        <w:rPr>
          <w:i/>
          <w:iCs/>
          <w:u w:val="single"/>
        </w:rPr>
        <w:t>Otras operaciones</w:t>
      </w:r>
      <w:r>
        <w:t>: Se trata de adquisiciones menos cesiones de activos no</w:t>
      </w:r>
      <w:r w:rsidR="00946DC9">
        <w:t> </w:t>
      </w:r>
      <w:r>
        <w:t>financieros no</w:t>
      </w:r>
      <w:r w:rsidR="00946DC9">
        <w:t> </w:t>
      </w:r>
      <w:r>
        <w:t>producidos.</w:t>
      </w:r>
    </w:p>
    <w:p w14:paraId="79A74ACB" w14:textId="459CB79E" w:rsidR="002305FD" w:rsidRPr="00D5071D" w:rsidRDefault="002305FD" w:rsidP="002305FD">
      <w:pPr>
        <w:pStyle w:val="Nivel2SM"/>
        <w:keepNext/>
        <w:spacing w:after="0"/>
        <w:rPr>
          <w:b/>
          <w:bCs/>
        </w:rPr>
      </w:pPr>
      <w:r w:rsidRPr="00573806">
        <w:rPr>
          <w:b/>
          <w:bCs/>
        </w:rPr>
        <w:t>Otras variaciones de los activos no debidas a operaciones</w:t>
      </w:r>
      <w:r>
        <w:t>: Se registran las variaciones que no</w:t>
      </w:r>
      <w:r w:rsidR="00946DC9">
        <w:t> </w:t>
      </w:r>
      <w:r>
        <w:t>se deben a operaciones:</w:t>
      </w:r>
    </w:p>
    <w:p w14:paraId="21ED3646" w14:textId="77777777" w:rsidR="002305FD" w:rsidRDefault="002305FD" w:rsidP="002305FD">
      <w:pPr>
        <w:pStyle w:val="Nivel3SM"/>
        <w:keepNext/>
      </w:pPr>
      <w:r w:rsidRPr="00A439F3">
        <w:rPr>
          <w:i/>
          <w:iCs/>
          <w:u w:val="single"/>
        </w:rPr>
        <w:t>Otras variaciones del volumen de activos y pasivos</w:t>
      </w:r>
      <w:r>
        <w:t>:</w:t>
      </w:r>
    </w:p>
    <w:p w14:paraId="2447DDE5" w14:textId="77777777" w:rsidR="002305FD" w:rsidRPr="00A439F3" w:rsidRDefault="002305FD" w:rsidP="002305FD">
      <w:pPr>
        <w:pStyle w:val="Nivel4"/>
        <w:ind w:left="1474"/>
      </w:pPr>
      <w:r w:rsidRPr="008B677D">
        <w:rPr>
          <w:i/>
          <w:iCs/>
        </w:rPr>
        <w:t>Apariciones y desapariciones normales de activos debidas a factores distintos de las operaciones</w:t>
      </w:r>
      <w:r w:rsidRPr="00A439F3">
        <w:t>;</w:t>
      </w:r>
    </w:p>
    <w:p w14:paraId="74185216" w14:textId="79BE87F6" w:rsidR="002305FD" w:rsidRDefault="002305FD" w:rsidP="002305FD">
      <w:pPr>
        <w:pStyle w:val="Nivel4"/>
        <w:ind w:left="1474"/>
      </w:pPr>
      <w:r w:rsidRPr="008B677D">
        <w:rPr>
          <w:i/>
          <w:iCs/>
        </w:rPr>
        <w:t>Variaciones de activos y pasivos debidas a acontecimientos excepcionales e imprevistos que no</w:t>
      </w:r>
      <w:r w:rsidR="00B019D8">
        <w:rPr>
          <w:i/>
          <w:iCs/>
        </w:rPr>
        <w:t> </w:t>
      </w:r>
      <w:r w:rsidRPr="008B677D">
        <w:rPr>
          <w:i/>
          <w:iCs/>
        </w:rPr>
        <w:t>son de carácter económico</w:t>
      </w:r>
      <w:r>
        <w:t>; y</w:t>
      </w:r>
    </w:p>
    <w:p w14:paraId="64120329" w14:textId="77777777" w:rsidR="002305FD" w:rsidRDefault="002305FD" w:rsidP="002305FD">
      <w:pPr>
        <w:pStyle w:val="Nivel4"/>
        <w:ind w:left="1474"/>
      </w:pPr>
      <w:r w:rsidRPr="008B677D">
        <w:rPr>
          <w:i/>
          <w:iCs/>
        </w:rPr>
        <w:t>Cambios de clasificación y estructura</w:t>
      </w:r>
      <w:r>
        <w:t>.</w:t>
      </w:r>
    </w:p>
    <w:p w14:paraId="22102EC3" w14:textId="77777777" w:rsidR="002305FD" w:rsidRDefault="002305FD" w:rsidP="002305FD">
      <w:pPr>
        <w:pStyle w:val="Nivel3SM"/>
        <w:keepNext/>
      </w:pPr>
      <w:r w:rsidRPr="00A439F3">
        <w:rPr>
          <w:i/>
          <w:iCs/>
          <w:u w:val="single"/>
        </w:rPr>
        <w:t>Ganancias y pérdidas de posesión</w:t>
      </w:r>
      <w:r>
        <w:t>: Debidas a variaciones de los precios de los activos (financieros y no financieros). Las ganancias y pérdidas de posesión medidas con arreglo a los precios de mercado corrientes se denominan ganancias y pérdidas de posesión nominales y pueden ser divididas en:</w:t>
      </w:r>
    </w:p>
    <w:p w14:paraId="61DEB3C6" w14:textId="77777777" w:rsidR="002305FD" w:rsidRPr="00A439F3" w:rsidRDefault="002305FD" w:rsidP="002305FD">
      <w:pPr>
        <w:pStyle w:val="Nivel4"/>
        <w:ind w:left="1474"/>
        <w:rPr>
          <w:spacing w:val="-2"/>
        </w:rPr>
      </w:pPr>
      <w:r w:rsidRPr="00020AEE">
        <w:rPr>
          <w:i/>
          <w:iCs/>
          <w:spacing w:val="-2"/>
        </w:rPr>
        <w:t>Ganancias y pérdidas de posesión neutrales</w:t>
      </w:r>
      <w:r w:rsidRPr="00A439F3">
        <w:rPr>
          <w:spacing w:val="-2"/>
        </w:rPr>
        <w:t>: Variaciones en el nivel general de precios.</w:t>
      </w:r>
    </w:p>
    <w:p w14:paraId="37A390F7" w14:textId="77777777" w:rsidR="002305FD" w:rsidRPr="00573806" w:rsidRDefault="002305FD" w:rsidP="002305FD">
      <w:pPr>
        <w:pStyle w:val="Nivel4"/>
        <w:ind w:left="1474"/>
      </w:pPr>
      <w:r w:rsidRPr="00020AEE">
        <w:rPr>
          <w:i/>
          <w:iCs/>
        </w:rPr>
        <w:t>Ganancias y pérdidas de posesión reales</w:t>
      </w:r>
      <w:r>
        <w:t>: Variaciones de los precios de los activos aparte de las variaciones del nivel general de precios.</w:t>
      </w:r>
    </w:p>
    <w:p w14:paraId="18FD2C00" w14:textId="77777777" w:rsidR="002305FD" w:rsidRDefault="002305FD" w:rsidP="002305FD">
      <w:pPr>
        <w:pStyle w:val="Ttulo6"/>
      </w:pPr>
      <w:bookmarkStart w:id="35" w:name="_Toc134456315"/>
      <w:bookmarkStart w:id="36" w:name="_Toc151113577"/>
      <w:r>
        <w:lastRenderedPageBreak/>
        <w:t>Stocks</w:t>
      </w:r>
      <w:bookmarkStart w:id="37" w:name="_Toc83553998"/>
      <w:bookmarkEnd w:id="35"/>
      <w:bookmarkEnd w:id="36"/>
    </w:p>
    <w:p w14:paraId="438DAE6D" w14:textId="77777777" w:rsidR="002305FD" w:rsidRDefault="002305FD" w:rsidP="002305FD">
      <w:pPr>
        <w:pStyle w:val="Nivel1SM"/>
        <w:keepNext/>
        <w:spacing w:before="0" w:after="0"/>
      </w:pPr>
      <w:r>
        <w:t xml:space="preserve">Los stocks son los activos y los pasivos que se poseen en un momento concreto. Se registran al principio y al final de cada ejercicio contable y las cuentas en que figuran este tipo de variables se denominan </w:t>
      </w:r>
      <w:r>
        <w:rPr>
          <w:b/>
          <w:bCs/>
        </w:rPr>
        <w:t>balances</w:t>
      </w:r>
      <w:r>
        <w:t>.</w:t>
      </w:r>
    </w:p>
    <w:p w14:paraId="2D696ECE" w14:textId="77777777" w:rsidR="002305FD" w:rsidRDefault="002305FD" w:rsidP="002305FD">
      <w:pPr>
        <w:pStyle w:val="Nivel2SM"/>
      </w:pPr>
      <w:r>
        <w:t>Se refieren a los activos y pasivos financieros y a los activos no financieros, sean o no resultado de un proceso de producción, y su variación se justifica por los flujos contabilizados en la sucesión de cuentas (que se verán en el siguiente apartado).</w:t>
      </w:r>
    </w:p>
    <w:p w14:paraId="40CC9B32" w14:textId="77777777" w:rsidR="002305FD" w:rsidRPr="00BD1FA4" w:rsidRDefault="002305FD" w:rsidP="002305FD">
      <w:pPr>
        <w:pStyle w:val="Nivel2SM"/>
      </w:pPr>
      <w:r>
        <w:t>Una particularidad es que en el sistema también se registran los stocks de población y empleo, si bien, tales stocks se contabilizan por su valor medio en el ejercicio contable.</w:t>
      </w:r>
    </w:p>
    <w:p w14:paraId="046A9626" w14:textId="77777777" w:rsidR="002305FD" w:rsidRDefault="002305FD" w:rsidP="002305FD">
      <w:pPr>
        <w:pStyle w:val="Ttulo3"/>
      </w:pPr>
      <w:bookmarkStart w:id="38" w:name="_Toc134456316"/>
      <w:bookmarkStart w:id="39" w:name="_Toc151113578"/>
      <w:r>
        <w:t>¿Quién realiza las operaciones registradas en las cuentas nacionales?</w:t>
      </w:r>
      <w:r>
        <w:br/>
        <w:t>Las unidades estadísticas y su agrupación</w:t>
      </w:r>
      <w:bookmarkEnd w:id="37"/>
      <w:bookmarkEnd w:id="38"/>
      <w:bookmarkEnd w:id="39"/>
    </w:p>
    <w:p w14:paraId="080EE023" w14:textId="77777777" w:rsidR="002305FD" w:rsidRDefault="002305FD" w:rsidP="002305FD">
      <w:pPr>
        <w:pStyle w:val="Nivel1SM"/>
        <w:keepNext/>
        <w:spacing w:before="0" w:after="0"/>
      </w:pPr>
      <w:r>
        <w:t>El SEC 2010 utiliza 2 tipos de unidades y 2 maneras correspondientes de dividir la economía, que son bastante diferentes y se utilizan con fines analíticos distintos.</w:t>
      </w:r>
    </w:p>
    <w:p w14:paraId="3DB95843" w14:textId="77777777" w:rsidR="002305FD" w:rsidRDefault="002305FD" w:rsidP="002305FD">
      <w:pPr>
        <w:pStyle w:val="Nivel2SM"/>
      </w:pPr>
      <w:r>
        <w:t xml:space="preserve">Para describir la renta, el gasto y los flujos financieros, y los balances, el sistema agrupa las </w:t>
      </w:r>
      <w:r w:rsidRPr="002D1F1C">
        <w:rPr>
          <w:i/>
          <w:iCs/>
          <w:u w:val="single"/>
        </w:rPr>
        <w:t>unidades institucionales por sectores</w:t>
      </w:r>
      <w:r>
        <w:t>, atendiendo a sus funciones principales, su comportamiento y sus objetivos.</w:t>
      </w:r>
    </w:p>
    <w:p w14:paraId="0A7BC900" w14:textId="77777777" w:rsidR="002305FD" w:rsidRDefault="002305FD" w:rsidP="002305FD">
      <w:pPr>
        <w:pStyle w:val="Nivel2SM"/>
      </w:pPr>
      <w:r>
        <w:t>Para la descripción de los procesos de producción y para el análisis input-output, el sistema agrupa las</w:t>
      </w:r>
      <w:r w:rsidRPr="002D1F1C">
        <w:t xml:space="preserve"> </w:t>
      </w:r>
      <w:r w:rsidRPr="002D1F1C">
        <w:rPr>
          <w:i/>
          <w:iCs/>
          <w:u w:val="single"/>
        </w:rPr>
        <w:t>unidades de actividad económica a nivel local (UAE locales) por ramas de actividad</w:t>
      </w:r>
      <w:r>
        <w:t>. Una actividad se caracteriza por unos insumos de bienes y servicios, un proceso de producción y unos productos (bienes y servicios) obtenidos.</w:t>
      </w:r>
    </w:p>
    <w:p w14:paraId="49DAC37D" w14:textId="77777777" w:rsidR="002305FD" w:rsidRDefault="002305FD" w:rsidP="002305FD">
      <w:pPr>
        <w:pStyle w:val="Ttulo6"/>
      </w:pPr>
      <w:bookmarkStart w:id="40" w:name="_Toc134456317"/>
      <w:bookmarkStart w:id="41" w:name="_Toc151113579"/>
      <w:r>
        <w:t>Unidades y sectores institucionales</w:t>
      </w:r>
      <w:bookmarkEnd w:id="40"/>
      <w:bookmarkEnd w:id="41"/>
    </w:p>
    <w:p w14:paraId="688A7EFB" w14:textId="77777777" w:rsidR="002305FD" w:rsidRDefault="002305FD" w:rsidP="002305FD">
      <w:pPr>
        <w:pStyle w:val="Nivel1SM"/>
        <w:spacing w:before="0"/>
      </w:pPr>
      <w:r w:rsidRPr="00CE65A4">
        <w:t>Las</w:t>
      </w:r>
      <w:r>
        <w:t xml:space="preserve"> </w:t>
      </w:r>
      <w:r w:rsidRPr="006A1F8D">
        <w:rPr>
          <w:b/>
          <w:bCs/>
        </w:rPr>
        <w:t>unidades institucionales</w:t>
      </w:r>
      <w:r>
        <w:t xml:space="preserve"> son entidades económicas capaces de ser propietarias de bienes y activos, contraer pasivos y participar en actividades y operaciones económicas con otras unidades, en nombre propio.</w:t>
      </w:r>
    </w:p>
    <w:p w14:paraId="24364498" w14:textId="77777777" w:rsidR="002305FD" w:rsidRDefault="002305FD" w:rsidP="002305FD">
      <w:pPr>
        <w:pStyle w:val="Nivel1SM"/>
        <w:keepNext/>
        <w:spacing w:after="0"/>
      </w:pPr>
      <w:r>
        <w:t xml:space="preserve">A efectos del sistema, las unidades institucionales se agrupan en </w:t>
      </w:r>
      <w:r>
        <w:rPr>
          <w:b/>
          <w:bCs/>
        </w:rPr>
        <w:t>5 </w:t>
      </w:r>
      <w:r w:rsidRPr="006A1F8D">
        <w:rPr>
          <w:b/>
          <w:bCs/>
        </w:rPr>
        <w:t>sectores institucionales</w:t>
      </w:r>
      <w:r>
        <w:t xml:space="preserve"> nacionales mutuamente excluyentes</w:t>
      </w:r>
      <w:r>
        <w:rPr>
          <w:rStyle w:val="Refdenotaalpie"/>
        </w:rPr>
        <w:footnoteReference w:id="20"/>
      </w:r>
      <w:r>
        <w:t>:</w:t>
      </w:r>
    </w:p>
    <w:p w14:paraId="50F233CA" w14:textId="77777777" w:rsidR="002305FD" w:rsidRPr="00BA617F" w:rsidRDefault="002305FD">
      <w:pPr>
        <w:pStyle w:val="Prrafodelista"/>
        <w:keepNext/>
        <w:numPr>
          <w:ilvl w:val="0"/>
          <w:numId w:val="22"/>
        </w:numPr>
        <w:spacing w:after="0"/>
        <w:ind w:left="567" w:hanging="113"/>
        <w:rPr>
          <w:i/>
          <w:iCs/>
          <w:u w:val="single"/>
        </w:rPr>
      </w:pPr>
      <w:r w:rsidRPr="00BA617F">
        <w:rPr>
          <w:i/>
          <w:iCs/>
          <w:u w:val="single"/>
        </w:rPr>
        <w:t>Sociedades no financieras</w:t>
      </w:r>
    </w:p>
    <w:p w14:paraId="76B9AB8A" w14:textId="77777777" w:rsidR="002305FD" w:rsidRDefault="002305FD" w:rsidP="002305FD">
      <w:pPr>
        <w:pStyle w:val="Nivel3SM"/>
      </w:pPr>
      <w:r w:rsidRPr="006B0A98">
        <w:t>Su</w:t>
      </w:r>
      <w:r>
        <w:rPr>
          <w:i/>
          <w:iCs/>
        </w:rPr>
        <w:t xml:space="preserve"> función principal</w:t>
      </w:r>
      <w:r>
        <w:t xml:space="preserve"> es producir bienes y servicios no financieros de mercado</w:t>
      </w:r>
      <w:r>
        <w:rPr>
          <w:rStyle w:val="Refdenotaalpie"/>
        </w:rPr>
        <w:footnoteReference w:id="21"/>
      </w:r>
      <w:r>
        <w:t>.</w:t>
      </w:r>
    </w:p>
    <w:p w14:paraId="4BF6C132" w14:textId="77777777" w:rsidR="002305FD" w:rsidRDefault="002305FD" w:rsidP="002305FD">
      <w:pPr>
        <w:pStyle w:val="Nivel3SM"/>
      </w:pPr>
      <w:r>
        <w:t xml:space="preserve">Obtienen sus </w:t>
      </w:r>
      <w:r>
        <w:rPr>
          <w:i/>
          <w:iCs/>
        </w:rPr>
        <w:t>recursos</w:t>
      </w:r>
      <w:r>
        <w:t xml:space="preserve"> principalmente de las ventas.</w:t>
      </w:r>
    </w:p>
    <w:p w14:paraId="545E82F0" w14:textId="77777777" w:rsidR="002305FD" w:rsidRPr="00BA617F" w:rsidRDefault="002305FD">
      <w:pPr>
        <w:pStyle w:val="Prrafodelista"/>
        <w:keepNext/>
        <w:numPr>
          <w:ilvl w:val="0"/>
          <w:numId w:val="22"/>
        </w:numPr>
        <w:spacing w:after="0"/>
        <w:ind w:left="567" w:hanging="113"/>
        <w:rPr>
          <w:i/>
          <w:iCs/>
          <w:u w:val="single"/>
        </w:rPr>
      </w:pPr>
      <w:r w:rsidRPr="00BA617F">
        <w:rPr>
          <w:i/>
          <w:iCs/>
          <w:u w:val="single"/>
        </w:rPr>
        <w:t>Instituciones financieras</w:t>
      </w:r>
    </w:p>
    <w:p w14:paraId="48D220FB" w14:textId="77777777" w:rsidR="002305FD" w:rsidRDefault="002305FD" w:rsidP="002305FD">
      <w:pPr>
        <w:pStyle w:val="Nivel3SM"/>
      </w:pPr>
      <w:r w:rsidRPr="006B0A98">
        <w:t>Su</w:t>
      </w:r>
      <w:r>
        <w:rPr>
          <w:i/>
          <w:iCs/>
        </w:rPr>
        <w:t xml:space="preserve"> función principal</w:t>
      </w:r>
      <w:r>
        <w:t xml:space="preserve"> es prestar servicios financieros de mercado.</w:t>
      </w:r>
    </w:p>
    <w:p w14:paraId="40481753" w14:textId="77777777" w:rsidR="002305FD" w:rsidRDefault="002305FD" w:rsidP="002305FD">
      <w:pPr>
        <w:pStyle w:val="Nivel3SM"/>
      </w:pPr>
      <w:r>
        <w:t xml:space="preserve">Obtienen sus </w:t>
      </w:r>
      <w:r>
        <w:rPr>
          <w:i/>
          <w:iCs/>
        </w:rPr>
        <w:t>recursos</w:t>
      </w:r>
      <w:r>
        <w:t xml:space="preserve"> principalmente de las comisiones e ingresos derivados de la intermediación financiera.</w:t>
      </w:r>
    </w:p>
    <w:p w14:paraId="28B39256" w14:textId="77777777" w:rsidR="002305FD" w:rsidRPr="00BA617F" w:rsidRDefault="002305FD">
      <w:pPr>
        <w:pStyle w:val="Prrafodelista"/>
        <w:keepNext/>
        <w:numPr>
          <w:ilvl w:val="0"/>
          <w:numId w:val="22"/>
        </w:numPr>
        <w:spacing w:after="0"/>
        <w:ind w:left="567" w:hanging="113"/>
        <w:rPr>
          <w:i/>
          <w:iCs/>
          <w:u w:val="single"/>
        </w:rPr>
      </w:pPr>
      <w:r w:rsidRPr="00BA617F">
        <w:rPr>
          <w:i/>
          <w:iCs/>
          <w:u w:val="single"/>
        </w:rPr>
        <w:t>Administraciones Públicas</w:t>
      </w:r>
    </w:p>
    <w:p w14:paraId="0C01B627" w14:textId="77777777" w:rsidR="002305FD" w:rsidRDefault="002305FD" w:rsidP="002305FD">
      <w:pPr>
        <w:pStyle w:val="Nivel3SM"/>
      </w:pPr>
      <w:r>
        <w:t xml:space="preserve">Sus </w:t>
      </w:r>
      <w:r>
        <w:rPr>
          <w:i/>
          <w:iCs/>
        </w:rPr>
        <w:t>funciones principales</w:t>
      </w:r>
      <w:r>
        <w:t xml:space="preserve"> son producir bienes y servicios no de mercado</w:t>
      </w:r>
      <w:r>
        <w:rPr>
          <w:rStyle w:val="Refdenotaalpie"/>
        </w:rPr>
        <w:footnoteReference w:id="22"/>
      </w:r>
      <w:r>
        <w:t xml:space="preserve"> destinados a la comunidad en general o a los hogares y redistribuir el ingreso.</w:t>
      </w:r>
    </w:p>
    <w:p w14:paraId="38B59F87" w14:textId="77777777" w:rsidR="002305FD" w:rsidRDefault="002305FD" w:rsidP="002305FD">
      <w:pPr>
        <w:pStyle w:val="Nivel3SM"/>
      </w:pPr>
      <w:r>
        <w:t xml:space="preserve">Obtienen sus </w:t>
      </w:r>
      <w:r>
        <w:rPr>
          <w:i/>
          <w:iCs/>
        </w:rPr>
        <w:t>recursos</w:t>
      </w:r>
      <w:r>
        <w:t xml:space="preserve"> principalmente de pagos obligatorios de los agentes económicos y de otros ingresos como la emisión de deuda.</w:t>
      </w:r>
    </w:p>
    <w:p w14:paraId="2AB5E213" w14:textId="77777777" w:rsidR="002305FD" w:rsidRPr="00BA617F" w:rsidRDefault="002305FD">
      <w:pPr>
        <w:pStyle w:val="Prrafodelista"/>
        <w:keepNext/>
        <w:numPr>
          <w:ilvl w:val="0"/>
          <w:numId w:val="22"/>
        </w:numPr>
        <w:spacing w:after="0"/>
        <w:ind w:left="567" w:hanging="113"/>
        <w:rPr>
          <w:i/>
          <w:iCs/>
          <w:u w:val="single"/>
        </w:rPr>
      </w:pPr>
      <w:r w:rsidRPr="00BA617F">
        <w:rPr>
          <w:i/>
          <w:iCs/>
          <w:u w:val="single"/>
        </w:rPr>
        <w:lastRenderedPageBreak/>
        <w:t>Hogares</w:t>
      </w:r>
    </w:p>
    <w:p w14:paraId="1EAEB930" w14:textId="77777777" w:rsidR="002305FD" w:rsidRPr="003142F9" w:rsidRDefault="002305FD" w:rsidP="002305FD">
      <w:pPr>
        <w:pStyle w:val="Nivel3SM"/>
        <w:rPr>
          <w:spacing w:val="-4"/>
        </w:rPr>
      </w:pPr>
      <w:r w:rsidRPr="003142F9">
        <w:rPr>
          <w:spacing w:val="-4"/>
        </w:rPr>
        <w:t>Sus</w:t>
      </w:r>
      <w:r w:rsidRPr="003142F9">
        <w:rPr>
          <w:i/>
          <w:iCs/>
          <w:spacing w:val="-4"/>
        </w:rPr>
        <w:t xml:space="preserve"> funciones principal</w:t>
      </w:r>
      <w:r w:rsidRPr="003142F9">
        <w:rPr>
          <w:spacing w:val="-4"/>
        </w:rPr>
        <w:t xml:space="preserve"> son el consumo para uso final propio</w:t>
      </w:r>
      <w:r w:rsidRPr="003142F9">
        <w:rPr>
          <w:rStyle w:val="Refdenotaalpie"/>
        </w:rPr>
        <w:footnoteReference w:id="23"/>
      </w:r>
      <w:r w:rsidRPr="003142F9">
        <w:rPr>
          <w:spacing w:val="-4"/>
        </w:rPr>
        <w:t xml:space="preserve"> y proporcionar fuerza de trabajo</w:t>
      </w:r>
      <w:r w:rsidRPr="003142F9">
        <w:rPr>
          <w:rStyle w:val="Refdenotaalpie"/>
        </w:rPr>
        <w:footnoteReference w:id="24"/>
      </w:r>
      <w:r w:rsidRPr="003142F9">
        <w:rPr>
          <w:spacing w:val="-4"/>
        </w:rPr>
        <w:t>.</w:t>
      </w:r>
    </w:p>
    <w:p w14:paraId="30032873" w14:textId="77777777" w:rsidR="002305FD" w:rsidRDefault="002305FD" w:rsidP="002305FD">
      <w:pPr>
        <w:pStyle w:val="Nivel3SM"/>
      </w:pPr>
      <w:r>
        <w:t xml:space="preserve">Obtienen sus </w:t>
      </w:r>
      <w:r>
        <w:rPr>
          <w:i/>
          <w:iCs/>
        </w:rPr>
        <w:t>recursos</w:t>
      </w:r>
      <w:r>
        <w:t xml:space="preserve"> principalmente de la remuneración de los factores productivos.</w:t>
      </w:r>
    </w:p>
    <w:p w14:paraId="04339E98" w14:textId="77777777" w:rsidR="002305FD" w:rsidRDefault="002305FD">
      <w:pPr>
        <w:pStyle w:val="Prrafodelista"/>
        <w:keepNext/>
        <w:numPr>
          <w:ilvl w:val="0"/>
          <w:numId w:val="22"/>
        </w:numPr>
        <w:spacing w:after="0"/>
        <w:ind w:left="567" w:hanging="113"/>
      </w:pPr>
      <w:r w:rsidRPr="00BA617F">
        <w:rPr>
          <w:i/>
          <w:iCs/>
          <w:u w:val="single"/>
        </w:rPr>
        <w:t>Instituciones Sin Fines de Lucro al Servicio de los Hogares (ISFLSH)</w:t>
      </w:r>
      <w:r w:rsidRPr="006308DB">
        <w:rPr>
          <w:rStyle w:val="Refdenotaalpie"/>
        </w:rPr>
        <w:footnoteReference w:id="25"/>
      </w:r>
    </w:p>
    <w:p w14:paraId="4B57E664" w14:textId="77777777" w:rsidR="002305FD" w:rsidRPr="003142F9" w:rsidRDefault="002305FD" w:rsidP="002305FD">
      <w:pPr>
        <w:pStyle w:val="Nivel3SM"/>
        <w:rPr>
          <w:spacing w:val="-5"/>
        </w:rPr>
      </w:pPr>
      <w:r w:rsidRPr="003142F9">
        <w:rPr>
          <w:spacing w:val="-5"/>
        </w:rPr>
        <w:t>Su</w:t>
      </w:r>
      <w:r w:rsidRPr="003142F9">
        <w:rPr>
          <w:i/>
          <w:iCs/>
          <w:spacing w:val="-5"/>
        </w:rPr>
        <w:t xml:space="preserve"> función principal</w:t>
      </w:r>
      <w:r w:rsidRPr="003142F9">
        <w:rPr>
          <w:spacing w:val="-5"/>
        </w:rPr>
        <w:t xml:space="preserve"> es proporcionar bienes y servicios no de mercado a los hogares y a la comunidad.</w:t>
      </w:r>
    </w:p>
    <w:p w14:paraId="062E5483" w14:textId="77777777" w:rsidR="002305FD" w:rsidRDefault="002305FD" w:rsidP="002305FD">
      <w:pPr>
        <w:pStyle w:val="Nivel3SM"/>
        <w:spacing w:after="100"/>
      </w:pPr>
      <w:r>
        <w:t xml:space="preserve">Obtienen sus </w:t>
      </w:r>
      <w:r w:rsidRPr="00DE54B9">
        <w:rPr>
          <w:i/>
          <w:iCs/>
        </w:rPr>
        <w:t>recursos</w:t>
      </w:r>
      <w:r>
        <w:t xml:space="preserve"> principalmente de contribuciones voluntarias en efectivo o en especie efectuadas por hogares, administraciones públicas.</w:t>
      </w:r>
    </w:p>
    <w:p w14:paraId="3A6CD253" w14:textId="77777777" w:rsidR="002305FD" w:rsidRDefault="002305FD" w:rsidP="002305FD">
      <w:pPr>
        <w:pStyle w:val="Nivel1SM"/>
        <w:keepNext/>
        <w:spacing w:after="0"/>
      </w:pPr>
      <w:r>
        <w:t xml:space="preserve">El conjunto de estos 5 sectores constituye el </w:t>
      </w:r>
      <w:r>
        <w:rPr>
          <w:i/>
          <w:iCs/>
          <w:u w:val="single"/>
        </w:rPr>
        <w:t>total de la economía nacional</w:t>
      </w:r>
      <w:r>
        <w:t>.</w:t>
      </w:r>
    </w:p>
    <w:p w14:paraId="7BCD7E7C" w14:textId="77777777" w:rsidR="002305FD" w:rsidRDefault="002305FD" w:rsidP="002305FD">
      <w:pPr>
        <w:pStyle w:val="Nivel2SM"/>
        <w:keepNext/>
        <w:spacing w:after="0"/>
      </w:pPr>
      <w:r>
        <w:t>Cada sector, está dividido a su vez en subsectores.</w:t>
      </w:r>
    </w:p>
    <w:p w14:paraId="157A4E11" w14:textId="77777777" w:rsidR="002305FD" w:rsidRDefault="002305FD" w:rsidP="002305FD">
      <w:pPr>
        <w:pStyle w:val="Nivel3SM"/>
      </w:pPr>
      <w:r>
        <w:t>El sistema permite elaborar una serie completa de cuentas de flujos y de balances para cada sector y subsector, y para el total de la economía.</w:t>
      </w:r>
    </w:p>
    <w:p w14:paraId="10118EC3" w14:textId="77777777" w:rsidR="002305FD" w:rsidRDefault="002305FD" w:rsidP="002305FD">
      <w:pPr>
        <w:pStyle w:val="Nivel2SM"/>
      </w:pPr>
      <w:r>
        <w:t xml:space="preserve">Las unidades no residentes pueden interactuar con estos 5 sectores nacionales, dando lugar a un sexto sector: </w:t>
      </w:r>
      <w:r>
        <w:rPr>
          <w:i/>
          <w:iCs/>
          <w:u w:val="single"/>
        </w:rPr>
        <w:t>el resto del mundo</w:t>
      </w:r>
      <w:r w:rsidRPr="00E7603B">
        <w:rPr>
          <w:rStyle w:val="Refdenotaalpie"/>
        </w:rPr>
        <w:footnoteReference w:id="26"/>
      </w:r>
      <w:r>
        <w:t>.</w:t>
      </w:r>
    </w:p>
    <w:p w14:paraId="0C9E853E" w14:textId="604DB19D" w:rsidR="002305FD" w:rsidRPr="00D659C2" w:rsidRDefault="002305FD" w:rsidP="002305FD">
      <w:pPr>
        <w:pStyle w:val="Ttuloimagen"/>
        <w:rPr>
          <w:smallCaps w:val="0"/>
        </w:rPr>
      </w:pPr>
      <w:r>
        <w:t>Imagen </w:t>
      </w:r>
      <w:r>
        <w:fldChar w:fldCharType="begin"/>
      </w:r>
      <w:r>
        <w:instrText xml:space="preserve"> SEQ Ilustración \* ARABIC </w:instrText>
      </w:r>
      <w:r>
        <w:fldChar w:fldCharType="separate"/>
      </w:r>
      <w:r w:rsidR="0021538E">
        <w:t>3</w:t>
      </w:r>
      <w:r>
        <w:fldChar w:fldCharType="end"/>
      </w:r>
      <w:r>
        <w:rPr>
          <w:smallCaps w:val="0"/>
        </w:rPr>
        <w:t xml:space="preserve">.– </w:t>
      </w:r>
      <w:r>
        <w:rPr>
          <w:i/>
          <w:iCs/>
          <w:smallCaps w:val="0"/>
        </w:rPr>
        <w:t>Clasificación por unidades sectoriales</w:t>
      </w:r>
    </w:p>
    <w:p w14:paraId="386A4A0E" w14:textId="77777777" w:rsidR="002305FD" w:rsidRDefault="002305FD" w:rsidP="002305FD">
      <w:pPr>
        <w:pStyle w:val="Imagen"/>
      </w:pPr>
      <w:r>
        <w:drawing>
          <wp:inline distT="0" distB="0" distL="0" distR="0" wp14:anchorId="1F704759" wp14:editId="0FE238B0">
            <wp:extent cx="3311894" cy="3600000"/>
            <wp:effectExtent l="0" t="0" r="3175" b="635"/>
            <wp:docPr id="33" name="Picture 3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a&#10;&#10;Descripción generada automáticamente"/>
                    <pic:cNvPicPr/>
                  </pic:nvPicPr>
                  <pic:blipFill rotWithShape="1">
                    <a:blip r:embed="rId15" cstate="print">
                      <a:extLst>
                        <a:ext uri="{28A0092B-C50C-407E-A947-70E740481C1C}">
                          <a14:useLocalDpi xmlns:a14="http://schemas.microsoft.com/office/drawing/2010/main" val="0"/>
                        </a:ext>
                      </a:extLst>
                    </a:blip>
                    <a:srcRect l="2615" t="1476" r="2853" b="18258"/>
                    <a:stretch/>
                  </pic:blipFill>
                  <pic:spPr bwMode="auto">
                    <a:xfrm>
                      <a:off x="0" y="0"/>
                      <a:ext cx="3311894" cy="3600000"/>
                    </a:xfrm>
                    <a:prstGeom prst="rect">
                      <a:avLst/>
                    </a:prstGeom>
                    <a:ln>
                      <a:noFill/>
                    </a:ln>
                    <a:extLst>
                      <a:ext uri="{53640926-AAD7-44D8-BBD7-CCE9431645EC}">
                        <a14:shadowObscured xmlns:a14="http://schemas.microsoft.com/office/drawing/2010/main"/>
                      </a:ext>
                    </a:extLst>
                  </pic:spPr>
                </pic:pic>
              </a:graphicData>
            </a:graphic>
          </wp:inline>
        </w:drawing>
      </w:r>
    </w:p>
    <w:p w14:paraId="54763E05" w14:textId="15C63CF0" w:rsidR="002305FD" w:rsidRPr="002305FD" w:rsidRDefault="002305FD" w:rsidP="002305FD">
      <w:pPr>
        <w:pStyle w:val="PiedeImagen"/>
      </w:pPr>
      <w:r>
        <w:t>Fuente</w:t>
      </w:r>
      <w:r w:rsidRPr="00B12D00">
        <w:rPr>
          <w:i w:val="0"/>
          <w:iCs/>
        </w:rPr>
        <w:t xml:space="preserve">: </w:t>
      </w:r>
      <w:r>
        <w:rPr>
          <w:i w:val="0"/>
          <w:iCs/>
        </w:rPr>
        <w:t>SCN 2008</w:t>
      </w:r>
    </w:p>
    <w:p w14:paraId="1E0DFE5F" w14:textId="3EDF9C21" w:rsidR="0094302E" w:rsidRDefault="0094302E" w:rsidP="002305FD">
      <w:pPr>
        <w:pStyle w:val="Ttulo3"/>
      </w:pPr>
      <w:bookmarkStart w:id="42" w:name="_Toc151113580"/>
      <w:r>
        <w:lastRenderedPageBreak/>
        <w:t>Principios contables</w:t>
      </w:r>
      <w:bookmarkEnd w:id="42"/>
    </w:p>
    <w:p w14:paraId="6E76CC9D" w14:textId="588D064B" w:rsidR="0094302E" w:rsidRDefault="0094302E" w:rsidP="0094302E">
      <w:pPr>
        <w:pStyle w:val="Notaalopositor"/>
      </w:pPr>
      <w:bookmarkStart w:id="43" w:name="_Hlk146455425"/>
      <w:r>
        <w:t>Coordinar en temas 3.A.26 y 4.B.1.</w:t>
      </w:r>
    </w:p>
    <w:bookmarkEnd w:id="43"/>
    <w:p w14:paraId="6AFCF12F" w14:textId="77777777" w:rsidR="0094302E" w:rsidRDefault="0094302E" w:rsidP="0094302E">
      <w:pPr>
        <w:pStyle w:val="Nivel1SM"/>
        <w:keepNext/>
        <w:spacing w:before="0" w:after="0"/>
      </w:pPr>
      <w:r>
        <w:t xml:space="preserve">Una </w:t>
      </w:r>
      <w:r w:rsidRPr="004D3C9C">
        <w:rPr>
          <w:b/>
          <w:bCs/>
        </w:rPr>
        <w:t>cuenta</w:t>
      </w:r>
      <w:r>
        <w:t xml:space="preserve"> registra las </w:t>
      </w:r>
      <w:r w:rsidRPr="004D3C9C">
        <w:rPr>
          <w:i/>
          <w:iCs/>
        </w:rPr>
        <w:t>variaciones del valor de una unidad o un sector</w:t>
      </w:r>
      <w:r>
        <w:t xml:space="preserve"> de acuerdo con la naturaleza de los flujos económicos a que se refiere la cuenta.</w:t>
      </w:r>
    </w:p>
    <w:p w14:paraId="04BD9968" w14:textId="77777777" w:rsidR="0094302E" w:rsidRDefault="0094302E" w:rsidP="0094302E">
      <w:pPr>
        <w:pStyle w:val="Nivel2SM"/>
      </w:pPr>
      <w:r>
        <w:t>Las cuentas corrientes son aquellas que muestran la producción, la generación y la asignación de la renta, la distribución y la redistribución de la renta y su utilización.</w:t>
      </w:r>
    </w:p>
    <w:p w14:paraId="78B2CBAC" w14:textId="77777777" w:rsidR="0094302E" w:rsidRDefault="0094302E" w:rsidP="0094302E">
      <w:pPr>
        <w:pStyle w:val="Nivel2SM"/>
      </w:pPr>
      <w:r>
        <w:t>Las cuentas de acumulación son las cuentas de capital y financiera, y las cuentas de otras variaciones del volumen de activos.</w:t>
      </w:r>
    </w:p>
    <w:p w14:paraId="7E3C7BB8" w14:textId="77777777" w:rsidR="0094302E" w:rsidRPr="00343DF0" w:rsidRDefault="0094302E" w:rsidP="0094302E">
      <w:pPr>
        <w:pStyle w:val="Ttulo6"/>
        <w:rPr>
          <w:sz w:val="19"/>
          <w:szCs w:val="19"/>
        </w:rPr>
      </w:pPr>
      <w:bookmarkStart w:id="44" w:name="_Toc134456320"/>
      <w:bookmarkStart w:id="45" w:name="_Toc151113581"/>
      <w:r>
        <w:t>Principio de partida doble</w:t>
      </w:r>
      <w:r w:rsidRPr="00343DF0">
        <w:rPr>
          <w:sz w:val="19"/>
          <w:szCs w:val="19"/>
          <w:u w:val="none"/>
        </w:rPr>
        <w:t xml:space="preserve"> (Método de contabilidad por partida cuádruple)</w:t>
      </w:r>
      <w:bookmarkEnd w:id="44"/>
      <w:bookmarkEnd w:id="45"/>
    </w:p>
    <w:p w14:paraId="716333F5" w14:textId="77777777" w:rsidR="0094302E" w:rsidRPr="00917013" w:rsidRDefault="0094302E" w:rsidP="0094302E">
      <w:pPr>
        <w:pStyle w:val="Nivel1SM"/>
        <w:keepNext/>
        <w:spacing w:before="0" w:after="0"/>
      </w:pPr>
      <w:r w:rsidRPr="004D3C9C">
        <w:rPr>
          <w:i/>
          <w:iCs/>
          <w:u w:val="single"/>
        </w:rPr>
        <w:t>Principio de la partida doble/partida cuádruple</w:t>
      </w:r>
      <w:r w:rsidRPr="00917013">
        <w:t>:</w:t>
      </w:r>
    </w:p>
    <w:p w14:paraId="05CD306C" w14:textId="77777777" w:rsidR="0094302E" w:rsidRDefault="0094302E" w:rsidP="0094302E">
      <w:pPr>
        <w:pStyle w:val="Nivel2SM"/>
        <w:keepNext/>
        <w:spacing w:after="0"/>
      </w:pPr>
      <w:r w:rsidRPr="00246176">
        <w:rPr>
          <w:rStyle w:val="Nivel2Car"/>
        </w:rPr>
        <w:t>Para cada unidad o sector, cada operación debe registrarse con el mismo valor dos veces</w:t>
      </w:r>
      <w:r>
        <w:t xml:space="preserve"> (</w:t>
      </w:r>
      <w:r w:rsidRPr="004A424F">
        <w:rPr>
          <w:b/>
          <w:bCs/>
        </w:rPr>
        <w:t>principio de la partida doble</w:t>
      </w:r>
      <w:r>
        <w:t>):</w:t>
      </w:r>
    </w:p>
    <w:p w14:paraId="2BC760CC" w14:textId="77777777" w:rsidR="0094302E" w:rsidRDefault="0094302E" w:rsidP="0094302E">
      <w:pPr>
        <w:pStyle w:val="Nivel3SM"/>
        <w:keepNext/>
      </w:pPr>
      <w:r w:rsidRPr="00246176">
        <w:rPr>
          <w:rStyle w:val="Nivel4Car"/>
        </w:rPr>
        <w:t xml:space="preserve">En las </w:t>
      </w:r>
      <w:r w:rsidRPr="00C15DA7">
        <w:rPr>
          <w:rStyle w:val="Nivel4Car"/>
          <w:i/>
          <w:iCs/>
        </w:rPr>
        <w:t>cuentas corrientes</w:t>
      </w:r>
      <w:r>
        <w:t>:</w:t>
      </w:r>
    </w:p>
    <w:p w14:paraId="09D280FB" w14:textId="77777777" w:rsidR="00984B24" w:rsidRDefault="00984B24" w:rsidP="00984B24">
      <w:pPr>
        <w:pStyle w:val="Nivel4"/>
        <w:ind w:left="1474"/>
      </w:pPr>
      <w:r>
        <w:t xml:space="preserve">En el lado izquierdo </w:t>
      </w:r>
      <w:r w:rsidRPr="004E752A">
        <w:rPr>
          <w:i/>
          <w:iCs/>
        </w:rPr>
        <w:t>empleos</w:t>
      </w:r>
      <w:r>
        <w:t>: Operaciones que reducen el valor económico de una unidad o sector.</w:t>
      </w:r>
    </w:p>
    <w:p w14:paraId="1AD9497A" w14:textId="77777777" w:rsidR="0094302E" w:rsidRDefault="0094302E" w:rsidP="0094302E">
      <w:pPr>
        <w:pStyle w:val="Nivel4"/>
        <w:ind w:left="1474"/>
      </w:pPr>
      <w:r>
        <w:t xml:space="preserve">En el lado derecho </w:t>
      </w:r>
      <w:r w:rsidRPr="004E752A">
        <w:rPr>
          <w:i/>
          <w:iCs/>
        </w:rPr>
        <w:t>recursos</w:t>
      </w:r>
      <w:r>
        <w:t>: Operaciones que incrementan el valor económico de una unidad o sector.</w:t>
      </w:r>
    </w:p>
    <w:p w14:paraId="09BCEF47" w14:textId="77777777" w:rsidR="0094302E" w:rsidRDefault="0094302E" w:rsidP="0094302E">
      <w:pPr>
        <w:pStyle w:val="Nivel3SM"/>
        <w:keepNext/>
      </w:pPr>
      <w:r w:rsidRPr="00246176">
        <w:rPr>
          <w:rStyle w:val="Nivel4Car"/>
        </w:rPr>
        <w:t xml:space="preserve">En las </w:t>
      </w:r>
      <w:r w:rsidRPr="00C15DA7">
        <w:rPr>
          <w:rStyle w:val="Nivel4Car"/>
          <w:i/>
          <w:iCs/>
        </w:rPr>
        <w:t>cuentas</w:t>
      </w:r>
      <w:r w:rsidRPr="00C15DA7">
        <w:rPr>
          <w:i/>
          <w:iCs/>
        </w:rPr>
        <w:t xml:space="preserve"> de acumulación</w:t>
      </w:r>
      <w:r>
        <w:t>:</w:t>
      </w:r>
    </w:p>
    <w:p w14:paraId="65AA0A61" w14:textId="77777777" w:rsidR="00984B24" w:rsidRDefault="00984B24" w:rsidP="00984B24">
      <w:pPr>
        <w:pStyle w:val="Nivel4"/>
        <w:ind w:left="1474"/>
      </w:pPr>
      <w:r>
        <w:t xml:space="preserve">En el lado izquierdo </w:t>
      </w:r>
      <w:r w:rsidRPr="004D3C9C">
        <w:rPr>
          <w:i/>
          <w:iCs/>
        </w:rPr>
        <w:t>variación de activos</w:t>
      </w:r>
      <w:r>
        <w:t>.</w:t>
      </w:r>
    </w:p>
    <w:p w14:paraId="303438A8" w14:textId="77777777" w:rsidR="0094302E" w:rsidRDefault="0094302E" w:rsidP="0094302E">
      <w:pPr>
        <w:pStyle w:val="Nivel4"/>
        <w:ind w:left="1474"/>
      </w:pPr>
      <w:r>
        <w:t xml:space="preserve">En el lado derecho </w:t>
      </w:r>
      <w:r w:rsidRPr="004D3C9C">
        <w:rPr>
          <w:i/>
          <w:iCs/>
        </w:rPr>
        <w:t>variación de pasivos y del patrimonio neto</w:t>
      </w:r>
      <w:r>
        <w:t>.</w:t>
      </w:r>
    </w:p>
    <w:p w14:paraId="4949190F" w14:textId="77777777" w:rsidR="0094302E" w:rsidRDefault="0094302E" w:rsidP="0094302E">
      <w:pPr>
        <w:pStyle w:val="Nivel3SM"/>
        <w:keepNext/>
      </w:pPr>
      <w:r>
        <w:t>E</w:t>
      </w:r>
      <w:r w:rsidRPr="00246176">
        <w:rPr>
          <w:rStyle w:val="Nivel4Car"/>
        </w:rPr>
        <w:t>n los</w:t>
      </w:r>
      <w:r>
        <w:t xml:space="preserve"> </w:t>
      </w:r>
      <w:r w:rsidRPr="00C15DA7">
        <w:rPr>
          <w:i/>
          <w:iCs/>
        </w:rPr>
        <w:t>balances</w:t>
      </w:r>
      <w:r>
        <w:t>:</w:t>
      </w:r>
    </w:p>
    <w:p w14:paraId="14531DE2" w14:textId="3498A735" w:rsidR="0094302E" w:rsidRDefault="0094302E" w:rsidP="0094302E">
      <w:pPr>
        <w:pStyle w:val="Nivel4"/>
        <w:ind w:left="1474"/>
      </w:pPr>
      <w:r>
        <w:t xml:space="preserve">En el lado izquierdo </w:t>
      </w:r>
      <w:r w:rsidR="00984B24" w:rsidRPr="004D3C9C">
        <w:rPr>
          <w:i/>
          <w:iCs/>
        </w:rPr>
        <w:t>activos</w:t>
      </w:r>
      <w:r>
        <w:t>.</w:t>
      </w:r>
    </w:p>
    <w:p w14:paraId="53AE1AE0" w14:textId="1C822F73" w:rsidR="0094302E" w:rsidRPr="00917013" w:rsidRDefault="0094302E" w:rsidP="0094302E">
      <w:pPr>
        <w:pStyle w:val="Nivel4"/>
        <w:ind w:left="1474"/>
      </w:pPr>
      <w:r>
        <w:t xml:space="preserve">En el lado </w:t>
      </w:r>
      <w:r w:rsidRPr="000B747D">
        <w:t>derecho</w:t>
      </w:r>
      <w:r w:rsidRPr="004D3C9C">
        <w:rPr>
          <w:i/>
          <w:iCs/>
        </w:rPr>
        <w:t xml:space="preserve"> </w:t>
      </w:r>
      <w:r w:rsidR="00984B24" w:rsidRPr="004D3C9C">
        <w:rPr>
          <w:i/>
          <w:iCs/>
        </w:rPr>
        <w:t>pasivos y patrimonio neto</w:t>
      </w:r>
      <w:r>
        <w:t>.</w:t>
      </w:r>
    </w:p>
    <w:p w14:paraId="5949F0EB" w14:textId="77777777" w:rsidR="0094302E" w:rsidRPr="004D3C9C" w:rsidRDefault="0094302E" w:rsidP="0094302E">
      <w:pPr>
        <w:pStyle w:val="Nivel2SM"/>
        <w:rPr>
          <w:spacing w:val="-2"/>
          <w:kern w:val="22"/>
        </w:rPr>
      </w:pPr>
      <w:r w:rsidRPr="004D3C9C">
        <w:rPr>
          <w:spacing w:val="-2"/>
          <w:kern w:val="22"/>
        </w:rPr>
        <w:t xml:space="preserve">La diferencia entre la suma de ambos lados de una cuenta será lo que constituya su </w:t>
      </w:r>
      <w:r w:rsidRPr="004D3C9C">
        <w:rPr>
          <w:i/>
          <w:iCs/>
          <w:spacing w:val="-2"/>
          <w:kern w:val="22"/>
        </w:rPr>
        <w:t>saldo contable</w:t>
      </w:r>
      <w:r w:rsidRPr="004D3C9C">
        <w:rPr>
          <w:spacing w:val="-2"/>
          <w:kern w:val="22"/>
        </w:rPr>
        <w:t>.</w:t>
      </w:r>
    </w:p>
    <w:p w14:paraId="04AC56A5" w14:textId="77777777" w:rsidR="0094302E" w:rsidRDefault="0094302E" w:rsidP="0094302E">
      <w:pPr>
        <w:pStyle w:val="Nivel2SM"/>
      </w:pPr>
      <w:r>
        <w:t>Este principio</w:t>
      </w:r>
      <w:r w:rsidRPr="00917013">
        <w:t xml:space="preserve"> permite comprobar la consistencia y el equilibrio de las cuentas.</w:t>
      </w:r>
    </w:p>
    <w:p w14:paraId="6284A14D" w14:textId="77777777" w:rsidR="0094302E" w:rsidRPr="000B747D" w:rsidRDefault="0094302E" w:rsidP="0094302E">
      <w:pPr>
        <w:pStyle w:val="Nivel2SM"/>
        <w:rPr>
          <w:spacing w:val="-1"/>
          <w:highlight w:val="yellow"/>
        </w:rPr>
      </w:pPr>
      <w:r w:rsidRPr="000B747D">
        <w:rPr>
          <w:spacing w:val="-1"/>
          <w:highlight w:val="yellow"/>
        </w:rPr>
        <w:t xml:space="preserve">Las cuentas nacionales –con todas las unidades y todos los sectores– se basarán en el </w:t>
      </w:r>
      <w:r w:rsidRPr="000B747D">
        <w:rPr>
          <w:b/>
          <w:bCs/>
          <w:spacing w:val="-1"/>
          <w:highlight w:val="yellow"/>
        </w:rPr>
        <w:t>principio de la partida cuádruple</w:t>
      </w:r>
      <w:r w:rsidRPr="000B747D">
        <w:rPr>
          <w:spacing w:val="-1"/>
          <w:highlight w:val="yellow"/>
        </w:rPr>
        <w:t>, ya que en la mayoría de las operaciones intervienen 2 unidades institucionales. Por ejemplo, una prestación social en efectivo pagada por una unidad de las administraciones públicas a un hogar se registra en las cuentas de las administraciones públicas como un empleo en la rúbrica transferencias y como una adquisición negativa de activos en la partida efectivo y depósitos; en las cuentas del sector hogares se registra como un recurso en la rúbrica transferencias y como una adquisición de activos en la partida efectivo y depósitos.</w:t>
      </w:r>
    </w:p>
    <w:p w14:paraId="152CEB01" w14:textId="77777777" w:rsidR="0094302E" w:rsidRPr="00343DF0" w:rsidRDefault="0094302E" w:rsidP="0094302E">
      <w:pPr>
        <w:pStyle w:val="Nivel2SM"/>
        <w:rPr>
          <w:highlight w:val="yellow"/>
        </w:rPr>
      </w:pPr>
      <w:r w:rsidRPr="00343DF0">
        <w:rPr>
          <w:highlight w:val="yellow"/>
        </w:rPr>
        <w:t>Para operaciones internas (como el consumo de producción propia por la misma unidad que la produce) s</w:t>
      </w:r>
      <w:r>
        <w:rPr>
          <w:highlight w:val="yellow"/>
        </w:rPr>
        <w:t>ó</w:t>
      </w:r>
      <w:r w:rsidRPr="00343DF0">
        <w:rPr>
          <w:highlight w:val="yellow"/>
        </w:rPr>
        <w:t xml:space="preserve">lo se necesitan </w:t>
      </w:r>
      <w:r>
        <w:rPr>
          <w:highlight w:val="yellow"/>
        </w:rPr>
        <w:t>2 </w:t>
      </w:r>
      <w:r w:rsidRPr="00343DF0">
        <w:rPr>
          <w:highlight w:val="yellow"/>
        </w:rPr>
        <w:t>partidas, cuyos valores han de estimarse.</w:t>
      </w:r>
    </w:p>
    <w:p w14:paraId="77404BA5" w14:textId="77777777" w:rsidR="0094302E" w:rsidRPr="00B14235" w:rsidRDefault="0094302E" w:rsidP="0094302E">
      <w:pPr>
        <w:pStyle w:val="Ttulo6"/>
        <w:spacing w:after="0"/>
      </w:pPr>
      <w:bookmarkStart w:id="46" w:name="_Toc134456321"/>
      <w:bookmarkStart w:id="47" w:name="_Toc151113582"/>
      <w:r>
        <w:t>Principio de devengo</w:t>
      </w:r>
      <w:r w:rsidRPr="00343DF0">
        <w:rPr>
          <w:u w:val="none"/>
        </w:rPr>
        <w:t xml:space="preserve"> </w:t>
      </w:r>
      <w:r w:rsidRPr="00343DF0">
        <w:rPr>
          <w:sz w:val="19"/>
          <w:szCs w:val="19"/>
          <w:u w:val="none"/>
        </w:rPr>
        <w:t>(</w:t>
      </w:r>
      <w:r>
        <w:rPr>
          <w:sz w:val="19"/>
          <w:szCs w:val="19"/>
          <w:u w:val="none"/>
        </w:rPr>
        <w:t>M</w:t>
      </w:r>
      <w:r w:rsidRPr="00343DF0">
        <w:rPr>
          <w:sz w:val="19"/>
          <w:szCs w:val="19"/>
          <w:u w:val="none"/>
        </w:rPr>
        <w:t>omento del registro)</w:t>
      </w:r>
      <w:bookmarkEnd w:id="46"/>
      <w:bookmarkEnd w:id="47"/>
    </w:p>
    <w:p w14:paraId="78A2E150" w14:textId="77777777" w:rsidR="0094302E" w:rsidRPr="00771564" w:rsidRDefault="0094302E" w:rsidP="0094302E">
      <w:pPr>
        <w:pStyle w:val="Nivel1SM"/>
        <w:keepNext/>
        <w:spacing w:before="0" w:after="0"/>
      </w:pPr>
      <w:r w:rsidRPr="00343DF0">
        <w:rPr>
          <w:i/>
          <w:iCs/>
          <w:u w:val="single"/>
        </w:rPr>
        <w:t>Principio de devengo</w:t>
      </w:r>
      <w:r w:rsidRPr="00CD0A05">
        <w:t>:</w:t>
      </w:r>
    </w:p>
    <w:p w14:paraId="1BAABB51" w14:textId="77777777" w:rsidR="0094302E" w:rsidRDefault="0094302E" w:rsidP="0094302E">
      <w:pPr>
        <w:pStyle w:val="Nivel2SM"/>
      </w:pPr>
      <w:r>
        <w:t>Se reconoce cuando se realiza el ingreso o gasto, no cuando se recibe o se transfiere el efectivo de dicha operación.</w:t>
      </w:r>
    </w:p>
    <w:p w14:paraId="7FE0D2A3" w14:textId="77777777" w:rsidR="0094302E" w:rsidRDefault="0094302E" w:rsidP="0094302E">
      <w:pPr>
        <w:pStyle w:val="Nivel2SM"/>
        <w:keepNext/>
        <w:spacing w:after="0"/>
      </w:pPr>
      <w:r>
        <w:rPr>
          <w:i/>
          <w:iCs/>
        </w:rPr>
        <w:t>Ejemplos:</w:t>
      </w:r>
    </w:p>
    <w:p w14:paraId="6EFDAA9A" w14:textId="77777777" w:rsidR="0094302E" w:rsidRDefault="0094302E" w:rsidP="0094302E">
      <w:pPr>
        <w:pStyle w:val="Nivel3SM"/>
      </w:pPr>
      <w:r>
        <w:t>La producción ha de registrarse cuando se obtiene y no cuando se vende.</w:t>
      </w:r>
    </w:p>
    <w:p w14:paraId="1486CBA9" w14:textId="77777777" w:rsidR="0094302E" w:rsidRDefault="0094302E" w:rsidP="0094302E">
      <w:pPr>
        <w:pStyle w:val="Nivel3SM"/>
      </w:pPr>
      <w:r>
        <w:t xml:space="preserve">En el caso de la venta de un activo, la operación se registra cuando se transfiere la propiedad </w:t>
      </w:r>
      <w:proofErr w:type="gramStart"/>
      <w:r>
        <w:t>del mismo</w:t>
      </w:r>
      <w:proofErr w:type="gramEnd"/>
      <w:r>
        <w:t>, y no cuando se efectúa el pago correspondiente.</w:t>
      </w:r>
    </w:p>
    <w:p w14:paraId="123FD3A9" w14:textId="77777777" w:rsidR="0094302E" w:rsidRDefault="0094302E" w:rsidP="0094302E">
      <w:pPr>
        <w:pStyle w:val="Nivel3SM"/>
      </w:pPr>
      <w:r>
        <w:t>Los intereses se registran en el ejercicio contable en que se devengan, independientemente de que se paguen o no durante dicho ejercicio.</w:t>
      </w:r>
    </w:p>
    <w:p w14:paraId="35A7B5E3" w14:textId="22BC1635" w:rsidR="0094302E" w:rsidRDefault="0094302E" w:rsidP="0094302E">
      <w:pPr>
        <w:pStyle w:val="Nivel2SM"/>
      </w:pPr>
      <w:r w:rsidRPr="00246176">
        <w:rPr>
          <w:rStyle w:val="Nivel2Car"/>
        </w:rPr>
        <w:lastRenderedPageBreak/>
        <w:t xml:space="preserve">No </w:t>
      </w:r>
      <w:r w:rsidRPr="00343DF0">
        <w:rPr>
          <w:rStyle w:val="Nivel2Car"/>
        </w:rPr>
        <w:t>obstante</w:t>
      </w:r>
      <w:r w:rsidRPr="00246176">
        <w:rPr>
          <w:rStyle w:val="Nivel2Car"/>
        </w:rPr>
        <w:t xml:space="preserve">, se reconoce que este criterio puede no ser apropiado para determinadas operaciones. Es el caso de los impuestos y otros flujos en los que intervienen las </w:t>
      </w:r>
      <w:r w:rsidRPr="00343DF0">
        <w:t>administraciones</w:t>
      </w:r>
      <w:r>
        <w:t xml:space="preserve"> públicas, que se registran a menudo según el </w:t>
      </w:r>
      <w:r w:rsidRPr="005508D2">
        <w:rPr>
          <w:i/>
          <w:iCs/>
        </w:rPr>
        <w:t>criterio de caja</w:t>
      </w:r>
      <w:r>
        <w:t xml:space="preserve"> (momento en que se ingresa el impuesto)</w:t>
      </w:r>
      <w:r w:rsidR="000F3478">
        <w:rPr>
          <w:rStyle w:val="Refdenotaalpie"/>
        </w:rPr>
        <w:footnoteReference w:id="27"/>
      </w:r>
      <w:r>
        <w:t>.</w:t>
      </w:r>
    </w:p>
    <w:p w14:paraId="7DF9A7D8" w14:textId="77777777" w:rsidR="0094302E" w:rsidRPr="00665367" w:rsidRDefault="0094302E" w:rsidP="0094302E">
      <w:pPr>
        <w:pStyle w:val="Ttulo6"/>
      </w:pPr>
      <w:bookmarkStart w:id="48" w:name="_Toc134456322"/>
      <w:bookmarkStart w:id="49" w:name="_Toc151113583"/>
      <w:r>
        <w:t>Principio de valoración</w:t>
      </w:r>
      <w:bookmarkEnd w:id="48"/>
      <w:bookmarkEnd w:id="49"/>
    </w:p>
    <w:p w14:paraId="6DA8F643" w14:textId="77777777" w:rsidR="0094302E" w:rsidRPr="00BB1854" w:rsidRDefault="0094302E" w:rsidP="0094302E">
      <w:pPr>
        <w:pStyle w:val="Ttulo7"/>
        <w:spacing w:before="0"/>
      </w:pPr>
      <w:bookmarkStart w:id="50" w:name="_Toc134456323"/>
      <w:r>
        <w:t>Criterios generales (Valoración en términos monetarios a precios de mercado)</w:t>
      </w:r>
      <w:bookmarkEnd w:id="50"/>
    </w:p>
    <w:p w14:paraId="05FC5EA8" w14:textId="77777777" w:rsidR="0094302E" w:rsidRDefault="0094302E" w:rsidP="0094302E">
      <w:pPr>
        <w:pStyle w:val="Nivel1SM"/>
        <w:keepNext/>
        <w:spacing w:before="0" w:after="0"/>
      </w:pPr>
      <w:r w:rsidRPr="00343DF0">
        <w:rPr>
          <w:i/>
          <w:iCs/>
          <w:u w:val="single"/>
        </w:rPr>
        <w:t>Valoración en términos monetarios</w:t>
      </w:r>
      <w:r w:rsidRPr="002C5A3D">
        <w:t>:</w:t>
      </w:r>
      <w:r>
        <w:t xml:space="preserve"> En el SEC 2010 se reflejan los flujos y stocks en términos monetarios (salvo algunas variables relativas a la población y a la mano de obra). </w:t>
      </w:r>
      <w:r w:rsidRPr="008C6740">
        <w:t>Es decir</w:t>
      </w:r>
      <w:r>
        <w:t>, se medirán con arreglo al valor al que los flujos y stocks se cambian o podrían cambiarse por efectivo. Por lo tanto y por orden de preferencia:</w:t>
      </w:r>
    </w:p>
    <w:p w14:paraId="3DC7FF50" w14:textId="77777777" w:rsidR="0094302E" w:rsidRDefault="0094302E">
      <w:pPr>
        <w:pStyle w:val="Prrafodelista"/>
        <w:numPr>
          <w:ilvl w:val="0"/>
          <w:numId w:val="20"/>
        </w:numPr>
        <w:spacing w:after="100"/>
        <w:ind w:left="567" w:hanging="113"/>
      </w:pPr>
      <w:r>
        <w:t xml:space="preserve">Los </w:t>
      </w:r>
      <w:r w:rsidRPr="005E5189">
        <w:rPr>
          <w:i/>
          <w:iCs/>
        </w:rPr>
        <w:t>precios de mercado</w:t>
      </w:r>
      <w:r>
        <w:t xml:space="preserve"> son la referencia del SEC para la valoración.</w:t>
      </w:r>
    </w:p>
    <w:p w14:paraId="3C9A8750" w14:textId="77777777" w:rsidR="0094302E" w:rsidRDefault="0094302E">
      <w:pPr>
        <w:pStyle w:val="Prrafodelista"/>
        <w:numPr>
          <w:ilvl w:val="0"/>
          <w:numId w:val="20"/>
        </w:numPr>
        <w:spacing w:after="100"/>
        <w:ind w:left="567" w:hanging="113"/>
      </w:pPr>
      <w:r>
        <w:t xml:space="preserve">Cuando la operación no se realice en el mercado el mejor método de valoración se establece por referencia a los </w:t>
      </w:r>
      <w:r w:rsidRPr="005E5189">
        <w:rPr>
          <w:i/>
          <w:iCs/>
        </w:rPr>
        <w:t>precios de mercado de bienes, servicios o activos análogos</w:t>
      </w:r>
      <w:r>
        <w:t xml:space="preserve"> (e.g. trueques o servicios de alquiler de viviendas ocupadas por sus propietarios)</w:t>
      </w:r>
      <w:r>
        <w:rPr>
          <w:rStyle w:val="Refdenotaalpie"/>
        </w:rPr>
        <w:footnoteReference w:id="28"/>
      </w:r>
      <w:r>
        <w:t>.</w:t>
      </w:r>
    </w:p>
    <w:p w14:paraId="0F45ED72" w14:textId="77777777" w:rsidR="0094302E" w:rsidRDefault="0094302E">
      <w:pPr>
        <w:pStyle w:val="Prrafodelista"/>
        <w:numPr>
          <w:ilvl w:val="0"/>
          <w:numId w:val="20"/>
        </w:numPr>
        <w:spacing w:after="100"/>
        <w:ind w:left="567" w:hanging="113"/>
      </w:pPr>
      <w:r>
        <w:t>Cuando no se dispone de precios de mercado de productos análogos (e.g. servicios no de mercado producidos por las administraciones públicas), la valoración se realiza según los costes de producción.</w:t>
      </w:r>
    </w:p>
    <w:p w14:paraId="08B2D8AD" w14:textId="77777777" w:rsidR="0094302E" w:rsidRDefault="0094302E">
      <w:pPr>
        <w:pStyle w:val="Prrafodelista"/>
        <w:numPr>
          <w:ilvl w:val="0"/>
          <w:numId w:val="20"/>
        </w:numPr>
        <w:spacing w:after="100"/>
        <w:ind w:left="567" w:hanging="113"/>
      </w:pPr>
      <w:r>
        <w:t xml:space="preserve">Finalmente, cuando no se dispone de los precios de mercado y se desconocen los costes, es posible valorar los stocks y los flujos al </w:t>
      </w:r>
      <w:r w:rsidRPr="005E5189">
        <w:rPr>
          <w:i/>
          <w:iCs/>
        </w:rPr>
        <w:t>valor actual de los rendimientos futuros esperados</w:t>
      </w:r>
      <w:r>
        <w:t>. Este último método sólo debe utilizarse como último recurso.</w:t>
      </w:r>
    </w:p>
    <w:p w14:paraId="502F2968" w14:textId="77777777" w:rsidR="0094302E" w:rsidRDefault="0094302E" w:rsidP="0094302E">
      <w:pPr>
        <w:pStyle w:val="Nivel1SM"/>
      </w:pPr>
      <w:r>
        <w:t>Los stocks se valoran a los precios corrientes en el momento al que se refiere el balance y no en el momento de la producción o adquisición de los bienes o activos que los componen. Es preciso valorar los stocks por una estimación de su valor contable corriente de adquisición o por sus costes de producción.</w:t>
      </w:r>
    </w:p>
    <w:p w14:paraId="3C545C57" w14:textId="77777777" w:rsidR="0094302E" w:rsidRDefault="0094302E" w:rsidP="0094302E">
      <w:pPr>
        <w:pStyle w:val="Ttulo7"/>
      </w:pPr>
      <w:bookmarkStart w:id="51" w:name="_Toc134456324"/>
      <w:r>
        <w:t>Valoración a precios constantes</w:t>
      </w:r>
      <w:bookmarkEnd w:id="51"/>
    </w:p>
    <w:p w14:paraId="0B673C1E" w14:textId="77777777" w:rsidR="0094302E" w:rsidRDefault="0094302E" w:rsidP="0094302E">
      <w:pPr>
        <w:pStyle w:val="Nivel1SM"/>
        <w:keepNext/>
        <w:spacing w:before="0" w:after="0"/>
      </w:pPr>
      <w:r w:rsidRPr="00C24C7A">
        <w:rPr>
          <w:i/>
          <w:iCs/>
          <w:u w:val="single"/>
        </w:rPr>
        <w:t>Valoración a precios constantes</w:t>
      </w:r>
      <w:r>
        <w:t>:</w:t>
      </w:r>
    </w:p>
    <w:p w14:paraId="1279FB75" w14:textId="77777777" w:rsidR="0094302E" w:rsidRDefault="0094302E" w:rsidP="0094302E">
      <w:pPr>
        <w:pStyle w:val="Nivel2SM"/>
      </w:pPr>
      <w:r>
        <w:t>Significa que los flujos y los stocks en un ejercicio contable se valoran a los precios vigentes en un ejercicio anterior fijado como base.</w:t>
      </w:r>
    </w:p>
    <w:p w14:paraId="6CB05F97" w14:textId="77777777" w:rsidR="0094302E" w:rsidRDefault="0094302E" w:rsidP="0094302E">
      <w:pPr>
        <w:pStyle w:val="Nivel2SM"/>
      </w:pPr>
      <w:r>
        <w:t xml:space="preserve">Su utilidad reside en que se pueden descomponer las variaciones a lo largo del tiempo de los valores de los flujos y stocks en </w:t>
      </w:r>
      <w:r w:rsidRPr="005C3232">
        <w:rPr>
          <w:i/>
          <w:iCs/>
        </w:rPr>
        <w:t>variaciones de precios</w:t>
      </w:r>
      <w:r>
        <w:t xml:space="preserve"> y </w:t>
      </w:r>
      <w:r w:rsidRPr="005C3232">
        <w:rPr>
          <w:i/>
          <w:iCs/>
        </w:rPr>
        <w:t>variaciones de volumen</w:t>
      </w:r>
      <w:r>
        <w:t xml:space="preserve">. Se dice que los flujos y stocks a precios constantes se expresan </w:t>
      </w:r>
      <w:r w:rsidRPr="005C3232">
        <w:rPr>
          <w:i/>
          <w:iCs/>
        </w:rPr>
        <w:t>en términos de volumen</w:t>
      </w:r>
      <w:r w:rsidRPr="000F3478">
        <w:rPr>
          <w:rStyle w:val="Refdenotaalpie"/>
          <w:iCs/>
        </w:rPr>
        <w:footnoteReference w:id="29"/>
      </w:r>
      <w:r>
        <w:t>.</w:t>
      </w:r>
    </w:p>
    <w:p w14:paraId="45500483" w14:textId="77777777" w:rsidR="0094302E" w:rsidRDefault="0094302E" w:rsidP="0094302E">
      <w:pPr>
        <w:pStyle w:val="Ttulo7"/>
      </w:pPr>
      <w:bookmarkStart w:id="52" w:name="_Toc134456325"/>
      <w:r>
        <w:t>Valoraciones especiales de los bienes y servicios (precios de adquisición vs precios básicos y FOB)</w:t>
      </w:r>
      <w:bookmarkEnd w:id="52"/>
    </w:p>
    <w:p w14:paraId="29C9FBB8" w14:textId="77777777" w:rsidR="0094302E" w:rsidRPr="00A37913" w:rsidRDefault="0094302E" w:rsidP="0094302E">
      <w:pPr>
        <w:pStyle w:val="Nivel1SM"/>
        <w:keepNext/>
        <w:spacing w:before="0" w:after="0"/>
      </w:pPr>
      <w:r w:rsidRPr="00C24C7A">
        <w:rPr>
          <w:i/>
          <w:iCs/>
          <w:u w:val="single"/>
        </w:rPr>
        <w:t>Valoración a precios de adquisición</w:t>
      </w:r>
      <w:r>
        <w:rPr>
          <w:i/>
          <w:iCs/>
          <w:u w:val="single"/>
        </w:rPr>
        <w:t xml:space="preserve"> vs precios básicos</w:t>
      </w:r>
      <w:r>
        <w:t>:</w:t>
      </w:r>
    </w:p>
    <w:p w14:paraId="44CA8B6C" w14:textId="77777777" w:rsidR="0094302E" w:rsidRDefault="0094302E" w:rsidP="0094302E">
      <w:pPr>
        <w:pStyle w:val="Nivel2SM"/>
        <w:keepNext/>
        <w:spacing w:after="0"/>
      </w:pPr>
      <w:r>
        <w:t>Debido a los gastos de transporte, márgenes comerciales y los impuestos y su</w:t>
      </w:r>
      <w:r w:rsidRPr="00246176">
        <w:rPr>
          <w:rStyle w:val="Nivel2Car"/>
        </w:rPr>
        <w:t>bvenciones sobre los productos, normalmente, el productor y el consumidor de un bien o servicio determinado perciben su valor de forma diferente. Para respetar</w:t>
      </w:r>
      <w:r>
        <w:t xml:space="preserve"> en la mayor medida posible esta </w:t>
      </w:r>
      <w:r w:rsidRPr="00A37913">
        <w:rPr>
          <w:i/>
          <w:iCs/>
        </w:rPr>
        <w:t>diferencia de pe</w:t>
      </w:r>
      <w:r>
        <w:rPr>
          <w:i/>
          <w:iCs/>
        </w:rPr>
        <w:t>r</w:t>
      </w:r>
      <w:r w:rsidRPr="00A37913">
        <w:rPr>
          <w:i/>
          <w:iCs/>
        </w:rPr>
        <w:t>cepción</w:t>
      </w:r>
      <w:r>
        <w:t>, en el sistema SEC 2010</w:t>
      </w:r>
    </w:p>
    <w:p w14:paraId="29539650" w14:textId="77777777" w:rsidR="0094302E" w:rsidRDefault="0094302E" w:rsidP="0094302E">
      <w:pPr>
        <w:pStyle w:val="Nivel3SM"/>
        <w:keepNext/>
      </w:pPr>
      <w:r>
        <w:t xml:space="preserve">Se registran todos los empleos </w:t>
      </w:r>
      <w:r w:rsidRPr="00A37913">
        <w:rPr>
          <w:i/>
          <w:iCs/>
        </w:rPr>
        <w:t>a precios de adquisición</w:t>
      </w:r>
      <w:r>
        <w:t xml:space="preserve"> (i.e. incluyendo estos elementos).</w:t>
      </w:r>
    </w:p>
    <w:p w14:paraId="06BA3A02" w14:textId="77777777" w:rsidR="0094302E" w:rsidRDefault="0094302E" w:rsidP="0094302E">
      <w:pPr>
        <w:pStyle w:val="Nivel4"/>
        <w:ind w:left="1474"/>
      </w:pPr>
      <w:r>
        <w:t>Es decir, el precio que el comprador paga efectivamente por los productos.</w:t>
      </w:r>
    </w:p>
    <w:p w14:paraId="31500205" w14:textId="77777777" w:rsidR="0094302E" w:rsidRDefault="0094302E" w:rsidP="0094302E">
      <w:pPr>
        <w:pStyle w:val="Nivel3SM"/>
        <w:keepNext/>
      </w:pPr>
      <w:r>
        <w:lastRenderedPageBreak/>
        <w:t xml:space="preserve">Los recursos, en cambio, se registra a </w:t>
      </w:r>
      <w:r w:rsidRPr="00C628C2">
        <w:rPr>
          <w:i/>
          <w:iCs/>
        </w:rPr>
        <w:t xml:space="preserve">precios básicos </w:t>
      </w:r>
      <w:r>
        <w:t>(i.e. sin considerarlos).</w:t>
      </w:r>
    </w:p>
    <w:p w14:paraId="656A427F" w14:textId="77777777" w:rsidR="0094302E" w:rsidRDefault="0094302E" w:rsidP="0094302E">
      <w:pPr>
        <w:pStyle w:val="Nivel4"/>
        <w:ind w:left="1474"/>
      </w:pPr>
      <w:r>
        <w:t>Es decir, al precio que los productores reciben excluyendo cualquier impuesto o subvención sobre los productos (además de los impuestos sobre la producción gastos de transporte y los márgenes comerciales).</w:t>
      </w:r>
    </w:p>
    <w:p w14:paraId="3885E352" w14:textId="77777777" w:rsidR="0094302E" w:rsidRPr="00B14235" w:rsidRDefault="0094302E" w:rsidP="0094302E">
      <w:pPr>
        <w:pStyle w:val="Imagen"/>
      </w:pPr>
      <w:r>
        <w:drawing>
          <wp:inline distT="0" distB="0" distL="0" distR="0" wp14:anchorId="1395E043" wp14:editId="492E4A39">
            <wp:extent cx="2019032" cy="2202872"/>
            <wp:effectExtent l="0" t="0" r="635" b="6985"/>
            <wp:docPr id="27" name="Picture 2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a&#10;&#10;Descripción generada automáticament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32" cy="2202872"/>
                    </a:xfrm>
                    <a:prstGeom prst="rect">
                      <a:avLst/>
                    </a:prstGeom>
                  </pic:spPr>
                </pic:pic>
              </a:graphicData>
            </a:graphic>
          </wp:inline>
        </w:drawing>
      </w:r>
    </w:p>
    <w:p w14:paraId="036E8AD2" w14:textId="77777777" w:rsidR="0094302E" w:rsidRDefault="0094302E" w:rsidP="0094302E">
      <w:pPr>
        <w:pStyle w:val="Nivel1SM"/>
        <w:keepNext/>
        <w:spacing w:after="0"/>
      </w:pPr>
      <w:r>
        <w:rPr>
          <w:i/>
          <w:iCs/>
          <w:u w:val="single"/>
        </w:rPr>
        <w:t xml:space="preserve">Valoración de importaciones y exportaciones </w:t>
      </w:r>
      <w:r w:rsidRPr="00C24C7A">
        <w:rPr>
          <w:i/>
          <w:iCs/>
          <w:u w:val="single"/>
        </w:rPr>
        <w:t xml:space="preserve">Free </w:t>
      </w:r>
      <w:proofErr w:type="spellStart"/>
      <w:r w:rsidRPr="00C24C7A">
        <w:rPr>
          <w:i/>
          <w:iCs/>
          <w:u w:val="single"/>
        </w:rPr>
        <w:t>on</w:t>
      </w:r>
      <w:proofErr w:type="spellEnd"/>
      <w:r w:rsidRPr="00C24C7A">
        <w:rPr>
          <w:i/>
          <w:iCs/>
          <w:u w:val="single"/>
        </w:rPr>
        <w:t xml:space="preserve"> Board (FOB)</w:t>
      </w:r>
      <w:r>
        <w:t>:</w:t>
      </w:r>
    </w:p>
    <w:p w14:paraId="42D05F73" w14:textId="77777777" w:rsidR="0094302E" w:rsidRDefault="0094302E" w:rsidP="0094302E">
      <w:pPr>
        <w:pStyle w:val="Nivel2SM"/>
      </w:pPr>
      <w:r>
        <w:rPr>
          <w:noProof/>
        </w:rPr>
        <w:drawing>
          <wp:anchor distT="0" distB="0" distL="114300" distR="114300" simplePos="0" relativeHeight="251662336" behindDoc="1" locked="0" layoutInCell="1" allowOverlap="1" wp14:anchorId="7AB49F25" wp14:editId="7E4A47BF">
            <wp:simplePos x="0" y="0"/>
            <wp:positionH relativeFrom="margin">
              <wp:posOffset>4741333</wp:posOffset>
            </wp:positionH>
            <wp:positionV relativeFrom="paragraph">
              <wp:posOffset>102870</wp:posOffset>
            </wp:positionV>
            <wp:extent cx="1624965" cy="1097280"/>
            <wp:effectExtent l="0" t="0" r="0" b="7620"/>
            <wp:wrapTight wrapText="bothSides">
              <wp:wrapPolygon edited="0">
                <wp:start x="0" y="0"/>
                <wp:lineTo x="0" y="21375"/>
                <wp:lineTo x="21271" y="21375"/>
                <wp:lineTo x="21271" y="0"/>
                <wp:lineTo x="0" y="0"/>
              </wp:wrapPolygon>
            </wp:wrapTight>
            <wp:docPr id="16" name="Picture 16" descr="CIF vs. FOB: What's the Dif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F vs. FOB: What's the Differenc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10000"/>
                    <a:stretch/>
                  </pic:blipFill>
                  <pic:spPr bwMode="auto">
                    <a:xfrm>
                      <a:off x="0" y="0"/>
                      <a:ext cx="1624965" cy="1097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Para el caso de las importaciones y exportaciones de bienes y servicios se registran por su valor en la frontera. Las imp</w:t>
      </w:r>
      <w:r w:rsidRPr="00246176">
        <w:rPr>
          <w:rStyle w:val="Nivel2Car"/>
        </w:rPr>
        <w:t>ortacio</w:t>
      </w:r>
      <w:r>
        <w:t xml:space="preserve">nes y las exportaciones totales se valoran franco a bordo en la frontera aduanera del país exportador. Los servicios </w:t>
      </w:r>
      <w:r w:rsidRPr="00C24C7A">
        <w:t>de</w:t>
      </w:r>
      <w:r>
        <w:t xml:space="preserve"> transporte exterior y de seguros entre las fronteras del exportador y el importador no se incluyen en el valor de los bienes, sino que se registran como servicios.</w:t>
      </w:r>
    </w:p>
    <w:p w14:paraId="4EEA8B5A" w14:textId="77777777" w:rsidR="0094302E" w:rsidRPr="00FD60CA" w:rsidRDefault="0094302E" w:rsidP="0094302E">
      <w:pPr>
        <w:pStyle w:val="Cajadeanotaciones"/>
        <w:keepNext/>
        <w:spacing w:before="120" w:after="60"/>
        <w:jc w:val="center"/>
        <w:rPr>
          <w:b/>
          <w:bCs/>
          <w:i/>
          <w:iCs/>
        </w:rPr>
      </w:pPr>
      <w:r w:rsidRPr="00FD60CA">
        <w:rPr>
          <w:b/>
          <w:bCs/>
          <w:i/>
          <w:iCs/>
        </w:rPr>
        <w:t>Impuestos y subvenciones sobre la producción</w:t>
      </w:r>
    </w:p>
    <w:p w14:paraId="16F0EDF7" w14:textId="77777777" w:rsidR="0094302E" w:rsidRDefault="0094302E" w:rsidP="0094302E">
      <w:pPr>
        <w:pStyle w:val="Cajadeanotaciones"/>
        <w:keepNext/>
        <w:jc w:val="center"/>
      </w:pPr>
      <w:r>
        <w:rPr>
          <w:noProof/>
        </w:rPr>
        <w:drawing>
          <wp:inline distT="0" distB="0" distL="0" distR="0" wp14:anchorId="02AF6D97" wp14:editId="1F0BEF6E">
            <wp:extent cx="5494020" cy="2014779"/>
            <wp:effectExtent l="0" t="0" r="11430" b="0"/>
            <wp:docPr id="36" name="Diagram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33E5D048" w14:textId="77777777" w:rsidR="0094302E" w:rsidRDefault="0094302E" w:rsidP="0094302E">
      <w:pPr>
        <w:pStyle w:val="Cajadeanotaciones"/>
        <w:keepNext/>
        <w:spacing w:after="0"/>
      </w:pPr>
      <w:r>
        <w:rPr>
          <w:rFonts w:ascii="Times New Roman" w:hAnsi="Times New Roman" w:cs="Times New Roman"/>
        </w:rPr>
        <w:t xml:space="preserve">▪ </w:t>
      </w:r>
      <w:r>
        <w:t>De esta forma, cabe distinguir entre:</w:t>
      </w:r>
    </w:p>
    <w:p w14:paraId="127432CD" w14:textId="77777777" w:rsidR="0094302E" w:rsidRDefault="0094302E" w:rsidP="0094302E">
      <w:pPr>
        <w:pStyle w:val="Cajadeanotaciones"/>
        <w:spacing w:after="0"/>
      </w:pPr>
      <w:r w:rsidRPr="00FD60CA">
        <w:rPr>
          <w:i/>
          <w:iCs/>
        </w:rPr>
        <w:t xml:space="preserve">     </w:t>
      </w:r>
      <w:r>
        <w:rPr>
          <w:rFonts w:ascii="Times New Roman" w:hAnsi="Times New Roman" w:cs="Times New Roman"/>
        </w:rPr>
        <w:t xml:space="preserve">− </w:t>
      </w:r>
      <w:r w:rsidRPr="00982DA2">
        <w:rPr>
          <w:i/>
          <w:iCs/>
          <w:u w:val="single"/>
        </w:rPr>
        <w:t>Precios básicos</w:t>
      </w:r>
      <w:r>
        <w:t xml:space="preserve">: Son los precios al salir de las unidades productivas y, por convención, incluyen los costes estrictos (consumos intermedios, remuneración de salariados y excedente o renta mixta), además de </w:t>
      </w:r>
      <w:r>
        <w:rPr>
          <w:i/>
          <w:iCs/>
        </w:rPr>
        <w:t>otros impuestos netos sobre la producción</w:t>
      </w:r>
      <w:r>
        <w:t>.</w:t>
      </w:r>
    </w:p>
    <w:p w14:paraId="0ECD9162" w14:textId="77777777" w:rsidR="0094302E" w:rsidRDefault="0094302E" w:rsidP="0094302E">
      <w:pPr>
        <w:pStyle w:val="Cajadeanotaciones"/>
      </w:pPr>
      <w:r w:rsidRPr="00FD60CA">
        <w:rPr>
          <w:i/>
          <w:iCs/>
        </w:rPr>
        <w:t xml:space="preserve">     </w:t>
      </w:r>
      <w:r>
        <w:rPr>
          <w:rFonts w:ascii="Times New Roman" w:hAnsi="Times New Roman" w:cs="Times New Roman"/>
        </w:rPr>
        <w:t xml:space="preserve">− </w:t>
      </w:r>
      <w:r w:rsidRPr="00982DA2">
        <w:rPr>
          <w:i/>
          <w:iCs/>
          <w:u w:val="single"/>
        </w:rPr>
        <w:t>Precios de adquisición</w:t>
      </w:r>
      <w:r>
        <w:t>: Son los que pagan los compradores al adquirir los productos, por lo que llevarán incorporado, además de cualquier margen (comercial o de transporte), todos los impuestos netos sobre la producción y la importación.</w:t>
      </w:r>
    </w:p>
    <w:p w14:paraId="7F4F04D6" w14:textId="77777777" w:rsidR="0094302E" w:rsidRPr="009E2322" w:rsidRDefault="0094302E" w:rsidP="0094302E">
      <w:pPr>
        <w:pStyle w:val="Cajadeanotaciones"/>
        <w:jc w:val="center"/>
      </w:pPr>
      <w:r>
        <w:rPr>
          <w:noProof/>
        </w:rPr>
        <w:lastRenderedPageBreak/>
        <w:drawing>
          <wp:inline distT="0" distB="0" distL="0" distR="0" wp14:anchorId="27ED23EF" wp14:editId="321A0FE4">
            <wp:extent cx="4176227" cy="2082926"/>
            <wp:effectExtent l="0" t="0" r="0" b="0"/>
            <wp:docPr id="38" name="Picture 3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abla&#10;&#10;Descripción generada automáticamente"/>
                    <pic:cNvPicPr/>
                  </pic:nvPicPr>
                  <pic:blipFill>
                    <a:blip r:embed="rId23"/>
                    <a:stretch>
                      <a:fillRect/>
                    </a:stretch>
                  </pic:blipFill>
                  <pic:spPr>
                    <a:xfrm>
                      <a:off x="0" y="0"/>
                      <a:ext cx="4245399" cy="2117426"/>
                    </a:xfrm>
                    <a:prstGeom prst="rect">
                      <a:avLst/>
                    </a:prstGeom>
                  </pic:spPr>
                </pic:pic>
              </a:graphicData>
            </a:graphic>
          </wp:inline>
        </w:drawing>
      </w:r>
    </w:p>
    <w:p w14:paraId="15797457" w14:textId="77777777" w:rsidR="0094302E" w:rsidRDefault="0094302E" w:rsidP="0094302E">
      <w:pPr>
        <w:pStyle w:val="Ttulo6"/>
      </w:pPr>
      <w:bookmarkStart w:id="53" w:name="_Toc134456326"/>
      <w:bookmarkStart w:id="54" w:name="_Toc151113584"/>
      <w:r>
        <w:t>Principio de residencia</w:t>
      </w:r>
      <w:bookmarkEnd w:id="53"/>
      <w:bookmarkEnd w:id="54"/>
    </w:p>
    <w:p w14:paraId="6F70E4FA" w14:textId="77777777" w:rsidR="0094302E" w:rsidRPr="00DF32D1" w:rsidRDefault="0094302E" w:rsidP="0094302E">
      <w:pPr>
        <w:pStyle w:val="Nivel1SM"/>
        <w:keepNext/>
        <w:spacing w:before="0" w:after="40"/>
        <w:rPr>
          <w:highlight w:val="yellow"/>
        </w:rPr>
      </w:pPr>
      <w:r w:rsidRPr="00DF32D1">
        <w:rPr>
          <w:highlight w:val="yellow"/>
        </w:rPr>
        <w:t xml:space="preserve">Una unidad es residente en un país cuando su </w:t>
      </w:r>
      <w:r w:rsidRPr="00DF32D1">
        <w:rPr>
          <w:i/>
          <w:iCs/>
          <w:highlight w:val="yellow"/>
        </w:rPr>
        <w:t>“centro de interés económico predominante”</w:t>
      </w:r>
      <w:r w:rsidRPr="00DF32D1">
        <w:rPr>
          <w:highlight w:val="yellow"/>
        </w:rPr>
        <w:t xml:space="preserve"> está localizado en el territorio económico de ese país, es decir, cuando existe una vivienda o un lugar de producción desde el cual dicha unidad realiza actividades económicas y transacciones.</w:t>
      </w:r>
    </w:p>
    <w:p w14:paraId="590D2D93" w14:textId="77777777" w:rsidR="0094302E" w:rsidRPr="00DF32D1" w:rsidRDefault="0094302E" w:rsidP="0094302E">
      <w:pPr>
        <w:pStyle w:val="Nivel2SM"/>
        <w:keepNext/>
        <w:spacing w:after="0"/>
        <w:contextualSpacing w:val="0"/>
        <w:rPr>
          <w:highlight w:val="yellow"/>
        </w:rPr>
      </w:pPr>
      <w:r w:rsidRPr="00DF32D1">
        <w:rPr>
          <w:highlight w:val="yellow"/>
        </w:rPr>
        <w:t xml:space="preserve">Para las </w:t>
      </w:r>
      <w:r w:rsidRPr="00DF32D1">
        <w:rPr>
          <w:b/>
          <w:bCs/>
          <w:highlight w:val="yellow"/>
        </w:rPr>
        <w:t>familias</w:t>
      </w:r>
      <w:r w:rsidRPr="00DF32D1">
        <w:rPr>
          <w:highlight w:val="yellow"/>
        </w:rPr>
        <w:t>, su lugar de residencia es el territorio donde tengan su domicilio habitual.</w:t>
      </w:r>
    </w:p>
    <w:p w14:paraId="699A49D3" w14:textId="77777777" w:rsidR="0094302E" w:rsidRPr="00DF32D1" w:rsidRDefault="0094302E" w:rsidP="0094302E">
      <w:pPr>
        <w:pStyle w:val="Nivel3SM"/>
        <w:spacing w:after="40"/>
        <w:rPr>
          <w:highlight w:val="yellow"/>
        </w:rPr>
      </w:pPr>
      <w:r w:rsidRPr="00DF32D1">
        <w:rPr>
          <w:highlight w:val="yellow"/>
        </w:rPr>
        <w:t>En caso de duda, se atiende a la duración de la estancia en un territorio</w:t>
      </w:r>
      <w:r w:rsidRPr="00DF32D1">
        <w:rPr>
          <w:rStyle w:val="Refdenotaalpie"/>
          <w:highlight w:val="yellow"/>
        </w:rPr>
        <w:footnoteReference w:id="30"/>
      </w:r>
      <w:r w:rsidRPr="00DF32D1">
        <w:rPr>
          <w:highlight w:val="yellow"/>
        </w:rPr>
        <w:t>. Hay numerosas excepciones referidas a turistas, estudiantes, pacientes, funcionarios, trabajadores de instituciones internacionales, tripulaciones o trabajadores de empresas no residentes.</w:t>
      </w:r>
    </w:p>
    <w:p w14:paraId="5F0F134B" w14:textId="77777777" w:rsidR="0094302E" w:rsidRPr="00DF32D1" w:rsidRDefault="0094302E" w:rsidP="0094302E">
      <w:pPr>
        <w:pStyle w:val="Nivel2SM"/>
        <w:keepNext/>
        <w:spacing w:after="0"/>
        <w:contextualSpacing w:val="0"/>
        <w:rPr>
          <w:highlight w:val="yellow"/>
        </w:rPr>
      </w:pPr>
      <w:r w:rsidRPr="00DF32D1">
        <w:rPr>
          <w:highlight w:val="yellow"/>
        </w:rPr>
        <w:t xml:space="preserve">En general, una </w:t>
      </w:r>
      <w:r w:rsidRPr="00DF32D1">
        <w:rPr>
          <w:b/>
          <w:bCs/>
          <w:highlight w:val="yellow"/>
        </w:rPr>
        <w:t>empresa</w:t>
      </w:r>
      <w:r w:rsidRPr="00DF32D1">
        <w:rPr>
          <w:highlight w:val="yellow"/>
        </w:rPr>
        <w:t xml:space="preserve"> es residente donde realiza una cantidad significativa de su producción de bienes y servicios, normalmente por un período superior a un año.</w:t>
      </w:r>
    </w:p>
    <w:p w14:paraId="606416CF" w14:textId="77777777" w:rsidR="0094302E" w:rsidRPr="00DF32D1" w:rsidRDefault="0094302E" w:rsidP="0094302E">
      <w:pPr>
        <w:pStyle w:val="Nivel3SM"/>
        <w:spacing w:after="100"/>
        <w:rPr>
          <w:highlight w:val="yellow"/>
        </w:rPr>
      </w:pPr>
      <w:r w:rsidRPr="00DF32D1">
        <w:rPr>
          <w:highlight w:val="yellow"/>
        </w:rPr>
        <w:t>Existen otros criterios complementarios como el de la jurisdicción de la legislación usada para la creación y existencia de la empresa o la base de operaciones (cuando los servicios prestados en una determinada ubicación no tienen entidad suficiente).</w:t>
      </w:r>
    </w:p>
    <w:p w14:paraId="7ACBF8FC" w14:textId="77777777" w:rsidR="0094302E" w:rsidRPr="00DF32D1" w:rsidRDefault="0094302E" w:rsidP="0094302E">
      <w:pPr>
        <w:pStyle w:val="Nivel3SM"/>
        <w:spacing w:after="100"/>
        <w:rPr>
          <w:highlight w:val="yellow"/>
        </w:rPr>
      </w:pPr>
      <w:r w:rsidRPr="00DF32D1">
        <w:rPr>
          <w:highlight w:val="yellow"/>
        </w:rPr>
        <w:t>Las filiales son unidades institucionales independientes residentes en el lugar donde prestan sus servicios.</w:t>
      </w:r>
    </w:p>
    <w:p w14:paraId="7E1BCA10" w14:textId="77777777" w:rsidR="0094302E" w:rsidRPr="00DF32D1" w:rsidRDefault="0094302E" w:rsidP="0094302E">
      <w:pPr>
        <w:pStyle w:val="Nivel3SM"/>
        <w:spacing w:after="40"/>
        <w:rPr>
          <w:spacing w:val="-2"/>
          <w:highlight w:val="yellow"/>
        </w:rPr>
      </w:pPr>
      <w:r w:rsidRPr="00DF32D1">
        <w:rPr>
          <w:spacing w:val="-2"/>
          <w:highlight w:val="yellow"/>
        </w:rPr>
        <w:t>Las sucursales s</w:t>
      </w:r>
      <w:r>
        <w:rPr>
          <w:spacing w:val="-2"/>
          <w:highlight w:val="yellow"/>
        </w:rPr>
        <w:t>ó</w:t>
      </w:r>
      <w:r w:rsidRPr="00DF32D1">
        <w:rPr>
          <w:spacing w:val="-2"/>
          <w:highlight w:val="yellow"/>
        </w:rPr>
        <w:t>lo pueden ser consideradas unidades independientes excepcionalmente, si desarrollan una parte substancial de la producción y llevan una contabilidad independiente.</w:t>
      </w:r>
    </w:p>
    <w:p w14:paraId="0B23C505" w14:textId="77777777" w:rsidR="0094302E" w:rsidRDefault="0094302E" w:rsidP="0094302E">
      <w:pPr>
        <w:pStyle w:val="Nivel2SM"/>
        <w:rPr>
          <w:highlight w:val="yellow"/>
        </w:rPr>
      </w:pPr>
      <w:r w:rsidRPr="00DF32D1">
        <w:rPr>
          <w:highlight w:val="yellow"/>
        </w:rPr>
        <w:t xml:space="preserve">En cuanto a las </w:t>
      </w:r>
      <w:r w:rsidRPr="00DF32D1">
        <w:rPr>
          <w:b/>
          <w:bCs/>
          <w:highlight w:val="yellow"/>
        </w:rPr>
        <w:t>Administraciones Públicas (AAPP)</w:t>
      </w:r>
      <w:r w:rsidRPr="00DF32D1">
        <w:rPr>
          <w:highlight w:val="yellow"/>
        </w:rPr>
        <w:t xml:space="preserve">, se consideran residentes todos sus organismos, incluidas embajadas, consulados y bases militares. Sin embargo, </w:t>
      </w:r>
      <w:r w:rsidRPr="00DF32D1">
        <w:rPr>
          <w:i/>
          <w:iCs/>
          <w:highlight w:val="yellow"/>
        </w:rPr>
        <w:t>no se incluyen los organismos internacionales</w:t>
      </w:r>
      <w:r w:rsidRPr="00DF32D1">
        <w:rPr>
          <w:highlight w:val="yellow"/>
        </w:rPr>
        <w:t xml:space="preserve"> ubicados en ese país, que son un territorio económico en sí mismos.</w:t>
      </w:r>
    </w:p>
    <w:p w14:paraId="2F10D700" w14:textId="2DF5B2B7" w:rsidR="0094302E" w:rsidRPr="0094302E" w:rsidRDefault="0094302E" w:rsidP="0094302E">
      <w:pPr>
        <w:pStyle w:val="Nivel2SM"/>
        <w:rPr>
          <w:color w:val="FF0000"/>
          <w:sz w:val="19"/>
          <w:szCs w:val="19"/>
          <w:highlight w:val="yellow"/>
        </w:rPr>
      </w:pPr>
      <w:r w:rsidRPr="00DF32D1">
        <w:rPr>
          <w:color w:val="FF0000"/>
          <w:sz w:val="19"/>
          <w:szCs w:val="19"/>
          <w:highlight w:val="yellow"/>
        </w:rPr>
        <w:t xml:space="preserve">[Esto de arriba está copiado tal cual del tema 3.B.12 y no sé si en el </w:t>
      </w:r>
      <w:r>
        <w:rPr>
          <w:color w:val="FF0000"/>
          <w:sz w:val="19"/>
          <w:szCs w:val="19"/>
          <w:highlight w:val="yellow"/>
        </w:rPr>
        <w:t>SEC 2010</w:t>
      </w:r>
      <w:r w:rsidRPr="00DF32D1">
        <w:rPr>
          <w:color w:val="FF0000"/>
          <w:sz w:val="19"/>
          <w:szCs w:val="19"/>
          <w:highlight w:val="yellow"/>
        </w:rPr>
        <w:t xml:space="preserve"> es igual, creo que sí]</w:t>
      </w:r>
    </w:p>
    <w:p w14:paraId="7CE015A4" w14:textId="13BDB401" w:rsidR="0094302E" w:rsidRDefault="0094302E" w:rsidP="0094302E">
      <w:pPr>
        <w:pStyle w:val="Ttulo6"/>
      </w:pPr>
      <w:bookmarkStart w:id="55" w:name="_Toc151113585"/>
      <w:r>
        <w:t>Consolidación</w:t>
      </w:r>
      <w:bookmarkEnd w:id="55"/>
    </w:p>
    <w:p w14:paraId="304BD9A2" w14:textId="698EA9DF" w:rsidR="0094302E" w:rsidRDefault="0094302E" w:rsidP="0094302E">
      <w:pPr>
        <w:pStyle w:val="Nivel1SM"/>
        <w:keepNext/>
        <w:spacing w:before="0" w:after="0"/>
      </w:pPr>
      <w:r>
        <w:t>Por consolidación entendemos la eliminación, tanto de los empleos como de los recursos, de las operaciones entre unidades que forman parte de un único sector institucional.</w:t>
      </w:r>
    </w:p>
    <w:p w14:paraId="2711FCE2" w14:textId="0A1902A3" w:rsidR="0094302E" w:rsidRDefault="0094302E" w:rsidP="0094302E">
      <w:pPr>
        <w:pStyle w:val="Nivel2SM"/>
      </w:pPr>
      <w:r>
        <w:t>Solo ocurre en la presentación reducida de las AAPP.</w:t>
      </w:r>
    </w:p>
    <w:p w14:paraId="5C300D98" w14:textId="08C88410" w:rsidR="0094302E" w:rsidRPr="0094302E" w:rsidRDefault="0094302E" w:rsidP="0094302E">
      <w:pPr>
        <w:pStyle w:val="Nivel2SM"/>
      </w:pPr>
      <w:r>
        <w:t>Importancia: Para relacionar los agregados de las AAPP con la economía en su conjunto, es mejor eliminar los movimientos internos de fondos.</w:t>
      </w:r>
    </w:p>
    <w:p w14:paraId="28693981" w14:textId="6BB43EF4" w:rsidR="004D231F" w:rsidRDefault="00082E23" w:rsidP="00604838">
      <w:pPr>
        <w:pStyle w:val="Ttulo2"/>
      </w:pPr>
      <w:bookmarkStart w:id="56" w:name="_Toc151113586"/>
      <w:r>
        <w:t>Sucesión de cuentas del sector público y obtención del déficit público</w:t>
      </w:r>
      <w:bookmarkEnd w:id="56"/>
    </w:p>
    <w:p w14:paraId="5427962A" w14:textId="5444F068" w:rsidR="00821DCE" w:rsidRDefault="00ED5E39" w:rsidP="0026582C">
      <w:pPr>
        <w:pStyle w:val="Nivel1SM"/>
        <w:keepNext/>
        <w:spacing w:before="0" w:after="0"/>
      </w:pPr>
      <w:r w:rsidRPr="00ED5E39">
        <w:t>La</w:t>
      </w:r>
      <w:r w:rsidR="004E5C11">
        <w:t>s</w:t>
      </w:r>
      <w:r w:rsidRPr="00ED5E39">
        <w:t xml:space="preserve"> </w:t>
      </w:r>
      <w:r w:rsidRPr="0026582C">
        <w:rPr>
          <w:b/>
          <w:bCs/>
        </w:rPr>
        <w:t>C</w:t>
      </w:r>
      <w:r w:rsidR="004E5C11" w:rsidRPr="0026582C">
        <w:rPr>
          <w:b/>
          <w:bCs/>
        </w:rPr>
        <w:t xml:space="preserve">uentas </w:t>
      </w:r>
      <w:r w:rsidRPr="0026582C">
        <w:rPr>
          <w:b/>
          <w:bCs/>
        </w:rPr>
        <w:t>N</w:t>
      </w:r>
      <w:r w:rsidR="004E5C11" w:rsidRPr="0026582C">
        <w:rPr>
          <w:b/>
          <w:bCs/>
        </w:rPr>
        <w:t>acionales</w:t>
      </w:r>
      <w:r w:rsidRPr="00ED5E39">
        <w:t xml:space="preserve"> permite</w:t>
      </w:r>
      <w:r w:rsidR="004E5C11">
        <w:t>n</w:t>
      </w:r>
      <w:r w:rsidRPr="00ED5E39">
        <w:t xml:space="preserve"> conocer cómo los distintos sectores institucionales (hogares, empresas no</w:t>
      </w:r>
      <w:r w:rsidR="0026582C">
        <w:t> </w:t>
      </w:r>
      <w:r w:rsidRPr="00ED5E39">
        <w:t xml:space="preserve">financieras, intermediarios financieros, </w:t>
      </w:r>
      <w:r w:rsidR="00821DCE">
        <w:t>sector público</w:t>
      </w:r>
      <w:r w:rsidRPr="00ED5E39">
        <w:t>, entidades sin ánimo de lucro y resto del mundo) contribuyen a la formación de las macromagnitudes (PIB, consumo, ahorro…).</w:t>
      </w:r>
    </w:p>
    <w:p w14:paraId="4DDC9268" w14:textId="77777777" w:rsidR="00821DCE" w:rsidRDefault="009044A9" w:rsidP="0026582C">
      <w:pPr>
        <w:pStyle w:val="Nivel2SM"/>
        <w:keepNext/>
        <w:spacing w:after="0"/>
      </w:pPr>
      <w:r>
        <w:t>Para ello</w:t>
      </w:r>
      <w:r w:rsidR="00821DCE">
        <w:t>, se</w:t>
      </w:r>
      <w:r>
        <w:t xml:space="preserve"> elabora</w:t>
      </w:r>
      <w:r w:rsidR="00821DCE">
        <w:t>n</w:t>
      </w:r>
      <w:r>
        <w:t xml:space="preserve"> diversas cuentas que pueden dividirse en </w:t>
      </w:r>
      <w:r w:rsidR="00821DCE" w:rsidRPr="0026582C">
        <w:rPr>
          <w:b/>
          <w:bCs/>
        </w:rPr>
        <w:t>3 </w:t>
      </w:r>
      <w:r w:rsidRPr="0026582C">
        <w:rPr>
          <w:b/>
          <w:bCs/>
        </w:rPr>
        <w:t>grandes grupos</w:t>
      </w:r>
      <w:r>
        <w:t>:</w:t>
      </w:r>
    </w:p>
    <w:p w14:paraId="330C86D5" w14:textId="29D6CDE3" w:rsidR="00821DCE" w:rsidRDefault="009044A9" w:rsidP="0026582C">
      <w:pPr>
        <w:pStyle w:val="Nivel3SM"/>
      </w:pPr>
      <w:r w:rsidRPr="0026582C">
        <w:rPr>
          <w:i/>
          <w:iCs/>
          <w:u w:val="single"/>
        </w:rPr>
        <w:t>Cuentas Corrientes</w:t>
      </w:r>
      <w:r w:rsidR="0026582C">
        <w:t>;</w:t>
      </w:r>
    </w:p>
    <w:p w14:paraId="7BD682A0" w14:textId="42EA8782" w:rsidR="00821DCE" w:rsidRDefault="009044A9" w:rsidP="0026582C">
      <w:pPr>
        <w:pStyle w:val="Nivel3SM"/>
      </w:pPr>
      <w:r w:rsidRPr="0026582C">
        <w:rPr>
          <w:i/>
          <w:iCs/>
          <w:u w:val="single"/>
        </w:rPr>
        <w:t xml:space="preserve">Cuentas de </w:t>
      </w:r>
      <w:r w:rsidR="0026582C">
        <w:rPr>
          <w:i/>
          <w:iCs/>
          <w:u w:val="single"/>
        </w:rPr>
        <w:t>Capital</w:t>
      </w:r>
      <w:r w:rsidR="0026582C">
        <w:t>;</w:t>
      </w:r>
      <w:r>
        <w:t xml:space="preserve"> y</w:t>
      </w:r>
    </w:p>
    <w:p w14:paraId="1C441ECB" w14:textId="01538308" w:rsidR="00821DCE" w:rsidRDefault="009044A9" w:rsidP="0026582C">
      <w:pPr>
        <w:pStyle w:val="Nivel3SM"/>
      </w:pPr>
      <w:r w:rsidRPr="0026582C">
        <w:rPr>
          <w:i/>
          <w:iCs/>
          <w:u w:val="single"/>
        </w:rPr>
        <w:t>Cuenta Financiera</w:t>
      </w:r>
      <w:r>
        <w:t>.</w:t>
      </w:r>
    </w:p>
    <w:p w14:paraId="44B35C2A" w14:textId="005D7452" w:rsidR="006F35DE" w:rsidRDefault="006F35DE" w:rsidP="0026582C">
      <w:pPr>
        <w:pStyle w:val="Nivel1SM"/>
      </w:pPr>
      <w:r w:rsidRPr="00D33AD1">
        <w:lastRenderedPageBreak/>
        <w:t xml:space="preserve">Analizamos cada una de ellas para el </w:t>
      </w:r>
      <w:r w:rsidR="00821DCE">
        <w:t>sector público</w:t>
      </w:r>
      <w:r>
        <w:t>.</w:t>
      </w:r>
    </w:p>
    <w:p w14:paraId="344A6C7A" w14:textId="3AECD265" w:rsidR="00363D1A" w:rsidRDefault="00363D1A" w:rsidP="00363D1A">
      <w:pPr>
        <w:pStyle w:val="Ttuloimagen"/>
      </w:pPr>
      <w:r>
        <w:t>Imagen </w:t>
      </w:r>
      <w:r>
        <w:fldChar w:fldCharType="begin"/>
      </w:r>
      <w:r>
        <w:instrText xml:space="preserve"> SEQ Ilustración \* ARABIC </w:instrText>
      </w:r>
      <w:r>
        <w:fldChar w:fldCharType="separate"/>
      </w:r>
      <w:r w:rsidR="0021538E">
        <w:t>4</w:t>
      </w:r>
      <w:r>
        <w:fldChar w:fldCharType="end"/>
      </w:r>
      <w:r w:rsidRPr="00B425BC">
        <w:rPr>
          <w:smallCaps w:val="0"/>
        </w:rPr>
        <w:t xml:space="preserve">.– </w:t>
      </w:r>
      <w:r w:rsidRPr="00B425BC">
        <w:rPr>
          <w:i/>
          <w:smallCaps w:val="0"/>
        </w:rPr>
        <w:t>Esquema de sucesión de cuentas</w:t>
      </w:r>
    </w:p>
    <w:p w14:paraId="26305D30" w14:textId="77777777" w:rsidR="00363D1A" w:rsidRDefault="00363D1A" w:rsidP="00363D1A">
      <w:pPr>
        <w:pStyle w:val="Imagen"/>
      </w:pPr>
      <w:r>
        <mc:AlternateContent>
          <mc:Choice Requires="wps">
            <w:drawing>
              <wp:anchor distT="0" distB="0" distL="114300" distR="114300" simplePos="0" relativeHeight="251660288" behindDoc="0" locked="0" layoutInCell="1" allowOverlap="1" wp14:anchorId="7B565F7C" wp14:editId="3B9A07C4">
                <wp:simplePos x="0" y="0"/>
                <wp:positionH relativeFrom="column">
                  <wp:posOffset>2877820</wp:posOffset>
                </wp:positionH>
                <wp:positionV relativeFrom="paragraph">
                  <wp:posOffset>1320165</wp:posOffset>
                </wp:positionV>
                <wp:extent cx="995680" cy="418465"/>
                <wp:effectExtent l="19050" t="19050" r="13970" b="19685"/>
                <wp:wrapNone/>
                <wp:docPr id="2050290368" name="Forma lib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5680" cy="418465"/>
                        </a:xfrm>
                        <a:custGeom>
                          <a:avLst/>
                          <a:gdLst>
                            <a:gd name="connsiteX0" fmla="*/ 0 w 996215"/>
                            <a:gd name="connsiteY0" fmla="*/ 86628 h 418699"/>
                            <a:gd name="connsiteX1" fmla="*/ 19251 w 996215"/>
                            <a:gd name="connsiteY1" fmla="*/ 158817 h 418699"/>
                            <a:gd name="connsiteX2" fmla="*/ 866274 w 996215"/>
                            <a:gd name="connsiteY2" fmla="*/ 418699 h 418699"/>
                            <a:gd name="connsiteX3" fmla="*/ 996215 w 996215"/>
                            <a:gd name="connsiteY3" fmla="*/ 413887 h 418699"/>
                            <a:gd name="connsiteX4" fmla="*/ 919213 w 996215"/>
                            <a:gd name="connsiteY4" fmla="*/ 0 h 418699"/>
                            <a:gd name="connsiteX5" fmla="*/ 0 w 996215"/>
                            <a:gd name="connsiteY5" fmla="*/ 86628 h 4186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96215" h="418699">
                              <a:moveTo>
                                <a:pt x="0" y="86628"/>
                              </a:moveTo>
                              <a:lnTo>
                                <a:pt x="19251" y="158817"/>
                              </a:lnTo>
                              <a:lnTo>
                                <a:pt x="866274" y="418699"/>
                              </a:lnTo>
                              <a:lnTo>
                                <a:pt x="996215" y="413887"/>
                              </a:lnTo>
                              <a:lnTo>
                                <a:pt x="919213" y="0"/>
                              </a:lnTo>
                              <a:lnTo>
                                <a:pt x="0" y="86628"/>
                              </a:lnTo>
                              <a:close/>
                            </a:path>
                          </a:pathLst>
                        </a:cu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3E04D9" id="Forma libre: forma 15" o:spid="_x0000_s1026" style="position:absolute;margin-left:226.6pt;margin-top:103.95pt;width:78.4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996215,418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" path="m,86628r19251,72189l866274,418699r129941,-4812l919213,,,86628xe" fillcolor="white [3212]" strokecolor="white [3212]" strokeweight="1pt">
                <v:stroke joinstyle="miter"/>
                <v:path arrowok="t" o:connecttype="custom" o:connectlocs="0,86580;19241,158728;865809,418465;995680,413656;918719,0;0,86580" o:connectangles="0,0,0,0,0,0"/>
              </v:shape>
            </w:pict>
          </mc:Fallback>
        </mc:AlternateContent>
      </w:r>
      <w:r>
        <mc:AlternateContent>
          <mc:Choice Requires="wps">
            <w:drawing>
              <wp:anchor distT="4294967295" distB="4294967295" distL="114300" distR="114300" simplePos="0" relativeHeight="251659264" behindDoc="0" locked="0" layoutInCell="1" allowOverlap="1" wp14:anchorId="1F28BD73" wp14:editId="78F8B70C">
                <wp:simplePos x="0" y="0"/>
                <wp:positionH relativeFrom="column">
                  <wp:posOffset>2941320</wp:posOffset>
                </wp:positionH>
                <wp:positionV relativeFrom="paragraph">
                  <wp:posOffset>1957069</wp:posOffset>
                </wp:positionV>
                <wp:extent cx="307975" cy="0"/>
                <wp:effectExtent l="0" t="57150" r="15875" b="57150"/>
                <wp:wrapNone/>
                <wp:docPr id="509338625" name="Conector recto de flecha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975" cy="0"/>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35680AD" id="_x0000_t32" coordsize="21600,21600" o:spt="32" o:oned="t" path="m,l21600,21600e" filled="f">
                <v:path arrowok="t" fillok="f" o:connecttype="none"/>
                <o:lock v:ext="edit" shapetype="t"/>
              </v:shapetype>
              <v:shape id="Conector recto de flecha 14" o:spid="_x0000_s1026" type="#_x0000_t32" style="position:absolute;margin-left:231.6pt;margin-top:154.1pt;width:24.2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" strokecolor="black [3213]" strokeweight=".5pt">
                <v:stroke endarrow="block" endarrowwidth="narrow" endarrowlength="short" joinstyle="miter"/>
                <o:lock v:ext="edit" shapetype="f"/>
              </v:shape>
            </w:pict>
          </mc:Fallback>
        </mc:AlternateContent>
      </w:r>
      <w:r>
        <w:drawing>
          <wp:inline distT="0" distB="0" distL="0" distR="0" wp14:anchorId="78933221" wp14:editId="41F7160C">
            <wp:extent cx="3283527" cy="4442703"/>
            <wp:effectExtent l="0" t="0" r="0" b="0"/>
            <wp:docPr id="748922022" name="Imagen 74892202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22022" name="Imagen 748922022" descr="Diagrama&#10;&#10;Descripción generada automáticamente"/>
                    <pic:cNvPicPr>
                      <a:picLocks noChangeAspect="1" noChangeArrowheads="1"/>
                    </pic:cNvPicPr>
                  </pic:nvPicPr>
                  <pic:blipFill rotWithShape="1">
                    <a:blip r:embed="rId24">
                      <a:extLst>
                        <a:ext uri="{28A0092B-C50C-407E-A947-70E740481C1C}">
                          <a14:useLocalDpi xmlns:a14="http://schemas.microsoft.com/office/drawing/2010/main" val="0"/>
                        </a:ext>
                      </a:extLst>
                    </a:blip>
                    <a:srcRect l="9649" r="2702" b="3148"/>
                    <a:stretch/>
                  </pic:blipFill>
                  <pic:spPr bwMode="auto">
                    <a:xfrm>
                      <a:off x="0" y="0"/>
                      <a:ext cx="3283527" cy="4442703"/>
                    </a:xfrm>
                    <a:prstGeom prst="rect">
                      <a:avLst/>
                    </a:prstGeom>
                    <a:noFill/>
                    <a:ln>
                      <a:noFill/>
                    </a:ln>
                    <a:extLst>
                      <a:ext uri="{53640926-AAD7-44D8-BBD7-CCE9431645EC}">
                        <a14:shadowObscured xmlns:a14="http://schemas.microsoft.com/office/drawing/2010/main"/>
                      </a:ext>
                    </a:extLst>
                  </pic:spPr>
                </pic:pic>
              </a:graphicData>
            </a:graphic>
          </wp:inline>
        </w:drawing>
      </w:r>
    </w:p>
    <w:p w14:paraId="2873BE40" w14:textId="77777777" w:rsidR="00363D1A" w:rsidRDefault="00363D1A" w:rsidP="00363D1A">
      <w:pPr>
        <w:pStyle w:val="PiedeImagen"/>
        <w:rPr>
          <w:i w:val="0"/>
          <w:iCs/>
        </w:rPr>
      </w:pPr>
      <w:r>
        <w:t>Fuente</w:t>
      </w:r>
      <w:r w:rsidRPr="008A7782">
        <w:t>:</w:t>
      </w:r>
      <w:r w:rsidRPr="008A7782">
        <w:rPr>
          <w:i w:val="0"/>
          <w:iCs/>
        </w:rPr>
        <w:t xml:space="preserve"> </w:t>
      </w:r>
      <w:r>
        <w:rPr>
          <w:i w:val="0"/>
          <w:iCs/>
        </w:rPr>
        <w:t xml:space="preserve">Adaptado de </w:t>
      </w:r>
      <w:r w:rsidRPr="008A7782">
        <w:rPr>
          <w:i w:val="0"/>
          <w:iCs/>
        </w:rPr>
        <w:t>Eurostat</w:t>
      </w:r>
    </w:p>
    <w:p w14:paraId="387F104B" w14:textId="491940A3" w:rsidR="00B15FF7" w:rsidRDefault="00B15FF7" w:rsidP="00EF31CC">
      <w:pPr>
        <w:pStyle w:val="Ttulo3"/>
      </w:pPr>
      <w:bookmarkStart w:id="57" w:name="_Toc151113587"/>
      <w:r>
        <w:t>Cuentas Corrientes</w:t>
      </w:r>
      <w:bookmarkEnd w:id="57"/>
    </w:p>
    <w:p w14:paraId="2C1D3CA9" w14:textId="77777777" w:rsidR="00765F06" w:rsidRDefault="00765F06" w:rsidP="00765F06">
      <w:pPr>
        <w:pStyle w:val="Nivel1SM"/>
        <w:keepNext/>
        <w:spacing w:after="0"/>
      </w:pPr>
      <w:r>
        <w:t xml:space="preserve">Comprenden las operaciones no financieras relativas a la producción, generación de rentas, distribución, redistribución y utilización de </w:t>
      </w:r>
      <w:proofErr w:type="gramStart"/>
      <w:r>
        <w:t>la misma</w:t>
      </w:r>
      <w:proofErr w:type="gramEnd"/>
      <w:r>
        <w:t xml:space="preserve"> (i.e. gasto).</w:t>
      </w:r>
    </w:p>
    <w:p w14:paraId="78ACF7CF" w14:textId="77777777" w:rsidR="00765F06" w:rsidRDefault="00765F06" w:rsidP="00765F06">
      <w:pPr>
        <w:pStyle w:val="Nivel2SM"/>
        <w:keepNext/>
        <w:spacing w:after="0"/>
      </w:pPr>
      <w:r>
        <w:t>Se trata de una sucesión de cuentas donde se parte de la producción. Distinguimos:</w:t>
      </w:r>
    </w:p>
    <w:p w14:paraId="1EABA6EE" w14:textId="77777777" w:rsidR="00765F06" w:rsidRDefault="00765F06" w:rsidP="00765F06">
      <w:pPr>
        <w:pStyle w:val="Prrafodelista"/>
        <w:numPr>
          <w:ilvl w:val="0"/>
          <w:numId w:val="14"/>
        </w:numPr>
        <w:spacing w:after="0"/>
        <w:ind w:left="1134" w:hanging="113"/>
      </w:pPr>
      <w:r>
        <w:t>Cuenta de producción.</w:t>
      </w:r>
    </w:p>
    <w:p w14:paraId="3A2FAD23" w14:textId="77777777" w:rsidR="00765F06" w:rsidRDefault="00765F06" w:rsidP="00765F06">
      <w:pPr>
        <w:pStyle w:val="Prrafodelista"/>
        <w:numPr>
          <w:ilvl w:val="0"/>
          <w:numId w:val="14"/>
        </w:numPr>
        <w:spacing w:after="0"/>
        <w:ind w:left="1134" w:hanging="113"/>
      </w:pPr>
      <w:r>
        <w:t>Cuenta de explotación.</w:t>
      </w:r>
    </w:p>
    <w:p w14:paraId="5211E5CA" w14:textId="77777777" w:rsidR="00765F06" w:rsidRDefault="00765F06" w:rsidP="00765F06">
      <w:pPr>
        <w:pStyle w:val="Prrafodelista"/>
        <w:numPr>
          <w:ilvl w:val="0"/>
          <w:numId w:val="14"/>
        </w:numPr>
        <w:spacing w:after="0"/>
        <w:ind w:left="1134" w:hanging="113"/>
      </w:pPr>
      <w:r>
        <w:t>Cuenta de asignación de la renta primaria.</w:t>
      </w:r>
    </w:p>
    <w:p w14:paraId="13A95A91" w14:textId="77777777" w:rsidR="00765F06" w:rsidRDefault="00765F06" w:rsidP="00765F06">
      <w:pPr>
        <w:pStyle w:val="Prrafodelista"/>
        <w:numPr>
          <w:ilvl w:val="0"/>
          <w:numId w:val="14"/>
        </w:numPr>
        <w:spacing w:after="0"/>
        <w:ind w:left="1134" w:hanging="113"/>
      </w:pPr>
      <w:r>
        <w:t>Cuenta de distribución secundaria de la renta.</w:t>
      </w:r>
    </w:p>
    <w:p w14:paraId="7C95B4BA" w14:textId="584CEF04" w:rsidR="00765F06" w:rsidRDefault="00765F06" w:rsidP="00765F06">
      <w:pPr>
        <w:pStyle w:val="Prrafodelista"/>
        <w:numPr>
          <w:ilvl w:val="0"/>
          <w:numId w:val="14"/>
        </w:numPr>
        <w:spacing w:after="0"/>
        <w:ind w:left="1134" w:hanging="113"/>
      </w:pPr>
      <w:r>
        <w:t>Cuenta de distribución de la renta en especie.</w:t>
      </w:r>
    </w:p>
    <w:p w14:paraId="63041A88" w14:textId="77777777" w:rsidR="00765F06" w:rsidRDefault="00765F06" w:rsidP="00765F06">
      <w:pPr>
        <w:pStyle w:val="Prrafodelista"/>
        <w:numPr>
          <w:ilvl w:val="0"/>
          <w:numId w:val="14"/>
        </w:numPr>
        <w:spacing w:after="0"/>
        <w:ind w:left="1134" w:hanging="113"/>
      </w:pPr>
      <w:r>
        <w:t>Cuenta de utilización de la renta disponible.</w:t>
      </w:r>
    </w:p>
    <w:p w14:paraId="72284FEF" w14:textId="1D96178F" w:rsidR="00836EDF" w:rsidRPr="002D5E48" w:rsidRDefault="00836EDF" w:rsidP="00765F06">
      <w:pPr>
        <w:pStyle w:val="Prrafodelista"/>
        <w:numPr>
          <w:ilvl w:val="0"/>
          <w:numId w:val="14"/>
        </w:numPr>
        <w:spacing w:after="0"/>
        <w:ind w:left="1134" w:hanging="113"/>
      </w:pPr>
      <w:r w:rsidRPr="002D5E48">
        <w:t>Cuenta de utilización de la renta disponible ajustada</w:t>
      </w:r>
      <w:r w:rsidR="00537432" w:rsidRPr="002D5E48">
        <w:t>.</w:t>
      </w:r>
    </w:p>
    <w:p w14:paraId="73581675" w14:textId="52734B3E" w:rsidR="000F3478" w:rsidRDefault="000F3478" w:rsidP="000F3478">
      <w:pPr>
        <w:pStyle w:val="Ttuloimagen"/>
        <w:rPr>
          <w:i/>
          <w:iCs/>
          <w:smallCaps w:val="0"/>
        </w:rPr>
      </w:pPr>
      <w:r>
        <w:lastRenderedPageBreak/>
        <w:t>Imagen </w:t>
      </w:r>
      <w:r>
        <w:fldChar w:fldCharType="begin"/>
      </w:r>
      <w:r>
        <w:instrText xml:space="preserve"> SEQ Ilustración \* ARABIC </w:instrText>
      </w:r>
      <w:r>
        <w:fldChar w:fldCharType="separate"/>
      </w:r>
      <w:r w:rsidR="0021538E">
        <w:t>5</w:t>
      </w:r>
      <w:r>
        <w:fldChar w:fldCharType="end"/>
      </w:r>
      <w:r w:rsidRPr="006A1C11">
        <w:rPr>
          <w:smallCaps w:val="0"/>
        </w:rPr>
        <w:t xml:space="preserve">.– </w:t>
      </w:r>
      <w:r>
        <w:rPr>
          <w:i/>
          <w:iCs/>
          <w:smallCaps w:val="0"/>
        </w:rPr>
        <w:t>Sucesión de cuentas corrientes</w:t>
      </w:r>
    </w:p>
    <w:tbl>
      <w:tblPr>
        <w:tblStyle w:val="Tablaconcuadrcul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550"/>
        <w:gridCol w:w="5100"/>
      </w:tblGrid>
      <w:tr w:rsidR="000F3478" w14:paraId="443EA5A4" w14:textId="77777777" w:rsidTr="00AB0E6F">
        <w:trPr>
          <w:jc w:val="center"/>
        </w:trPr>
        <w:tc>
          <w:tcPr>
            <w:tcW w:w="5696" w:type="dxa"/>
            <w:vAlign w:val="center"/>
          </w:tcPr>
          <w:p w14:paraId="156286DC" w14:textId="77777777" w:rsidR="000F3478" w:rsidRDefault="000F3478" w:rsidP="00AB0E6F">
            <w:pPr>
              <w:pStyle w:val="Imagen"/>
            </w:pPr>
            <w:r>
              <w:drawing>
                <wp:inline distT="0" distB="0" distL="0" distR="0" wp14:anchorId="73A51A68" wp14:editId="1FF2F3C1">
                  <wp:extent cx="4159700" cy="2520000"/>
                  <wp:effectExtent l="0" t="0" r="0" b="0"/>
                  <wp:docPr id="1063467626" name="Imagen 1063467626"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Diagrama, Esquemático&#10;&#10;Descripción generada automáticamente"/>
                          <pic:cNvPicPr/>
                        </pic:nvPicPr>
                        <pic:blipFill rotWithShape="1">
                          <a:blip r:embed="rId25"/>
                          <a:srcRect l="4012" r="3145"/>
                          <a:stretch/>
                        </pic:blipFill>
                        <pic:spPr bwMode="auto">
                          <a:xfrm>
                            <a:off x="0" y="0"/>
                            <a:ext cx="4159700" cy="2520000"/>
                          </a:xfrm>
                          <a:prstGeom prst="rect">
                            <a:avLst/>
                          </a:prstGeom>
                          <a:ln>
                            <a:noFill/>
                          </a:ln>
                          <a:extLst>
                            <a:ext uri="{53640926-AAD7-44D8-BBD7-CCE9431645EC}">
                              <a14:shadowObscured xmlns:a14="http://schemas.microsoft.com/office/drawing/2010/main"/>
                            </a:ext>
                          </a:extLst>
                        </pic:spPr>
                      </pic:pic>
                    </a:graphicData>
                  </a:graphic>
                </wp:inline>
              </w:drawing>
            </w:r>
          </w:p>
        </w:tc>
        <w:tc>
          <w:tcPr>
            <w:tcW w:w="4510" w:type="dxa"/>
            <w:vAlign w:val="center"/>
          </w:tcPr>
          <w:p w14:paraId="7FDC5F3D" w14:textId="77777777" w:rsidR="000F3478" w:rsidRDefault="000F3478" w:rsidP="00AB0E6F">
            <w:pPr>
              <w:pStyle w:val="Imagen"/>
            </w:pPr>
            <w:r>
              <w:drawing>
                <wp:inline distT="0" distB="0" distL="0" distR="0" wp14:anchorId="467E0336" wp14:editId="6B4E0F1F">
                  <wp:extent cx="3235036" cy="4139565"/>
                  <wp:effectExtent l="0" t="0" r="3810" b="0"/>
                  <wp:docPr id="528254677" name="Imagen 52825467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54677" name="Imagen 528254677" descr="Diagrama&#10;&#10;Descripción generada automáticamente"/>
                          <pic:cNvPicPr/>
                        </pic:nvPicPr>
                        <pic:blipFill rotWithShape="1">
                          <a:blip r:embed="rId26"/>
                          <a:srcRect l="28326" r="27716"/>
                          <a:stretch/>
                        </pic:blipFill>
                        <pic:spPr bwMode="auto">
                          <a:xfrm>
                            <a:off x="0" y="0"/>
                            <a:ext cx="3235376" cy="414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32654F6F" w14:textId="77777777" w:rsidR="000F3478" w:rsidRDefault="000F3478" w:rsidP="000F3478">
      <w:pPr>
        <w:pStyle w:val="PiedeImagen"/>
        <w:rPr>
          <w:i w:val="0"/>
          <w:iCs/>
        </w:rPr>
      </w:pPr>
      <w:r>
        <w:t>Fuente</w:t>
      </w:r>
      <w:r>
        <w:rPr>
          <w:i w:val="0"/>
          <w:iCs/>
        </w:rPr>
        <w:t>: Elaboración propia</w:t>
      </w:r>
    </w:p>
    <w:p w14:paraId="20668D52" w14:textId="3332B0BF" w:rsidR="00B15FF7" w:rsidRPr="00693546" w:rsidRDefault="00B15FF7" w:rsidP="00EF31CC">
      <w:pPr>
        <w:pStyle w:val="Ttulo6"/>
        <w:numPr>
          <w:ilvl w:val="1"/>
          <w:numId w:val="20"/>
        </w:numPr>
        <w:ind w:left="0" w:hanging="284"/>
      </w:pPr>
      <w:bookmarkStart w:id="58" w:name="_Toc151113588"/>
      <w:r w:rsidRPr="00693546">
        <w:t xml:space="preserve">Cuenta de </w:t>
      </w:r>
      <w:r w:rsidR="000D3E79">
        <w:t>p</w:t>
      </w:r>
      <w:r w:rsidRPr="00693546">
        <w:t>roducción</w:t>
      </w:r>
      <w:bookmarkEnd w:id="58"/>
    </w:p>
    <w:p w14:paraId="0747677A" w14:textId="2AD4E4D3" w:rsidR="00B15FF7" w:rsidRDefault="00B15FF7" w:rsidP="00693546">
      <w:pPr>
        <w:pStyle w:val="Nivel2SM"/>
      </w:pPr>
      <w:r>
        <w:t xml:space="preserve">Recoge las operaciones que constituyen el proceso de producción y analiza las operaciones que el sector público realiza en su papel de </w:t>
      </w:r>
      <w:r w:rsidRPr="00EB033C">
        <w:rPr>
          <w:u w:val="single"/>
        </w:rPr>
        <w:t>productor</w:t>
      </w:r>
      <w:r>
        <w:t>.</w:t>
      </w:r>
    </w:p>
    <w:tbl>
      <w:tblPr>
        <w:tblStyle w:val="Tablaconcuadrcula"/>
        <w:tblW w:w="0" w:type="auto"/>
        <w:jc w:val="center"/>
        <w:tblLook w:val="04A0" w:firstRow="1" w:lastRow="0" w:firstColumn="1" w:lastColumn="0" w:noHBand="0" w:noVBand="1"/>
      </w:tblPr>
      <w:tblGrid>
        <w:gridCol w:w="4322"/>
        <w:gridCol w:w="4322"/>
      </w:tblGrid>
      <w:tr w:rsidR="00D75FAF" w:rsidRPr="00997809" w14:paraId="62BB7A0B" w14:textId="77777777" w:rsidTr="00D75FAF">
        <w:trPr>
          <w:jc w:val="center"/>
        </w:trPr>
        <w:tc>
          <w:tcPr>
            <w:tcW w:w="4322" w:type="dxa"/>
            <w:tcBorders>
              <w:left w:val="nil"/>
            </w:tcBorders>
          </w:tcPr>
          <w:p w14:paraId="15FB5EF9" w14:textId="77777777" w:rsidR="00D75FAF" w:rsidRPr="00997809" w:rsidRDefault="00D75FAF" w:rsidP="00B11E35">
            <w:pPr>
              <w:keepNext/>
              <w:spacing w:after="0"/>
              <w:jc w:val="center"/>
              <w:rPr>
                <w:rFonts w:cs="Times New Roman"/>
                <w:b/>
                <w:lang w:val="es-ES"/>
              </w:rPr>
            </w:pPr>
            <w:r w:rsidRPr="00997809">
              <w:rPr>
                <w:rFonts w:cs="Times New Roman"/>
                <w:b/>
                <w:lang w:val="es-ES"/>
              </w:rPr>
              <w:t>Empleos</w:t>
            </w:r>
          </w:p>
        </w:tc>
        <w:tc>
          <w:tcPr>
            <w:tcW w:w="4322" w:type="dxa"/>
            <w:tcBorders>
              <w:right w:val="nil"/>
            </w:tcBorders>
          </w:tcPr>
          <w:p w14:paraId="677731B9" w14:textId="77777777" w:rsidR="00D75FAF" w:rsidRPr="00997809" w:rsidRDefault="00D75FAF" w:rsidP="00B11E35">
            <w:pPr>
              <w:keepNext/>
              <w:spacing w:after="0"/>
              <w:jc w:val="center"/>
              <w:rPr>
                <w:rFonts w:cs="Times New Roman"/>
                <w:b/>
                <w:lang w:val="es-ES"/>
              </w:rPr>
            </w:pPr>
            <w:r w:rsidRPr="00997809">
              <w:rPr>
                <w:rFonts w:cs="Times New Roman"/>
                <w:b/>
                <w:lang w:val="es-ES"/>
              </w:rPr>
              <w:t>Recursos</w:t>
            </w:r>
          </w:p>
        </w:tc>
      </w:tr>
      <w:tr w:rsidR="00D75FAF" w:rsidRPr="00997809" w14:paraId="59343231" w14:textId="77777777" w:rsidTr="00D75FAF">
        <w:trPr>
          <w:jc w:val="center"/>
        </w:trPr>
        <w:tc>
          <w:tcPr>
            <w:tcW w:w="4322" w:type="dxa"/>
            <w:tcBorders>
              <w:left w:val="nil"/>
              <w:bottom w:val="nil"/>
            </w:tcBorders>
          </w:tcPr>
          <w:p w14:paraId="4D45F128" w14:textId="77777777" w:rsidR="00D75FAF" w:rsidRPr="00997809" w:rsidRDefault="00D75FAF" w:rsidP="00D75FAF">
            <w:pPr>
              <w:spacing w:after="0"/>
              <w:rPr>
                <w:rFonts w:cs="Times New Roman"/>
                <w:lang w:val="es-ES"/>
              </w:rPr>
            </w:pPr>
            <w:r w:rsidRPr="00997809">
              <w:rPr>
                <w:rFonts w:cs="Times New Roman"/>
                <w:lang w:val="es-ES"/>
              </w:rPr>
              <w:t>Consumos intermedios</w:t>
            </w:r>
          </w:p>
        </w:tc>
        <w:tc>
          <w:tcPr>
            <w:tcW w:w="4322" w:type="dxa"/>
            <w:tcBorders>
              <w:bottom w:val="nil"/>
              <w:right w:val="nil"/>
            </w:tcBorders>
          </w:tcPr>
          <w:p w14:paraId="0F415A5C" w14:textId="0E1E72EC" w:rsidR="00D75FAF" w:rsidRPr="00997809" w:rsidRDefault="00D75FAF" w:rsidP="00D75FAF">
            <w:pPr>
              <w:spacing w:after="0"/>
              <w:rPr>
                <w:rFonts w:cs="Times New Roman"/>
                <w:spacing w:val="-5"/>
                <w:lang w:val="es-ES"/>
              </w:rPr>
            </w:pPr>
            <w:r w:rsidRPr="00997809">
              <w:rPr>
                <w:rFonts w:cs="Times New Roman"/>
                <w:spacing w:val="-5"/>
                <w:lang w:val="es-ES"/>
              </w:rPr>
              <w:t xml:space="preserve">Producción de mercado </w:t>
            </w:r>
            <w:r w:rsidRPr="00997809">
              <w:rPr>
                <w:rFonts w:cs="Times New Roman"/>
                <w:spacing w:val="-5"/>
                <w:sz w:val="19"/>
                <w:szCs w:val="19"/>
                <w:lang w:val="es-ES"/>
              </w:rPr>
              <w:t>(destinada a la venta)</w:t>
            </w:r>
          </w:p>
        </w:tc>
      </w:tr>
      <w:tr w:rsidR="00D75FAF" w:rsidRPr="00997809" w14:paraId="42E6F352" w14:textId="77777777" w:rsidTr="00D75FAF">
        <w:trPr>
          <w:jc w:val="center"/>
        </w:trPr>
        <w:tc>
          <w:tcPr>
            <w:tcW w:w="4322" w:type="dxa"/>
            <w:tcBorders>
              <w:top w:val="nil"/>
              <w:left w:val="nil"/>
            </w:tcBorders>
          </w:tcPr>
          <w:p w14:paraId="79A33C05" w14:textId="77777777" w:rsidR="00D75FAF" w:rsidRPr="00997809" w:rsidRDefault="00D75FAF" w:rsidP="00D75FAF">
            <w:pPr>
              <w:spacing w:after="0"/>
              <w:rPr>
                <w:rFonts w:cs="Times New Roman"/>
                <w:lang w:val="es-ES"/>
              </w:rPr>
            </w:pPr>
          </w:p>
        </w:tc>
        <w:tc>
          <w:tcPr>
            <w:tcW w:w="4322" w:type="dxa"/>
            <w:tcBorders>
              <w:top w:val="nil"/>
              <w:right w:val="nil"/>
            </w:tcBorders>
          </w:tcPr>
          <w:p w14:paraId="064291FB" w14:textId="5CA788E2" w:rsidR="00D75FAF" w:rsidRPr="00997809" w:rsidRDefault="00D75FAF" w:rsidP="00D75FAF">
            <w:pPr>
              <w:spacing w:after="0"/>
              <w:rPr>
                <w:rFonts w:cs="Times New Roman"/>
                <w:lang w:val="es-ES"/>
              </w:rPr>
            </w:pPr>
            <w:r w:rsidRPr="00997809">
              <w:rPr>
                <w:rFonts w:cs="Times New Roman"/>
                <w:lang w:val="es-ES"/>
              </w:rPr>
              <w:t>Producción no de mercado</w:t>
            </w:r>
          </w:p>
        </w:tc>
      </w:tr>
      <w:tr w:rsidR="00D75FAF" w:rsidRPr="00997809" w14:paraId="59859F03" w14:textId="77777777" w:rsidTr="00D75FAF">
        <w:trPr>
          <w:jc w:val="center"/>
        </w:trPr>
        <w:tc>
          <w:tcPr>
            <w:tcW w:w="4322" w:type="dxa"/>
            <w:tcBorders>
              <w:left w:val="nil"/>
              <w:bottom w:val="nil"/>
            </w:tcBorders>
          </w:tcPr>
          <w:p w14:paraId="772B0DB5" w14:textId="73A31F6F" w:rsidR="00D75FAF" w:rsidRPr="00997809" w:rsidRDefault="00D75FAF" w:rsidP="00D75FAF">
            <w:pPr>
              <w:spacing w:after="0"/>
              <w:rPr>
                <w:rFonts w:cs="Times New Roman"/>
                <w:i/>
                <w:lang w:val="es-ES"/>
              </w:rPr>
            </w:pPr>
            <w:r w:rsidRPr="00997809">
              <w:rPr>
                <w:rFonts w:cs="Times New Roman"/>
                <w:i/>
                <w:lang w:val="es-ES"/>
              </w:rPr>
              <w:t xml:space="preserve">Saldo: </w:t>
            </w:r>
            <w:r w:rsidR="00EE1701" w:rsidRPr="00997809">
              <w:rPr>
                <w:rFonts w:cs="Times New Roman"/>
                <w:i/>
                <w:lang w:val="es-ES"/>
              </w:rPr>
              <w:t>Valor Añadido Bruto (</w:t>
            </w:r>
            <w:r w:rsidRPr="00997809">
              <w:rPr>
                <w:rFonts w:cs="Times New Roman"/>
                <w:i/>
                <w:lang w:val="es-ES"/>
              </w:rPr>
              <w:t>VAB</w:t>
            </w:r>
            <w:r w:rsidR="00EE1701" w:rsidRPr="00997809">
              <w:rPr>
                <w:rFonts w:cs="Times New Roman"/>
                <w:i/>
                <w:lang w:val="es-ES"/>
              </w:rPr>
              <w:t>)</w:t>
            </w:r>
          </w:p>
          <w:p w14:paraId="04B3D6C5" w14:textId="504EA03B" w:rsidR="00D75FAF" w:rsidRPr="00997809" w:rsidRDefault="00D75FAF" w:rsidP="00D75FAF">
            <w:pPr>
              <w:spacing w:after="0"/>
              <w:rPr>
                <w:rFonts w:cs="Times New Roman"/>
                <w:i/>
                <w:lang w:val="es-ES"/>
              </w:rPr>
            </w:pPr>
            <w:r w:rsidRPr="00997809">
              <w:rPr>
                <w:rFonts w:ascii="Times New Roman" w:hAnsi="Times New Roman" w:cs="Times New Roman"/>
                <w:i/>
                <w:lang w:val="es-ES"/>
              </w:rPr>
              <w:t xml:space="preserve">− </w:t>
            </w:r>
            <w:r w:rsidRPr="00997809">
              <w:rPr>
                <w:rFonts w:cs="Times New Roman"/>
                <w:i/>
                <w:lang w:val="es-ES"/>
              </w:rPr>
              <w:t>(consum</w:t>
            </w:r>
            <w:r w:rsidR="00EE1701" w:rsidRPr="00997809">
              <w:rPr>
                <w:rFonts w:cs="Times New Roman"/>
                <w:i/>
                <w:lang w:val="es-ES"/>
              </w:rPr>
              <w:t>o</w:t>
            </w:r>
            <w:r w:rsidRPr="00997809">
              <w:rPr>
                <w:rFonts w:cs="Times New Roman"/>
                <w:i/>
                <w:lang w:val="es-ES"/>
              </w:rPr>
              <w:t xml:space="preserve"> de capital fijo)</w:t>
            </w:r>
          </w:p>
          <w:p w14:paraId="42767989" w14:textId="6A6A5E30" w:rsidR="00D75FAF" w:rsidRPr="00997809" w:rsidRDefault="00D75FAF" w:rsidP="00D75FAF">
            <w:pPr>
              <w:spacing w:after="0"/>
              <w:rPr>
                <w:rFonts w:cs="Times New Roman"/>
                <w:i/>
                <w:lang w:val="es-ES"/>
              </w:rPr>
            </w:pPr>
            <w:r w:rsidRPr="00997809">
              <w:rPr>
                <w:rFonts w:cs="Times New Roman"/>
                <w:i/>
                <w:lang w:val="es-ES"/>
              </w:rPr>
              <w:t>= VAN</w:t>
            </w:r>
          </w:p>
        </w:tc>
        <w:tc>
          <w:tcPr>
            <w:tcW w:w="4322" w:type="dxa"/>
            <w:tcBorders>
              <w:bottom w:val="nil"/>
              <w:right w:val="nil"/>
            </w:tcBorders>
          </w:tcPr>
          <w:p w14:paraId="562160A6" w14:textId="77777777" w:rsidR="00D75FAF" w:rsidRPr="00997809" w:rsidRDefault="00D75FAF" w:rsidP="00D75FAF">
            <w:pPr>
              <w:spacing w:after="0"/>
              <w:rPr>
                <w:rFonts w:cs="Times New Roman"/>
                <w:lang w:val="es-ES"/>
              </w:rPr>
            </w:pPr>
          </w:p>
        </w:tc>
      </w:tr>
    </w:tbl>
    <w:p w14:paraId="1DC210A2" w14:textId="77777777" w:rsidR="00997809" w:rsidRDefault="00B15FF7" w:rsidP="00997809">
      <w:pPr>
        <w:pStyle w:val="Nivel3SM"/>
        <w:keepNext/>
      </w:pPr>
      <w:r w:rsidRPr="000D3E79">
        <w:rPr>
          <w:i/>
          <w:iCs/>
          <w:u w:val="single"/>
        </w:rPr>
        <w:t>Recursos</w:t>
      </w:r>
      <w:r>
        <w:t>: Producción de bienes y servicios tanto los que sí están destinados a la venta como los que no.</w:t>
      </w:r>
    </w:p>
    <w:p w14:paraId="01102293" w14:textId="1BFEEC75" w:rsidR="00B15FF7" w:rsidRDefault="00CA736C" w:rsidP="00997809">
      <w:pPr>
        <w:pStyle w:val="Nivel4"/>
        <w:ind w:left="1474"/>
      </w:pPr>
      <w:r>
        <w:t>Se valora a precios básico</w:t>
      </w:r>
      <w:r w:rsidR="00735C4F">
        <w:t>s</w:t>
      </w:r>
      <w:r>
        <w:t xml:space="preserve"> (i.e. excluye cualquier impuesto o subvención facturado por separado por el productor).</w:t>
      </w:r>
    </w:p>
    <w:p w14:paraId="6DD8B747" w14:textId="5F48F4FF" w:rsidR="00997809" w:rsidRDefault="00997809" w:rsidP="00997809">
      <w:pPr>
        <w:pStyle w:val="Nivel4"/>
        <w:ind w:left="1474"/>
      </w:pPr>
      <w:r>
        <w:t>Sin embargo, la mayor parte de la producción de las AAPP es producción no de mercado, que no se considera parte de los ingresos. La inclusión de la producción no de mercado de las AAPP es una imputación. Al distribuirse de forma gratuita y no estar basada (en general) en flujos monetarios, la producción no de mercado de las AAPP se estima a través de la suma d ellos costes y se imputa en esta cuenta</w:t>
      </w:r>
      <w:r w:rsidR="00C245F1">
        <w:rPr>
          <w:rStyle w:val="Refdenotaalpie"/>
        </w:rPr>
        <w:footnoteReference w:id="31"/>
      </w:r>
      <w:r>
        <w:t>.</w:t>
      </w:r>
    </w:p>
    <w:p w14:paraId="630B20CA" w14:textId="7797F6E6" w:rsidR="00B15FF7" w:rsidRDefault="00B15FF7" w:rsidP="00693546">
      <w:pPr>
        <w:pStyle w:val="Nivel3SM"/>
        <w:keepNext/>
      </w:pPr>
      <w:r w:rsidRPr="000D3E79">
        <w:rPr>
          <w:i/>
          <w:iCs/>
          <w:u w:val="single"/>
        </w:rPr>
        <w:t>Empleos</w:t>
      </w:r>
      <w:r>
        <w:t xml:space="preserve">: Consumo intermedio </w:t>
      </w:r>
      <w:r w:rsidR="0079273B">
        <w:t>que</w:t>
      </w:r>
      <w:r>
        <w:t xml:space="preserve"> representa el valor de los bienes y servicios</w:t>
      </w:r>
      <w:r w:rsidR="007B2F2C">
        <w:t>,</w:t>
      </w:r>
      <w:r>
        <w:t xml:space="preserve"> </w:t>
      </w:r>
      <w:r w:rsidRPr="000D3E79">
        <w:t>excepto los de capital fijo</w:t>
      </w:r>
      <w:r>
        <w:t>, que se han empleado para producir otros bienes y servicios.</w:t>
      </w:r>
    </w:p>
    <w:p w14:paraId="3CF5D8D9" w14:textId="77777777" w:rsidR="00B15FF7" w:rsidRPr="00997809" w:rsidRDefault="00B15FF7" w:rsidP="00693546">
      <w:pPr>
        <w:pStyle w:val="Nivel4"/>
        <w:ind w:left="1474"/>
      </w:pPr>
      <w:r>
        <w:t xml:space="preserve">Consumo de </w:t>
      </w:r>
      <w:r w:rsidRPr="00997809">
        <w:t>servicios (viajes, alquileres).</w:t>
      </w:r>
    </w:p>
    <w:p w14:paraId="3E8CDE9D" w14:textId="3ABA0701" w:rsidR="00B15FF7" w:rsidRPr="00997809" w:rsidRDefault="00B15FF7" w:rsidP="00693546">
      <w:pPr>
        <w:pStyle w:val="Nivel4"/>
        <w:ind w:left="1474"/>
      </w:pPr>
      <w:r w:rsidRPr="00997809">
        <w:t>Consumo de bienes no</w:t>
      </w:r>
      <w:r w:rsidR="00997809">
        <w:t> </w:t>
      </w:r>
      <w:r w:rsidRPr="00997809">
        <w:t>duraderos (</w:t>
      </w:r>
      <w:r w:rsidR="001C6161" w:rsidRPr="00997809">
        <w:t>p.</w:t>
      </w:r>
      <w:r w:rsidRPr="00997809">
        <w:t>ej</w:t>
      </w:r>
      <w:r w:rsidR="001C6161" w:rsidRPr="00997809">
        <w:t>.</w:t>
      </w:r>
      <w:r w:rsidRPr="00997809">
        <w:t xml:space="preserve"> material de oficina, agua).</w:t>
      </w:r>
    </w:p>
    <w:p w14:paraId="3D450873" w14:textId="79BBE669" w:rsidR="00B15FF7" w:rsidRPr="00997809" w:rsidRDefault="00B15FF7" w:rsidP="00693546">
      <w:pPr>
        <w:pStyle w:val="Nivel4"/>
        <w:ind w:left="1474"/>
        <w:rPr>
          <w:spacing w:val="-2"/>
        </w:rPr>
      </w:pPr>
      <w:r w:rsidRPr="00997809">
        <w:rPr>
          <w:spacing w:val="-2"/>
        </w:rPr>
        <w:t>Consumo de ciertos bienes duraderos pero que no aumentan la capacidad productiva (</w:t>
      </w:r>
      <w:r w:rsidR="00EE1701" w:rsidRPr="00997809">
        <w:rPr>
          <w:spacing w:val="-2"/>
        </w:rPr>
        <w:t>p.</w:t>
      </w:r>
      <w:r w:rsidRPr="00997809">
        <w:rPr>
          <w:spacing w:val="-2"/>
        </w:rPr>
        <w:t>ej</w:t>
      </w:r>
      <w:r w:rsidR="00EE1701" w:rsidRPr="00997809">
        <w:rPr>
          <w:spacing w:val="-2"/>
        </w:rPr>
        <w:t>.</w:t>
      </w:r>
      <w:r w:rsidRPr="00997809">
        <w:rPr>
          <w:spacing w:val="-2"/>
        </w:rPr>
        <w:t xml:space="preserve"> bienes duraderos de administraciones militares).</w:t>
      </w:r>
    </w:p>
    <w:p w14:paraId="1C61EE55" w14:textId="0ECE4F15" w:rsidR="00B15FF7" w:rsidRDefault="00B15FF7" w:rsidP="000A75BB">
      <w:pPr>
        <w:pStyle w:val="Nivel3SM"/>
        <w:keepNext/>
      </w:pPr>
      <w:r w:rsidRPr="00997809">
        <w:rPr>
          <w:i/>
          <w:iCs/>
          <w:u w:val="single"/>
        </w:rPr>
        <w:lastRenderedPageBreak/>
        <w:t>Saldo</w:t>
      </w:r>
      <w:r w:rsidRPr="00997809">
        <w:t>: VAB a precios de</w:t>
      </w:r>
      <w:r>
        <w:t xml:space="preserve"> mercado.</w:t>
      </w:r>
    </w:p>
    <w:p w14:paraId="60F37278" w14:textId="387C38C2" w:rsidR="00C951BF" w:rsidRDefault="00C951BF" w:rsidP="000A75BB">
      <w:pPr>
        <w:pStyle w:val="Nivel4"/>
        <w:keepNext/>
        <w:ind w:left="1474"/>
      </w:pPr>
      <w:r>
        <w:t>Mide el valor creado por la producción pública (i.e. la contribución de la mano de obra y el capital al proceso de producción pública).</w:t>
      </w:r>
    </w:p>
    <w:p w14:paraId="08ABEF91" w14:textId="4213EAFE" w:rsidR="00C951BF" w:rsidRDefault="00C951BF" w:rsidP="000A75BB">
      <w:pPr>
        <w:pStyle w:val="Nivel5"/>
        <w:ind w:left="1871"/>
      </w:pPr>
      <w:r>
        <w:t>Sin embargo, por ejemplo, no nos dice lo que se llevan en remuneraciones los empleados públicos porque tienen que pagar impuestos y recibir subvenciones.</w:t>
      </w:r>
    </w:p>
    <w:p w14:paraId="3585F3A8" w14:textId="15E7F764" w:rsidR="00C951BF" w:rsidRDefault="000A75BB" w:rsidP="00C951BF">
      <w:pPr>
        <w:pStyle w:val="Nivel4"/>
        <w:ind w:left="1474"/>
      </w:pPr>
      <w:r>
        <w:t>Restando el consumo de capital fijo, tendríamos el VAN.</w:t>
      </w:r>
    </w:p>
    <w:p w14:paraId="42A4B666" w14:textId="3479A80E" w:rsidR="00B15FF7" w:rsidRPr="00693546" w:rsidRDefault="00B15FF7" w:rsidP="00EF31CC">
      <w:pPr>
        <w:pStyle w:val="Ttulo6"/>
        <w:numPr>
          <w:ilvl w:val="1"/>
          <w:numId w:val="20"/>
        </w:numPr>
        <w:ind w:left="0" w:hanging="284"/>
      </w:pPr>
      <w:bookmarkStart w:id="59" w:name="_Toc151113589"/>
      <w:r w:rsidRPr="00693546">
        <w:t xml:space="preserve">Cuenta de </w:t>
      </w:r>
      <w:r w:rsidR="000D3E79">
        <w:t>e</w:t>
      </w:r>
      <w:r w:rsidRPr="00693546">
        <w:t>xplotación</w:t>
      </w:r>
      <w:bookmarkEnd w:id="59"/>
    </w:p>
    <w:p w14:paraId="4191FF19" w14:textId="414CB24F" w:rsidR="00FF69A0" w:rsidRPr="00FF69A0" w:rsidRDefault="00FF69A0" w:rsidP="00FF69A0">
      <w:pPr>
        <w:pStyle w:val="Nivel2SM"/>
        <w:keepNext/>
        <w:spacing w:after="0"/>
      </w:pPr>
      <w:r>
        <w:t xml:space="preserve">Describe la generación de la renta a partir de la contribución a la producción de los factores productivos que intervienen en la producción pública, así como los impuestos menos subvenciones sobre la producción e importaciones adeudados a las AAPP. Es decir, analiza en qué medida el </w:t>
      </w:r>
      <w:r w:rsidR="00585A99">
        <w:t>V</w:t>
      </w:r>
      <w:r>
        <w:t>A</w:t>
      </w:r>
      <w:r w:rsidR="00585A99">
        <w:t>B</w:t>
      </w:r>
      <w:r>
        <w:t xml:space="preserve"> engloba la remuneración de asalariados y otros impuestos a la producción.</w:t>
      </w:r>
    </w:p>
    <w:p w14:paraId="575A0A68" w14:textId="25E8CEB2" w:rsidR="00997809" w:rsidRDefault="00997809" w:rsidP="00997809">
      <w:pPr>
        <w:pStyle w:val="Nivel3SM"/>
      </w:pPr>
      <w:r w:rsidRPr="000D3E79">
        <w:rPr>
          <w:i/>
          <w:iCs/>
          <w:u w:val="single"/>
        </w:rPr>
        <w:t>Recursos</w:t>
      </w:r>
      <w:r>
        <w:t xml:space="preserve">: </w:t>
      </w:r>
      <w:r w:rsidR="00FF69A0">
        <w:t>Valor Añadido Bruto.</w:t>
      </w:r>
    </w:p>
    <w:p w14:paraId="344E0C00" w14:textId="6F4E4426" w:rsidR="00997809" w:rsidRDefault="00997809" w:rsidP="00FF69A0">
      <w:pPr>
        <w:pStyle w:val="Nivel3SM"/>
      </w:pPr>
      <w:r w:rsidRPr="00FF69A0">
        <w:rPr>
          <w:i/>
          <w:iCs/>
          <w:u w:val="single"/>
        </w:rPr>
        <w:t>Empleos</w:t>
      </w:r>
      <w:r>
        <w:t>:</w:t>
      </w:r>
    </w:p>
    <w:p w14:paraId="5F327CCD" w14:textId="44A783F9" w:rsidR="00FF69A0" w:rsidRDefault="00BD178B" w:rsidP="00FF69A0">
      <w:pPr>
        <w:pStyle w:val="Nivel4"/>
        <w:ind w:left="1474"/>
      </w:pPr>
      <w:r w:rsidRPr="00BD178B">
        <w:rPr>
          <w:i/>
          <w:iCs/>
        </w:rPr>
        <w:t>R</w:t>
      </w:r>
      <w:r w:rsidR="00FF69A0" w:rsidRPr="00997809">
        <w:rPr>
          <w:i/>
          <w:iCs/>
        </w:rPr>
        <w:t>emuneración de los asalariados</w:t>
      </w:r>
      <w:r>
        <w:t xml:space="preserve">: Se define como la remuneración total, en dinero o en especie, que los asalariados reciben de las AAPP en contraprestación por el trabajo realizado por estos durante el período contable. Incluye </w:t>
      </w:r>
      <w:r w:rsidRPr="00BD178B">
        <w:rPr>
          <w:i/>
          <w:iCs/>
        </w:rPr>
        <w:t>sueldos y salarios</w:t>
      </w:r>
      <w:r>
        <w:t xml:space="preserve"> y </w:t>
      </w:r>
      <w:r w:rsidRPr="00BD178B">
        <w:rPr>
          <w:i/>
          <w:iCs/>
        </w:rPr>
        <w:t>cotizaciones sociales</w:t>
      </w:r>
      <w:r>
        <w:t>.</w:t>
      </w:r>
    </w:p>
    <w:p w14:paraId="1E80FCC5" w14:textId="67B91309" w:rsidR="00FF69A0" w:rsidRPr="005A5A05" w:rsidRDefault="0001073A" w:rsidP="00FF69A0">
      <w:pPr>
        <w:pStyle w:val="Nivel4"/>
        <w:ind w:left="1474"/>
      </w:pPr>
      <w:r>
        <w:rPr>
          <w:i/>
          <w:iCs/>
        </w:rPr>
        <w:t>I</w:t>
      </w:r>
      <w:r w:rsidR="00FF69A0" w:rsidRPr="00997809">
        <w:rPr>
          <w:i/>
          <w:iCs/>
        </w:rPr>
        <w:t>mpuestos netos sobre la pro</w:t>
      </w:r>
      <w:r w:rsidR="00FF69A0" w:rsidRPr="005A5A05">
        <w:rPr>
          <w:i/>
          <w:iCs/>
        </w:rPr>
        <w:t>ducción</w:t>
      </w:r>
      <w:r w:rsidR="00421044" w:rsidRPr="005A5A05">
        <w:rPr>
          <w:i/>
          <w:iCs/>
        </w:rPr>
        <w:t xml:space="preserve"> e importaciones</w:t>
      </w:r>
      <w:r w:rsidR="00421044" w:rsidRPr="005A5A05">
        <w:t xml:space="preserve"> (</w:t>
      </w:r>
      <w:r>
        <w:t>p</w:t>
      </w:r>
      <w:r w:rsidR="00421044" w:rsidRPr="005A5A05">
        <w:t>.</w:t>
      </w:r>
      <w:r>
        <w:t>ej</w:t>
      </w:r>
      <w:r w:rsidR="00421044" w:rsidRPr="005A5A05">
        <w:t xml:space="preserve">. </w:t>
      </w:r>
      <w:r>
        <w:t xml:space="preserve">IVA, derechos sobre las importaciones, </w:t>
      </w:r>
      <w:r w:rsidR="00421044" w:rsidRPr="005A5A05">
        <w:t>IA</w:t>
      </w:r>
      <w:r w:rsidR="005A5A05" w:rsidRPr="005A5A05">
        <w:t>E</w:t>
      </w:r>
      <w:r w:rsidR="00421044" w:rsidRPr="005A5A05">
        <w:t>)</w:t>
      </w:r>
      <w:r w:rsidR="00B11E35">
        <w:rPr>
          <w:rStyle w:val="Refdenotaalpie"/>
        </w:rPr>
        <w:footnoteReference w:id="32"/>
      </w:r>
      <w:r w:rsidR="00FF69A0" w:rsidRPr="005A5A05">
        <w:t>.</w:t>
      </w:r>
    </w:p>
    <w:p w14:paraId="3E60C86C" w14:textId="348AF1A4" w:rsidR="00B15FF7" w:rsidRDefault="00997809" w:rsidP="007B4EE1">
      <w:pPr>
        <w:pStyle w:val="Nivel3SM"/>
        <w:keepNext/>
      </w:pPr>
      <w:r w:rsidRPr="00FF69A0">
        <w:rPr>
          <w:i/>
          <w:iCs/>
          <w:u w:val="single"/>
        </w:rPr>
        <w:t>Saldo</w:t>
      </w:r>
      <w:r w:rsidRPr="00997809">
        <w:t xml:space="preserve">: </w:t>
      </w:r>
      <w:r w:rsidR="00FF69A0">
        <w:t>Excedente Bruto de Explotación</w:t>
      </w:r>
      <w:r w:rsidR="00B15FF7">
        <w:t xml:space="preserve"> </w:t>
      </w:r>
      <w:r w:rsidR="00FF69A0">
        <w:t>(</w:t>
      </w:r>
      <w:r w:rsidR="00B15FF7">
        <w:t>EBE</w:t>
      </w:r>
      <w:r w:rsidR="00FF69A0">
        <w:t>)</w:t>
      </w:r>
      <w:r w:rsidR="00B15FF7">
        <w:t>.</w:t>
      </w:r>
    </w:p>
    <w:p w14:paraId="6AC4C9FE" w14:textId="6EF55CA6" w:rsidR="00B15FF7" w:rsidRPr="0017505C" w:rsidRDefault="00B15FF7" w:rsidP="00821DCE">
      <w:pPr>
        <w:pStyle w:val="Nivel4"/>
        <w:ind w:left="1474"/>
      </w:pPr>
      <w:r>
        <w:t xml:space="preserve">Por convención, ya que las AAPP no tienen ánimo de lucro, en las cuentas nacionales se considera que no existe remuneración al capital público. Por tanto, el excedente neto de explotación (ENE) es igual a cero y el excedente bruto de explotación (EBE) </w:t>
      </w:r>
      <w:r>
        <w:rPr>
          <w:u w:val="single"/>
        </w:rPr>
        <w:t>equivale sólo</w:t>
      </w:r>
      <w:r w:rsidRPr="00B921CF">
        <w:rPr>
          <w:u w:val="single"/>
        </w:rPr>
        <w:t xml:space="preserve"> al consumo de capital fijo (CKF</w:t>
      </w:r>
      <w:r>
        <w:rPr>
          <w:u w:val="single"/>
        </w:rPr>
        <w:t>, que muestra la depreciación</w:t>
      </w:r>
      <w:r w:rsidRPr="00B921CF">
        <w:rPr>
          <w:u w:val="single"/>
        </w:rPr>
        <w:t>)</w:t>
      </w:r>
      <w:r>
        <w:t>.</w:t>
      </w:r>
    </w:p>
    <w:tbl>
      <w:tblPr>
        <w:tblStyle w:val="Tablaconcuadrcula"/>
        <w:tblW w:w="0" w:type="auto"/>
        <w:jc w:val="center"/>
        <w:tblLook w:val="04A0" w:firstRow="1" w:lastRow="0" w:firstColumn="1" w:lastColumn="0" w:noHBand="0" w:noVBand="1"/>
      </w:tblPr>
      <w:tblGrid>
        <w:gridCol w:w="4322"/>
        <w:gridCol w:w="4322"/>
      </w:tblGrid>
      <w:tr w:rsidR="00324016" w:rsidRPr="0066567D" w14:paraId="7C7A76E9" w14:textId="77777777" w:rsidTr="004711E1">
        <w:trPr>
          <w:jc w:val="center"/>
        </w:trPr>
        <w:tc>
          <w:tcPr>
            <w:tcW w:w="4322" w:type="dxa"/>
            <w:tcBorders>
              <w:left w:val="nil"/>
            </w:tcBorders>
          </w:tcPr>
          <w:p w14:paraId="37942D71" w14:textId="77777777" w:rsidR="00324016" w:rsidRPr="0066567D" w:rsidRDefault="00324016" w:rsidP="00B11E35">
            <w:pPr>
              <w:keepNext/>
              <w:spacing w:after="0"/>
              <w:jc w:val="center"/>
              <w:rPr>
                <w:rFonts w:cs="Times New Roman"/>
                <w:b/>
              </w:rPr>
            </w:pPr>
            <w:proofErr w:type="spellStart"/>
            <w:r w:rsidRPr="0066567D">
              <w:rPr>
                <w:rFonts w:cs="Times New Roman"/>
                <w:b/>
              </w:rPr>
              <w:t>Empleos</w:t>
            </w:r>
            <w:proofErr w:type="spellEnd"/>
          </w:p>
        </w:tc>
        <w:tc>
          <w:tcPr>
            <w:tcW w:w="4322" w:type="dxa"/>
            <w:tcBorders>
              <w:right w:val="nil"/>
            </w:tcBorders>
          </w:tcPr>
          <w:p w14:paraId="4AA02363" w14:textId="77777777" w:rsidR="00324016" w:rsidRPr="0066567D" w:rsidRDefault="00324016" w:rsidP="00B11E35">
            <w:pPr>
              <w:keepNext/>
              <w:spacing w:after="0"/>
              <w:jc w:val="center"/>
              <w:rPr>
                <w:rFonts w:cs="Times New Roman"/>
                <w:b/>
              </w:rPr>
            </w:pPr>
            <w:proofErr w:type="spellStart"/>
            <w:r w:rsidRPr="0066567D">
              <w:rPr>
                <w:rFonts w:cs="Times New Roman"/>
                <w:b/>
              </w:rPr>
              <w:t>Recursos</w:t>
            </w:r>
            <w:proofErr w:type="spellEnd"/>
          </w:p>
        </w:tc>
      </w:tr>
      <w:tr w:rsidR="00324016" w:rsidRPr="0066567D" w14:paraId="0DC66918" w14:textId="77777777" w:rsidTr="004711E1">
        <w:trPr>
          <w:jc w:val="center"/>
        </w:trPr>
        <w:tc>
          <w:tcPr>
            <w:tcW w:w="4322" w:type="dxa"/>
            <w:tcBorders>
              <w:left w:val="nil"/>
              <w:bottom w:val="nil"/>
            </w:tcBorders>
          </w:tcPr>
          <w:p w14:paraId="0130C2B5" w14:textId="0B060C6E" w:rsidR="00324016" w:rsidRPr="0066567D" w:rsidRDefault="00324016" w:rsidP="004711E1">
            <w:pPr>
              <w:spacing w:after="0"/>
              <w:rPr>
                <w:rFonts w:cs="Times New Roman"/>
              </w:rPr>
            </w:pPr>
            <w:proofErr w:type="spellStart"/>
            <w:r w:rsidRPr="0066567D">
              <w:rPr>
                <w:rFonts w:cs="Times New Roman"/>
              </w:rPr>
              <w:t>Remuneración</w:t>
            </w:r>
            <w:proofErr w:type="spellEnd"/>
            <w:r w:rsidRPr="0066567D">
              <w:rPr>
                <w:rFonts w:cs="Times New Roman"/>
              </w:rPr>
              <w:t xml:space="preserve"> de </w:t>
            </w:r>
            <w:proofErr w:type="spellStart"/>
            <w:r w:rsidRPr="0066567D">
              <w:rPr>
                <w:rFonts w:cs="Times New Roman"/>
              </w:rPr>
              <w:t>Asalariados</w:t>
            </w:r>
            <w:proofErr w:type="spellEnd"/>
          </w:p>
        </w:tc>
        <w:tc>
          <w:tcPr>
            <w:tcW w:w="4322" w:type="dxa"/>
            <w:tcBorders>
              <w:bottom w:val="nil"/>
              <w:right w:val="nil"/>
            </w:tcBorders>
          </w:tcPr>
          <w:p w14:paraId="46AA492F" w14:textId="6DEA2905" w:rsidR="00324016" w:rsidRPr="0066567D" w:rsidRDefault="00324016" w:rsidP="004711E1">
            <w:pPr>
              <w:spacing w:after="0"/>
              <w:rPr>
                <w:rFonts w:cs="Times New Roman"/>
                <w:spacing w:val="-5"/>
                <w:lang w:val="es-ES"/>
              </w:rPr>
            </w:pPr>
            <w:r w:rsidRPr="0066567D">
              <w:rPr>
                <w:rFonts w:cs="Times New Roman"/>
                <w:lang w:val="es-ES"/>
              </w:rPr>
              <w:t>Valor Añadido Bruto</w:t>
            </w:r>
          </w:p>
        </w:tc>
      </w:tr>
      <w:tr w:rsidR="00324016" w:rsidRPr="0066567D" w14:paraId="2577F437" w14:textId="77777777" w:rsidTr="004711E1">
        <w:trPr>
          <w:jc w:val="center"/>
        </w:trPr>
        <w:tc>
          <w:tcPr>
            <w:tcW w:w="4322" w:type="dxa"/>
            <w:tcBorders>
              <w:top w:val="nil"/>
              <w:left w:val="nil"/>
            </w:tcBorders>
          </w:tcPr>
          <w:p w14:paraId="0FBA7492" w14:textId="766CBE72" w:rsidR="00324016" w:rsidRPr="006A0309" w:rsidRDefault="0066567D" w:rsidP="004711E1">
            <w:pPr>
              <w:spacing w:after="0"/>
              <w:rPr>
                <w:rFonts w:cs="Times New Roman"/>
                <w:spacing w:val="-10"/>
                <w:lang w:val="es-ES"/>
              </w:rPr>
            </w:pPr>
            <w:r w:rsidRPr="006A0309">
              <w:rPr>
                <w:spacing w:val="-10"/>
                <w:lang w:val="es-ES"/>
              </w:rPr>
              <w:t xml:space="preserve">Impuestos menos subvenciones </w:t>
            </w:r>
            <w:r w:rsidRPr="006A0309">
              <w:rPr>
                <w:spacing w:val="-10"/>
                <w:sz w:val="19"/>
                <w:szCs w:val="19"/>
                <w:lang w:val="es-ES"/>
              </w:rPr>
              <w:t>s</w:t>
            </w:r>
            <w:r w:rsidR="006A0309" w:rsidRPr="006A0309">
              <w:rPr>
                <w:spacing w:val="-10"/>
                <w:sz w:val="19"/>
                <w:szCs w:val="19"/>
                <w:lang w:val="es-ES"/>
              </w:rPr>
              <w:t>/</w:t>
            </w:r>
            <w:r w:rsidRPr="006A0309">
              <w:rPr>
                <w:spacing w:val="-10"/>
                <w:sz w:val="19"/>
                <w:szCs w:val="19"/>
                <w:lang w:val="es-ES"/>
              </w:rPr>
              <w:t xml:space="preserve"> la</w:t>
            </w:r>
            <w:r w:rsidR="006A0309" w:rsidRPr="006A0309">
              <w:rPr>
                <w:spacing w:val="-10"/>
                <w:sz w:val="19"/>
                <w:szCs w:val="19"/>
                <w:lang w:val="es-ES"/>
              </w:rPr>
              <w:t xml:space="preserve"> </w:t>
            </w:r>
            <w:r w:rsidRPr="006A0309">
              <w:rPr>
                <w:spacing w:val="-10"/>
                <w:sz w:val="19"/>
                <w:szCs w:val="19"/>
                <w:lang w:val="es-ES"/>
              </w:rPr>
              <w:t>producción</w:t>
            </w:r>
          </w:p>
        </w:tc>
        <w:tc>
          <w:tcPr>
            <w:tcW w:w="4322" w:type="dxa"/>
            <w:tcBorders>
              <w:top w:val="nil"/>
              <w:right w:val="nil"/>
            </w:tcBorders>
          </w:tcPr>
          <w:p w14:paraId="7F16B703" w14:textId="7101280C" w:rsidR="00324016" w:rsidRPr="0066567D" w:rsidRDefault="00324016" w:rsidP="004711E1">
            <w:pPr>
              <w:spacing w:after="0"/>
              <w:rPr>
                <w:rFonts w:cs="Times New Roman"/>
                <w:lang w:val="es-ES"/>
              </w:rPr>
            </w:pPr>
          </w:p>
        </w:tc>
      </w:tr>
      <w:tr w:rsidR="00324016" w:rsidRPr="0066567D" w14:paraId="072CF8CA" w14:textId="77777777" w:rsidTr="004711E1">
        <w:trPr>
          <w:jc w:val="center"/>
        </w:trPr>
        <w:tc>
          <w:tcPr>
            <w:tcW w:w="4322" w:type="dxa"/>
            <w:tcBorders>
              <w:left w:val="nil"/>
              <w:bottom w:val="nil"/>
            </w:tcBorders>
          </w:tcPr>
          <w:p w14:paraId="109A0EDE" w14:textId="632EFC46" w:rsidR="00324016" w:rsidRPr="0066567D" w:rsidRDefault="00324016" w:rsidP="00324016">
            <w:pPr>
              <w:spacing w:after="0"/>
              <w:rPr>
                <w:rFonts w:cs="Times New Roman"/>
                <w:i/>
                <w:spacing w:val="-6"/>
                <w:lang w:val="es-ES"/>
              </w:rPr>
            </w:pPr>
            <w:r w:rsidRPr="0066567D">
              <w:rPr>
                <w:rFonts w:cs="Times New Roman"/>
                <w:i/>
                <w:spacing w:val="-6"/>
                <w:lang w:val="es-ES"/>
              </w:rPr>
              <w:t xml:space="preserve">Saldo: Excedente Bruto de Explotación (EBE) </w:t>
            </w:r>
            <w:r w:rsidRPr="0066567D">
              <w:rPr>
                <w:rFonts w:ascii="Times New Roman" w:hAnsi="Times New Roman" w:cs="Times New Roman"/>
                <w:i/>
                <w:spacing w:val="-6"/>
                <w:lang w:val="es-ES"/>
              </w:rPr>
              <w:t xml:space="preserve">= </w:t>
            </w:r>
            <w:r w:rsidRPr="0066567D">
              <w:rPr>
                <w:rFonts w:cs="Times New Roman"/>
                <w:i/>
                <w:spacing w:val="-6"/>
                <w:lang w:val="es-ES"/>
              </w:rPr>
              <w:t>depreciación</w:t>
            </w:r>
            <w:r w:rsidR="00E34C88" w:rsidRPr="0066567D">
              <w:rPr>
                <w:rFonts w:cs="Times New Roman"/>
                <w:i/>
                <w:spacing w:val="-6"/>
                <w:lang w:val="es-ES"/>
              </w:rPr>
              <w:t xml:space="preserve"> </w:t>
            </w:r>
            <w:r w:rsidR="00776ACB" w:rsidRPr="0066567D">
              <w:rPr>
                <w:rFonts w:cs="Times New Roman"/>
                <w:i/>
                <w:spacing w:val="-6"/>
                <w:lang w:val="es-ES"/>
              </w:rPr>
              <w:t xml:space="preserve">(CKF) </w:t>
            </w:r>
            <w:r w:rsidR="00E34C88" w:rsidRPr="0066567D">
              <w:rPr>
                <w:rFonts w:cs="Times New Roman"/>
                <w:i/>
                <w:spacing w:val="-6"/>
                <w:lang w:val="es-ES"/>
              </w:rPr>
              <w:t>(ENE = 0)</w:t>
            </w:r>
          </w:p>
        </w:tc>
        <w:tc>
          <w:tcPr>
            <w:tcW w:w="4322" w:type="dxa"/>
            <w:tcBorders>
              <w:bottom w:val="nil"/>
              <w:right w:val="nil"/>
            </w:tcBorders>
          </w:tcPr>
          <w:p w14:paraId="01391D7D" w14:textId="77777777" w:rsidR="00324016" w:rsidRPr="0066567D" w:rsidRDefault="00324016" w:rsidP="004711E1">
            <w:pPr>
              <w:spacing w:after="0"/>
              <w:rPr>
                <w:rFonts w:cs="Times New Roman"/>
                <w:lang w:val="es-ES"/>
              </w:rPr>
            </w:pPr>
          </w:p>
        </w:tc>
      </w:tr>
    </w:tbl>
    <w:p w14:paraId="1BB648C6" w14:textId="45461128" w:rsidR="00B15FF7" w:rsidRPr="0017505C" w:rsidRDefault="00B15FF7" w:rsidP="00EF31CC">
      <w:pPr>
        <w:pStyle w:val="Ttulo6"/>
        <w:numPr>
          <w:ilvl w:val="1"/>
          <w:numId w:val="20"/>
        </w:numPr>
        <w:ind w:left="0" w:hanging="284"/>
      </w:pPr>
      <w:bookmarkStart w:id="60" w:name="_Toc151113590"/>
      <w:r w:rsidRPr="0017505C">
        <w:t xml:space="preserve">Cuenta de </w:t>
      </w:r>
      <w:r w:rsidR="000D3E79">
        <w:t>a</w:t>
      </w:r>
      <w:r w:rsidRPr="0017505C">
        <w:t xml:space="preserve">signación de </w:t>
      </w:r>
      <w:r w:rsidR="000D3E79">
        <w:t>r</w:t>
      </w:r>
      <w:r w:rsidRPr="0017505C">
        <w:t xml:space="preserve">enta </w:t>
      </w:r>
      <w:r w:rsidR="000D3E79">
        <w:t>p</w:t>
      </w:r>
      <w:r w:rsidRPr="0017505C">
        <w:t>rimaria</w:t>
      </w:r>
      <w:bookmarkEnd w:id="60"/>
    </w:p>
    <w:p w14:paraId="52AA7DE4" w14:textId="78E2B01F" w:rsidR="00B15FF7" w:rsidRDefault="00B15FF7" w:rsidP="0013436E">
      <w:pPr>
        <w:pStyle w:val="Nivel2SM"/>
        <w:keepNext/>
        <w:spacing w:after="0"/>
      </w:pPr>
      <w:r>
        <w:t xml:space="preserve">Aquí se tienen en cuenta todos los demás ingresos y pagos del sector público, </w:t>
      </w:r>
      <w:r w:rsidRPr="00F760BD">
        <w:rPr>
          <w:u w:val="single"/>
        </w:rPr>
        <w:t>excluyendo los relacionados con su función de redistribución</w:t>
      </w:r>
      <w:r>
        <w:t>.</w:t>
      </w:r>
    </w:p>
    <w:p w14:paraId="4AA6C0E5" w14:textId="77777777" w:rsidR="0013436E" w:rsidRDefault="0013436E" w:rsidP="0013436E">
      <w:pPr>
        <w:pStyle w:val="Nivel3SM"/>
      </w:pPr>
      <w:r>
        <w:t>La cuenta de explotación se centra en la condición de productores cuyas actividades generan unas remuneraciones.</w:t>
      </w:r>
    </w:p>
    <w:p w14:paraId="7D44B7D2" w14:textId="68693730" w:rsidR="0013436E" w:rsidRDefault="0013436E" w:rsidP="0013436E">
      <w:pPr>
        <w:pStyle w:val="Nivel3SM"/>
      </w:pPr>
      <w:r>
        <w:t>En contraposición, la cuenta de asignación de la renta primaria se centra en la concepción de unidades institucionales como perceptores de ingresos primarios (concepto más amplio de remuneraciones y no necesariamente ligados con ingresos de la producción).</w:t>
      </w:r>
    </w:p>
    <w:tbl>
      <w:tblPr>
        <w:tblStyle w:val="Tablaconcuadrcula"/>
        <w:tblW w:w="0" w:type="auto"/>
        <w:jc w:val="center"/>
        <w:tblLook w:val="04A0" w:firstRow="1" w:lastRow="0" w:firstColumn="1" w:lastColumn="0" w:noHBand="0" w:noVBand="1"/>
      </w:tblPr>
      <w:tblGrid>
        <w:gridCol w:w="4322"/>
        <w:gridCol w:w="4322"/>
      </w:tblGrid>
      <w:tr w:rsidR="000F3478" w:rsidRPr="0066567D" w14:paraId="51CD4312" w14:textId="77777777" w:rsidTr="00AB0E6F">
        <w:trPr>
          <w:jc w:val="center"/>
        </w:trPr>
        <w:tc>
          <w:tcPr>
            <w:tcW w:w="4322" w:type="dxa"/>
            <w:tcBorders>
              <w:left w:val="nil"/>
            </w:tcBorders>
          </w:tcPr>
          <w:p w14:paraId="52ED2699" w14:textId="77777777" w:rsidR="000F3478" w:rsidRPr="0066567D" w:rsidRDefault="000F3478" w:rsidP="00B11E35">
            <w:pPr>
              <w:keepNext/>
              <w:spacing w:after="0"/>
              <w:jc w:val="center"/>
              <w:rPr>
                <w:rFonts w:cs="Times New Roman"/>
                <w:b/>
              </w:rPr>
            </w:pPr>
            <w:proofErr w:type="spellStart"/>
            <w:r w:rsidRPr="0066567D">
              <w:rPr>
                <w:rFonts w:cs="Times New Roman"/>
                <w:b/>
              </w:rPr>
              <w:lastRenderedPageBreak/>
              <w:t>Empleos</w:t>
            </w:r>
            <w:proofErr w:type="spellEnd"/>
          </w:p>
        </w:tc>
        <w:tc>
          <w:tcPr>
            <w:tcW w:w="4322" w:type="dxa"/>
            <w:tcBorders>
              <w:right w:val="nil"/>
            </w:tcBorders>
          </w:tcPr>
          <w:p w14:paraId="6EEE94BF" w14:textId="77777777" w:rsidR="000F3478" w:rsidRPr="0066567D" w:rsidRDefault="000F3478" w:rsidP="00B11E35">
            <w:pPr>
              <w:keepNext/>
              <w:spacing w:after="0"/>
              <w:jc w:val="center"/>
              <w:rPr>
                <w:rFonts w:cs="Times New Roman"/>
                <w:b/>
              </w:rPr>
            </w:pPr>
            <w:proofErr w:type="spellStart"/>
            <w:r w:rsidRPr="0066567D">
              <w:rPr>
                <w:rFonts w:cs="Times New Roman"/>
                <w:b/>
              </w:rPr>
              <w:t>Recursos</w:t>
            </w:r>
            <w:proofErr w:type="spellEnd"/>
          </w:p>
        </w:tc>
      </w:tr>
      <w:tr w:rsidR="000F3478" w:rsidRPr="0066567D" w14:paraId="65599770" w14:textId="77777777" w:rsidTr="00AB0E6F">
        <w:trPr>
          <w:jc w:val="center"/>
        </w:trPr>
        <w:tc>
          <w:tcPr>
            <w:tcW w:w="4322" w:type="dxa"/>
            <w:tcBorders>
              <w:left w:val="nil"/>
              <w:bottom w:val="nil"/>
            </w:tcBorders>
          </w:tcPr>
          <w:p w14:paraId="4F7A71D2" w14:textId="77777777" w:rsidR="000F3478" w:rsidRPr="00770C03" w:rsidRDefault="000F3478" w:rsidP="008539A1">
            <w:pPr>
              <w:keepNext/>
              <w:spacing w:after="0"/>
              <w:rPr>
                <w:rFonts w:cs="Times New Roman"/>
                <w:lang w:val="es-ES"/>
              </w:rPr>
            </w:pPr>
            <w:r w:rsidRPr="00770C03">
              <w:rPr>
                <w:rFonts w:cs="Times New Roman"/>
                <w:lang w:val="es-ES"/>
              </w:rPr>
              <w:t>Subvenciones</w:t>
            </w:r>
          </w:p>
          <w:p w14:paraId="4A92E1BB" w14:textId="5A8EF3CB" w:rsidR="000F3478" w:rsidRPr="000F3478" w:rsidRDefault="000F3478" w:rsidP="008539A1">
            <w:pPr>
              <w:keepNext/>
              <w:spacing w:after="0"/>
              <w:rPr>
                <w:rFonts w:cs="Times New Roman"/>
                <w:lang w:val="es-ES"/>
              </w:rPr>
            </w:pPr>
            <w:r>
              <w:rPr>
                <w:rFonts w:cs="Times New Roman"/>
                <w:lang w:val="es-ES"/>
              </w:rPr>
              <w:t>Rentas de la propiedad (pagadas)</w:t>
            </w:r>
          </w:p>
        </w:tc>
        <w:tc>
          <w:tcPr>
            <w:tcW w:w="4322" w:type="dxa"/>
            <w:tcBorders>
              <w:bottom w:val="nil"/>
              <w:right w:val="nil"/>
            </w:tcBorders>
          </w:tcPr>
          <w:p w14:paraId="7657A6E1" w14:textId="77777777" w:rsidR="000F3478" w:rsidRDefault="000F3478" w:rsidP="00AB0E6F">
            <w:pPr>
              <w:spacing w:after="0"/>
              <w:rPr>
                <w:rFonts w:cs="Times New Roman"/>
                <w:lang w:val="es-ES"/>
              </w:rPr>
            </w:pPr>
            <w:r>
              <w:rPr>
                <w:rFonts w:cs="Times New Roman"/>
                <w:lang w:val="es-ES"/>
              </w:rPr>
              <w:t>Excedente Bruto de Explotación</w:t>
            </w:r>
          </w:p>
          <w:p w14:paraId="57E6B999" w14:textId="77777777" w:rsidR="000F3478" w:rsidRDefault="000F3478" w:rsidP="00AB0E6F">
            <w:pPr>
              <w:spacing w:after="0"/>
              <w:rPr>
                <w:rFonts w:cs="Times New Roman"/>
                <w:spacing w:val="-5"/>
                <w:lang w:val="es-ES"/>
              </w:rPr>
            </w:pPr>
            <w:r>
              <w:rPr>
                <w:rFonts w:cs="Times New Roman"/>
                <w:spacing w:val="-5"/>
                <w:lang w:val="es-ES"/>
              </w:rPr>
              <w:t>Impuestos sobre la producción</w:t>
            </w:r>
          </w:p>
          <w:p w14:paraId="236F07B0" w14:textId="2FBB9F17" w:rsidR="005A5A05" w:rsidRDefault="005A5A05" w:rsidP="005A5A05">
            <w:pPr>
              <w:spacing w:after="0"/>
              <w:rPr>
                <w:rFonts w:cs="Times New Roman"/>
                <w:spacing w:val="-5"/>
                <w:lang w:val="es-ES"/>
              </w:rPr>
            </w:pPr>
            <w:r>
              <w:rPr>
                <w:rFonts w:cs="Times New Roman"/>
                <w:spacing w:val="-5"/>
                <w:lang w:val="es-ES"/>
              </w:rPr>
              <w:t>Remuneración de asalariados</w:t>
            </w:r>
          </w:p>
          <w:p w14:paraId="79C341DC" w14:textId="77777777" w:rsidR="000F3478" w:rsidRDefault="000F3478" w:rsidP="00AB0E6F">
            <w:pPr>
              <w:spacing w:after="0"/>
              <w:rPr>
                <w:rFonts w:cs="Times New Roman"/>
                <w:spacing w:val="-5"/>
                <w:lang w:val="es-ES"/>
              </w:rPr>
            </w:pPr>
            <w:r>
              <w:rPr>
                <w:rFonts w:cs="Times New Roman"/>
                <w:spacing w:val="-5"/>
                <w:lang w:val="es-ES"/>
              </w:rPr>
              <w:t>Impuestos sobre productos</w:t>
            </w:r>
          </w:p>
          <w:p w14:paraId="7FEA94C0" w14:textId="16B6D0B9" w:rsidR="000F3478" w:rsidRPr="0066567D" w:rsidRDefault="000F3478" w:rsidP="00AB0E6F">
            <w:pPr>
              <w:spacing w:after="0"/>
              <w:rPr>
                <w:rFonts w:cs="Times New Roman"/>
                <w:spacing w:val="-5"/>
                <w:lang w:val="es-ES"/>
              </w:rPr>
            </w:pPr>
            <w:r>
              <w:rPr>
                <w:rFonts w:cs="Times New Roman"/>
                <w:lang w:val="es-ES"/>
              </w:rPr>
              <w:t>Rentas de la propiedad (recibidas)</w:t>
            </w:r>
          </w:p>
        </w:tc>
      </w:tr>
      <w:tr w:rsidR="000F3478" w:rsidRPr="0066567D" w14:paraId="40691FC8" w14:textId="77777777" w:rsidTr="00AB0E6F">
        <w:trPr>
          <w:jc w:val="center"/>
        </w:trPr>
        <w:tc>
          <w:tcPr>
            <w:tcW w:w="4322" w:type="dxa"/>
            <w:tcBorders>
              <w:left w:val="nil"/>
              <w:bottom w:val="nil"/>
            </w:tcBorders>
          </w:tcPr>
          <w:p w14:paraId="29D2D986" w14:textId="22E2D84C" w:rsidR="000F3478" w:rsidRPr="0066567D" w:rsidRDefault="000F3478" w:rsidP="00AB0E6F">
            <w:pPr>
              <w:spacing w:after="0"/>
              <w:rPr>
                <w:rFonts w:cs="Times New Roman"/>
                <w:i/>
                <w:spacing w:val="-6"/>
                <w:lang w:val="es-ES"/>
              </w:rPr>
            </w:pPr>
            <w:r>
              <w:rPr>
                <w:rFonts w:cs="Times New Roman"/>
                <w:i/>
                <w:spacing w:val="-6"/>
                <w:lang w:val="es-ES"/>
              </w:rPr>
              <w:t>Saldo Bruto de Rentas Primarias</w:t>
            </w:r>
          </w:p>
        </w:tc>
        <w:tc>
          <w:tcPr>
            <w:tcW w:w="4322" w:type="dxa"/>
            <w:tcBorders>
              <w:bottom w:val="nil"/>
              <w:right w:val="nil"/>
            </w:tcBorders>
          </w:tcPr>
          <w:p w14:paraId="18EFBE6D" w14:textId="77777777" w:rsidR="000F3478" w:rsidRPr="0066567D" w:rsidRDefault="000F3478" w:rsidP="00AB0E6F">
            <w:pPr>
              <w:spacing w:after="0"/>
              <w:rPr>
                <w:rFonts w:cs="Times New Roman"/>
                <w:lang w:val="es-ES"/>
              </w:rPr>
            </w:pPr>
          </w:p>
        </w:tc>
      </w:tr>
    </w:tbl>
    <w:p w14:paraId="4DD57659" w14:textId="739F9DD7" w:rsidR="00B15FF7" w:rsidRDefault="00537432" w:rsidP="00821DCE">
      <w:pPr>
        <w:pStyle w:val="Nivel3SM"/>
        <w:keepNext/>
      </w:pPr>
      <w:r>
        <w:rPr>
          <w:i/>
          <w:iCs/>
          <w:u w:val="single"/>
        </w:rPr>
        <w:t>Recursos</w:t>
      </w:r>
      <w:r w:rsidR="00B15FF7">
        <w:t>:</w:t>
      </w:r>
    </w:p>
    <w:p w14:paraId="3064D375" w14:textId="77777777" w:rsidR="005A5A05" w:rsidRDefault="005A5A05" w:rsidP="005A5A05">
      <w:pPr>
        <w:pStyle w:val="Nivel4"/>
        <w:ind w:left="1474"/>
      </w:pPr>
      <w:r>
        <w:t>Se parte del VAB desagregado en:</w:t>
      </w:r>
    </w:p>
    <w:p w14:paraId="6D1B4352" w14:textId="67D3645C" w:rsidR="005A5A05" w:rsidRDefault="005A5A05" w:rsidP="005A5A05">
      <w:pPr>
        <w:pStyle w:val="Nivel5"/>
        <w:ind w:left="1871"/>
      </w:pPr>
      <w:r>
        <w:t>Excedente Bruto de Explotación.</w:t>
      </w:r>
    </w:p>
    <w:p w14:paraId="14D2D364" w14:textId="41CF835F" w:rsidR="005A5A05" w:rsidRDefault="005A5A05" w:rsidP="005A5A05">
      <w:pPr>
        <w:pStyle w:val="Nivel5"/>
        <w:ind w:left="1871"/>
      </w:pPr>
      <w:r>
        <w:t>Remuneración de asalariados.</w:t>
      </w:r>
    </w:p>
    <w:p w14:paraId="0BA4D881" w14:textId="1A942D00" w:rsidR="005A5A05" w:rsidRDefault="005A5A05" w:rsidP="005A5A05">
      <w:pPr>
        <w:pStyle w:val="Nivel5"/>
        <w:ind w:left="1871"/>
      </w:pPr>
      <w:r>
        <w:t>Impuestos netos sobre la producción.</w:t>
      </w:r>
    </w:p>
    <w:p w14:paraId="17DB63B9" w14:textId="4EAB8FC7" w:rsidR="00B15FF7" w:rsidRDefault="00B15FF7" w:rsidP="00821DCE">
      <w:pPr>
        <w:pStyle w:val="Nivel4"/>
        <w:ind w:left="1474"/>
      </w:pPr>
      <w:r>
        <w:t>Ingresos por impuestos sobre productos (</w:t>
      </w:r>
      <w:r w:rsidR="00F24E10">
        <w:t>p.ej.</w:t>
      </w:r>
      <w:r>
        <w:t xml:space="preserve"> IVA).</w:t>
      </w:r>
    </w:p>
    <w:p w14:paraId="568D81CE" w14:textId="77777777" w:rsidR="00B15FF7" w:rsidRDefault="00B15FF7" w:rsidP="00821DCE">
      <w:pPr>
        <w:pStyle w:val="Nivel4"/>
        <w:ind w:left="1474"/>
      </w:pPr>
      <w:r>
        <w:t xml:space="preserve">Rentas de la propiedad recibidas. Destacan los </w:t>
      </w:r>
      <w:r w:rsidRPr="0003695A">
        <w:rPr>
          <w:highlight w:val="yellow"/>
        </w:rPr>
        <w:t>intereses y las rentas distribuidas de las sociedades</w:t>
      </w:r>
      <w:r>
        <w:t>.</w:t>
      </w:r>
    </w:p>
    <w:p w14:paraId="0DB98E43" w14:textId="797C36AB" w:rsidR="00B15FF7" w:rsidRDefault="00537432" w:rsidP="00821DCE">
      <w:pPr>
        <w:pStyle w:val="Nivel3SM"/>
        <w:keepNext/>
      </w:pPr>
      <w:r>
        <w:rPr>
          <w:i/>
          <w:iCs/>
          <w:u w:val="single"/>
        </w:rPr>
        <w:t>Empleos</w:t>
      </w:r>
      <w:r w:rsidR="00B15FF7">
        <w:t>:</w:t>
      </w:r>
    </w:p>
    <w:p w14:paraId="22934C53" w14:textId="5E118BA8" w:rsidR="00B15FF7" w:rsidRDefault="00537432" w:rsidP="00821DCE">
      <w:pPr>
        <w:pStyle w:val="Nivel4"/>
        <w:ind w:left="1474"/>
      </w:pPr>
      <w:r>
        <w:t>S</w:t>
      </w:r>
      <w:r w:rsidR="00B15FF7">
        <w:t>ubvenciones.</w:t>
      </w:r>
    </w:p>
    <w:p w14:paraId="07E3D789" w14:textId="64E017FD" w:rsidR="00B15FF7" w:rsidRDefault="00B15FF7" w:rsidP="00821DCE">
      <w:pPr>
        <w:pStyle w:val="Nivel4"/>
        <w:keepNext/>
        <w:ind w:left="1474"/>
      </w:pPr>
      <w:r>
        <w:t>Las rentas de la propiedad pagadas</w:t>
      </w:r>
      <w:r w:rsidR="00537432">
        <w:t xml:space="preserve"> al resto del mundo:</w:t>
      </w:r>
    </w:p>
    <w:p w14:paraId="4AD04BE8" w14:textId="1B5F7200" w:rsidR="00B15FF7" w:rsidRDefault="00B15FF7" w:rsidP="00821DCE">
      <w:pPr>
        <w:pStyle w:val="Nivel5"/>
        <w:ind w:left="1871"/>
      </w:pPr>
      <w:r>
        <w:t>Intereses</w:t>
      </w:r>
      <w:r w:rsidR="00537432">
        <w:t xml:space="preserve"> de la deuda</w:t>
      </w:r>
      <w:r>
        <w:t>, rentas de la tierra.</w:t>
      </w:r>
    </w:p>
    <w:p w14:paraId="0520B26E" w14:textId="61E4AC95" w:rsidR="00B15FF7" w:rsidRPr="00F84C07" w:rsidRDefault="00F760BD" w:rsidP="00821DCE">
      <w:pPr>
        <w:pStyle w:val="Nivel3SM"/>
      </w:pPr>
      <w:r w:rsidRPr="00537432">
        <w:rPr>
          <w:i/>
          <w:iCs/>
          <w:u w:val="single"/>
        </w:rPr>
        <w:t>Saldo</w:t>
      </w:r>
      <w:r>
        <w:t xml:space="preserve">: Saldo Bruto de Rentas </w:t>
      </w:r>
      <w:r w:rsidR="00537432">
        <w:t>P</w:t>
      </w:r>
      <w:r>
        <w:t>rimarias</w:t>
      </w:r>
      <w:r w:rsidR="00537432">
        <w:t>.</w:t>
      </w:r>
    </w:p>
    <w:p w14:paraId="43C9F836" w14:textId="3FC06A15" w:rsidR="00B15FF7" w:rsidRPr="0017505C" w:rsidRDefault="00B15FF7" w:rsidP="00EF31CC">
      <w:pPr>
        <w:pStyle w:val="Ttulo6"/>
        <w:numPr>
          <w:ilvl w:val="1"/>
          <w:numId w:val="20"/>
        </w:numPr>
        <w:ind w:left="0" w:hanging="284"/>
      </w:pPr>
      <w:bookmarkStart w:id="61" w:name="_Toc151113591"/>
      <w:r w:rsidRPr="0017505C">
        <w:t>Cuenta de distribución secundaria de la renta</w:t>
      </w:r>
      <w:bookmarkEnd w:id="61"/>
    </w:p>
    <w:p w14:paraId="3644003E" w14:textId="77777777" w:rsidR="00B15FF7" w:rsidRDefault="00B15FF7" w:rsidP="00821DCE">
      <w:pPr>
        <w:pStyle w:val="Nivel2SM"/>
      </w:pPr>
      <w:r>
        <w:t xml:space="preserve">Recoge la </w:t>
      </w:r>
      <w:r w:rsidRPr="0064400D">
        <w:rPr>
          <w:u w:val="single"/>
        </w:rPr>
        <w:t>actividad redistributiva</w:t>
      </w:r>
      <w:r>
        <w:t xml:space="preserve"> del sector público a través de transferencias en efectivo, imposición directa y cotizaciones sociales.</w:t>
      </w:r>
    </w:p>
    <w:tbl>
      <w:tblPr>
        <w:tblStyle w:val="Tablaconcuadrcula"/>
        <w:tblW w:w="0" w:type="auto"/>
        <w:jc w:val="center"/>
        <w:tblLook w:val="04A0" w:firstRow="1" w:lastRow="0" w:firstColumn="1" w:lastColumn="0" w:noHBand="0" w:noVBand="1"/>
      </w:tblPr>
      <w:tblGrid>
        <w:gridCol w:w="4322"/>
        <w:gridCol w:w="4322"/>
      </w:tblGrid>
      <w:tr w:rsidR="00C82831" w:rsidRPr="0066567D" w14:paraId="19098B0F" w14:textId="77777777" w:rsidTr="00AB0E6F">
        <w:trPr>
          <w:jc w:val="center"/>
        </w:trPr>
        <w:tc>
          <w:tcPr>
            <w:tcW w:w="4322" w:type="dxa"/>
            <w:tcBorders>
              <w:left w:val="nil"/>
            </w:tcBorders>
          </w:tcPr>
          <w:p w14:paraId="37C3333B" w14:textId="77777777" w:rsidR="00C82831" w:rsidRPr="0066567D" w:rsidRDefault="00C82831" w:rsidP="00FB0472">
            <w:pPr>
              <w:keepNext/>
              <w:spacing w:after="0"/>
              <w:jc w:val="center"/>
              <w:rPr>
                <w:rFonts w:cs="Times New Roman"/>
                <w:b/>
              </w:rPr>
            </w:pPr>
            <w:proofErr w:type="spellStart"/>
            <w:r w:rsidRPr="0066567D">
              <w:rPr>
                <w:rFonts w:cs="Times New Roman"/>
                <w:b/>
              </w:rPr>
              <w:t>Empleos</w:t>
            </w:r>
            <w:proofErr w:type="spellEnd"/>
          </w:p>
        </w:tc>
        <w:tc>
          <w:tcPr>
            <w:tcW w:w="4322" w:type="dxa"/>
            <w:tcBorders>
              <w:right w:val="nil"/>
            </w:tcBorders>
          </w:tcPr>
          <w:p w14:paraId="56912371" w14:textId="77777777" w:rsidR="00C82831" w:rsidRPr="0066567D" w:rsidRDefault="00C82831" w:rsidP="00FB0472">
            <w:pPr>
              <w:keepNext/>
              <w:spacing w:after="0"/>
              <w:jc w:val="center"/>
              <w:rPr>
                <w:rFonts w:cs="Times New Roman"/>
                <w:b/>
              </w:rPr>
            </w:pPr>
            <w:proofErr w:type="spellStart"/>
            <w:r w:rsidRPr="0066567D">
              <w:rPr>
                <w:rFonts w:cs="Times New Roman"/>
                <w:b/>
              </w:rPr>
              <w:t>Recursos</w:t>
            </w:r>
            <w:proofErr w:type="spellEnd"/>
          </w:p>
        </w:tc>
      </w:tr>
      <w:tr w:rsidR="00C82831" w:rsidRPr="0066567D" w14:paraId="7C4EACCC" w14:textId="77777777" w:rsidTr="00AB0E6F">
        <w:trPr>
          <w:jc w:val="center"/>
        </w:trPr>
        <w:tc>
          <w:tcPr>
            <w:tcW w:w="4322" w:type="dxa"/>
            <w:tcBorders>
              <w:left w:val="nil"/>
              <w:bottom w:val="nil"/>
            </w:tcBorders>
          </w:tcPr>
          <w:p w14:paraId="1E286C3C" w14:textId="015878DF" w:rsidR="00C82831" w:rsidRPr="00C82831" w:rsidRDefault="00C82831" w:rsidP="00FB0472">
            <w:pPr>
              <w:keepNext/>
              <w:spacing w:after="0"/>
              <w:rPr>
                <w:rFonts w:cs="Times New Roman"/>
                <w:lang w:val="es-ES"/>
              </w:rPr>
            </w:pPr>
            <w:r>
              <w:rPr>
                <w:rFonts w:cs="Times New Roman"/>
                <w:lang w:val="es-ES"/>
              </w:rPr>
              <w:t xml:space="preserve">Prestaciones sociales </w:t>
            </w:r>
            <w:r w:rsidRPr="00C82831">
              <w:rPr>
                <w:rFonts w:cs="Times New Roman"/>
                <w:sz w:val="19"/>
                <w:szCs w:val="19"/>
                <w:lang w:val="es-ES"/>
              </w:rPr>
              <w:t>(excluidas “en especie”)</w:t>
            </w:r>
          </w:p>
          <w:p w14:paraId="0FCCEC9A" w14:textId="3B7BC756" w:rsidR="00C82831" w:rsidRPr="000F3478" w:rsidRDefault="00C82831" w:rsidP="00916A2D">
            <w:pPr>
              <w:keepNext/>
              <w:spacing w:after="0"/>
              <w:rPr>
                <w:rFonts w:cs="Times New Roman"/>
                <w:lang w:val="es-ES"/>
              </w:rPr>
            </w:pPr>
            <w:r>
              <w:rPr>
                <w:rFonts w:cs="Times New Roman"/>
                <w:lang w:val="es-ES"/>
              </w:rPr>
              <w:t>Otras transferencias corrientes (pagadas)</w:t>
            </w:r>
          </w:p>
        </w:tc>
        <w:tc>
          <w:tcPr>
            <w:tcW w:w="4322" w:type="dxa"/>
            <w:tcBorders>
              <w:bottom w:val="nil"/>
              <w:right w:val="nil"/>
            </w:tcBorders>
          </w:tcPr>
          <w:p w14:paraId="439D8944" w14:textId="69FEB35C" w:rsidR="00C82831" w:rsidRDefault="00C82831" w:rsidP="00AB0E6F">
            <w:pPr>
              <w:spacing w:after="0"/>
              <w:rPr>
                <w:rFonts w:cs="Times New Roman"/>
                <w:lang w:val="es-ES"/>
              </w:rPr>
            </w:pPr>
            <w:r>
              <w:rPr>
                <w:rFonts w:cs="Times New Roman"/>
                <w:lang w:val="es-ES"/>
              </w:rPr>
              <w:t>Saldo Bruto de Rentas Primarias</w:t>
            </w:r>
          </w:p>
          <w:p w14:paraId="0DA7CDD2" w14:textId="7DE25643" w:rsidR="00C82831" w:rsidRDefault="00C82831" w:rsidP="00AB0E6F">
            <w:pPr>
              <w:spacing w:after="0"/>
              <w:rPr>
                <w:rFonts w:cs="Times New Roman"/>
                <w:spacing w:val="-5"/>
                <w:lang w:val="es-ES"/>
              </w:rPr>
            </w:pPr>
            <w:r>
              <w:rPr>
                <w:rFonts w:cs="Times New Roman"/>
                <w:spacing w:val="-5"/>
                <w:lang w:val="es-ES"/>
              </w:rPr>
              <w:t>Impuestos sobre la renta, patrimonio…</w:t>
            </w:r>
          </w:p>
          <w:p w14:paraId="798FBC24" w14:textId="54ADC0E7" w:rsidR="00C82831" w:rsidRDefault="00C82831" w:rsidP="00AB0E6F">
            <w:pPr>
              <w:spacing w:after="0"/>
              <w:rPr>
                <w:rFonts w:cs="Times New Roman"/>
                <w:spacing w:val="-5"/>
                <w:lang w:val="es-ES"/>
              </w:rPr>
            </w:pPr>
            <w:r>
              <w:rPr>
                <w:rFonts w:cs="Times New Roman"/>
                <w:spacing w:val="-5"/>
                <w:lang w:val="es-ES"/>
              </w:rPr>
              <w:t>Cotizaciones sociales</w:t>
            </w:r>
          </w:p>
          <w:p w14:paraId="1A319C87" w14:textId="641D6DEE" w:rsidR="00C82831" w:rsidRPr="0066567D" w:rsidRDefault="00C82831" w:rsidP="00AB0E6F">
            <w:pPr>
              <w:spacing w:after="0"/>
              <w:rPr>
                <w:rFonts w:cs="Times New Roman"/>
                <w:spacing w:val="-5"/>
                <w:lang w:val="es-ES"/>
              </w:rPr>
            </w:pPr>
            <w:r>
              <w:rPr>
                <w:rFonts w:cs="Times New Roman"/>
                <w:lang w:val="es-ES"/>
              </w:rPr>
              <w:t>Otras transferencias corrientes (recibidas)</w:t>
            </w:r>
          </w:p>
        </w:tc>
      </w:tr>
      <w:tr w:rsidR="00C82831" w:rsidRPr="0066567D" w14:paraId="68CF597D" w14:textId="77777777" w:rsidTr="00AB0E6F">
        <w:trPr>
          <w:jc w:val="center"/>
        </w:trPr>
        <w:tc>
          <w:tcPr>
            <w:tcW w:w="4322" w:type="dxa"/>
            <w:tcBorders>
              <w:left w:val="nil"/>
              <w:bottom w:val="nil"/>
            </w:tcBorders>
          </w:tcPr>
          <w:p w14:paraId="7148126E" w14:textId="5F3D4BB0" w:rsidR="00C82831" w:rsidRPr="0066567D" w:rsidRDefault="00C82831" w:rsidP="00AB0E6F">
            <w:pPr>
              <w:spacing w:after="0"/>
              <w:rPr>
                <w:rFonts w:cs="Times New Roman"/>
                <w:i/>
                <w:spacing w:val="-6"/>
                <w:lang w:val="es-ES"/>
              </w:rPr>
            </w:pPr>
            <w:r>
              <w:rPr>
                <w:rFonts w:cs="Times New Roman"/>
                <w:i/>
                <w:spacing w:val="-6"/>
                <w:lang w:val="es-ES"/>
              </w:rPr>
              <w:t>Renta Disponible Bruta</w:t>
            </w:r>
          </w:p>
        </w:tc>
        <w:tc>
          <w:tcPr>
            <w:tcW w:w="4322" w:type="dxa"/>
            <w:tcBorders>
              <w:bottom w:val="nil"/>
              <w:right w:val="nil"/>
            </w:tcBorders>
          </w:tcPr>
          <w:p w14:paraId="74F7FDC5" w14:textId="77777777" w:rsidR="00C82831" w:rsidRPr="0066567D" w:rsidRDefault="00C82831" w:rsidP="00AB0E6F">
            <w:pPr>
              <w:spacing w:after="0"/>
              <w:rPr>
                <w:rFonts w:cs="Times New Roman"/>
                <w:lang w:val="es-ES"/>
              </w:rPr>
            </w:pPr>
          </w:p>
        </w:tc>
      </w:tr>
    </w:tbl>
    <w:p w14:paraId="7F869FD4" w14:textId="77777777" w:rsidR="00B15FF7" w:rsidRDefault="00B15FF7" w:rsidP="00821DCE">
      <w:pPr>
        <w:pStyle w:val="Nivel3SM"/>
        <w:keepNext/>
      </w:pPr>
      <w:r>
        <w:t>Recursos:</w:t>
      </w:r>
    </w:p>
    <w:p w14:paraId="6AAE7CD4" w14:textId="77777777" w:rsidR="00B15FF7" w:rsidRDefault="00B15FF7" w:rsidP="00821DCE">
      <w:pPr>
        <w:pStyle w:val="Nivel4"/>
        <w:ind w:left="1474"/>
      </w:pPr>
      <w:r>
        <w:t>El saldo bruto de rentas primarias (saldo de la cuenta anterior).</w:t>
      </w:r>
    </w:p>
    <w:p w14:paraId="42F7B1C0" w14:textId="68CBA58C" w:rsidR="00B15FF7" w:rsidRDefault="00B15FF7" w:rsidP="00821DCE">
      <w:pPr>
        <w:pStyle w:val="Nivel4"/>
        <w:ind w:left="1474"/>
      </w:pPr>
      <w:r>
        <w:t>Los impuestos que tienen función redistribu</w:t>
      </w:r>
      <w:r w:rsidR="00460F04">
        <w:t>tiva</w:t>
      </w:r>
      <w:r>
        <w:t xml:space="preserve"> (IRPF, Impuesto sobre el patrimonio…).</w:t>
      </w:r>
    </w:p>
    <w:p w14:paraId="336AD955" w14:textId="77777777" w:rsidR="00B15FF7" w:rsidRDefault="00B15FF7" w:rsidP="00821DCE">
      <w:pPr>
        <w:pStyle w:val="Nivel4"/>
        <w:ind w:left="1474"/>
      </w:pPr>
      <w:r>
        <w:t>Las cotizaciones sociales.</w:t>
      </w:r>
    </w:p>
    <w:p w14:paraId="25206FC4" w14:textId="77777777" w:rsidR="00B15FF7" w:rsidRDefault="00B15FF7" w:rsidP="00821DCE">
      <w:pPr>
        <w:pStyle w:val="Nivel4"/>
        <w:ind w:left="1474"/>
      </w:pPr>
      <w:r>
        <w:t>Otras transferencias corrientes recibidas.</w:t>
      </w:r>
    </w:p>
    <w:p w14:paraId="686C7C88" w14:textId="1919D183" w:rsidR="00B15FF7" w:rsidRDefault="00B15FF7" w:rsidP="00821DCE">
      <w:pPr>
        <w:pStyle w:val="Nivel3SM"/>
        <w:keepNext/>
      </w:pPr>
      <w:r>
        <w:t>Empleos:</w:t>
      </w:r>
    </w:p>
    <w:p w14:paraId="24F24E71" w14:textId="77777777" w:rsidR="00B15FF7" w:rsidRDefault="00B15FF7" w:rsidP="00821DCE">
      <w:pPr>
        <w:pStyle w:val="Nivel4"/>
        <w:ind w:left="1474"/>
      </w:pPr>
      <w:r>
        <w:t>Prestaciones sociales (excluyendo en especie, que van en otra cuenta).</w:t>
      </w:r>
    </w:p>
    <w:p w14:paraId="7EB80124" w14:textId="77777777" w:rsidR="00B15FF7" w:rsidRDefault="00B15FF7" w:rsidP="00821DCE">
      <w:pPr>
        <w:pStyle w:val="Nivel4"/>
        <w:ind w:left="1474"/>
      </w:pPr>
      <w:r>
        <w:t xml:space="preserve">Otras transferencias corrientes pagadas (por ejemplo, las contribuciones al presupuesto comunitario </w:t>
      </w:r>
      <w:r w:rsidRPr="0003695A">
        <w:rPr>
          <w:b/>
          <w:highlight w:val="yellow"/>
        </w:rPr>
        <w:t>en recurso RNB</w:t>
      </w:r>
      <w:r>
        <w:t>).</w:t>
      </w:r>
    </w:p>
    <w:p w14:paraId="7410B5D7" w14:textId="4BF67D32" w:rsidR="00B15FF7" w:rsidRDefault="00B15FF7" w:rsidP="00821DCE">
      <w:pPr>
        <w:pStyle w:val="Nivel3SM"/>
        <w:keepNext/>
      </w:pPr>
      <w:r>
        <w:t>Saldo:</w:t>
      </w:r>
    </w:p>
    <w:p w14:paraId="401CEB5F" w14:textId="4C3B3B76" w:rsidR="00B15FF7" w:rsidRDefault="00B15FF7" w:rsidP="00821DCE">
      <w:pPr>
        <w:pStyle w:val="Nivel4"/>
        <w:ind w:left="1474"/>
      </w:pPr>
      <w:r>
        <w:t>La renta bruta disponible.</w:t>
      </w:r>
    </w:p>
    <w:p w14:paraId="7274F651" w14:textId="08820350" w:rsidR="00B15FF7" w:rsidRPr="0017505C" w:rsidRDefault="00B15FF7" w:rsidP="00EF31CC">
      <w:pPr>
        <w:pStyle w:val="Ttulo6"/>
        <w:numPr>
          <w:ilvl w:val="1"/>
          <w:numId w:val="20"/>
        </w:numPr>
        <w:ind w:left="0" w:hanging="284"/>
      </w:pPr>
      <w:bookmarkStart w:id="62" w:name="_Toc151113592"/>
      <w:r w:rsidRPr="0017505C">
        <w:t>Cuenta de distribución de la renta en especie</w:t>
      </w:r>
      <w:bookmarkEnd w:id="62"/>
    </w:p>
    <w:p w14:paraId="6E4DE1DB" w14:textId="6CDC72F8" w:rsidR="00B15FF7" w:rsidRDefault="00B15FF7" w:rsidP="00821DCE">
      <w:pPr>
        <w:pStyle w:val="Nivel2SM"/>
      </w:pPr>
      <w:r>
        <w:t>Es una cuenta muy importante, ya que las AAPP realizan un volumen particularmente elevado de transferencias en especie (</w:t>
      </w:r>
      <w:r w:rsidR="00F24E10">
        <w:t>p.ej.</w:t>
      </w:r>
      <w:r>
        <w:t xml:space="preserve"> bienes y servicios de no mercado).</w:t>
      </w:r>
    </w:p>
    <w:tbl>
      <w:tblPr>
        <w:tblStyle w:val="Tablaconcuadrcula"/>
        <w:tblW w:w="0" w:type="auto"/>
        <w:jc w:val="center"/>
        <w:tblLook w:val="04A0" w:firstRow="1" w:lastRow="0" w:firstColumn="1" w:lastColumn="0" w:noHBand="0" w:noVBand="1"/>
      </w:tblPr>
      <w:tblGrid>
        <w:gridCol w:w="4322"/>
        <w:gridCol w:w="4322"/>
      </w:tblGrid>
      <w:tr w:rsidR="00C82831" w:rsidRPr="0066567D" w14:paraId="5CA939E5" w14:textId="77777777" w:rsidTr="00AB0E6F">
        <w:trPr>
          <w:jc w:val="center"/>
        </w:trPr>
        <w:tc>
          <w:tcPr>
            <w:tcW w:w="4322" w:type="dxa"/>
            <w:tcBorders>
              <w:left w:val="nil"/>
            </w:tcBorders>
          </w:tcPr>
          <w:p w14:paraId="4E7922A1" w14:textId="77777777" w:rsidR="00C82831" w:rsidRPr="0066567D" w:rsidRDefault="00C82831" w:rsidP="005C4F6D">
            <w:pPr>
              <w:keepNext/>
              <w:spacing w:after="0"/>
              <w:jc w:val="center"/>
              <w:rPr>
                <w:rFonts w:cs="Times New Roman"/>
                <w:b/>
              </w:rPr>
            </w:pPr>
            <w:proofErr w:type="spellStart"/>
            <w:r w:rsidRPr="0066567D">
              <w:rPr>
                <w:rFonts w:cs="Times New Roman"/>
                <w:b/>
              </w:rPr>
              <w:lastRenderedPageBreak/>
              <w:t>Empleos</w:t>
            </w:r>
            <w:proofErr w:type="spellEnd"/>
          </w:p>
        </w:tc>
        <w:tc>
          <w:tcPr>
            <w:tcW w:w="4322" w:type="dxa"/>
            <w:tcBorders>
              <w:right w:val="nil"/>
            </w:tcBorders>
          </w:tcPr>
          <w:p w14:paraId="18324C63" w14:textId="77777777" w:rsidR="00C82831" w:rsidRPr="0066567D" w:rsidRDefault="00C82831" w:rsidP="005C4F6D">
            <w:pPr>
              <w:keepNext/>
              <w:spacing w:after="0"/>
              <w:jc w:val="center"/>
              <w:rPr>
                <w:rFonts w:cs="Times New Roman"/>
                <w:b/>
              </w:rPr>
            </w:pPr>
            <w:proofErr w:type="spellStart"/>
            <w:r w:rsidRPr="0066567D">
              <w:rPr>
                <w:rFonts w:cs="Times New Roman"/>
                <w:b/>
              </w:rPr>
              <w:t>Recursos</w:t>
            </w:r>
            <w:proofErr w:type="spellEnd"/>
          </w:p>
        </w:tc>
      </w:tr>
      <w:tr w:rsidR="00C82831" w:rsidRPr="0066567D" w14:paraId="039586B0" w14:textId="77777777" w:rsidTr="00AB0E6F">
        <w:trPr>
          <w:jc w:val="center"/>
        </w:trPr>
        <w:tc>
          <w:tcPr>
            <w:tcW w:w="4322" w:type="dxa"/>
            <w:tcBorders>
              <w:left w:val="nil"/>
              <w:bottom w:val="nil"/>
            </w:tcBorders>
          </w:tcPr>
          <w:p w14:paraId="34AD4BC0" w14:textId="13541694" w:rsidR="00C82831" w:rsidRPr="00C82831" w:rsidRDefault="00C82831" w:rsidP="005C4F6D">
            <w:pPr>
              <w:keepNext/>
              <w:spacing w:after="0"/>
              <w:rPr>
                <w:rFonts w:cs="Times New Roman"/>
                <w:sz w:val="19"/>
                <w:szCs w:val="19"/>
                <w:lang w:val="es-ES"/>
              </w:rPr>
            </w:pPr>
            <w:r>
              <w:rPr>
                <w:rFonts w:cs="Times New Roman"/>
                <w:lang w:val="es-ES"/>
              </w:rPr>
              <w:t>Transferencias sociales en especie</w:t>
            </w:r>
          </w:p>
        </w:tc>
        <w:tc>
          <w:tcPr>
            <w:tcW w:w="4322" w:type="dxa"/>
            <w:tcBorders>
              <w:bottom w:val="nil"/>
              <w:right w:val="nil"/>
            </w:tcBorders>
          </w:tcPr>
          <w:p w14:paraId="67996A72" w14:textId="3AD783EA" w:rsidR="00C82831" w:rsidRPr="0066567D" w:rsidRDefault="00C82831" w:rsidP="005C4F6D">
            <w:pPr>
              <w:keepNext/>
              <w:spacing w:after="0"/>
              <w:rPr>
                <w:rFonts w:cs="Times New Roman"/>
                <w:spacing w:val="-5"/>
                <w:lang w:val="es-ES"/>
              </w:rPr>
            </w:pPr>
            <w:r>
              <w:rPr>
                <w:rFonts w:cs="Times New Roman"/>
                <w:lang w:val="es-ES"/>
              </w:rPr>
              <w:t>Renta Disponible Bruta</w:t>
            </w:r>
          </w:p>
        </w:tc>
      </w:tr>
      <w:tr w:rsidR="00C82831" w:rsidRPr="0066567D" w14:paraId="3C67D3DD" w14:textId="77777777" w:rsidTr="00AB0E6F">
        <w:trPr>
          <w:jc w:val="center"/>
        </w:trPr>
        <w:tc>
          <w:tcPr>
            <w:tcW w:w="4322" w:type="dxa"/>
            <w:tcBorders>
              <w:left w:val="nil"/>
              <w:bottom w:val="nil"/>
            </w:tcBorders>
          </w:tcPr>
          <w:p w14:paraId="1A5CB74D" w14:textId="4790F4B1" w:rsidR="00C82831" w:rsidRPr="0066567D" w:rsidRDefault="00C82831" w:rsidP="00AB0E6F">
            <w:pPr>
              <w:spacing w:after="0"/>
              <w:rPr>
                <w:rFonts w:cs="Times New Roman"/>
                <w:i/>
                <w:spacing w:val="-6"/>
                <w:lang w:val="es-ES"/>
              </w:rPr>
            </w:pPr>
            <w:r>
              <w:rPr>
                <w:rFonts w:cs="Times New Roman"/>
                <w:i/>
                <w:spacing w:val="-6"/>
                <w:lang w:val="es-ES"/>
              </w:rPr>
              <w:t>Renta Disponible Bruta Ajustada</w:t>
            </w:r>
          </w:p>
        </w:tc>
        <w:tc>
          <w:tcPr>
            <w:tcW w:w="4322" w:type="dxa"/>
            <w:tcBorders>
              <w:bottom w:val="nil"/>
              <w:right w:val="nil"/>
            </w:tcBorders>
          </w:tcPr>
          <w:p w14:paraId="71F0C2A3" w14:textId="77777777" w:rsidR="00C82831" w:rsidRPr="0066567D" w:rsidRDefault="00C82831" w:rsidP="00AB0E6F">
            <w:pPr>
              <w:spacing w:after="0"/>
              <w:rPr>
                <w:rFonts w:cs="Times New Roman"/>
                <w:lang w:val="es-ES"/>
              </w:rPr>
            </w:pPr>
          </w:p>
        </w:tc>
      </w:tr>
    </w:tbl>
    <w:p w14:paraId="1198D4F3" w14:textId="3A0BDCF0" w:rsidR="00B15FF7" w:rsidRDefault="00B15FF7" w:rsidP="00821DCE">
      <w:pPr>
        <w:pStyle w:val="Nivel3SM"/>
      </w:pPr>
      <w:r w:rsidRPr="007D20FF">
        <w:rPr>
          <w:i/>
          <w:iCs/>
          <w:u w:val="single"/>
        </w:rPr>
        <w:t>Recursos</w:t>
      </w:r>
      <w:r>
        <w:t>: Renta bruta disponible.</w:t>
      </w:r>
    </w:p>
    <w:p w14:paraId="2F2E3BAE" w14:textId="59A71358" w:rsidR="00B15FF7" w:rsidRDefault="00B15FF7" w:rsidP="00821DCE">
      <w:pPr>
        <w:pStyle w:val="Nivel3SM"/>
      </w:pPr>
      <w:r w:rsidRPr="007D20FF">
        <w:rPr>
          <w:i/>
          <w:iCs/>
          <w:u w:val="single"/>
        </w:rPr>
        <w:t>Empleos</w:t>
      </w:r>
      <w:r>
        <w:t>: Transferencias sociales en especie.</w:t>
      </w:r>
      <w:r w:rsidR="007D20FF">
        <w:t xml:space="preserve"> Por transferencias en especie hablamos de bienes y servicios transferidos gratuitamente (servicios no de mercado). Por ejemplo, incluye prestaciones de seguridad social (tratamientos médicos, estancias hospitalarias…) y prestaciones de asistencia social (</w:t>
      </w:r>
      <w:proofErr w:type="gramStart"/>
      <w:r w:rsidR="007D20FF">
        <w:t>guarderías infantiles</w:t>
      </w:r>
      <w:proofErr w:type="gramEnd"/>
      <w:r w:rsidR="007D20FF">
        <w:t>, ayudas para alojamiento).</w:t>
      </w:r>
    </w:p>
    <w:p w14:paraId="1BB44E0A" w14:textId="77777777" w:rsidR="00B15FF7" w:rsidRDefault="00B15FF7" w:rsidP="00821DCE">
      <w:pPr>
        <w:pStyle w:val="Nivel3SM"/>
      </w:pPr>
      <w:r w:rsidRPr="007D20FF">
        <w:rPr>
          <w:i/>
          <w:iCs/>
          <w:u w:val="single"/>
        </w:rPr>
        <w:t>Saldo</w:t>
      </w:r>
      <w:r>
        <w:t>: Renta disponible ajustada.</w:t>
      </w:r>
    </w:p>
    <w:p w14:paraId="5A959A16" w14:textId="39C3F314" w:rsidR="00B15FF7" w:rsidRPr="0017505C" w:rsidRDefault="00B15FF7" w:rsidP="00EF31CC">
      <w:pPr>
        <w:pStyle w:val="Ttulo6"/>
        <w:numPr>
          <w:ilvl w:val="1"/>
          <w:numId w:val="20"/>
        </w:numPr>
        <w:ind w:left="0" w:hanging="284"/>
      </w:pPr>
      <w:bookmarkStart w:id="63" w:name="_Toc151113593"/>
      <w:r w:rsidRPr="0017505C">
        <w:t>Cuenta de utilización de la renta</w:t>
      </w:r>
      <w:r w:rsidR="002D5E48">
        <w:t xml:space="preserve"> disponible bruta</w:t>
      </w:r>
      <w:bookmarkEnd w:id="63"/>
    </w:p>
    <w:p w14:paraId="4E9EAD51" w14:textId="60525CBE" w:rsidR="00B15FF7" w:rsidRDefault="00B15FF7" w:rsidP="00821DCE">
      <w:pPr>
        <w:pStyle w:val="Nivel2SM"/>
      </w:pPr>
      <w:r>
        <w:t xml:space="preserve">Analizan las operaciones que el sector público realiza en su papel de </w:t>
      </w:r>
      <w:r>
        <w:rPr>
          <w:u w:val="single"/>
        </w:rPr>
        <w:t>consumidor</w:t>
      </w:r>
      <w:r>
        <w:t>. Concretamente analiza el uso que hacen las AAPP de su RBD.</w:t>
      </w:r>
    </w:p>
    <w:tbl>
      <w:tblPr>
        <w:tblStyle w:val="Tablaconcuadrcula"/>
        <w:tblW w:w="0" w:type="auto"/>
        <w:jc w:val="center"/>
        <w:tblLook w:val="04A0" w:firstRow="1" w:lastRow="0" w:firstColumn="1" w:lastColumn="0" w:noHBand="0" w:noVBand="1"/>
      </w:tblPr>
      <w:tblGrid>
        <w:gridCol w:w="4322"/>
        <w:gridCol w:w="4322"/>
      </w:tblGrid>
      <w:tr w:rsidR="00C82831" w:rsidRPr="0066567D" w14:paraId="73F61238" w14:textId="77777777" w:rsidTr="00AB0E6F">
        <w:trPr>
          <w:jc w:val="center"/>
        </w:trPr>
        <w:tc>
          <w:tcPr>
            <w:tcW w:w="4322" w:type="dxa"/>
            <w:tcBorders>
              <w:left w:val="nil"/>
            </w:tcBorders>
          </w:tcPr>
          <w:p w14:paraId="41B31E81" w14:textId="77777777" w:rsidR="00C82831" w:rsidRPr="0066567D" w:rsidRDefault="00C82831" w:rsidP="005C4F6D">
            <w:pPr>
              <w:keepNext/>
              <w:spacing w:after="0"/>
              <w:jc w:val="center"/>
              <w:rPr>
                <w:rFonts w:cs="Times New Roman"/>
                <w:b/>
              </w:rPr>
            </w:pPr>
            <w:proofErr w:type="spellStart"/>
            <w:r w:rsidRPr="0066567D">
              <w:rPr>
                <w:rFonts w:cs="Times New Roman"/>
                <w:b/>
              </w:rPr>
              <w:t>Empleos</w:t>
            </w:r>
            <w:proofErr w:type="spellEnd"/>
          </w:p>
        </w:tc>
        <w:tc>
          <w:tcPr>
            <w:tcW w:w="4322" w:type="dxa"/>
            <w:tcBorders>
              <w:right w:val="nil"/>
            </w:tcBorders>
          </w:tcPr>
          <w:p w14:paraId="0FA6256A" w14:textId="77777777" w:rsidR="00C82831" w:rsidRPr="0066567D" w:rsidRDefault="00C82831" w:rsidP="005C4F6D">
            <w:pPr>
              <w:keepNext/>
              <w:spacing w:after="0"/>
              <w:jc w:val="center"/>
              <w:rPr>
                <w:rFonts w:cs="Times New Roman"/>
                <w:b/>
              </w:rPr>
            </w:pPr>
            <w:proofErr w:type="spellStart"/>
            <w:r w:rsidRPr="0066567D">
              <w:rPr>
                <w:rFonts w:cs="Times New Roman"/>
                <w:b/>
              </w:rPr>
              <w:t>Recursos</w:t>
            </w:r>
            <w:proofErr w:type="spellEnd"/>
          </w:p>
        </w:tc>
      </w:tr>
      <w:tr w:rsidR="00C82831" w:rsidRPr="0066567D" w14:paraId="4FDB3CF0" w14:textId="77777777" w:rsidTr="00AB0E6F">
        <w:trPr>
          <w:jc w:val="center"/>
        </w:trPr>
        <w:tc>
          <w:tcPr>
            <w:tcW w:w="4322" w:type="dxa"/>
            <w:tcBorders>
              <w:left w:val="nil"/>
              <w:bottom w:val="nil"/>
            </w:tcBorders>
          </w:tcPr>
          <w:p w14:paraId="4225EFD2" w14:textId="40BAFFAC" w:rsidR="00C82831" w:rsidRPr="00C82831" w:rsidRDefault="00C82831" w:rsidP="005C4F6D">
            <w:pPr>
              <w:keepNext/>
              <w:spacing w:after="0"/>
              <w:rPr>
                <w:rFonts w:cs="Times New Roman"/>
                <w:sz w:val="19"/>
                <w:szCs w:val="19"/>
                <w:lang w:val="es-ES"/>
              </w:rPr>
            </w:pPr>
            <w:r>
              <w:rPr>
                <w:rFonts w:cs="Times New Roman"/>
                <w:lang w:val="es-ES"/>
              </w:rPr>
              <w:t>Gasto en consumo final</w:t>
            </w:r>
          </w:p>
        </w:tc>
        <w:tc>
          <w:tcPr>
            <w:tcW w:w="4322" w:type="dxa"/>
            <w:tcBorders>
              <w:bottom w:val="nil"/>
              <w:right w:val="nil"/>
            </w:tcBorders>
          </w:tcPr>
          <w:p w14:paraId="446E2055" w14:textId="77777777" w:rsidR="00C82831" w:rsidRPr="0066567D" w:rsidRDefault="00C82831" w:rsidP="005C4F6D">
            <w:pPr>
              <w:keepNext/>
              <w:spacing w:after="0"/>
              <w:rPr>
                <w:rFonts w:cs="Times New Roman"/>
                <w:spacing w:val="-5"/>
                <w:lang w:val="es-ES"/>
              </w:rPr>
            </w:pPr>
            <w:r>
              <w:rPr>
                <w:rFonts w:cs="Times New Roman"/>
                <w:lang w:val="es-ES"/>
              </w:rPr>
              <w:t>Renta Disponible Bruta</w:t>
            </w:r>
          </w:p>
        </w:tc>
      </w:tr>
      <w:tr w:rsidR="00C82831" w:rsidRPr="0066567D" w14:paraId="739B0E05" w14:textId="77777777" w:rsidTr="00AB0E6F">
        <w:trPr>
          <w:jc w:val="center"/>
        </w:trPr>
        <w:tc>
          <w:tcPr>
            <w:tcW w:w="4322" w:type="dxa"/>
            <w:tcBorders>
              <w:left w:val="nil"/>
              <w:bottom w:val="nil"/>
            </w:tcBorders>
          </w:tcPr>
          <w:p w14:paraId="6A4F9840" w14:textId="77777777" w:rsidR="00C82831" w:rsidRDefault="00C82831" w:rsidP="005C4F6D">
            <w:pPr>
              <w:keepNext/>
              <w:spacing w:after="0"/>
              <w:rPr>
                <w:rFonts w:cs="Times New Roman"/>
                <w:i/>
                <w:spacing w:val="-6"/>
                <w:lang w:val="es-ES"/>
              </w:rPr>
            </w:pPr>
            <w:r>
              <w:rPr>
                <w:rFonts w:cs="Times New Roman"/>
                <w:i/>
                <w:spacing w:val="-6"/>
                <w:lang w:val="es-ES"/>
              </w:rPr>
              <w:t>Ahorro Bruto</w:t>
            </w:r>
          </w:p>
          <w:p w14:paraId="69083833" w14:textId="77777777" w:rsidR="00C82831" w:rsidRPr="0066567D" w:rsidRDefault="00C82831" w:rsidP="005C4F6D">
            <w:pPr>
              <w:keepNext/>
              <w:spacing w:after="0"/>
              <w:rPr>
                <w:rFonts w:cs="Times New Roman"/>
                <w:i/>
                <w:lang w:val="es-ES"/>
              </w:rPr>
            </w:pPr>
            <w:r w:rsidRPr="0066567D">
              <w:rPr>
                <w:rFonts w:ascii="Times New Roman" w:hAnsi="Times New Roman" w:cs="Times New Roman"/>
                <w:i/>
                <w:lang w:val="es-ES"/>
              </w:rPr>
              <w:t xml:space="preserve">− </w:t>
            </w:r>
            <w:r w:rsidRPr="0066567D">
              <w:rPr>
                <w:rFonts w:cs="Times New Roman"/>
                <w:i/>
                <w:lang w:val="es-ES"/>
              </w:rPr>
              <w:t>(consumo de capital fijo)</w:t>
            </w:r>
          </w:p>
          <w:p w14:paraId="28BD97C9" w14:textId="3976D505" w:rsidR="00C82831" w:rsidRPr="0066567D" w:rsidRDefault="00C82831" w:rsidP="00C82831">
            <w:pPr>
              <w:spacing w:after="0"/>
              <w:rPr>
                <w:rFonts w:cs="Times New Roman"/>
                <w:i/>
                <w:spacing w:val="-6"/>
                <w:lang w:val="es-ES"/>
              </w:rPr>
            </w:pPr>
            <w:r w:rsidRPr="0066567D">
              <w:rPr>
                <w:rFonts w:cs="Times New Roman"/>
                <w:i/>
                <w:lang w:val="es-ES"/>
              </w:rPr>
              <w:t xml:space="preserve">= </w:t>
            </w:r>
            <w:r>
              <w:rPr>
                <w:rFonts w:cs="Times New Roman"/>
                <w:i/>
                <w:lang w:val="es-ES"/>
              </w:rPr>
              <w:t>Ahorro neto</w:t>
            </w:r>
          </w:p>
        </w:tc>
        <w:tc>
          <w:tcPr>
            <w:tcW w:w="4322" w:type="dxa"/>
            <w:tcBorders>
              <w:bottom w:val="nil"/>
              <w:right w:val="nil"/>
            </w:tcBorders>
          </w:tcPr>
          <w:p w14:paraId="0C74B045" w14:textId="77777777" w:rsidR="00C82831" w:rsidRPr="0066567D" w:rsidRDefault="00C82831" w:rsidP="00AB0E6F">
            <w:pPr>
              <w:spacing w:after="0"/>
              <w:rPr>
                <w:rFonts w:cs="Times New Roman"/>
                <w:lang w:val="es-ES"/>
              </w:rPr>
            </w:pPr>
          </w:p>
        </w:tc>
      </w:tr>
    </w:tbl>
    <w:p w14:paraId="60994A38" w14:textId="1AC695FA" w:rsidR="00B15FF7" w:rsidRDefault="00B15FF7" w:rsidP="00821DCE">
      <w:pPr>
        <w:pStyle w:val="Nivel3SM"/>
        <w:keepNext/>
      </w:pPr>
      <w:r>
        <w:t>Recursos:</w:t>
      </w:r>
    </w:p>
    <w:p w14:paraId="73C1226E" w14:textId="77777777" w:rsidR="00B15FF7" w:rsidRDefault="00B15FF7" w:rsidP="00821DCE">
      <w:pPr>
        <w:pStyle w:val="Nivel4"/>
        <w:ind w:left="1474"/>
      </w:pPr>
      <w:r>
        <w:t>Renta bruta disponible.</w:t>
      </w:r>
    </w:p>
    <w:p w14:paraId="5352B8DE" w14:textId="6F57EA5B" w:rsidR="00B15FF7" w:rsidRDefault="00B15FF7" w:rsidP="00821DCE">
      <w:pPr>
        <w:pStyle w:val="Nivel3SM"/>
        <w:keepNext/>
      </w:pPr>
      <w:r>
        <w:t>Empleos:</w:t>
      </w:r>
    </w:p>
    <w:p w14:paraId="278AED7F" w14:textId="77777777" w:rsidR="00B15FF7" w:rsidRDefault="00B15FF7" w:rsidP="00821DCE">
      <w:pPr>
        <w:pStyle w:val="Nivel4"/>
        <w:keepNext/>
        <w:ind w:left="1474"/>
      </w:pPr>
      <w:r>
        <w:t>Gasto en consumo final.</w:t>
      </w:r>
    </w:p>
    <w:p w14:paraId="17C5FA9B" w14:textId="35657E03" w:rsidR="00B15FF7" w:rsidRDefault="00B15FF7" w:rsidP="00821DCE">
      <w:pPr>
        <w:pStyle w:val="Nivel5"/>
        <w:ind w:left="1871"/>
      </w:pPr>
      <w:r>
        <w:t xml:space="preserve">Bienes y servicios que </w:t>
      </w:r>
      <w:r w:rsidRPr="0003695A">
        <w:rPr>
          <w:highlight w:val="yellow"/>
        </w:rPr>
        <w:t>no son individualizables</w:t>
      </w:r>
      <w:r>
        <w:t xml:space="preserve"> (</w:t>
      </w:r>
      <w:r w:rsidR="00F24E10">
        <w:t>p.ej.</w:t>
      </w:r>
      <w:r>
        <w:t xml:space="preserve"> defensa nacional).</w:t>
      </w:r>
    </w:p>
    <w:p w14:paraId="212BBB24" w14:textId="4539A3AD" w:rsidR="00B15FF7" w:rsidRDefault="00B15FF7" w:rsidP="00821DCE">
      <w:pPr>
        <w:pStyle w:val="Nivel5"/>
        <w:ind w:left="1871"/>
      </w:pPr>
      <w:r>
        <w:t xml:space="preserve">Bienes y servicios </w:t>
      </w:r>
      <w:r w:rsidRPr="0036234B">
        <w:rPr>
          <w:highlight w:val="yellow"/>
        </w:rPr>
        <w:t>i</w:t>
      </w:r>
      <w:r w:rsidRPr="0003695A">
        <w:rPr>
          <w:highlight w:val="yellow"/>
        </w:rPr>
        <w:t>ndividualizables pero financiados por las AAPP</w:t>
      </w:r>
      <w:r>
        <w:t xml:space="preserve"> (</w:t>
      </w:r>
      <w:r w:rsidR="00F24E10">
        <w:t>p.ej.</w:t>
      </w:r>
      <w:r>
        <w:t xml:space="preserve"> </w:t>
      </w:r>
      <w:r w:rsidRPr="0003695A">
        <w:rPr>
          <w:highlight w:val="yellow"/>
        </w:rPr>
        <w:t>educación, sanidad</w:t>
      </w:r>
      <w:r>
        <w:t>).</w:t>
      </w:r>
    </w:p>
    <w:p w14:paraId="25B71BB6" w14:textId="77777777" w:rsidR="00B15FF7" w:rsidRDefault="00B15FF7" w:rsidP="00821DCE">
      <w:pPr>
        <w:pStyle w:val="Nivel3SM"/>
      </w:pPr>
      <w:r>
        <w:t>Saldo: Ahorro</w:t>
      </w:r>
    </w:p>
    <w:p w14:paraId="01A21E05" w14:textId="18D215A9" w:rsidR="002D5E48" w:rsidRDefault="002D5E48" w:rsidP="00EF31CC">
      <w:pPr>
        <w:pStyle w:val="Ttulo6"/>
        <w:numPr>
          <w:ilvl w:val="1"/>
          <w:numId w:val="20"/>
        </w:numPr>
        <w:ind w:left="0" w:hanging="284"/>
      </w:pPr>
      <w:bookmarkStart w:id="64" w:name="_Toc151113594"/>
      <w:r>
        <w:t>Cuenta de utilización de la renta disponible bruta ajustada</w:t>
      </w:r>
      <w:bookmarkEnd w:id="64"/>
    </w:p>
    <w:p w14:paraId="077A204F" w14:textId="3047DE27" w:rsidR="002D5E48" w:rsidRPr="00851439" w:rsidRDefault="002D5E48" w:rsidP="002D5E48">
      <w:pPr>
        <w:pStyle w:val="Ttuloimagen"/>
        <w:rPr>
          <w:smallCaps w:val="0"/>
        </w:rPr>
      </w:pPr>
      <w:r>
        <w:t>Imagen </w:t>
      </w:r>
      <w:r>
        <w:fldChar w:fldCharType="begin"/>
      </w:r>
      <w:r>
        <w:instrText xml:space="preserve"> SEQ Ilustración \* ARABIC </w:instrText>
      </w:r>
      <w:r>
        <w:fldChar w:fldCharType="separate"/>
      </w:r>
      <w:r w:rsidR="0021538E">
        <w:t>6</w:t>
      </w:r>
      <w:r>
        <w:fldChar w:fldCharType="end"/>
      </w:r>
      <w:r>
        <w:rPr>
          <w:smallCaps w:val="0"/>
        </w:rPr>
        <w:t xml:space="preserve">.– </w:t>
      </w:r>
      <w:r>
        <w:rPr>
          <w:i/>
          <w:iCs/>
          <w:smallCaps w:val="0"/>
        </w:rPr>
        <w:t>Desagregación de la RNDB y RNDBA</w:t>
      </w:r>
    </w:p>
    <w:tbl>
      <w:tblPr>
        <w:tblStyle w:val="Tablaconcuadrcula"/>
        <w:tblW w:w="9021" w:type="dxa"/>
        <w:jc w:val="center"/>
        <w:tblLook w:val="04A0" w:firstRow="1" w:lastRow="0" w:firstColumn="1" w:lastColumn="0" w:noHBand="0" w:noVBand="1"/>
      </w:tblPr>
      <w:tblGrid>
        <w:gridCol w:w="551"/>
        <w:gridCol w:w="974"/>
        <w:gridCol w:w="2812"/>
        <w:gridCol w:w="507"/>
        <w:gridCol w:w="1234"/>
        <w:gridCol w:w="2327"/>
        <w:gridCol w:w="550"/>
        <w:gridCol w:w="66"/>
      </w:tblGrid>
      <w:tr w:rsidR="002D5E48" w14:paraId="67BA016D" w14:textId="77777777" w:rsidTr="00C23598">
        <w:trPr>
          <w:cantSplit/>
          <w:trHeight w:val="340"/>
          <w:jc w:val="center"/>
        </w:trPr>
        <w:tc>
          <w:tcPr>
            <w:tcW w:w="4845" w:type="dxa"/>
            <w:gridSpan w:val="4"/>
            <w:tcBorders>
              <w:top w:val="nil"/>
              <w:left w:val="nil"/>
              <w:bottom w:val="nil"/>
              <w:right w:val="nil"/>
            </w:tcBorders>
            <w:vAlign w:val="center"/>
          </w:tcPr>
          <w:p w14:paraId="7336339D" w14:textId="77777777" w:rsidR="002D5E48" w:rsidRPr="002D5E48" w:rsidRDefault="002D5E48" w:rsidP="00C23598">
            <w:pPr>
              <w:keepNext/>
              <w:spacing w:after="0"/>
              <w:ind w:left="-108"/>
              <w:contextualSpacing/>
              <w:jc w:val="left"/>
              <w:rPr>
                <w:sz w:val="16"/>
                <w:szCs w:val="16"/>
                <w:lang w:val="es-ES"/>
              </w:rPr>
            </w:pPr>
            <w:r w:rsidRPr="002D5E48">
              <w:rPr>
                <w:i/>
                <w:iCs/>
                <w:sz w:val="16"/>
                <w:szCs w:val="16"/>
                <w:lang w:val="es-ES"/>
              </w:rPr>
              <w:t>C.II.4.1</w:t>
            </w:r>
            <w:r w:rsidRPr="002D5E48">
              <w:rPr>
                <w:sz w:val="16"/>
                <w:szCs w:val="16"/>
                <w:lang w:val="es-ES"/>
              </w:rPr>
              <w:t xml:space="preserve">: </w:t>
            </w:r>
            <w:r w:rsidRPr="002D5E48">
              <w:rPr>
                <w:sz w:val="15"/>
                <w:szCs w:val="15"/>
                <w:lang w:val="es-ES"/>
              </w:rPr>
              <w:t>Cuenta de utilización de la renta disponible</w:t>
            </w:r>
          </w:p>
        </w:tc>
        <w:tc>
          <w:tcPr>
            <w:tcW w:w="4176" w:type="dxa"/>
            <w:gridSpan w:val="4"/>
            <w:tcBorders>
              <w:top w:val="nil"/>
              <w:left w:val="nil"/>
              <w:bottom w:val="nil"/>
              <w:right w:val="nil"/>
            </w:tcBorders>
            <w:vAlign w:val="center"/>
          </w:tcPr>
          <w:p w14:paraId="016701BB" w14:textId="77777777" w:rsidR="002D5E48" w:rsidRPr="002D5E48" w:rsidRDefault="002D5E48" w:rsidP="00C23598">
            <w:pPr>
              <w:keepNext/>
              <w:spacing w:after="0"/>
              <w:ind w:left="-114"/>
              <w:contextualSpacing/>
              <w:jc w:val="right"/>
              <w:rPr>
                <w:lang w:val="es-ES"/>
              </w:rPr>
            </w:pPr>
            <w:r w:rsidRPr="002D5E48">
              <w:rPr>
                <w:i/>
                <w:iCs/>
                <w:sz w:val="16"/>
                <w:szCs w:val="16"/>
                <w:lang w:val="es-ES"/>
              </w:rPr>
              <w:t>C.II.4.2</w:t>
            </w:r>
            <w:r w:rsidRPr="002D5E48">
              <w:rPr>
                <w:sz w:val="16"/>
                <w:szCs w:val="16"/>
                <w:lang w:val="es-ES"/>
              </w:rPr>
              <w:t xml:space="preserve">: </w:t>
            </w:r>
            <w:r w:rsidRPr="002D5E48">
              <w:rPr>
                <w:sz w:val="15"/>
                <w:szCs w:val="15"/>
                <w:lang w:val="es-ES"/>
              </w:rPr>
              <w:t>Cuenta de utilización de la renta disponible ajustada</w:t>
            </w:r>
          </w:p>
        </w:tc>
      </w:tr>
      <w:tr w:rsidR="002D5E48" w14:paraId="7A97453B" w14:textId="77777777" w:rsidTr="00C23598">
        <w:trPr>
          <w:gridAfter w:val="1"/>
          <w:wAfter w:w="67" w:type="dxa"/>
          <w:cantSplit/>
          <w:trHeight w:val="283"/>
          <w:jc w:val="center"/>
        </w:trPr>
        <w:tc>
          <w:tcPr>
            <w:tcW w:w="526" w:type="dxa"/>
            <w:vMerge w:val="restart"/>
            <w:tcBorders>
              <w:top w:val="single" w:sz="4" w:space="0" w:color="auto"/>
              <w:right w:val="single" w:sz="4" w:space="0" w:color="auto"/>
            </w:tcBorders>
            <w:textDirection w:val="btLr"/>
            <w:vAlign w:val="center"/>
          </w:tcPr>
          <w:p w14:paraId="65D5B007" w14:textId="77777777" w:rsidR="002D5E48" w:rsidRDefault="002D5E48" w:rsidP="00C23598">
            <w:pPr>
              <w:keepNext/>
              <w:spacing w:after="0"/>
              <w:ind w:left="113" w:right="113"/>
              <w:jc w:val="center"/>
            </w:pPr>
            <w:r>
              <w:t>RNDB</w:t>
            </w:r>
          </w:p>
        </w:tc>
        <w:tc>
          <w:tcPr>
            <w:tcW w:w="975" w:type="dxa"/>
            <w:tcBorders>
              <w:top w:val="dashed" w:sz="4" w:space="0" w:color="auto"/>
              <w:left w:val="single" w:sz="4" w:space="0" w:color="auto"/>
              <w:bottom w:val="dashed" w:sz="4" w:space="0" w:color="auto"/>
              <w:right w:val="nil"/>
            </w:tcBorders>
            <w:vAlign w:val="center"/>
          </w:tcPr>
          <w:p w14:paraId="51CEE465" w14:textId="77777777" w:rsidR="002D5E48" w:rsidRDefault="002D5E48" w:rsidP="00C23598">
            <w:pPr>
              <w:keepNext/>
              <w:spacing w:after="0"/>
              <w:jc w:val="center"/>
            </w:pPr>
          </w:p>
        </w:tc>
        <w:tc>
          <w:tcPr>
            <w:tcW w:w="2837" w:type="dxa"/>
            <w:tcBorders>
              <w:top w:val="dashed" w:sz="4" w:space="0" w:color="auto"/>
              <w:left w:val="nil"/>
              <w:bottom w:val="dashed" w:sz="4" w:space="0" w:color="auto"/>
              <w:right w:val="dashed" w:sz="4" w:space="0" w:color="auto"/>
            </w:tcBorders>
            <w:vAlign w:val="center"/>
          </w:tcPr>
          <w:p w14:paraId="091CC718" w14:textId="77777777" w:rsidR="002D5E48" w:rsidRDefault="002D5E48" w:rsidP="00C23598">
            <w:pPr>
              <w:keepNext/>
              <w:spacing w:after="0"/>
              <w:jc w:val="center"/>
            </w:pPr>
            <w:r>
              <w:t>S</w:t>
            </w:r>
            <w:r w:rsidRPr="006157FA">
              <w:rPr>
                <w:vertAlign w:val="subscript"/>
              </w:rPr>
              <w:t>ISFLH</w:t>
            </w:r>
          </w:p>
        </w:tc>
        <w:tc>
          <w:tcPr>
            <w:tcW w:w="1743" w:type="dxa"/>
            <w:gridSpan w:val="2"/>
            <w:tcBorders>
              <w:top w:val="nil"/>
              <w:left w:val="dashed" w:sz="4" w:space="0" w:color="auto"/>
              <w:bottom w:val="single" w:sz="4" w:space="0" w:color="FFFFFF" w:themeColor="background1"/>
              <w:right w:val="dashed" w:sz="4" w:space="0" w:color="auto"/>
            </w:tcBorders>
            <w:vAlign w:val="center"/>
          </w:tcPr>
          <w:p w14:paraId="300E9360" w14:textId="77777777" w:rsidR="002D5E48" w:rsidRDefault="002D5E48" w:rsidP="00C23598">
            <w:pPr>
              <w:keepNext/>
              <w:spacing w:after="0"/>
              <w:jc w:val="center"/>
            </w:pPr>
          </w:p>
        </w:tc>
        <w:tc>
          <w:tcPr>
            <w:tcW w:w="2344" w:type="dxa"/>
            <w:tcBorders>
              <w:top w:val="dashed" w:sz="4" w:space="0" w:color="auto"/>
              <w:left w:val="dashed" w:sz="4" w:space="0" w:color="auto"/>
              <w:bottom w:val="dashed" w:sz="4" w:space="0" w:color="auto"/>
              <w:right w:val="single" w:sz="4" w:space="0" w:color="auto"/>
            </w:tcBorders>
            <w:vAlign w:val="center"/>
          </w:tcPr>
          <w:p w14:paraId="3A38916F" w14:textId="77777777" w:rsidR="002D5E48" w:rsidRDefault="002D5E48" w:rsidP="00C23598">
            <w:pPr>
              <w:keepNext/>
              <w:spacing w:after="0"/>
              <w:jc w:val="center"/>
            </w:pPr>
            <w:r>
              <w:t>S</w:t>
            </w:r>
            <w:r w:rsidRPr="006157FA">
              <w:rPr>
                <w:vertAlign w:val="subscript"/>
              </w:rPr>
              <w:t>ISFLH</w:t>
            </w:r>
          </w:p>
        </w:tc>
        <w:tc>
          <w:tcPr>
            <w:tcW w:w="529" w:type="dxa"/>
            <w:vMerge w:val="restart"/>
            <w:tcBorders>
              <w:top w:val="single" w:sz="4" w:space="0" w:color="auto"/>
              <w:left w:val="single" w:sz="4" w:space="0" w:color="auto"/>
            </w:tcBorders>
            <w:textDirection w:val="btLr"/>
            <w:vAlign w:val="center"/>
          </w:tcPr>
          <w:p w14:paraId="273014B6" w14:textId="77777777" w:rsidR="002D5E48" w:rsidRDefault="002D5E48" w:rsidP="00C23598">
            <w:pPr>
              <w:keepNext/>
              <w:spacing w:after="0"/>
              <w:ind w:left="113" w:right="113"/>
              <w:jc w:val="center"/>
            </w:pPr>
            <w:r>
              <w:t>RNDBA</w:t>
            </w:r>
          </w:p>
        </w:tc>
      </w:tr>
      <w:tr w:rsidR="002D5E48" w14:paraId="20990909" w14:textId="77777777" w:rsidTr="00C23598">
        <w:trPr>
          <w:gridAfter w:val="1"/>
          <w:wAfter w:w="67" w:type="dxa"/>
          <w:cantSplit/>
          <w:trHeight w:val="567"/>
          <w:jc w:val="center"/>
        </w:trPr>
        <w:tc>
          <w:tcPr>
            <w:tcW w:w="526" w:type="dxa"/>
            <w:vMerge/>
            <w:tcBorders>
              <w:top w:val="single" w:sz="4" w:space="0" w:color="auto"/>
              <w:right w:val="single" w:sz="4" w:space="0" w:color="auto"/>
            </w:tcBorders>
            <w:textDirection w:val="btLr"/>
            <w:vAlign w:val="center"/>
          </w:tcPr>
          <w:p w14:paraId="1847F4B4" w14:textId="77777777" w:rsidR="002D5E48" w:rsidRDefault="002D5E48" w:rsidP="00C23598">
            <w:pPr>
              <w:keepNext/>
              <w:spacing w:after="0"/>
              <w:ind w:left="113" w:right="113"/>
              <w:jc w:val="center"/>
            </w:pPr>
          </w:p>
        </w:tc>
        <w:tc>
          <w:tcPr>
            <w:tcW w:w="975" w:type="dxa"/>
            <w:tcBorders>
              <w:top w:val="dashed" w:sz="4" w:space="0" w:color="auto"/>
              <w:left w:val="single" w:sz="4" w:space="0" w:color="auto"/>
              <w:right w:val="dashed" w:sz="4" w:space="0" w:color="auto"/>
            </w:tcBorders>
            <w:vAlign w:val="center"/>
          </w:tcPr>
          <w:p w14:paraId="1B835211" w14:textId="77777777" w:rsidR="002D5E48" w:rsidRDefault="002D5E48" w:rsidP="00C23598">
            <w:pPr>
              <w:keepNext/>
              <w:spacing w:after="0"/>
              <w:jc w:val="center"/>
            </w:pPr>
            <w:r>
              <w:t>RD</w:t>
            </w:r>
            <w:r>
              <w:rPr>
                <w:vertAlign w:val="subscript"/>
              </w:rPr>
              <w:t>E</w:t>
            </w:r>
          </w:p>
        </w:tc>
        <w:tc>
          <w:tcPr>
            <w:tcW w:w="2837" w:type="dxa"/>
            <w:tcBorders>
              <w:top w:val="dashed" w:sz="4" w:space="0" w:color="auto"/>
              <w:left w:val="dashed" w:sz="4" w:space="0" w:color="auto"/>
              <w:right w:val="dashed" w:sz="4" w:space="0" w:color="auto"/>
            </w:tcBorders>
            <w:vAlign w:val="center"/>
          </w:tcPr>
          <w:p w14:paraId="17F02441" w14:textId="77777777" w:rsidR="002D5E48" w:rsidRDefault="002D5E48" w:rsidP="00C23598">
            <w:pPr>
              <w:keepNext/>
              <w:spacing w:after="0"/>
              <w:jc w:val="center"/>
            </w:pPr>
            <w:r>
              <w:t>S</w:t>
            </w:r>
            <w:r>
              <w:rPr>
                <w:vertAlign w:val="subscript"/>
              </w:rPr>
              <w:t>E</w:t>
            </w:r>
          </w:p>
        </w:tc>
        <w:tc>
          <w:tcPr>
            <w:tcW w:w="1743" w:type="dxa"/>
            <w:gridSpan w:val="2"/>
            <w:tcBorders>
              <w:top w:val="nil"/>
              <w:left w:val="dashed" w:sz="4" w:space="0" w:color="auto"/>
              <w:bottom w:val="single" w:sz="4" w:space="0" w:color="FFFFFF" w:themeColor="background1"/>
              <w:right w:val="dashed" w:sz="4" w:space="0" w:color="auto"/>
            </w:tcBorders>
            <w:vAlign w:val="center"/>
          </w:tcPr>
          <w:p w14:paraId="72AB8F6D" w14:textId="77777777" w:rsidR="002D5E48" w:rsidRDefault="002D5E48" w:rsidP="00C23598">
            <w:pPr>
              <w:keepNext/>
              <w:spacing w:after="0"/>
              <w:jc w:val="center"/>
            </w:pPr>
          </w:p>
        </w:tc>
        <w:tc>
          <w:tcPr>
            <w:tcW w:w="2344" w:type="dxa"/>
            <w:tcBorders>
              <w:top w:val="dashed" w:sz="4" w:space="0" w:color="auto"/>
              <w:left w:val="dashed" w:sz="4" w:space="0" w:color="auto"/>
              <w:right w:val="single" w:sz="4" w:space="0" w:color="auto"/>
            </w:tcBorders>
            <w:vAlign w:val="center"/>
          </w:tcPr>
          <w:p w14:paraId="3AAA432E" w14:textId="77777777" w:rsidR="002D5E48" w:rsidRDefault="002D5E48" w:rsidP="00C23598">
            <w:pPr>
              <w:keepNext/>
              <w:spacing w:after="0"/>
              <w:jc w:val="center"/>
            </w:pPr>
            <w:r>
              <w:t>S</w:t>
            </w:r>
            <w:r>
              <w:rPr>
                <w:vertAlign w:val="subscript"/>
              </w:rPr>
              <w:t>E</w:t>
            </w:r>
          </w:p>
        </w:tc>
        <w:tc>
          <w:tcPr>
            <w:tcW w:w="529" w:type="dxa"/>
            <w:vMerge/>
            <w:tcBorders>
              <w:left w:val="single" w:sz="4" w:space="0" w:color="auto"/>
            </w:tcBorders>
            <w:textDirection w:val="btLr"/>
            <w:vAlign w:val="center"/>
          </w:tcPr>
          <w:p w14:paraId="30E01BD8" w14:textId="77777777" w:rsidR="002D5E48" w:rsidRDefault="002D5E48" w:rsidP="00C23598">
            <w:pPr>
              <w:keepNext/>
              <w:spacing w:after="0"/>
              <w:ind w:left="113" w:right="113"/>
              <w:jc w:val="center"/>
            </w:pPr>
          </w:p>
        </w:tc>
      </w:tr>
      <w:tr w:rsidR="002D5E48" w14:paraId="4CA7B11E" w14:textId="77777777" w:rsidTr="00C23598">
        <w:trPr>
          <w:gridAfter w:val="1"/>
          <w:wAfter w:w="67" w:type="dxa"/>
          <w:trHeight w:val="283"/>
          <w:jc w:val="center"/>
        </w:trPr>
        <w:tc>
          <w:tcPr>
            <w:tcW w:w="526" w:type="dxa"/>
            <w:vMerge/>
            <w:vAlign w:val="center"/>
          </w:tcPr>
          <w:p w14:paraId="29FC5066" w14:textId="77777777" w:rsidR="002D5E48" w:rsidRDefault="002D5E48" w:rsidP="00C23598">
            <w:pPr>
              <w:keepNext/>
              <w:spacing w:after="0"/>
              <w:jc w:val="center"/>
            </w:pPr>
          </w:p>
        </w:tc>
        <w:tc>
          <w:tcPr>
            <w:tcW w:w="975" w:type="dxa"/>
            <w:vMerge w:val="restart"/>
            <w:vAlign w:val="center"/>
          </w:tcPr>
          <w:p w14:paraId="4FA52063" w14:textId="77777777" w:rsidR="002D5E48" w:rsidRPr="00724CFE" w:rsidRDefault="002D5E48" w:rsidP="00C23598">
            <w:pPr>
              <w:keepNext/>
              <w:spacing w:after="0"/>
              <w:jc w:val="center"/>
              <w:rPr>
                <w:vertAlign w:val="subscript"/>
              </w:rPr>
            </w:pPr>
            <w:r>
              <w:t>RD</w:t>
            </w:r>
            <w:r>
              <w:rPr>
                <w:vertAlign w:val="subscript"/>
              </w:rPr>
              <w:t>H</w:t>
            </w:r>
          </w:p>
        </w:tc>
        <w:tc>
          <w:tcPr>
            <w:tcW w:w="2837" w:type="dxa"/>
            <w:vAlign w:val="center"/>
          </w:tcPr>
          <w:p w14:paraId="0CD84CCF" w14:textId="77777777" w:rsidR="002D5E48" w:rsidRPr="00724CFE" w:rsidRDefault="002D5E48" w:rsidP="00C23598">
            <w:pPr>
              <w:keepNext/>
              <w:spacing w:after="0"/>
              <w:jc w:val="center"/>
              <w:rPr>
                <w:vertAlign w:val="subscript"/>
              </w:rPr>
            </w:pPr>
            <w:r>
              <w:t>S</w:t>
            </w:r>
            <w:r w:rsidRPr="002F02BA">
              <w:rPr>
                <w:vertAlign w:val="subscript"/>
              </w:rPr>
              <w:t>H</w:t>
            </w:r>
          </w:p>
        </w:tc>
        <w:tc>
          <w:tcPr>
            <w:tcW w:w="1743" w:type="dxa"/>
            <w:gridSpan w:val="2"/>
            <w:vMerge w:val="restart"/>
            <w:tcBorders>
              <w:top w:val="single" w:sz="4" w:space="0" w:color="FFFFFF" w:themeColor="background1"/>
            </w:tcBorders>
            <w:vAlign w:val="center"/>
          </w:tcPr>
          <w:p w14:paraId="610768AE" w14:textId="77777777" w:rsidR="002D5E48" w:rsidRDefault="002D5E48" w:rsidP="00C23598">
            <w:pPr>
              <w:keepNext/>
              <w:spacing w:after="0"/>
              <w:jc w:val="center"/>
            </w:pPr>
          </w:p>
        </w:tc>
        <w:tc>
          <w:tcPr>
            <w:tcW w:w="2344" w:type="dxa"/>
            <w:tcBorders>
              <w:right w:val="single" w:sz="4" w:space="0" w:color="auto"/>
            </w:tcBorders>
            <w:vAlign w:val="center"/>
          </w:tcPr>
          <w:p w14:paraId="7447BFFD" w14:textId="77777777" w:rsidR="002D5E48" w:rsidRPr="00724CFE" w:rsidRDefault="002D5E48" w:rsidP="00C23598">
            <w:pPr>
              <w:keepNext/>
              <w:spacing w:after="0"/>
              <w:jc w:val="center"/>
              <w:rPr>
                <w:vertAlign w:val="subscript"/>
              </w:rPr>
            </w:pPr>
            <w:r>
              <w:t>S</w:t>
            </w:r>
            <w:r>
              <w:rPr>
                <w:vertAlign w:val="subscript"/>
              </w:rPr>
              <w:t>H</w:t>
            </w:r>
          </w:p>
        </w:tc>
        <w:tc>
          <w:tcPr>
            <w:tcW w:w="529" w:type="dxa"/>
            <w:vMerge/>
            <w:tcBorders>
              <w:left w:val="single" w:sz="4" w:space="0" w:color="auto"/>
            </w:tcBorders>
            <w:vAlign w:val="center"/>
          </w:tcPr>
          <w:p w14:paraId="7F9D3282" w14:textId="77777777" w:rsidR="002D5E48" w:rsidRDefault="002D5E48" w:rsidP="00C23598">
            <w:pPr>
              <w:keepNext/>
              <w:spacing w:after="0"/>
              <w:jc w:val="center"/>
            </w:pPr>
          </w:p>
        </w:tc>
      </w:tr>
      <w:tr w:rsidR="002D5E48" w14:paraId="6D62B188" w14:textId="77777777" w:rsidTr="00C23598">
        <w:trPr>
          <w:gridAfter w:val="1"/>
          <w:wAfter w:w="67" w:type="dxa"/>
          <w:trHeight w:val="567"/>
          <w:jc w:val="center"/>
        </w:trPr>
        <w:tc>
          <w:tcPr>
            <w:tcW w:w="526" w:type="dxa"/>
            <w:vMerge/>
            <w:vAlign w:val="center"/>
          </w:tcPr>
          <w:p w14:paraId="5842AA88" w14:textId="77777777" w:rsidR="002D5E48" w:rsidRDefault="002D5E48" w:rsidP="00C23598">
            <w:pPr>
              <w:keepNext/>
              <w:spacing w:after="0"/>
              <w:jc w:val="center"/>
            </w:pPr>
          </w:p>
        </w:tc>
        <w:tc>
          <w:tcPr>
            <w:tcW w:w="975" w:type="dxa"/>
            <w:vMerge/>
            <w:vAlign w:val="center"/>
          </w:tcPr>
          <w:p w14:paraId="10950D0F" w14:textId="77777777" w:rsidR="002D5E48" w:rsidRDefault="002D5E48" w:rsidP="00C23598">
            <w:pPr>
              <w:keepNext/>
              <w:spacing w:after="0"/>
              <w:jc w:val="center"/>
            </w:pPr>
          </w:p>
        </w:tc>
        <w:tc>
          <w:tcPr>
            <w:tcW w:w="2837" w:type="dxa"/>
            <w:vAlign w:val="center"/>
          </w:tcPr>
          <w:p w14:paraId="4122B045" w14:textId="77777777" w:rsidR="002D5E48" w:rsidRPr="002D5E48" w:rsidRDefault="002D5E48" w:rsidP="00C23598">
            <w:pPr>
              <w:keepNext/>
              <w:spacing w:after="0" w:line="180" w:lineRule="auto"/>
              <w:ind w:left="-45"/>
              <w:jc w:val="center"/>
              <w:rPr>
                <w:vertAlign w:val="subscript"/>
                <w:lang w:val="es-ES"/>
              </w:rPr>
            </w:pPr>
            <w:r w:rsidRPr="002D5E48">
              <w:rPr>
                <w:lang w:val="es-ES"/>
              </w:rPr>
              <w:t xml:space="preserve">Gasto en Consumo Final </w:t>
            </w:r>
            <w:r w:rsidRPr="002D5E48">
              <w:rPr>
                <w:vertAlign w:val="subscript"/>
                <w:lang w:val="es-ES"/>
              </w:rPr>
              <w:t>H</w:t>
            </w:r>
          </w:p>
        </w:tc>
        <w:tc>
          <w:tcPr>
            <w:tcW w:w="1743" w:type="dxa"/>
            <w:gridSpan w:val="2"/>
            <w:vMerge/>
            <w:tcBorders>
              <w:bottom w:val="dashed" w:sz="4" w:space="0" w:color="auto"/>
            </w:tcBorders>
            <w:vAlign w:val="center"/>
          </w:tcPr>
          <w:p w14:paraId="6AD12D44" w14:textId="77777777" w:rsidR="002D5E48" w:rsidRPr="002D5E48" w:rsidRDefault="002D5E48" w:rsidP="00C23598">
            <w:pPr>
              <w:keepNext/>
              <w:spacing w:after="0"/>
              <w:jc w:val="center"/>
              <w:rPr>
                <w:lang w:val="es-ES"/>
              </w:rPr>
            </w:pPr>
          </w:p>
        </w:tc>
        <w:tc>
          <w:tcPr>
            <w:tcW w:w="2344" w:type="dxa"/>
            <w:vMerge w:val="restart"/>
            <w:tcBorders>
              <w:right w:val="single" w:sz="4" w:space="0" w:color="auto"/>
            </w:tcBorders>
            <w:vAlign w:val="center"/>
          </w:tcPr>
          <w:p w14:paraId="75C2809D" w14:textId="77777777" w:rsidR="002D5E48" w:rsidRDefault="002D5E48" w:rsidP="00C23598">
            <w:pPr>
              <w:keepNext/>
              <w:spacing w:after="0"/>
              <w:jc w:val="center"/>
            </w:pPr>
            <w:proofErr w:type="spellStart"/>
            <w:r>
              <w:t>Consumo</w:t>
            </w:r>
            <w:proofErr w:type="spellEnd"/>
            <w:r>
              <w:t xml:space="preserve"> Final </w:t>
            </w:r>
            <w:proofErr w:type="spellStart"/>
            <w:r>
              <w:t>Efectivo</w:t>
            </w:r>
            <w:proofErr w:type="spellEnd"/>
            <w:r>
              <w:t xml:space="preserve"> </w:t>
            </w:r>
            <w:r w:rsidRPr="00724CFE">
              <w:rPr>
                <w:vertAlign w:val="subscript"/>
              </w:rPr>
              <w:t>Indiv</w:t>
            </w:r>
            <w:r>
              <w:rPr>
                <w:vertAlign w:val="subscript"/>
              </w:rPr>
              <w:t>idual</w:t>
            </w:r>
          </w:p>
        </w:tc>
        <w:tc>
          <w:tcPr>
            <w:tcW w:w="529" w:type="dxa"/>
            <w:vMerge/>
            <w:tcBorders>
              <w:left w:val="single" w:sz="4" w:space="0" w:color="auto"/>
            </w:tcBorders>
            <w:vAlign w:val="center"/>
          </w:tcPr>
          <w:p w14:paraId="41CCEB11" w14:textId="77777777" w:rsidR="002D5E48" w:rsidRDefault="002D5E48" w:rsidP="00C23598">
            <w:pPr>
              <w:keepNext/>
              <w:spacing w:after="0"/>
              <w:jc w:val="center"/>
            </w:pPr>
          </w:p>
        </w:tc>
      </w:tr>
      <w:tr w:rsidR="002D5E48" w14:paraId="4F584FE9" w14:textId="77777777" w:rsidTr="00C23598">
        <w:trPr>
          <w:gridAfter w:val="1"/>
          <w:wAfter w:w="67" w:type="dxa"/>
          <w:trHeight w:val="737"/>
          <w:jc w:val="center"/>
        </w:trPr>
        <w:tc>
          <w:tcPr>
            <w:tcW w:w="526" w:type="dxa"/>
            <w:vMerge/>
            <w:vAlign w:val="center"/>
          </w:tcPr>
          <w:p w14:paraId="7E419DBF" w14:textId="77777777" w:rsidR="002D5E48" w:rsidRDefault="002D5E48" w:rsidP="00C23598">
            <w:pPr>
              <w:keepNext/>
              <w:spacing w:after="0"/>
              <w:jc w:val="center"/>
            </w:pPr>
          </w:p>
        </w:tc>
        <w:tc>
          <w:tcPr>
            <w:tcW w:w="975" w:type="dxa"/>
            <w:tcBorders>
              <w:right w:val="nil"/>
            </w:tcBorders>
            <w:vAlign w:val="center"/>
          </w:tcPr>
          <w:p w14:paraId="364DA598" w14:textId="77777777" w:rsidR="002D5E48" w:rsidRPr="00724CFE" w:rsidRDefault="002D5E48" w:rsidP="00C23598">
            <w:pPr>
              <w:keepNext/>
              <w:spacing w:after="0" w:line="180" w:lineRule="auto"/>
              <w:ind w:left="931"/>
              <w:jc w:val="center"/>
              <w:rPr>
                <w:vertAlign w:val="subscript"/>
              </w:rPr>
            </w:pPr>
          </w:p>
        </w:tc>
        <w:tc>
          <w:tcPr>
            <w:tcW w:w="2837" w:type="dxa"/>
            <w:tcBorders>
              <w:left w:val="nil"/>
            </w:tcBorders>
            <w:vAlign w:val="center"/>
          </w:tcPr>
          <w:p w14:paraId="5BD67FC6" w14:textId="77777777" w:rsidR="002D5E48" w:rsidRPr="002D5E48" w:rsidRDefault="002D5E48" w:rsidP="00C23598">
            <w:pPr>
              <w:keepNext/>
              <w:spacing w:after="0" w:line="180" w:lineRule="auto"/>
              <w:ind w:left="-190" w:right="-159"/>
              <w:jc w:val="center"/>
              <w:rPr>
                <w:spacing w:val="-5"/>
                <w:vertAlign w:val="subscript"/>
                <w:lang w:val="es-ES"/>
              </w:rPr>
            </w:pPr>
            <w:r w:rsidRPr="002D5E48">
              <w:rPr>
                <w:spacing w:val="-5"/>
                <w:lang w:val="es-ES"/>
              </w:rPr>
              <w:t xml:space="preserve">Gasto en Consumo Final </w:t>
            </w:r>
            <w:r w:rsidRPr="002D5E48">
              <w:rPr>
                <w:spacing w:val="-5"/>
                <w:vertAlign w:val="subscript"/>
                <w:lang w:val="es-ES"/>
              </w:rPr>
              <w:t>ISFLH</w:t>
            </w:r>
          </w:p>
        </w:tc>
        <w:tc>
          <w:tcPr>
            <w:tcW w:w="1743" w:type="dxa"/>
            <w:gridSpan w:val="2"/>
            <w:vMerge w:val="restart"/>
            <w:tcBorders>
              <w:top w:val="dashed" w:sz="4" w:space="0" w:color="auto"/>
            </w:tcBorders>
            <w:vAlign w:val="center"/>
          </w:tcPr>
          <w:p w14:paraId="4EF0BAAD" w14:textId="77777777" w:rsidR="002D5E48" w:rsidRPr="002D5E48" w:rsidRDefault="002D5E48" w:rsidP="00C23598">
            <w:pPr>
              <w:keepNext/>
              <w:spacing w:after="0"/>
              <w:jc w:val="center"/>
              <w:rPr>
                <w:lang w:val="es-ES"/>
              </w:rPr>
            </w:pPr>
            <w:r w:rsidRPr="002D5E48">
              <w:rPr>
                <w:lang w:val="es-ES"/>
              </w:rPr>
              <w:t>Transferencias sociales en especie</w:t>
            </w:r>
            <w:r w:rsidRPr="002D5E48">
              <w:rPr>
                <w:lang w:val="es-ES"/>
              </w:rPr>
              <w:br/>
            </w:r>
            <w:r w:rsidRPr="002D5E48">
              <w:rPr>
                <w:sz w:val="14"/>
                <w:szCs w:val="14"/>
                <w:lang w:val="es-ES"/>
              </w:rPr>
              <w:t>(recogidas en la cuenta de redistribución de la renta en especie)</w:t>
            </w:r>
          </w:p>
        </w:tc>
        <w:tc>
          <w:tcPr>
            <w:tcW w:w="2344" w:type="dxa"/>
            <w:vMerge/>
            <w:tcBorders>
              <w:right w:val="single" w:sz="4" w:space="0" w:color="auto"/>
            </w:tcBorders>
            <w:vAlign w:val="center"/>
          </w:tcPr>
          <w:p w14:paraId="04366055" w14:textId="77777777" w:rsidR="002D5E48" w:rsidRPr="002D5E48" w:rsidRDefault="002D5E48" w:rsidP="00C23598">
            <w:pPr>
              <w:keepNext/>
              <w:spacing w:after="0"/>
              <w:jc w:val="center"/>
              <w:rPr>
                <w:lang w:val="es-ES"/>
              </w:rPr>
            </w:pPr>
          </w:p>
        </w:tc>
        <w:tc>
          <w:tcPr>
            <w:tcW w:w="529" w:type="dxa"/>
            <w:vMerge/>
            <w:tcBorders>
              <w:left w:val="single" w:sz="4" w:space="0" w:color="auto"/>
            </w:tcBorders>
            <w:vAlign w:val="center"/>
          </w:tcPr>
          <w:p w14:paraId="351A5C6B" w14:textId="77777777" w:rsidR="002D5E48" w:rsidRPr="002D5E48" w:rsidRDefault="002D5E48" w:rsidP="00C23598">
            <w:pPr>
              <w:keepNext/>
              <w:spacing w:after="0"/>
              <w:jc w:val="center"/>
              <w:rPr>
                <w:lang w:val="es-ES"/>
              </w:rPr>
            </w:pPr>
          </w:p>
        </w:tc>
      </w:tr>
      <w:tr w:rsidR="002D5E48" w14:paraId="1315B829" w14:textId="77777777" w:rsidTr="00C23598">
        <w:trPr>
          <w:gridAfter w:val="1"/>
          <w:wAfter w:w="67" w:type="dxa"/>
          <w:trHeight w:val="417"/>
          <w:jc w:val="center"/>
        </w:trPr>
        <w:tc>
          <w:tcPr>
            <w:tcW w:w="526" w:type="dxa"/>
            <w:vMerge/>
            <w:vAlign w:val="center"/>
          </w:tcPr>
          <w:p w14:paraId="09FE6BB9" w14:textId="77777777" w:rsidR="002D5E48" w:rsidRPr="002D5E48" w:rsidRDefault="002D5E48" w:rsidP="00C23598">
            <w:pPr>
              <w:keepNext/>
              <w:spacing w:after="0"/>
              <w:jc w:val="center"/>
              <w:rPr>
                <w:lang w:val="es-ES"/>
              </w:rPr>
            </w:pPr>
          </w:p>
        </w:tc>
        <w:tc>
          <w:tcPr>
            <w:tcW w:w="975" w:type="dxa"/>
            <w:vMerge w:val="restart"/>
            <w:vAlign w:val="center"/>
          </w:tcPr>
          <w:p w14:paraId="00775607" w14:textId="77777777" w:rsidR="002D5E48" w:rsidRPr="00724CFE" w:rsidRDefault="002D5E48" w:rsidP="00C23598">
            <w:pPr>
              <w:spacing w:after="0"/>
              <w:jc w:val="center"/>
              <w:rPr>
                <w:vertAlign w:val="subscript"/>
              </w:rPr>
            </w:pPr>
            <w:r>
              <w:t>RD</w:t>
            </w:r>
            <w:r>
              <w:rPr>
                <w:vertAlign w:val="subscript"/>
              </w:rPr>
              <w:t>AAPP</w:t>
            </w:r>
          </w:p>
        </w:tc>
        <w:tc>
          <w:tcPr>
            <w:tcW w:w="2837" w:type="dxa"/>
            <w:vMerge w:val="restart"/>
            <w:vAlign w:val="center"/>
          </w:tcPr>
          <w:p w14:paraId="7D2BF865" w14:textId="77777777" w:rsidR="002D5E48" w:rsidRPr="002D5E48" w:rsidRDefault="002D5E48" w:rsidP="00C23598">
            <w:pPr>
              <w:keepNext/>
              <w:spacing w:after="0" w:line="180" w:lineRule="auto"/>
              <w:ind w:left="-190" w:right="-159"/>
              <w:jc w:val="center"/>
              <w:rPr>
                <w:spacing w:val="-5"/>
                <w:vertAlign w:val="subscript"/>
                <w:lang w:val="es-ES"/>
              </w:rPr>
            </w:pPr>
            <w:r w:rsidRPr="002D5E48">
              <w:rPr>
                <w:spacing w:val="-5"/>
                <w:lang w:val="es-ES"/>
              </w:rPr>
              <w:t xml:space="preserve">Gasto en Consumo Final </w:t>
            </w:r>
            <w:r w:rsidRPr="002D5E48">
              <w:rPr>
                <w:spacing w:val="-5"/>
                <w:vertAlign w:val="subscript"/>
                <w:lang w:val="es-ES"/>
              </w:rPr>
              <w:t>AAPP</w:t>
            </w:r>
          </w:p>
        </w:tc>
        <w:tc>
          <w:tcPr>
            <w:tcW w:w="1743" w:type="dxa"/>
            <w:gridSpan w:val="2"/>
            <w:vMerge/>
            <w:tcBorders>
              <w:bottom w:val="dashed" w:sz="4" w:space="0" w:color="auto"/>
            </w:tcBorders>
            <w:vAlign w:val="center"/>
          </w:tcPr>
          <w:p w14:paraId="1AE54131" w14:textId="77777777" w:rsidR="002D5E48" w:rsidRPr="002D5E48" w:rsidRDefault="002D5E48" w:rsidP="00C23598">
            <w:pPr>
              <w:keepNext/>
              <w:spacing w:after="0"/>
              <w:jc w:val="center"/>
              <w:rPr>
                <w:lang w:val="es-ES"/>
              </w:rPr>
            </w:pPr>
          </w:p>
        </w:tc>
        <w:tc>
          <w:tcPr>
            <w:tcW w:w="2344" w:type="dxa"/>
            <w:vMerge/>
            <w:tcBorders>
              <w:right w:val="single" w:sz="4" w:space="0" w:color="auto"/>
            </w:tcBorders>
            <w:vAlign w:val="center"/>
          </w:tcPr>
          <w:p w14:paraId="6802B59D" w14:textId="77777777" w:rsidR="002D5E48" w:rsidRPr="002D5E48" w:rsidRDefault="002D5E48" w:rsidP="00C23598">
            <w:pPr>
              <w:keepNext/>
              <w:spacing w:after="0"/>
              <w:jc w:val="center"/>
              <w:rPr>
                <w:lang w:val="es-ES"/>
              </w:rPr>
            </w:pPr>
          </w:p>
        </w:tc>
        <w:tc>
          <w:tcPr>
            <w:tcW w:w="529" w:type="dxa"/>
            <w:vMerge/>
            <w:tcBorders>
              <w:left w:val="single" w:sz="4" w:space="0" w:color="auto"/>
            </w:tcBorders>
            <w:vAlign w:val="center"/>
          </w:tcPr>
          <w:p w14:paraId="4AFE2672" w14:textId="77777777" w:rsidR="002D5E48" w:rsidRPr="002D5E48" w:rsidRDefault="002D5E48" w:rsidP="00C23598">
            <w:pPr>
              <w:keepNext/>
              <w:spacing w:after="0"/>
              <w:jc w:val="center"/>
              <w:rPr>
                <w:lang w:val="es-ES"/>
              </w:rPr>
            </w:pPr>
          </w:p>
        </w:tc>
      </w:tr>
      <w:tr w:rsidR="002D5E48" w14:paraId="3975D3F8" w14:textId="77777777" w:rsidTr="00C23598">
        <w:trPr>
          <w:gridAfter w:val="1"/>
          <w:wAfter w:w="67" w:type="dxa"/>
          <w:trHeight w:val="567"/>
          <w:jc w:val="center"/>
        </w:trPr>
        <w:tc>
          <w:tcPr>
            <w:tcW w:w="526" w:type="dxa"/>
            <w:vMerge/>
            <w:vAlign w:val="center"/>
          </w:tcPr>
          <w:p w14:paraId="4346C114" w14:textId="77777777" w:rsidR="002D5E48" w:rsidRPr="002D5E48" w:rsidRDefault="002D5E48" w:rsidP="00C23598">
            <w:pPr>
              <w:keepNext/>
              <w:spacing w:after="0"/>
              <w:jc w:val="center"/>
              <w:rPr>
                <w:lang w:val="es-ES"/>
              </w:rPr>
            </w:pPr>
          </w:p>
        </w:tc>
        <w:tc>
          <w:tcPr>
            <w:tcW w:w="975" w:type="dxa"/>
            <w:vMerge/>
            <w:vAlign w:val="center"/>
          </w:tcPr>
          <w:p w14:paraId="0C6A0159" w14:textId="77777777" w:rsidR="002D5E48" w:rsidRPr="002D5E48" w:rsidRDefault="002D5E48" w:rsidP="00C23598">
            <w:pPr>
              <w:keepNext/>
              <w:spacing w:after="0"/>
              <w:jc w:val="center"/>
              <w:rPr>
                <w:lang w:val="es-ES"/>
              </w:rPr>
            </w:pPr>
          </w:p>
        </w:tc>
        <w:tc>
          <w:tcPr>
            <w:tcW w:w="2837" w:type="dxa"/>
            <w:vMerge/>
            <w:vAlign w:val="center"/>
          </w:tcPr>
          <w:p w14:paraId="59C26815" w14:textId="77777777" w:rsidR="002D5E48" w:rsidRPr="002D5E48" w:rsidRDefault="002D5E48" w:rsidP="00C23598">
            <w:pPr>
              <w:keepNext/>
              <w:spacing w:after="0"/>
              <w:jc w:val="center"/>
              <w:rPr>
                <w:lang w:val="es-ES"/>
              </w:rPr>
            </w:pPr>
          </w:p>
        </w:tc>
        <w:tc>
          <w:tcPr>
            <w:tcW w:w="1743" w:type="dxa"/>
            <w:gridSpan w:val="2"/>
            <w:vMerge w:val="restart"/>
            <w:tcBorders>
              <w:top w:val="dashed" w:sz="4" w:space="0" w:color="auto"/>
              <w:bottom w:val="dotted" w:sz="4" w:space="0" w:color="FFFFFF" w:themeColor="background1"/>
            </w:tcBorders>
            <w:vAlign w:val="center"/>
          </w:tcPr>
          <w:p w14:paraId="121FC2AD" w14:textId="77777777" w:rsidR="002D5E48" w:rsidRPr="002D5E48" w:rsidRDefault="002D5E48" w:rsidP="00C23598">
            <w:pPr>
              <w:spacing w:after="0"/>
              <w:jc w:val="center"/>
              <w:rPr>
                <w:lang w:val="es-ES"/>
              </w:rPr>
            </w:pPr>
          </w:p>
        </w:tc>
        <w:tc>
          <w:tcPr>
            <w:tcW w:w="2344" w:type="dxa"/>
            <w:tcBorders>
              <w:right w:val="single" w:sz="4" w:space="0" w:color="auto"/>
            </w:tcBorders>
            <w:vAlign w:val="center"/>
          </w:tcPr>
          <w:p w14:paraId="677C208A" w14:textId="77777777" w:rsidR="002D5E48" w:rsidRPr="00724CFE" w:rsidRDefault="002D5E48" w:rsidP="00C23598">
            <w:pPr>
              <w:keepNext/>
              <w:spacing w:after="0"/>
              <w:jc w:val="center"/>
              <w:rPr>
                <w:vertAlign w:val="subscript"/>
              </w:rPr>
            </w:pPr>
            <w:proofErr w:type="spellStart"/>
            <w:r>
              <w:t>Consumo</w:t>
            </w:r>
            <w:proofErr w:type="spellEnd"/>
            <w:r>
              <w:t xml:space="preserve"> Final </w:t>
            </w:r>
            <w:proofErr w:type="spellStart"/>
            <w:r>
              <w:t>Efectivo</w:t>
            </w:r>
            <w:proofErr w:type="spellEnd"/>
            <w:r>
              <w:t xml:space="preserve"> </w:t>
            </w:r>
            <w:r>
              <w:rPr>
                <w:vertAlign w:val="subscript"/>
              </w:rPr>
              <w:t>Colectivo</w:t>
            </w:r>
          </w:p>
        </w:tc>
        <w:tc>
          <w:tcPr>
            <w:tcW w:w="529" w:type="dxa"/>
            <w:vMerge/>
            <w:tcBorders>
              <w:left w:val="single" w:sz="4" w:space="0" w:color="auto"/>
            </w:tcBorders>
            <w:vAlign w:val="center"/>
          </w:tcPr>
          <w:p w14:paraId="1FF94918" w14:textId="77777777" w:rsidR="002D5E48" w:rsidRDefault="002D5E48" w:rsidP="00C23598">
            <w:pPr>
              <w:keepNext/>
              <w:spacing w:after="0"/>
              <w:jc w:val="center"/>
            </w:pPr>
          </w:p>
        </w:tc>
      </w:tr>
      <w:tr w:rsidR="002D5E48" w14:paraId="70FAC19A" w14:textId="77777777" w:rsidTr="00C23598">
        <w:trPr>
          <w:gridAfter w:val="1"/>
          <w:wAfter w:w="67" w:type="dxa"/>
          <w:trHeight w:val="850"/>
          <w:jc w:val="center"/>
        </w:trPr>
        <w:tc>
          <w:tcPr>
            <w:tcW w:w="526" w:type="dxa"/>
            <w:vMerge/>
            <w:tcBorders>
              <w:bottom w:val="single" w:sz="4" w:space="0" w:color="auto"/>
            </w:tcBorders>
            <w:vAlign w:val="center"/>
          </w:tcPr>
          <w:p w14:paraId="7851980C" w14:textId="77777777" w:rsidR="002D5E48" w:rsidRDefault="002D5E48" w:rsidP="00C23598">
            <w:pPr>
              <w:keepNext/>
              <w:spacing w:after="0"/>
              <w:jc w:val="center"/>
            </w:pPr>
          </w:p>
        </w:tc>
        <w:tc>
          <w:tcPr>
            <w:tcW w:w="975" w:type="dxa"/>
            <w:vMerge/>
            <w:tcBorders>
              <w:bottom w:val="single" w:sz="4" w:space="0" w:color="auto"/>
            </w:tcBorders>
            <w:vAlign w:val="center"/>
          </w:tcPr>
          <w:p w14:paraId="6D430515" w14:textId="77777777" w:rsidR="002D5E48" w:rsidRDefault="002D5E48" w:rsidP="00C23598">
            <w:pPr>
              <w:keepNext/>
              <w:spacing w:after="0"/>
              <w:jc w:val="center"/>
            </w:pPr>
          </w:p>
        </w:tc>
        <w:tc>
          <w:tcPr>
            <w:tcW w:w="2837" w:type="dxa"/>
            <w:tcBorders>
              <w:bottom w:val="single" w:sz="4" w:space="0" w:color="auto"/>
            </w:tcBorders>
            <w:vAlign w:val="center"/>
          </w:tcPr>
          <w:p w14:paraId="3F26F93B" w14:textId="77777777" w:rsidR="002D5E48" w:rsidRDefault="002D5E48" w:rsidP="00C23598">
            <w:pPr>
              <w:spacing w:after="0"/>
              <w:jc w:val="center"/>
            </w:pPr>
            <w:r>
              <w:t>S</w:t>
            </w:r>
            <w:r>
              <w:rPr>
                <w:vertAlign w:val="subscript"/>
              </w:rPr>
              <w:t>AAPP</w:t>
            </w:r>
          </w:p>
        </w:tc>
        <w:tc>
          <w:tcPr>
            <w:tcW w:w="1743" w:type="dxa"/>
            <w:gridSpan w:val="2"/>
            <w:vMerge/>
            <w:tcBorders>
              <w:top w:val="dotted" w:sz="4" w:space="0" w:color="FFFFFF" w:themeColor="background1"/>
              <w:bottom w:val="dotted" w:sz="4" w:space="0" w:color="FFFFFF" w:themeColor="background1"/>
            </w:tcBorders>
            <w:vAlign w:val="center"/>
          </w:tcPr>
          <w:p w14:paraId="553416FC" w14:textId="77777777" w:rsidR="002D5E48" w:rsidRDefault="002D5E48" w:rsidP="00C23598">
            <w:pPr>
              <w:keepNext/>
              <w:spacing w:after="0"/>
              <w:jc w:val="center"/>
            </w:pPr>
          </w:p>
        </w:tc>
        <w:tc>
          <w:tcPr>
            <w:tcW w:w="2344" w:type="dxa"/>
            <w:tcBorders>
              <w:bottom w:val="single" w:sz="4" w:space="0" w:color="auto"/>
              <w:right w:val="single" w:sz="4" w:space="0" w:color="auto"/>
            </w:tcBorders>
            <w:vAlign w:val="center"/>
          </w:tcPr>
          <w:p w14:paraId="4A62B77C" w14:textId="77777777" w:rsidR="002D5E48" w:rsidRPr="00724CFE" w:rsidRDefault="002D5E48" w:rsidP="00C23598">
            <w:pPr>
              <w:spacing w:after="0"/>
              <w:jc w:val="center"/>
              <w:rPr>
                <w:vertAlign w:val="subscript"/>
              </w:rPr>
            </w:pPr>
            <w:r>
              <w:t>S</w:t>
            </w:r>
            <w:r>
              <w:rPr>
                <w:vertAlign w:val="subscript"/>
              </w:rPr>
              <w:t>AAPP</w:t>
            </w:r>
          </w:p>
        </w:tc>
        <w:tc>
          <w:tcPr>
            <w:tcW w:w="529" w:type="dxa"/>
            <w:vMerge/>
            <w:tcBorders>
              <w:left w:val="single" w:sz="4" w:space="0" w:color="auto"/>
              <w:bottom w:val="single" w:sz="4" w:space="0" w:color="auto"/>
            </w:tcBorders>
            <w:vAlign w:val="center"/>
          </w:tcPr>
          <w:p w14:paraId="4825E624" w14:textId="77777777" w:rsidR="002D5E48" w:rsidRDefault="002D5E48" w:rsidP="00C23598">
            <w:pPr>
              <w:keepNext/>
              <w:spacing w:after="0"/>
              <w:jc w:val="center"/>
            </w:pPr>
          </w:p>
        </w:tc>
      </w:tr>
      <w:tr w:rsidR="002D5E48" w14:paraId="72DB6571" w14:textId="77777777" w:rsidTr="00C23598">
        <w:trPr>
          <w:trHeight w:val="399"/>
          <w:jc w:val="center"/>
        </w:trPr>
        <w:tc>
          <w:tcPr>
            <w:tcW w:w="9021" w:type="dxa"/>
            <w:gridSpan w:val="8"/>
            <w:tcBorders>
              <w:top w:val="dotted" w:sz="4" w:space="0" w:color="FFFFFF" w:themeColor="background1"/>
              <w:left w:val="nil"/>
              <w:bottom w:val="nil"/>
              <w:right w:val="nil"/>
            </w:tcBorders>
            <w:vAlign w:val="center"/>
          </w:tcPr>
          <w:p w14:paraId="5EE21892" w14:textId="77777777" w:rsidR="002D5E48" w:rsidRPr="002D5E48" w:rsidRDefault="002D5E48" w:rsidP="00C23598">
            <w:pPr>
              <w:keepNext/>
              <w:spacing w:after="0"/>
              <w:rPr>
                <w:sz w:val="14"/>
                <w:szCs w:val="14"/>
                <w:lang w:val="es-ES"/>
              </w:rPr>
            </w:pPr>
            <w:r w:rsidRPr="002D5E48">
              <w:rPr>
                <w:sz w:val="14"/>
                <w:szCs w:val="14"/>
                <w:lang w:val="es-ES"/>
              </w:rPr>
              <w:t xml:space="preserve">* Las ISFLSH también ahorran según el SEC 2010, por lo que </w:t>
            </w:r>
            <m:oMath>
              <m:r>
                <m:rPr>
                  <m:nor/>
                </m:rPr>
                <w:rPr>
                  <w:i/>
                  <w:iCs/>
                  <w:sz w:val="14"/>
                  <w:szCs w:val="14"/>
                  <w:lang w:val="es-ES"/>
                </w:rPr>
                <m:t>RD</m:t>
              </m:r>
              <m:r>
                <m:rPr>
                  <m:nor/>
                </m:rPr>
                <w:rPr>
                  <w:i/>
                  <w:iCs/>
                  <w:sz w:val="14"/>
                  <w:szCs w:val="14"/>
                  <w:vertAlign w:val="subscript"/>
                  <w:lang w:val="es-ES"/>
                </w:rPr>
                <m:t>ISFLSH</m:t>
              </m:r>
              <m:r>
                <w:rPr>
                  <w:rFonts w:ascii="Cambria Math" w:hAnsi="Cambria Math"/>
                  <w:sz w:val="14"/>
                  <w:szCs w:val="14"/>
                  <w:lang w:val="es-ES"/>
                </w:rPr>
                <m:t>=</m:t>
              </m:r>
              <m:r>
                <m:rPr>
                  <m:nor/>
                </m:rPr>
                <w:rPr>
                  <w:i/>
                  <w:iCs/>
                  <w:sz w:val="14"/>
                  <w:szCs w:val="14"/>
                  <w:lang w:val="es-ES"/>
                </w:rPr>
                <m:t>GCF</m:t>
              </m:r>
              <m:r>
                <m:rPr>
                  <m:nor/>
                </m:rPr>
                <w:rPr>
                  <w:i/>
                  <w:iCs/>
                  <w:sz w:val="14"/>
                  <w:szCs w:val="14"/>
                  <w:vertAlign w:val="subscript"/>
                  <w:lang w:val="es-ES"/>
                </w:rPr>
                <m:t>ISFLH</m:t>
              </m:r>
              <m:r>
                <w:rPr>
                  <w:rFonts w:ascii="Cambria Math" w:hAnsi="Cambria Math"/>
                  <w:sz w:val="14"/>
                  <w:szCs w:val="14"/>
                  <w:lang w:val="es-ES"/>
                </w:rPr>
                <m:t>+</m:t>
              </m:r>
              <m:r>
                <m:rPr>
                  <m:nor/>
                </m:rPr>
                <w:rPr>
                  <w:i/>
                  <w:iCs/>
                  <w:sz w:val="14"/>
                  <w:szCs w:val="14"/>
                  <w:lang w:val="es-ES"/>
                </w:rPr>
                <m:t>S</m:t>
              </m:r>
              <w:proofErr w:type="spellStart"/>
              <m:r>
                <m:rPr>
                  <m:nor/>
                </m:rPr>
                <w:rPr>
                  <w:i/>
                  <w:iCs/>
                  <w:sz w:val="14"/>
                  <w:szCs w:val="14"/>
                  <w:vertAlign w:val="subscript"/>
                  <w:lang w:val="es-ES"/>
                </w:rPr>
                <m:t>ISFLH</m:t>
              </m:r>
            </m:oMath>
            <w:proofErr w:type="spellEnd"/>
            <w:r w:rsidRPr="002D5E48">
              <w:rPr>
                <w:sz w:val="14"/>
                <w:szCs w:val="14"/>
                <w:lang w:val="es-ES"/>
              </w:rPr>
              <w:t>.</w:t>
            </w:r>
          </w:p>
          <w:p w14:paraId="22D57AF9" w14:textId="77777777" w:rsidR="002D5E48" w:rsidRPr="002D5E48" w:rsidRDefault="002D5E48" w:rsidP="00C23598">
            <w:pPr>
              <w:spacing w:after="0"/>
              <w:rPr>
                <w:sz w:val="18"/>
                <w:szCs w:val="18"/>
                <w:lang w:val="es-ES"/>
              </w:rPr>
            </w:pPr>
            <w:r w:rsidRPr="002D5E48">
              <w:rPr>
                <w:sz w:val="14"/>
                <w:szCs w:val="14"/>
                <w:lang w:val="es-ES"/>
              </w:rPr>
              <w:t xml:space="preserve">* Es importante entender que a nivel de toda la economía, </w:t>
            </w:r>
            <m:oMath>
              <m:r>
                <m:rPr>
                  <m:nor/>
                </m:rPr>
                <w:rPr>
                  <w:i/>
                  <w:sz w:val="14"/>
                  <w:szCs w:val="14"/>
                  <w:lang w:val="es-ES"/>
                </w:rPr>
                <m:t>RNDB</m:t>
              </m:r>
              <m:r>
                <w:rPr>
                  <w:rFonts w:ascii="Cambria Math" w:hAnsi="Cambria Math"/>
                  <w:sz w:val="14"/>
                  <w:szCs w:val="14"/>
                  <w:lang w:val="es-ES"/>
                </w:rPr>
                <m:t>=</m:t>
              </m:r>
              <m:r>
                <m:rPr>
                  <m:nor/>
                </m:rPr>
                <w:rPr>
                  <w:i/>
                  <w:sz w:val="14"/>
                  <w:szCs w:val="14"/>
                  <w:lang w:val="es-ES"/>
                </w:rPr>
                <m:t>RNDBA</m:t>
              </m:r>
            </m:oMath>
            <w:r w:rsidRPr="002D5E48">
              <w:rPr>
                <w:sz w:val="14"/>
                <w:szCs w:val="14"/>
                <w:lang w:val="es-ES"/>
              </w:rPr>
              <w:t>, por lo que la cuenta de redistribución de la renta en especie y la cuenta de utilización de la renta disponible ajustada no producen ninguna alteración en la renta del país. Pero a nivel de los sectores es relevante porque da una visión más completa.</w:t>
            </w:r>
          </w:p>
        </w:tc>
      </w:tr>
    </w:tbl>
    <w:p w14:paraId="117549D6" w14:textId="65CF88B9" w:rsidR="002D5E48" w:rsidRPr="002D5E48" w:rsidRDefault="002D5E48" w:rsidP="002D5E48">
      <w:pPr>
        <w:pStyle w:val="PiedeImagen"/>
        <w:rPr>
          <w:i w:val="0"/>
          <w:iCs/>
        </w:rPr>
      </w:pPr>
      <w:r>
        <w:t>Fuente</w:t>
      </w:r>
      <w:r w:rsidRPr="002D5E48">
        <w:rPr>
          <w:i w:val="0"/>
          <w:iCs/>
        </w:rPr>
        <w:t>: Elaboración propia</w:t>
      </w:r>
    </w:p>
    <w:p w14:paraId="69E19811" w14:textId="3561BD26" w:rsidR="00B15FF7" w:rsidRDefault="00B15FF7" w:rsidP="00EF31CC">
      <w:pPr>
        <w:pStyle w:val="Ttulo3"/>
      </w:pPr>
      <w:bookmarkStart w:id="65" w:name="_Toc151113595"/>
      <w:r>
        <w:lastRenderedPageBreak/>
        <w:t xml:space="preserve">Cuentas de </w:t>
      </w:r>
      <w:r w:rsidR="0026582C">
        <w:t>Capital</w:t>
      </w:r>
      <w:bookmarkEnd w:id="65"/>
    </w:p>
    <w:p w14:paraId="51DF5D14" w14:textId="22B91D57" w:rsidR="00B15FF7" w:rsidRPr="00821DCE" w:rsidRDefault="00B15FF7" w:rsidP="00EF31CC">
      <w:pPr>
        <w:pStyle w:val="Ttulo6"/>
        <w:numPr>
          <w:ilvl w:val="0"/>
          <w:numId w:val="53"/>
        </w:numPr>
        <w:spacing w:before="0"/>
        <w:ind w:left="0" w:hanging="284"/>
      </w:pPr>
      <w:bookmarkStart w:id="66" w:name="_Toc151113596"/>
      <w:r w:rsidRPr="00821DCE">
        <w:t>Cuenta de variaciones del patrimonio neto debido al ahorro y transferencias de capital</w:t>
      </w:r>
      <w:bookmarkEnd w:id="66"/>
    </w:p>
    <w:p w14:paraId="5F03011B" w14:textId="39B2FA89" w:rsidR="00B15FF7" w:rsidRPr="00D02B16" w:rsidRDefault="00B15FF7" w:rsidP="00821DCE">
      <w:pPr>
        <w:pStyle w:val="Nivel2SM"/>
        <w:rPr>
          <w:b/>
        </w:rPr>
      </w:pPr>
      <w:r>
        <w:t>La cuenta nos indica como varía el patrimonio de las AAPP teniendo en cuenta el ahorro conseguido del periodo y que es el saldo neto de todas las cuentas corrientes y las transferencias de capital netas.</w:t>
      </w:r>
    </w:p>
    <w:tbl>
      <w:tblPr>
        <w:tblStyle w:val="Tablaconcuadrcula"/>
        <w:tblW w:w="0" w:type="auto"/>
        <w:jc w:val="center"/>
        <w:tblLook w:val="04A0" w:firstRow="1" w:lastRow="0" w:firstColumn="1" w:lastColumn="0" w:noHBand="0" w:noVBand="1"/>
      </w:tblPr>
      <w:tblGrid>
        <w:gridCol w:w="4322"/>
        <w:gridCol w:w="4322"/>
      </w:tblGrid>
      <w:tr w:rsidR="006852B6" w:rsidRPr="0066567D" w14:paraId="2D8CA72A" w14:textId="77777777" w:rsidTr="00AB0E6F">
        <w:trPr>
          <w:jc w:val="center"/>
        </w:trPr>
        <w:tc>
          <w:tcPr>
            <w:tcW w:w="4322" w:type="dxa"/>
            <w:tcBorders>
              <w:left w:val="nil"/>
            </w:tcBorders>
          </w:tcPr>
          <w:p w14:paraId="011B308A" w14:textId="795F106C" w:rsidR="006852B6" w:rsidRPr="0066567D" w:rsidRDefault="006852B6" w:rsidP="00916A2D">
            <w:pPr>
              <w:keepNext/>
              <w:spacing w:after="0"/>
              <w:jc w:val="center"/>
              <w:rPr>
                <w:rFonts w:cs="Times New Roman"/>
                <w:b/>
              </w:rPr>
            </w:pPr>
            <w:proofErr w:type="spellStart"/>
            <w:r>
              <w:rPr>
                <w:rFonts w:cs="Times New Roman"/>
                <w:b/>
              </w:rPr>
              <w:t>Variación</w:t>
            </w:r>
            <w:proofErr w:type="spellEnd"/>
            <w:r>
              <w:rPr>
                <w:rFonts w:cs="Times New Roman"/>
                <w:b/>
              </w:rPr>
              <w:t xml:space="preserve"> de Activos</w:t>
            </w:r>
          </w:p>
        </w:tc>
        <w:tc>
          <w:tcPr>
            <w:tcW w:w="4322" w:type="dxa"/>
            <w:tcBorders>
              <w:right w:val="nil"/>
            </w:tcBorders>
          </w:tcPr>
          <w:p w14:paraId="0B21DFA0" w14:textId="282BBA5B" w:rsidR="006852B6" w:rsidRPr="0066567D" w:rsidRDefault="006852B6" w:rsidP="00916A2D">
            <w:pPr>
              <w:keepNext/>
              <w:spacing w:after="0"/>
              <w:jc w:val="center"/>
              <w:rPr>
                <w:rFonts w:cs="Times New Roman"/>
                <w:b/>
              </w:rPr>
            </w:pPr>
            <w:proofErr w:type="spellStart"/>
            <w:r>
              <w:rPr>
                <w:rFonts w:cs="Times New Roman"/>
                <w:b/>
              </w:rPr>
              <w:t>Variación</w:t>
            </w:r>
            <w:proofErr w:type="spellEnd"/>
            <w:r>
              <w:rPr>
                <w:rFonts w:cs="Times New Roman"/>
                <w:b/>
              </w:rPr>
              <w:t xml:space="preserve"> de </w:t>
            </w:r>
            <w:proofErr w:type="spellStart"/>
            <w:r>
              <w:rPr>
                <w:rFonts w:cs="Times New Roman"/>
                <w:b/>
              </w:rPr>
              <w:t>Pasivos</w:t>
            </w:r>
            <w:proofErr w:type="spellEnd"/>
          </w:p>
        </w:tc>
      </w:tr>
      <w:tr w:rsidR="006852B6" w:rsidRPr="0066567D" w14:paraId="6A7C0346" w14:textId="77777777" w:rsidTr="00AB0E6F">
        <w:trPr>
          <w:jc w:val="center"/>
        </w:trPr>
        <w:tc>
          <w:tcPr>
            <w:tcW w:w="4322" w:type="dxa"/>
            <w:tcBorders>
              <w:left w:val="nil"/>
              <w:bottom w:val="nil"/>
            </w:tcBorders>
          </w:tcPr>
          <w:p w14:paraId="07F5B16B" w14:textId="05D0D2DA" w:rsidR="006852B6" w:rsidRPr="00C82831" w:rsidRDefault="006852B6" w:rsidP="00916A2D">
            <w:pPr>
              <w:keepNext/>
              <w:spacing w:after="0"/>
              <w:rPr>
                <w:rFonts w:cs="Times New Roman"/>
                <w:sz w:val="19"/>
                <w:szCs w:val="19"/>
                <w:lang w:val="es-ES"/>
              </w:rPr>
            </w:pPr>
          </w:p>
        </w:tc>
        <w:tc>
          <w:tcPr>
            <w:tcW w:w="4322" w:type="dxa"/>
            <w:tcBorders>
              <w:bottom w:val="nil"/>
              <w:right w:val="nil"/>
            </w:tcBorders>
          </w:tcPr>
          <w:p w14:paraId="45F42A07" w14:textId="77777777" w:rsidR="006852B6" w:rsidRDefault="006852B6" w:rsidP="00916A2D">
            <w:pPr>
              <w:keepNext/>
              <w:spacing w:after="0"/>
              <w:rPr>
                <w:rFonts w:cs="Times New Roman"/>
                <w:lang w:val="es-ES"/>
              </w:rPr>
            </w:pPr>
            <w:r>
              <w:rPr>
                <w:rFonts w:cs="Times New Roman"/>
                <w:lang w:val="es-ES"/>
              </w:rPr>
              <w:t>Ahorro neto</w:t>
            </w:r>
          </w:p>
          <w:p w14:paraId="1F2A7074" w14:textId="318EDC03" w:rsidR="006852B6" w:rsidRDefault="006852B6" w:rsidP="00916A2D">
            <w:pPr>
              <w:keepNext/>
              <w:spacing w:after="0"/>
              <w:rPr>
                <w:rFonts w:cs="Times New Roman"/>
                <w:spacing w:val="-5"/>
                <w:lang w:val="es-ES"/>
              </w:rPr>
            </w:pPr>
            <w:r>
              <w:rPr>
                <w:rFonts w:cs="Times New Roman"/>
                <w:spacing w:val="-5"/>
                <w:lang w:val="es-ES"/>
              </w:rPr>
              <w:t>Transferencias de capital (recibidas</w:t>
            </w:r>
            <w:r w:rsidR="008506B5">
              <w:rPr>
                <w:rFonts w:cs="Times New Roman"/>
                <w:spacing w:val="-5"/>
                <w:lang w:val="es-ES"/>
              </w:rPr>
              <w:t>, +</w:t>
            </w:r>
            <w:r>
              <w:rPr>
                <w:rFonts w:cs="Times New Roman"/>
                <w:spacing w:val="-5"/>
                <w:lang w:val="es-ES"/>
              </w:rPr>
              <w:t>)</w:t>
            </w:r>
          </w:p>
          <w:p w14:paraId="77A405B6" w14:textId="4C72E966" w:rsidR="008506B5" w:rsidRPr="0066567D" w:rsidRDefault="008506B5" w:rsidP="00916A2D">
            <w:pPr>
              <w:keepNext/>
              <w:spacing w:after="0"/>
              <w:rPr>
                <w:rFonts w:cs="Times New Roman"/>
                <w:spacing w:val="-5"/>
                <w:lang w:val="es-ES"/>
              </w:rPr>
            </w:pPr>
            <w:r>
              <w:rPr>
                <w:rFonts w:cs="Times New Roman"/>
                <w:spacing w:val="-5"/>
                <w:lang w:val="es-ES"/>
              </w:rPr>
              <w:t>Transferencias de capital (pagadas, −)</w:t>
            </w:r>
          </w:p>
        </w:tc>
      </w:tr>
      <w:tr w:rsidR="006852B6" w:rsidRPr="0066567D" w14:paraId="1B8F4648" w14:textId="77777777" w:rsidTr="00AB0E6F">
        <w:trPr>
          <w:jc w:val="center"/>
        </w:trPr>
        <w:tc>
          <w:tcPr>
            <w:tcW w:w="4322" w:type="dxa"/>
            <w:tcBorders>
              <w:left w:val="nil"/>
              <w:bottom w:val="nil"/>
            </w:tcBorders>
          </w:tcPr>
          <w:p w14:paraId="724D26E7" w14:textId="5AD7716E" w:rsidR="006852B6" w:rsidRPr="0066567D" w:rsidRDefault="006852B6" w:rsidP="00AB0E6F">
            <w:pPr>
              <w:spacing w:after="0"/>
              <w:rPr>
                <w:rFonts w:cs="Times New Roman"/>
                <w:i/>
                <w:spacing w:val="-6"/>
                <w:lang w:val="es-ES"/>
              </w:rPr>
            </w:pPr>
            <w:r>
              <w:rPr>
                <w:rFonts w:cs="Times New Roman"/>
                <w:i/>
                <w:spacing w:val="-6"/>
                <w:lang w:val="es-ES"/>
              </w:rPr>
              <w:t xml:space="preserve">Variación del Patrimonio Neto debido al Ahorro y </w:t>
            </w:r>
            <w:r w:rsidR="009D193A">
              <w:rPr>
                <w:rFonts w:cs="Times New Roman"/>
                <w:i/>
                <w:spacing w:val="-6"/>
                <w:lang w:val="es-ES"/>
              </w:rPr>
              <w:t xml:space="preserve">a las </w:t>
            </w:r>
            <w:r>
              <w:rPr>
                <w:rFonts w:cs="Times New Roman"/>
                <w:i/>
                <w:spacing w:val="-6"/>
                <w:lang w:val="es-ES"/>
              </w:rPr>
              <w:t xml:space="preserve">Transferencias de </w:t>
            </w:r>
            <w:r w:rsidR="009D193A">
              <w:rPr>
                <w:rFonts w:cs="Times New Roman"/>
                <w:i/>
                <w:spacing w:val="-6"/>
                <w:lang w:val="es-ES"/>
              </w:rPr>
              <w:t>C</w:t>
            </w:r>
            <w:r>
              <w:rPr>
                <w:rFonts w:cs="Times New Roman"/>
                <w:i/>
                <w:spacing w:val="-6"/>
                <w:lang w:val="es-ES"/>
              </w:rPr>
              <w:t>apital (VPNDAYTK)</w:t>
            </w:r>
          </w:p>
        </w:tc>
        <w:tc>
          <w:tcPr>
            <w:tcW w:w="4322" w:type="dxa"/>
            <w:tcBorders>
              <w:bottom w:val="nil"/>
              <w:right w:val="nil"/>
            </w:tcBorders>
          </w:tcPr>
          <w:p w14:paraId="14DA738B" w14:textId="77777777" w:rsidR="006852B6" w:rsidRPr="0066567D" w:rsidRDefault="006852B6" w:rsidP="00AB0E6F">
            <w:pPr>
              <w:spacing w:after="0"/>
              <w:rPr>
                <w:rFonts w:cs="Times New Roman"/>
                <w:lang w:val="es-ES"/>
              </w:rPr>
            </w:pPr>
          </w:p>
        </w:tc>
      </w:tr>
    </w:tbl>
    <w:p w14:paraId="57FCDACA" w14:textId="4FD4AA01" w:rsidR="00B15FF7" w:rsidRPr="00CB3EC7" w:rsidRDefault="00B15FF7" w:rsidP="00821DCE">
      <w:pPr>
        <w:pStyle w:val="Nivel3SM"/>
        <w:keepNext/>
        <w:rPr>
          <w:b/>
        </w:rPr>
      </w:pPr>
      <w:r>
        <w:t>Variación de pasivos:</w:t>
      </w:r>
    </w:p>
    <w:p w14:paraId="1A625C17" w14:textId="77777777" w:rsidR="00B15FF7" w:rsidRPr="00CB3EC7" w:rsidRDefault="00B15FF7" w:rsidP="00821DCE">
      <w:pPr>
        <w:pStyle w:val="Nivel4"/>
        <w:ind w:left="1474"/>
        <w:rPr>
          <w:b/>
        </w:rPr>
      </w:pPr>
      <w:r>
        <w:t>Ahorro neto (saldo de la última cuenta de las cuentas corrientes).</w:t>
      </w:r>
    </w:p>
    <w:p w14:paraId="4A7396A0" w14:textId="75EE3E30" w:rsidR="00B15FF7" w:rsidRPr="004D6CD6" w:rsidRDefault="00B15FF7" w:rsidP="00821DCE">
      <w:pPr>
        <w:pStyle w:val="Nivel4"/>
        <w:keepNext/>
        <w:ind w:left="1474"/>
        <w:rPr>
          <w:b/>
        </w:rPr>
      </w:pPr>
      <w:r>
        <w:t>Transferencias de capital recibidas</w:t>
      </w:r>
    </w:p>
    <w:p w14:paraId="4F6661C6" w14:textId="77777777" w:rsidR="00B15FF7" w:rsidRPr="00CB3EC7" w:rsidRDefault="004F3B5A" w:rsidP="00821DCE">
      <w:pPr>
        <w:pStyle w:val="Nivel5"/>
        <w:ind w:left="1871"/>
      </w:pPr>
      <w:r w:rsidRPr="0003695A">
        <w:rPr>
          <w:highlight w:val="yellow"/>
        </w:rPr>
        <w:t>FEDER y FCH</w:t>
      </w:r>
      <w:r w:rsidR="00B15FF7">
        <w:t>.</w:t>
      </w:r>
    </w:p>
    <w:p w14:paraId="25C1C71E" w14:textId="4742D4CE" w:rsidR="00B15FF7" w:rsidRPr="00CB3EC7" w:rsidRDefault="00B15FF7" w:rsidP="00821DCE">
      <w:pPr>
        <w:pStyle w:val="Nivel3SM"/>
        <w:keepNext/>
        <w:rPr>
          <w:b/>
        </w:rPr>
      </w:pPr>
      <w:r>
        <w:t>Variación de activos:</w:t>
      </w:r>
    </w:p>
    <w:p w14:paraId="160089BD" w14:textId="677B07FC" w:rsidR="00B15FF7" w:rsidRPr="004D6CD6" w:rsidRDefault="00B15FF7" w:rsidP="00821DCE">
      <w:pPr>
        <w:pStyle w:val="Nivel4"/>
        <w:keepNext/>
        <w:ind w:left="1474"/>
        <w:rPr>
          <w:b/>
        </w:rPr>
      </w:pPr>
      <w:r>
        <w:t>Transferencias de capital pagadas</w:t>
      </w:r>
    </w:p>
    <w:p w14:paraId="2DB0E836" w14:textId="42558FD0" w:rsidR="00B15FF7" w:rsidRPr="00CB3EC7" w:rsidRDefault="00B15FF7" w:rsidP="00821DCE">
      <w:pPr>
        <w:pStyle w:val="Nivel5"/>
        <w:ind w:left="1871"/>
        <w:rPr>
          <w:b/>
        </w:rPr>
      </w:pPr>
      <w:r>
        <w:t>Transferencias de cooperación al desarrollo.</w:t>
      </w:r>
    </w:p>
    <w:p w14:paraId="76C91D35" w14:textId="1376743A" w:rsidR="00B15FF7" w:rsidRPr="004D6CD6" w:rsidRDefault="00B15FF7" w:rsidP="00821DCE">
      <w:pPr>
        <w:pStyle w:val="Nivel3SM"/>
        <w:keepNext/>
        <w:rPr>
          <w:b/>
        </w:rPr>
      </w:pPr>
      <w:r>
        <w:t>Saldo:</w:t>
      </w:r>
    </w:p>
    <w:p w14:paraId="1C725FEF" w14:textId="77777777" w:rsidR="00B15FF7" w:rsidRPr="00CB3EC7" w:rsidRDefault="00B15FF7" w:rsidP="00821DCE">
      <w:pPr>
        <w:pStyle w:val="Nivel4"/>
        <w:ind w:left="1474"/>
        <w:rPr>
          <w:b/>
        </w:rPr>
      </w:pPr>
      <w:r>
        <w:t>Variaciones del patrimonio neto debido al ahorro y a transferencias del capital (</w:t>
      </w:r>
      <w:r w:rsidRPr="00821DCE">
        <w:t>VPNDAYTK), lo cual refleja la variación del patrimonio neto de las AAPP en el ejercicio contable</w:t>
      </w:r>
      <w:r>
        <w:t xml:space="preserve"> correspondiente.</w:t>
      </w:r>
    </w:p>
    <w:p w14:paraId="1D438A00" w14:textId="09CA3DCB" w:rsidR="00B15FF7" w:rsidRPr="00821DCE" w:rsidRDefault="00B15FF7" w:rsidP="00EF31CC">
      <w:pPr>
        <w:pStyle w:val="Ttulo6"/>
        <w:numPr>
          <w:ilvl w:val="0"/>
          <w:numId w:val="53"/>
        </w:numPr>
        <w:ind w:left="0" w:hanging="284"/>
      </w:pPr>
      <w:bookmarkStart w:id="67" w:name="_Toc151113597"/>
      <w:r w:rsidRPr="00821DCE">
        <w:t>Cuenta de adquisiciones de activos no financieros</w:t>
      </w:r>
      <w:bookmarkEnd w:id="67"/>
    </w:p>
    <w:p w14:paraId="1F0391D0" w14:textId="07658BA8" w:rsidR="00B15FF7" w:rsidRDefault="00B15FF7" w:rsidP="00821DCE">
      <w:pPr>
        <w:pStyle w:val="Nivel2SM"/>
      </w:pPr>
      <w:r>
        <w:t>Teniendo en cuenta la variación del patrimonio neto de las AAPP (VPNDAYTK) éstas llevarán a cabo inversiones en capital fijo y adquisiciones de activos no financieros no producidos (AANFNP) como por ejemplo terrenos. Si la variación del patrimonio es mayor que la FBK y las adquisiciones, las AAPP presentarán capacidad de financiación. En caso contrario, presentarán necesidad de financiación.</w:t>
      </w:r>
    </w:p>
    <w:tbl>
      <w:tblPr>
        <w:tblStyle w:val="Tablaconcuadrcula"/>
        <w:tblW w:w="0" w:type="auto"/>
        <w:jc w:val="center"/>
        <w:tblLook w:val="04A0" w:firstRow="1" w:lastRow="0" w:firstColumn="1" w:lastColumn="0" w:noHBand="0" w:noVBand="1"/>
      </w:tblPr>
      <w:tblGrid>
        <w:gridCol w:w="4322"/>
        <w:gridCol w:w="4322"/>
      </w:tblGrid>
      <w:tr w:rsidR="006852B6" w:rsidRPr="0066567D" w14:paraId="336B797C" w14:textId="77777777" w:rsidTr="00AB0E6F">
        <w:trPr>
          <w:jc w:val="center"/>
        </w:trPr>
        <w:tc>
          <w:tcPr>
            <w:tcW w:w="4322" w:type="dxa"/>
            <w:tcBorders>
              <w:left w:val="nil"/>
            </w:tcBorders>
          </w:tcPr>
          <w:p w14:paraId="48BF6FE3" w14:textId="77777777" w:rsidR="006852B6" w:rsidRPr="0066567D" w:rsidRDefault="006852B6" w:rsidP="00804C37">
            <w:pPr>
              <w:keepNext/>
              <w:spacing w:after="0"/>
              <w:jc w:val="center"/>
              <w:rPr>
                <w:rFonts w:cs="Times New Roman"/>
                <w:b/>
              </w:rPr>
            </w:pPr>
            <w:proofErr w:type="spellStart"/>
            <w:r>
              <w:rPr>
                <w:rFonts w:cs="Times New Roman"/>
                <w:b/>
              </w:rPr>
              <w:t>Variación</w:t>
            </w:r>
            <w:proofErr w:type="spellEnd"/>
            <w:r>
              <w:rPr>
                <w:rFonts w:cs="Times New Roman"/>
                <w:b/>
              </w:rPr>
              <w:t xml:space="preserve"> de Activos</w:t>
            </w:r>
          </w:p>
        </w:tc>
        <w:tc>
          <w:tcPr>
            <w:tcW w:w="4322" w:type="dxa"/>
            <w:tcBorders>
              <w:right w:val="nil"/>
            </w:tcBorders>
          </w:tcPr>
          <w:p w14:paraId="73342B3B" w14:textId="77777777" w:rsidR="006852B6" w:rsidRPr="0066567D" w:rsidRDefault="006852B6" w:rsidP="00804C37">
            <w:pPr>
              <w:keepNext/>
              <w:spacing w:after="0"/>
              <w:jc w:val="center"/>
              <w:rPr>
                <w:rFonts w:cs="Times New Roman"/>
                <w:b/>
              </w:rPr>
            </w:pPr>
            <w:proofErr w:type="spellStart"/>
            <w:r>
              <w:rPr>
                <w:rFonts w:cs="Times New Roman"/>
                <w:b/>
              </w:rPr>
              <w:t>Variación</w:t>
            </w:r>
            <w:proofErr w:type="spellEnd"/>
            <w:r>
              <w:rPr>
                <w:rFonts w:cs="Times New Roman"/>
                <w:b/>
              </w:rPr>
              <w:t xml:space="preserve"> de </w:t>
            </w:r>
            <w:proofErr w:type="spellStart"/>
            <w:r>
              <w:rPr>
                <w:rFonts w:cs="Times New Roman"/>
                <w:b/>
              </w:rPr>
              <w:t>Pasivos</w:t>
            </w:r>
            <w:proofErr w:type="spellEnd"/>
          </w:p>
        </w:tc>
      </w:tr>
      <w:tr w:rsidR="006852B6" w:rsidRPr="0066567D" w14:paraId="44D806FF" w14:textId="77777777" w:rsidTr="00AB0E6F">
        <w:trPr>
          <w:jc w:val="center"/>
        </w:trPr>
        <w:tc>
          <w:tcPr>
            <w:tcW w:w="4322" w:type="dxa"/>
            <w:tcBorders>
              <w:left w:val="nil"/>
              <w:bottom w:val="nil"/>
            </w:tcBorders>
          </w:tcPr>
          <w:p w14:paraId="1F55F680" w14:textId="3A77526F" w:rsidR="006852B6" w:rsidRDefault="006852B6" w:rsidP="00804C37">
            <w:pPr>
              <w:keepNext/>
              <w:spacing w:after="0"/>
              <w:rPr>
                <w:rFonts w:cs="Times New Roman"/>
                <w:spacing w:val="-5"/>
                <w:lang w:val="es-ES"/>
              </w:rPr>
            </w:pPr>
            <w:r>
              <w:rPr>
                <w:rFonts w:cs="Times New Roman"/>
                <w:spacing w:val="-5"/>
                <w:lang w:val="es-ES"/>
              </w:rPr>
              <w:t>Formación Bruta de Capital Fijo (FBKF)</w:t>
            </w:r>
          </w:p>
          <w:p w14:paraId="7F59CE3B" w14:textId="3BE9745F" w:rsidR="006852B6" w:rsidRDefault="006852B6" w:rsidP="00804C37">
            <w:pPr>
              <w:keepNext/>
              <w:spacing w:after="0"/>
              <w:rPr>
                <w:rFonts w:cs="Times New Roman"/>
                <w:spacing w:val="-5"/>
                <w:lang w:val="es-ES"/>
              </w:rPr>
            </w:pPr>
            <w:r>
              <w:rPr>
                <w:rFonts w:cs="Times New Roman"/>
                <w:spacing w:val="-5"/>
                <w:lang w:val="es-ES"/>
              </w:rPr>
              <w:t>Variación de Existencias</w:t>
            </w:r>
          </w:p>
          <w:p w14:paraId="3D20580C" w14:textId="7D5CD3A1" w:rsidR="006852B6" w:rsidRPr="00C82831" w:rsidRDefault="006852B6" w:rsidP="00804C37">
            <w:pPr>
              <w:keepNext/>
              <w:spacing w:after="0"/>
              <w:rPr>
                <w:rFonts w:cs="Times New Roman"/>
                <w:sz w:val="19"/>
                <w:szCs w:val="19"/>
                <w:lang w:val="es-ES"/>
              </w:rPr>
            </w:pPr>
            <w:r>
              <w:rPr>
                <w:rFonts w:cs="Times New Roman"/>
                <w:spacing w:val="-5"/>
                <w:lang w:val="es-ES"/>
              </w:rPr>
              <w:t>Adquisición de Activos No Financieros No Producidos (AANFNP)</w:t>
            </w:r>
          </w:p>
        </w:tc>
        <w:tc>
          <w:tcPr>
            <w:tcW w:w="4322" w:type="dxa"/>
            <w:tcBorders>
              <w:bottom w:val="nil"/>
              <w:right w:val="nil"/>
            </w:tcBorders>
          </w:tcPr>
          <w:p w14:paraId="23E93662" w14:textId="6916319F" w:rsidR="006852B6" w:rsidRPr="009D193A" w:rsidRDefault="006852B6" w:rsidP="00804C37">
            <w:pPr>
              <w:keepNext/>
              <w:spacing w:after="0"/>
              <w:rPr>
                <w:rFonts w:cs="Times New Roman"/>
                <w:iCs/>
                <w:spacing w:val="-8"/>
                <w:lang w:val="es-ES"/>
              </w:rPr>
            </w:pPr>
            <w:r w:rsidRPr="009D193A">
              <w:rPr>
                <w:rFonts w:cs="Times New Roman"/>
                <w:iCs/>
                <w:spacing w:val="-8"/>
                <w:sz w:val="21"/>
                <w:szCs w:val="21"/>
                <w:lang w:val="es-ES"/>
              </w:rPr>
              <w:t xml:space="preserve">Variación del Patrimonio Neto debido al Ahorro y </w:t>
            </w:r>
            <w:r w:rsidR="009D193A" w:rsidRPr="009D193A">
              <w:rPr>
                <w:rFonts w:cs="Times New Roman"/>
                <w:iCs/>
                <w:spacing w:val="-8"/>
                <w:sz w:val="21"/>
                <w:szCs w:val="21"/>
                <w:lang w:val="es-ES"/>
              </w:rPr>
              <w:t xml:space="preserve">a las </w:t>
            </w:r>
            <w:r w:rsidRPr="009D193A">
              <w:rPr>
                <w:rFonts w:cs="Times New Roman"/>
                <w:iCs/>
                <w:spacing w:val="-8"/>
                <w:sz w:val="21"/>
                <w:szCs w:val="21"/>
                <w:lang w:val="es-ES"/>
              </w:rPr>
              <w:t xml:space="preserve">Transferencias de </w:t>
            </w:r>
            <w:r w:rsidR="009D193A" w:rsidRPr="009D193A">
              <w:rPr>
                <w:rFonts w:cs="Times New Roman"/>
                <w:iCs/>
                <w:spacing w:val="-8"/>
                <w:sz w:val="21"/>
                <w:szCs w:val="21"/>
                <w:lang w:val="es-ES"/>
              </w:rPr>
              <w:t>C</w:t>
            </w:r>
            <w:r w:rsidRPr="009D193A">
              <w:rPr>
                <w:rFonts w:cs="Times New Roman"/>
                <w:iCs/>
                <w:spacing w:val="-8"/>
                <w:sz w:val="21"/>
                <w:szCs w:val="21"/>
                <w:lang w:val="es-ES"/>
              </w:rPr>
              <w:t xml:space="preserve">apital </w:t>
            </w:r>
            <w:r w:rsidRPr="009D193A">
              <w:rPr>
                <w:rFonts w:cs="Times New Roman"/>
                <w:iCs/>
                <w:spacing w:val="-8"/>
                <w:sz w:val="19"/>
                <w:szCs w:val="19"/>
                <w:lang w:val="es-ES"/>
              </w:rPr>
              <w:t>(VPNDAYTK)</w:t>
            </w:r>
          </w:p>
        </w:tc>
      </w:tr>
      <w:tr w:rsidR="006852B6" w:rsidRPr="0066567D" w14:paraId="4745A102" w14:textId="77777777" w:rsidTr="00AB0E6F">
        <w:trPr>
          <w:jc w:val="center"/>
        </w:trPr>
        <w:tc>
          <w:tcPr>
            <w:tcW w:w="4322" w:type="dxa"/>
            <w:tcBorders>
              <w:left w:val="nil"/>
              <w:bottom w:val="nil"/>
            </w:tcBorders>
          </w:tcPr>
          <w:p w14:paraId="2E9143B9" w14:textId="55DEBB99" w:rsidR="006852B6" w:rsidRPr="0066567D" w:rsidRDefault="006852B6" w:rsidP="00AB0E6F">
            <w:pPr>
              <w:spacing w:after="0"/>
              <w:rPr>
                <w:rFonts w:cs="Times New Roman"/>
                <w:i/>
                <w:spacing w:val="-6"/>
                <w:lang w:val="es-ES"/>
              </w:rPr>
            </w:pPr>
            <w:r>
              <w:rPr>
                <w:rFonts w:cs="Times New Roman"/>
                <w:i/>
                <w:spacing w:val="-6"/>
                <w:lang w:val="es-ES"/>
              </w:rPr>
              <w:t>Capacidad/Necesidad de Financiación</w:t>
            </w:r>
          </w:p>
        </w:tc>
        <w:tc>
          <w:tcPr>
            <w:tcW w:w="4322" w:type="dxa"/>
            <w:tcBorders>
              <w:bottom w:val="nil"/>
              <w:right w:val="nil"/>
            </w:tcBorders>
          </w:tcPr>
          <w:p w14:paraId="15DFD6F1" w14:textId="77777777" w:rsidR="006852B6" w:rsidRPr="0066567D" w:rsidRDefault="006852B6" w:rsidP="00AB0E6F">
            <w:pPr>
              <w:spacing w:after="0"/>
              <w:rPr>
                <w:rFonts w:cs="Times New Roman"/>
                <w:lang w:val="es-ES"/>
              </w:rPr>
            </w:pPr>
          </w:p>
        </w:tc>
      </w:tr>
    </w:tbl>
    <w:p w14:paraId="41A36880" w14:textId="77777777" w:rsidR="00B15FF7" w:rsidRDefault="00B15FF7" w:rsidP="00821DCE">
      <w:pPr>
        <w:pStyle w:val="Nivel3SM"/>
      </w:pPr>
      <w:r w:rsidRPr="008506B5">
        <w:rPr>
          <w:i/>
          <w:iCs/>
          <w:u w:val="single"/>
        </w:rPr>
        <w:t>Variación de pasivos</w:t>
      </w:r>
      <w:r>
        <w:t>: VPNDAYTK</w:t>
      </w:r>
    </w:p>
    <w:p w14:paraId="34ECBD4F" w14:textId="7F10635B" w:rsidR="00B15FF7" w:rsidRDefault="00B15FF7" w:rsidP="00821DCE">
      <w:pPr>
        <w:pStyle w:val="Nivel3SM"/>
        <w:keepNext/>
      </w:pPr>
      <w:r w:rsidRPr="008506B5">
        <w:rPr>
          <w:i/>
          <w:iCs/>
          <w:u w:val="single"/>
        </w:rPr>
        <w:t>Variación de activos</w:t>
      </w:r>
      <w:r>
        <w:t>:</w:t>
      </w:r>
    </w:p>
    <w:p w14:paraId="79274C1F" w14:textId="70775047" w:rsidR="00B15FF7" w:rsidRDefault="00B15FF7" w:rsidP="00821DCE">
      <w:pPr>
        <w:pStyle w:val="Nivel4"/>
        <w:ind w:left="1474"/>
      </w:pPr>
      <w:r>
        <w:t>Formación bruta de capital fijo (FBK</w:t>
      </w:r>
      <w:r w:rsidR="008506B5">
        <w:t>F</w:t>
      </w:r>
      <w:r>
        <w:t>)</w:t>
      </w:r>
      <w:r w:rsidR="006852B6">
        <w:t>.</w:t>
      </w:r>
    </w:p>
    <w:p w14:paraId="69ACBCCD" w14:textId="0ED597D0" w:rsidR="006852B6" w:rsidRDefault="006852B6" w:rsidP="00821DCE">
      <w:pPr>
        <w:pStyle w:val="Nivel4"/>
        <w:ind w:left="1474"/>
      </w:pPr>
      <w:r>
        <w:t>Variación de existencias.</w:t>
      </w:r>
    </w:p>
    <w:p w14:paraId="73A04BF3" w14:textId="7D9CF3E9" w:rsidR="00B15FF7" w:rsidRDefault="00B15FF7" w:rsidP="00821DCE">
      <w:pPr>
        <w:pStyle w:val="Nivel4"/>
        <w:ind w:left="1474"/>
      </w:pPr>
      <w:r>
        <w:t>Adquisición de activos no financieros no producidos (AANFNP)</w:t>
      </w:r>
      <w:r w:rsidR="006852B6">
        <w:t>.</w:t>
      </w:r>
    </w:p>
    <w:p w14:paraId="684A96F2" w14:textId="75B1EF3A" w:rsidR="00B15FF7" w:rsidRDefault="00B15FF7" w:rsidP="00821DCE">
      <w:pPr>
        <w:pStyle w:val="Nivel3SM"/>
      </w:pPr>
      <w:r w:rsidRPr="008506B5">
        <w:rPr>
          <w:i/>
          <w:iCs/>
          <w:u w:val="single"/>
        </w:rPr>
        <w:t>Saldo</w:t>
      </w:r>
      <w:r>
        <w:t>: Capacidad/necesidad de financiación</w:t>
      </w:r>
    </w:p>
    <w:p w14:paraId="108DA114" w14:textId="77777777" w:rsidR="00B15FF7" w:rsidRDefault="00B15FF7" w:rsidP="00821DCE">
      <w:pPr>
        <w:pStyle w:val="Nivel2SM"/>
      </w:pPr>
      <w:r>
        <w:t xml:space="preserve">Por tanto, el saldo de esta cuenta refleja la capacidad/necesidad de financiación de las AAPP, que es la medida </w:t>
      </w:r>
      <w:r w:rsidRPr="007D5743">
        <w:rPr>
          <w:u w:val="single"/>
        </w:rPr>
        <w:t>contable</w:t>
      </w:r>
      <w:r>
        <w:t xml:space="preserve"> más próxima del </w:t>
      </w:r>
      <w:r w:rsidRPr="007D5743">
        <w:rPr>
          <w:u w:val="single"/>
        </w:rPr>
        <w:t>superávit/déficit público</w:t>
      </w:r>
      <w:r>
        <w:t>.</w:t>
      </w:r>
    </w:p>
    <w:p w14:paraId="20DD4CC5" w14:textId="145BDA4E" w:rsidR="00B15FF7" w:rsidRPr="00D02B16" w:rsidRDefault="00B15FF7" w:rsidP="00EF31CC">
      <w:pPr>
        <w:pStyle w:val="Ttulo3"/>
      </w:pPr>
      <w:bookmarkStart w:id="68" w:name="_Toc151113598"/>
      <w:r>
        <w:t>Cuenta Financiera</w:t>
      </w:r>
      <w:bookmarkEnd w:id="68"/>
    </w:p>
    <w:p w14:paraId="64D6D989" w14:textId="77777777" w:rsidR="00B15FF7" w:rsidRDefault="00B15FF7" w:rsidP="00821DCE">
      <w:pPr>
        <w:pStyle w:val="Nivel2SM"/>
        <w:keepNext/>
        <w:spacing w:after="0"/>
      </w:pPr>
      <w:r>
        <w:t xml:space="preserve">Muestra </w:t>
      </w:r>
      <w:r w:rsidRPr="00823A04">
        <w:t>en qué activos se materializa la capacidad/necesidad de financiación</w:t>
      </w:r>
      <w:r>
        <w:t>.</w:t>
      </w:r>
    </w:p>
    <w:p w14:paraId="2080C2F4" w14:textId="63781BE9" w:rsidR="00B15FF7" w:rsidRDefault="00B15FF7" w:rsidP="00821DCE">
      <w:pPr>
        <w:pStyle w:val="Nivel3SM"/>
      </w:pPr>
      <w:r>
        <w:t>Oro, DEG, Efectivo, Obligaciones, Valores de renta variable…</w:t>
      </w:r>
    </w:p>
    <w:tbl>
      <w:tblPr>
        <w:tblStyle w:val="Tablaconcuadrcula"/>
        <w:tblW w:w="0" w:type="auto"/>
        <w:jc w:val="center"/>
        <w:tblLook w:val="04A0" w:firstRow="1" w:lastRow="0" w:firstColumn="1" w:lastColumn="0" w:noHBand="0" w:noVBand="1"/>
      </w:tblPr>
      <w:tblGrid>
        <w:gridCol w:w="4322"/>
        <w:gridCol w:w="4322"/>
      </w:tblGrid>
      <w:tr w:rsidR="009638D9" w:rsidRPr="0066567D" w14:paraId="4CDA8FE3" w14:textId="77777777" w:rsidTr="00AB0E6F">
        <w:trPr>
          <w:jc w:val="center"/>
        </w:trPr>
        <w:tc>
          <w:tcPr>
            <w:tcW w:w="4322" w:type="dxa"/>
            <w:tcBorders>
              <w:left w:val="nil"/>
            </w:tcBorders>
          </w:tcPr>
          <w:p w14:paraId="3BEB1EB0" w14:textId="77777777" w:rsidR="009638D9" w:rsidRPr="0066567D" w:rsidRDefault="009638D9" w:rsidP="00804C37">
            <w:pPr>
              <w:keepNext/>
              <w:spacing w:after="0"/>
              <w:jc w:val="center"/>
              <w:rPr>
                <w:rFonts w:cs="Times New Roman"/>
                <w:b/>
              </w:rPr>
            </w:pPr>
            <w:proofErr w:type="spellStart"/>
            <w:r>
              <w:rPr>
                <w:rFonts w:cs="Times New Roman"/>
                <w:b/>
              </w:rPr>
              <w:lastRenderedPageBreak/>
              <w:t>Variación</w:t>
            </w:r>
            <w:proofErr w:type="spellEnd"/>
            <w:r>
              <w:rPr>
                <w:rFonts w:cs="Times New Roman"/>
                <w:b/>
              </w:rPr>
              <w:t xml:space="preserve"> de Activos</w:t>
            </w:r>
          </w:p>
        </w:tc>
        <w:tc>
          <w:tcPr>
            <w:tcW w:w="4322" w:type="dxa"/>
            <w:tcBorders>
              <w:right w:val="nil"/>
            </w:tcBorders>
          </w:tcPr>
          <w:p w14:paraId="46051A9B" w14:textId="77777777" w:rsidR="009638D9" w:rsidRPr="0066567D" w:rsidRDefault="009638D9" w:rsidP="00804C37">
            <w:pPr>
              <w:keepNext/>
              <w:spacing w:after="0"/>
              <w:jc w:val="center"/>
              <w:rPr>
                <w:rFonts w:cs="Times New Roman"/>
                <w:b/>
              </w:rPr>
            </w:pPr>
            <w:proofErr w:type="spellStart"/>
            <w:r>
              <w:rPr>
                <w:rFonts w:cs="Times New Roman"/>
                <w:b/>
              </w:rPr>
              <w:t>Variación</w:t>
            </w:r>
            <w:proofErr w:type="spellEnd"/>
            <w:r>
              <w:rPr>
                <w:rFonts w:cs="Times New Roman"/>
                <w:b/>
              </w:rPr>
              <w:t xml:space="preserve"> de </w:t>
            </w:r>
            <w:proofErr w:type="spellStart"/>
            <w:r>
              <w:rPr>
                <w:rFonts w:cs="Times New Roman"/>
                <w:b/>
              </w:rPr>
              <w:t>Pasivos</w:t>
            </w:r>
            <w:proofErr w:type="spellEnd"/>
          </w:p>
        </w:tc>
      </w:tr>
      <w:tr w:rsidR="009638D9" w:rsidRPr="0066567D" w14:paraId="10255B91" w14:textId="77777777" w:rsidTr="00AB0E6F">
        <w:trPr>
          <w:jc w:val="center"/>
        </w:trPr>
        <w:tc>
          <w:tcPr>
            <w:tcW w:w="4322" w:type="dxa"/>
            <w:tcBorders>
              <w:left w:val="nil"/>
              <w:bottom w:val="nil"/>
            </w:tcBorders>
          </w:tcPr>
          <w:p w14:paraId="77CEE0A9" w14:textId="34E75802" w:rsidR="009638D9" w:rsidRPr="00C82831" w:rsidRDefault="009638D9" w:rsidP="00AB0E6F">
            <w:pPr>
              <w:spacing w:after="0"/>
              <w:rPr>
                <w:rFonts w:cs="Times New Roman"/>
                <w:sz w:val="19"/>
                <w:szCs w:val="19"/>
                <w:lang w:val="es-ES"/>
              </w:rPr>
            </w:pPr>
            <w:r>
              <w:rPr>
                <w:rFonts w:cs="Times New Roman"/>
                <w:spacing w:val="-5"/>
                <w:lang w:val="es-ES"/>
              </w:rPr>
              <w:t>Adquisición neta de activos financieros</w:t>
            </w:r>
            <w:r>
              <w:rPr>
                <w:rFonts w:cs="Times New Roman"/>
                <w:spacing w:val="-5"/>
                <w:lang w:val="es-ES"/>
              </w:rPr>
              <w:br/>
              <w:t>(Oro, DEG, Efectivo, Obligaciones)</w:t>
            </w:r>
          </w:p>
        </w:tc>
        <w:tc>
          <w:tcPr>
            <w:tcW w:w="4322" w:type="dxa"/>
            <w:tcBorders>
              <w:bottom w:val="nil"/>
              <w:right w:val="nil"/>
            </w:tcBorders>
          </w:tcPr>
          <w:p w14:paraId="2347E8D9" w14:textId="77777777" w:rsidR="009638D9" w:rsidRDefault="009638D9" w:rsidP="00AB0E6F">
            <w:pPr>
              <w:spacing w:after="0"/>
              <w:rPr>
                <w:rFonts w:cs="Times New Roman"/>
                <w:lang w:val="es-ES"/>
              </w:rPr>
            </w:pPr>
            <w:r>
              <w:rPr>
                <w:rFonts w:cs="Times New Roman"/>
                <w:lang w:val="es-ES"/>
              </w:rPr>
              <w:t>Capacidad/Necesidad de Financiación</w:t>
            </w:r>
          </w:p>
          <w:p w14:paraId="155244C8" w14:textId="37536777" w:rsidR="009638D9" w:rsidRPr="0066567D" w:rsidRDefault="009638D9" w:rsidP="00AB0E6F">
            <w:pPr>
              <w:spacing w:after="0"/>
              <w:rPr>
                <w:rFonts w:cs="Times New Roman"/>
                <w:spacing w:val="-5"/>
                <w:lang w:val="es-ES"/>
              </w:rPr>
            </w:pPr>
            <w:r>
              <w:rPr>
                <w:rFonts w:cs="Times New Roman"/>
                <w:spacing w:val="-5"/>
                <w:lang w:val="es-ES"/>
              </w:rPr>
              <w:t>Incremento neto de pasivos financieros</w:t>
            </w:r>
          </w:p>
        </w:tc>
      </w:tr>
    </w:tbl>
    <w:p w14:paraId="0D24F294" w14:textId="7D98B234" w:rsidR="00B15FF7" w:rsidRDefault="00B15FF7" w:rsidP="00821DCE">
      <w:pPr>
        <w:pStyle w:val="Nivel3SM"/>
      </w:pPr>
      <w:r>
        <w:t>D</w:t>
      </w:r>
      <w:r w:rsidR="00754F16">
        <w:t>o</w:t>
      </w:r>
      <w:r>
        <w:t xml:space="preserve">nde el saldo de esta cuenta coincide con el saldo de la cuenta de capital y es el </w:t>
      </w:r>
      <w:r w:rsidRPr="009864CA">
        <w:rPr>
          <w:u w:val="single"/>
        </w:rPr>
        <w:t>déficit o superávit</w:t>
      </w:r>
      <w:r>
        <w:t xml:space="preserve"> de las cuentas públicas.</w:t>
      </w:r>
    </w:p>
    <w:p w14:paraId="449CDE10" w14:textId="17C5B141" w:rsidR="00BB2302" w:rsidRDefault="00BB2302" w:rsidP="00821DCE">
      <w:pPr>
        <w:pStyle w:val="Nivel3SM"/>
      </w:pPr>
      <w:r>
        <w:t>En España, en 2022, el déficit fue del 4,8 % del PIB.</w:t>
      </w:r>
    </w:p>
    <w:p w14:paraId="3880E436" w14:textId="2F287783" w:rsidR="00B15FF7" w:rsidRPr="00D02B16" w:rsidRDefault="00B15FF7" w:rsidP="00EF31CC">
      <w:pPr>
        <w:pStyle w:val="Ttulo6"/>
      </w:pPr>
      <w:bookmarkStart w:id="69" w:name="_Toc151113599"/>
      <w:r w:rsidRPr="00F054D1">
        <w:t>Déficit Público</w:t>
      </w:r>
      <w:bookmarkEnd w:id="69"/>
    </w:p>
    <w:p w14:paraId="308AF9B8" w14:textId="7A5F2557" w:rsidR="00B15FF7" w:rsidRDefault="00B15FF7" w:rsidP="00821DCE">
      <w:pPr>
        <w:pStyle w:val="Nivel2SM"/>
        <w:keepNext/>
        <w:spacing w:after="0"/>
      </w:pPr>
      <w:bookmarkStart w:id="70" w:name="_Hlk146278048"/>
      <w:r>
        <w:t>La capacidad o necesidad de financiación que acabamos de obtener equivale al déficit público. No obstante,</w:t>
      </w:r>
      <w:r w:rsidR="00870CD4">
        <w:t xml:space="preserve"> existen diferentes</w:t>
      </w:r>
      <w:r w:rsidR="00725373">
        <w:t xml:space="preserve"> medidas.</w:t>
      </w:r>
    </w:p>
    <w:p w14:paraId="69A81665" w14:textId="77777777" w:rsidR="00821DCE" w:rsidRDefault="00821DCE" w:rsidP="00821DCE">
      <w:pPr>
        <w:pStyle w:val="Nivel3SM"/>
        <w:keepNext/>
      </w:pPr>
      <w:r w:rsidRPr="00082E23">
        <w:rPr>
          <w:i/>
          <w:iCs/>
          <w:u w:val="single"/>
        </w:rPr>
        <w:t>Según las instituciones públicas consideradas</w:t>
      </w:r>
      <w:r>
        <w:t>:</w:t>
      </w:r>
    </w:p>
    <w:p w14:paraId="70700372" w14:textId="77777777" w:rsidR="00821DCE" w:rsidRDefault="00821DCE" w:rsidP="00821DCE">
      <w:pPr>
        <w:pStyle w:val="Nivel4"/>
        <w:ind w:left="1474"/>
      </w:pPr>
      <w:r>
        <w:t>Saldo de las AA.PP., del Estado, de las CC.AA…</w:t>
      </w:r>
    </w:p>
    <w:p w14:paraId="144115B1" w14:textId="77777777" w:rsidR="00821DCE" w:rsidRDefault="00821DCE" w:rsidP="00821DCE">
      <w:pPr>
        <w:pStyle w:val="Nivel3SM"/>
        <w:keepNext/>
      </w:pPr>
      <w:r w:rsidRPr="00082E23">
        <w:rPr>
          <w:i/>
          <w:iCs/>
          <w:u w:val="single"/>
        </w:rPr>
        <w:t>Según la naturaleza de las operaciones</w:t>
      </w:r>
      <w:r>
        <w:t>:</w:t>
      </w:r>
    </w:p>
    <w:p w14:paraId="6AAB8841" w14:textId="642CACA9" w:rsidR="00821DCE" w:rsidRPr="00082E23" w:rsidRDefault="00821DCE" w:rsidP="00082E23">
      <w:pPr>
        <w:pStyle w:val="Nivel4"/>
        <w:ind w:left="1474"/>
      </w:pPr>
      <w:r w:rsidRPr="00082E23">
        <w:rPr>
          <w:i/>
          <w:iCs/>
        </w:rPr>
        <w:t>Saldo del sector público</w:t>
      </w:r>
      <w:r w:rsidR="00082E23">
        <w:t xml:space="preserve"> = </w:t>
      </w:r>
      <w:r>
        <w:t>Ingresos – G</w:t>
      </w:r>
      <w:r w:rsidRPr="00082E23">
        <w:t>astos</w:t>
      </w:r>
    </w:p>
    <w:p w14:paraId="2C482EFB" w14:textId="4CD16282" w:rsidR="00821DCE" w:rsidRPr="00082E23" w:rsidRDefault="00821DCE" w:rsidP="00082E23">
      <w:pPr>
        <w:pStyle w:val="Nivel4"/>
        <w:ind w:left="1474"/>
      </w:pPr>
      <w:r w:rsidRPr="00082E23">
        <w:rPr>
          <w:i/>
          <w:iCs/>
        </w:rPr>
        <w:t>Saldo cíclicamente ajustado</w:t>
      </w:r>
      <w:r w:rsidR="00082E23">
        <w:t xml:space="preserve"> = </w:t>
      </w:r>
      <w:r w:rsidRPr="00082E23">
        <w:t>Saldo – efectos estabilizadores automáticos</w:t>
      </w:r>
    </w:p>
    <w:p w14:paraId="5A1F5751" w14:textId="309BC127" w:rsidR="00821DCE" w:rsidRPr="00082E23" w:rsidRDefault="00821DCE" w:rsidP="00082E23">
      <w:pPr>
        <w:pStyle w:val="Nivel4"/>
        <w:ind w:left="1474"/>
      </w:pPr>
      <w:r w:rsidRPr="00082E23">
        <w:rPr>
          <w:i/>
          <w:iCs/>
        </w:rPr>
        <w:t>Saldo estructural</w:t>
      </w:r>
      <w:r w:rsidR="00082E23">
        <w:t xml:space="preserve"> = </w:t>
      </w:r>
      <w:r w:rsidRPr="00082E23">
        <w:t xml:space="preserve">Saldo – efectos estabilizadores automáticos – </w:t>
      </w:r>
      <w:proofErr w:type="spellStart"/>
      <w:r w:rsidRPr="00264456">
        <w:rPr>
          <w:i/>
          <w:iCs/>
        </w:rPr>
        <w:t>one-offs</w:t>
      </w:r>
      <w:proofErr w:type="spellEnd"/>
    </w:p>
    <w:p w14:paraId="79A02293" w14:textId="64CD656C" w:rsidR="00821DCE" w:rsidRPr="00082E23" w:rsidRDefault="00821DCE" w:rsidP="00082E23">
      <w:pPr>
        <w:pStyle w:val="Nivel4"/>
        <w:ind w:left="1474"/>
      </w:pPr>
      <w:r w:rsidRPr="00082E23">
        <w:rPr>
          <w:i/>
          <w:iCs/>
        </w:rPr>
        <w:t>Saldo primario</w:t>
      </w:r>
      <w:r w:rsidR="00082E23">
        <w:t xml:space="preserve"> = </w:t>
      </w:r>
      <w:r w:rsidRPr="00082E23">
        <w:t>Saldo – servicio al pago de la deuda</w:t>
      </w:r>
    </w:p>
    <w:p w14:paraId="2AD2FD0A" w14:textId="4D06BF7A" w:rsidR="00821DCE" w:rsidRDefault="00821DCE" w:rsidP="00082E23">
      <w:pPr>
        <w:pStyle w:val="Nivel4"/>
        <w:ind w:left="1474"/>
      </w:pPr>
      <w:r w:rsidRPr="00082E23">
        <w:rPr>
          <w:i/>
          <w:iCs/>
        </w:rPr>
        <w:t>Saldo primario cíclicamente ajustado</w:t>
      </w:r>
      <w:r w:rsidR="00082E23">
        <w:t xml:space="preserve"> = </w:t>
      </w:r>
      <w:r w:rsidRPr="004F2446">
        <w:t>Saldo</w:t>
      </w:r>
      <w:r>
        <w:t xml:space="preserve"> </w:t>
      </w:r>
      <w:r w:rsidRPr="004F2446">
        <w:t>– efectos del ciclo – servicio deuda</w:t>
      </w:r>
    </w:p>
    <w:p w14:paraId="53859B31" w14:textId="77777777" w:rsidR="00082E23" w:rsidRPr="009638D9" w:rsidRDefault="00082E23" w:rsidP="00082E23">
      <w:pPr>
        <w:pStyle w:val="Nivel4"/>
        <w:ind w:left="1474"/>
      </w:pPr>
      <w:r w:rsidRPr="00082E23">
        <w:rPr>
          <w:i/>
          <w:iCs/>
        </w:rPr>
        <w:t>Saldo primario estructural</w:t>
      </w:r>
      <w:r>
        <w:t xml:space="preserve"> = </w:t>
      </w:r>
      <w:r w:rsidRPr="00082E23">
        <w:t xml:space="preserve">Saldo – efectos del ciclo – servicio deuda – </w:t>
      </w:r>
      <w:proofErr w:type="spellStart"/>
      <w:r w:rsidRPr="00264456">
        <w:rPr>
          <w:i/>
          <w:iCs/>
        </w:rPr>
        <w:t>one-offs</w:t>
      </w:r>
      <w:proofErr w:type="spellEnd"/>
    </w:p>
    <w:p w14:paraId="73DC845C" w14:textId="5BBD2770" w:rsidR="009638D9" w:rsidRDefault="009638D9" w:rsidP="009638D9">
      <w:pPr>
        <w:pStyle w:val="Ttulo3"/>
      </w:pPr>
      <w:bookmarkStart w:id="71" w:name="_Toc151113600"/>
      <w:r>
        <w:t>Cuenta de otras variaciones de activos</w:t>
      </w:r>
      <w:bookmarkEnd w:id="71"/>
    </w:p>
    <w:p w14:paraId="03F437FA" w14:textId="1CB77706" w:rsidR="009638D9" w:rsidRDefault="009638D9" w:rsidP="009638D9">
      <w:pPr>
        <w:pStyle w:val="Nivel1SM"/>
        <w:keepNext/>
        <w:spacing w:before="0" w:after="0"/>
      </w:pPr>
      <w:r>
        <w:t>Las cuentas de otras variaciones de activos registran variaciones de los activos y pasivos y, por ende, de los cambios en el valor neto como consecuencia d eflujos que no constituyen transacciones (intercambios o transferencias), ni variaciones de existencia ni depreciación del capital ordinario.</w:t>
      </w:r>
    </w:p>
    <w:p w14:paraId="10B760E4" w14:textId="77777777" w:rsidR="009638D9" w:rsidRDefault="009638D9" w:rsidP="009638D9">
      <w:pPr>
        <w:pStyle w:val="Nivel2SM"/>
        <w:keepNext/>
        <w:spacing w:after="0"/>
      </w:pPr>
      <w:r>
        <w:t>Se distinguen 2 cuentas:</w:t>
      </w:r>
    </w:p>
    <w:p w14:paraId="64021289" w14:textId="254C34FF" w:rsidR="009638D9" w:rsidRDefault="009638D9" w:rsidP="009638D9">
      <w:pPr>
        <w:pStyle w:val="Nivel3SM"/>
      </w:pPr>
      <w:r>
        <w:t>Cuenta de otras variaciones de volumen de activos.</w:t>
      </w:r>
    </w:p>
    <w:p w14:paraId="01F6ADC8" w14:textId="1B2256F5" w:rsidR="009638D9" w:rsidRDefault="009638D9" w:rsidP="009638D9">
      <w:pPr>
        <w:pStyle w:val="Nivel3SM"/>
        <w:keepNext/>
      </w:pPr>
      <w:r>
        <w:t>Cuenta de revalorización:</w:t>
      </w:r>
    </w:p>
    <w:p w14:paraId="4DF6E672" w14:textId="0DB732F1" w:rsidR="009638D9" w:rsidRDefault="009638D9" w:rsidP="009638D9">
      <w:pPr>
        <w:pStyle w:val="Nivel4"/>
        <w:ind w:left="1474"/>
      </w:pPr>
      <w:r>
        <w:t>Cuenta de ganancias y pérdidas de posesión neutrales.</w:t>
      </w:r>
    </w:p>
    <w:p w14:paraId="13F376E3" w14:textId="1002B106" w:rsidR="009638D9" w:rsidRDefault="009638D9" w:rsidP="009638D9">
      <w:pPr>
        <w:pStyle w:val="Nivel4"/>
        <w:ind w:left="1474"/>
      </w:pPr>
      <w:r>
        <w:t>Cuenta de ganancias y pérdidas de posesión reales.</w:t>
      </w:r>
    </w:p>
    <w:p w14:paraId="7E5DFEAA" w14:textId="48040B6C" w:rsidR="009638D9" w:rsidRDefault="009638D9">
      <w:pPr>
        <w:pStyle w:val="Ttulo6"/>
        <w:numPr>
          <w:ilvl w:val="0"/>
          <w:numId w:val="23"/>
        </w:numPr>
        <w:ind w:left="0" w:hanging="284"/>
      </w:pPr>
      <w:bookmarkStart w:id="72" w:name="_Toc151113601"/>
      <w:r w:rsidRPr="009638D9">
        <w:t>Cuenta</w:t>
      </w:r>
      <w:r>
        <w:t xml:space="preserve"> de otras variaciones del volumen de activos</w:t>
      </w:r>
      <w:bookmarkEnd w:id="72"/>
    </w:p>
    <w:p w14:paraId="2D4CB234" w14:textId="647E8C7A" w:rsidR="009638D9" w:rsidRDefault="009638D9" w:rsidP="009638D9">
      <w:pPr>
        <w:pStyle w:val="Nivel1SM"/>
        <w:spacing w:before="0"/>
      </w:pPr>
      <w:r>
        <w:t xml:space="preserve">La </w:t>
      </w:r>
      <w:r w:rsidRPr="000F23CF">
        <w:rPr>
          <w:i/>
          <w:iCs/>
        </w:rPr>
        <w:t>cuenta de otras variaciones del volumen de los activos</w:t>
      </w:r>
      <w:r>
        <w:t xml:space="preserve"> registra variaciones en el volumen de los activos y pasivos como consecuencia de acontecimientos excepcionales (p.ej. guerras y </w:t>
      </w:r>
      <w:r w:rsidRPr="009638D9">
        <w:t>terremotos</w:t>
      </w:r>
      <w:r>
        <w:t>).</w:t>
      </w:r>
    </w:p>
    <w:p w14:paraId="72A29C15" w14:textId="634ABFFF" w:rsidR="009638D9" w:rsidRDefault="009638D9" w:rsidP="009638D9">
      <w:pPr>
        <w:pStyle w:val="Nivel1SM"/>
        <w:spacing w:before="0"/>
      </w:pPr>
      <w:r>
        <w:t>Las partidas correspondientes a las variaciones de los activos se registran en el lado izquierdo y las partidas para las variaciones de los pasivos y el patrimonio neto se registran en el lado derecho.</w:t>
      </w:r>
    </w:p>
    <w:p w14:paraId="6183DBE6" w14:textId="77777777" w:rsidR="009638D9" w:rsidRPr="00C65362" w:rsidRDefault="009638D9" w:rsidP="009638D9">
      <w:pPr>
        <w:pStyle w:val="Nivel1SM"/>
        <w:spacing w:before="0"/>
      </w:pPr>
      <w:r>
        <w:t xml:space="preserve">Como </w:t>
      </w:r>
      <w:r>
        <w:rPr>
          <w:i/>
          <w:iCs/>
        </w:rPr>
        <w:t>saldo contable</w:t>
      </w:r>
      <w:r>
        <w:t xml:space="preserve"> se obtienen las </w:t>
      </w:r>
      <w:r>
        <w:rPr>
          <w:b/>
          <w:bCs/>
        </w:rPr>
        <w:t>variaciones del valor neto debidas a otras variaciones del volumen de activos</w:t>
      </w:r>
      <w:r w:rsidRPr="000F23CF">
        <w:t>.</w:t>
      </w:r>
    </w:p>
    <w:p w14:paraId="2330CF58" w14:textId="0BFBC32E" w:rsidR="009638D9" w:rsidRDefault="009638D9">
      <w:pPr>
        <w:pStyle w:val="Ttulo6"/>
        <w:numPr>
          <w:ilvl w:val="0"/>
          <w:numId w:val="23"/>
        </w:numPr>
        <w:ind w:left="0" w:hanging="284"/>
      </w:pPr>
      <w:bookmarkStart w:id="73" w:name="_Toc151113602"/>
      <w:r>
        <w:t>Cuentas de revalorización</w:t>
      </w:r>
      <w:bookmarkEnd w:id="73"/>
    </w:p>
    <w:p w14:paraId="3F0EAC93" w14:textId="77777777" w:rsidR="009638D9" w:rsidRPr="00C65362" w:rsidRDefault="009638D9" w:rsidP="009638D9">
      <w:pPr>
        <w:pStyle w:val="Nivel1SM"/>
        <w:spacing w:before="0"/>
      </w:pPr>
      <w:r>
        <w:t xml:space="preserve">Las </w:t>
      </w:r>
      <w:r w:rsidRPr="000F23CF">
        <w:rPr>
          <w:i/>
          <w:iCs/>
        </w:rPr>
        <w:t>cuentas de revalorización</w:t>
      </w:r>
      <w:r>
        <w:t xml:space="preserve"> registran las variaciones que se producen en el valor nominal de los activos reales y financieros ya existentes al principio del período (es decir, por la tenencia de </w:t>
      </w:r>
      <w:proofErr w:type="gramStart"/>
      <w:r>
        <w:t>los mismos</w:t>
      </w:r>
      <w:proofErr w:type="gramEnd"/>
      <w:r>
        <w:t>).</w:t>
      </w:r>
    </w:p>
    <w:p w14:paraId="08894D21" w14:textId="77777777" w:rsidR="00746138" w:rsidRDefault="00746138" w:rsidP="00746138">
      <w:pPr>
        <w:pStyle w:val="Ttulo7"/>
      </w:pPr>
      <w:bookmarkStart w:id="74" w:name="_Ref118724288"/>
      <w:bookmarkStart w:id="75" w:name="_Toc134456378"/>
      <w:r>
        <w:t>Cuenta de ganancias y pérdidas de posesión neutrales (C.III.3.2.1)</w:t>
      </w:r>
      <w:bookmarkEnd w:id="74"/>
      <w:bookmarkEnd w:id="75"/>
    </w:p>
    <w:p w14:paraId="1660939A" w14:textId="77777777" w:rsidR="00746138" w:rsidRPr="007404F7" w:rsidRDefault="00746138" w:rsidP="00746138">
      <w:pPr>
        <w:pStyle w:val="Nivel1SM"/>
        <w:spacing w:before="0"/>
      </w:pPr>
      <w:r>
        <w:t>Revalorización proporcional al nivel general de precios que se obtiene aplicando un índice de la variación del nivel general de precios al valor inicial de todos los activos y pasivos. Afecta a todos los activos y pasivos de la misma forma.</w:t>
      </w:r>
    </w:p>
    <w:p w14:paraId="120B3FA8" w14:textId="77777777" w:rsidR="00746138" w:rsidRDefault="00746138" w:rsidP="00746138">
      <w:pPr>
        <w:pStyle w:val="Ttulo7"/>
      </w:pPr>
      <w:bookmarkStart w:id="76" w:name="_Ref118724291"/>
      <w:bookmarkStart w:id="77" w:name="_Toc134456379"/>
      <w:r>
        <w:t>Cuenta de ganancias y pérdidas de posesión reales (C.III.3.2.2)</w:t>
      </w:r>
      <w:bookmarkEnd w:id="76"/>
      <w:bookmarkEnd w:id="77"/>
    </w:p>
    <w:p w14:paraId="5495D929" w14:textId="77777777" w:rsidR="00746138" w:rsidRPr="00C65362" w:rsidRDefault="00746138" w:rsidP="00746138">
      <w:pPr>
        <w:pStyle w:val="Nivel1SM"/>
        <w:spacing w:before="0"/>
      </w:pPr>
      <w:r>
        <w:t xml:space="preserve">Las ganancias y pérdidas de posesión reales miden la diferencia entre las ganancias y las pérdidas de posesión nominales y las ganancias y pérdidas de posesión neutrales. Se refiere a incrementos y </w:t>
      </w:r>
      <w:r>
        <w:lastRenderedPageBreak/>
        <w:t>disminuciones del precio relativo de un activo, es decir, si el precio efectivo del activo ha aumentado más rápidamente que el nivel general de precios.</w:t>
      </w:r>
    </w:p>
    <w:p w14:paraId="29B8C48D" w14:textId="3B1453F2" w:rsidR="009638D9" w:rsidRDefault="009638D9" w:rsidP="009638D9">
      <w:pPr>
        <w:pStyle w:val="Ttulo3"/>
      </w:pPr>
      <w:bookmarkStart w:id="78" w:name="_Toc151113603"/>
      <w:r>
        <w:t>Balance</w:t>
      </w:r>
      <w:bookmarkEnd w:id="78"/>
    </w:p>
    <w:p w14:paraId="6BB30771" w14:textId="77777777" w:rsidR="00746138" w:rsidRPr="007D42C7" w:rsidRDefault="00746138" w:rsidP="00746138">
      <w:pPr>
        <w:pStyle w:val="Nivel1SM"/>
        <w:spacing w:before="0"/>
      </w:pPr>
      <w:r>
        <w:t>Los balances tienen por objetivo describir los activos, los pasivos y el patrimonio neto de las unidades al principio y al final del ejercicio contable, así como las variaciones que tienen lugar durante dicho periodo.</w:t>
      </w:r>
    </w:p>
    <w:p w14:paraId="4E317442" w14:textId="77777777" w:rsidR="00746138" w:rsidRDefault="00746138">
      <w:pPr>
        <w:pStyle w:val="Ttulo6"/>
        <w:numPr>
          <w:ilvl w:val="0"/>
          <w:numId w:val="24"/>
        </w:numPr>
        <w:ind w:left="511" w:hanging="227"/>
        <w:rPr>
          <w:b w:val="0"/>
          <w:bCs/>
          <w:u w:val="none"/>
        </w:rPr>
      </w:pPr>
      <w:bookmarkStart w:id="79" w:name="_Toc134456382"/>
      <w:bookmarkStart w:id="80" w:name="_Toc151113604"/>
      <w:r>
        <w:t>Balance inicial</w:t>
      </w:r>
      <w:r w:rsidRPr="007C2BD1">
        <w:rPr>
          <w:u w:val="none"/>
        </w:rPr>
        <w:t xml:space="preserve"> (C.IV.1)</w:t>
      </w:r>
      <w:bookmarkEnd w:id="79"/>
      <w:bookmarkEnd w:id="80"/>
    </w:p>
    <w:p w14:paraId="5A45EBB4" w14:textId="77777777" w:rsidR="00746138" w:rsidRPr="00763554" w:rsidRDefault="00746138" w:rsidP="00746138">
      <w:pPr>
        <w:pStyle w:val="Nivel1SM"/>
        <w:spacing w:before="0"/>
        <w:rPr>
          <w:b/>
        </w:rPr>
      </w:pPr>
      <w:r w:rsidRPr="00AA05B4">
        <w:rPr>
          <w:bCs/>
        </w:rPr>
        <w:t>R</w:t>
      </w:r>
      <w:r>
        <w:t xml:space="preserve">egistra el valor de los activos y pasivos que poseen las unidades al principio del ejercicio contable. La diferencia entre los activos y los pasivos (el </w:t>
      </w:r>
      <w:r w:rsidRPr="00AA05B4">
        <w:rPr>
          <w:i/>
          <w:iCs/>
        </w:rPr>
        <w:t>saldo contable</w:t>
      </w:r>
      <w:r>
        <w:t xml:space="preserve">) es el </w:t>
      </w:r>
      <w:r w:rsidRPr="00AA05B4">
        <w:rPr>
          <w:i/>
          <w:iCs/>
        </w:rPr>
        <w:t>patrimonio inicial neto</w:t>
      </w:r>
      <w:r>
        <w:t>.</w:t>
      </w:r>
    </w:p>
    <w:p w14:paraId="68490F1B" w14:textId="30B4A53D" w:rsidR="00763554" w:rsidRPr="007D42C7" w:rsidRDefault="00763554" w:rsidP="00763554">
      <w:pPr>
        <w:pStyle w:val="Nivel1SM"/>
        <w:numPr>
          <w:ilvl w:val="0"/>
          <w:numId w:val="0"/>
        </w:numPr>
        <w:spacing w:before="0"/>
        <w:jc w:val="center"/>
        <w:rPr>
          <w:b/>
        </w:rPr>
      </w:pPr>
      <w:r>
        <w:rPr>
          <w:noProof/>
        </w:rPr>
        <w:drawing>
          <wp:inline distT="0" distB="0" distL="0" distR="0" wp14:anchorId="1D33DE38" wp14:editId="5E58715B">
            <wp:extent cx="2820769" cy="939476"/>
            <wp:effectExtent l="0" t="0" r="0" b="0"/>
            <wp:docPr id="1844333434"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333434" name="Imagen 1" descr="Texto&#10;&#10;Descripción generada automáticamente con confianza media"/>
                    <pic:cNvPicPr/>
                  </pic:nvPicPr>
                  <pic:blipFill>
                    <a:blip r:embed="rId27"/>
                    <a:stretch>
                      <a:fillRect/>
                    </a:stretch>
                  </pic:blipFill>
                  <pic:spPr>
                    <a:xfrm>
                      <a:off x="0" y="0"/>
                      <a:ext cx="2837294" cy="944980"/>
                    </a:xfrm>
                    <a:prstGeom prst="rect">
                      <a:avLst/>
                    </a:prstGeom>
                  </pic:spPr>
                </pic:pic>
              </a:graphicData>
            </a:graphic>
          </wp:inline>
        </w:drawing>
      </w:r>
    </w:p>
    <w:p w14:paraId="47704F87" w14:textId="77777777" w:rsidR="00746138" w:rsidRPr="00FA29F5" w:rsidRDefault="00746138">
      <w:pPr>
        <w:pStyle w:val="Ttulo6"/>
        <w:numPr>
          <w:ilvl w:val="0"/>
          <w:numId w:val="24"/>
        </w:numPr>
        <w:ind w:left="511" w:hanging="227"/>
      </w:pPr>
      <w:bookmarkStart w:id="81" w:name="_Toc134456383"/>
      <w:bookmarkStart w:id="82" w:name="_Toc151113605"/>
      <w:r>
        <w:t>Variaciones del balance</w:t>
      </w:r>
      <w:r w:rsidRPr="007C2BD1">
        <w:rPr>
          <w:u w:val="none"/>
        </w:rPr>
        <w:t xml:space="preserve"> (C.IV.2)</w:t>
      </w:r>
      <w:bookmarkEnd w:id="81"/>
      <w:bookmarkEnd w:id="82"/>
    </w:p>
    <w:p w14:paraId="3AA7C08A" w14:textId="77777777" w:rsidR="00746138" w:rsidRDefault="00746138" w:rsidP="00746138">
      <w:pPr>
        <w:pStyle w:val="Nivel1SM"/>
        <w:spacing w:before="0"/>
      </w:pPr>
      <w:r>
        <w:t>Registran las variaciones del valor de los activos y pasivos durante el ejercicio contable y agregan los montantes registrados en las diversas cuentas de acumulación, es decir, las variaciones del patrimonio neto debidas al ahorro y a las transferencias de capital, las variaciones del patrimonio neto debidas a otras variaciones del volumen de los activos y las variaciones del patrimonio neto debidas a ganancias y pérdidas de posesión nominales.</w:t>
      </w:r>
    </w:p>
    <w:p w14:paraId="50924772" w14:textId="77777777" w:rsidR="00746138" w:rsidRDefault="00746138">
      <w:pPr>
        <w:pStyle w:val="Ttulo6"/>
        <w:numPr>
          <w:ilvl w:val="0"/>
          <w:numId w:val="24"/>
        </w:numPr>
        <w:ind w:left="482" w:hanging="198"/>
        <w:rPr>
          <w:b w:val="0"/>
          <w:bCs/>
          <w:u w:val="none"/>
        </w:rPr>
      </w:pPr>
      <w:bookmarkStart w:id="83" w:name="_Toc134456384"/>
      <w:bookmarkStart w:id="84" w:name="_Toc151113606"/>
      <w:r>
        <w:t>Balance final</w:t>
      </w:r>
      <w:r w:rsidRPr="007C2BD1">
        <w:rPr>
          <w:u w:val="none"/>
        </w:rPr>
        <w:t xml:space="preserve"> (C.IV.3)</w:t>
      </w:r>
      <w:bookmarkEnd w:id="83"/>
      <w:bookmarkEnd w:id="84"/>
    </w:p>
    <w:p w14:paraId="16CBCE09" w14:textId="77777777" w:rsidR="00746138" w:rsidRPr="007D42C7" w:rsidRDefault="00746138" w:rsidP="00746138">
      <w:pPr>
        <w:pStyle w:val="Nivel1SM"/>
        <w:spacing w:before="0"/>
        <w:rPr>
          <w:b/>
        </w:rPr>
      </w:pPr>
      <w:r>
        <w:t xml:space="preserve">Registra el valor de los activos y pasivos que poseen las unidades al final del ejercicio contable. Estas partidas se clasifican según la misma nomenclatura utilizada en el balance inicial y se valoran a precios corrientes de final del periodo. La diferencia entre los activos y los pasivos (el </w:t>
      </w:r>
      <w:r>
        <w:rPr>
          <w:i/>
          <w:iCs/>
        </w:rPr>
        <w:t>saldo contable</w:t>
      </w:r>
      <w:r>
        <w:t xml:space="preserve">) es el </w:t>
      </w:r>
      <w:r w:rsidRPr="00AA05B4">
        <w:rPr>
          <w:i/>
          <w:iCs/>
        </w:rPr>
        <w:t>patrimonio final neto</w:t>
      </w:r>
      <w:r>
        <w:t>. El valor de un activo o pasivo en el balance final será igual a la suma de su valor en el balance inicial y del importe registrado para dicho activo o pasivo en la cuenta de variaciones del balance.</w:t>
      </w:r>
    </w:p>
    <w:p w14:paraId="30352C76" w14:textId="6D499F45" w:rsidR="009638D9" w:rsidRDefault="009638D9" w:rsidP="009638D9">
      <w:pPr>
        <w:pStyle w:val="Ttulo7"/>
      </w:pPr>
      <w:r>
        <w:t>Deuda pública</w:t>
      </w:r>
    </w:p>
    <w:p w14:paraId="61A249AE" w14:textId="6FB71539" w:rsidR="00746138" w:rsidRDefault="00746138" w:rsidP="006D3FDC">
      <w:pPr>
        <w:pStyle w:val="Nivel1SM"/>
        <w:keepNext/>
        <w:spacing w:before="0" w:after="0"/>
      </w:pPr>
      <w:r>
        <w:t>El balance permite ver la posición acreedora o deudora de las AAPP y cómo está estructurada.</w:t>
      </w:r>
    </w:p>
    <w:p w14:paraId="46E212DF" w14:textId="705C11CB" w:rsidR="00746138" w:rsidRDefault="00746138" w:rsidP="006D3FDC">
      <w:pPr>
        <w:pStyle w:val="Nivel2SM"/>
      </w:pPr>
      <w:r>
        <w:t>Distinguimos</w:t>
      </w:r>
      <w:r w:rsidR="00251A09">
        <w:t xml:space="preserve"> la </w:t>
      </w:r>
      <w:r w:rsidR="00251A09" w:rsidRPr="006D3FDC">
        <w:rPr>
          <w:i/>
          <w:iCs/>
        </w:rPr>
        <w:t>deuda pública según el SEC</w:t>
      </w:r>
      <w:r w:rsidR="00251A09">
        <w:t xml:space="preserve"> y la </w:t>
      </w:r>
      <w:r w:rsidR="00251A09" w:rsidRPr="006D3FDC">
        <w:rPr>
          <w:i/>
          <w:iCs/>
        </w:rPr>
        <w:t>deuda pública según las reglas fiscales europeas</w:t>
      </w:r>
      <w:r w:rsidR="00251A09">
        <w:t>.</w:t>
      </w:r>
    </w:p>
    <w:p w14:paraId="460FC710" w14:textId="77777777" w:rsidR="00746138" w:rsidRDefault="00746138" w:rsidP="00746138">
      <w:pPr>
        <w:pStyle w:val="Ttulo8"/>
      </w:pPr>
      <w:r>
        <w:t>Deuda pública según el SEC</w:t>
      </w:r>
    </w:p>
    <w:p w14:paraId="5B280789" w14:textId="131F102A" w:rsidR="003D5DBA" w:rsidRDefault="003D5DBA" w:rsidP="00F02890">
      <w:pPr>
        <w:pStyle w:val="Nivel1SM"/>
        <w:spacing w:before="0"/>
      </w:pPr>
      <w:r>
        <w:t>Saldo en circulación de los pasivos en forma de deuda de las AAPP.</w:t>
      </w:r>
      <w:r w:rsidR="00F02890">
        <w:t xml:space="preserve"> </w:t>
      </w:r>
      <w:r>
        <w:t>Se valoran los títulos de deuda a precios de m</w:t>
      </w:r>
      <w:r w:rsidR="00F02890">
        <w:t>erca</w:t>
      </w:r>
      <w:r>
        <w:t>do</w:t>
      </w:r>
      <w:r w:rsidR="00F02890">
        <w:t>.</w:t>
      </w:r>
    </w:p>
    <w:p w14:paraId="29B5E6B1" w14:textId="77777777" w:rsidR="003D5DBA" w:rsidRDefault="003D5DBA" w:rsidP="00F02890">
      <w:pPr>
        <w:pStyle w:val="Nivel1SM"/>
        <w:keepNext/>
        <w:spacing w:after="0"/>
      </w:pPr>
      <w:r>
        <w:t>La deuda pública puede aumentar por:</w:t>
      </w:r>
    </w:p>
    <w:p w14:paraId="425FD890" w14:textId="2C600BE1" w:rsidR="003D5DBA" w:rsidRDefault="003D5DBA" w:rsidP="00F02890">
      <w:pPr>
        <w:pStyle w:val="Nivel2SM"/>
      </w:pPr>
      <w:r>
        <w:t>Necesidad neta de financiación</w:t>
      </w:r>
      <w:r w:rsidR="00611195">
        <w:t>.</w:t>
      </w:r>
    </w:p>
    <w:p w14:paraId="7203D1FE" w14:textId="306BA32F" w:rsidR="003D5DBA" w:rsidRDefault="003D5DBA" w:rsidP="00F02890">
      <w:pPr>
        <w:pStyle w:val="Nivel2SM"/>
      </w:pPr>
      <w:r>
        <w:t>Ajustes por cambios de valoración</w:t>
      </w:r>
      <w:r w:rsidR="00611195">
        <w:t>.</w:t>
      </w:r>
    </w:p>
    <w:p w14:paraId="61058D1E" w14:textId="59ABD733" w:rsidR="003D5DBA" w:rsidRPr="003D5DBA" w:rsidRDefault="003D5DBA" w:rsidP="00F02890">
      <w:pPr>
        <w:pStyle w:val="Nivel2SM"/>
      </w:pPr>
      <w:r>
        <w:t>Entradas de entidades en el sector de las AAPP</w:t>
      </w:r>
      <w:r w:rsidR="00F02890">
        <w:t xml:space="preserve"> </w:t>
      </w:r>
      <w:r>
        <w:t>(</w:t>
      </w:r>
      <w:r w:rsidR="00611195">
        <w:t xml:space="preserve">p.ej. </w:t>
      </w:r>
      <w:r>
        <w:t>Sareb).</w:t>
      </w:r>
    </w:p>
    <w:p w14:paraId="38D6C837" w14:textId="5ACF15DF" w:rsidR="00746138" w:rsidRDefault="00746138" w:rsidP="00746138">
      <w:pPr>
        <w:pStyle w:val="Ttulo8"/>
      </w:pPr>
      <w:r>
        <w:t>Deuda pública según las reglas fiscales europeas</w:t>
      </w:r>
    </w:p>
    <w:p w14:paraId="3E7D0E23" w14:textId="24912D24" w:rsidR="003D5DBA" w:rsidRDefault="003D5DBA" w:rsidP="00F02890">
      <w:pPr>
        <w:pStyle w:val="Nivel1SM"/>
        <w:keepNext/>
        <w:spacing w:before="0" w:after="0"/>
      </w:pPr>
      <w:r>
        <w:t>Es importante aclarar que la deuda de Maastricht que se notifican en el marco del PDE no</w:t>
      </w:r>
      <w:r w:rsidR="00611195">
        <w:t> </w:t>
      </w:r>
      <w:r>
        <w:t>coincide con la deuda q</w:t>
      </w:r>
      <w:r w:rsidR="00AC32E1">
        <w:t>ue</w:t>
      </w:r>
      <w:r>
        <w:t xml:space="preserve"> aparece en las cuentas nacionales en el marco del SEC, siendo esta última mayor. </w:t>
      </w:r>
      <w:r w:rsidR="00F02890">
        <w:t>¿Por qué?</w:t>
      </w:r>
    </w:p>
    <w:p w14:paraId="770FA0A4" w14:textId="5B890AC1" w:rsidR="003D5DBA" w:rsidRDefault="003D5DBA" w:rsidP="00F02890">
      <w:pPr>
        <w:pStyle w:val="Nivel2SM"/>
      </w:pPr>
      <w:r>
        <w:t>La deuda de Maastricht está consolidada, es decir, se cancelan los pasivos q</w:t>
      </w:r>
      <w:r w:rsidR="00611195">
        <w:t>ue</w:t>
      </w:r>
      <w:r>
        <w:t xml:space="preserve"> una unidad de la AAPP tiene frente a otra (p.ej. un préstamo otorgado por el Estado a la S</w:t>
      </w:r>
      <w:r w:rsidR="00611195">
        <w:t xml:space="preserve">eguridad </w:t>
      </w:r>
      <w:r>
        <w:t>S</w:t>
      </w:r>
      <w:r w:rsidR="00611195">
        <w:t>ocial</w:t>
      </w:r>
      <w:r>
        <w:t xml:space="preserve"> no</w:t>
      </w:r>
      <w:r w:rsidR="00611195">
        <w:t> </w:t>
      </w:r>
      <w:r>
        <w:t>computa como deuda de Maastricht).</w:t>
      </w:r>
    </w:p>
    <w:p w14:paraId="6F2A7B6F" w14:textId="0336052F" w:rsidR="003D5DBA" w:rsidRDefault="003D5DBA" w:rsidP="00F02890">
      <w:pPr>
        <w:pStyle w:val="Nivel2SM"/>
      </w:pPr>
      <w:r>
        <w:lastRenderedPageBreak/>
        <w:t>La deuda de Maastricht se valora al valor facial</w:t>
      </w:r>
      <w:r w:rsidR="00F02890">
        <w:t xml:space="preserve"> </w:t>
      </w:r>
      <w:r>
        <w:t>(</w:t>
      </w:r>
      <w:r w:rsidR="00BF5214">
        <w:t xml:space="preserve">i.e. </w:t>
      </w:r>
      <w:r>
        <w:t>valor nominal, lo que debe pagar el emisor a vencimiento) y no al valor de mercado</w:t>
      </w:r>
      <w:r w:rsidR="006D75B3">
        <w:rPr>
          <w:rStyle w:val="Refdenotaalpie"/>
        </w:rPr>
        <w:footnoteReference w:id="33"/>
      </w:r>
      <w:r>
        <w:t>.</w:t>
      </w:r>
    </w:p>
    <w:p w14:paraId="50BBB319" w14:textId="238ACA63" w:rsidR="003D5DBA" w:rsidRPr="003D5DBA" w:rsidRDefault="003D5DBA" w:rsidP="00F02890">
      <w:pPr>
        <w:pStyle w:val="Nivel2SM"/>
      </w:pPr>
      <w:r>
        <w:t>No forman parte los créditos comerciales y facturas sin pagar</w:t>
      </w:r>
      <w:r w:rsidR="006D75B3">
        <w:rPr>
          <w:rStyle w:val="Refdenotaalpie"/>
        </w:rPr>
        <w:footnoteReference w:id="34"/>
      </w:r>
      <w:r w:rsidR="00F02890">
        <w:t>.</w:t>
      </w:r>
    </w:p>
    <w:p w14:paraId="3F50D4B8" w14:textId="6ADB3F4B" w:rsidR="00746138" w:rsidRDefault="00746138" w:rsidP="00746138">
      <w:pPr>
        <w:pStyle w:val="Ttulo8"/>
      </w:pPr>
      <w:r>
        <w:t>Pasivos contingentes</w:t>
      </w:r>
    </w:p>
    <w:p w14:paraId="6C0FA5C4" w14:textId="68FBC5E8" w:rsidR="003D5DBA" w:rsidRDefault="003D5DBA" w:rsidP="00F02890">
      <w:pPr>
        <w:pStyle w:val="Nivel1SM"/>
        <w:keepNext/>
        <w:spacing w:before="0" w:after="0"/>
      </w:pPr>
      <w:r>
        <w:t>Sirve para contemplar una posible situación de gastos extraordinarios que conlleva una incertidumbre financiera sobre el balance. El Estado cuenta con avales, préstamos y deuda empresarial, que si bien tampoco cuenta como deuda, supone un sustancial compromiso financiero implícito. Entre otras partidas se destacan</w:t>
      </w:r>
      <w:r w:rsidR="00F02890">
        <w:t>:</w:t>
      </w:r>
    </w:p>
    <w:p w14:paraId="2F5739EE" w14:textId="1F147959" w:rsidR="003D5DBA" w:rsidRDefault="003D5DBA">
      <w:pPr>
        <w:pStyle w:val="Prrafodelista"/>
        <w:numPr>
          <w:ilvl w:val="0"/>
          <w:numId w:val="25"/>
        </w:numPr>
        <w:spacing w:after="100"/>
        <w:ind w:left="567" w:hanging="113"/>
      </w:pPr>
      <w:r w:rsidRPr="00BF5214">
        <w:rPr>
          <w:i/>
          <w:iCs/>
        </w:rPr>
        <w:t>Avales</w:t>
      </w:r>
      <w:r>
        <w:t xml:space="preserve">: </w:t>
      </w:r>
      <w:r w:rsidR="00BF5214">
        <w:t>S</w:t>
      </w:r>
      <w:r>
        <w:t>olo impactan en déficit en caso de activarse</w:t>
      </w:r>
      <w:r w:rsidR="00F02890">
        <w:t>.</w:t>
      </w:r>
    </w:p>
    <w:p w14:paraId="40561E53" w14:textId="051DE326" w:rsidR="003D5DBA" w:rsidRDefault="00F02890">
      <w:pPr>
        <w:pStyle w:val="Prrafodelista"/>
        <w:numPr>
          <w:ilvl w:val="0"/>
          <w:numId w:val="25"/>
        </w:numPr>
        <w:spacing w:after="100"/>
        <w:ind w:left="567" w:hanging="113"/>
      </w:pPr>
      <w:r w:rsidRPr="00BF5214">
        <w:rPr>
          <w:i/>
          <w:iCs/>
        </w:rPr>
        <w:t>FROB</w:t>
      </w:r>
      <w:r w:rsidR="003D5DBA">
        <w:t xml:space="preserve">: </w:t>
      </w:r>
      <w:r w:rsidR="00BF5214">
        <w:t>I</w:t>
      </w:r>
      <w:r w:rsidR="003D5DBA">
        <w:t>nyecciones en entidades con problemas.</w:t>
      </w:r>
    </w:p>
    <w:p w14:paraId="42D63F34" w14:textId="005DD442" w:rsidR="003D5DBA" w:rsidRDefault="003D5DBA">
      <w:pPr>
        <w:pStyle w:val="Prrafodelista"/>
        <w:numPr>
          <w:ilvl w:val="0"/>
          <w:numId w:val="25"/>
        </w:numPr>
        <w:spacing w:after="100"/>
        <w:ind w:left="567" w:hanging="113"/>
      </w:pPr>
      <w:r w:rsidRPr="00BF5214">
        <w:rPr>
          <w:i/>
          <w:iCs/>
        </w:rPr>
        <w:t>ICO</w:t>
      </w:r>
      <w:r>
        <w:t xml:space="preserve">: </w:t>
      </w:r>
      <w:r w:rsidR="00BF5214">
        <w:t>A</w:t>
      </w:r>
      <w:r>
        <w:t>lgunas préstamos del ICO cuentan con la garantía del Estado</w:t>
      </w:r>
      <w:r w:rsidR="00F02890">
        <w:t>.</w:t>
      </w:r>
    </w:p>
    <w:p w14:paraId="30437AB2" w14:textId="1ED03D43" w:rsidR="003D5DBA" w:rsidRDefault="003D5DBA">
      <w:pPr>
        <w:pStyle w:val="Prrafodelista"/>
        <w:numPr>
          <w:ilvl w:val="0"/>
          <w:numId w:val="25"/>
        </w:numPr>
        <w:spacing w:after="100"/>
        <w:ind w:left="567" w:hanging="113"/>
      </w:pPr>
      <w:r w:rsidRPr="00BF5214">
        <w:rPr>
          <w:i/>
          <w:iCs/>
        </w:rPr>
        <w:t>Déficit de tarifa</w:t>
      </w:r>
      <w:r w:rsidR="00BF5214">
        <w:t>: E</w:t>
      </w:r>
      <w:r>
        <w:t>l dinero q</w:t>
      </w:r>
      <w:r w:rsidR="00BF5214">
        <w:t>ue</w:t>
      </w:r>
      <w:r>
        <w:t xml:space="preserve"> se le adeuda a las eléctricas</w:t>
      </w:r>
      <w:r w:rsidR="00F02890">
        <w:t xml:space="preserve"> </w:t>
      </w:r>
      <w:r>
        <w:t xml:space="preserve">+ </w:t>
      </w:r>
      <w:r w:rsidR="00BF5214">
        <w:t>C</w:t>
      </w:r>
      <w:r>
        <w:t>ompromiso del gobierno de rescatar a las concesionarias de autopistas.</w:t>
      </w:r>
    </w:p>
    <w:p w14:paraId="6313DC09" w14:textId="7E6B490C" w:rsidR="00746138" w:rsidRPr="00746138" w:rsidRDefault="003D5DBA" w:rsidP="003D5DBA">
      <w:pPr>
        <w:pStyle w:val="Nivel1SM"/>
      </w:pPr>
      <w:r>
        <w:t>No impactan en el déficit ni por tanto en la deuda, sólo en caso de activarse</w:t>
      </w:r>
      <w:r w:rsidR="00F02890">
        <w:t>.</w:t>
      </w:r>
    </w:p>
    <w:p w14:paraId="04D755E1" w14:textId="27A85FC3" w:rsidR="00F054D1" w:rsidRDefault="00547B56" w:rsidP="00D02B16">
      <w:pPr>
        <w:pStyle w:val="Ttulo2"/>
      </w:pPr>
      <w:bookmarkStart w:id="85" w:name="_Toc151113607"/>
      <w:bookmarkEnd w:id="70"/>
      <w:r>
        <w:t>Cuentas integradas: Estadísticas de Finanzas Públicas (EFP)</w:t>
      </w:r>
      <w:bookmarkEnd w:id="85"/>
    </w:p>
    <w:p w14:paraId="57994549" w14:textId="4E39C4FB" w:rsidR="0058434F" w:rsidRDefault="0058434F" w:rsidP="0058434F">
      <w:pPr>
        <w:pStyle w:val="Nivel2SM"/>
      </w:pPr>
      <w:r>
        <w:t xml:space="preserve">Hasta ahora hemos visto la sucesión ordenada de cuentas en forma de </w:t>
      </w:r>
      <w:r w:rsidRPr="0058434F">
        <w:rPr>
          <w:i/>
          <w:iCs/>
        </w:rPr>
        <w:t>T</w:t>
      </w:r>
      <w:r>
        <w:t xml:space="preserve"> interrelacionadas. Sin embargo, también podemos presentar la información en </w:t>
      </w:r>
      <w:r w:rsidRPr="0058434F">
        <w:rPr>
          <w:b/>
          <w:bCs/>
        </w:rPr>
        <w:t>cuentas integradas</w:t>
      </w:r>
      <w:r>
        <w:t>, que dan una imagen completa de las cuentas de las AAPP (incluidos los balances), en un formato que permite mostrar las principales relaciones económicas y los principales agregados.</w:t>
      </w:r>
    </w:p>
    <w:p w14:paraId="4A5A917A" w14:textId="6AB20525" w:rsidR="0058434F" w:rsidRDefault="0058434F" w:rsidP="0058434F">
      <w:pPr>
        <w:pStyle w:val="Nivel2SM"/>
        <w:keepNext/>
        <w:spacing w:after="0"/>
      </w:pPr>
      <w:r>
        <w:t xml:space="preserve">En el caso de las AAPP haríamos referencia a las </w:t>
      </w:r>
      <w:r w:rsidRPr="0058434F">
        <w:rPr>
          <w:b/>
          <w:bCs/>
        </w:rPr>
        <w:t>Estadísticas de Finanzas Públicas (EFP)</w:t>
      </w:r>
      <w:r>
        <w:t xml:space="preserve"> e incluyen todas las operaciones no financieras del marco general en una única cuenta. Así, se incluyen:</w:t>
      </w:r>
    </w:p>
    <w:p w14:paraId="1AD952B8" w14:textId="3256F512" w:rsidR="0058434F" w:rsidRDefault="0058434F" w:rsidP="0058434F">
      <w:pPr>
        <w:pStyle w:val="Nivel3SM"/>
      </w:pPr>
      <w:r>
        <w:rPr>
          <w:i/>
          <w:iCs/>
        </w:rPr>
        <w:t>Ingresos</w:t>
      </w:r>
      <w:r>
        <w:t>: Impuestos, cotizaciones sociales, venta de bienes y servicios, otros ingresos corrientes, ingresos por transferencias de capital, etc.</w:t>
      </w:r>
    </w:p>
    <w:p w14:paraId="342DFCDD" w14:textId="161787F1" w:rsidR="0058434F" w:rsidRDefault="0058434F" w:rsidP="0058434F">
      <w:pPr>
        <w:pStyle w:val="Nivel3SM"/>
      </w:pPr>
      <w:r>
        <w:rPr>
          <w:i/>
          <w:iCs/>
        </w:rPr>
        <w:t>Gastos</w:t>
      </w:r>
      <w:r>
        <w:t>: Consumos intermedios, remuneración de asalariados, intereses, subvenciones, prestaciones sociales, otros gastos corrientes, gastos por transferencias de capital, formación bruta de capital fijo, etc.</w:t>
      </w:r>
    </w:p>
    <w:p w14:paraId="4D14623C" w14:textId="39B3DAA3" w:rsidR="00F52ACF" w:rsidRDefault="00F52ACF" w:rsidP="00F52ACF">
      <w:pPr>
        <w:pStyle w:val="Notaalopositor"/>
      </w:pPr>
      <w:r>
        <w:t>Importante: Para la regla de gasto no figuran empleos los gastos de capital ni los intereses de la deuda.</w:t>
      </w:r>
    </w:p>
    <w:p w14:paraId="5B020B09" w14:textId="77777777" w:rsidR="0058434F" w:rsidRPr="0058434F" w:rsidRDefault="0058434F" w:rsidP="0058434F">
      <w:pPr>
        <w:pStyle w:val="Nivel3SM"/>
      </w:pPr>
      <w:r>
        <w:rPr>
          <w:i/>
          <w:iCs/>
        </w:rPr>
        <w:t>Déficit/Superávit</w:t>
      </w:r>
      <w:r w:rsidRPr="0058434F">
        <w:t>.</w:t>
      </w:r>
    </w:p>
    <w:p w14:paraId="0722F5D6" w14:textId="43136B24" w:rsidR="0058434F" w:rsidRDefault="0058434F" w:rsidP="0058434F">
      <w:pPr>
        <w:pStyle w:val="Nivel3SM"/>
      </w:pPr>
      <w:r>
        <w:rPr>
          <w:i/>
          <w:iCs/>
        </w:rPr>
        <w:t>Balance</w:t>
      </w:r>
      <w:r>
        <w:t>.</w:t>
      </w:r>
    </w:p>
    <w:p w14:paraId="189F262C" w14:textId="0E738C94" w:rsidR="00547B56" w:rsidRPr="00547B56" w:rsidRDefault="00547B56" w:rsidP="00547B56">
      <w:pPr>
        <w:jc w:val="center"/>
      </w:pPr>
      <w:r>
        <w:rPr>
          <w:noProof/>
        </w:rPr>
        <w:lastRenderedPageBreak/>
        <w:drawing>
          <wp:inline distT="0" distB="0" distL="0" distR="0" wp14:anchorId="01E4BC59" wp14:editId="431B24CB">
            <wp:extent cx="3710500" cy="4292600"/>
            <wp:effectExtent l="0" t="0" r="4445" b="0"/>
            <wp:docPr id="1399437940"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37940" name="Imagen 1" descr="Diagrama&#10;&#10;Descripción generada automáticamente"/>
                    <pic:cNvPicPr/>
                  </pic:nvPicPr>
                  <pic:blipFill>
                    <a:blip r:embed="rId28"/>
                    <a:stretch>
                      <a:fillRect/>
                    </a:stretch>
                  </pic:blipFill>
                  <pic:spPr>
                    <a:xfrm>
                      <a:off x="0" y="0"/>
                      <a:ext cx="3713774" cy="4296388"/>
                    </a:xfrm>
                    <a:prstGeom prst="rect">
                      <a:avLst/>
                    </a:prstGeom>
                  </pic:spPr>
                </pic:pic>
              </a:graphicData>
            </a:graphic>
          </wp:inline>
        </w:drawing>
      </w:r>
    </w:p>
    <w:p w14:paraId="703F9379" w14:textId="424BB8F7" w:rsidR="004A09C8" w:rsidRDefault="00A762AF" w:rsidP="00D636B8">
      <w:pPr>
        <w:pStyle w:val="Ttulo1"/>
      </w:pPr>
      <w:bookmarkStart w:id="86" w:name="_Toc151113608"/>
      <w:r>
        <w:t>C</w:t>
      </w:r>
      <w:r w:rsidR="0058408C">
        <w:t>OMPARACIONES INTERNACIONALES</w:t>
      </w:r>
      <w:bookmarkEnd w:id="86"/>
    </w:p>
    <w:p w14:paraId="0E585AE3" w14:textId="0BAF6D31" w:rsidR="00C42975" w:rsidRDefault="00C42975" w:rsidP="00C42975">
      <w:pPr>
        <w:pStyle w:val="Notaalopositor"/>
      </w:pPr>
      <w:r>
        <w:t>Ver por el tema de Juan Luis.</w:t>
      </w:r>
    </w:p>
    <w:p w14:paraId="5D67CB6F" w14:textId="527B55BB" w:rsidR="00E843D4" w:rsidRPr="001172DE" w:rsidRDefault="00E843D4" w:rsidP="001172DE">
      <w:pPr>
        <w:pStyle w:val="Nivel1SM"/>
        <w:keepNext/>
        <w:spacing w:before="0" w:after="0"/>
        <w:rPr>
          <w:u w:val="single"/>
        </w:rPr>
      </w:pPr>
      <w:r>
        <w:t>Habiendo llevado a cabo un análisis exhaustivo de las principales operaciones y cuentas del sector público, pasamos a la última sección de la exposición, en la que estudiaremos la dimensión del sector público y realizaremos comparaciones internacionales (utilizando datos de Eurostat y de la OCDE).</w:t>
      </w:r>
    </w:p>
    <w:p w14:paraId="40E2BD0A" w14:textId="4C937522" w:rsidR="001172DE" w:rsidRDefault="006A2353" w:rsidP="001172DE">
      <w:pPr>
        <w:pStyle w:val="Nivel2SM"/>
        <w:keepNext/>
        <w:spacing w:after="0"/>
      </w:pPr>
      <w:r>
        <w:t>Como hemos visto, e</w:t>
      </w:r>
      <w:r w:rsidR="001172DE">
        <w:t xml:space="preserve">l marco donde se detallan las reglas que hemos utilizado es el </w:t>
      </w:r>
      <w:r w:rsidR="001172DE" w:rsidRPr="001172DE">
        <w:rPr>
          <w:i/>
          <w:iCs/>
        </w:rPr>
        <w:t>Sistema Europeo de Cuentas de 2010</w:t>
      </w:r>
      <w:r w:rsidR="001172DE">
        <w:t xml:space="preserve">, aprobado mediante Reglamento para la elaboración de las cuentas nacionales de la UE (y siguiendo las directrices del </w:t>
      </w:r>
      <w:r w:rsidR="001172DE" w:rsidRPr="001172DE">
        <w:rPr>
          <w:i/>
          <w:iCs/>
        </w:rPr>
        <w:t>Sistema de Cuentas Nacionales de 2008</w:t>
      </w:r>
      <w:r w:rsidR="001172DE">
        <w:t xml:space="preserve"> elaborado por las Naciones Unidas).</w:t>
      </w:r>
    </w:p>
    <w:p w14:paraId="557B088A" w14:textId="77777777" w:rsidR="001172DE" w:rsidRDefault="001172DE" w:rsidP="001172DE">
      <w:pPr>
        <w:pStyle w:val="Nivel3SM"/>
      </w:pPr>
      <w:r>
        <w:t>Dada la homogeneidad en la metodología, este marco no ha permitido realizar ejercicios de comparación entre países europeos.</w:t>
      </w:r>
    </w:p>
    <w:p w14:paraId="52054578" w14:textId="14225ECC" w:rsidR="00B201A5" w:rsidRPr="00D02B16" w:rsidRDefault="00A762AF" w:rsidP="00D02B16">
      <w:pPr>
        <w:pStyle w:val="Ttulo2"/>
      </w:pPr>
      <w:bookmarkStart w:id="87" w:name="_Toc151113609"/>
      <w:r>
        <w:t>Dimensión del sector público</w:t>
      </w:r>
      <w:bookmarkEnd w:id="87"/>
    </w:p>
    <w:p w14:paraId="2F46F33F" w14:textId="63FEC7B9" w:rsidR="00D03B0D" w:rsidRDefault="00D03B0D" w:rsidP="00A762AF">
      <w:pPr>
        <w:pStyle w:val="Nivel2SM"/>
        <w:keepNext/>
        <w:spacing w:after="0"/>
      </w:pPr>
      <w:bookmarkStart w:id="88" w:name="_Hlk146470576"/>
      <w:r>
        <w:t xml:space="preserve">El </w:t>
      </w:r>
      <w:r w:rsidRPr="00A762AF">
        <w:rPr>
          <w:b/>
          <w:bCs/>
        </w:rPr>
        <w:t xml:space="preserve">peso del </w:t>
      </w:r>
      <w:r w:rsidR="00A762AF" w:rsidRPr="00A762AF">
        <w:rPr>
          <w:b/>
          <w:bCs/>
        </w:rPr>
        <w:t>sector público</w:t>
      </w:r>
      <w:r w:rsidRPr="00A762AF">
        <w:t xml:space="preserve"> dentro de la economía es una cuestión importante</w:t>
      </w:r>
      <w:r>
        <w:t xml:space="preserve"> para valorar el papel de la actividad pública.</w:t>
      </w:r>
      <w:r w:rsidR="003017AE">
        <w:t xml:space="preserve"> Dicho </w:t>
      </w:r>
      <w:r w:rsidR="00F054D1">
        <w:t xml:space="preserve">peso </w:t>
      </w:r>
      <w:r w:rsidR="003017AE">
        <w:t xml:space="preserve">podría medirse mediante indicadores que pueden dividirse en </w:t>
      </w:r>
      <w:r w:rsidR="00D02B16">
        <w:t>3 </w:t>
      </w:r>
      <w:r w:rsidR="003017AE">
        <w:t>tipos:</w:t>
      </w:r>
    </w:p>
    <w:p w14:paraId="4FEE8BE1" w14:textId="77777777" w:rsidR="003017AE" w:rsidRDefault="003017AE">
      <w:pPr>
        <w:pStyle w:val="Prrafodelista"/>
        <w:numPr>
          <w:ilvl w:val="0"/>
          <w:numId w:val="26"/>
        </w:numPr>
        <w:spacing w:after="0"/>
        <w:ind w:left="1134" w:hanging="113"/>
      </w:pPr>
      <w:r w:rsidRPr="00A762AF">
        <w:rPr>
          <w:i/>
          <w:iCs/>
        </w:rPr>
        <w:t>Indicadores por el lado del gasto</w:t>
      </w:r>
      <w:r w:rsidR="00A453AA">
        <w:t>.</w:t>
      </w:r>
    </w:p>
    <w:p w14:paraId="0D792855" w14:textId="77777777" w:rsidR="003017AE" w:rsidRDefault="003017AE">
      <w:pPr>
        <w:pStyle w:val="Prrafodelista"/>
        <w:numPr>
          <w:ilvl w:val="0"/>
          <w:numId w:val="26"/>
        </w:numPr>
        <w:spacing w:after="0"/>
        <w:ind w:left="1134" w:hanging="113"/>
      </w:pPr>
      <w:r w:rsidRPr="00A762AF">
        <w:rPr>
          <w:i/>
          <w:iCs/>
        </w:rPr>
        <w:t>Indicadores por el lado de los ingresos</w:t>
      </w:r>
      <w:r w:rsidR="00A453AA">
        <w:t>.</w:t>
      </w:r>
    </w:p>
    <w:p w14:paraId="1ABCF46B" w14:textId="303C8BDE" w:rsidR="003017AE" w:rsidRDefault="003017AE">
      <w:pPr>
        <w:pStyle w:val="Prrafodelista"/>
        <w:numPr>
          <w:ilvl w:val="0"/>
          <w:numId w:val="26"/>
        </w:numPr>
        <w:spacing w:after="0"/>
        <w:ind w:left="1134" w:hanging="113"/>
      </w:pPr>
      <w:r w:rsidRPr="00A762AF">
        <w:rPr>
          <w:i/>
          <w:iCs/>
        </w:rPr>
        <w:t>Otros indicadores</w:t>
      </w:r>
      <w:r w:rsidR="00A453AA">
        <w:t>.</w:t>
      </w:r>
    </w:p>
    <w:bookmarkEnd w:id="88"/>
    <w:p w14:paraId="4786D33D" w14:textId="1E1B7699" w:rsidR="00C32F90" w:rsidRPr="00D02B16" w:rsidRDefault="003017AE" w:rsidP="00487BD2">
      <w:pPr>
        <w:pStyle w:val="Nivel2SM"/>
      </w:pPr>
      <w:r>
        <w:t>Analizaremos estos indicadores algo más en profundidad a continuación a la vez que llevaremos a cabo comparaciones de la dimensión del sector público en España con otros países internacionales.</w:t>
      </w:r>
    </w:p>
    <w:p w14:paraId="564C7811" w14:textId="33BA8426" w:rsidR="006256F9" w:rsidRPr="00D02B16" w:rsidRDefault="00103C9A" w:rsidP="00A762AF">
      <w:pPr>
        <w:pStyle w:val="Ttulo3"/>
      </w:pPr>
      <w:bookmarkStart w:id="89" w:name="_Toc151113610"/>
      <w:r>
        <w:lastRenderedPageBreak/>
        <w:t>Indicadores por el lado de los gastos</w:t>
      </w:r>
      <w:bookmarkEnd w:id="89"/>
    </w:p>
    <w:p w14:paraId="78742539" w14:textId="581A03A6" w:rsidR="00622FDE" w:rsidRDefault="00D0760D" w:rsidP="00224BF4">
      <w:pPr>
        <w:pStyle w:val="Ttulo6"/>
        <w:spacing w:before="0"/>
      </w:pPr>
      <w:bookmarkStart w:id="90" w:name="_Toc151113611"/>
      <w:r>
        <w:t>Tamaño presupuestario</w:t>
      </w:r>
      <w:bookmarkEnd w:id="90"/>
    </w:p>
    <w:p w14:paraId="129C2469" w14:textId="1BD95388" w:rsidR="003017AE" w:rsidRDefault="00103C9A" w:rsidP="007F49FE">
      <w:pPr>
        <w:pStyle w:val="Nivel2SM"/>
        <w:keepNext/>
        <w:spacing w:after="0"/>
      </w:pPr>
      <w:r w:rsidRPr="00103C9A">
        <w:t xml:space="preserve">Una </w:t>
      </w:r>
      <w:r>
        <w:t xml:space="preserve">primera </w:t>
      </w:r>
      <w:r w:rsidRPr="00103C9A">
        <w:t xml:space="preserve">medida intuitiva </w:t>
      </w:r>
      <w:r>
        <w:t>es la que relaciona el</w:t>
      </w:r>
      <w:r w:rsidRPr="00103C9A">
        <w:t xml:space="preserve"> </w:t>
      </w:r>
      <w:r w:rsidR="00725373">
        <w:rPr>
          <w:u w:val="single"/>
        </w:rPr>
        <w:t>gasto</w:t>
      </w:r>
      <w:r w:rsidRPr="00F054D1">
        <w:rPr>
          <w:u w:val="single"/>
        </w:rPr>
        <w:t xml:space="preserve"> público</w:t>
      </w:r>
      <w:r w:rsidR="00725373">
        <w:rPr>
          <w:u w:val="single"/>
        </w:rPr>
        <w:t xml:space="preserve"> total</w:t>
      </w:r>
      <w:r>
        <w:t xml:space="preserve"> </w:t>
      </w:r>
      <w:r w:rsidRPr="00103C9A">
        <w:t>con el nivel de</w:t>
      </w:r>
      <w:r>
        <w:t xml:space="preserve"> producción del país. Es decir:</w:t>
      </w:r>
    </w:p>
    <w:p w14:paraId="6E3E83FD" w14:textId="1E10E7E3" w:rsidR="00103C9A" w:rsidRDefault="00C07581" w:rsidP="007F49FE">
      <w:pPr>
        <w:spacing w:after="0"/>
        <w:jc w:val="center"/>
      </w:pPr>
      <w:r>
        <w:rPr>
          <w:noProof/>
        </w:rPr>
        <w:drawing>
          <wp:inline distT="0" distB="0" distL="0" distR="0" wp14:anchorId="083DCC8C" wp14:editId="13C68C74">
            <wp:extent cx="2301240" cy="421473"/>
            <wp:effectExtent l="0" t="0" r="3810" b="0"/>
            <wp:docPr id="10"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10674" cy="423201"/>
                    </a:xfrm>
                    <a:prstGeom prst="rect">
                      <a:avLst/>
                    </a:prstGeom>
                    <a:noFill/>
                    <a:ln>
                      <a:noFill/>
                    </a:ln>
                  </pic:spPr>
                </pic:pic>
              </a:graphicData>
            </a:graphic>
          </wp:inline>
        </w:drawing>
      </w:r>
    </w:p>
    <w:p w14:paraId="6F5A750C" w14:textId="099CA20C" w:rsidR="00103C9A" w:rsidRDefault="00103C9A" w:rsidP="007F49FE">
      <w:pPr>
        <w:pStyle w:val="Nivel3SM"/>
      </w:pPr>
      <w:r>
        <w:t>D</w:t>
      </w:r>
      <w:r w:rsidRPr="00103C9A">
        <w:t xml:space="preserve">onde </w:t>
      </w:r>
      <w:r w:rsidRPr="00B23483">
        <w:rPr>
          <w:i/>
          <w:iCs/>
        </w:rPr>
        <w:t>P</w:t>
      </w:r>
      <w:r w:rsidRPr="00103C9A">
        <w:t xml:space="preserve"> representa la suma de todas las partidas de gasto</w:t>
      </w:r>
      <w:r>
        <w:t>.</w:t>
      </w:r>
    </w:p>
    <w:p w14:paraId="20967D11" w14:textId="77777777" w:rsidR="00503C98" w:rsidRDefault="00A101B0" w:rsidP="007F49FE">
      <w:pPr>
        <w:pStyle w:val="Nivel2SM"/>
        <w:keepNext/>
        <w:spacing w:after="0"/>
      </w:pPr>
      <w:r w:rsidRPr="00D0760D">
        <w:rPr>
          <w:b/>
          <w:bCs/>
        </w:rPr>
        <w:t>Críticas</w:t>
      </w:r>
      <w:r w:rsidR="00503C98">
        <w:t>:</w:t>
      </w:r>
    </w:p>
    <w:p w14:paraId="2704DA22" w14:textId="5070128D" w:rsidR="00894F73" w:rsidRDefault="00503C98" w:rsidP="007F49FE">
      <w:pPr>
        <w:pStyle w:val="Nivel3SM"/>
      </w:pPr>
      <w:r>
        <w:t>E</w:t>
      </w:r>
      <w:r w:rsidR="00103C9A" w:rsidRPr="00103C9A">
        <w:t xml:space="preserve">stá </w:t>
      </w:r>
      <w:r w:rsidR="00103C9A" w:rsidRPr="00D0760D">
        <w:rPr>
          <w:i/>
          <w:iCs/>
        </w:rPr>
        <w:t>muy afectad</w:t>
      </w:r>
      <w:r w:rsidR="00B23483" w:rsidRPr="00D0760D">
        <w:rPr>
          <w:i/>
          <w:iCs/>
        </w:rPr>
        <w:t>o</w:t>
      </w:r>
      <w:r w:rsidR="00103C9A" w:rsidRPr="00D0760D">
        <w:rPr>
          <w:i/>
          <w:iCs/>
        </w:rPr>
        <w:t xml:space="preserve"> por las cuentas de endeudamiento</w:t>
      </w:r>
      <w:r w:rsidR="00103C9A">
        <w:t xml:space="preserve">, que no son </w:t>
      </w:r>
      <w:r w:rsidR="00103C9A" w:rsidRPr="00103C9A">
        <w:t>propiamente medidas de gasto público.</w:t>
      </w:r>
    </w:p>
    <w:p w14:paraId="774F0897" w14:textId="12E9F197" w:rsidR="00894F73" w:rsidRPr="000F6281" w:rsidRDefault="00D0760D" w:rsidP="00224BF4">
      <w:pPr>
        <w:pStyle w:val="Ttulo6"/>
      </w:pPr>
      <w:bookmarkStart w:id="91" w:name="_Toc151113612"/>
      <w:r>
        <w:t>Tamaño presupuestario no financiero</w:t>
      </w:r>
      <w:bookmarkEnd w:id="91"/>
    </w:p>
    <w:p w14:paraId="40295595" w14:textId="23790976" w:rsidR="003017AE" w:rsidRDefault="00894F73" w:rsidP="007F49FE">
      <w:pPr>
        <w:pStyle w:val="Nivel2SM"/>
        <w:keepNext/>
        <w:spacing w:after="0"/>
      </w:pPr>
      <w:r>
        <w:t xml:space="preserve">Por ello, un segundo indicador, más extendido, es el que se basa en el gasto público </w:t>
      </w:r>
      <w:r w:rsidRPr="00894F73">
        <w:rPr>
          <w:u w:val="single"/>
        </w:rPr>
        <w:t>no</w:t>
      </w:r>
      <w:r w:rsidR="00AB32F2">
        <w:rPr>
          <w:u w:val="single"/>
        </w:rPr>
        <w:t> </w:t>
      </w:r>
      <w:r w:rsidRPr="00894F73">
        <w:rPr>
          <w:u w:val="single"/>
        </w:rPr>
        <w:t>financiero</w:t>
      </w:r>
      <w:r w:rsidR="00F27A55">
        <w:rPr>
          <w:u w:val="single"/>
        </w:rPr>
        <w:t xml:space="preserve"> (corrientes y de capital)</w:t>
      </w:r>
      <w:r>
        <w:t>:</w:t>
      </w:r>
    </w:p>
    <w:p w14:paraId="7C77CD4F" w14:textId="35494327" w:rsidR="009B44B5" w:rsidRDefault="00C07581" w:rsidP="007F49FE">
      <w:pPr>
        <w:spacing w:after="0"/>
        <w:jc w:val="center"/>
      </w:pPr>
      <w:r>
        <w:rPr>
          <w:noProof/>
        </w:rPr>
        <w:drawing>
          <wp:inline distT="0" distB="0" distL="0" distR="0" wp14:anchorId="45DCD978" wp14:editId="70383158">
            <wp:extent cx="3032760" cy="467819"/>
            <wp:effectExtent l="0" t="0" r="0" b="8890"/>
            <wp:docPr id="1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99520" cy="478117"/>
                    </a:xfrm>
                    <a:prstGeom prst="rect">
                      <a:avLst/>
                    </a:prstGeom>
                    <a:noFill/>
                    <a:ln>
                      <a:noFill/>
                    </a:ln>
                  </pic:spPr>
                </pic:pic>
              </a:graphicData>
            </a:graphic>
          </wp:inline>
        </w:drawing>
      </w:r>
    </w:p>
    <w:p w14:paraId="1B0C4AE2" w14:textId="56A1FFB7" w:rsidR="002B08AA" w:rsidRDefault="009B44B5" w:rsidP="007F49FE">
      <w:pPr>
        <w:pStyle w:val="Nivel3SM"/>
      </w:pPr>
      <w:r>
        <w:t>Representa la “</w:t>
      </w:r>
      <w:r w:rsidRPr="00627FD3">
        <w:rPr>
          <w:b/>
        </w:rPr>
        <w:t>cifra de negocio</w:t>
      </w:r>
      <w:r>
        <w:t>” de las AAPP.</w:t>
      </w:r>
    </w:p>
    <w:p w14:paraId="6D681D91" w14:textId="70F47649" w:rsidR="003017AE" w:rsidRDefault="009B44B5" w:rsidP="007F49FE">
      <w:pPr>
        <w:pStyle w:val="Nivel3SM"/>
      </w:pPr>
      <w:r>
        <w:t xml:space="preserve">Por tanto, un valor elevado de este índice reflejará una </w:t>
      </w:r>
      <w:r w:rsidRPr="004F3B5A">
        <w:rPr>
          <w:u w:val="single"/>
        </w:rPr>
        <w:t>elevada capacidad de las AAPP para influir en la asignación de recursos</w:t>
      </w:r>
      <w:r>
        <w:t xml:space="preserve"> de la sociedad en la que intervienen.</w:t>
      </w:r>
    </w:p>
    <w:p w14:paraId="4E434587" w14:textId="77777777" w:rsidR="00214E4A" w:rsidRDefault="00214E4A" w:rsidP="007F49FE">
      <w:pPr>
        <w:pStyle w:val="Nivel2SM"/>
        <w:keepNext/>
        <w:spacing w:after="0"/>
      </w:pPr>
      <w:r w:rsidRPr="00D0760D">
        <w:rPr>
          <w:b/>
          <w:bCs/>
        </w:rPr>
        <w:t>Críticas</w:t>
      </w:r>
      <w:r>
        <w:t>:</w:t>
      </w:r>
    </w:p>
    <w:p w14:paraId="75B0EEFF" w14:textId="03030D58" w:rsidR="00214E4A" w:rsidRPr="00AB32F2" w:rsidRDefault="00725373" w:rsidP="00AB32F2">
      <w:pPr>
        <w:pStyle w:val="Nivel3SM"/>
      </w:pPr>
      <w:r w:rsidRPr="00AB32F2">
        <w:rPr>
          <w:i/>
          <w:iCs/>
        </w:rPr>
        <w:t>Variable stock vs. variable flujo</w:t>
      </w:r>
      <w:r w:rsidR="00AB32F2">
        <w:t xml:space="preserve">: </w:t>
      </w:r>
      <w:r w:rsidR="00214E4A">
        <w:t xml:space="preserve">El gasto público es una variable flujo, pero la </w:t>
      </w:r>
      <w:r w:rsidR="00214E4A" w:rsidRPr="00AB32F2">
        <w:t>dimensión del sector público es una variable stock.</w:t>
      </w:r>
    </w:p>
    <w:p w14:paraId="2F4D12C9" w14:textId="3F35A956" w:rsidR="00503C98" w:rsidRPr="00AB32F2" w:rsidRDefault="005368C8" w:rsidP="00AB32F2">
      <w:pPr>
        <w:pStyle w:val="Nivel3SM"/>
      </w:pPr>
      <w:r w:rsidRPr="00F225F8">
        <w:rPr>
          <w:i/>
          <w:iCs/>
        </w:rPr>
        <w:t>No refleja el efecto económico del gasto</w:t>
      </w:r>
      <w:r w:rsidRPr="00AB32F2">
        <w:t xml:space="preserve"> (porque este efecto no sólo depende de su volumen, sino también de su estructura</w:t>
      </w:r>
      <w:r w:rsidR="00F2375F" w:rsidRPr="00AB32F2">
        <w:t xml:space="preserve"> y eficiencia</w:t>
      </w:r>
      <w:r w:rsidRPr="00AB32F2">
        <w:t>).</w:t>
      </w:r>
    </w:p>
    <w:p w14:paraId="51E5A96A" w14:textId="08AE0C5B" w:rsidR="00AD6CC2" w:rsidRPr="00AB32F2" w:rsidRDefault="00AD6CC2" w:rsidP="00AB32F2">
      <w:pPr>
        <w:pStyle w:val="Nivel3SM"/>
      </w:pPr>
      <w:r w:rsidRPr="00F225F8">
        <w:rPr>
          <w:i/>
          <w:iCs/>
        </w:rPr>
        <w:t>Se ve afectado por los estabilizadores automáticos</w:t>
      </w:r>
      <w:r w:rsidRPr="00AB32F2">
        <w:t>.</w:t>
      </w:r>
    </w:p>
    <w:p w14:paraId="298390C6" w14:textId="209DDC12" w:rsidR="00725373" w:rsidRDefault="00503C98" w:rsidP="00AB32F2">
      <w:pPr>
        <w:pStyle w:val="Nivel3SM"/>
        <w:keepNext/>
      </w:pPr>
      <w:r w:rsidRPr="00024F9E">
        <w:rPr>
          <w:i/>
          <w:iCs/>
        </w:rPr>
        <w:t>I</w:t>
      </w:r>
      <w:r w:rsidR="00D65F24" w:rsidRPr="00024F9E">
        <w:rPr>
          <w:i/>
          <w:iCs/>
        </w:rPr>
        <w:t>ncluye las transferencias</w:t>
      </w:r>
      <w:r w:rsidR="00D65F24" w:rsidRPr="00AB32F2">
        <w:t>, cuyo destino final no controla directamente el sector público, sino que son utilizadas por individuos o instituciones, por lo que</w:t>
      </w:r>
      <w:r w:rsidR="00D65F24" w:rsidRPr="00D65F24">
        <w:t xml:space="preserve"> este índice tiend</w:t>
      </w:r>
      <w:r w:rsidR="00D65F24">
        <w:t>e a sobre</w:t>
      </w:r>
      <w:r w:rsidR="00D65F24" w:rsidRPr="00D65F24">
        <w:t>valorar el tamaño del sector público.</w:t>
      </w:r>
    </w:p>
    <w:p w14:paraId="719DC7C1" w14:textId="11277450" w:rsidR="00D65F24" w:rsidRPr="00DD1F7C" w:rsidRDefault="00D65F24" w:rsidP="003C5A4C">
      <w:pPr>
        <w:pStyle w:val="Nivel4"/>
        <w:keepNext/>
        <w:ind w:left="1474"/>
        <w:rPr>
          <w:spacing w:val="-2"/>
        </w:rPr>
      </w:pPr>
      <w:r w:rsidRPr="00DD1F7C">
        <w:rPr>
          <w:spacing w:val="-2"/>
        </w:rPr>
        <w:t>Para solventar este problema se puede utilizar otro indicador que sólo incluya el gasto:</w:t>
      </w:r>
    </w:p>
    <w:p w14:paraId="5B75B830" w14:textId="31A5EDDD" w:rsidR="00D65F24" w:rsidRDefault="00C07581" w:rsidP="003C5A4C">
      <w:pPr>
        <w:pStyle w:val="Nivel3SM"/>
        <w:numPr>
          <w:ilvl w:val="0"/>
          <w:numId w:val="0"/>
        </w:numPr>
        <w:ind w:left="1474" w:hanging="198"/>
        <w:jc w:val="center"/>
      </w:pPr>
      <w:r>
        <w:rPr>
          <w:noProof/>
        </w:rPr>
        <w:drawing>
          <wp:inline distT="0" distB="0" distL="0" distR="0" wp14:anchorId="448FBCCA" wp14:editId="5D56DFE5">
            <wp:extent cx="2263140" cy="395151"/>
            <wp:effectExtent l="0" t="0" r="3810" b="5080"/>
            <wp:docPr id="1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07873" cy="402962"/>
                    </a:xfrm>
                    <a:prstGeom prst="rect">
                      <a:avLst/>
                    </a:prstGeom>
                    <a:noFill/>
                    <a:ln>
                      <a:noFill/>
                    </a:ln>
                  </pic:spPr>
                </pic:pic>
              </a:graphicData>
            </a:graphic>
          </wp:inline>
        </w:drawing>
      </w:r>
    </w:p>
    <w:p w14:paraId="700C9580" w14:textId="43072394" w:rsidR="00A453AA" w:rsidRDefault="00D65F24" w:rsidP="003C5A4C">
      <w:pPr>
        <w:pStyle w:val="Nivel4"/>
        <w:ind w:left="1474"/>
      </w:pPr>
      <w:r>
        <w:t>Además, e</w:t>
      </w:r>
      <w:r w:rsidR="00A129BB">
        <w:t>ste indicador tiene la ventaja de que compara 2</w:t>
      </w:r>
      <w:r w:rsidR="00024F9E">
        <w:t> </w:t>
      </w:r>
      <w:r w:rsidR="00A129BB">
        <w:t>magnitudes homogéneas (porque el PIB no incluye las transferencias)</w:t>
      </w:r>
      <w:r>
        <w:t>.</w:t>
      </w:r>
    </w:p>
    <w:p w14:paraId="27BA4A50" w14:textId="45A31818" w:rsidR="00A101B0" w:rsidRPr="000F6281" w:rsidRDefault="00A101B0" w:rsidP="00224BF4">
      <w:pPr>
        <w:pStyle w:val="Ttulo6"/>
      </w:pPr>
      <w:bookmarkStart w:id="92" w:name="_Toc151113613"/>
      <w:r w:rsidRPr="00A101B0">
        <w:t>Comparativas internacionales</w:t>
      </w:r>
      <w:bookmarkEnd w:id="92"/>
    </w:p>
    <w:p w14:paraId="1E2BCCAC" w14:textId="77777777" w:rsidR="005C73E1" w:rsidRDefault="005C73E1" w:rsidP="005C73E1">
      <w:pPr>
        <w:pStyle w:val="Nivel2SM"/>
        <w:keepNext/>
        <w:spacing w:after="0"/>
      </w:pPr>
      <w:r w:rsidRPr="007F49FE">
        <w:rPr>
          <w:u w:val="single"/>
        </w:rPr>
        <w:t>Comparativa internacional (G / PIB)</w:t>
      </w:r>
      <w:r>
        <w:t>:</w:t>
      </w:r>
    </w:p>
    <w:p w14:paraId="1157B775" w14:textId="77777777" w:rsidR="005C73E1" w:rsidRDefault="005C73E1" w:rsidP="005C73E1">
      <w:pPr>
        <w:pStyle w:val="Nivel3SM"/>
      </w:pPr>
      <w:r>
        <w:t>España: 50,6 %.</w:t>
      </w:r>
    </w:p>
    <w:p w14:paraId="6D25B63A" w14:textId="77777777" w:rsidR="005C73E1" w:rsidRDefault="005C73E1" w:rsidP="005C73E1">
      <w:pPr>
        <w:pStyle w:val="Nivel3SM"/>
      </w:pPr>
      <w:r>
        <w:t>OCDE: Algo inferior a España.</w:t>
      </w:r>
    </w:p>
    <w:p w14:paraId="5ACCCE26" w14:textId="77777777" w:rsidR="005C73E1" w:rsidRDefault="005C73E1" w:rsidP="005C73E1">
      <w:pPr>
        <w:pStyle w:val="Nivel3SM"/>
      </w:pPr>
      <w:r>
        <w:t>UE: Superior a España (51,5 %).</w:t>
      </w:r>
    </w:p>
    <w:p w14:paraId="628E943D" w14:textId="77777777" w:rsidR="005C73E1" w:rsidRPr="007F49FE" w:rsidRDefault="005C73E1" w:rsidP="005C73E1">
      <w:pPr>
        <w:pStyle w:val="Nivel2SM"/>
        <w:keepNext/>
        <w:spacing w:after="0"/>
        <w:rPr>
          <w:u w:val="single"/>
        </w:rPr>
      </w:pPr>
      <w:r w:rsidRPr="007F49FE">
        <w:rPr>
          <w:u w:val="single"/>
        </w:rPr>
        <w:t>¿Qué elemento del gasto público marca la diferencia con la UE?</w:t>
      </w:r>
    </w:p>
    <w:p w14:paraId="12D9D196" w14:textId="77777777" w:rsidR="005C73E1" w:rsidRDefault="005C73E1" w:rsidP="005C73E1">
      <w:pPr>
        <w:pStyle w:val="Nivel3SM"/>
      </w:pPr>
      <w:r w:rsidRPr="001C3E91">
        <w:rPr>
          <w:i/>
          <w:iCs/>
        </w:rPr>
        <w:t>Consumo público</w:t>
      </w:r>
      <w:r w:rsidRPr="00B107F2">
        <w:t>:</w:t>
      </w:r>
      <w:r>
        <w:t xml:space="preserve"> </w:t>
      </w:r>
      <w:r w:rsidRPr="005F66B5">
        <w:t>El consumo público es comparable entre España y la UE (19-20</w:t>
      </w:r>
      <w:r>
        <w:t> </w:t>
      </w:r>
      <w:r w:rsidRPr="005F66B5">
        <w:t>%</w:t>
      </w:r>
      <w:r>
        <w:t xml:space="preserve"> </w:t>
      </w:r>
      <w:r w:rsidRPr="005F66B5">
        <w:t>PIB).</w:t>
      </w:r>
    </w:p>
    <w:p w14:paraId="494A30C6" w14:textId="77777777" w:rsidR="005C73E1" w:rsidRDefault="005C73E1" w:rsidP="005C73E1">
      <w:pPr>
        <w:pStyle w:val="Nivel3SM"/>
      </w:pPr>
      <w:r w:rsidRPr="001C3E91">
        <w:rPr>
          <w:i/>
          <w:iCs/>
        </w:rPr>
        <w:t>Gastos en transferencias</w:t>
      </w:r>
      <w:r>
        <w:t xml:space="preserve">: Son menores en España. </w:t>
      </w:r>
      <w:r w:rsidRPr="00A101B0">
        <w:t>Y concretamente, son las transferencias a los hogares las que en última instancia crean la diferencia.</w:t>
      </w:r>
    </w:p>
    <w:p w14:paraId="3E3DE822" w14:textId="77777777" w:rsidR="005C73E1" w:rsidRPr="00240A1E" w:rsidRDefault="005C73E1" w:rsidP="005C73E1">
      <w:pPr>
        <w:pStyle w:val="Nivel2SM"/>
        <w:keepNext/>
        <w:spacing w:after="0"/>
      </w:pPr>
      <w:r w:rsidRPr="00240A1E">
        <w:t xml:space="preserve">Por partidas del </w:t>
      </w:r>
      <w:r>
        <w:t>gasto público:</w:t>
      </w:r>
    </w:p>
    <w:p w14:paraId="67FF2FC6" w14:textId="77777777" w:rsidR="005C73E1" w:rsidRDefault="005C73E1" w:rsidP="005C73E1">
      <w:pPr>
        <w:pStyle w:val="Nivel3SM"/>
        <w:keepNext/>
      </w:pPr>
      <w:r w:rsidRPr="00240A1E">
        <w:t xml:space="preserve">El peso del </w:t>
      </w:r>
      <w:r>
        <w:t>gasto público</w:t>
      </w:r>
      <w:r w:rsidRPr="00240A1E">
        <w:t xml:space="preserve"> español es menor en</w:t>
      </w:r>
      <w:r>
        <w:t>:</w:t>
      </w:r>
    </w:p>
    <w:p w14:paraId="43D8AD73" w14:textId="77777777" w:rsidR="005C73E1" w:rsidRDefault="005C73E1" w:rsidP="005C73E1">
      <w:pPr>
        <w:pStyle w:val="Nivel4"/>
        <w:ind w:left="1474"/>
      </w:pPr>
      <w:r>
        <w:t>Defensa.</w:t>
      </w:r>
    </w:p>
    <w:p w14:paraId="6A82EB8B" w14:textId="77777777" w:rsidR="005C73E1" w:rsidRDefault="005C73E1" w:rsidP="005C73E1">
      <w:pPr>
        <w:pStyle w:val="Nivel4"/>
        <w:ind w:left="1474"/>
      </w:pPr>
      <w:r>
        <w:t>Salud.</w:t>
      </w:r>
    </w:p>
    <w:p w14:paraId="3B931A60" w14:textId="77777777" w:rsidR="005C73E1" w:rsidRDefault="005C73E1" w:rsidP="005C73E1">
      <w:pPr>
        <w:pStyle w:val="Nivel4"/>
        <w:ind w:left="1474"/>
      </w:pPr>
      <w:r>
        <w:t>Educación.</w:t>
      </w:r>
    </w:p>
    <w:p w14:paraId="1567976A" w14:textId="77777777" w:rsidR="005C73E1" w:rsidRDefault="005C73E1" w:rsidP="005C73E1">
      <w:pPr>
        <w:pStyle w:val="Nivel3SM"/>
        <w:keepNext/>
      </w:pPr>
      <w:r w:rsidRPr="00240A1E">
        <w:lastRenderedPageBreak/>
        <w:t xml:space="preserve">El </w:t>
      </w:r>
      <w:r>
        <w:t>gasto público</w:t>
      </w:r>
      <w:r w:rsidRPr="00240A1E">
        <w:t xml:space="preserve"> español con respecto al PIB es mayor en</w:t>
      </w:r>
      <w:r>
        <w:t>:</w:t>
      </w:r>
    </w:p>
    <w:p w14:paraId="42287C5F" w14:textId="77777777" w:rsidR="005C73E1" w:rsidRDefault="005C73E1" w:rsidP="005C73E1">
      <w:pPr>
        <w:pStyle w:val="Nivel4"/>
        <w:ind w:left="1474"/>
      </w:pPr>
      <w:r>
        <w:t>Orden público y seguridad.</w:t>
      </w:r>
    </w:p>
    <w:p w14:paraId="26383190" w14:textId="77777777" w:rsidR="005C73E1" w:rsidRPr="000F6281" w:rsidRDefault="005C73E1" w:rsidP="005C73E1">
      <w:pPr>
        <w:pStyle w:val="Nivel4"/>
        <w:ind w:left="1474"/>
      </w:pPr>
      <w:r>
        <w:t>Protección del medioambiente.</w:t>
      </w:r>
    </w:p>
    <w:p w14:paraId="428F0936" w14:textId="43347358" w:rsidR="00114FE8" w:rsidRPr="00C75DC0" w:rsidRDefault="00114FE8" w:rsidP="00114FE8">
      <w:pPr>
        <w:pStyle w:val="Ttuloimagen"/>
        <w:rPr>
          <w:smallCaps w:val="0"/>
        </w:rPr>
      </w:pPr>
      <w:r>
        <w:t>Imagen </w:t>
      </w:r>
      <w:r>
        <w:fldChar w:fldCharType="begin"/>
      </w:r>
      <w:r>
        <w:instrText xml:space="preserve"> SEQ Ilustración \* ARABIC </w:instrText>
      </w:r>
      <w:r>
        <w:fldChar w:fldCharType="separate"/>
      </w:r>
      <w:r w:rsidR="0021538E">
        <w:t>7</w:t>
      </w:r>
      <w:r>
        <w:fldChar w:fldCharType="end"/>
      </w:r>
      <w:r>
        <w:rPr>
          <w:smallCaps w:val="0"/>
        </w:rPr>
        <w:t xml:space="preserve">.– </w:t>
      </w:r>
      <w:r>
        <w:rPr>
          <w:i/>
          <w:iCs/>
          <w:smallCaps w:val="0"/>
        </w:rPr>
        <w:t>Comparación internacional del peso del sector público en la economía</w:t>
      </w:r>
    </w:p>
    <w:p w14:paraId="046129F2" w14:textId="77777777" w:rsidR="00114FE8" w:rsidRDefault="00114FE8" w:rsidP="00114FE8">
      <w:pPr>
        <w:pStyle w:val="Imagen"/>
      </w:pPr>
      <w:r w:rsidRPr="00A37063">
        <w:drawing>
          <wp:inline distT="0" distB="0" distL="0" distR="0" wp14:anchorId="05B89C00" wp14:editId="16456207">
            <wp:extent cx="3804943" cy="2140527"/>
            <wp:effectExtent l="0" t="0" r="5080" b="0"/>
            <wp:docPr id="1051458606" name="Imagen 1"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458606" name="Imagen 1" descr="Gráfico, Gráfico de barras&#10;&#10;Descripción generada automáticamente"/>
                    <pic:cNvPicPr/>
                  </pic:nvPicPr>
                  <pic:blipFill>
                    <a:blip r:embed="rId32"/>
                    <a:stretch>
                      <a:fillRect/>
                    </a:stretch>
                  </pic:blipFill>
                  <pic:spPr>
                    <a:xfrm>
                      <a:off x="0" y="0"/>
                      <a:ext cx="3821694" cy="2149951"/>
                    </a:xfrm>
                    <a:prstGeom prst="rect">
                      <a:avLst/>
                    </a:prstGeom>
                  </pic:spPr>
                </pic:pic>
              </a:graphicData>
            </a:graphic>
          </wp:inline>
        </w:drawing>
      </w:r>
      <w:r w:rsidRPr="00A37063">
        <w:drawing>
          <wp:inline distT="0" distB="0" distL="0" distR="0" wp14:anchorId="7ECE5897" wp14:editId="4D29A5F2">
            <wp:extent cx="3804943" cy="2140527"/>
            <wp:effectExtent l="0" t="0" r="5080" b="0"/>
            <wp:docPr id="364991650"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91650" name="Imagen 1" descr="Gráfico&#10;&#10;Descripción generada automáticamente"/>
                    <pic:cNvPicPr/>
                  </pic:nvPicPr>
                  <pic:blipFill>
                    <a:blip r:embed="rId33"/>
                    <a:stretch>
                      <a:fillRect/>
                    </a:stretch>
                  </pic:blipFill>
                  <pic:spPr>
                    <a:xfrm>
                      <a:off x="0" y="0"/>
                      <a:ext cx="3810336" cy="2143561"/>
                    </a:xfrm>
                    <a:prstGeom prst="rect">
                      <a:avLst/>
                    </a:prstGeom>
                  </pic:spPr>
                </pic:pic>
              </a:graphicData>
            </a:graphic>
          </wp:inline>
        </w:drawing>
      </w:r>
    </w:p>
    <w:p w14:paraId="44E1C87E" w14:textId="3229DB82" w:rsidR="00114FE8" w:rsidRDefault="00114FE8" w:rsidP="00114FE8">
      <w:pPr>
        <w:pStyle w:val="PiedeImagen"/>
        <w:rPr>
          <w:i w:val="0"/>
          <w:iCs/>
          <w:spacing w:val="-2"/>
          <w:lang w:val="en-US"/>
        </w:rPr>
      </w:pPr>
      <w:r w:rsidRPr="00114FE8">
        <w:rPr>
          <w:spacing w:val="-2"/>
          <w:lang w:val="en-US"/>
        </w:rPr>
        <w:t>Fuente</w:t>
      </w:r>
      <w:r w:rsidRPr="00114FE8">
        <w:rPr>
          <w:i w:val="0"/>
          <w:iCs/>
          <w:spacing w:val="-2"/>
          <w:lang w:val="en-US"/>
        </w:rPr>
        <w:t xml:space="preserve">: OECD (2023). </w:t>
      </w:r>
      <w:r w:rsidRPr="00114FE8">
        <w:rPr>
          <w:spacing w:val="-2"/>
          <w:lang w:val="en-US"/>
        </w:rPr>
        <w:t>General government spending (indicator)</w:t>
      </w:r>
      <w:r w:rsidRPr="00114FE8">
        <w:rPr>
          <w:i w:val="0"/>
          <w:iCs/>
          <w:spacing w:val="-2"/>
          <w:lang w:val="en-US"/>
        </w:rPr>
        <w:t xml:space="preserve">. doi: 10.1787/a31cbf4d-en </w:t>
      </w:r>
      <w:hyperlink r:id="rId34" w:history="1">
        <w:r w:rsidRPr="00114FE8">
          <w:rPr>
            <w:rStyle w:val="Hipervnculo"/>
            <w:bCs/>
            <w:i w:val="0"/>
            <w:iCs/>
            <w:spacing w:val="-2"/>
            <w:lang w:val="en-US"/>
          </w:rPr>
          <w:t>https://data.oecd.org/gga/general-government-spending.htm</w:t>
        </w:r>
      </w:hyperlink>
    </w:p>
    <w:p w14:paraId="60EC24DF" w14:textId="3CAA8606" w:rsidR="00873449" w:rsidRPr="00873449" w:rsidRDefault="00873449" w:rsidP="00873449">
      <w:pPr>
        <w:pStyle w:val="Ttuloimagen"/>
        <w:rPr>
          <w:i/>
          <w:iCs/>
          <w:smallCaps w:val="0"/>
          <w:spacing w:val="-3"/>
        </w:rPr>
      </w:pPr>
      <w:r>
        <w:t>Imagen </w:t>
      </w:r>
      <w:r>
        <w:fldChar w:fldCharType="begin"/>
      </w:r>
      <w:r>
        <w:instrText xml:space="preserve"> SEQ Ilustración \* ARABIC </w:instrText>
      </w:r>
      <w:r>
        <w:fldChar w:fldCharType="separate"/>
      </w:r>
      <w:r w:rsidR="0021538E">
        <w:t>8</w:t>
      </w:r>
      <w:r>
        <w:fldChar w:fldCharType="end"/>
      </w:r>
      <w:r w:rsidRPr="00873449">
        <w:rPr>
          <w:smallCaps w:val="0"/>
        </w:rPr>
        <w:t xml:space="preserve">.– </w:t>
      </w:r>
      <w:r w:rsidRPr="00873449">
        <w:rPr>
          <w:i/>
          <w:iCs/>
          <w:smallCaps w:val="0"/>
        </w:rPr>
        <w:t>Porcentaje del gasto público sobre el PIB en la Unión Europea</w:t>
      </w:r>
    </w:p>
    <w:p w14:paraId="5E4F5A33" w14:textId="77777777" w:rsidR="00873449" w:rsidRDefault="00873449" w:rsidP="00873449">
      <w:pPr>
        <w:pStyle w:val="Imagen"/>
        <w:rPr>
          <w:spacing w:val="-3"/>
        </w:rPr>
      </w:pPr>
      <w:r>
        <w:drawing>
          <wp:inline distT="0" distB="0" distL="0" distR="0" wp14:anchorId="4453B412" wp14:editId="5A2FEB82">
            <wp:extent cx="4740910" cy="2308968"/>
            <wp:effectExtent l="0" t="0" r="2540" b="0"/>
            <wp:docPr id="1804564511" name="Imagen 1" descr="Gráfico de bar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64511" name="Imagen 1" descr="Gráfico de barras&#10;&#10;Descripción generada automáticamente con confianza medi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48810" cy="2312816"/>
                    </a:xfrm>
                    <a:prstGeom prst="rect">
                      <a:avLst/>
                    </a:prstGeom>
                    <a:noFill/>
                    <a:ln>
                      <a:noFill/>
                    </a:ln>
                  </pic:spPr>
                </pic:pic>
              </a:graphicData>
            </a:graphic>
          </wp:inline>
        </w:drawing>
      </w:r>
    </w:p>
    <w:p w14:paraId="2544328B" w14:textId="3A9B436A" w:rsidR="00873449" w:rsidRPr="00F6604F" w:rsidRDefault="00873449" w:rsidP="00873449">
      <w:pPr>
        <w:pStyle w:val="PiedeImagen"/>
      </w:pPr>
      <w:r>
        <w:t>Fuente</w:t>
      </w:r>
      <w:r>
        <w:rPr>
          <w:i w:val="0"/>
          <w:iCs/>
        </w:rPr>
        <w:t xml:space="preserve">: </w:t>
      </w:r>
      <w:hyperlink r:id="rId36" w:anchor="General_government_expenditure_by_function" w:history="1">
        <w:r w:rsidRPr="00515B8A">
          <w:rPr>
            <w:rStyle w:val="Hipervnculo"/>
            <w:i w:val="0"/>
            <w:iCs/>
          </w:rPr>
          <w:t>https://ec.europa.eu/eurostat/statistics-explained/index.php/Government_expenditure_by_function_%E2%80%93_COFOG#General_government_expenditure_by_function</w:t>
        </w:r>
      </w:hyperlink>
    </w:p>
    <w:p w14:paraId="7A568309" w14:textId="522687D1" w:rsidR="00A11F7B" w:rsidRPr="00C75DC0" w:rsidRDefault="00A11F7B" w:rsidP="00A11F7B">
      <w:pPr>
        <w:pStyle w:val="Ttuloimagen"/>
        <w:rPr>
          <w:smallCaps w:val="0"/>
        </w:rPr>
      </w:pPr>
      <w:r>
        <w:lastRenderedPageBreak/>
        <w:t>Imagen </w:t>
      </w:r>
      <w:r>
        <w:fldChar w:fldCharType="begin"/>
      </w:r>
      <w:r>
        <w:instrText xml:space="preserve"> SEQ Ilustración \* ARABIC </w:instrText>
      </w:r>
      <w:r>
        <w:fldChar w:fldCharType="separate"/>
      </w:r>
      <w:r w:rsidR="0021538E">
        <w:t>9</w:t>
      </w:r>
      <w:r>
        <w:fldChar w:fldCharType="end"/>
      </w:r>
      <w:r>
        <w:rPr>
          <w:smallCaps w:val="0"/>
        </w:rPr>
        <w:t xml:space="preserve">.– </w:t>
      </w:r>
      <w:r>
        <w:rPr>
          <w:i/>
          <w:iCs/>
          <w:smallCaps w:val="0"/>
        </w:rPr>
        <w:t>Comparación internacional del peso del sector público en la economía</w:t>
      </w:r>
    </w:p>
    <w:p w14:paraId="63EDDABE" w14:textId="6237AEC0" w:rsidR="00A11F7B" w:rsidRPr="00883505" w:rsidRDefault="00A11F7B" w:rsidP="00A11F7B">
      <w:pPr>
        <w:pStyle w:val="Imagen"/>
        <w:rPr>
          <w:lang w:val="en-US"/>
        </w:rPr>
      </w:pPr>
      <w:r w:rsidRPr="00A11F7B">
        <w:rPr>
          <w:lang w:val="en-US"/>
        </w:rPr>
        <w:drawing>
          <wp:inline distT="0" distB="0" distL="0" distR="0" wp14:anchorId="468DC22E" wp14:editId="7DBAA8E9">
            <wp:extent cx="3056400" cy="1222496"/>
            <wp:effectExtent l="0" t="0" r="0" b="0"/>
            <wp:docPr id="774086821"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86821" name="Imagen 1" descr="Gráfico&#10;&#10;Descripción generada automáticamente"/>
                    <pic:cNvPicPr/>
                  </pic:nvPicPr>
                  <pic:blipFill>
                    <a:blip r:embed="rId37"/>
                    <a:stretch>
                      <a:fillRect/>
                    </a:stretch>
                  </pic:blipFill>
                  <pic:spPr>
                    <a:xfrm>
                      <a:off x="0" y="0"/>
                      <a:ext cx="3056400" cy="1222496"/>
                    </a:xfrm>
                    <a:prstGeom prst="rect">
                      <a:avLst/>
                    </a:prstGeom>
                  </pic:spPr>
                </pic:pic>
              </a:graphicData>
            </a:graphic>
          </wp:inline>
        </w:drawing>
      </w:r>
      <w:r w:rsidR="00ED71B5" w:rsidRPr="00ED71B5">
        <w:drawing>
          <wp:inline distT="0" distB="0" distL="0" distR="0" wp14:anchorId="3336403A" wp14:editId="0EF7E02C">
            <wp:extent cx="3056400" cy="1210763"/>
            <wp:effectExtent l="0" t="0" r="0" b="8890"/>
            <wp:docPr id="1617449909" name="Imagen 1"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49909" name="Imagen 1" descr="Gráfico, Gráfico de barras&#10;&#10;Descripción generada automáticamente"/>
                    <pic:cNvPicPr/>
                  </pic:nvPicPr>
                  <pic:blipFill>
                    <a:blip r:embed="rId38"/>
                    <a:stretch>
                      <a:fillRect/>
                    </a:stretch>
                  </pic:blipFill>
                  <pic:spPr>
                    <a:xfrm>
                      <a:off x="0" y="0"/>
                      <a:ext cx="3056400" cy="1210763"/>
                    </a:xfrm>
                    <a:prstGeom prst="rect">
                      <a:avLst/>
                    </a:prstGeom>
                  </pic:spPr>
                </pic:pic>
              </a:graphicData>
            </a:graphic>
          </wp:inline>
        </w:drawing>
      </w:r>
      <w:r w:rsidR="00ED71B5" w:rsidRPr="00820E90">
        <w:rPr>
          <w:lang w:val="en-US"/>
        </w:rPr>
        <w:t xml:space="preserve"> </w:t>
      </w:r>
      <w:r w:rsidR="00ED71B5" w:rsidRPr="00ED71B5">
        <w:drawing>
          <wp:inline distT="0" distB="0" distL="0" distR="0" wp14:anchorId="4CBB30D2" wp14:editId="45998982">
            <wp:extent cx="4320000" cy="1708188"/>
            <wp:effectExtent l="0" t="0" r="4445" b="6350"/>
            <wp:docPr id="822853525" name="Imagen 1"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53525" name="Imagen 1" descr="Gráfico, Gráfico de dispersión&#10;&#10;Descripción generada automáticamente"/>
                    <pic:cNvPicPr/>
                  </pic:nvPicPr>
                  <pic:blipFill>
                    <a:blip r:embed="rId39"/>
                    <a:stretch>
                      <a:fillRect/>
                    </a:stretch>
                  </pic:blipFill>
                  <pic:spPr>
                    <a:xfrm>
                      <a:off x="0" y="0"/>
                      <a:ext cx="4320000" cy="1708188"/>
                    </a:xfrm>
                    <a:prstGeom prst="rect">
                      <a:avLst/>
                    </a:prstGeom>
                  </pic:spPr>
                </pic:pic>
              </a:graphicData>
            </a:graphic>
          </wp:inline>
        </w:drawing>
      </w:r>
      <w:r w:rsidR="00ED71B5" w:rsidRPr="00820E90">
        <w:rPr>
          <w:lang w:val="en-US"/>
        </w:rPr>
        <w:t xml:space="preserve"> </w:t>
      </w:r>
      <w:r w:rsidR="00ED71B5" w:rsidRPr="00ED71B5">
        <w:drawing>
          <wp:inline distT="0" distB="0" distL="0" distR="0" wp14:anchorId="4272BE4E" wp14:editId="1B5C0B66">
            <wp:extent cx="4320000" cy="1797385"/>
            <wp:effectExtent l="0" t="0" r="4445" b="0"/>
            <wp:docPr id="663603809" name="Imagen 1"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603809" name="Imagen 1" descr="Gráfico, Gráfico de dispersión&#10;&#10;Descripción generada automáticamente"/>
                    <pic:cNvPicPr/>
                  </pic:nvPicPr>
                  <pic:blipFill>
                    <a:blip r:embed="rId40"/>
                    <a:stretch>
                      <a:fillRect/>
                    </a:stretch>
                  </pic:blipFill>
                  <pic:spPr>
                    <a:xfrm>
                      <a:off x="0" y="0"/>
                      <a:ext cx="4320000" cy="1797385"/>
                    </a:xfrm>
                    <a:prstGeom prst="rect">
                      <a:avLst/>
                    </a:prstGeom>
                  </pic:spPr>
                </pic:pic>
              </a:graphicData>
            </a:graphic>
          </wp:inline>
        </w:drawing>
      </w:r>
      <w:r w:rsidR="00ED71B5" w:rsidRPr="00820E90">
        <w:rPr>
          <w:lang w:val="en-US"/>
        </w:rPr>
        <w:t xml:space="preserve"> </w:t>
      </w:r>
      <w:r w:rsidR="00ED71B5" w:rsidRPr="00ED71B5">
        <w:drawing>
          <wp:inline distT="0" distB="0" distL="0" distR="0" wp14:anchorId="5C29D7AD" wp14:editId="799AB877">
            <wp:extent cx="4320000" cy="1826072"/>
            <wp:effectExtent l="0" t="0" r="4445" b="3175"/>
            <wp:docPr id="104905570" name="Imagen 1"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5570" name="Imagen 1" descr="Gráfico, Gráfico de dispersión&#10;&#10;Descripción generada automáticamente"/>
                    <pic:cNvPicPr/>
                  </pic:nvPicPr>
                  <pic:blipFill>
                    <a:blip r:embed="rId41"/>
                    <a:stretch>
                      <a:fillRect/>
                    </a:stretch>
                  </pic:blipFill>
                  <pic:spPr>
                    <a:xfrm>
                      <a:off x="0" y="0"/>
                      <a:ext cx="4320000" cy="1826072"/>
                    </a:xfrm>
                    <a:prstGeom prst="rect">
                      <a:avLst/>
                    </a:prstGeom>
                  </pic:spPr>
                </pic:pic>
              </a:graphicData>
            </a:graphic>
          </wp:inline>
        </w:drawing>
      </w:r>
      <w:r w:rsidR="00ED71B5" w:rsidRPr="00820E90">
        <w:rPr>
          <w:lang w:val="en-US"/>
        </w:rPr>
        <w:t xml:space="preserve"> </w:t>
      </w:r>
    </w:p>
    <w:p w14:paraId="36ED8936" w14:textId="0E98D2FA" w:rsidR="00A11F7B" w:rsidRPr="00482B74" w:rsidRDefault="00A11F7B" w:rsidP="00A11F7B">
      <w:pPr>
        <w:pStyle w:val="PiedeImagen"/>
        <w:rPr>
          <w:i w:val="0"/>
          <w:iCs/>
          <w:spacing w:val="-2"/>
        </w:rPr>
      </w:pPr>
      <w:r w:rsidRPr="00114FE8">
        <w:rPr>
          <w:spacing w:val="-2"/>
          <w:lang w:val="en-US"/>
        </w:rPr>
        <w:t>Fuente</w:t>
      </w:r>
      <w:r w:rsidRPr="00114FE8">
        <w:rPr>
          <w:i w:val="0"/>
          <w:iCs/>
          <w:spacing w:val="-2"/>
          <w:lang w:val="en-US"/>
        </w:rPr>
        <w:t xml:space="preserve">: </w:t>
      </w:r>
      <w:r w:rsidRPr="00A11F7B">
        <w:rPr>
          <w:i w:val="0"/>
          <w:iCs/>
          <w:spacing w:val="-2"/>
          <w:lang w:val="en-US"/>
        </w:rPr>
        <w:t xml:space="preserve">OECD. (2023). </w:t>
      </w:r>
      <w:r w:rsidRPr="00A11F7B">
        <w:rPr>
          <w:spacing w:val="-2"/>
          <w:lang w:val="en-US"/>
        </w:rPr>
        <w:t>Government at a Glance 2023</w:t>
      </w:r>
      <w:r w:rsidRPr="00A11F7B">
        <w:rPr>
          <w:i w:val="0"/>
          <w:iCs/>
          <w:spacing w:val="-2"/>
          <w:lang w:val="en-US"/>
        </w:rPr>
        <w:t xml:space="preserve">. </w:t>
      </w:r>
      <w:r w:rsidRPr="00A11F7B">
        <w:rPr>
          <w:i w:val="0"/>
          <w:iCs/>
          <w:spacing w:val="-2"/>
        </w:rPr>
        <w:t xml:space="preserve">OECD. </w:t>
      </w:r>
      <w:hyperlink r:id="rId42" w:history="1">
        <w:r w:rsidRPr="00A11F7B">
          <w:rPr>
            <w:rStyle w:val="Hipervnculo"/>
            <w:i w:val="0"/>
            <w:iCs/>
            <w:spacing w:val="-2"/>
          </w:rPr>
          <w:t>https://doi.org/10.1787/3d5c5d31-en</w:t>
        </w:r>
      </w:hyperlink>
    </w:p>
    <w:p w14:paraId="12CAC5F4" w14:textId="3CFDDD46" w:rsidR="00BA027F" w:rsidRPr="000F6281" w:rsidRDefault="00B129CE" w:rsidP="00A762AF">
      <w:pPr>
        <w:pStyle w:val="Ttulo3"/>
      </w:pPr>
      <w:bookmarkStart w:id="93" w:name="_Toc151113614"/>
      <w:r>
        <w:t>Indicadores por el lado de los ingresos</w:t>
      </w:r>
      <w:bookmarkEnd w:id="93"/>
    </w:p>
    <w:p w14:paraId="3C6CA94B" w14:textId="2C163772" w:rsidR="00BB6775" w:rsidRDefault="00BB6775" w:rsidP="00224BF4">
      <w:pPr>
        <w:pStyle w:val="Ttulo6"/>
        <w:spacing w:before="0"/>
      </w:pPr>
      <w:bookmarkStart w:id="94" w:name="_Toc151113615"/>
      <w:r w:rsidRPr="00BB6775">
        <w:t xml:space="preserve">Indicador </w:t>
      </w:r>
      <w:r w:rsidR="005A12B5">
        <w:t>1: Presión fiscal</w:t>
      </w:r>
      <w:bookmarkEnd w:id="94"/>
    </w:p>
    <w:p w14:paraId="2FA7806F" w14:textId="77777777" w:rsidR="00BA027F" w:rsidRPr="007F3200" w:rsidRDefault="00FA56D3" w:rsidP="007F49FE">
      <w:pPr>
        <w:pStyle w:val="Nivel2SM"/>
        <w:keepNext/>
        <w:spacing w:after="0"/>
        <w:rPr>
          <w:u w:val="single"/>
        </w:rPr>
      </w:pPr>
      <w:r>
        <w:t>Es el indicador más popular por el lado de los ingresos</w:t>
      </w:r>
      <w:r w:rsidR="007F3200">
        <w:t>.</w:t>
      </w:r>
    </w:p>
    <w:p w14:paraId="654F35CE" w14:textId="071BB809" w:rsidR="006A489D" w:rsidRPr="000F6281" w:rsidRDefault="007F3200" w:rsidP="003C43E0">
      <w:pPr>
        <w:pStyle w:val="Nivel3SM"/>
        <w:keepNext/>
        <w:rPr>
          <w:u w:val="single"/>
        </w:rPr>
      </w:pPr>
      <w:r>
        <w:t>Se define del siguiente modo:</w:t>
      </w:r>
    </w:p>
    <w:p w14:paraId="4EA925F2" w14:textId="0DB720DD" w:rsidR="006A489D" w:rsidRPr="004F3B5A" w:rsidRDefault="00000000" w:rsidP="003C43E0">
      <w:pPr>
        <w:spacing w:after="0"/>
        <w:ind w:left="963" w:hanging="198"/>
      </w:pPr>
      <m:oMathPara>
        <m:oMath>
          <m:d>
            <m:dPr>
              <m:ctrlPr>
                <w:rPr>
                  <w:rFonts w:ascii="Cambria Math" w:hAnsi="Cambria Math"/>
                  <w:i/>
                  <w:iCs/>
                </w:rPr>
              </m:ctrlPr>
            </m:dPr>
            <m:e>
              <m:f>
                <m:fPr>
                  <m:type m:val="lin"/>
                  <m:ctrlPr>
                    <w:rPr>
                      <w:rFonts w:ascii="Cambria Math" w:hAnsi="Cambria Math"/>
                      <w:i/>
                      <w:iCs/>
                    </w:rPr>
                  </m:ctrlPr>
                </m:fPr>
                <m:num>
                  <m:r>
                    <m:rPr>
                      <m:nor/>
                    </m:rPr>
                    <w:rPr>
                      <w:i/>
                      <w:iCs/>
                    </w:rPr>
                    <m:t>T</m:t>
                  </m:r>
                </m:num>
                <m:den>
                  <m:r>
                    <m:rPr>
                      <m:nor/>
                    </m:rPr>
                    <w:rPr>
                      <w:i/>
                      <w:iCs/>
                    </w:rPr>
                    <m:t>PIB</m:t>
                  </m:r>
                </m:den>
              </m:f>
            </m:e>
          </m:d>
          <m:r>
            <w:rPr>
              <w:rFonts w:ascii="Cambria Math" w:hAnsi="Cambria Math"/>
            </w:rPr>
            <m:t>·</m:t>
          </m:r>
          <m:r>
            <m:rPr>
              <m:nor/>
            </m:rPr>
            <w:rPr>
              <w:i/>
              <w:iCs/>
            </w:rPr>
            <m:t>100</m:t>
          </m:r>
          <m:r>
            <m:rPr>
              <m:sty m:val="p"/>
            </m:rPr>
            <w:rPr>
              <w:rFonts w:ascii="Cambria Math" w:hAnsi="Cambria Math"/>
            </w:rPr>
            <w:br/>
          </m:r>
        </m:oMath>
      </m:oMathPara>
      <w:r w:rsidR="003C43E0">
        <w:t>d</w:t>
      </w:r>
      <w:r w:rsidR="00CD2A43">
        <w:t xml:space="preserve">onde </w:t>
      </w:r>
      <w:r w:rsidR="00CD2A43" w:rsidRPr="00E67002">
        <w:rPr>
          <w:i/>
          <w:iCs/>
        </w:rPr>
        <w:t>T</w:t>
      </w:r>
      <w:r w:rsidR="00CD2A43">
        <w:t xml:space="preserve"> </w:t>
      </w:r>
      <w:r w:rsidR="003C43E0">
        <w:t>es</w:t>
      </w:r>
      <w:r w:rsidR="00CD2A43">
        <w:t xml:space="preserve"> </w:t>
      </w:r>
      <w:r w:rsidR="003C43E0">
        <w:t>la r</w:t>
      </w:r>
      <w:r w:rsidR="00CD2A43">
        <w:t xml:space="preserve">ecaudación </w:t>
      </w:r>
      <w:r w:rsidR="00860CEE">
        <w:t xml:space="preserve">de </w:t>
      </w:r>
      <w:r w:rsidR="00860CEE" w:rsidRPr="004F3B5A">
        <w:t>ingresos coactivos</w:t>
      </w:r>
      <w:r w:rsidR="00CD2A43">
        <w:t>.</w:t>
      </w:r>
    </w:p>
    <w:p w14:paraId="4A218F5A" w14:textId="77777777" w:rsidR="007960C9" w:rsidRDefault="007960C9" w:rsidP="007F49FE">
      <w:pPr>
        <w:pStyle w:val="Nivel3SM"/>
      </w:pPr>
      <w:r>
        <w:t xml:space="preserve">El hecho de centrarse en los ingresos coactivos (ingresos tributarios + cotizaciones sociales) es que esto nos da una </w:t>
      </w:r>
      <w:r w:rsidR="008B05E2">
        <w:t xml:space="preserve">especie de </w:t>
      </w:r>
      <w:r w:rsidR="008B05E2" w:rsidRPr="004F3B5A">
        <w:t xml:space="preserve">medida de en qué </w:t>
      </w:r>
      <w:r w:rsidR="008B05E2" w:rsidRPr="00627FD3">
        <w:rPr>
          <w:b/>
        </w:rPr>
        <w:t>grado controla el sector público los recursos de una economía</w:t>
      </w:r>
      <w:r w:rsidR="008B05E2">
        <w:t>.</w:t>
      </w:r>
    </w:p>
    <w:p w14:paraId="09C46E8A" w14:textId="77777777" w:rsidR="00B00AFB" w:rsidRDefault="00725373" w:rsidP="007F49FE">
      <w:pPr>
        <w:pStyle w:val="Nivel2SM"/>
        <w:keepNext/>
        <w:spacing w:after="0"/>
      </w:pPr>
      <w:r w:rsidRPr="007F49FE">
        <w:rPr>
          <w:u w:val="single"/>
        </w:rPr>
        <w:t>Críticas</w:t>
      </w:r>
      <w:r w:rsidR="00B00AFB">
        <w:t>:</w:t>
      </w:r>
    </w:p>
    <w:p w14:paraId="2BD03C38" w14:textId="2AF053BD" w:rsidR="00801F73" w:rsidRPr="00935FBF" w:rsidRDefault="00725373" w:rsidP="00935FBF">
      <w:pPr>
        <w:pStyle w:val="Nivel3SM"/>
      </w:pPr>
      <w:r w:rsidRPr="00935FBF">
        <w:rPr>
          <w:i/>
          <w:iCs/>
        </w:rPr>
        <w:t>Visión incompleta de la intervención pública</w:t>
      </w:r>
      <w:r w:rsidR="00935FBF">
        <w:t xml:space="preserve">: </w:t>
      </w:r>
      <w:r w:rsidR="00801F73">
        <w:t>Al elegir como referencia los ingresos fiscales en vez del gasto, estamos obteniendo sólo una visión parcial de la influencia del sector público, porque éste puede realizar gasto que se financie con deuda (o incluso con otros ing</w:t>
      </w:r>
      <w:r w:rsidR="00801F73" w:rsidRPr="00935FBF">
        <w:t>resos públicos no impositivos).</w:t>
      </w:r>
    </w:p>
    <w:p w14:paraId="7C01CA53" w14:textId="6A2A781C" w:rsidR="00794118" w:rsidRDefault="00725373" w:rsidP="00935FBF">
      <w:pPr>
        <w:pStyle w:val="Nivel3SM"/>
      </w:pPr>
      <w:r w:rsidRPr="00935FBF">
        <w:rPr>
          <w:i/>
          <w:iCs/>
        </w:rPr>
        <w:lastRenderedPageBreak/>
        <w:t xml:space="preserve">Stock vs. </w:t>
      </w:r>
      <w:r w:rsidR="00935FBF" w:rsidRPr="00935FBF">
        <w:rPr>
          <w:i/>
          <w:iCs/>
        </w:rPr>
        <w:t>F</w:t>
      </w:r>
      <w:r w:rsidRPr="00935FBF">
        <w:rPr>
          <w:i/>
          <w:iCs/>
        </w:rPr>
        <w:t>lujo</w:t>
      </w:r>
      <w:r w:rsidR="00935FBF" w:rsidRPr="00935FBF">
        <w:t>:</w:t>
      </w:r>
      <w:r w:rsidR="00935FBF">
        <w:t xml:space="preserve"> </w:t>
      </w:r>
      <w:r w:rsidR="004844D9" w:rsidRPr="00935FBF">
        <w:t>Los ingresos corrientes son una variable flujo, pero la dimensión del sector público es una variable</w:t>
      </w:r>
      <w:r w:rsidR="004844D9">
        <w:t xml:space="preserve"> stock.</w:t>
      </w:r>
    </w:p>
    <w:p w14:paraId="209B7222" w14:textId="77777777" w:rsidR="00FB1848" w:rsidRDefault="00BB6775" w:rsidP="007F49FE">
      <w:pPr>
        <w:pStyle w:val="Nivel2SM"/>
        <w:keepNext/>
        <w:spacing w:after="0"/>
      </w:pPr>
      <w:r w:rsidRPr="007F49FE">
        <w:rPr>
          <w:u w:val="single"/>
        </w:rPr>
        <w:t>Comparación internacional</w:t>
      </w:r>
      <w:r w:rsidR="004F3B5A" w:rsidRPr="004F3B5A">
        <w:t>:</w:t>
      </w:r>
    </w:p>
    <w:p w14:paraId="06764E8F" w14:textId="7A4EBD69" w:rsidR="00627FD3" w:rsidRDefault="00627FD3" w:rsidP="007F49FE">
      <w:pPr>
        <w:pStyle w:val="Nivel3SM"/>
        <w:keepNext/>
      </w:pPr>
      <w:r>
        <w:t xml:space="preserve">España: </w:t>
      </w:r>
      <w:r w:rsidR="00240A1E">
        <w:t>3</w:t>
      </w:r>
      <w:r w:rsidR="004F3B5A">
        <w:t>5</w:t>
      </w:r>
      <w:r w:rsidR="000F6281">
        <w:t> </w:t>
      </w:r>
      <w:r w:rsidR="00240A1E">
        <w:t>%</w:t>
      </w:r>
      <w:r w:rsidR="00935FBF">
        <w:t>.</w:t>
      </w:r>
    </w:p>
    <w:p w14:paraId="4429A501" w14:textId="59D10700" w:rsidR="00AD5D92" w:rsidRDefault="00AD5D92" w:rsidP="007F49FE">
      <w:pPr>
        <w:pStyle w:val="Nivel4"/>
        <w:ind w:left="1474"/>
      </w:pPr>
      <w:r>
        <w:t>En España la ratio de ingresos/PIB está muy por debajo de la de la UE y la Eurozona (sin embargo, niveles similares a los países de la OCDE). En los años previos a la crisis, la brecha estaba cerca de 2 puntos porcentuales. En cualquier caso, como consecuencia de la crisis, la recaudación como porcentaje del PIB cató en más de 6 puntos (una reducción no observada en ningún otro país de nuestro entorno). Esto provoca que la brecha aumentara significativamente alcanzándose cotas de hasta 7 puntos porcentuales que siguen manteniéndose.</w:t>
      </w:r>
    </w:p>
    <w:p w14:paraId="03B06D04" w14:textId="430680A3" w:rsidR="00627FD3" w:rsidRDefault="00627FD3" w:rsidP="007F49FE">
      <w:pPr>
        <w:pStyle w:val="Nivel4"/>
        <w:ind w:left="1474"/>
      </w:pPr>
      <w:r>
        <w:t>Se prevé que la presión fiscal aumente hasta un 37</w:t>
      </w:r>
      <w:r w:rsidR="000F6281">
        <w:t> </w:t>
      </w:r>
      <w:r>
        <w:t>% en 2022 debido a la implementación de nuevos impuestos y reformas de los actuales de acuerdo al último Plan de Estabilidad emitido por el gobierno.</w:t>
      </w:r>
    </w:p>
    <w:p w14:paraId="2252D43F" w14:textId="4AE1AF4B" w:rsidR="00627FD3" w:rsidRDefault="00627FD3" w:rsidP="007F49FE">
      <w:pPr>
        <w:pStyle w:val="Nivel3SM"/>
      </w:pPr>
      <w:r>
        <w:t>OCDE:</w:t>
      </w:r>
      <w:r w:rsidR="00240A1E">
        <w:t xml:space="preserve"> </w:t>
      </w:r>
      <w:r>
        <w:t>C</w:t>
      </w:r>
      <w:r w:rsidR="00240A1E">
        <w:t>ifra similar</w:t>
      </w:r>
    </w:p>
    <w:p w14:paraId="5EA54BA7" w14:textId="7EB7198D" w:rsidR="00240A1E" w:rsidRDefault="00627FD3" w:rsidP="007F49FE">
      <w:pPr>
        <w:pStyle w:val="Nivel3SM"/>
        <w:keepNext/>
      </w:pPr>
      <w:r>
        <w:t>UE: M</w:t>
      </w:r>
      <w:r w:rsidR="00240A1E">
        <w:t>uy inferior a la media Europea (40</w:t>
      </w:r>
      <w:r w:rsidR="000F6281">
        <w:t> </w:t>
      </w:r>
      <w:r w:rsidR="00240A1E">
        <w:t>%)</w:t>
      </w:r>
    </w:p>
    <w:p w14:paraId="06542C8C" w14:textId="4CFB63C3" w:rsidR="00627FD3" w:rsidRDefault="00627FD3" w:rsidP="007F49FE">
      <w:pPr>
        <w:pStyle w:val="Nivel4"/>
        <w:ind w:left="1474"/>
      </w:pPr>
      <w:r>
        <w:t>Ahora bien, a pesar de las diferencias en los principales impuestos, un factor adicional que explica la gran diferencia en términos de presión fiscal reside en la importante disminución de los ingresos vía Impuesto de Transmisiones Patrimoniales y Actos Jurídicos Documentados (ITPAJD) post estallido de la burbuja. Concretamente l</w:t>
      </w:r>
      <w:r w:rsidRPr="00231DAB">
        <w:t xml:space="preserve">a caída de los ingresos provenientes de </w:t>
      </w:r>
      <w:r>
        <w:t xml:space="preserve">ésta entre </w:t>
      </w:r>
      <w:r w:rsidRPr="00231DAB">
        <w:t>los años 2007 y 2012 se estima</w:t>
      </w:r>
      <w:r>
        <w:t>ron</w:t>
      </w:r>
      <w:r w:rsidRPr="00231DAB">
        <w:t xml:space="preserve"> en 4</w:t>
      </w:r>
      <w:r w:rsidR="000F6281">
        <w:t> </w:t>
      </w:r>
      <w:r w:rsidRPr="00231DAB">
        <w:t>puntos</w:t>
      </w:r>
      <w:r w:rsidR="007835E2">
        <w:t xml:space="preserve"> porcentuales</w:t>
      </w:r>
      <w:r w:rsidRPr="00231DAB">
        <w:t xml:space="preserve"> de PIB.</w:t>
      </w:r>
    </w:p>
    <w:p w14:paraId="68FE3CEB" w14:textId="77777777" w:rsidR="005C6499" w:rsidRDefault="00530840" w:rsidP="00224BF4">
      <w:pPr>
        <w:pStyle w:val="Ttulo6"/>
      </w:pPr>
      <w:bookmarkStart w:id="95" w:name="_Toc151113616"/>
      <w:r>
        <w:t>Indicador 2: Esfuerzo fiscal</w:t>
      </w:r>
      <w:r w:rsidR="009440AE">
        <w:t xml:space="preserve"> (también llamado “</w:t>
      </w:r>
      <w:r w:rsidR="00860D07">
        <w:t>Índice</w:t>
      </w:r>
      <w:r w:rsidR="009440AE">
        <w:t xml:space="preserve"> de Frank”</w:t>
      </w:r>
      <w:r w:rsidR="00F73932">
        <w:t>, en honor al economista inglés Frank Ramsey</w:t>
      </w:r>
      <w:r w:rsidR="009440AE">
        <w:t>)</w:t>
      </w:r>
      <w:bookmarkEnd w:id="95"/>
    </w:p>
    <w:p w14:paraId="223E1227" w14:textId="1DE62E64" w:rsidR="00FB1848" w:rsidRDefault="00FB1848" w:rsidP="00224BF4">
      <w:pPr>
        <w:pStyle w:val="Nivel2SM"/>
        <w:keepNext/>
        <w:spacing w:after="0"/>
      </w:pPr>
      <w:r>
        <w:t>Analíticamente el esfuerzo fiscal se calcula como:</w:t>
      </w:r>
    </w:p>
    <w:p w14:paraId="5A7DD394" w14:textId="58009190" w:rsidR="00713633" w:rsidRDefault="00C07581" w:rsidP="00E67002">
      <w:pPr>
        <w:spacing w:after="0"/>
        <w:jc w:val="center"/>
      </w:pPr>
      <w:r>
        <w:rPr>
          <w:noProof/>
        </w:rPr>
        <w:drawing>
          <wp:inline distT="0" distB="0" distL="0" distR="0" wp14:anchorId="130AADB7" wp14:editId="3F004497">
            <wp:extent cx="3086100" cy="1003404"/>
            <wp:effectExtent l="0" t="0" r="0" b="635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97421" cy="1007085"/>
                    </a:xfrm>
                    <a:prstGeom prst="rect">
                      <a:avLst/>
                    </a:prstGeom>
                    <a:noFill/>
                    <a:ln>
                      <a:noFill/>
                    </a:ln>
                  </pic:spPr>
                </pic:pic>
              </a:graphicData>
            </a:graphic>
          </wp:inline>
        </w:drawing>
      </w:r>
    </w:p>
    <w:p w14:paraId="0C02B93F" w14:textId="54E5D5EC" w:rsidR="001134C9" w:rsidRDefault="00713633" w:rsidP="007F49FE">
      <w:pPr>
        <w:pStyle w:val="Nivel3SM"/>
      </w:pPr>
      <w:r>
        <w:t xml:space="preserve">Si dos países tienen la misma presión fiscal (mismo numerador), el país que tenga una mayor renta per cápita (mayor denominador) los </w:t>
      </w:r>
      <w:r w:rsidRPr="00AE602D">
        <w:rPr>
          <w:u w:val="single"/>
        </w:rPr>
        <w:t>residentes realizarán un menor sacrificio en el pago de impuestos</w:t>
      </w:r>
      <w:r>
        <w:t>.</w:t>
      </w:r>
    </w:p>
    <w:p w14:paraId="5F895F21" w14:textId="77777777" w:rsidR="002A347E" w:rsidRDefault="002A347E" w:rsidP="007F49FE">
      <w:pPr>
        <w:pStyle w:val="Nivel2SM"/>
        <w:keepNext/>
        <w:spacing w:after="0"/>
      </w:pPr>
      <w:r>
        <w:t>Fijarnos en este indicador es interesante:</w:t>
      </w:r>
    </w:p>
    <w:p w14:paraId="68363979" w14:textId="251A209F" w:rsidR="00156A36" w:rsidRDefault="002A347E" w:rsidP="007F49FE">
      <w:pPr>
        <w:pStyle w:val="Nivel3SM"/>
      </w:pPr>
      <w:r>
        <w:t>Por ejemplo, en 2007, Alemania tenía una presión fiscal del 36</w:t>
      </w:r>
      <w:r w:rsidR="00346968">
        <w:t> </w:t>
      </w:r>
      <w:r>
        <w:t>% y España, del 37</w:t>
      </w:r>
      <w:r w:rsidR="00346968">
        <w:t> </w:t>
      </w:r>
      <w:r>
        <w:t>%. En cambio, en 2009 la presión fiscal se mantenía casi inalterada en Alemania (37</w:t>
      </w:r>
      <w:r w:rsidR="00346968">
        <w:t> </w:t>
      </w:r>
      <w:r>
        <w:t>%) pero en España había caído hasta el 30</w:t>
      </w:r>
      <w:r w:rsidR="00346968">
        <w:t> </w:t>
      </w:r>
      <w:r>
        <w:t>%.</w:t>
      </w:r>
      <w:r w:rsidR="00CD2A43">
        <w:t xml:space="preserve"> Esto nos puede llevar a pensar que sería una buena idea subir los impuestos en España.</w:t>
      </w:r>
      <w:r w:rsidR="008D6BEA">
        <w:t xml:space="preserve"> </w:t>
      </w:r>
      <w:r w:rsidR="008D6BEA" w:rsidRPr="008D6BEA">
        <w:rPr>
          <w:u w:val="single"/>
        </w:rPr>
        <w:t>No obstante</w:t>
      </w:r>
      <w:r w:rsidR="00341098" w:rsidRPr="008D6BEA">
        <w:rPr>
          <w:u w:val="single"/>
        </w:rPr>
        <w:t xml:space="preserve"> pese a que la presión fiscal era ese año mucho menor en España que en Alemania, el esfuerzo fiscal era superior en nuestro país</w:t>
      </w:r>
      <w:r w:rsidR="00341098">
        <w:t>.</w:t>
      </w:r>
    </w:p>
    <w:p w14:paraId="72EB7609" w14:textId="104CA52A" w:rsidR="006A489D" w:rsidRPr="000F6281" w:rsidRDefault="00240A1E" w:rsidP="00224BF4">
      <w:pPr>
        <w:pStyle w:val="Ttulo6"/>
      </w:pPr>
      <w:bookmarkStart w:id="96" w:name="_Toc151113617"/>
      <w:r>
        <w:t xml:space="preserve">Indicador 3: </w:t>
      </w:r>
      <w:r w:rsidR="00156A36" w:rsidRPr="00156A36">
        <w:t>Carga Fiscal</w:t>
      </w:r>
      <w:bookmarkEnd w:id="96"/>
    </w:p>
    <w:p w14:paraId="2767353A" w14:textId="47A21131" w:rsidR="00156A36" w:rsidRPr="000F6281" w:rsidRDefault="008D6BEA" w:rsidP="00307366">
      <w:pPr>
        <w:pStyle w:val="Nivel2SM"/>
        <w:keepNext/>
        <w:spacing w:after="0"/>
      </w:pPr>
      <w:r>
        <w:t>Un indicador adicional es la Carga Fiscal.</w:t>
      </w:r>
    </w:p>
    <w:p w14:paraId="4D898AC7" w14:textId="2F7A64A3" w:rsidR="00156A36" w:rsidRPr="00307366" w:rsidRDefault="00156A36" w:rsidP="00E67002">
      <w:pPr>
        <w:keepNext/>
        <w:spacing w:after="0"/>
        <w:ind w:left="720"/>
        <w:jc w:val="center"/>
        <w:rPr>
          <w:i/>
          <w:iCs/>
        </w:rPr>
      </w:pPr>
      <w:r w:rsidRPr="00307366">
        <w:rPr>
          <w:bCs/>
          <w:i/>
          <w:iCs/>
        </w:rPr>
        <w:t>Impuestos / (Renta – Mínimo Vital)</w:t>
      </w:r>
    </w:p>
    <w:p w14:paraId="309DDDF1" w14:textId="77777777" w:rsidR="00156A36" w:rsidRPr="00156A36" w:rsidRDefault="00156A36" w:rsidP="00307366">
      <w:pPr>
        <w:pStyle w:val="Nivel3SM"/>
      </w:pPr>
      <w:r>
        <w:t>Para una renta cercana al mínimo vital la carga fiscal sería insoportable, justificando la introducción de exenciones fiscales hasta un determinado nivel de ingresos.</w:t>
      </w:r>
    </w:p>
    <w:p w14:paraId="2E1BF98A" w14:textId="77777777" w:rsidR="00EC4613" w:rsidRPr="00BB6775" w:rsidRDefault="00EC4613" w:rsidP="00EC4613">
      <w:pPr>
        <w:pStyle w:val="Ttulo6"/>
        <w:spacing w:before="0"/>
      </w:pPr>
      <w:bookmarkStart w:id="97" w:name="_Toc151113618"/>
      <w:r>
        <w:lastRenderedPageBreak/>
        <w:t>Ingresos totales</w:t>
      </w:r>
      <w:bookmarkEnd w:id="97"/>
    </w:p>
    <w:p w14:paraId="0240E18D" w14:textId="77777777" w:rsidR="00EC4613" w:rsidRPr="00F27A55" w:rsidRDefault="00EC4613" w:rsidP="00EC4613">
      <w:pPr>
        <w:pStyle w:val="Nivel2SM"/>
        <w:keepNext/>
        <w:spacing w:after="0"/>
        <w:rPr>
          <w:u w:val="single"/>
        </w:rPr>
      </w:pPr>
      <w:r>
        <w:t>Consiste en utilizar como numerador el total de ingresos, en vez de sólo los coactivos.</w:t>
      </w:r>
    </w:p>
    <w:p w14:paraId="0E199D77" w14:textId="77777777" w:rsidR="00EC4613" w:rsidRPr="00307366" w:rsidRDefault="00EC4613" w:rsidP="00EC4613">
      <w:pPr>
        <w:keepNext/>
        <w:spacing w:after="0"/>
        <w:jc w:val="center"/>
        <w:rPr>
          <w:i/>
          <w:iCs/>
        </w:rPr>
      </w:pPr>
      <w:r w:rsidRPr="00307366">
        <w:rPr>
          <w:i/>
          <w:iCs/>
        </w:rPr>
        <w:t>(Ingresos totales / PIB)·100</w:t>
      </w:r>
    </w:p>
    <w:p w14:paraId="07BA9D67" w14:textId="3D403A90" w:rsidR="00EC4613" w:rsidRDefault="00EC4613" w:rsidP="00EC4613">
      <w:pPr>
        <w:pStyle w:val="Nivel3SM"/>
        <w:rPr>
          <w:u w:val="single"/>
        </w:rPr>
      </w:pPr>
      <w:r>
        <w:t xml:space="preserve">De nuevo tiene problemas parecidos a los indicadores anteriores. El </w:t>
      </w:r>
      <w:r w:rsidR="003F0EBE">
        <w:t>sector público</w:t>
      </w:r>
      <w:r>
        <w:t xml:space="preserve"> podría también financiarse mediante deuda pública por lo que muestra una idea insuficiente del </w:t>
      </w:r>
      <w:r w:rsidR="003F0EBE">
        <w:t>sector público</w:t>
      </w:r>
      <w:r>
        <w:t>.</w:t>
      </w:r>
    </w:p>
    <w:p w14:paraId="1A49943B" w14:textId="11E574C8" w:rsidR="00EC4613" w:rsidRDefault="00EC4613" w:rsidP="00EC4613">
      <w:bookmarkStart w:id="98" w:name="_Hlk146470770"/>
      <w:r>
        <w:rPr>
          <w:noProof/>
        </w:rPr>
        <w:drawing>
          <wp:inline distT="0" distB="0" distL="0" distR="0" wp14:anchorId="2BB0BA76" wp14:editId="52CBED26">
            <wp:extent cx="2880000" cy="3052716"/>
            <wp:effectExtent l="0" t="0" r="0" b="0"/>
            <wp:docPr id="871999564" name="Imagen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80000" cy="3052716"/>
                    </a:xfrm>
                    <a:prstGeom prst="rect">
                      <a:avLst/>
                    </a:prstGeom>
                    <a:noFill/>
                    <a:ln>
                      <a:noFill/>
                    </a:ln>
                  </pic:spPr>
                </pic:pic>
              </a:graphicData>
            </a:graphic>
          </wp:inline>
        </w:drawing>
      </w:r>
      <w:r>
        <w:t>De los países de la UE, España es uno de los que más ha aumentado el tamaño de su sector público desde 2019.</w:t>
      </w:r>
    </w:p>
    <w:p w14:paraId="60544540" w14:textId="1D352142" w:rsidR="00515427" w:rsidRDefault="00A762AF" w:rsidP="00A762AF">
      <w:pPr>
        <w:pStyle w:val="Ttulo3"/>
      </w:pPr>
      <w:bookmarkStart w:id="99" w:name="_Toc151113619"/>
      <w:r>
        <w:t xml:space="preserve">Comodín: </w:t>
      </w:r>
      <w:r w:rsidR="00515427">
        <w:t>La dimensión óptima del sector público</w:t>
      </w:r>
      <w:bookmarkEnd w:id="99"/>
    </w:p>
    <w:p w14:paraId="57EEADAD" w14:textId="1759757B" w:rsidR="0016066A" w:rsidRPr="0016066A" w:rsidRDefault="0016066A" w:rsidP="0016066A">
      <w:pPr>
        <w:pStyle w:val="Notaalopositor"/>
      </w:pPr>
      <w:r>
        <w:t>Evitar cantar esto, si se canta que sea más tirar la caña y 2 minutos.</w:t>
      </w:r>
    </w:p>
    <w:p w14:paraId="7687D82D" w14:textId="43306204" w:rsidR="00770C03" w:rsidRPr="00770C03" w:rsidRDefault="00770C03" w:rsidP="00770C03">
      <w:pPr>
        <w:pStyle w:val="Nivel1SM"/>
        <w:spacing w:before="0"/>
      </w:pPr>
      <w:r w:rsidRPr="00770C03">
        <w:t>¿Cómo se determina la dimensión óptima del sector público? Se trata de una tarea enormemente compleja en la práctica (pues requiere contar con mucha información difícilmente observable y cuantificable). A continuación presentamos algunos modelos muy simplificadores de la realidad pero que otorgan al menos indicios de dicha aproximación.</w:t>
      </w:r>
    </w:p>
    <w:p w14:paraId="1B017F11" w14:textId="68D23CC7" w:rsidR="00854A2D" w:rsidRPr="00885352" w:rsidRDefault="00854A2D" w:rsidP="00A762AF">
      <w:pPr>
        <w:pStyle w:val="Ttulo6"/>
        <w:spacing w:before="0"/>
      </w:pPr>
      <w:bookmarkStart w:id="100" w:name="_Toc151113620"/>
      <w:r w:rsidRPr="00854A2D">
        <w:t>Dos primeras formas</w:t>
      </w:r>
      <w:bookmarkEnd w:id="100"/>
    </w:p>
    <w:p w14:paraId="42193C6D" w14:textId="7D005BFC" w:rsidR="00854A2D" w:rsidRDefault="00A838D3" w:rsidP="00307366">
      <w:pPr>
        <w:pStyle w:val="Nivel1SM"/>
        <w:keepNext/>
        <w:spacing w:before="0" w:after="0"/>
      </w:pPr>
      <w:r>
        <w:t xml:space="preserve">Existen </w:t>
      </w:r>
      <w:r w:rsidR="00307366">
        <w:t>2 </w:t>
      </w:r>
      <w:r>
        <w:t>formas principales de determinar, teóricamente, la dimensión óptima del sector público.</w:t>
      </w:r>
    </w:p>
    <w:p w14:paraId="5D300986" w14:textId="77777777" w:rsidR="00A838D3" w:rsidRDefault="00A838D3" w:rsidP="00307366">
      <w:pPr>
        <w:pStyle w:val="Nivel2SM"/>
        <w:keepNext/>
        <w:spacing w:after="0"/>
      </w:pPr>
      <w:r w:rsidRPr="004106E7">
        <w:t>Primera forma</w:t>
      </w:r>
      <w:r>
        <w:t>:</w:t>
      </w:r>
    </w:p>
    <w:p w14:paraId="31686B42" w14:textId="6EDF1DB9" w:rsidR="00065023" w:rsidRDefault="00A838D3" w:rsidP="00307366">
      <w:pPr>
        <w:pStyle w:val="Nivel3SM"/>
      </w:pPr>
      <w:r>
        <w:t xml:space="preserve">El tamaño óptimo del sector público será aquel que iguale el </w:t>
      </w:r>
      <w:proofErr w:type="spellStart"/>
      <w:r>
        <w:t>CMg</w:t>
      </w:r>
      <w:proofErr w:type="spellEnd"/>
      <w:r>
        <w:t xml:space="preserve"> social al </w:t>
      </w:r>
      <w:proofErr w:type="spellStart"/>
      <w:r>
        <w:t>BMg</w:t>
      </w:r>
      <w:proofErr w:type="spellEnd"/>
      <w:r>
        <w:t xml:space="preserve"> social.</w:t>
      </w:r>
    </w:p>
    <w:p w14:paraId="0DE78AE9" w14:textId="40FDDA66" w:rsidR="00065023" w:rsidRDefault="00C07581" w:rsidP="00307366">
      <w:pPr>
        <w:pStyle w:val="Nivel3SM"/>
        <w:numPr>
          <w:ilvl w:val="0"/>
          <w:numId w:val="0"/>
        </w:numPr>
        <w:ind w:left="963"/>
        <w:jc w:val="center"/>
      </w:pPr>
      <w:r>
        <w:rPr>
          <w:noProof/>
        </w:rPr>
        <w:drawing>
          <wp:inline distT="0" distB="0" distL="0" distR="0" wp14:anchorId="0074C60C" wp14:editId="27EFEE20">
            <wp:extent cx="3009900" cy="2114550"/>
            <wp:effectExtent l="0" t="0" r="0" b="0"/>
            <wp:docPr id="1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BEBA8EAE-BF5A-486C-A8C5-ECC9F3942E4B}">
                          <a14:imgProps xmlns:a14="http://schemas.microsoft.com/office/drawing/2010/main">
                            <a14:imgLayer r:embed="rId46">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009900" cy="2114550"/>
                    </a:xfrm>
                    <a:prstGeom prst="rect">
                      <a:avLst/>
                    </a:prstGeom>
                    <a:noFill/>
                    <a:ln>
                      <a:noFill/>
                    </a:ln>
                  </pic:spPr>
                </pic:pic>
              </a:graphicData>
            </a:graphic>
          </wp:inline>
        </w:drawing>
      </w:r>
    </w:p>
    <w:p w14:paraId="60A71E1A" w14:textId="3DEB7E1A" w:rsidR="00502C69" w:rsidRDefault="00F24E10" w:rsidP="00307366">
      <w:pPr>
        <w:pStyle w:val="Nivel3SM"/>
      </w:pPr>
      <w:r>
        <w:t>P.ej.</w:t>
      </w:r>
      <w:r w:rsidR="00502C69">
        <w:t xml:space="preserve"> Imaginemos que estamos midiendo el tamaño del sector público en términos de gasto público.</w:t>
      </w:r>
      <w:r w:rsidR="00F27830">
        <w:t xml:space="preserve"> El </w:t>
      </w:r>
      <w:proofErr w:type="spellStart"/>
      <w:r w:rsidR="00F27830">
        <w:t>BMg</w:t>
      </w:r>
      <w:proofErr w:type="spellEnd"/>
      <w:r w:rsidR="00F27830">
        <w:t xml:space="preserve"> social será decreciente (gasto público adicional será más valorado cuando sea más escaso). El CMg social será creciente (derivado de ineficiencias, freno a la actividad privada, mayores impuestos</w:t>
      </w:r>
      <w:r w:rsidR="00885352">
        <w:t>…</w:t>
      </w:r>
      <w:r w:rsidR="00F27830">
        <w:t>)</w:t>
      </w:r>
      <w:r w:rsidR="00E845A9">
        <w:t>. Por tanto, habrá un nivel de gasto público óptimo.</w:t>
      </w:r>
    </w:p>
    <w:p w14:paraId="063AB33A" w14:textId="77777777" w:rsidR="008D2734" w:rsidRDefault="008D2734" w:rsidP="00307366">
      <w:pPr>
        <w:pStyle w:val="Nivel3SM"/>
        <w:keepNext/>
      </w:pPr>
      <w:r>
        <w:lastRenderedPageBreak/>
        <w:t xml:space="preserve">Limitación: Dificultad para estimar </w:t>
      </w:r>
      <w:r w:rsidR="00C865DB">
        <w:t xml:space="preserve">correctamente </w:t>
      </w:r>
      <w:r>
        <w:t xml:space="preserve">el </w:t>
      </w:r>
      <w:proofErr w:type="spellStart"/>
      <w:r>
        <w:t>BMg</w:t>
      </w:r>
      <w:proofErr w:type="spellEnd"/>
      <w:r>
        <w:t xml:space="preserve"> </w:t>
      </w:r>
      <w:r w:rsidR="00854A2D">
        <w:t xml:space="preserve">y </w:t>
      </w:r>
      <w:r>
        <w:t xml:space="preserve">el </w:t>
      </w:r>
      <w:proofErr w:type="spellStart"/>
      <w:r>
        <w:t>CMg</w:t>
      </w:r>
      <w:proofErr w:type="spellEnd"/>
      <w:r>
        <w:t>.</w:t>
      </w:r>
    </w:p>
    <w:p w14:paraId="14FA5B24" w14:textId="77777777" w:rsidR="00C865DB" w:rsidRDefault="00C865DB" w:rsidP="00307366">
      <w:pPr>
        <w:pStyle w:val="Nivel4"/>
        <w:ind w:left="1474"/>
      </w:pPr>
      <w:r>
        <w:t>Los intervencionistas tenderán a subestimar los costes y sobrestimar los beneficios, mientras que los defensores de un sector público pequeño tenderán a hacer lo contrario.</w:t>
      </w:r>
    </w:p>
    <w:p w14:paraId="5310C3BD" w14:textId="77777777" w:rsidR="000745FB" w:rsidRDefault="000745FB" w:rsidP="00307366">
      <w:pPr>
        <w:pStyle w:val="Nivel2SM"/>
        <w:keepNext/>
        <w:spacing w:after="0"/>
      </w:pPr>
      <w:r w:rsidRPr="00854A2D">
        <w:t>Segunda forma</w:t>
      </w:r>
      <w:r>
        <w:t>:</w:t>
      </w:r>
    </w:p>
    <w:p w14:paraId="453218EE" w14:textId="77777777" w:rsidR="00426AF7" w:rsidRDefault="00426AF7" w:rsidP="00307366">
      <w:pPr>
        <w:pStyle w:val="Nivel3SM"/>
      </w:pPr>
      <w:r>
        <w:t>Partiendo de los recursos disponibles en un país, se puede construir una frontera de posibilidades de producción que dependa de cómo se asignen estos recursos entre el sector público y el privado.</w:t>
      </w:r>
      <w:r w:rsidR="00E375DF">
        <w:t xml:space="preserve"> Construyendo curvas de indiferencia social, se puede encontrar el punto socialmente óptimo.</w:t>
      </w:r>
    </w:p>
    <w:p w14:paraId="65D9191A" w14:textId="64BCB3D7" w:rsidR="00065023" w:rsidRDefault="00C07581" w:rsidP="00D636B8">
      <w:pPr>
        <w:ind w:left="1440"/>
        <w:jc w:val="center"/>
      </w:pPr>
      <w:r>
        <w:rPr>
          <w:noProof/>
        </w:rPr>
        <w:drawing>
          <wp:inline distT="0" distB="0" distL="0" distR="0" wp14:anchorId="1ADE611A" wp14:editId="08906E9B">
            <wp:extent cx="2466975" cy="2143125"/>
            <wp:effectExtent l="0" t="0" r="9525" b="9525"/>
            <wp:docPr id="1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BEBA8EAE-BF5A-486C-A8C5-ECC9F3942E4B}">
                          <a14:imgProps xmlns:a14="http://schemas.microsoft.com/office/drawing/2010/main">
                            <a14:imgLayer r:embed="rId48">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466975" cy="2143125"/>
                    </a:xfrm>
                    <a:prstGeom prst="rect">
                      <a:avLst/>
                    </a:prstGeom>
                    <a:noFill/>
                    <a:ln>
                      <a:noFill/>
                    </a:ln>
                  </pic:spPr>
                </pic:pic>
              </a:graphicData>
            </a:graphic>
          </wp:inline>
        </w:drawing>
      </w:r>
    </w:p>
    <w:p w14:paraId="554245BB" w14:textId="68553FD8" w:rsidR="00C65AF4" w:rsidRDefault="00D71DA1" w:rsidP="00307366">
      <w:pPr>
        <w:pStyle w:val="Nivel3SM"/>
      </w:pPr>
      <w:r>
        <w:t>Limitación: De nuevo dificultades para calcularlo en la práctica.</w:t>
      </w:r>
    </w:p>
    <w:p w14:paraId="633C0BEB" w14:textId="0AD204E1" w:rsidR="00950DA0" w:rsidRPr="00D32322" w:rsidRDefault="00950DA0" w:rsidP="00A762AF">
      <w:pPr>
        <w:pStyle w:val="Ttulo6"/>
      </w:pPr>
      <w:bookmarkStart w:id="101" w:name="_Toc151113621"/>
      <w:bookmarkEnd w:id="98"/>
      <w:r w:rsidRPr="00D32322">
        <w:t xml:space="preserve">Modelo </w:t>
      </w:r>
      <w:r w:rsidR="00A35C94" w:rsidRPr="00D32322">
        <w:t>AK con gasto público productivo (</w:t>
      </w:r>
      <w:r w:rsidRPr="00D32322">
        <w:rPr>
          <w:smallCaps/>
        </w:rPr>
        <w:t>Barro</w:t>
      </w:r>
      <w:r w:rsidR="00A35C94" w:rsidRPr="00D32322">
        <w:t>, 1990)</w:t>
      </w:r>
      <w:bookmarkEnd w:id="101"/>
    </w:p>
    <w:p w14:paraId="76CFEAEE" w14:textId="77777777" w:rsidR="00041142" w:rsidRDefault="00041142" w:rsidP="00A762AF">
      <w:pPr>
        <w:pStyle w:val="Ttulo7"/>
        <w:spacing w:before="0"/>
        <w:rPr>
          <w:rFonts w:eastAsiaTheme="minorEastAsia"/>
        </w:rPr>
      </w:pPr>
      <w:bookmarkStart w:id="102" w:name="_Toc141368103"/>
      <w:r>
        <w:rPr>
          <w:rFonts w:eastAsiaTheme="minorEastAsia"/>
        </w:rPr>
        <w:t>Idea</w:t>
      </w:r>
      <w:bookmarkEnd w:id="102"/>
    </w:p>
    <w:p w14:paraId="4E2BA365" w14:textId="03F01628" w:rsidR="00D409DE" w:rsidRPr="003D2077" w:rsidRDefault="00D409DE" w:rsidP="003D2077">
      <w:pPr>
        <w:pStyle w:val="Nivel1SM"/>
        <w:spacing w:before="0"/>
        <w:rPr>
          <w:spacing w:val="-2"/>
        </w:rPr>
      </w:pPr>
      <w:r w:rsidRPr="003D2077">
        <w:rPr>
          <w:spacing w:val="-2"/>
        </w:rPr>
        <w:t xml:space="preserve">Otro modelo que nos permite estudiar el </w:t>
      </w:r>
      <w:r w:rsidRPr="003D2077">
        <w:rPr>
          <w:i/>
          <w:iCs/>
          <w:spacing w:val="-2"/>
          <w:u w:val="single"/>
        </w:rPr>
        <w:t>tamaño óptimo del sector público</w:t>
      </w:r>
      <w:r w:rsidRPr="003D2077">
        <w:rPr>
          <w:spacing w:val="-2"/>
        </w:rPr>
        <w:t xml:space="preserve">, prestando especial atención a las </w:t>
      </w:r>
      <w:r w:rsidRPr="003D2077">
        <w:rPr>
          <w:i/>
          <w:iCs/>
          <w:spacing w:val="-2"/>
        </w:rPr>
        <w:t>implicaciones sobre el crecimiento económico en el largo plazo</w:t>
      </w:r>
      <w:r w:rsidRPr="003D2077">
        <w:rPr>
          <w:spacing w:val="-2"/>
        </w:rPr>
        <w:t xml:space="preserve">, fue propuesto por </w:t>
      </w:r>
      <w:r w:rsidRPr="003D2077">
        <w:rPr>
          <w:smallCaps/>
          <w:spacing w:val="-2"/>
        </w:rPr>
        <w:t>Robert</w:t>
      </w:r>
      <w:r w:rsidRPr="003D2077">
        <w:rPr>
          <w:spacing w:val="-2"/>
        </w:rPr>
        <w:t xml:space="preserve"> </w:t>
      </w:r>
      <w:r w:rsidRPr="003D2077">
        <w:rPr>
          <w:smallCaps/>
          <w:spacing w:val="-2"/>
        </w:rPr>
        <w:t>Barro</w:t>
      </w:r>
      <w:r w:rsidRPr="003D2077">
        <w:rPr>
          <w:spacing w:val="-2"/>
        </w:rPr>
        <w:t xml:space="preserve"> (1990).</w:t>
      </w:r>
    </w:p>
    <w:p w14:paraId="21749177" w14:textId="4C1B4B7C" w:rsidR="00041142" w:rsidRPr="00E755ED" w:rsidRDefault="00041142" w:rsidP="00041142">
      <w:pPr>
        <w:pStyle w:val="Nivel1SM"/>
        <w:keepNext/>
        <w:spacing w:before="0" w:after="0"/>
        <w:rPr>
          <w:rFonts w:eastAsiaTheme="minorEastAsia"/>
        </w:rPr>
      </w:pPr>
      <w:r>
        <w:t>En este apartado estudiaremos los efectos que el gasto público y los impuestos necesarios para financiar dicho gasto tienen en la economía y, en particular, en el crecimiento económico.</w:t>
      </w:r>
    </w:p>
    <w:p w14:paraId="0FFD5661" w14:textId="77777777" w:rsidR="00041142" w:rsidRPr="00E755ED" w:rsidRDefault="00041142" w:rsidP="00041142">
      <w:pPr>
        <w:pStyle w:val="Nivel2SM"/>
        <w:rPr>
          <w:rFonts w:eastAsiaTheme="minorEastAsia"/>
        </w:rPr>
      </w:pPr>
      <w:r>
        <w:t>Con este objetivo, compararemos los aspectos positivos de tener un gasto público elevado con los aspectos negativos que conlleva la financiación de dicho gasto a través de impuestos.</w:t>
      </w:r>
    </w:p>
    <w:p w14:paraId="04E77A0B" w14:textId="77777777" w:rsidR="00041142" w:rsidRPr="00326375" w:rsidRDefault="00041142" w:rsidP="00041142">
      <w:pPr>
        <w:pStyle w:val="Nivel2SM"/>
        <w:rPr>
          <w:rFonts w:eastAsiaTheme="minorEastAsia"/>
        </w:rPr>
      </w:pPr>
      <w:r>
        <w:t xml:space="preserve">Para ello, deberemos trabajar bajo el supuesto de que el gasto público es deseable (si no, la conclusión será inmediata: lo mejor sería reducir el tamaño del gasto público a cero, ya que no genera beneficios y su financiación comporta pérdidas). En términos de nuestros modelos de crecimiento, una manera de que el gasto público sea deseable es </w:t>
      </w:r>
      <w:r>
        <w:rPr>
          <w:i/>
          <w:iCs/>
        </w:rPr>
        <w:t>introducirlo como argumento en la función de producción</w:t>
      </w:r>
      <w:r w:rsidRPr="00E755ED">
        <w:rPr>
          <w:rStyle w:val="Refdenotaalpie"/>
        </w:rPr>
        <w:footnoteReference w:id="35"/>
      </w:r>
      <w:r>
        <w:t>.</w:t>
      </w:r>
    </w:p>
    <w:p w14:paraId="3F41B151" w14:textId="77777777" w:rsidR="00041142" w:rsidRDefault="00041142" w:rsidP="00A762AF">
      <w:pPr>
        <w:pStyle w:val="Ttulo7"/>
        <w:rPr>
          <w:rFonts w:eastAsiaTheme="minorEastAsia"/>
        </w:rPr>
      </w:pPr>
      <w:bookmarkStart w:id="103" w:name="_Toc141368104"/>
      <w:r>
        <w:rPr>
          <w:rFonts w:eastAsiaTheme="minorEastAsia"/>
        </w:rPr>
        <w:t>Modelo</w:t>
      </w:r>
      <w:bookmarkEnd w:id="103"/>
    </w:p>
    <w:p w14:paraId="563C488A" w14:textId="77777777" w:rsidR="00041142" w:rsidRDefault="00041142" w:rsidP="00A762AF">
      <w:pPr>
        <w:pStyle w:val="Ttulo8"/>
        <w:spacing w:before="0"/>
      </w:pPr>
      <w:bookmarkStart w:id="104" w:name="_Toc141368105"/>
      <w:r>
        <w:t>Supuestos</w:t>
      </w:r>
      <w:bookmarkEnd w:id="104"/>
    </w:p>
    <w:p w14:paraId="61B7C759" w14:textId="77777777" w:rsidR="00041142" w:rsidRPr="00E755ED" w:rsidRDefault="00041142" w:rsidP="00041142">
      <w:pPr>
        <w:pStyle w:val="Nivel1SM"/>
        <w:keepNext/>
        <w:spacing w:before="0" w:after="0"/>
        <w:rPr>
          <w:rFonts w:eastAsiaTheme="minorEastAsia"/>
          <w:iCs/>
        </w:rPr>
      </w:pPr>
      <w:r>
        <w:t xml:space="preserve">Aquí, seguiremos a </w:t>
      </w:r>
      <w:r>
        <w:rPr>
          <w:smallCaps/>
        </w:rPr>
        <w:t>Barro</w:t>
      </w:r>
      <w:r>
        <w:t xml:space="preserve"> (1990) y partiremos de los siguientes supuestos:</w:t>
      </w:r>
    </w:p>
    <w:p w14:paraId="62678CC7" w14:textId="77777777" w:rsidR="00041142" w:rsidRDefault="00041142" w:rsidP="00041142">
      <w:pPr>
        <w:pStyle w:val="Nivel2SM"/>
        <w:keepNext/>
        <w:spacing w:after="0"/>
        <w:rPr>
          <w:rFonts w:eastAsiaTheme="minorEastAsia"/>
          <w:iCs/>
        </w:rPr>
      </w:pPr>
      <w:r>
        <w:t xml:space="preserve">La producción de la economía es una función del stock de capital privado, </w:t>
      </w:r>
      <m:oMath>
        <m:sSub>
          <m:sSubPr>
            <m:ctrlPr>
              <w:rPr>
                <w:rFonts w:ascii="Cambria Math" w:hAnsi="Cambria Math"/>
                <w:i/>
                <w:iCs/>
              </w:rPr>
            </m:ctrlPr>
          </m:sSubPr>
          <m:e>
            <m:r>
              <m:rPr>
                <m:nor/>
              </m:rPr>
              <w:rPr>
                <w:i/>
                <w:iCs/>
              </w:rPr>
              <m:t>K</m:t>
            </m:r>
          </m:e>
          <m:sub>
            <m:r>
              <m:rPr>
                <m:nor/>
              </m:rPr>
              <w:rPr>
                <w:i/>
                <w:iCs/>
              </w:rPr>
              <m:t>t</m:t>
            </m:r>
          </m:sub>
        </m:sSub>
      </m:oMath>
      <w:r>
        <w:rPr>
          <w:rFonts w:eastAsiaTheme="minorEastAsia"/>
          <w:iCs/>
        </w:rPr>
        <w:t xml:space="preserve">, y del flujo de bienes suministrados por el gobierno, </w:t>
      </w:r>
      <m:oMath>
        <m:sSub>
          <m:sSubPr>
            <m:ctrlPr>
              <w:rPr>
                <w:rFonts w:ascii="Cambria Math" w:hAnsi="Cambria Math"/>
                <w:i/>
                <w:iCs/>
              </w:rPr>
            </m:ctrlPr>
          </m:sSubPr>
          <m:e>
            <m:r>
              <m:rPr>
                <m:nor/>
              </m:rPr>
              <w:rPr>
                <w:i/>
                <w:iCs/>
              </w:rPr>
              <m:t>G</m:t>
            </m:r>
          </m:e>
          <m:sub>
            <m:r>
              <m:rPr>
                <m:nor/>
              </m:rPr>
              <w:rPr>
                <w:i/>
                <w:iCs/>
              </w:rPr>
              <m:t>t</m:t>
            </m:r>
          </m:sub>
        </m:sSub>
      </m:oMath>
      <w:r>
        <w:rPr>
          <w:rFonts w:eastAsiaTheme="minorEastAsia"/>
          <w:iCs/>
        </w:rPr>
        <w:t>:</w:t>
      </w:r>
    </w:p>
    <w:p w14:paraId="39909A44" w14:textId="77777777" w:rsidR="00041142" w:rsidRPr="00473303" w:rsidRDefault="00000000" w:rsidP="00041142">
      <w:pPr>
        <w:spacing w:after="0"/>
        <w:rPr>
          <w:rFonts w:eastAsiaTheme="minorEastAsia"/>
          <w:iCs/>
        </w:rP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r>
            <m:rPr>
              <m:nor/>
            </m:rPr>
            <w:rPr>
              <w:i/>
              <w:iCs/>
            </w:rPr>
            <m:t>A</m:t>
          </m:r>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K</m:t>
                  </m:r>
                </m:e>
                <m:sub>
                  <m:r>
                    <m:rPr>
                      <m:nor/>
                    </m:rPr>
                    <w:rPr>
                      <w:i/>
                      <w:iCs/>
                    </w:rPr>
                    <m:t>t</m:t>
                  </m:r>
                </m:sub>
              </m:sSub>
            </m:e>
            <m:sup>
              <m:r>
                <m:rPr>
                  <m:nor/>
                </m:rPr>
                <w:rPr>
                  <w:i/>
                </w:rPr>
                <m:t>α</m:t>
              </m:r>
            </m:sup>
          </m:sSup>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G</m:t>
                  </m:r>
                </m:e>
                <m:sub>
                  <m:r>
                    <m:rPr>
                      <m:nor/>
                    </m:rPr>
                    <w:rPr>
                      <w:i/>
                      <w:iCs/>
                    </w:rPr>
                    <m:t>t</m:t>
                  </m:r>
                </m:sub>
              </m:sSub>
            </m:e>
            <m:sup>
              <m:r>
                <m:rPr>
                  <m:nor/>
                </m:rPr>
                <w:rPr>
                  <w:i/>
                </w:rPr>
                <m:t>1</m:t>
              </m:r>
              <m:r>
                <w:rPr>
                  <w:rFonts w:ascii="Cambria Math" w:eastAsia="Times New Roman" w:hAnsi="Cambria Math"/>
                  <w:vertAlign w:val="superscript"/>
                </w:rPr>
                <m:t>-</m:t>
              </m:r>
              <m:r>
                <m:rPr>
                  <m:nor/>
                </m:rPr>
                <w:rPr>
                  <w:i/>
                </w:rPr>
                <m:t>α</m:t>
              </m:r>
            </m:sup>
          </m:sSup>
        </m:oMath>
      </m:oMathPara>
    </w:p>
    <w:p w14:paraId="7B7AF2B9" w14:textId="77777777" w:rsidR="00041142" w:rsidRDefault="00041142" w:rsidP="00041142">
      <w:pPr>
        <w:pStyle w:val="Nivel2SM"/>
        <w:keepNext/>
        <w:spacing w:after="0"/>
      </w:pPr>
      <w:r w:rsidRPr="00C458C8">
        <w:t>Para financiar el g</w:t>
      </w:r>
      <w:r>
        <w:t xml:space="preserve">asto público, </w:t>
      </w:r>
      <m:oMath>
        <m:sSub>
          <m:sSubPr>
            <m:ctrlPr>
              <w:rPr>
                <w:rFonts w:ascii="Cambria Math" w:hAnsi="Cambria Math"/>
                <w:i/>
              </w:rPr>
            </m:ctrlPr>
          </m:sSubPr>
          <m:e>
            <m:r>
              <m:rPr>
                <m:nor/>
              </m:rPr>
              <w:rPr>
                <w:i/>
              </w:rPr>
              <m:t>G</m:t>
            </m:r>
          </m:e>
          <m:sub>
            <m:r>
              <m:rPr>
                <m:nor/>
              </m:rPr>
              <w:rPr>
                <w:i/>
              </w:rPr>
              <m:t>t</m:t>
            </m:r>
          </m:sub>
        </m:sSub>
      </m:oMath>
      <w:r>
        <w:t xml:space="preserve">, el gobierno impone un impuesto sobre la renta (o, lo que es lo mismo, sobre la producción). Para simplificar el análisis, consideraremos que el impuesto es proporcional y el tipo impositivo es constante en el tiempo. Este tipo impositivo será denotado con la letra </w:t>
      </w:r>
      <m:oMath>
        <m:r>
          <m:rPr>
            <m:nor/>
          </m:rPr>
          <w:rPr>
            <w:i/>
          </w:rPr>
          <m:t>τ</m:t>
        </m:r>
      </m:oMath>
      <w:r>
        <w:t>. La renta disponible de los individuos es, pues:</w:t>
      </w:r>
    </w:p>
    <w:p w14:paraId="36BEA31C" w14:textId="77777777" w:rsidR="00041142" w:rsidRPr="00C458C8" w:rsidRDefault="00000000" w:rsidP="00041142">
      <w:pPr>
        <w:spacing w:after="0"/>
        <w:rPr>
          <w:rFonts w:eastAsiaTheme="minorEastAsia"/>
          <w:iCs/>
          <w:lang w:val="fr-FR"/>
        </w:rPr>
      </w:pPr>
      <m:oMathPara>
        <m:oMath>
          <m:sSubSup>
            <m:sSubSupPr>
              <m:ctrlPr>
                <w:rPr>
                  <w:rFonts w:ascii="Cambria Math" w:hAnsi="Cambria Math"/>
                  <w:i/>
                  <w:iCs/>
                </w:rPr>
              </m:ctrlPr>
            </m:sSubSupPr>
            <m:e>
              <m:r>
                <m:rPr>
                  <m:nor/>
                </m:rPr>
                <w:rPr>
                  <w:i/>
                  <w:iCs/>
                  <w:lang w:val="fr-FR"/>
                </w:rPr>
                <m:t>Y</m:t>
              </m:r>
            </m:e>
            <m:sub>
              <m:r>
                <m:rPr>
                  <m:nor/>
                </m:rPr>
                <w:rPr>
                  <w:i/>
                  <w:iCs/>
                  <w:lang w:val="fr-FR"/>
                </w:rPr>
                <m:t>t</m:t>
              </m:r>
            </m:sub>
            <m:sup>
              <m:r>
                <m:rPr>
                  <m:nor/>
                </m:rPr>
                <w:rPr>
                  <w:i/>
                  <w:iCs/>
                  <w:lang w:val="fr-FR"/>
                </w:rPr>
                <m:t>d</m:t>
              </m:r>
            </m:sup>
          </m:sSubSup>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oMath>
      </m:oMathPara>
    </w:p>
    <w:p w14:paraId="4A844569" w14:textId="77777777" w:rsidR="00041142" w:rsidRPr="00E755ED" w:rsidRDefault="00041142" w:rsidP="00041142">
      <w:pPr>
        <w:pStyle w:val="Nivel3SM"/>
      </w:pPr>
      <w:r>
        <w:lastRenderedPageBreak/>
        <w:t xml:space="preserve">La parte de la renta que “no es disponible”, </w:t>
      </w:r>
      <m:oMath>
        <m:r>
          <m:rPr>
            <m:nor/>
          </m:rPr>
          <w:rPr>
            <w:i/>
          </w:rPr>
          <m:t>τ</m:t>
        </m:r>
        <m:r>
          <w:rPr>
            <w:rFonts w:ascii="Cambria Math" w:hAnsi="Cambria Math"/>
          </w:rPr>
          <m:t>∙</m:t>
        </m:r>
        <m:sSub>
          <m:sSubPr>
            <m:ctrlPr>
              <w:rPr>
                <w:rFonts w:ascii="Cambria Math" w:hAnsi="Cambria Math"/>
                <w:i/>
                <w:iCs/>
              </w:rPr>
            </m:ctrlPr>
          </m:sSubPr>
          <m:e>
            <m:r>
              <m:rPr>
                <m:nor/>
              </m:rPr>
              <w:rPr>
                <w:i/>
                <w:iCs/>
              </w:rPr>
              <m:t>Y</m:t>
            </m:r>
          </m:e>
          <m:sub>
            <m:r>
              <m:rPr>
                <m:nor/>
              </m:rPr>
              <w:rPr>
                <w:i/>
                <w:iCs/>
              </w:rPr>
              <m:t>t</m:t>
            </m:r>
          </m:sub>
        </m:sSub>
      </m:oMath>
      <w:r>
        <w:rPr>
          <w:iCs/>
        </w:rPr>
        <w:t>, es la que se apropia el gobierno como recaudación impositiva.</w:t>
      </w:r>
    </w:p>
    <w:p w14:paraId="4F67979F" w14:textId="77777777" w:rsidR="00041142" w:rsidRDefault="00041142" w:rsidP="00041142">
      <w:pPr>
        <w:pStyle w:val="Nivel3SM"/>
        <w:keepNext/>
      </w:pPr>
      <w:r>
        <w:rPr>
          <w:iCs/>
        </w:rPr>
        <w:t xml:space="preserve">Si denotamos con </w:t>
      </w:r>
      <m:oMath>
        <m:r>
          <m:rPr>
            <m:nor/>
          </m:rPr>
          <w:rPr>
            <w:i/>
          </w:rPr>
          <m:t>g</m:t>
        </m:r>
      </m:oMath>
      <w:r>
        <w:t xml:space="preserve"> minúscula el gasto público por persona,</w:t>
      </w:r>
      <m:oMath>
        <m:r>
          <w:rPr>
            <w:rFonts w:ascii="Cambria Math" w:hAnsi="Cambria Math"/>
          </w:rPr>
          <m:t xml:space="preserve"> </m:t>
        </m:r>
        <m:r>
          <m:rPr>
            <m:nor/>
          </m:rPr>
          <w:rPr>
            <w:i/>
          </w:rPr>
          <m:t>g</m:t>
        </m:r>
        <m:r>
          <w:rPr>
            <w:rFonts w:ascii="Cambria Math" w:hAnsi="Cambria Math"/>
          </w:rPr>
          <m:t>=</m:t>
        </m:r>
        <m:f>
          <m:fPr>
            <m:type m:val="lin"/>
            <m:ctrlPr>
              <w:rPr>
                <w:rFonts w:ascii="Cambria Math" w:hAnsi="Cambria Math"/>
                <w:i/>
              </w:rPr>
            </m:ctrlPr>
          </m:fPr>
          <m:num>
            <m:r>
              <m:rPr>
                <m:nor/>
              </m:rPr>
              <w:rPr>
                <w:i/>
              </w:rPr>
              <m:t>G</m:t>
            </m:r>
          </m:num>
          <m:den>
            <m:r>
              <m:rPr>
                <m:nor/>
              </m:rPr>
              <w:rPr>
                <w:i/>
              </w:rPr>
              <m:t>L</m:t>
            </m:r>
          </m:den>
        </m:f>
      </m:oMath>
      <w:r>
        <w:t>, entonces la renta disponible por persona se puede escribir como:</w:t>
      </w:r>
    </w:p>
    <w:p w14:paraId="54309DBB" w14:textId="77777777" w:rsidR="00041142" w:rsidRPr="00C458C8" w:rsidRDefault="00000000" w:rsidP="00041142">
      <w:pPr>
        <w:spacing w:after="0"/>
        <w:rPr>
          <w:rFonts w:eastAsiaTheme="minorEastAsia"/>
          <w:iCs/>
          <w:lang w:val="fr-FR"/>
        </w:rPr>
      </w:pPr>
      <m:oMathPara>
        <m:oMath>
          <m:sSubSup>
            <m:sSubSupPr>
              <m:ctrlPr>
                <w:rPr>
                  <w:rFonts w:ascii="Cambria Math" w:hAnsi="Cambria Math"/>
                  <w:i/>
                  <w:iCs/>
                </w:rPr>
              </m:ctrlPr>
            </m:sSubSupPr>
            <m:e>
              <m:r>
                <m:rPr>
                  <m:nor/>
                </m:rPr>
                <w:rPr>
                  <w:i/>
                  <w:iCs/>
                  <w:lang w:val="fr-FR"/>
                </w:rPr>
                <m:t>y</m:t>
              </m:r>
            </m:e>
            <m:sub>
              <m:r>
                <m:rPr>
                  <m:nor/>
                </m:rPr>
                <w:rPr>
                  <w:i/>
                  <w:iCs/>
                  <w:lang w:val="fr-FR"/>
                </w:rPr>
                <m:t>t</m:t>
              </m:r>
            </m:sub>
            <m:sup>
              <m:r>
                <m:rPr>
                  <m:nor/>
                </m:rPr>
                <w:rPr>
                  <w:i/>
                  <w:iCs/>
                  <w:lang w:val="fr-FR"/>
                </w:rPr>
                <m:t>d</m:t>
              </m:r>
            </m:sup>
          </m:sSubSup>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oMath>
      </m:oMathPara>
    </w:p>
    <w:p w14:paraId="681FE925" w14:textId="77777777" w:rsidR="00041142" w:rsidRDefault="00041142" w:rsidP="00041142">
      <w:pPr>
        <w:pStyle w:val="Nivel2SM"/>
        <w:spacing w:after="0"/>
      </w:pPr>
      <w:r w:rsidRPr="00C458C8">
        <w:t>Al igual que e</w:t>
      </w:r>
      <w:r>
        <w:t>n el modelo de Solow-Swan, suponemos que los consumidores ahorran (e invierten) una fracción constante de la renta disponible. La ecuación fundamental de Solow-Swan nos dice que el aumento en el stock de capital es la diferencia entre el ahorro y la depreciación, por lo que en este modelo se puede escribir como:</w:t>
      </w:r>
    </w:p>
    <w:p w14:paraId="2B4024F5" w14:textId="77777777" w:rsidR="00041142" w:rsidRPr="00C458C8" w:rsidRDefault="00000000" w:rsidP="00041142">
      <w:pPr>
        <w:spacing w:after="100"/>
        <w:rPr>
          <w:rFonts w:eastAsiaTheme="minorEastAsia"/>
          <w:lang w:val="fr-FR"/>
        </w:rPr>
      </w:pPr>
      <m:oMathPara>
        <m:oMath>
          <m:borderBox>
            <m:borderBoxPr>
              <m:ctrlPr>
                <w:rPr>
                  <w:rFonts w:ascii="Cambria Math" w:hAnsi="Cambria Math"/>
                  <w:i/>
                  <w:iCs/>
                </w:rPr>
              </m:ctrlPr>
            </m:borderBoxPr>
            <m:e>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r>
                <w:rPr>
                  <w:rFonts w:ascii="Cambria Math" w:eastAsiaTheme="minorEastAsia" w:hAnsi="Cambria Math"/>
                  <w:lang w:val="fr-FR"/>
                </w:rPr>
                <m:t>=</m:t>
              </m:r>
              <m:sSubSup>
                <m:sSubSupPr>
                  <m:ctrlPr>
                    <w:rPr>
                      <w:rFonts w:ascii="Cambria Math" w:hAnsi="Cambria Math"/>
                      <w:i/>
                      <w:iCs/>
                    </w:rPr>
                  </m:ctrlPr>
                </m:sSubSupPr>
                <m:e>
                  <m:r>
                    <m:rPr>
                      <m:nor/>
                    </m:rPr>
                    <w:rPr>
                      <w:i/>
                      <w:lang w:val="fr-FR"/>
                    </w:rPr>
                    <m:t>s</m:t>
                  </m:r>
                  <m:r>
                    <w:rPr>
                      <w:rFonts w:ascii="Cambria Math" w:hAnsi="Cambria Math"/>
                      <w:lang w:val="fr-FR"/>
                    </w:rPr>
                    <m:t>∙</m:t>
                  </m:r>
                  <m:r>
                    <m:rPr>
                      <m:nor/>
                    </m:rPr>
                    <w:rPr>
                      <w:i/>
                      <w:iCs/>
                      <w:lang w:val="fr-FR"/>
                    </w:rPr>
                    <m:t>y</m:t>
                  </m:r>
                </m:e>
                <m:sub>
                  <m:r>
                    <m:rPr>
                      <m:nor/>
                    </m:rPr>
                    <w:rPr>
                      <w:i/>
                      <w:iCs/>
                      <w:lang w:val="fr-FR"/>
                    </w:rPr>
                    <m:t>t</m:t>
                  </m:r>
                </m:sub>
                <m:sup>
                  <m:r>
                    <m:rPr>
                      <m:nor/>
                    </m:rPr>
                    <w:rPr>
                      <w:i/>
                      <w:iCs/>
                      <w:lang w:val="fr-FR"/>
                    </w:rPr>
                    <m:t>d</m:t>
                  </m:r>
                </m:sup>
              </m:sSubSup>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borderBox>
          <m:r>
            <w:rPr>
              <w:rFonts w:ascii="Cambria Math" w:hAnsi="Cambria Math"/>
              <w:lang w:val="fr-FR"/>
            </w:rPr>
            <m:t>=</m:t>
          </m:r>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p w14:paraId="56D68FC9" w14:textId="77777777" w:rsidR="00041142" w:rsidRDefault="00041142" w:rsidP="00A762AF">
      <w:pPr>
        <w:pStyle w:val="Ttulo8"/>
      </w:pPr>
      <w:bookmarkStart w:id="105" w:name="_Toc141368106"/>
      <w:r>
        <w:t>Desarrollo</w:t>
      </w:r>
      <w:bookmarkEnd w:id="105"/>
    </w:p>
    <w:p w14:paraId="0057087C" w14:textId="77777777" w:rsidR="00041142" w:rsidRDefault="00041142" w:rsidP="00041142">
      <w:pPr>
        <w:pStyle w:val="Nivel1SM"/>
        <w:keepNext/>
        <w:spacing w:before="0" w:after="0"/>
      </w:pPr>
      <w:r w:rsidRPr="00C458C8">
        <w:t>Dividiendo los dos lados d</w:t>
      </w:r>
      <w:r>
        <w:t xml:space="preserve">e la expresión anterior por </w:t>
      </w:r>
      <m:oMath>
        <m:sSub>
          <m:sSubPr>
            <m:ctrlPr>
              <w:rPr>
                <w:rFonts w:ascii="Cambria Math" w:hAnsi="Cambria Math"/>
                <w:i/>
              </w:rPr>
            </m:ctrlPr>
          </m:sSubPr>
          <m:e>
            <m:r>
              <m:rPr>
                <m:nor/>
              </m:rPr>
              <w:rPr>
                <w:i/>
              </w:rPr>
              <m:t>k</m:t>
            </m:r>
          </m:e>
          <m:sub>
            <m:r>
              <m:rPr>
                <m:nor/>
              </m:rPr>
              <w:rPr>
                <w:i/>
              </w:rPr>
              <m:t>t</m:t>
            </m:r>
          </m:sub>
        </m:sSub>
      </m:oMath>
      <w:r>
        <w:t xml:space="preserve"> obtenemos una expresión para la tasa de crecimiento del capital por persona:</w:t>
      </w:r>
    </w:p>
    <w:p w14:paraId="25ED3731" w14:textId="77777777" w:rsidR="00041142" w:rsidRPr="00C458C8" w:rsidRDefault="00000000" w:rsidP="00041142">
      <w:pPr>
        <w:keepNext/>
        <w:spacing w:after="0"/>
        <w:rPr>
          <w:rFonts w:eastAsiaTheme="minorEastAsia"/>
          <w:lang w:val="fr-FR"/>
        </w:rPr>
      </w:pPr>
      <m:oMathPara>
        <m:oMath>
          <m:f>
            <m:fPr>
              <m:ctrlPr>
                <w:rPr>
                  <w:rFonts w:ascii="Cambria Math" w:eastAsiaTheme="minorEastAsia" w:hAnsi="Cambria Math"/>
                  <w:i/>
                  <w:iCs/>
                  <w:lang w:val="fr-FR"/>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eastAsiaTheme="minorEastAsia" w:hAnsi="Cambria Math"/>
              <w:lang w:val="fr-FR"/>
            </w:rPr>
            <m:t>=</m:t>
          </m:r>
          <m:f>
            <m:fPr>
              <m:ctrlPr>
                <w:rPr>
                  <w:rFonts w:ascii="Cambria Math" w:eastAsiaTheme="minorEastAsia" w:hAnsi="Cambria Math"/>
                  <w:i/>
                  <w:iCs/>
                  <w:lang w:val="fr-FR"/>
                </w:rPr>
              </m:ctrlPr>
            </m:fPr>
            <m:num>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m:t>
          </m:r>
          <m:f>
            <m:fPr>
              <m:ctrlPr>
                <w:rPr>
                  <w:rFonts w:ascii="Cambria Math" w:eastAsiaTheme="minorEastAsia" w:hAnsi="Cambria Math"/>
                  <w:i/>
                  <w:iCs/>
                  <w:lang w:val="fr-FR"/>
                </w:rPr>
              </m:ctrlPr>
            </m:fPr>
            <m:num>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m:t>
          </m:r>
          <m:borderBox>
            <m:borderBoxPr>
              <m:ctrlPr>
                <w:rPr>
                  <w:rFonts w:ascii="Cambria Math" w:hAnsi="Cambria Math"/>
                  <w:i/>
                  <w:iCs/>
                </w:rPr>
              </m:ctrlPr>
            </m:borderBoxPr>
            <m:e>
              <m:f>
                <m:fPr>
                  <m:ctrlPr>
                    <w:rPr>
                      <w:rFonts w:ascii="Cambria Math" w:eastAsiaTheme="minorEastAsia" w:hAnsi="Cambria Math"/>
                      <w:i/>
                      <w:iCs/>
                      <w:lang w:val="fr-FR"/>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eastAsiaTheme="minorEastAsia" w:hAnsi="Cambria Math"/>
                  <w:lang w:val="fr-FR"/>
                </w:rPr>
                <m:t>=</m:t>
              </m:r>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d>
                    <m:dPr>
                      <m:ctrlPr>
                        <w:rPr>
                          <w:rFonts w:ascii="Cambria Math" w:hAnsi="Cambria Math"/>
                          <w:i/>
                          <w:iCs/>
                          <w:lang w:val="fr-FR"/>
                        </w:rPr>
                      </m:ctrlPr>
                    </m:dPr>
                    <m:e>
                      <m:f>
                        <m:fPr>
                          <m:ctrlPr>
                            <w:rPr>
                              <w:rFonts w:ascii="Cambria Math" w:hAnsi="Cambria Math"/>
                              <w:i/>
                              <w:iCs/>
                            </w:rPr>
                          </m:ctrlPr>
                        </m:fPr>
                        <m:num>
                          <m:sSub>
                            <m:sSubPr>
                              <m:ctrlPr>
                                <w:rPr>
                                  <w:rFonts w:ascii="Cambria Math" w:hAnsi="Cambria Math"/>
                                  <w:i/>
                                  <w:iCs/>
                                </w:rPr>
                              </m:ctrlPr>
                            </m:sSubPr>
                            <m:e>
                              <m:r>
                                <m:rPr>
                                  <m:nor/>
                                </m:rPr>
                                <w:rPr>
                                  <w:i/>
                                  <w:iCs/>
                                  <w:lang w:val="fr-FR"/>
                                </w:rPr>
                                <m:t>g</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e>
                  </m:d>
                </m:e>
                <m:sup>
                  <m:r>
                    <m:rPr>
                      <m:nor/>
                    </m:rPr>
                    <w:rPr>
                      <w:i/>
                      <w:lang w:val="fr-FR"/>
                    </w:rPr>
                    <m:t>1</m:t>
                  </m:r>
                  <m:r>
                    <w:rPr>
                      <w:rFonts w:ascii="Cambria Math" w:eastAsia="Times New Roman" w:hAnsi="Cambria Math"/>
                      <w:vertAlign w:val="superscript"/>
                      <w:lang w:val="fr-FR"/>
                    </w:rPr>
                    <m:t>-</m:t>
                  </m:r>
                  <m:r>
                    <m:rPr>
                      <m:nor/>
                    </m:rPr>
                    <w:rPr>
                      <w:i/>
                    </w:rPr>
                    <m:t>α</m:t>
                  </m:r>
                </m:sup>
              </m:sSup>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e>
          </m:borderBox>
        </m:oMath>
      </m:oMathPara>
    </w:p>
    <w:p w14:paraId="186B2AD9" w14:textId="77777777" w:rsidR="00041142" w:rsidRDefault="00041142" w:rsidP="00041142">
      <w:pPr>
        <w:pStyle w:val="Nivel2SM"/>
        <w:keepNext/>
        <w:spacing w:after="0"/>
      </w:pPr>
      <w:r w:rsidRPr="00C458C8">
        <w:t>Esta ecuación indica q</w:t>
      </w:r>
      <w:r>
        <w:t xml:space="preserve">ue la tasa de crecimiento depende </w:t>
      </w:r>
      <w:r>
        <w:rPr>
          <w:i/>
        </w:rPr>
        <w:t xml:space="preserve">positivamente del gasto público, </w:t>
      </w:r>
      <m:oMath>
        <m:sSub>
          <m:sSubPr>
            <m:ctrlPr>
              <w:rPr>
                <w:rFonts w:ascii="Cambria Math" w:hAnsi="Cambria Math"/>
                <w:i/>
              </w:rPr>
            </m:ctrlPr>
          </m:sSubPr>
          <m:e>
            <m:r>
              <m:rPr>
                <m:nor/>
              </m:rPr>
              <w:rPr>
                <w:i/>
              </w:rPr>
              <m:t>g</m:t>
            </m:r>
          </m:e>
          <m:sub>
            <m:r>
              <m:rPr>
                <m:nor/>
              </m:rPr>
              <w:rPr>
                <w:i/>
              </w:rPr>
              <m:t>t</m:t>
            </m:r>
          </m:sub>
        </m:sSub>
      </m:oMath>
      <w:r>
        <w:rPr>
          <w:i/>
        </w:rPr>
        <w:t xml:space="preserve"> y negativamente del tipo impositivo, </w:t>
      </w:r>
      <m:oMath>
        <m:r>
          <m:rPr>
            <m:nor/>
          </m:rPr>
          <w:rPr>
            <w:i/>
          </w:rPr>
          <m:t>τ</m:t>
        </m:r>
      </m:oMath>
      <w:r>
        <w:t xml:space="preserve">. Ahora bien, el impuesto y el gasto público no son independientes, dado que, para poder gastar, el gobierno debe recaudar. Para obtener la relación entre gasto e impuestos basta con utilizar la </w:t>
      </w:r>
      <w:r w:rsidRPr="00EA18C9">
        <w:rPr>
          <w:i/>
          <w:iCs/>
        </w:rPr>
        <w:t>restricción presupuestaria del gobierno</w:t>
      </w:r>
      <w:r>
        <w:t>.</w:t>
      </w:r>
    </w:p>
    <w:p w14:paraId="625772BD" w14:textId="77777777" w:rsidR="00041142" w:rsidRDefault="00041142" w:rsidP="00041142">
      <w:pPr>
        <w:pStyle w:val="Nivel3SM"/>
      </w:pPr>
      <w:r>
        <w:t xml:space="preserve">Los gobiernos, en la vida real, pueden pedir prestado (tener un déficit), por lo que no debe ser necesariamente cierto que el gasto sea siempre igual al ingreso. Lo que sí debe ser cierto es que, a largo plazo, lo que se pide prestado se debe devolver o, dicho de otro modo, a largo plazo debe ser cierto que, más o menos, los gastos públicos sean iguales a los ingresos impositivos </w:t>
      </w:r>
      <w:r w:rsidRPr="000506CA">
        <w:rPr>
          <w:color w:val="767171" w:themeColor="background2" w:themeShade="80"/>
          <w:sz w:val="19"/>
          <w:szCs w:val="19"/>
        </w:rPr>
        <w:t>[ver tema 3.A.38]</w:t>
      </w:r>
      <w:r>
        <w:t>. Como estamos interesados en el crecimiento a largo plazo, omitiremos aquí la posibilidad de mantener déficit.</w:t>
      </w:r>
    </w:p>
    <w:p w14:paraId="4FD9A76F" w14:textId="77777777" w:rsidR="00041142" w:rsidRDefault="00041142" w:rsidP="00041142">
      <w:pPr>
        <w:pStyle w:val="Nivel3SM"/>
        <w:keepNext/>
      </w:pPr>
      <w:r>
        <w:t xml:space="preserve">La restricción del gobierno será </w:t>
      </w:r>
      <m:oMath>
        <m:sSub>
          <m:sSubPr>
            <m:ctrlPr>
              <w:rPr>
                <w:rFonts w:ascii="Cambria Math" w:hAnsi="Cambria Math"/>
                <w:i/>
              </w:rPr>
            </m:ctrlPr>
          </m:sSubPr>
          <m:e>
            <m:r>
              <m:rPr>
                <m:nor/>
              </m:rPr>
              <w:rPr>
                <w:i/>
              </w:rPr>
              <m:t>G</m:t>
            </m:r>
          </m:e>
          <m:sub>
            <m:r>
              <m:rPr>
                <m:nor/>
              </m:rPr>
              <w:rPr>
                <w:i/>
              </w:rPr>
              <m:t>t</m:t>
            </m:r>
          </m:sub>
        </m:sSub>
        <m:r>
          <w:rPr>
            <w:rFonts w:ascii="Cambria Math" w:hAnsi="Cambria Math"/>
          </w:rPr>
          <m:t>=</m:t>
        </m:r>
        <m:r>
          <m:rPr>
            <m:nor/>
          </m:rPr>
          <w:rPr>
            <w:i/>
          </w:rPr>
          <m:t>τ</m:t>
        </m:r>
        <m:r>
          <w:rPr>
            <w:rFonts w:ascii="Cambria Math" w:hAnsi="Cambria Math"/>
          </w:rPr>
          <m:t>∙</m:t>
        </m:r>
        <m:sSub>
          <m:sSubPr>
            <m:ctrlPr>
              <w:rPr>
                <w:rFonts w:ascii="Cambria Math" w:hAnsi="Cambria Math"/>
                <w:i/>
              </w:rPr>
            </m:ctrlPr>
          </m:sSubPr>
          <m:e>
            <m:r>
              <m:rPr>
                <m:nor/>
              </m:rPr>
              <w:rPr>
                <w:i/>
              </w:rPr>
              <m:t>Y</m:t>
            </m:r>
          </m:e>
          <m:sub>
            <m:r>
              <m:rPr>
                <m:nor/>
              </m:rPr>
              <w:rPr>
                <w:i/>
              </w:rPr>
              <m:t>t</m:t>
            </m:r>
          </m:sub>
        </m:sSub>
      </m:oMath>
      <w:r>
        <w:t xml:space="preserve">. Dividiendo en los dos lados por </w:t>
      </w:r>
      <m:oMath>
        <m:sSub>
          <m:sSubPr>
            <m:ctrlPr>
              <w:rPr>
                <w:rFonts w:ascii="Cambria Math" w:hAnsi="Cambria Math"/>
                <w:i/>
              </w:rPr>
            </m:ctrlPr>
          </m:sSubPr>
          <m:e>
            <m:r>
              <m:rPr>
                <m:nor/>
              </m:rPr>
              <w:rPr>
                <w:i/>
              </w:rPr>
              <m:t>L</m:t>
            </m:r>
          </m:e>
          <m:sub>
            <m:r>
              <m:rPr>
                <m:nor/>
              </m:rPr>
              <w:rPr>
                <w:i/>
              </w:rPr>
              <m:t>t</m:t>
            </m:r>
          </m:sub>
        </m:sSub>
      </m:oMath>
      <w:r>
        <w:t xml:space="preserve"> para expresar la restricción en términos per cápita y utilizando la función de producción en términos per cápita,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A</m:t>
        </m:r>
        <m:r>
          <w:rPr>
            <w:rFonts w:ascii="Cambria Math" w:hAnsi="Cambria Math"/>
          </w:rPr>
          <m:t>∙</m:t>
        </m:r>
        <m:sSup>
          <m:sSupPr>
            <m:ctrlPr>
              <w:rPr>
                <w:rFonts w:ascii="Cambria Math" w:hAnsi="Cambria Math"/>
                <w:i/>
                <w:lang w:val="fr-FR"/>
              </w:rPr>
            </m:ctrlPr>
          </m:sSupPr>
          <m:e>
            <m:sSub>
              <m:sSubPr>
                <m:ctrlPr>
                  <w:rPr>
                    <w:rFonts w:ascii="Cambria Math" w:hAnsi="Cambria Math"/>
                    <w:i/>
                  </w:rPr>
                </m:ctrlPr>
              </m:sSubPr>
              <m:e>
                <m:r>
                  <m:rPr>
                    <m:nor/>
                  </m:rPr>
                  <w:rPr>
                    <w:i/>
                  </w:rPr>
                  <m:t>k</m:t>
                </m:r>
              </m:e>
              <m:sub>
                <m:r>
                  <m:rPr>
                    <m:nor/>
                  </m:rPr>
                  <w:rPr>
                    <w:i/>
                  </w:rPr>
                  <m:t>t</m:t>
                </m:r>
              </m:sub>
            </m:sSub>
          </m:e>
          <m:sup>
            <m:r>
              <m:rPr>
                <m:nor/>
              </m:rPr>
              <w:rPr>
                <w:i/>
              </w:rPr>
              <m:t>α</m:t>
            </m:r>
          </m:sup>
        </m:sSup>
        <m:r>
          <w:rPr>
            <w:rFonts w:ascii="Cambria Math" w:hAnsi="Cambria Math"/>
          </w:rPr>
          <m:t>∙</m:t>
        </m:r>
        <m:sSup>
          <m:sSupPr>
            <m:ctrlPr>
              <w:rPr>
                <w:rFonts w:ascii="Cambria Math" w:hAnsi="Cambria Math"/>
                <w:i/>
                <w:lang w:val="fr-FR"/>
              </w:rPr>
            </m:ctrlPr>
          </m:sSupPr>
          <m:e>
            <m:sSub>
              <m:sSubPr>
                <m:ctrlPr>
                  <w:rPr>
                    <w:rFonts w:ascii="Cambria Math" w:hAnsi="Cambria Math"/>
                    <w:i/>
                  </w:rPr>
                </m:ctrlPr>
              </m:sSubPr>
              <m:e>
                <m:r>
                  <m:rPr>
                    <m:nor/>
                  </m:rPr>
                  <w:rPr>
                    <w:i/>
                  </w:rPr>
                  <m:t>g</m:t>
                </m:r>
              </m:e>
              <m:sub>
                <m:r>
                  <m:rPr>
                    <m:nor/>
                  </m:rPr>
                  <w:rPr>
                    <w:i/>
                  </w:rPr>
                  <m:t>t</m:t>
                </m:r>
              </m:sub>
            </m:sSub>
          </m:e>
          <m:sup>
            <m:r>
              <m:rPr>
                <m:nor/>
              </m:rPr>
              <w:rPr>
                <w:i/>
              </w:rPr>
              <m:t>1</m:t>
            </m:r>
            <m:r>
              <w:rPr>
                <w:rFonts w:ascii="Cambria Math" w:eastAsia="Times New Roman" w:hAnsi="Cambria Math"/>
                <w:vertAlign w:val="superscript"/>
              </w:rPr>
              <m:t>-</m:t>
            </m:r>
            <m:r>
              <m:rPr>
                <m:nor/>
              </m:rPr>
              <w:rPr>
                <w:i/>
              </w:rPr>
              <m:t>α</m:t>
            </m:r>
          </m:sup>
        </m:sSup>
      </m:oMath>
      <w:r w:rsidRPr="000506CA">
        <w:t>,</w:t>
      </w:r>
      <w:r>
        <w:t xml:space="preserve"> podemos reescribir la restricción presupuestaria del gobierno como:</w:t>
      </w:r>
    </w:p>
    <w:p w14:paraId="6BF920F1" w14:textId="77777777" w:rsidR="00041142" w:rsidRPr="000506CA" w:rsidRDefault="00000000" w:rsidP="00041142">
      <w:pPr>
        <w:spacing w:after="0"/>
        <w:rPr>
          <w:rFonts w:eastAsiaTheme="minorEastAsia"/>
          <w:iCs/>
          <w:lang w:val="fr-FR"/>
        </w:rPr>
      </w:pPr>
      <m:oMathPara>
        <m:oMath>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r>
            <m:rPr>
              <m:nor/>
            </m:rPr>
            <w:rPr>
              <w:i/>
            </w:rPr>
            <m:t>τ</m:t>
          </m:r>
          <m:r>
            <w:rPr>
              <w:rFonts w:ascii="Cambria Math" w:hAnsi="Cambria Math"/>
              <w:lang w:val="fr-FR"/>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e>
              </m:groupChr>
            </m:e>
            <m:lim>
              <m:sSub>
                <m:sSubPr>
                  <m:ctrlPr>
                    <w:rPr>
                      <w:rFonts w:ascii="Cambria Math" w:hAnsi="Cambria Math"/>
                      <w:i/>
                      <w:iCs/>
                    </w:rPr>
                  </m:ctrlPr>
                </m:sSubPr>
                <m:e>
                  <m:r>
                    <m:rPr>
                      <m:nor/>
                    </m:rPr>
                    <w:rPr>
                      <w:i/>
                      <w:iCs/>
                      <w:lang w:val="fr-FR"/>
                    </w:rPr>
                    <m:t>y</m:t>
                  </m:r>
                </m:e>
                <m:sub>
                  <m:r>
                    <m:rPr>
                      <m:nor/>
                    </m:rPr>
                    <w:rPr>
                      <w:i/>
                      <w:iCs/>
                      <w:lang w:val="fr-FR"/>
                    </w:rPr>
                    <m:t>t</m:t>
                  </m:r>
                </m:sub>
              </m:sSub>
            </m:lim>
          </m:limUpp>
          <m:r>
            <w:rPr>
              <w:rFonts w:ascii="Cambria Math" w:hAnsi="Cambria Math"/>
            </w:rPr>
            <m:t>⟹</m:t>
          </m:r>
          <m:r>
            <m:rPr>
              <m:sty m:val="p"/>
            </m:rPr>
            <w:rPr>
              <w:rFonts w:ascii="Cambria Math" w:hAnsi="Cambria Math"/>
              <w:lang w:val="fr-FR"/>
            </w:rPr>
            <w:br/>
          </m:r>
        </m:oMath>
        <m:oMath>
          <m:r>
            <w:rPr>
              <w:rFonts w:ascii="Cambria Math" w:hAnsi="Cambria Math"/>
            </w:rPr>
            <m:t>⟹</m:t>
          </m:r>
          <m:f>
            <m:fPr>
              <m:type m:val="lin"/>
              <m:ctrlPr>
                <w:rPr>
                  <w:rFonts w:ascii="Cambria Math" w:hAnsi="Cambria Math"/>
                  <w:i/>
                  <w:lang w:val="fr-FR"/>
                </w:rPr>
              </m:ctrlPr>
            </m:fPr>
            <m:num>
              <m:sSub>
                <m:sSubPr>
                  <m:ctrlPr>
                    <w:rPr>
                      <w:rFonts w:ascii="Cambria Math" w:hAnsi="Cambria Math"/>
                      <w:i/>
                      <w:iCs/>
                    </w:rPr>
                  </m:ctrlPr>
                </m:sSubPr>
                <m:e>
                  <m:r>
                    <m:rPr>
                      <m:nor/>
                    </m:rPr>
                    <w:rPr>
                      <w:i/>
                      <w:iCs/>
                      <w:lang w:val="fr-FR"/>
                    </w:rPr>
                    <m:t>g</m:t>
                  </m:r>
                </m:e>
                <m:sub>
                  <m:r>
                    <m:rPr>
                      <m:nor/>
                    </m:rPr>
                    <w:rPr>
                      <w:i/>
                      <w:iCs/>
                      <w:lang w:val="fr-FR"/>
                    </w:rPr>
                    <m:t>t</m:t>
                  </m:r>
                </m:sub>
              </m:sSub>
            </m:num>
            <m:den>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den>
          </m:f>
          <m:r>
            <w:rPr>
              <w:rFonts w:ascii="Cambria Math" w:hAnsi="Cambria Math"/>
              <w:lang w:val="fr-FR"/>
            </w:rPr>
            <m:t>=</m:t>
          </m:r>
          <m:r>
            <m:rPr>
              <m:nor/>
            </m:rPr>
            <w:rPr>
              <w:i/>
            </w:rPr>
            <m:t>τ</m:t>
          </m:r>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rPr>
            <m:t>⟹</m:t>
          </m:r>
          <m:r>
            <m:rPr>
              <m:sty m:val="p"/>
            </m:rPr>
            <w:rPr>
              <w:rFonts w:ascii="Cambria Math" w:hAnsi="Cambria Math"/>
              <w:lang w:val="fr-FR"/>
            </w:rPr>
            <w:br/>
          </m:r>
        </m:oMath>
        <m:oMath>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rPr>
                <m:t>α</m:t>
              </m:r>
            </m:sup>
          </m:sSup>
          <m:r>
            <w:rPr>
              <w:rFonts w:ascii="Cambria Math" w:hAnsi="Cambria Math"/>
              <w:lang w:val="fr-FR"/>
            </w:rPr>
            <m:t>=</m:t>
          </m:r>
          <m:r>
            <m:rPr>
              <m:nor/>
            </m:rPr>
            <w:rPr>
              <w:i/>
            </w:rPr>
            <m:t>τ</m:t>
          </m:r>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rPr>
            <m:t>⟹</m:t>
          </m:r>
          <m:r>
            <m:rPr>
              <m:sty m:val="p"/>
            </m:rPr>
            <w:rPr>
              <w:rFonts w:ascii="Cambria Math" w:hAnsi="Cambria Math"/>
              <w:lang w:val="fr-FR"/>
            </w:rPr>
            <w:br/>
          </m:r>
        </m:oMath>
        <m:oMath>
          <m:r>
            <w:rPr>
              <w:rFonts w:ascii="Cambria Math" w:hAnsi="Cambria Math"/>
            </w:rPr>
            <m:t>⟹</m:t>
          </m:r>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sSup>
            <m:sSupPr>
              <m:ctrlPr>
                <w:rPr>
                  <w:rFonts w:ascii="Cambria Math" w:hAnsi="Cambria Math"/>
                  <w:i/>
                </w:rPr>
              </m:ctrlPr>
            </m:sSupPr>
            <m:e>
              <m:d>
                <m:dPr>
                  <m:ctrlPr>
                    <w:rPr>
                      <w:rFonts w:ascii="Cambria Math" w:hAnsi="Cambria Math"/>
                      <w:i/>
                    </w:rPr>
                  </m:ctrlPr>
                </m:dPr>
                <m:e>
                  <m:r>
                    <m:rPr>
                      <m:nor/>
                    </m:rPr>
                    <w:rPr>
                      <w:i/>
                    </w:rPr>
                    <m:t>τ</m:t>
                  </m:r>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e>
              </m:d>
            </m:e>
            <m:sup>
              <m:f>
                <m:fPr>
                  <m:type m:val="lin"/>
                  <m:ctrlPr>
                    <w:rPr>
                      <w:rFonts w:ascii="Cambria Math" w:hAnsi="Cambria Math"/>
                      <w:i/>
                    </w:rPr>
                  </m:ctrlPr>
                </m:fPr>
                <m:num>
                  <m:r>
                    <m:rPr>
                      <m:nor/>
                    </m:rPr>
                    <w:rPr>
                      <w:i/>
                      <w:lang w:val="fr-FR"/>
                    </w:rPr>
                    <m:t>1</m:t>
                  </m:r>
                </m:num>
                <m:den>
                  <m:r>
                    <m:rPr>
                      <m:nor/>
                    </m:rPr>
                    <w:rPr>
                      <w:i/>
                    </w:rPr>
                    <m:t>α</m:t>
                  </m:r>
                </m:den>
              </m:f>
            </m:sup>
          </m:sSup>
          <m:r>
            <w:rPr>
              <w:rFonts w:ascii="Cambria Math" w:hAnsi="Cambria Math"/>
            </w:rPr>
            <m:t>⟹</m:t>
          </m:r>
          <m:r>
            <m:rPr>
              <m:sty m:val="p"/>
            </m:rPr>
            <w:rPr>
              <w:rFonts w:ascii="Cambria Math" w:hAnsi="Cambria Math"/>
              <w:lang w:val="fr-FR"/>
            </w:rPr>
            <w:br/>
          </m:r>
        </m:oMath>
        <m:oMath>
          <m:r>
            <w:rPr>
              <w:rFonts w:ascii="Cambria Math" w:hAnsi="Cambria Math"/>
            </w:rPr>
            <m:t>⟹</m:t>
          </m:r>
          <m:borderBox>
            <m:borderBoxPr>
              <m:ctrlPr>
                <w:rPr>
                  <w:rFonts w:ascii="Cambria Math" w:hAnsi="Cambria Math"/>
                  <w:i/>
                  <w:iCs/>
                </w:rPr>
              </m:ctrlPr>
            </m:borderBoxPr>
            <m:e>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lang w:val="fr-FR"/>
                        </w:rPr>
                        <m:t>1</m:t>
                      </m:r>
                    </m:num>
                    <m:den>
                      <m:r>
                        <m:rPr>
                          <m:nor/>
                        </m:rPr>
                        <w:rPr>
                          <w:i/>
                        </w:rPr>
                        <m:t>α</m:t>
                      </m:r>
                    </m:den>
                  </m:f>
                </m:sup>
              </m:sSup>
              <m:r>
                <w:rPr>
                  <w:rFonts w:ascii="Cambria Math" w:hAnsi="Cambria Math"/>
                  <w:lang w:val="fr-FR"/>
                </w:rPr>
                <m:t>∙</m:t>
              </m:r>
              <m:sSup>
                <m:sSupPr>
                  <m:ctrlPr>
                    <w:rPr>
                      <w:rFonts w:ascii="Cambria Math" w:hAnsi="Cambria Math"/>
                      <w:i/>
                      <w:iCs/>
                      <w:lang w:val="fr-FR"/>
                    </w:rPr>
                  </m:ctrlPr>
                </m:sSupPr>
                <m:e>
                  <m:r>
                    <m:rPr>
                      <m:nor/>
                    </m:rPr>
                    <w:rPr>
                      <w:i/>
                      <w:iCs/>
                      <w:lang w:val="fr-FR"/>
                    </w:rPr>
                    <m:t>A</m:t>
                  </m:r>
                </m:e>
                <m:sup>
                  <m:f>
                    <m:fPr>
                      <m:type m:val="lin"/>
                      <m:ctrlPr>
                        <w:rPr>
                          <w:rFonts w:ascii="Cambria Math" w:hAnsi="Cambria Math"/>
                          <w:i/>
                          <w:lang w:val="fr-FR"/>
                        </w:rPr>
                      </m:ctrlPr>
                    </m:fPr>
                    <m:num>
                      <m:r>
                        <m:rPr>
                          <m:nor/>
                        </m:rPr>
                        <w:rPr>
                          <w:i/>
                          <w:lang w:val="fr-FR"/>
                        </w:rPr>
                        <m:t>1</m:t>
                      </m:r>
                    </m:num>
                    <m:den>
                      <m:r>
                        <m:rPr>
                          <m:nor/>
                        </m:rPr>
                        <w:rPr>
                          <w:i/>
                        </w:rPr>
                        <m:t>α</m:t>
                      </m:r>
                    </m:den>
                  </m:f>
                </m:sup>
              </m:sSup>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borderBox>
        </m:oMath>
      </m:oMathPara>
    </w:p>
    <w:p w14:paraId="4F71B2AA" w14:textId="77777777" w:rsidR="00041142" w:rsidRPr="00ED698B" w:rsidRDefault="00041142" w:rsidP="00041142">
      <w:pPr>
        <w:pStyle w:val="Nivel2SM"/>
        <w:keepNext/>
        <w:spacing w:after="0"/>
        <w:rPr>
          <w:spacing w:val="-2"/>
        </w:rPr>
      </w:pPr>
      <w:r w:rsidRPr="00ED698B">
        <w:rPr>
          <w:spacing w:val="-2"/>
        </w:rPr>
        <w:t xml:space="preserve">Esta expresión se puede utilizar en nuestra </w:t>
      </w:r>
      <w:r w:rsidRPr="00ED698B">
        <w:rPr>
          <w:i/>
          <w:iCs/>
          <w:spacing w:val="-2"/>
        </w:rPr>
        <w:t>ecuación de la tasa de crecimiento del capital per cápita</w:t>
      </w:r>
      <w:r w:rsidRPr="00ED698B">
        <w:rPr>
          <w:spacing w:val="-2"/>
        </w:rPr>
        <w:t>:</w:t>
      </w:r>
    </w:p>
    <w:p w14:paraId="57DFFA00" w14:textId="77777777" w:rsidR="00041142" w:rsidRPr="0021538E" w:rsidRDefault="00000000" w:rsidP="00041142">
      <w:pPr>
        <w:spacing w:after="0"/>
        <w:rPr>
          <w:rFonts w:eastAsiaTheme="minorEastAsia"/>
          <w:iCs/>
          <w:lang w:val="en-US"/>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k</m:t>
                  </m:r>
                </m:sub>
              </m:sSub>
              <m:r>
                <w:rPr>
                  <w:rFonts w:ascii="Cambria Math" w:eastAsiaTheme="minorEastAsia" w:hAnsi="Cambria Math"/>
                  <w:lang w:val="en-US"/>
                </w:rPr>
                <m:t>=</m:t>
              </m:r>
              <m:f>
                <m:fPr>
                  <m:ctrlPr>
                    <w:rPr>
                      <w:rFonts w:ascii="Cambria Math" w:eastAsiaTheme="minorEastAsia" w:hAnsi="Cambria Math"/>
                      <w:i/>
                      <w:iCs/>
                      <w:lang w:val="fr-FR"/>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en-US"/>
                            </w:rPr>
                            <m:t>k</m:t>
                          </m:r>
                        </m:e>
                        <m:sub>
                          <m:r>
                            <m:rPr>
                              <m:nor/>
                            </m:rPr>
                            <w:rPr>
                              <w:i/>
                              <w:iCs/>
                              <w:lang w:val="en-US"/>
                            </w:rPr>
                            <m:t>t</m:t>
                          </m:r>
                        </m:sub>
                      </m:sSub>
                    </m:e>
                  </m:acc>
                </m:num>
                <m:den>
                  <m:sSub>
                    <m:sSubPr>
                      <m:ctrlPr>
                        <w:rPr>
                          <w:rFonts w:ascii="Cambria Math" w:hAnsi="Cambria Math"/>
                          <w:i/>
                          <w:iCs/>
                        </w:rPr>
                      </m:ctrlPr>
                    </m:sSubPr>
                    <m:e>
                      <m:r>
                        <m:rPr>
                          <m:nor/>
                        </m:rPr>
                        <w:rPr>
                          <w:i/>
                          <w:iCs/>
                          <w:lang w:val="en-US"/>
                        </w:rPr>
                        <m:t>k</m:t>
                      </m:r>
                    </m:e>
                    <m:sub>
                      <m:r>
                        <m:rPr>
                          <m:nor/>
                        </m:rPr>
                        <w:rPr>
                          <w:i/>
                          <w:iCs/>
                          <w:lang w:val="en-US"/>
                        </w:rPr>
                        <m:t>t</m:t>
                      </m:r>
                    </m:sub>
                  </m:sSub>
                </m:den>
              </m:f>
              <m:r>
                <w:rPr>
                  <w:rFonts w:ascii="Cambria Math" w:eastAsiaTheme="minorEastAsia" w:hAnsi="Cambria Math"/>
                  <w:lang w:val="en-US"/>
                </w:rPr>
                <m:t>=</m:t>
              </m:r>
              <m:r>
                <m:rPr>
                  <m:nor/>
                </m:rPr>
                <w:rPr>
                  <w:i/>
                  <w:lang w:val="en-US"/>
                </w:rPr>
                <m:t>s</m:t>
              </m:r>
              <m:r>
                <w:rPr>
                  <w:rFonts w:ascii="Cambria Math" w:hAnsi="Cambria Math"/>
                  <w:lang w:val="en-US"/>
                </w:rPr>
                <m:t>∙</m:t>
              </m:r>
              <m:d>
                <m:dPr>
                  <m:ctrlPr>
                    <w:rPr>
                      <w:rFonts w:ascii="Cambria Math" w:hAnsi="Cambria Math"/>
                      <w:i/>
                      <w:iCs/>
                      <w:lang w:val="fr-FR"/>
                    </w:rPr>
                  </m:ctrlPr>
                </m:dPr>
                <m:e>
                  <m:r>
                    <m:rPr>
                      <m:nor/>
                    </m:rPr>
                    <w:rPr>
                      <w:i/>
                      <w:lang w:val="en-US"/>
                    </w:rPr>
                    <m:t>1</m:t>
                  </m:r>
                  <m:r>
                    <w:rPr>
                      <w:rFonts w:ascii="Cambria Math" w:hAnsi="Cambria Math"/>
                      <w:lang w:val="en-US"/>
                    </w:rPr>
                    <m:t>-</m:t>
                  </m:r>
                  <m:r>
                    <m:rPr>
                      <m:nor/>
                    </m:rPr>
                    <w:rPr>
                      <w:i/>
                    </w:rPr>
                    <m:t>τ</m:t>
                  </m:r>
                </m:e>
              </m:d>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hAnsi="Cambria Math"/>
                  <w:lang w:val="en-US"/>
                </w:rPr>
                <m:t>-</m:t>
              </m:r>
              <m:d>
                <m:dPr>
                  <m:ctrlPr>
                    <w:rPr>
                      <w:rFonts w:ascii="Cambria Math" w:hAnsi="Cambria Math"/>
                      <w:i/>
                      <w:iCs/>
                      <w:lang w:val="fr-FR"/>
                    </w:rPr>
                  </m:ctrlPr>
                </m:dPr>
                <m:e>
                  <m:r>
                    <m:rPr>
                      <m:nor/>
                    </m:rPr>
                    <w:rPr>
                      <w:i/>
                      <w:lang w:val="fr-FR"/>
                    </w:rPr>
                    <m:t>δ</m:t>
                  </m:r>
                  <m:r>
                    <w:rPr>
                      <w:rFonts w:ascii="Cambria Math" w:hAnsi="Cambria Math"/>
                      <w:lang w:val="en-US"/>
                    </w:rPr>
                    <m:t>+</m:t>
                  </m:r>
                  <m:r>
                    <m:rPr>
                      <m:nor/>
                    </m:rPr>
                    <w:rPr>
                      <w:i/>
                      <w:iCs/>
                      <w:lang w:val="en-US"/>
                    </w:rPr>
                    <m:t>n</m:t>
                  </m:r>
                </m:e>
              </m:d>
            </m:e>
          </m:borderBox>
        </m:oMath>
      </m:oMathPara>
    </w:p>
    <w:p w14:paraId="4686AE76" w14:textId="77777777" w:rsidR="00041142" w:rsidRPr="0000494E" w:rsidRDefault="00041142" w:rsidP="00041142">
      <w:pPr>
        <w:pStyle w:val="Nivel3SM"/>
        <w:rPr>
          <w:spacing w:val="-1"/>
        </w:rPr>
      </w:pPr>
      <w:r w:rsidRPr="0000494E">
        <w:rPr>
          <w:spacing w:val="-1"/>
        </w:rPr>
        <w:t xml:space="preserve">La tasa de crecimiento del capital depende de factores como tasas de ahorro, depreciación, crecimiento de la población y el nivel tecnológico. La novedad respecto a otros modelos de crecimiento es que ahora el crecimiento también depende del impuesto sobre la renta, </w:t>
      </w:r>
      <m:oMath>
        <m:r>
          <m:rPr>
            <m:nor/>
          </m:rPr>
          <w:rPr>
            <w:i/>
            <w:spacing w:val="-1"/>
          </w:rPr>
          <m:t>τ</m:t>
        </m:r>
      </m:oMath>
      <w:r w:rsidRPr="0000494E">
        <w:rPr>
          <w:spacing w:val="-1"/>
        </w:rPr>
        <w:t>. Como este impuesto es constante, la tasa de crecimiento del capital es constante.</w:t>
      </w:r>
    </w:p>
    <w:p w14:paraId="37DFC440" w14:textId="77777777" w:rsidR="00041142" w:rsidRDefault="00041142" w:rsidP="00041142">
      <w:pPr>
        <w:pStyle w:val="Nivel3SM"/>
      </w:pPr>
      <w:r>
        <w:t xml:space="preserve">Si tomamos logaritmos y derivamos en la restricción presupuestaria del gobierno en términos per cápita, </w:t>
      </w:r>
      <m:oMath>
        <m:sSub>
          <m:sSubPr>
            <m:ctrlPr>
              <w:rPr>
                <w:rFonts w:ascii="Cambria Math" w:hAnsi="Cambria Math"/>
                <w:i/>
                <w:iCs/>
              </w:rPr>
            </m:ctrlPr>
          </m:sSubPr>
          <m:e>
            <m:r>
              <m:rPr>
                <m:nor/>
              </m:rPr>
              <w:rPr>
                <w:i/>
                <w:iCs/>
              </w:rPr>
              <m:t>g</m:t>
            </m:r>
          </m:e>
          <m:sub>
            <m:r>
              <m:rPr>
                <m:nor/>
              </m:rPr>
              <w:rPr>
                <w:i/>
                <w:iCs/>
              </w:rPr>
              <m:t>t</m:t>
            </m:r>
          </m:sub>
        </m:sSub>
        <m:r>
          <w:rPr>
            <w:rFonts w:ascii="Cambria Math" w:hAnsi="Cambria Math"/>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b>
          <m:sSubPr>
            <m:ctrlPr>
              <w:rPr>
                <w:rFonts w:ascii="Cambria Math" w:hAnsi="Cambria Math"/>
                <w:i/>
                <w:iCs/>
              </w:rPr>
            </m:ctrlPr>
          </m:sSubPr>
          <m:e>
            <m:r>
              <m:rPr>
                <m:nor/>
              </m:rPr>
              <w:rPr>
                <w:i/>
                <w:iCs/>
              </w:rPr>
              <m:t>k</m:t>
            </m:r>
          </m:e>
          <m:sub>
            <m:r>
              <m:rPr>
                <m:nor/>
              </m:rPr>
              <w:rPr>
                <w:i/>
                <w:iCs/>
              </w:rPr>
              <m:t>t</m:t>
            </m:r>
          </m:sub>
        </m:sSub>
      </m:oMath>
      <w:r>
        <w:t xml:space="preserve">, vemos que la tasa de crecimiento del gasto público es idéntica a la tasa de crecimiento del capital, </w:t>
      </w:r>
      <m:oMath>
        <m:sSub>
          <m:sSubPr>
            <m:ctrlPr>
              <w:rPr>
                <w:rFonts w:ascii="Cambria Math" w:hAnsi="Cambria Math"/>
                <w:i/>
              </w:rPr>
            </m:ctrlPr>
          </m:sSubPr>
          <m:e>
            <m:r>
              <m:rPr>
                <m:nor/>
              </m:rPr>
              <w:rPr>
                <w:i/>
              </w:rPr>
              <m:t>γ</m:t>
            </m:r>
          </m:e>
          <m:sub>
            <m:r>
              <m:rPr>
                <m:nor/>
              </m:rPr>
              <w:rPr>
                <w:i/>
              </w:rPr>
              <m:t>g</m:t>
            </m:r>
          </m:sub>
        </m:sSub>
        <m:r>
          <w:rPr>
            <w:rFonts w:ascii="Cambria Math" w:hAnsi="Cambria Math"/>
          </w:rPr>
          <m:t>=</m:t>
        </m:r>
        <m:sSub>
          <m:sSubPr>
            <m:ctrlPr>
              <w:rPr>
                <w:rFonts w:ascii="Cambria Math" w:hAnsi="Cambria Math"/>
                <w:i/>
              </w:rPr>
            </m:ctrlPr>
          </m:sSubPr>
          <m:e>
            <m:r>
              <m:rPr>
                <m:nor/>
              </m:rPr>
              <w:rPr>
                <w:i/>
              </w:rPr>
              <m:t>γ</m:t>
            </m:r>
          </m:e>
          <m:sub>
            <m:r>
              <m:rPr>
                <m:nor/>
              </m:rPr>
              <w:rPr>
                <w:i/>
              </w:rPr>
              <m:t>k</m:t>
            </m:r>
          </m:sub>
        </m:sSub>
      </m:oMath>
      <w:r>
        <w:t>:</w:t>
      </w:r>
    </w:p>
    <w:p w14:paraId="1E78ADDC" w14:textId="77777777" w:rsidR="00041142" w:rsidRPr="00A833CD" w:rsidRDefault="00000000" w:rsidP="00041142">
      <w:pPr>
        <w:pStyle w:val="Nivel3SM"/>
        <w:numPr>
          <w:ilvl w:val="0"/>
          <w:numId w:val="0"/>
        </w:numPr>
        <w:ind w:left="963"/>
        <w:rPr>
          <w:lang w:val="fr-FR"/>
        </w:rPr>
      </w:pPr>
      <m:oMathPara>
        <m:oMath>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g</m:t>
                              </m:r>
                            </m:e>
                            <m:sub>
                              <m:r>
                                <m:rPr>
                                  <m:nor/>
                                </m:rPr>
                                <w:rPr>
                                  <w:i/>
                                  <w:iCs/>
                                  <w:lang w:val="fr-FR"/>
                                </w:rPr>
                                <m:t>t</m:t>
                              </m:r>
                            </m:sub>
                          </m:sSub>
                        </m:e>
                      </m:acc>
                    </m:num>
                    <m:den>
                      <m:sSub>
                        <m:sSubPr>
                          <m:ctrlPr>
                            <w:rPr>
                              <w:rFonts w:ascii="Cambria Math" w:hAnsi="Cambria Math"/>
                              <w:i/>
                              <w:iCs/>
                            </w:rPr>
                          </m:ctrlPr>
                        </m:sSubPr>
                        <m:e>
                          <m:r>
                            <m:rPr>
                              <m:nor/>
                            </m:rPr>
                            <w:rPr>
                              <w:i/>
                              <w:iCs/>
                              <w:lang w:val="fr-FR"/>
                            </w:rPr>
                            <m:t>g</m:t>
                          </m:r>
                        </m:e>
                        <m:sub>
                          <m:r>
                            <m:rPr>
                              <m:nor/>
                            </m:rPr>
                            <w:rPr>
                              <w:i/>
                              <w:iCs/>
                              <w:lang w:val="fr-FR"/>
                            </w:rPr>
                            <m:t>t</m:t>
                          </m:r>
                        </m:sub>
                      </m:sSub>
                    </m:den>
                  </m:f>
                </m:e>
              </m:groupChr>
            </m:e>
            <m:lim>
              <m:sSub>
                <m:sSubPr>
                  <m:ctrlPr>
                    <w:rPr>
                      <w:rFonts w:ascii="Cambria Math" w:hAnsi="Cambria Math"/>
                      <w:i/>
                    </w:rPr>
                  </m:ctrlPr>
                </m:sSubPr>
                <m:e>
                  <m:r>
                    <m:rPr>
                      <m:nor/>
                    </m:rPr>
                    <w:rPr>
                      <w:i/>
                    </w:rPr>
                    <m:t>γ</m:t>
                  </m:r>
                </m:e>
                <m:sub>
                  <m:r>
                    <m:rPr>
                      <m:nor/>
                    </m:rPr>
                    <w:rPr>
                      <w:i/>
                      <w:lang w:val="fr-FR"/>
                    </w:rPr>
                    <m:t>g</m:t>
                  </m:r>
                </m:sub>
              </m:sSub>
            </m:lim>
          </m:limLow>
          <m:r>
            <w:rPr>
              <w:rFonts w:ascii="Cambria Math" w:hAnsi="Cambria Math"/>
              <w:lang w:val="fr-FR"/>
            </w:rPr>
            <m:t>=</m:t>
          </m:r>
          <m:f>
            <m:fPr>
              <m:ctrlPr>
                <w:rPr>
                  <w:rFonts w:ascii="Cambria Math" w:hAnsi="Cambria Math"/>
                  <w:i/>
                  <w:iCs/>
                </w:rPr>
              </m:ctrlPr>
            </m:fPr>
            <m:num>
              <m:r>
                <m:rPr>
                  <m:nor/>
                </m:rPr>
                <w:rPr>
                  <w:i/>
                  <w:lang w:val="fr-FR"/>
                </w:rPr>
                <m:t>1</m:t>
              </m:r>
            </m:num>
            <m:den>
              <m:r>
                <m:rPr>
                  <m:nor/>
                </m:rPr>
                <w:rPr>
                  <w:i/>
                </w:rPr>
                <m:t>α</m:t>
              </m:r>
            </m:den>
          </m:f>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r>
                            <m:rPr>
                              <m:nor/>
                            </m:rPr>
                            <w:rPr>
                              <w:i/>
                            </w:rPr>
                            <m:t>τ</m:t>
                          </m:r>
                        </m:e>
                      </m:acc>
                    </m:num>
                    <m:den>
                      <m:r>
                        <m:rPr>
                          <m:nor/>
                        </m:rPr>
                        <w:rPr>
                          <w:i/>
                        </w:rPr>
                        <m:t>τ</m:t>
                      </m:r>
                    </m:den>
                  </m:f>
                </m:e>
              </m:groupChr>
            </m:e>
            <m:lim>
              <m:r>
                <w:rPr>
                  <w:rFonts w:ascii="Cambria Math" w:hAnsi="Cambria Math"/>
                  <w:lang w:val="fr-FR"/>
                </w:rPr>
                <m:t>=</m:t>
              </m:r>
              <m:r>
                <m:rPr>
                  <m:nor/>
                </m:rPr>
                <w:rPr>
                  <w:i/>
                  <w:lang w:val="fr-FR"/>
                </w:rPr>
                <m:t>0</m:t>
              </m:r>
            </m:lim>
          </m:limLow>
          <m:r>
            <w:rPr>
              <w:rFonts w:ascii="Cambria Math" w:hAnsi="Cambria Math"/>
              <w:lang w:val="fr-FR"/>
            </w:rPr>
            <m:t>+</m:t>
          </m:r>
          <m:f>
            <m:fPr>
              <m:ctrlPr>
                <w:rPr>
                  <w:rFonts w:ascii="Cambria Math" w:hAnsi="Cambria Math"/>
                  <w:i/>
                  <w:iCs/>
                </w:rPr>
              </m:ctrlPr>
            </m:fPr>
            <m:num>
              <m:r>
                <m:rPr>
                  <m:nor/>
                </m:rPr>
                <w:rPr>
                  <w:i/>
                  <w:lang w:val="fr-FR"/>
                </w:rPr>
                <m:t>1</m:t>
              </m:r>
            </m:num>
            <m:den>
              <m:r>
                <m:rPr>
                  <m:nor/>
                </m:rPr>
                <w:rPr>
                  <w:i/>
                </w:rPr>
                <m:t>α</m:t>
              </m:r>
            </m:den>
          </m:f>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r>
                            <m:rPr>
                              <m:nor/>
                            </m:rPr>
                            <w:rPr>
                              <w:i/>
                              <w:lang w:val="fr-FR"/>
                            </w:rPr>
                            <m:t>A</m:t>
                          </m:r>
                        </m:e>
                      </m:acc>
                    </m:num>
                    <m:den>
                      <m:r>
                        <m:rPr>
                          <m:nor/>
                        </m:rPr>
                        <w:rPr>
                          <w:i/>
                          <w:lang w:val="fr-FR"/>
                        </w:rPr>
                        <m:t>A</m:t>
                      </m:r>
                    </m:den>
                  </m:f>
                </m:e>
              </m:groupChr>
            </m:e>
            <m:lim>
              <m:r>
                <w:rPr>
                  <w:rFonts w:ascii="Cambria Math" w:hAnsi="Cambria Math"/>
                  <w:lang w:val="fr-FR"/>
                </w:rPr>
                <m:t>=</m:t>
              </m:r>
              <m:r>
                <m:rPr>
                  <m:nor/>
                </m:rPr>
                <w:rPr>
                  <w:i/>
                  <w:lang w:val="fr-FR"/>
                </w:rPr>
                <m:t>0</m:t>
              </m:r>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num>
                    <m:den>
                      <m:sSub>
                        <m:sSubPr>
                          <m:ctrlPr>
                            <w:rPr>
                              <w:rFonts w:ascii="Cambria Math" w:hAnsi="Cambria Math"/>
                              <w:i/>
                              <w:iCs/>
                            </w:rPr>
                          </m:ctrlPr>
                        </m:sSubPr>
                        <m:e>
                          <m:r>
                            <m:rPr>
                              <m:nor/>
                            </m:rPr>
                            <w:rPr>
                              <w:i/>
                              <w:iCs/>
                              <w:lang w:val="fr-FR"/>
                            </w:rPr>
                            <m:t>k</m:t>
                          </m:r>
                        </m:e>
                        <m:sub>
                          <m:r>
                            <m:rPr>
                              <m:nor/>
                            </m:rPr>
                            <w:rPr>
                              <w:i/>
                              <w:iCs/>
                              <w:lang w:val="fr-FR"/>
                            </w:rPr>
                            <m:t>t</m:t>
                          </m:r>
                        </m:sub>
                      </m:sSub>
                    </m:den>
                  </m:f>
                </m:e>
              </m:groupChr>
            </m:e>
            <m:lim>
              <m:sSub>
                <m:sSubPr>
                  <m:ctrlPr>
                    <w:rPr>
                      <w:rFonts w:ascii="Cambria Math" w:hAnsi="Cambria Math"/>
                      <w:i/>
                    </w:rPr>
                  </m:ctrlPr>
                </m:sSubPr>
                <m:e>
                  <m:r>
                    <m:rPr>
                      <m:nor/>
                    </m:rPr>
                    <w:rPr>
                      <w:i/>
                    </w:rPr>
                    <m:t>γ</m:t>
                  </m:r>
                </m:e>
                <m:sub>
                  <m:r>
                    <m:rPr>
                      <m:nor/>
                    </m:rPr>
                    <w:rPr>
                      <w:i/>
                      <w:iCs/>
                      <w:lang w:val="fr-FR"/>
                    </w:rPr>
                    <m:t>k</m:t>
                  </m:r>
                </m:sub>
              </m:sSub>
            </m:lim>
          </m:limLow>
          <m:r>
            <w:rPr>
              <w:rFonts w:ascii="Cambria Math" w:hAnsi="Cambria Math"/>
            </w:rPr>
            <m:t>⟹</m:t>
          </m:r>
          <m:sSub>
            <m:sSubPr>
              <m:ctrlPr>
                <w:rPr>
                  <w:rFonts w:ascii="Cambria Math" w:hAnsi="Cambria Math"/>
                  <w:i/>
                </w:rPr>
              </m:ctrlPr>
            </m:sSubPr>
            <m:e>
              <m:r>
                <m:rPr>
                  <m:nor/>
                </m:rPr>
                <w:rPr>
                  <w:i/>
                </w:rPr>
                <m:t>γ</m:t>
              </m:r>
            </m:e>
            <m:sub>
              <m:r>
                <m:rPr>
                  <m:nor/>
                </m:rPr>
                <w:rPr>
                  <w:i/>
                  <w:lang w:val="fr-FR"/>
                </w:rPr>
                <m:t>g</m:t>
              </m:r>
            </m:sub>
          </m:sSub>
          <m:r>
            <w:rPr>
              <w:rFonts w:ascii="Cambria Math" w:hAnsi="Cambria Math"/>
              <w:lang w:val="fr-FR"/>
            </w:rPr>
            <m:t>=</m:t>
          </m:r>
          <m:sSub>
            <m:sSubPr>
              <m:ctrlPr>
                <w:rPr>
                  <w:rFonts w:ascii="Cambria Math" w:hAnsi="Cambria Math"/>
                  <w:i/>
                </w:rPr>
              </m:ctrlPr>
            </m:sSubPr>
            <m:e>
              <m:r>
                <m:rPr>
                  <m:nor/>
                </m:rPr>
                <w:rPr>
                  <w:i/>
                </w:rPr>
                <m:t>γ</m:t>
              </m:r>
            </m:e>
            <m:sub>
              <m:r>
                <m:rPr>
                  <m:nor/>
                </m:rPr>
                <w:rPr>
                  <w:i/>
                  <w:lang w:val="fr-FR"/>
                </w:rPr>
                <m:t>k</m:t>
              </m:r>
            </m:sub>
          </m:sSub>
        </m:oMath>
      </m:oMathPara>
    </w:p>
    <w:p w14:paraId="16B285E6" w14:textId="77777777" w:rsidR="00041142" w:rsidRPr="0000494E" w:rsidRDefault="00041142" w:rsidP="00041142">
      <w:pPr>
        <w:pStyle w:val="Nivel3SM"/>
        <w:keepNext/>
      </w:pPr>
      <w:r>
        <w:t xml:space="preserve">Si tomamos logaritmos y derivadas de la función de producción respecto al tiempo, obtenemos </w:t>
      </w:r>
      <m:oMath>
        <m:sSub>
          <m:sSubPr>
            <m:ctrlPr>
              <w:rPr>
                <w:rFonts w:ascii="Cambria Math" w:hAnsi="Cambria Math"/>
                <w:i/>
              </w:rPr>
            </m:ctrlPr>
          </m:sSubPr>
          <m:e>
            <m:r>
              <m:rPr>
                <m:nor/>
              </m:rPr>
              <w:rPr>
                <w:i/>
              </w:rPr>
              <m:t>γ</m:t>
            </m:r>
          </m:e>
          <m:sub>
            <m:r>
              <m:rPr>
                <m:nor/>
              </m:rPr>
              <w:rPr>
                <w:i/>
              </w:rPr>
              <m:t>y</m:t>
            </m:r>
          </m:sub>
        </m:sSub>
        <m:r>
          <w:rPr>
            <w:rFonts w:ascii="Cambria Math" w:hAnsi="Cambria Math"/>
          </w:rPr>
          <m:t>=</m:t>
        </m:r>
        <m:r>
          <m:rPr>
            <m:nor/>
          </m:rPr>
          <w:rPr>
            <w:i/>
          </w:rPr>
          <m:t>α</m:t>
        </m:r>
        <m:r>
          <w:rPr>
            <w:rFonts w:ascii="Cambria Math" w:hAnsi="Cambria Math"/>
          </w:rPr>
          <m:t>∙</m:t>
        </m:r>
        <m:sSub>
          <m:sSubPr>
            <m:ctrlPr>
              <w:rPr>
                <w:rFonts w:ascii="Cambria Math" w:hAnsi="Cambria Math"/>
                <w:i/>
              </w:rPr>
            </m:ctrlPr>
          </m:sSubPr>
          <m:e>
            <m:r>
              <m:rPr>
                <m:nor/>
              </m:rPr>
              <w:rPr>
                <w:i/>
              </w:rPr>
              <m:t>γ</m:t>
            </m:r>
          </m:e>
          <m:sub>
            <m:r>
              <m:rPr>
                <m:nor/>
              </m:rPr>
              <w:rPr>
                <w:i/>
              </w:rPr>
              <m:t>k</m:t>
            </m:r>
          </m:sub>
        </m:sSub>
        <m:r>
          <w:rPr>
            <w:rFonts w:ascii="Cambria Math" w:hAnsi="Cambria Math"/>
          </w:rPr>
          <m:t>+</m:t>
        </m:r>
        <m:d>
          <m:dPr>
            <m:ctrlPr>
              <w:rPr>
                <w:rFonts w:ascii="Cambria Math" w:hAnsi="Cambria Math"/>
                <w:i/>
              </w:rPr>
            </m:ctrlPr>
          </m:dPr>
          <m:e>
            <m:r>
              <m:rPr>
                <m:nor/>
              </m:rPr>
              <w:rPr>
                <w:i/>
              </w:rPr>
              <m:t>1</m:t>
            </m:r>
            <m:r>
              <w:rPr>
                <w:rFonts w:ascii="Cambria Math" w:eastAsia="Times New Roman" w:hAnsi="Cambria Math"/>
                <w:vertAlign w:val="superscript"/>
              </w:rPr>
              <m:t>-</m:t>
            </m:r>
            <m:r>
              <m:rPr>
                <m:nor/>
              </m:rPr>
              <w:rPr>
                <w:i/>
              </w:rPr>
              <m:t>α</m:t>
            </m:r>
          </m:e>
        </m:d>
        <m:r>
          <w:rPr>
            <w:rFonts w:ascii="Cambria Math" w:hAnsi="Cambria Math"/>
          </w:rPr>
          <m:t>∙</m:t>
        </m:r>
        <m:sSub>
          <m:sSubPr>
            <m:ctrlPr>
              <w:rPr>
                <w:rFonts w:ascii="Cambria Math" w:hAnsi="Cambria Math"/>
                <w:i/>
              </w:rPr>
            </m:ctrlPr>
          </m:sSubPr>
          <m:e>
            <m:r>
              <m:rPr>
                <m:nor/>
              </m:rPr>
              <w:rPr>
                <w:i/>
              </w:rPr>
              <m:t>γ</m:t>
            </m:r>
          </m:e>
          <m:sub>
            <m:r>
              <m:rPr>
                <m:nor/>
              </m:rPr>
              <w:rPr>
                <w:i/>
              </w:rPr>
              <m:t>g</m:t>
            </m:r>
          </m:sub>
        </m:sSub>
        <m:r>
          <w:rPr>
            <w:rFonts w:ascii="Cambria Math" w:hAnsi="Cambria Math"/>
          </w:rPr>
          <m:t>⟹</m:t>
        </m:r>
        <m:sSub>
          <m:sSubPr>
            <m:ctrlPr>
              <w:rPr>
                <w:rFonts w:ascii="Cambria Math" w:hAnsi="Cambria Math"/>
                <w:i/>
              </w:rPr>
            </m:ctrlPr>
          </m:sSubPr>
          <m:e>
            <m:r>
              <m:rPr>
                <m:nor/>
              </m:rPr>
              <w:rPr>
                <w:i/>
              </w:rPr>
              <m:t>γ</m:t>
            </m:r>
          </m:e>
          <m:sub>
            <m:r>
              <m:rPr>
                <m:nor/>
              </m:rPr>
              <w:rPr>
                <w:i/>
              </w:rPr>
              <m:t>y</m:t>
            </m:r>
          </m:sub>
        </m:sSub>
        <m:r>
          <w:rPr>
            <w:rFonts w:ascii="Cambria Math" w:hAnsi="Cambria Math"/>
          </w:rPr>
          <m:t>=</m:t>
        </m:r>
        <m:sSub>
          <m:sSubPr>
            <m:ctrlPr>
              <w:rPr>
                <w:rFonts w:ascii="Cambria Math" w:hAnsi="Cambria Math"/>
                <w:i/>
              </w:rPr>
            </m:ctrlPr>
          </m:sSubPr>
          <m:e>
            <m:r>
              <m:rPr>
                <m:nor/>
              </m:rPr>
              <w:rPr>
                <w:i/>
              </w:rPr>
              <m:t>γ</m:t>
            </m:r>
          </m:e>
          <m:sub>
            <m:r>
              <m:rPr>
                <m:nor/>
              </m:rPr>
              <w:rPr>
                <w:i/>
              </w:rPr>
              <m:t>k</m:t>
            </m:r>
          </m:sub>
        </m:sSub>
        <m:r>
          <w:rPr>
            <w:rFonts w:ascii="Cambria Math" w:hAnsi="Cambria Math"/>
          </w:rPr>
          <m:t>=</m:t>
        </m:r>
        <m:sSub>
          <m:sSubPr>
            <m:ctrlPr>
              <w:rPr>
                <w:rFonts w:ascii="Cambria Math" w:hAnsi="Cambria Math"/>
                <w:i/>
              </w:rPr>
            </m:ctrlPr>
          </m:sSubPr>
          <m:e>
            <m:r>
              <m:rPr>
                <m:nor/>
              </m:rPr>
              <w:rPr>
                <w:i/>
              </w:rPr>
              <m:t>γ</m:t>
            </m:r>
          </m:e>
          <m:sub>
            <m:r>
              <m:rPr>
                <m:nor/>
              </m:rPr>
              <w:rPr>
                <w:i/>
              </w:rPr>
              <m:t>g</m:t>
            </m:r>
          </m:sub>
        </m:sSub>
      </m:oMath>
      <w:r>
        <w:t xml:space="preserve">. Finalmente, como el consumo es proporcional al PIB per cápita </w:t>
      </w:r>
      <m:oMath>
        <m:sSub>
          <m:sSubPr>
            <m:ctrlPr>
              <w:rPr>
                <w:rFonts w:ascii="Cambria Math" w:hAnsi="Cambria Math"/>
                <w:i/>
              </w:rPr>
            </m:ctrlPr>
          </m:sSubPr>
          <m:e>
            <m:r>
              <m:rPr>
                <m:nor/>
              </m:rPr>
              <w:rPr>
                <w:i/>
              </w:rPr>
              <m:t>γ</m:t>
            </m:r>
          </m:e>
          <m:sub>
            <m:r>
              <m:rPr>
                <m:nor/>
              </m:rPr>
              <w:rPr>
                <w:i/>
              </w:rPr>
              <m:t>c</m:t>
            </m:r>
          </m:sub>
        </m:sSub>
        <m:r>
          <w:rPr>
            <w:rFonts w:ascii="Cambria Math" w:hAnsi="Cambria Math"/>
          </w:rPr>
          <m:t>=</m:t>
        </m:r>
        <m:sSub>
          <m:sSubPr>
            <m:ctrlPr>
              <w:rPr>
                <w:rFonts w:ascii="Cambria Math" w:hAnsi="Cambria Math"/>
                <w:i/>
              </w:rPr>
            </m:ctrlPr>
          </m:sSubPr>
          <m:e>
            <m:r>
              <m:rPr>
                <m:nor/>
              </m:rPr>
              <w:rPr>
                <w:i/>
              </w:rPr>
              <m:t>γ</m:t>
            </m:r>
          </m:e>
          <m:sub>
            <m:r>
              <m:rPr>
                <m:nor/>
              </m:rPr>
              <w:rPr>
                <w:i/>
              </w:rPr>
              <m:t>y</m:t>
            </m:r>
          </m:sub>
        </m:sSub>
      </m:oMath>
      <w:r>
        <w:t>. En resumen:</w:t>
      </w:r>
    </w:p>
    <w:p w14:paraId="59C78C24" w14:textId="77777777" w:rsidR="00041142" w:rsidRPr="0000494E" w:rsidRDefault="00000000" w:rsidP="00041142">
      <w:pPr>
        <w:keepNext/>
        <w:spacing w:after="0"/>
        <w:ind w:left="963" w:hanging="198"/>
        <w:rPr>
          <w:rFonts w:eastAsiaTheme="minorEastAsia"/>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color w:val="C00000"/>
                      <w:lang w:val="fr-FR"/>
                    </w:rPr>
                  </m:ctrlPr>
                </m:dPr>
                <m:e>
                  <m:r>
                    <m:rPr>
                      <m:nor/>
                    </m:rPr>
                    <w:rPr>
                      <w:i/>
                      <w:color w:val="C00000"/>
                    </w:rPr>
                    <m:t>1</m:t>
                  </m:r>
                  <m:r>
                    <w:rPr>
                      <w:rFonts w:ascii="Cambria Math" w:hAnsi="Cambria Math"/>
                      <w:color w:val="C00000"/>
                    </w:rPr>
                    <m:t>-</m:t>
                  </m:r>
                  <m:r>
                    <m:rPr>
                      <m:nor/>
                    </m:rPr>
                    <w:rPr>
                      <w:i/>
                      <w:color w:val="C00000"/>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r>
                <w:rPr>
                  <w:rFonts w:ascii="Cambria Math" w:hAnsi="Cambria Math"/>
                </w:rPr>
                <m:t>-</m:t>
              </m:r>
              <m:d>
                <m:dPr>
                  <m:ctrlPr>
                    <w:rPr>
                      <w:rFonts w:ascii="Cambria Math" w:hAnsi="Cambria Math"/>
                      <w:i/>
                      <w:iCs/>
                      <w:lang w:val="fr-FR"/>
                    </w:rPr>
                  </m:ctrlPr>
                </m:dPr>
                <m:e>
                  <m:r>
                    <m:rPr>
                      <m:nor/>
                    </m:rPr>
                    <w:rPr>
                      <w:i/>
                      <w:lang w:val="fr-FR"/>
                    </w:rPr>
                    <m:t>δ</m:t>
                  </m:r>
                  <m:r>
                    <w:rPr>
                      <w:rFonts w:ascii="Cambria Math" w:hAnsi="Cambria Math"/>
                    </w:rPr>
                    <m:t>+</m:t>
                  </m:r>
                  <m:r>
                    <m:rPr>
                      <m:nor/>
                    </m:rPr>
                    <w:rPr>
                      <w:i/>
                      <w:iCs/>
                    </w:rPr>
                    <m:t>n</m:t>
                  </m:r>
                </m:e>
              </m:d>
            </m:e>
          </m:borderBox>
        </m:oMath>
      </m:oMathPara>
    </w:p>
    <w:p w14:paraId="575814C6" w14:textId="77777777" w:rsidR="00041142" w:rsidRDefault="00041142" w:rsidP="00041142">
      <w:pPr>
        <w:pStyle w:val="Nivel4"/>
        <w:keepNext/>
        <w:ind w:left="1474"/>
      </w:pPr>
      <w:r>
        <w:t>Las variables agregadas crecen todas a la misma tasa que las variables per cápita más la tasa de crecimiento de la población. Es decir,</w:t>
      </w:r>
    </w:p>
    <w:p w14:paraId="6921C5A5" w14:textId="77777777" w:rsidR="00041142" w:rsidRDefault="00000000" w:rsidP="00041142">
      <w:pPr>
        <w:pStyle w:val="Nivel4"/>
        <w:numPr>
          <w:ilvl w:val="0"/>
          <w:numId w:val="0"/>
        </w:numPr>
        <w:ind w:left="1474"/>
      </w:pPr>
      <m:oMathPara>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lang w:val="fr-FR"/>
                </w:rPr>
              </m:ctrlPr>
            </m:dPr>
            <m:e>
              <m:r>
                <m:rPr>
                  <m:nor/>
                </m:rPr>
                <w:rPr>
                  <w:i/>
                </w:rPr>
                <m:t>1</m:t>
              </m:r>
              <m:r>
                <w:rPr>
                  <w:rFonts w:ascii="Cambria Math" w:hAnsi="Cambria Math"/>
                </w:rPr>
                <m:t>-</m:t>
              </m:r>
              <m:r>
                <m:rPr>
                  <m:nor/>
                </m:rPr>
                <w:rPr>
                  <w:i/>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rPr>
                        <m:t>1</m:t>
                      </m:r>
                      <m:r>
                        <w:rPr>
                          <w:rFonts w:ascii="Cambria Math" w:eastAsia="Times New Roman" w:hAnsi="Cambria Math"/>
                          <w:vertAlign w:val="superscript"/>
                        </w:rPr>
                        <m:t>-</m:t>
                      </m:r>
                      <m:r>
                        <m:rPr>
                          <m:nor/>
                        </m:rPr>
                        <w:rPr>
                          <w:i/>
                        </w:rPr>
                        <m:t>α</m:t>
                      </m:r>
                    </m:e>
                  </m:d>
                </m:num>
                <m:den>
                  <m:r>
                    <m:rPr>
                      <m:nor/>
                    </m:rPr>
                    <w:rPr>
                      <w:i/>
                    </w:rPr>
                    <m:t>α</m:t>
                  </m:r>
                </m:den>
              </m:f>
            </m:sup>
          </m:sSup>
          <m:r>
            <w:rPr>
              <w:rFonts w:ascii="Cambria Math" w:hAnsi="Cambria Math"/>
            </w:rPr>
            <m:t>-</m:t>
          </m:r>
          <m:r>
            <m:rPr>
              <m:nor/>
            </m:rPr>
            <w:rPr>
              <w:i/>
              <w:lang w:val="fr-FR"/>
            </w:rPr>
            <m:t>δ</m:t>
          </m:r>
        </m:oMath>
      </m:oMathPara>
    </w:p>
    <w:p w14:paraId="4FA8435A" w14:textId="77777777" w:rsidR="00041142" w:rsidRDefault="00041142" w:rsidP="00041142">
      <w:pPr>
        <w:pStyle w:val="Nivel4"/>
        <w:keepNext/>
        <w:ind w:left="1474"/>
      </w:pPr>
      <w:r>
        <w:t>Vemos, pues, que en este modelo, todas las tasas de crecimiento son constantes en todo momento (i.e. no hay transición hacia el estado estacionario), propiedad que comparten con el modelo </w:t>
      </w:r>
      <w:r>
        <w:rPr>
          <w:i/>
        </w:rPr>
        <w:t>AK</w:t>
      </w:r>
      <w:r>
        <w:t>.</w:t>
      </w:r>
    </w:p>
    <w:p w14:paraId="052CA991" w14:textId="77777777" w:rsidR="00041142" w:rsidRPr="0000494E" w:rsidRDefault="00041142" w:rsidP="00041142">
      <w:pPr>
        <w:pStyle w:val="Nivel5"/>
        <w:keepNext/>
        <w:ind w:left="1871"/>
        <w:rPr>
          <w:spacing w:val="-2"/>
        </w:rPr>
      </w:pPr>
      <w:r w:rsidRPr="0000494E">
        <w:rPr>
          <w:spacing w:val="-2"/>
        </w:rPr>
        <w:t xml:space="preserve">La explicación de esta similitud es que </w:t>
      </w:r>
      <w:r w:rsidRPr="003959C8">
        <w:rPr>
          <w:spacing w:val="-2"/>
          <w:u w:val="single"/>
        </w:rPr>
        <w:t>este modelo es, en realidad, el modelo</w:t>
      </w:r>
      <w:r>
        <w:rPr>
          <w:spacing w:val="-2"/>
          <w:u w:val="single"/>
        </w:rPr>
        <w:t> </w:t>
      </w:r>
      <w:r w:rsidRPr="003959C8">
        <w:rPr>
          <w:i/>
          <w:spacing w:val="-2"/>
          <w:u w:val="single"/>
        </w:rPr>
        <w:t>AK</w:t>
      </w:r>
      <w:r w:rsidRPr="0000494E">
        <w:rPr>
          <w:spacing w:val="-2"/>
        </w:rPr>
        <w:t>. Esto se puede ver en que si partimos de la ecuación de producción</w:t>
      </w:r>
      <w:r>
        <w:rPr>
          <w:spacing w:val="-2"/>
        </w:rPr>
        <w:t xml:space="preserve"> per cápita</w:t>
      </w:r>
      <w:r w:rsidRPr="0000494E">
        <w:rPr>
          <w:spacing w:val="-2"/>
        </w:rPr>
        <w:t xml:space="preserve"> y sustituimos haciendo uso de la restricción presupuestaria del gobierno obtenemos lo siguiente:</w:t>
      </w:r>
    </w:p>
    <w:p w14:paraId="1D71D94C" w14:textId="77777777" w:rsidR="00041142" w:rsidRDefault="00000000" w:rsidP="00041142">
      <w:pPr>
        <w:ind w:left="1871" w:hanging="170"/>
        <w:rPr>
          <w:rFonts w:eastAsiaTheme="minorEastAsia"/>
          <w:iCs/>
        </w:rP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r>
            <m:rPr>
              <m:nor/>
            </m:rPr>
            <w:rPr>
              <w:i/>
              <w:iCs/>
            </w:rPr>
            <m:t>A</m:t>
          </m:r>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k</m:t>
                  </m:r>
                </m:e>
                <m:sub>
                  <m:r>
                    <m:rPr>
                      <m:nor/>
                    </m:rPr>
                    <w:rPr>
                      <w:i/>
                      <w:iCs/>
                    </w:rPr>
                    <m:t>t</m:t>
                  </m:r>
                </m:sub>
              </m:sSub>
            </m:e>
            <m:sup>
              <m:r>
                <m:rPr>
                  <m:nor/>
                </m:rPr>
                <w:rPr>
                  <w:i/>
                </w:rPr>
                <m:t>α</m:t>
              </m:r>
            </m:sup>
          </m:sSup>
          <m:r>
            <w:rPr>
              <w:rFonts w:ascii="Cambria Math" w:hAnsi="Cambria Math"/>
            </w:rPr>
            <m:t>∙</m:t>
          </m:r>
          <m:sSup>
            <m:sSupPr>
              <m:ctrlPr>
                <w:rPr>
                  <w:rFonts w:ascii="Cambria Math" w:hAnsi="Cambria Math"/>
                  <w:i/>
                  <w:iCs/>
                  <w:lang w:val="fr-FR"/>
                </w:rPr>
              </m:ctrlPr>
            </m:sSupPr>
            <m:e>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b>
                            <m:sSubPr>
                              <m:ctrlPr>
                                <w:rPr>
                                  <w:rFonts w:ascii="Cambria Math" w:hAnsi="Cambria Math"/>
                                  <w:i/>
                                  <w:iCs/>
                                </w:rPr>
                              </m:ctrlPr>
                            </m:sSubPr>
                            <m:e>
                              <m:r>
                                <m:rPr>
                                  <m:nor/>
                                </m:rPr>
                                <w:rPr>
                                  <w:i/>
                                  <w:iCs/>
                                </w:rPr>
                                <m:t>k</m:t>
                              </m:r>
                            </m:e>
                            <m:sub>
                              <m:r>
                                <m:rPr>
                                  <m:nor/>
                                </m:rPr>
                                <w:rPr>
                                  <w:i/>
                                  <w:iCs/>
                                </w:rPr>
                                <m:t>t</m:t>
                              </m:r>
                            </m:sub>
                          </m:sSub>
                        </m:e>
                      </m:d>
                    </m:e>
                  </m:groupChr>
                </m:e>
                <m:lim>
                  <m:sSub>
                    <m:sSubPr>
                      <m:ctrlPr>
                        <w:rPr>
                          <w:rFonts w:ascii="Cambria Math" w:hAnsi="Cambria Math"/>
                          <w:i/>
                          <w:iCs/>
                        </w:rPr>
                      </m:ctrlPr>
                    </m:sSubPr>
                    <m:e>
                      <m:r>
                        <m:rPr>
                          <m:nor/>
                        </m:rPr>
                        <w:rPr>
                          <w:i/>
                          <w:iCs/>
                        </w:rPr>
                        <m:t>g</m:t>
                      </m:r>
                    </m:e>
                    <m:sub>
                      <m:r>
                        <m:rPr>
                          <m:nor/>
                        </m:rPr>
                        <w:rPr>
                          <w:i/>
                          <w:iCs/>
                        </w:rPr>
                        <m:t>t</m:t>
                      </m:r>
                    </m:sub>
                  </m:sSub>
                </m:lim>
              </m:limLow>
            </m:e>
            <m:sup>
              <m:r>
                <m:rPr>
                  <m:nor/>
                </m:rPr>
                <w:rPr>
                  <w:i/>
                </w:rPr>
                <m:t>1</m:t>
              </m:r>
              <m:r>
                <w:rPr>
                  <w:rFonts w:ascii="Cambria Math" w:eastAsia="Times New Roman" w:hAnsi="Cambria Math"/>
                  <w:vertAlign w:val="superscript"/>
                </w:rPr>
                <m:t>-</m:t>
              </m:r>
              <m:r>
                <m:rPr>
                  <m:nor/>
                </m:rPr>
                <w:rPr>
                  <w:i/>
                </w:rPr>
                <m:t>α</m:t>
              </m:r>
            </m:sup>
          </m:sSup>
          <m:r>
            <w:rPr>
              <w:rFonts w:ascii="Cambria Math" w:hAnsi="Cambria Math"/>
            </w:rPr>
            <m:t>=</m:t>
          </m:r>
          <m:limLow>
            <m:limLowPr>
              <m:ctrlPr>
                <w:rPr>
                  <w:rFonts w:ascii="Cambria Math" w:hAnsi="Cambria Math"/>
                  <w:i/>
                  <w:iCs/>
                  <w:lang w:val="fr-FR"/>
                </w:rPr>
              </m:ctrlPr>
            </m:limLowPr>
            <m:e>
              <m:groupChr>
                <m:groupChrPr>
                  <m:ctrlPr>
                    <w:rPr>
                      <w:rFonts w:ascii="Cambria Math" w:hAnsi="Cambria Math"/>
                      <w:i/>
                      <w:iCs/>
                      <w:lang w:val="fr-FR"/>
                    </w:rPr>
                  </m:ctrlPr>
                </m:groupChrPr>
                <m:e>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rPr>
                                <m:t>1</m:t>
                              </m:r>
                              <m:r>
                                <w:rPr>
                                  <w:rFonts w:ascii="Cambria Math" w:eastAsia="Times New Roman" w:hAnsi="Cambria Math"/>
                                  <w:vertAlign w:val="superscript"/>
                                </w:rPr>
                                <m:t>-</m:t>
                              </m:r>
                              <m:r>
                                <m:rPr>
                                  <m:nor/>
                                </m:rPr>
                                <w:rPr>
                                  <w:i/>
                                </w:rPr>
                                <m:t>α</m:t>
                              </m:r>
                            </m:e>
                          </m:d>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e>
              </m:groupChr>
            </m:e>
            <m:lim>
              <m:acc>
                <m:accPr>
                  <m:chr m:val="̅"/>
                  <m:ctrlPr>
                    <w:rPr>
                      <w:rFonts w:ascii="Cambria Math" w:hAnsi="Cambria Math"/>
                      <w:i/>
                      <w:iCs/>
                      <w:lang w:val="fr-FR"/>
                    </w:rPr>
                  </m:ctrlPr>
                </m:accPr>
                <m:e>
                  <m:r>
                    <m:rPr>
                      <m:nor/>
                    </m:rPr>
                    <w:rPr>
                      <w:i/>
                      <w:iCs/>
                    </w:rPr>
                    <m:t>A</m:t>
                  </m:r>
                </m:e>
              </m:acc>
            </m:lim>
          </m:limLow>
          <m:r>
            <w:rPr>
              <w:rFonts w:ascii="Cambria Math" w:hAnsi="Cambria Math"/>
            </w:rPr>
            <m:t>∙</m:t>
          </m:r>
          <m:sSub>
            <m:sSubPr>
              <m:ctrlPr>
                <w:rPr>
                  <w:rFonts w:ascii="Cambria Math" w:hAnsi="Cambria Math"/>
                  <w:i/>
                  <w:iCs/>
                </w:rPr>
              </m:ctrlPr>
            </m:sSubPr>
            <m:e>
              <m:r>
                <m:rPr>
                  <m:nor/>
                </m:rPr>
                <w:rPr>
                  <w:i/>
                  <w:iCs/>
                </w:rPr>
                <m:t>k</m:t>
              </m:r>
            </m:e>
            <m:sub>
              <m:r>
                <m:rPr>
                  <m:nor/>
                </m:rPr>
                <w:rPr>
                  <w:i/>
                  <w:iCs/>
                </w:rPr>
                <m:t>t</m:t>
              </m:r>
            </m:sub>
          </m:sSub>
          <m:r>
            <m:rPr>
              <m:sty m:val="p"/>
            </m:rPr>
            <w:rPr>
              <w:rFonts w:ascii="Cambria Math" w:eastAsiaTheme="minorEastAsia" w:hAnsi="Cambria Math"/>
            </w:rPr>
            <w:br/>
          </m:r>
        </m:oMath>
      </m:oMathPara>
      <w:r w:rsidR="00041142" w:rsidRPr="000506CA">
        <w:rPr>
          <w:rFonts w:eastAsiaTheme="minorEastAsia"/>
          <w:iCs/>
        </w:rPr>
        <w:t xml:space="preserve">donde </w:t>
      </w:r>
      <m:oMath>
        <m:acc>
          <m:accPr>
            <m:chr m:val="̅"/>
            <m:ctrlPr>
              <w:rPr>
                <w:rFonts w:ascii="Cambria Math" w:hAnsi="Cambria Math"/>
                <w:i/>
                <w:iCs/>
                <w:lang w:val="fr-FR"/>
              </w:rPr>
            </m:ctrlPr>
          </m:accPr>
          <m:e>
            <m:r>
              <m:rPr>
                <m:nor/>
              </m:rPr>
              <w:rPr>
                <w:i/>
                <w:iCs/>
              </w:rPr>
              <m:t>A</m:t>
            </m:r>
          </m:e>
        </m:acc>
      </m:oMath>
      <w:r w:rsidR="00041142" w:rsidRPr="000506CA">
        <w:rPr>
          <w:rFonts w:eastAsiaTheme="minorEastAsia"/>
          <w:iCs/>
        </w:rPr>
        <w:t xml:space="preserve"> es u</w:t>
      </w:r>
      <w:r w:rsidR="00041142">
        <w:rPr>
          <w:rFonts w:eastAsiaTheme="minorEastAsia"/>
          <w:iCs/>
        </w:rPr>
        <w:t>n</w:t>
      </w:r>
      <w:r w:rsidR="00041142" w:rsidRPr="000506CA">
        <w:rPr>
          <w:rFonts w:eastAsiaTheme="minorEastAsia"/>
          <w:iCs/>
        </w:rPr>
        <w:t>a co</w:t>
      </w:r>
      <w:r w:rsidR="00041142">
        <w:rPr>
          <w:rFonts w:eastAsiaTheme="minorEastAsia"/>
          <w:iCs/>
        </w:rPr>
        <w:t>nstante. Es decir, una vez incorporada la restricción presupuestaria en la función de producción, esta se convierte en una función lineal en el capital, en una función </w:t>
      </w:r>
      <w:r w:rsidR="00041142">
        <w:rPr>
          <w:rFonts w:eastAsiaTheme="minorEastAsia"/>
          <w:i/>
        </w:rPr>
        <w:t>AK</w:t>
      </w:r>
      <w:r w:rsidR="00041142">
        <w:rPr>
          <w:rFonts w:eastAsiaTheme="minorEastAsia"/>
          <w:iCs/>
        </w:rPr>
        <w:t>.</w:t>
      </w:r>
    </w:p>
    <w:p w14:paraId="33AA063C" w14:textId="77777777" w:rsidR="00041142" w:rsidRPr="00616BCB" w:rsidRDefault="00041142" w:rsidP="00041142">
      <w:pPr>
        <w:pStyle w:val="Nivel1SM"/>
        <w:keepNext/>
        <w:spacing w:after="0"/>
      </w:pPr>
      <w:r>
        <w:t>Vamos como la expresión que determina el crecimiento de las variables del modelo en términos per cápita es la siguiente:</w:t>
      </w:r>
    </w:p>
    <w:p w14:paraId="1CBE0C88" w14:textId="77777777" w:rsidR="00041142" w:rsidRPr="00616BCB" w:rsidRDefault="00000000" w:rsidP="00041142">
      <w:pPr>
        <w:keepNext/>
        <w:spacing w:after="0"/>
        <w:rPr>
          <w:rFonts w:eastAsiaTheme="minorEastAsia"/>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color w:val="C00000"/>
                      <w:lang w:val="fr-FR"/>
                    </w:rPr>
                  </m:ctrlPr>
                </m:dPr>
                <m:e>
                  <m:r>
                    <m:rPr>
                      <m:nor/>
                    </m:rPr>
                    <w:rPr>
                      <w:i/>
                      <w:color w:val="C00000"/>
                    </w:rPr>
                    <m:t>1</m:t>
                  </m:r>
                  <m:r>
                    <w:rPr>
                      <w:rFonts w:ascii="Cambria Math" w:hAnsi="Cambria Math"/>
                      <w:color w:val="C00000"/>
                    </w:rPr>
                    <m:t>-</m:t>
                  </m:r>
                  <m:r>
                    <m:rPr>
                      <m:nor/>
                    </m:rPr>
                    <w:rPr>
                      <w:i/>
                      <w:color w:val="C00000"/>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r>
                <w:rPr>
                  <w:rFonts w:ascii="Cambria Math" w:hAnsi="Cambria Math"/>
                </w:rPr>
                <m:t>-</m:t>
              </m:r>
              <m:d>
                <m:dPr>
                  <m:ctrlPr>
                    <w:rPr>
                      <w:rFonts w:ascii="Cambria Math" w:hAnsi="Cambria Math"/>
                      <w:i/>
                      <w:iCs/>
                      <w:lang w:val="fr-FR"/>
                    </w:rPr>
                  </m:ctrlPr>
                </m:dPr>
                <m:e>
                  <m:r>
                    <m:rPr>
                      <m:nor/>
                    </m:rPr>
                    <w:rPr>
                      <w:i/>
                      <w:lang w:val="fr-FR"/>
                    </w:rPr>
                    <m:t>δ</m:t>
                  </m:r>
                  <m:r>
                    <w:rPr>
                      <w:rFonts w:ascii="Cambria Math" w:hAnsi="Cambria Math"/>
                    </w:rPr>
                    <m:t>+</m:t>
                  </m:r>
                  <m:r>
                    <m:rPr>
                      <m:nor/>
                    </m:rPr>
                    <w:rPr>
                      <w:i/>
                      <w:iCs/>
                    </w:rPr>
                    <m:t>n</m:t>
                  </m:r>
                </m:e>
              </m:d>
            </m:e>
          </m:borderBox>
        </m:oMath>
      </m:oMathPara>
    </w:p>
    <w:p w14:paraId="41F383FD" w14:textId="77777777" w:rsidR="00041142" w:rsidRDefault="00041142" w:rsidP="00041142">
      <w:pPr>
        <w:pStyle w:val="Nivel2SM"/>
        <w:keepNext/>
        <w:spacing w:after="0"/>
      </w:pPr>
      <w:r>
        <w:t>La novedad que caracteriza la tasa de crecimiento de la economía cuando existen bienes públicos productivos financiados con impuestos sobre la renta es que el tipo impositivo afecta al crecimiento económico. Y lo hace de dos maneras distintas:</w:t>
      </w:r>
    </w:p>
    <w:p w14:paraId="361B5ECC" w14:textId="77777777" w:rsidR="00041142" w:rsidRPr="00616BCB" w:rsidRDefault="00041142" w:rsidP="00041142">
      <w:pPr>
        <w:pStyle w:val="Nivel3SM"/>
      </w:pPr>
      <w:r>
        <w:t xml:space="preserve">En primer lugar, lo hace de manera negativa a través del término, </w:t>
      </w:r>
      <m:oMath>
        <m:d>
          <m:dPr>
            <m:ctrlPr>
              <w:rPr>
                <w:rFonts w:ascii="Cambria Math" w:hAnsi="Cambria Math"/>
                <w:i/>
                <w:color w:val="C00000"/>
                <w:lang w:val="fr-FR"/>
              </w:rPr>
            </m:ctrlPr>
          </m:dPr>
          <m:e>
            <m:r>
              <m:rPr>
                <m:nor/>
              </m:rPr>
              <w:rPr>
                <w:i/>
                <w:color w:val="C00000"/>
              </w:rPr>
              <m:t>1</m:t>
            </m:r>
            <m:r>
              <w:rPr>
                <w:rFonts w:ascii="Cambria Math" w:hAnsi="Cambria Math"/>
                <w:color w:val="C00000"/>
              </w:rPr>
              <m:t>-</m:t>
            </m:r>
            <m:r>
              <m:rPr>
                <m:nor/>
              </m:rPr>
              <w:rPr>
                <w:i/>
                <w:color w:val="C00000"/>
              </w:rPr>
              <m:t>τ</m:t>
            </m:r>
          </m:e>
        </m:d>
      </m:oMath>
      <w:r>
        <w:t>. Este término refleja el hecho de que los impuestos reducen la renta disponible y, con ello el ahorro y la inversión de la economía. Esto reduce el crecimiento de la economía.</w:t>
      </w:r>
    </w:p>
    <w:p w14:paraId="53108270" w14:textId="77777777" w:rsidR="00041142" w:rsidRDefault="00041142" w:rsidP="00041142">
      <w:pPr>
        <w:pStyle w:val="Nivel3SM"/>
      </w:pPr>
      <w:r>
        <w:t xml:space="preserve">En segundo lugar, lo hace de manera positiva a través de término, </w:t>
      </w:r>
      <m:oMath>
        <m:sSup>
          <m:sSupPr>
            <m:ctrlPr>
              <w:rPr>
                <w:rFonts w:ascii="Cambria Math" w:hAnsi="Cambria Math"/>
                <w:i/>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oMath>
      <w:r>
        <w:t>. Este término refleja el hecho de que un mayor tipo impositivo permite al gobierno proporcionar un mayor nivel de gasto público productivo, lo que aumenta la producción y la capacidad de ahorrar e invertir. Esto afecta la tasa de crecimiento de manera positiva.</w:t>
      </w:r>
    </w:p>
    <w:p w14:paraId="3B68E3B8" w14:textId="77777777" w:rsidR="00041142" w:rsidRDefault="00041142" w:rsidP="00041142">
      <w:pPr>
        <w:pStyle w:val="Nivel2SM"/>
        <w:keepNext/>
        <w:spacing w:after="0"/>
      </w:pPr>
      <w:r>
        <w:t>El efecto agregado de un aumento en el tipo impositivo es ambiguo, dependiendo de si el efecto positivo domina al negativo o viceversa</w:t>
      </w:r>
      <w:r>
        <w:rPr>
          <w:rStyle w:val="Refdenotaalpie"/>
        </w:rPr>
        <w:footnoteReference w:id="36"/>
      </w:r>
      <w:r>
        <w:t>.</w:t>
      </w:r>
    </w:p>
    <w:p w14:paraId="41F4EC4D" w14:textId="77777777" w:rsidR="00041142" w:rsidRDefault="00041142" w:rsidP="00041142">
      <w:pPr>
        <w:pStyle w:val="Nivel3SM"/>
      </w:pPr>
      <w:r>
        <w:t>Para niveles bajos de tipo impositivo, aumentarlo tendrá efectos positivos sobre la tasa de crecimiento económico, puesto que dominarán los efectos del gasto público sobre la productividad del capital privado.</w:t>
      </w:r>
    </w:p>
    <w:p w14:paraId="6C1A135F" w14:textId="77777777" w:rsidR="00041142" w:rsidRDefault="00041142" w:rsidP="00041142">
      <w:pPr>
        <w:pStyle w:val="Nivel3SM"/>
        <w:keepNext/>
      </w:pPr>
      <w:r>
        <w:lastRenderedPageBreak/>
        <w:t>A medida que el tipo impositivo va aumentando, el efecto positivo se ve compensado por los efectos negativos que genera una mayor presión fiscal.</w:t>
      </w:r>
    </w:p>
    <w:p w14:paraId="3F6615B4" w14:textId="77777777" w:rsidR="00041142" w:rsidRDefault="00041142" w:rsidP="00041142">
      <w:pPr>
        <w:pStyle w:val="Nivel4"/>
        <w:keepNext/>
        <w:ind w:left="1474"/>
      </w:pPr>
      <w:r>
        <w:t>De hecho, existe un tamaño óptimo que puede calcularse derivando la ecuación respecto al tipo impositivo, lo que da lugar a que el valor óptimo del tipo impositivo que maximiza la tasa de crecimiento del PIB sea</w:t>
      </w:r>
      <w:r>
        <w:rPr>
          <w:rStyle w:val="Refdenotaalpie"/>
        </w:rPr>
        <w:footnoteReference w:id="37"/>
      </w:r>
      <w:r>
        <w:t>:</w:t>
      </w:r>
    </w:p>
    <w:p w14:paraId="4A5B6D56" w14:textId="77777777" w:rsidR="00041142" w:rsidRPr="00A833CD" w:rsidRDefault="00041142" w:rsidP="00041142">
      <w:pPr>
        <w:pStyle w:val="Nivel3SM"/>
        <w:keepNext/>
        <w:numPr>
          <w:ilvl w:val="0"/>
          <w:numId w:val="0"/>
        </w:numPr>
        <w:ind w:left="1474" w:firstLine="720"/>
      </w:pPr>
      <m:oMathPara>
        <m:oMath>
          <m:r>
            <m:rPr>
              <m:nor/>
            </m:rPr>
            <w:rPr>
              <w:rFonts w:ascii="Cambria Math"/>
              <w:iCs/>
            </w:rPr>
            <m:t xml:space="preserve"> </m:t>
          </m:r>
          <m:r>
            <m:rPr>
              <m:nor/>
            </m:rPr>
            <w:rPr>
              <w:i/>
            </w:rPr>
            <m:t>τ*</m:t>
          </m:r>
          <m:r>
            <w:rPr>
              <w:rFonts w:ascii="Cambria Math" w:hAnsi="Cambria Math"/>
            </w:rPr>
            <m:t>=</m:t>
          </m:r>
          <m:d>
            <m:dPr>
              <m:ctrlPr>
                <w:rPr>
                  <w:rFonts w:ascii="Cambria Math" w:hAnsi="Cambria Math"/>
                  <w:i/>
                </w:rPr>
              </m:ctrlPr>
            </m:dPr>
            <m:e>
              <m:r>
                <m:rPr>
                  <m:nor/>
                </m:rPr>
                <w:rPr>
                  <w:i/>
                </w:rPr>
                <m:t>1</m:t>
              </m:r>
              <m:r>
                <w:rPr>
                  <w:rFonts w:ascii="Cambria Math" w:eastAsia="Times New Roman" w:hAnsi="Cambria Math"/>
                  <w:vertAlign w:val="superscript"/>
                </w:rPr>
                <m:t>-</m:t>
              </m:r>
              <m:r>
                <m:rPr>
                  <m:nor/>
                </m:rPr>
                <w:rPr>
                  <w:i/>
                </w:rPr>
                <m:t>α</m:t>
              </m:r>
            </m:e>
          </m:d>
        </m:oMath>
      </m:oMathPara>
    </w:p>
    <w:p w14:paraId="307E5901" w14:textId="287501E4" w:rsidR="00041142" w:rsidRDefault="00041142" w:rsidP="00413891">
      <w:pPr>
        <w:pStyle w:val="Nivel3SM"/>
        <w:keepNext/>
        <w:numPr>
          <w:ilvl w:val="0"/>
          <w:numId w:val="0"/>
        </w:numPr>
        <w:ind w:left="1474"/>
      </w:pPr>
      <w:r>
        <w:t>Lo cual coincide con su contribución en la función de producción.</w:t>
      </w:r>
    </w:p>
    <w:p w14:paraId="55014D42" w14:textId="6311245A" w:rsidR="00413891" w:rsidRDefault="00413891" w:rsidP="00413891">
      <w:pPr>
        <w:pStyle w:val="Nivel5"/>
        <w:ind w:left="1871"/>
      </w:pPr>
      <w:r>
        <w:t xml:space="preserve">Nótese que </w:t>
      </w:r>
      <m:oMath>
        <m:d>
          <m:dPr>
            <m:ctrlPr>
              <w:rPr>
                <w:rFonts w:ascii="Cambria Math" w:hAnsi="Cambria Math"/>
                <w:i/>
              </w:rPr>
            </m:ctrlPr>
          </m:dPr>
          <m:e>
            <m:r>
              <m:rPr>
                <m:nor/>
              </m:rPr>
              <w:rPr>
                <w:i/>
              </w:rPr>
              <m:t>1</m:t>
            </m:r>
            <m:r>
              <w:rPr>
                <w:rFonts w:ascii="Cambria Math" w:eastAsia="Times New Roman" w:hAnsi="Cambria Math"/>
                <w:vertAlign w:val="superscript"/>
              </w:rPr>
              <m:t>-</m:t>
            </m:r>
            <m:r>
              <m:rPr>
                <m:nor/>
              </m:rPr>
              <w:rPr>
                <w:i/>
              </w:rPr>
              <m:t>α</m:t>
            </m:r>
          </m:e>
        </m:d>
      </m:oMath>
      <w:r>
        <w:rPr>
          <w:rFonts w:eastAsiaTheme="minorEastAsia"/>
        </w:rPr>
        <w:t xml:space="preserve"> no es más que la elasticidad de la producción con respecto al gasto público. Por tanto, la condición de optimización nos está indicando que el nivel impositivo tiene que ser aquel que se iguale a la contribución del gasto a la producción, lo cual es bastante intuitivo.</w:t>
      </w:r>
    </w:p>
    <w:p w14:paraId="7A295041" w14:textId="77777777" w:rsidR="00041142" w:rsidRDefault="00041142" w:rsidP="00041142">
      <w:pPr>
        <w:pStyle w:val="Nivel1SM"/>
        <w:keepNext/>
        <w:spacing w:after="0"/>
        <w:rPr>
          <w:rFonts w:eastAsiaTheme="minorEastAsia"/>
        </w:rPr>
      </w:pPr>
      <w:r>
        <w:t xml:space="preserve">Podemos representar la relación existente entre </w:t>
      </w:r>
      <m:oMath>
        <m:r>
          <m:rPr>
            <m:nor/>
          </m:rPr>
          <w:rPr>
            <w:i/>
          </w:rPr>
          <m:t>τ</m:t>
        </m:r>
      </m:oMath>
      <w:r>
        <w:rPr>
          <w:rFonts w:eastAsiaTheme="minorEastAsia"/>
        </w:rPr>
        <w:t xml:space="preserve"> y la tasa de crecimiento:</w:t>
      </w:r>
    </w:p>
    <w:p w14:paraId="1DF8C61A" w14:textId="55B740E9" w:rsidR="00041142" w:rsidRPr="00C549C8" w:rsidRDefault="00041142" w:rsidP="00041142">
      <w:pPr>
        <w:pStyle w:val="Ttuloimagen"/>
        <w:rPr>
          <w:i/>
          <w:iCs/>
          <w:smallCaps w:val="0"/>
        </w:rPr>
      </w:pPr>
      <w:r>
        <w:t>Imagen</w:t>
      </w:r>
      <w:r>
        <w:rPr>
          <w:b/>
        </w:rPr>
        <w:t> </w:t>
      </w:r>
      <w:r>
        <w:fldChar w:fldCharType="begin"/>
      </w:r>
      <w:r>
        <w:instrText xml:space="preserve"> SEQ Ilustración \* ARABIC </w:instrText>
      </w:r>
      <w:r>
        <w:fldChar w:fldCharType="separate"/>
      </w:r>
      <w:r w:rsidR="0021538E">
        <w:t>10</w:t>
      </w:r>
      <w:r>
        <w:fldChar w:fldCharType="end"/>
      </w:r>
      <w:r>
        <w:rPr>
          <w:smallCaps w:val="0"/>
        </w:rPr>
        <w:t xml:space="preserve">.– </w:t>
      </w:r>
      <w:r>
        <w:rPr>
          <w:i/>
          <w:iCs/>
          <w:smallCaps w:val="0"/>
        </w:rPr>
        <w:t>Relación entre la tasa de crecimiento y el tipo impositivo</w:t>
      </w:r>
    </w:p>
    <w:p w14:paraId="6BD489EA" w14:textId="77777777" w:rsidR="00041142" w:rsidRDefault="00041142" w:rsidP="00041142">
      <w:pPr>
        <w:pStyle w:val="Imagen"/>
      </w:pPr>
      <w:r>
        <w:drawing>
          <wp:inline distT="0" distB="0" distL="0" distR="0" wp14:anchorId="3535651A" wp14:editId="5C7470E2">
            <wp:extent cx="2109633" cy="1800000"/>
            <wp:effectExtent l="0" t="0" r="5080" b="0"/>
            <wp:docPr id="724638005" name="Imagen 72463800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Diagrama&#10;&#10;Descripción generada automáticamente"/>
                    <pic:cNvPicPr/>
                  </pic:nvPicPr>
                  <pic:blipFill>
                    <a:blip r:embed="rId49"/>
                    <a:stretch>
                      <a:fillRect/>
                    </a:stretch>
                  </pic:blipFill>
                  <pic:spPr>
                    <a:xfrm>
                      <a:off x="0" y="0"/>
                      <a:ext cx="2109633" cy="1800000"/>
                    </a:xfrm>
                    <a:prstGeom prst="rect">
                      <a:avLst/>
                    </a:prstGeom>
                  </pic:spPr>
                </pic:pic>
              </a:graphicData>
            </a:graphic>
          </wp:inline>
        </w:drawing>
      </w:r>
    </w:p>
    <w:p w14:paraId="53BBD83B" w14:textId="77777777" w:rsidR="00041142" w:rsidRDefault="00041142" w:rsidP="00041142">
      <w:pPr>
        <w:pStyle w:val="PiedeImagen"/>
        <w:rPr>
          <w:i w:val="0"/>
          <w:iCs/>
        </w:rPr>
      </w:pPr>
      <w:r>
        <w:t>Fuente</w:t>
      </w:r>
      <w:r>
        <w:rPr>
          <w:i w:val="0"/>
          <w:iCs/>
        </w:rPr>
        <w:t xml:space="preserve">: </w:t>
      </w:r>
      <w:r w:rsidRPr="00C549C8">
        <w:rPr>
          <w:i w:val="0"/>
          <w:iCs/>
        </w:rPr>
        <w:t xml:space="preserve">Sala i Martín, X. (1999). </w:t>
      </w:r>
      <w:r w:rsidRPr="00C549C8">
        <w:t>Apuntes de crecimiento económico</w:t>
      </w:r>
      <w:r w:rsidRPr="00C549C8">
        <w:rPr>
          <w:i w:val="0"/>
          <w:iCs/>
        </w:rPr>
        <w:t>. Antoni Bosch.</w:t>
      </w:r>
    </w:p>
    <w:p w14:paraId="686343F2" w14:textId="77777777" w:rsidR="00041142" w:rsidRDefault="00041142" w:rsidP="00A762AF">
      <w:pPr>
        <w:pStyle w:val="Ttulo8"/>
      </w:pPr>
      <w:bookmarkStart w:id="106" w:name="_Toc141368107"/>
      <w:r>
        <w:t>Implicaciones</w:t>
      </w:r>
      <w:bookmarkEnd w:id="106"/>
    </w:p>
    <w:p w14:paraId="43328610" w14:textId="77777777" w:rsidR="00041142" w:rsidRDefault="00041142" w:rsidP="00041142">
      <w:pPr>
        <w:pStyle w:val="Nivel1SM"/>
        <w:keepNext/>
        <w:spacing w:before="0" w:after="0"/>
      </w:pPr>
      <w:r>
        <w:t>Este modelo implica que el sector público juega un papel importante en la tasa de crecimiento si el gasto público es productivo.</w:t>
      </w:r>
    </w:p>
    <w:p w14:paraId="044DE3EA" w14:textId="77777777" w:rsidR="00041142" w:rsidRDefault="00041142" w:rsidP="00041142">
      <w:pPr>
        <w:pStyle w:val="Nivel2SM"/>
      </w:pPr>
      <w:r>
        <w:t>En sentido amplio, la literatura ha considerado como gasto productivo el gasto en seguridad, justicia, defensa, sanidad, transporte, comunicaciones, infraestructura, subsidios a la investigación y el desarrollo, etc.</w:t>
      </w:r>
    </w:p>
    <w:p w14:paraId="3B2D4227" w14:textId="77777777" w:rsidR="00041142" w:rsidRDefault="00041142" w:rsidP="00041142">
      <w:pPr>
        <w:pStyle w:val="Nivel2SM"/>
        <w:keepNext/>
        <w:spacing w:after="0"/>
      </w:pPr>
      <w:r>
        <w:t>Sin embargo, es necesario hacer algunas matizaciones:</w:t>
      </w:r>
    </w:p>
    <w:p w14:paraId="524FAA35" w14:textId="77777777" w:rsidR="00041142" w:rsidRDefault="00041142" w:rsidP="00041142">
      <w:pPr>
        <w:pStyle w:val="Nivel3SM"/>
      </w:pPr>
      <w:r>
        <w:t>Este gasto público adicional debe ser compaginado con reformas desde el lado de la oferta que permitan que los nuevos factores y tecnologías sean empleadas (p.ej. invertir en educación es menos rentable si existen rigideces considerables en el mercado de trabajo).</w:t>
      </w:r>
    </w:p>
    <w:p w14:paraId="55419D80" w14:textId="77777777" w:rsidR="00041142" w:rsidRPr="00A833CD" w:rsidRDefault="00041142" w:rsidP="00041142">
      <w:pPr>
        <w:pStyle w:val="Nivel3SM"/>
        <w:rPr>
          <w:smallCaps/>
        </w:rPr>
      </w:pPr>
      <w:r>
        <w:rPr>
          <w:smallCaps/>
        </w:rPr>
        <w:t>Baxter</w:t>
      </w:r>
      <w:r>
        <w:t xml:space="preserve"> y </w:t>
      </w:r>
      <w:r>
        <w:rPr>
          <w:smallCaps/>
        </w:rPr>
        <w:t>King</w:t>
      </w:r>
      <w:r>
        <w:t xml:space="preserve"> muestran que los efectos del gasto público se hacen visibles a largo plazo.</w:t>
      </w:r>
    </w:p>
    <w:p w14:paraId="51442711" w14:textId="77777777" w:rsidR="00041142" w:rsidRPr="00A833CD" w:rsidRDefault="00041142" w:rsidP="00041142">
      <w:pPr>
        <w:pStyle w:val="Nivel3SM"/>
      </w:pPr>
      <w:r>
        <w:t>Hemos trabajado con tipo impositivo en general, pero no todos los impuestos tienen el mismo efecto sobre el crecimiento.</w:t>
      </w:r>
    </w:p>
    <w:p w14:paraId="3E9BA2C6" w14:textId="77777777" w:rsidR="00041142" w:rsidRPr="00C458C8" w:rsidRDefault="00041142" w:rsidP="00A762AF">
      <w:pPr>
        <w:pStyle w:val="Ttulo7"/>
      </w:pPr>
      <w:bookmarkStart w:id="107" w:name="_Toc141368108"/>
      <w:r w:rsidRPr="00C458C8">
        <w:t>Valoración</w:t>
      </w:r>
      <w:bookmarkStart w:id="108" w:name="_Hlk146470960"/>
      <w:bookmarkEnd w:id="107"/>
    </w:p>
    <w:p w14:paraId="32BDF833" w14:textId="40F6AC42" w:rsidR="00854A2D" w:rsidRPr="009530EF" w:rsidRDefault="00854A2D" w:rsidP="00041142">
      <w:pPr>
        <w:pStyle w:val="Nivel1SM"/>
      </w:pPr>
    </w:p>
    <w:p w14:paraId="44855035" w14:textId="77777777" w:rsidR="0061540F" w:rsidRPr="00405E72" w:rsidRDefault="0061540F" w:rsidP="0061540F">
      <w:pPr>
        <w:pStyle w:val="Ttulo2"/>
      </w:pPr>
      <w:bookmarkStart w:id="109" w:name="_Toc151113622"/>
      <w:bookmarkEnd w:id="108"/>
      <w:r w:rsidRPr="00405E72">
        <w:lastRenderedPageBreak/>
        <w:t xml:space="preserve">Proporción del empleo </w:t>
      </w:r>
      <w:r>
        <w:t>de las AAPP en el empleo total</w:t>
      </w:r>
      <w:bookmarkEnd w:id="109"/>
    </w:p>
    <w:p w14:paraId="4962D28D" w14:textId="77777777" w:rsidR="0061540F" w:rsidRDefault="0061540F" w:rsidP="0061540F">
      <w:pPr>
        <w:pStyle w:val="Nivel2SM"/>
        <w:keepNext/>
        <w:spacing w:after="0"/>
      </w:pPr>
      <w:r>
        <w:t>Datos nacionales:</w:t>
      </w:r>
    </w:p>
    <w:p w14:paraId="6F345398" w14:textId="77777777" w:rsidR="0061540F" w:rsidRDefault="0061540F" w:rsidP="0061540F">
      <w:pPr>
        <w:pStyle w:val="Nivel3SM"/>
      </w:pPr>
      <w:r>
        <w:t>Aproximadamente 2,5 millones de empleados públicos de los cuales cerca de 500 mil de la CCLL, 500 mil de Administración Central y casi 1,5 millones de las CCAA.</w:t>
      </w:r>
    </w:p>
    <w:p w14:paraId="4577EF65" w14:textId="77777777" w:rsidR="0061540F" w:rsidRDefault="0061540F" w:rsidP="0061540F">
      <w:pPr>
        <w:pStyle w:val="Nivel2SM"/>
        <w:keepNext/>
        <w:spacing w:after="0"/>
      </w:pPr>
      <w:r w:rsidRPr="00860D07">
        <w:t>Esto equivale a</w:t>
      </w:r>
      <w:r>
        <w:t>:</w:t>
      </w:r>
    </w:p>
    <w:p w14:paraId="2527D53A" w14:textId="77777777" w:rsidR="0061540F" w:rsidRPr="003F526F" w:rsidRDefault="0061540F" w:rsidP="0061540F">
      <w:pPr>
        <w:pStyle w:val="Nivel3SM"/>
        <w:keepNext/>
      </w:pPr>
      <w:r w:rsidRPr="003F526F">
        <w:t>Número de habitantes por funcionario</w:t>
      </w:r>
    </w:p>
    <w:p w14:paraId="042BDC41" w14:textId="77777777" w:rsidR="0061540F" w:rsidRDefault="0061540F" w:rsidP="0061540F">
      <w:pPr>
        <w:pStyle w:val="Nivel4"/>
        <w:ind w:left="1474"/>
      </w:pPr>
      <w:r>
        <w:t>1 funcionario por cada 16 habitantes.</w:t>
      </w:r>
    </w:p>
    <w:p w14:paraId="21AD5659" w14:textId="77777777" w:rsidR="0061540F" w:rsidRDefault="0061540F" w:rsidP="0061540F">
      <w:pPr>
        <w:pStyle w:val="Nivel4"/>
        <w:ind w:left="1474"/>
      </w:pPr>
      <w:r>
        <w:t xml:space="preserve">España es el </w:t>
      </w:r>
      <w:r w:rsidRPr="001134C9">
        <w:t>4º</w:t>
      </w:r>
      <w:r>
        <w:t> </w:t>
      </w:r>
      <w:r w:rsidRPr="001134C9">
        <w:t xml:space="preserve">país </w:t>
      </w:r>
      <w:r>
        <w:t xml:space="preserve">de la UE </w:t>
      </w:r>
      <w:r w:rsidRPr="00860D07">
        <w:rPr>
          <w:b/>
        </w:rPr>
        <w:t>con menos</w:t>
      </w:r>
      <w:r w:rsidRPr="001134C9">
        <w:t xml:space="preserve"> funcionarios después de Italia, Austria y Portugal</w:t>
      </w:r>
      <w:r>
        <w:t>.</w:t>
      </w:r>
    </w:p>
    <w:p w14:paraId="11D658AB" w14:textId="77777777" w:rsidR="0061540F" w:rsidRDefault="0061540F" w:rsidP="0061540F">
      <w:pPr>
        <w:pStyle w:val="Nivel3SM"/>
        <w:keepNext/>
      </w:pPr>
      <w:r>
        <w:t>P</w:t>
      </w:r>
      <w:r w:rsidRPr="003F526F">
        <w:t>orcentaje sobre el total de la fuerza laboral</w:t>
      </w:r>
      <w:r>
        <w:t>:</w:t>
      </w:r>
    </w:p>
    <w:p w14:paraId="671464C5" w14:textId="77777777" w:rsidR="0061540F" w:rsidRDefault="0061540F" w:rsidP="0061540F">
      <w:pPr>
        <w:pStyle w:val="Nivel4"/>
        <w:ind w:left="1474"/>
      </w:pPr>
      <w:r w:rsidRPr="008D6BEA">
        <w:t>España</w:t>
      </w:r>
      <w:r>
        <w:t>: 13 %, menor que Italia, Francia, Reino Unido y los países nórdicos, aunque mayor que Alemania.</w:t>
      </w:r>
    </w:p>
    <w:p w14:paraId="146AD2CE" w14:textId="77777777" w:rsidR="0061540F" w:rsidRDefault="0061540F" w:rsidP="0061540F">
      <w:pPr>
        <w:pStyle w:val="Nivel4"/>
        <w:ind w:left="1474"/>
      </w:pPr>
      <w:r w:rsidRPr="008D6BEA">
        <w:t>OCDE:</w:t>
      </w:r>
      <w:r>
        <w:t xml:space="preserve"> 16 %.</w:t>
      </w:r>
    </w:p>
    <w:p w14:paraId="6125D844" w14:textId="77777777" w:rsidR="0061540F" w:rsidRDefault="0061540F" w:rsidP="0061540F">
      <w:pPr>
        <w:pStyle w:val="Nivel2SM"/>
      </w:pPr>
      <w:r w:rsidRPr="00985F21">
        <w:t xml:space="preserve">Crítica: </w:t>
      </w:r>
      <w:r>
        <w:t>Este indicador puede ser cada vez más distorsionante, ya que, con el fin de ahorrar costes, el sector público cada vez recurre más a modelos de sector público con gestión privada, subcontratación… Esto implica que el peso del sector público en términos de empleo puede ir reduciéndose sin que esto implique una menor influencia del sector público sobre la actividad económica.</w:t>
      </w:r>
    </w:p>
    <w:p w14:paraId="105DC42D" w14:textId="77777777" w:rsidR="00A762AF" w:rsidRDefault="00A762AF" w:rsidP="005C010F">
      <w:pPr>
        <w:pStyle w:val="Ttulo2"/>
      </w:pPr>
      <w:bookmarkStart w:id="110" w:name="_Toc151113623"/>
      <w:r>
        <w:t>Déficit público, deuda pública y niveles de descentralización</w:t>
      </w:r>
      <w:bookmarkEnd w:id="110"/>
    </w:p>
    <w:p w14:paraId="23D5C825" w14:textId="77777777" w:rsidR="00A762AF" w:rsidRDefault="00A762AF" w:rsidP="00A762AF">
      <w:pPr>
        <w:pStyle w:val="Ttulo3"/>
        <w:spacing w:before="0"/>
      </w:pPr>
      <w:bookmarkStart w:id="111" w:name="_Toc151113624"/>
      <w:r>
        <w:t>Déficit público</w:t>
      </w:r>
      <w:bookmarkEnd w:id="111"/>
    </w:p>
    <w:p w14:paraId="19575505" w14:textId="0E05B8B9" w:rsidR="00EC4613" w:rsidRPr="00EC4613" w:rsidRDefault="00EC4613" w:rsidP="00EC4613">
      <w:pPr>
        <w:jc w:val="center"/>
      </w:pPr>
      <w:r>
        <w:rPr>
          <w:noProof/>
        </w:rPr>
        <w:drawing>
          <wp:inline distT="0" distB="0" distL="0" distR="0" wp14:anchorId="24A92D2D" wp14:editId="2ABDEA22">
            <wp:extent cx="3085430" cy="3271747"/>
            <wp:effectExtent l="0" t="0" r="1270" b="5080"/>
            <wp:docPr id="837613850" name="Imagen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96564" cy="3283554"/>
                    </a:xfrm>
                    <a:prstGeom prst="rect">
                      <a:avLst/>
                    </a:prstGeom>
                    <a:noFill/>
                    <a:ln>
                      <a:noFill/>
                    </a:ln>
                  </pic:spPr>
                </pic:pic>
              </a:graphicData>
            </a:graphic>
          </wp:inline>
        </w:drawing>
      </w:r>
    </w:p>
    <w:p w14:paraId="74292245" w14:textId="77777777" w:rsidR="00EC4613" w:rsidRDefault="00EC4613" w:rsidP="00EC4613">
      <w:pPr>
        <w:pStyle w:val="Ttulo6"/>
      </w:pPr>
      <w:bookmarkStart w:id="112" w:name="_Toc151113625"/>
      <w:r w:rsidRPr="00F423C4">
        <w:t>Otros indicadores fundamentales de la actividad del sector público</w:t>
      </w:r>
      <w:bookmarkStart w:id="113" w:name="_Hlk146470612"/>
      <w:bookmarkEnd w:id="112"/>
    </w:p>
    <w:p w14:paraId="691495B1" w14:textId="77777777" w:rsidR="00EC4613" w:rsidRDefault="00EC4613" w:rsidP="00EC4613">
      <w:pPr>
        <w:pStyle w:val="Nivel2SM"/>
        <w:keepNext/>
        <w:spacing w:after="0"/>
      </w:pPr>
      <w:r>
        <w:t>Hay otros dos indicadores que son fundamentales en el análisis del sector público, aunque no son necesariamente representativos de su tamaño: se trata del déficit público y de la deuda pública (ambos como porcentaje del PIB).</w:t>
      </w:r>
    </w:p>
    <w:p w14:paraId="55BFA567" w14:textId="77777777" w:rsidR="00EC4613" w:rsidRDefault="00EC4613" w:rsidP="00EC4613">
      <w:pPr>
        <w:pStyle w:val="Nivel3SM"/>
      </w:pPr>
      <w:r>
        <w:t xml:space="preserve">Estos indicadores </w:t>
      </w:r>
      <w:r w:rsidRPr="00F45155">
        <w:rPr>
          <w:u w:val="single"/>
        </w:rPr>
        <w:t>ofrecen además información sobre las operaciones financieras del sector público</w:t>
      </w:r>
      <w:r>
        <w:t xml:space="preserve"> (a diferencia de los indicadores de gastos e ingresos) y por ello suelen presentarse como un complemento a los indicadores de tamaño.</w:t>
      </w:r>
    </w:p>
    <w:p w14:paraId="34395528" w14:textId="77777777" w:rsidR="00EC4613" w:rsidRPr="00307366" w:rsidRDefault="00EC4613">
      <w:pPr>
        <w:pStyle w:val="Prrafodelista"/>
        <w:keepNext/>
        <w:numPr>
          <w:ilvl w:val="0"/>
          <w:numId w:val="11"/>
        </w:numPr>
        <w:spacing w:after="0"/>
        <w:ind w:left="0" w:hanging="284"/>
        <w:rPr>
          <w:u w:val="single"/>
        </w:rPr>
      </w:pPr>
      <w:r w:rsidRPr="00307366">
        <w:rPr>
          <w:u w:val="single"/>
        </w:rPr>
        <w:lastRenderedPageBreak/>
        <w:t>Déficit Público</w:t>
      </w:r>
    </w:p>
    <w:p w14:paraId="1684B939" w14:textId="77777777" w:rsidR="00EC4613" w:rsidRPr="00914D37" w:rsidRDefault="00EC4613" w:rsidP="00EC4613">
      <w:pPr>
        <w:keepNext/>
        <w:spacing w:after="0"/>
        <w:jc w:val="center"/>
        <w:rPr>
          <w:i/>
          <w:iCs/>
        </w:rPr>
      </w:pPr>
      <w:r w:rsidRPr="00914D37">
        <w:rPr>
          <w:i/>
          <w:iCs/>
        </w:rPr>
        <w:t>(Déficit público / PIB)·100</w:t>
      </w:r>
    </w:p>
    <w:p w14:paraId="7CC28370" w14:textId="77777777" w:rsidR="00EC4613" w:rsidRDefault="00EC4613" w:rsidP="00EC4613">
      <w:pPr>
        <w:pStyle w:val="Nivel2SM"/>
        <w:keepNext/>
        <w:spacing w:after="0"/>
      </w:pPr>
      <w:r>
        <w:t>Un déficit público refleja que las AAPP están viviendo por encima de sus capacidades actuales, pero esto no será un problema siempre que el déficit se emplee en actividades que permitan registrar un mayor crecimiento de la renta en el futuro (“regla de oro”).</w:t>
      </w:r>
    </w:p>
    <w:p w14:paraId="4D3967AF" w14:textId="77777777" w:rsidR="00EC4613" w:rsidRDefault="00EC4613" w:rsidP="00EC4613">
      <w:pPr>
        <w:pStyle w:val="Nivel3SM"/>
      </w:pPr>
      <w:r>
        <w:t>En 2018, España registró un déficit del 2,5 %.</w:t>
      </w:r>
    </w:p>
    <w:p w14:paraId="2E4B7220" w14:textId="77777777" w:rsidR="00EC4613" w:rsidRPr="00885352" w:rsidRDefault="00EC4613" w:rsidP="00EC4613">
      <w:pPr>
        <w:pStyle w:val="Nivel3SM"/>
      </w:pPr>
      <w:r>
        <w:t>La media europea se sitúa, en el 1 %.</w:t>
      </w:r>
    </w:p>
    <w:p w14:paraId="1F660F64" w14:textId="77777777" w:rsidR="00EC4613" w:rsidRDefault="00EC4613">
      <w:pPr>
        <w:pStyle w:val="Prrafodelista"/>
        <w:keepNext/>
        <w:numPr>
          <w:ilvl w:val="0"/>
          <w:numId w:val="11"/>
        </w:numPr>
        <w:spacing w:after="0"/>
        <w:ind w:left="0" w:hanging="284"/>
      </w:pPr>
      <w:r w:rsidRPr="00307366">
        <w:rPr>
          <w:u w:val="single"/>
        </w:rPr>
        <w:t>Deuda pública</w:t>
      </w:r>
    </w:p>
    <w:p w14:paraId="29693A09" w14:textId="77777777" w:rsidR="00EC4613" w:rsidRPr="008E0E0F" w:rsidRDefault="00EC4613" w:rsidP="00EC4613">
      <w:pPr>
        <w:keepNext/>
        <w:spacing w:after="0"/>
        <w:jc w:val="center"/>
        <w:rPr>
          <w:i/>
          <w:iCs/>
        </w:rPr>
      </w:pPr>
      <w:r w:rsidRPr="008E0E0F">
        <w:rPr>
          <w:i/>
          <w:iCs/>
        </w:rPr>
        <w:t>(Deuda pública / PIB)·100</w:t>
      </w:r>
    </w:p>
    <w:p w14:paraId="44E4226B" w14:textId="77777777" w:rsidR="00EC4613" w:rsidRDefault="00EC4613" w:rsidP="00EC4613">
      <w:pPr>
        <w:pStyle w:val="Nivel2SM"/>
        <w:keepNext/>
        <w:spacing w:after="0"/>
      </w:pPr>
      <w:r>
        <w:t>El déficit público es una variable flujo que se transforma en deuda (variable stock).</w:t>
      </w:r>
    </w:p>
    <w:p w14:paraId="7F0930B8" w14:textId="77777777" w:rsidR="00EC4613" w:rsidRDefault="00EC4613" w:rsidP="00EC4613">
      <w:pPr>
        <w:pStyle w:val="Nivel3SM"/>
      </w:pPr>
      <w:r>
        <w:t>La deuda pública puede permitir que un país vea incrementarse su bienestar a largo plazo, pero también puede ocurrir lo contrario si la deuda pública alcanza niveles insostenibles.</w:t>
      </w:r>
    </w:p>
    <w:p w14:paraId="1E9EF87C" w14:textId="77777777" w:rsidR="00EC4613" w:rsidRDefault="00EC4613" w:rsidP="00EC4613">
      <w:pPr>
        <w:pStyle w:val="Nivel3SM"/>
      </w:pPr>
      <w:r>
        <w:t>En 2018, España registró un nivel de deuda del 97 %.</w:t>
      </w:r>
    </w:p>
    <w:p w14:paraId="53AF676A" w14:textId="77777777" w:rsidR="00EC4613" w:rsidRPr="00885352" w:rsidRDefault="00EC4613" w:rsidP="00EC4613">
      <w:pPr>
        <w:pStyle w:val="Nivel3SM"/>
      </w:pPr>
      <w:r>
        <w:t>La media europea se sitúa en el 82 %.</w:t>
      </w:r>
      <w:bookmarkEnd w:id="113"/>
    </w:p>
    <w:p w14:paraId="0C954093" w14:textId="77777777" w:rsidR="00A762AF" w:rsidRDefault="00A762AF" w:rsidP="00A762AF">
      <w:pPr>
        <w:pStyle w:val="Ttulo3"/>
      </w:pPr>
      <w:bookmarkStart w:id="114" w:name="_Toc151113626"/>
      <w:r>
        <w:t>Deuda pública</w:t>
      </w:r>
      <w:bookmarkEnd w:id="114"/>
    </w:p>
    <w:p w14:paraId="08C6E10B" w14:textId="77777777" w:rsidR="00244CDC" w:rsidRPr="00244CDC" w:rsidRDefault="00244CDC" w:rsidP="003029A5">
      <w:pPr>
        <w:pStyle w:val="Nivel2SM"/>
      </w:pPr>
    </w:p>
    <w:p w14:paraId="352BB8EB" w14:textId="77777777" w:rsidR="0061540F" w:rsidRDefault="0061540F" w:rsidP="0061540F">
      <w:pPr>
        <w:pStyle w:val="Ttulo3"/>
      </w:pPr>
      <w:bookmarkStart w:id="115" w:name="_Toc151113627"/>
      <w:r>
        <w:lastRenderedPageBreak/>
        <w:t>Niveles de descentralización</w:t>
      </w:r>
      <w:bookmarkEnd w:id="115"/>
    </w:p>
    <w:p w14:paraId="210A43EF" w14:textId="66EE3CF8" w:rsidR="0061540F" w:rsidRDefault="0061540F" w:rsidP="0061540F">
      <w:pPr>
        <w:pStyle w:val="Ttuloimagen"/>
        <w:rPr>
          <w:i/>
          <w:iCs/>
          <w:smallCaps w:val="0"/>
        </w:rPr>
      </w:pPr>
      <w:r>
        <w:t>Imagen </w:t>
      </w:r>
      <w:r>
        <w:fldChar w:fldCharType="begin"/>
      </w:r>
      <w:r>
        <w:instrText xml:space="preserve"> SEQ Ilustración \* ARABIC </w:instrText>
      </w:r>
      <w:r>
        <w:fldChar w:fldCharType="separate"/>
      </w:r>
      <w:r w:rsidR="0021538E">
        <w:t>11</w:t>
      </w:r>
      <w:r>
        <w:fldChar w:fldCharType="end"/>
      </w:r>
      <w:r>
        <w:rPr>
          <w:smallCaps w:val="0"/>
        </w:rPr>
        <w:t xml:space="preserve">.– </w:t>
      </w:r>
      <w:r>
        <w:rPr>
          <w:i/>
          <w:iCs/>
          <w:smallCaps w:val="0"/>
        </w:rPr>
        <w:t>Comparación internacional del peso del sector público en la economía</w:t>
      </w:r>
    </w:p>
    <w:tbl>
      <w:tblPr>
        <w:tblStyle w:val="Tablaconcuadrcula"/>
        <w:tblW w:w="9067" w:type="dxa"/>
        <w:jc w:val="center"/>
        <w:tblLook w:val="04A0" w:firstRow="1" w:lastRow="0" w:firstColumn="1" w:lastColumn="0" w:noHBand="0" w:noVBand="1"/>
      </w:tblPr>
      <w:tblGrid>
        <w:gridCol w:w="2263"/>
        <w:gridCol w:w="1134"/>
        <w:gridCol w:w="1134"/>
        <w:gridCol w:w="1134"/>
        <w:gridCol w:w="1134"/>
        <w:gridCol w:w="1134"/>
        <w:gridCol w:w="1134"/>
      </w:tblGrid>
      <w:tr w:rsidR="00244CDC" w14:paraId="6793634B" w14:textId="77777777" w:rsidTr="00244CDC">
        <w:trPr>
          <w:jc w:val="center"/>
        </w:trPr>
        <w:tc>
          <w:tcPr>
            <w:tcW w:w="9067" w:type="dxa"/>
            <w:gridSpan w:val="7"/>
            <w:tcBorders>
              <w:top w:val="nil"/>
              <w:left w:val="nil"/>
              <w:bottom w:val="nil"/>
              <w:right w:val="nil"/>
            </w:tcBorders>
            <w:vAlign w:val="center"/>
          </w:tcPr>
          <w:p w14:paraId="3F88362E" w14:textId="01E15702" w:rsidR="00244CDC" w:rsidRPr="00244CDC" w:rsidRDefault="00244CDC" w:rsidP="00244CDC">
            <w:pPr>
              <w:keepNext/>
              <w:spacing w:after="0"/>
              <w:jc w:val="center"/>
              <w:rPr>
                <w:i/>
                <w:iCs/>
                <w:lang w:val="es-ES"/>
              </w:rPr>
            </w:pPr>
            <w:r w:rsidRPr="00244CDC">
              <w:rPr>
                <w:i/>
                <w:iCs/>
                <w:lang w:val="es-ES"/>
              </w:rPr>
              <w:t>Distribución de l</w:t>
            </w:r>
            <w:r>
              <w:rPr>
                <w:i/>
                <w:iCs/>
                <w:lang w:val="es-ES"/>
              </w:rPr>
              <w:t>os</w:t>
            </w:r>
            <w:r w:rsidRPr="00244CDC">
              <w:rPr>
                <w:i/>
                <w:iCs/>
                <w:lang w:val="es-ES"/>
              </w:rPr>
              <w:t xml:space="preserve"> gasto</w:t>
            </w:r>
            <w:r>
              <w:rPr>
                <w:i/>
                <w:iCs/>
                <w:lang w:val="es-ES"/>
              </w:rPr>
              <w:t>s</w:t>
            </w:r>
            <w:r w:rsidRPr="00244CDC">
              <w:rPr>
                <w:i/>
                <w:iCs/>
                <w:lang w:val="es-ES"/>
              </w:rPr>
              <w:t xml:space="preserve"> público</w:t>
            </w:r>
            <w:r>
              <w:rPr>
                <w:i/>
                <w:iCs/>
                <w:lang w:val="es-ES"/>
              </w:rPr>
              <w:t>s</w:t>
            </w:r>
          </w:p>
        </w:tc>
      </w:tr>
      <w:tr w:rsidR="00244CDC" w14:paraId="2E0B6FD3" w14:textId="77777777" w:rsidTr="00244CDC">
        <w:trPr>
          <w:jc w:val="center"/>
        </w:trPr>
        <w:tc>
          <w:tcPr>
            <w:tcW w:w="2263" w:type="dxa"/>
            <w:tcBorders>
              <w:top w:val="nil"/>
              <w:left w:val="nil"/>
            </w:tcBorders>
            <w:vAlign w:val="center"/>
          </w:tcPr>
          <w:p w14:paraId="1BFA8F37" w14:textId="77777777" w:rsidR="00244CDC" w:rsidRPr="00244CDC" w:rsidRDefault="00244CDC" w:rsidP="00244CDC">
            <w:pPr>
              <w:keepNext/>
              <w:spacing w:after="0"/>
              <w:jc w:val="left"/>
              <w:rPr>
                <w:lang w:val="es-ES"/>
              </w:rPr>
            </w:pPr>
          </w:p>
        </w:tc>
        <w:tc>
          <w:tcPr>
            <w:tcW w:w="2268" w:type="dxa"/>
            <w:gridSpan w:val="2"/>
            <w:tcBorders>
              <w:top w:val="single" w:sz="4" w:space="0" w:color="auto"/>
            </w:tcBorders>
            <w:vAlign w:val="center"/>
          </w:tcPr>
          <w:p w14:paraId="7654F862" w14:textId="77777777" w:rsidR="00244CDC" w:rsidRPr="00244CDC" w:rsidRDefault="00244CDC" w:rsidP="00244CDC">
            <w:pPr>
              <w:keepNext/>
              <w:spacing w:after="0"/>
              <w:jc w:val="center"/>
              <w:rPr>
                <w:i/>
                <w:iCs/>
              </w:rPr>
            </w:pPr>
            <w:r w:rsidRPr="00244CDC">
              <w:rPr>
                <w:i/>
                <w:iCs/>
              </w:rPr>
              <w:t>España (2022)</w:t>
            </w:r>
          </w:p>
        </w:tc>
        <w:tc>
          <w:tcPr>
            <w:tcW w:w="2268" w:type="dxa"/>
            <w:gridSpan w:val="2"/>
            <w:tcBorders>
              <w:top w:val="single" w:sz="4" w:space="0" w:color="auto"/>
            </w:tcBorders>
            <w:vAlign w:val="center"/>
          </w:tcPr>
          <w:p w14:paraId="34C9CBC7" w14:textId="77777777" w:rsidR="00244CDC" w:rsidRPr="00244CDC" w:rsidRDefault="00244CDC" w:rsidP="00244CDC">
            <w:pPr>
              <w:keepNext/>
              <w:spacing w:after="0"/>
              <w:jc w:val="center"/>
              <w:rPr>
                <w:i/>
                <w:iCs/>
              </w:rPr>
            </w:pPr>
            <w:r w:rsidRPr="00244CDC">
              <w:rPr>
                <w:i/>
                <w:iCs/>
              </w:rPr>
              <w:t>UE (2022)</w:t>
            </w:r>
          </w:p>
        </w:tc>
        <w:tc>
          <w:tcPr>
            <w:tcW w:w="2268" w:type="dxa"/>
            <w:gridSpan w:val="2"/>
            <w:tcBorders>
              <w:top w:val="single" w:sz="4" w:space="0" w:color="auto"/>
            </w:tcBorders>
            <w:vAlign w:val="center"/>
          </w:tcPr>
          <w:p w14:paraId="3C9B54A7" w14:textId="77777777" w:rsidR="00244CDC" w:rsidRPr="00244CDC" w:rsidRDefault="00244CDC" w:rsidP="00244CDC">
            <w:pPr>
              <w:keepNext/>
              <w:spacing w:after="0"/>
              <w:jc w:val="center"/>
              <w:rPr>
                <w:i/>
                <w:iCs/>
              </w:rPr>
            </w:pPr>
            <w:r w:rsidRPr="00244CDC">
              <w:rPr>
                <w:i/>
                <w:iCs/>
              </w:rPr>
              <w:t>OCDE (2021)</w:t>
            </w:r>
          </w:p>
        </w:tc>
      </w:tr>
      <w:tr w:rsidR="00244CDC" w14:paraId="14A10D07" w14:textId="77777777" w:rsidTr="00E9757D">
        <w:trPr>
          <w:jc w:val="center"/>
        </w:trPr>
        <w:tc>
          <w:tcPr>
            <w:tcW w:w="2263" w:type="dxa"/>
            <w:vAlign w:val="center"/>
          </w:tcPr>
          <w:p w14:paraId="07CDAD60" w14:textId="77777777" w:rsidR="00244CDC" w:rsidRPr="00244CDC" w:rsidRDefault="00244CDC" w:rsidP="00244CDC">
            <w:pPr>
              <w:keepNext/>
              <w:spacing w:after="0"/>
              <w:jc w:val="left"/>
              <w:rPr>
                <w:i/>
                <w:iCs/>
              </w:rPr>
            </w:pPr>
            <w:r w:rsidRPr="00244CDC">
              <w:rPr>
                <w:i/>
                <w:iCs/>
              </w:rPr>
              <w:t>Central government</w:t>
            </w:r>
          </w:p>
        </w:tc>
        <w:tc>
          <w:tcPr>
            <w:tcW w:w="1134" w:type="dxa"/>
            <w:vAlign w:val="center"/>
          </w:tcPr>
          <w:p w14:paraId="7880E66E" w14:textId="77777777" w:rsidR="00244CDC" w:rsidRDefault="00244CDC" w:rsidP="00244CDC">
            <w:pPr>
              <w:keepNext/>
              <w:spacing w:after="0"/>
              <w:jc w:val="center"/>
            </w:pPr>
            <w:r>
              <w:t>24,1 %</w:t>
            </w:r>
          </w:p>
        </w:tc>
        <w:tc>
          <w:tcPr>
            <w:tcW w:w="1134" w:type="dxa"/>
            <w:vMerge w:val="restart"/>
            <w:vAlign w:val="center"/>
          </w:tcPr>
          <w:p w14:paraId="041510C3" w14:textId="77777777" w:rsidR="00244CDC" w:rsidRDefault="00244CDC" w:rsidP="00244CDC">
            <w:pPr>
              <w:keepNext/>
              <w:spacing w:after="0"/>
              <w:jc w:val="center"/>
            </w:pPr>
            <w:r>
              <w:t>56,7 %</w:t>
            </w:r>
          </w:p>
        </w:tc>
        <w:tc>
          <w:tcPr>
            <w:tcW w:w="1134" w:type="dxa"/>
            <w:vAlign w:val="center"/>
          </w:tcPr>
          <w:p w14:paraId="3730B3A0" w14:textId="77777777" w:rsidR="00244CDC" w:rsidRDefault="00244CDC" w:rsidP="00244CDC">
            <w:pPr>
              <w:keepNext/>
              <w:spacing w:after="0"/>
              <w:jc w:val="center"/>
            </w:pPr>
            <w:r>
              <w:t>33,8 %</w:t>
            </w:r>
          </w:p>
        </w:tc>
        <w:tc>
          <w:tcPr>
            <w:tcW w:w="1134" w:type="dxa"/>
            <w:vMerge w:val="restart"/>
            <w:vAlign w:val="center"/>
          </w:tcPr>
          <w:p w14:paraId="6267D019" w14:textId="77777777" w:rsidR="00244CDC" w:rsidRDefault="00244CDC" w:rsidP="00244CDC">
            <w:pPr>
              <w:keepNext/>
              <w:spacing w:after="0"/>
              <w:jc w:val="center"/>
            </w:pPr>
            <w:r>
              <w:t>69,1 %</w:t>
            </w:r>
          </w:p>
        </w:tc>
        <w:tc>
          <w:tcPr>
            <w:tcW w:w="1134" w:type="dxa"/>
            <w:vAlign w:val="center"/>
          </w:tcPr>
          <w:p w14:paraId="43A73A28" w14:textId="77777777" w:rsidR="00244CDC" w:rsidRDefault="00244CDC" w:rsidP="00244CDC">
            <w:pPr>
              <w:keepNext/>
              <w:spacing w:after="0"/>
              <w:jc w:val="center"/>
            </w:pPr>
            <w:r>
              <w:t>45,5 %</w:t>
            </w:r>
          </w:p>
        </w:tc>
        <w:tc>
          <w:tcPr>
            <w:tcW w:w="1134" w:type="dxa"/>
            <w:vMerge w:val="restart"/>
            <w:vAlign w:val="center"/>
          </w:tcPr>
          <w:p w14:paraId="016ED9AA" w14:textId="77777777" w:rsidR="00244CDC" w:rsidRDefault="00244CDC" w:rsidP="00244CDC">
            <w:pPr>
              <w:keepNext/>
              <w:spacing w:after="0"/>
              <w:jc w:val="center"/>
            </w:pPr>
            <w:r>
              <w:t>64,2 %</w:t>
            </w:r>
          </w:p>
        </w:tc>
      </w:tr>
      <w:tr w:rsidR="00244CDC" w14:paraId="46AF69E5" w14:textId="77777777" w:rsidTr="00E9757D">
        <w:trPr>
          <w:jc w:val="center"/>
        </w:trPr>
        <w:tc>
          <w:tcPr>
            <w:tcW w:w="2263" w:type="dxa"/>
            <w:vAlign w:val="center"/>
          </w:tcPr>
          <w:p w14:paraId="017D76DA" w14:textId="77777777" w:rsidR="00244CDC" w:rsidRPr="00244CDC" w:rsidRDefault="00244CDC" w:rsidP="00244CDC">
            <w:pPr>
              <w:keepNext/>
              <w:spacing w:after="0"/>
              <w:jc w:val="left"/>
              <w:rPr>
                <w:i/>
                <w:iCs/>
              </w:rPr>
            </w:pPr>
            <w:r w:rsidRPr="00244CDC">
              <w:rPr>
                <w:i/>
                <w:iCs/>
              </w:rPr>
              <w:t>Social security funds</w:t>
            </w:r>
          </w:p>
        </w:tc>
        <w:tc>
          <w:tcPr>
            <w:tcW w:w="1134" w:type="dxa"/>
            <w:vAlign w:val="center"/>
          </w:tcPr>
          <w:p w14:paraId="454535BD" w14:textId="77777777" w:rsidR="00244CDC" w:rsidRDefault="00244CDC" w:rsidP="00244CDC">
            <w:pPr>
              <w:keepNext/>
              <w:spacing w:after="0"/>
              <w:jc w:val="center"/>
            </w:pPr>
            <w:r>
              <w:t>32,6 %</w:t>
            </w:r>
          </w:p>
        </w:tc>
        <w:tc>
          <w:tcPr>
            <w:tcW w:w="1134" w:type="dxa"/>
            <w:vMerge/>
            <w:vAlign w:val="center"/>
          </w:tcPr>
          <w:p w14:paraId="0B2B8020" w14:textId="77777777" w:rsidR="00244CDC" w:rsidRDefault="00244CDC" w:rsidP="00244CDC">
            <w:pPr>
              <w:keepNext/>
              <w:spacing w:after="0"/>
              <w:jc w:val="center"/>
            </w:pPr>
          </w:p>
        </w:tc>
        <w:tc>
          <w:tcPr>
            <w:tcW w:w="1134" w:type="dxa"/>
            <w:vAlign w:val="center"/>
          </w:tcPr>
          <w:p w14:paraId="1EDEF48A" w14:textId="77777777" w:rsidR="00244CDC" w:rsidRDefault="00244CDC" w:rsidP="00244CDC">
            <w:pPr>
              <w:keepNext/>
              <w:spacing w:after="0"/>
              <w:jc w:val="center"/>
            </w:pPr>
            <w:r>
              <w:t>35,3 %</w:t>
            </w:r>
          </w:p>
        </w:tc>
        <w:tc>
          <w:tcPr>
            <w:tcW w:w="1134" w:type="dxa"/>
            <w:vMerge/>
            <w:vAlign w:val="center"/>
          </w:tcPr>
          <w:p w14:paraId="6A580C5A" w14:textId="77777777" w:rsidR="00244CDC" w:rsidRDefault="00244CDC" w:rsidP="00244CDC">
            <w:pPr>
              <w:keepNext/>
              <w:spacing w:after="0"/>
              <w:jc w:val="center"/>
            </w:pPr>
          </w:p>
        </w:tc>
        <w:tc>
          <w:tcPr>
            <w:tcW w:w="1134" w:type="dxa"/>
            <w:vAlign w:val="center"/>
          </w:tcPr>
          <w:p w14:paraId="4EDEB7B4" w14:textId="77777777" w:rsidR="00244CDC" w:rsidRDefault="00244CDC" w:rsidP="00244CDC">
            <w:pPr>
              <w:keepNext/>
              <w:spacing w:after="0"/>
              <w:jc w:val="center"/>
            </w:pPr>
            <w:r>
              <w:t>18,7 %</w:t>
            </w:r>
          </w:p>
        </w:tc>
        <w:tc>
          <w:tcPr>
            <w:tcW w:w="1134" w:type="dxa"/>
            <w:vMerge/>
            <w:vAlign w:val="center"/>
          </w:tcPr>
          <w:p w14:paraId="513A5A84" w14:textId="77777777" w:rsidR="00244CDC" w:rsidRDefault="00244CDC" w:rsidP="00244CDC">
            <w:pPr>
              <w:keepNext/>
              <w:spacing w:after="0"/>
              <w:jc w:val="center"/>
            </w:pPr>
          </w:p>
        </w:tc>
      </w:tr>
      <w:tr w:rsidR="00244CDC" w14:paraId="1AA18D74" w14:textId="77777777" w:rsidTr="00E9757D">
        <w:trPr>
          <w:jc w:val="center"/>
        </w:trPr>
        <w:tc>
          <w:tcPr>
            <w:tcW w:w="2263" w:type="dxa"/>
            <w:vAlign w:val="center"/>
          </w:tcPr>
          <w:p w14:paraId="527E5E44" w14:textId="77777777" w:rsidR="00244CDC" w:rsidRPr="00244CDC" w:rsidRDefault="00244CDC" w:rsidP="00244CDC">
            <w:pPr>
              <w:keepNext/>
              <w:spacing w:after="0"/>
              <w:jc w:val="left"/>
              <w:rPr>
                <w:i/>
                <w:iCs/>
              </w:rPr>
            </w:pPr>
            <w:r w:rsidRPr="00244CDC">
              <w:rPr>
                <w:i/>
                <w:iCs/>
              </w:rPr>
              <w:t>State government</w:t>
            </w:r>
          </w:p>
        </w:tc>
        <w:tc>
          <w:tcPr>
            <w:tcW w:w="1134" w:type="dxa"/>
            <w:vAlign w:val="center"/>
          </w:tcPr>
          <w:p w14:paraId="54F33C01" w14:textId="77777777" w:rsidR="00244CDC" w:rsidRDefault="00244CDC" w:rsidP="00244CDC">
            <w:pPr>
              <w:keepNext/>
              <w:spacing w:after="0"/>
              <w:jc w:val="center"/>
            </w:pPr>
            <w:r>
              <w:t>31,9 %</w:t>
            </w:r>
          </w:p>
        </w:tc>
        <w:tc>
          <w:tcPr>
            <w:tcW w:w="1134" w:type="dxa"/>
            <w:vMerge w:val="restart"/>
            <w:vAlign w:val="center"/>
          </w:tcPr>
          <w:p w14:paraId="1251E262" w14:textId="77777777" w:rsidR="00244CDC" w:rsidRDefault="00244CDC" w:rsidP="00244CDC">
            <w:pPr>
              <w:keepNext/>
              <w:spacing w:after="0"/>
              <w:jc w:val="center"/>
            </w:pPr>
            <w:r>
              <w:t>43,3 %</w:t>
            </w:r>
          </w:p>
        </w:tc>
        <w:tc>
          <w:tcPr>
            <w:tcW w:w="1134" w:type="dxa"/>
            <w:vAlign w:val="center"/>
          </w:tcPr>
          <w:p w14:paraId="6A669248" w14:textId="77777777" w:rsidR="00244CDC" w:rsidRDefault="00244CDC" w:rsidP="00244CDC">
            <w:pPr>
              <w:keepNext/>
              <w:spacing w:after="0"/>
              <w:jc w:val="center"/>
            </w:pPr>
            <w:r>
              <w:t>9,6 %</w:t>
            </w:r>
          </w:p>
        </w:tc>
        <w:tc>
          <w:tcPr>
            <w:tcW w:w="1134" w:type="dxa"/>
            <w:vMerge w:val="restart"/>
            <w:vAlign w:val="center"/>
          </w:tcPr>
          <w:p w14:paraId="7C06B556" w14:textId="77777777" w:rsidR="00244CDC" w:rsidRDefault="00244CDC" w:rsidP="00244CDC">
            <w:pPr>
              <w:keepNext/>
              <w:spacing w:after="0"/>
              <w:jc w:val="center"/>
            </w:pPr>
            <w:r>
              <w:t>30,9 %</w:t>
            </w:r>
          </w:p>
        </w:tc>
        <w:tc>
          <w:tcPr>
            <w:tcW w:w="1134" w:type="dxa"/>
            <w:vAlign w:val="center"/>
          </w:tcPr>
          <w:p w14:paraId="286794A3" w14:textId="77777777" w:rsidR="00244CDC" w:rsidRDefault="00244CDC" w:rsidP="00244CDC">
            <w:pPr>
              <w:keepNext/>
              <w:spacing w:after="0"/>
              <w:jc w:val="center"/>
            </w:pPr>
            <w:r>
              <w:t>21,5 %</w:t>
            </w:r>
          </w:p>
        </w:tc>
        <w:tc>
          <w:tcPr>
            <w:tcW w:w="1134" w:type="dxa"/>
            <w:vMerge w:val="restart"/>
            <w:vAlign w:val="center"/>
          </w:tcPr>
          <w:p w14:paraId="28BDF660" w14:textId="77777777" w:rsidR="00244CDC" w:rsidRDefault="00244CDC" w:rsidP="00244CDC">
            <w:pPr>
              <w:keepNext/>
              <w:spacing w:after="0"/>
              <w:jc w:val="center"/>
            </w:pPr>
            <w:r>
              <w:t>35,8 %</w:t>
            </w:r>
          </w:p>
        </w:tc>
      </w:tr>
      <w:tr w:rsidR="00244CDC" w14:paraId="293437B5" w14:textId="77777777" w:rsidTr="00E9757D">
        <w:trPr>
          <w:jc w:val="center"/>
        </w:trPr>
        <w:tc>
          <w:tcPr>
            <w:tcW w:w="2263" w:type="dxa"/>
            <w:vAlign w:val="center"/>
          </w:tcPr>
          <w:p w14:paraId="42BC670B" w14:textId="77777777" w:rsidR="00244CDC" w:rsidRPr="00244CDC" w:rsidRDefault="00244CDC" w:rsidP="00244CDC">
            <w:pPr>
              <w:keepNext/>
              <w:spacing w:after="0"/>
              <w:jc w:val="left"/>
              <w:rPr>
                <w:i/>
                <w:iCs/>
              </w:rPr>
            </w:pPr>
            <w:r w:rsidRPr="00244CDC">
              <w:rPr>
                <w:i/>
                <w:iCs/>
              </w:rPr>
              <w:t>Local government</w:t>
            </w:r>
          </w:p>
        </w:tc>
        <w:tc>
          <w:tcPr>
            <w:tcW w:w="1134" w:type="dxa"/>
            <w:vAlign w:val="center"/>
          </w:tcPr>
          <w:p w14:paraId="50C9EAE9" w14:textId="77777777" w:rsidR="00244CDC" w:rsidRDefault="00244CDC" w:rsidP="00244CDC">
            <w:pPr>
              <w:keepNext/>
              <w:spacing w:after="0"/>
              <w:jc w:val="center"/>
            </w:pPr>
            <w:r>
              <w:t>11,3 %</w:t>
            </w:r>
          </w:p>
        </w:tc>
        <w:tc>
          <w:tcPr>
            <w:tcW w:w="1134" w:type="dxa"/>
            <w:vMerge/>
          </w:tcPr>
          <w:p w14:paraId="6D45C548" w14:textId="77777777" w:rsidR="00244CDC" w:rsidRDefault="00244CDC" w:rsidP="00244CDC">
            <w:pPr>
              <w:keepNext/>
              <w:spacing w:after="0"/>
              <w:jc w:val="center"/>
            </w:pPr>
          </w:p>
        </w:tc>
        <w:tc>
          <w:tcPr>
            <w:tcW w:w="1134" w:type="dxa"/>
            <w:vAlign w:val="center"/>
          </w:tcPr>
          <w:p w14:paraId="28AE56CA" w14:textId="77777777" w:rsidR="00244CDC" w:rsidRDefault="00244CDC" w:rsidP="00244CDC">
            <w:pPr>
              <w:keepNext/>
              <w:spacing w:after="0"/>
              <w:jc w:val="center"/>
            </w:pPr>
            <w:r>
              <w:t>21,2 %</w:t>
            </w:r>
          </w:p>
        </w:tc>
        <w:tc>
          <w:tcPr>
            <w:tcW w:w="1134" w:type="dxa"/>
            <w:vMerge/>
          </w:tcPr>
          <w:p w14:paraId="43445222" w14:textId="77777777" w:rsidR="00244CDC" w:rsidRDefault="00244CDC" w:rsidP="00244CDC">
            <w:pPr>
              <w:keepNext/>
              <w:spacing w:after="0"/>
              <w:jc w:val="center"/>
            </w:pPr>
          </w:p>
        </w:tc>
        <w:tc>
          <w:tcPr>
            <w:tcW w:w="1134" w:type="dxa"/>
            <w:vAlign w:val="center"/>
          </w:tcPr>
          <w:p w14:paraId="2F0FB885" w14:textId="77777777" w:rsidR="00244CDC" w:rsidRDefault="00244CDC" w:rsidP="00244CDC">
            <w:pPr>
              <w:keepNext/>
              <w:spacing w:after="0"/>
              <w:jc w:val="center"/>
            </w:pPr>
            <w:r>
              <w:t>14,3 %</w:t>
            </w:r>
          </w:p>
        </w:tc>
        <w:tc>
          <w:tcPr>
            <w:tcW w:w="1134" w:type="dxa"/>
            <w:vMerge/>
          </w:tcPr>
          <w:p w14:paraId="09269BD0" w14:textId="77777777" w:rsidR="00244CDC" w:rsidRDefault="00244CDC" w:rsidP="00244CDC">
            <w:pPr>
              <w:keepNext/>
              <w:spacing w:after="0"/>
              <w:jc w:val="center"/>
            </w:pPr>
          </w:p>
        </w:tc>
      </w:tr>
    </w:tbl>
    <w:p w14:paraId="309C2E4B" w14:textId="77777777" w:rsidR="00244CDC" w:rsidRDefault="0061540F" w:rsidP="0061540F">
      <w:pPr>
        <w:pStyle w:val="Imagen"/>
        <w:rPr>
          <w:lang w:val="en-US"/>
        </w:rPr>
      </w:pPr>
      <w:r w:rsidRPr="00ED71B5">
        <w:drawing>
          <wp:inline distT="0" distB="0" distL="0" distR="0" wp14:anchorId="44C56EE9" wp14:editId="653CCBB7">
            <wp:extent cx="3996000" cy="2298088"/>
            <wp:effectExtent l="0" t="0" r="5080" b="6985"/>
            <wp:docPr id="1326967940" name="Imagen 1"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67940" name="Imagen 1" descr="Gráfico, Gráfico de barras&#10;&#10;Descripción generada automáticamente"/>
                    <pic:cNvPicPr/>
                  </pic:nvPicPr>
                  <pic:blipFill rotWithShape="1">
                    <a:blip r:embed="rId51"/>
                    <a:srcRect l="2702" r="-1"/>
                    <a:stretch/>
                  </pic:blipFill>
                  <pic:spPr bwMode="auto">
                    <a:xfrm>
                      <a:off x="0" y="0"/>
                      <a:ext cx="3996000" cy="2298088"/>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9067" w:type="dxa"/>
        <w:jc w:val="center"/>
        <w:tblLook w:val="04A0" w:firstRow="1" w:lastRow="0" w:firstColumn="1" w:lastColumn="0" w:noHBand="0" w:noVBand="1"/>
      </w:tblPr>
      <w:tblGrid>
        <w:gridCol w:w="2263"/>
        <w:gridCol w:w="1134"/>
        <w:gridCol w:w="1134"/>
        <w:gridCol w:w="1134"/>
        <w:gridCol w:w="1134"/>
        <w:gridCol w:w="1134"/>
        <w:gridCol w:w="1134"/>
      </w:tblGrid>
      <w:tr w:rsidR="00244CDC" w14:paraId="525F4617" w14:textId="77777777" w:rsidTr="00244CDC">
        <w:trPr>
          <w:jc w:val="center"/>
        </w:trPr>
        <w:tc>
          <w:tcPr>
            <w:tcW w:w="9067" w:type="dxa"/>
            <w:gridSpan w:val="7"/>
            <w:tcBorders>
              <w:top w:val="nil"/>
              <w:left w:val="nil"/>
              <w:bottom w:val="nil"/>
              <w:right w:val="nil"/>
            </w:tcBorders>
            <w:vAlign w:val="center"/>
          </w:tcPr>
          <w:p w14:paraId="5FA830A6" w14:textId="13DFB048" w:rsidR="00244CDC" w:rsidRPr="00244CDC" w:rsidRDefault="00244CDC" w:rsidP="00244CDC">
            <w:pPr>
              <w:keepNext/>
              <w:spacing w:after="0"/>
              <w:jc w:val="center"/>
              <w:rPr>
                <w:i/>
                <w:iCs/>
                <w:lang w:val="es-ES"/>
              </w:rPr>
            </w:pPr>
            <w:r w:rsidRPr="00244CDC">
              <w:rPr>
                <w:i/>
                <w:iCs/>
                <w:lang w:val="es-ES"/>
              </w:rPr>
              <w:t>Distribución de</w:t>
            </w:r>
            <w:r>
              <w:rPr>
                <w:i/>
                <w:iCs/>
                <w:lang w:val="es-ES"/>
              </w:rPr>
              <w:t xml:space="preserve"> </w:t>
            </w:r>
            <w:r w:rsidRPr="00244CDC">
              <w:rPr>
                <w:i/>
                <w:iCs/>
                <w:lang w:val="es-ES"/>
              </w:rPr>
              <w:t>l</w:t>
            </w:r>
            <w:r>
              <w:rPr>
                <w:i/>
                <w:iCs/>
                <w:lang w:val="es-ES"/>
              </w:rPr>
              <w:t>os</w:t>
            </w:r>
            <w:r w:rsidRPr="00244CDC">
              <w:rPr>
                <w:i/>
                <w:iCs/>
                <w:lang w:val="es-ES"/>
              </w:rPr>
              <w:t xml:space="preserve"> </w:t>
            </w:r>
            <w:r>
              <w:rPr>
                <w:i/>
                <w:iCs/>
                <w:lang w:val="es-ES"/>
              </w:rPr>
              <w:t>ingresos</w:t>
            </w:r>
            <w:r w:rsidRPr="00244CDC">
              <w:rPr>
                <w:i/>
                <w:iCs/>
                <w:lang w:val="es-ES"/>
              </w:rPr>
              <w:t xml:space="preserve"> público</w:t>
            </w:r>
            <w:r>
              <w:rPr>
                <w:i/>
                <w:iCs/>
                <w:lang w:val="es-ES"/>
              </w:rPr>
              <w:t>s</w:t>
            </w:r>
          </w:p>
        </w:tc>
      </w:tr>
      <w:tr w:rsidR="00244CDC" w14:paraId="1ED5B3C9" w14:textId="77777777" w:rsidTr="00244CDC">
        <w:trPr>
          <w:jc w:val="center"/>
        </w:trPr>
        <w:tc>
          <w:tcPr>
            <w:tcW w:w="2263" w:type="dxa"/>
            <w:tcBorders>
              <w:top w:val="nil"/>
              <w:left w:val="nil"/>
            </w:tcBorders>
            <w:vAlign w:val="center"/>
          </w:tcPr>
          <w:p w14:paraId="72A8C25E" w14:textId="77777777" w:rsidR="00244CDC" w:rsidRPr="00244CDC" w:rsidRDefault="00244CDC" w:rsidP="00244CDC">
            <w:pPr>
              <w:keepNext/>
              <w:spacing w:after="0"/>
              <w:jc w:val="left"/>
              <w:rPr>
                <w:lang w:val="es-ES"/>
              </w:rPr>
            </w:pPr>
          </w:p>
        </w:tc>
        <w:tc>
          <w:tcPr>
            <w:tcW w:w="2268" w:type="dxa"/>
            <w:gridSpan w:val="2"/>
            <w:tcBorders>
              <w:top w:val="single" w:sz="4" w:space="0" w:color="auto"/>
            </w:tcBorders>
            <w:vAlign w:val="center"/>
          </w:tcPr>
          <w:p w14:paraId="4F358928" w14:textId="77777777" w:rsidR="00244CDC" w:rsidRPr="00244CDC" w:rsidRDefault="00244CDC" w:rsidP="00244CDC">
            <w:pPr>
              <w:keepNext/>
              <w:spacing w:after="0"/>
              <w:jc w:val="center"/>
              <w:rPr>
                <w:i/>
                <w:iCs/>
              </w:rPr>
            </w:pPr>
            <w:r w:rsidRPr="00244CDC">
              <w:rPr>
                <w:i/>
                <w:iCs/>
              </w:rPr>
              <w:t>España (2022)</w:t>
            </w:r>
          </w:p>
        </w:tc>
        <w:tc>
          <w:tcPr>
            <w:tcW w:w="2268" w:type="dxa"/>
            <w:gridSpan w:val="2"/>
            <w:tcBorders>
              <w:top w:val="single" w:sz="4" w:space="0" w:color="auto"/>
            </w:tcBorders>
            <w:vAlign w:val="center"/>
          </w:tcPr>
          <w:p w14:paraId="53DBAADB" w14:textId="77777777" w:rsidR="00244CDC" w:rsidRPr="00244CDC" w:rsidRDefault="00244CDC" w:rsidP="00244CDC">
            <w:pPr>
              <w:keepNext/>
              <w:spacing w:after="0"/>
              <w:jc w:val="center"/>
              <w:rPr>
                <w:i/>
                <w:iCs/>
              </w:rPr>
            </w:pPr>
            <w:r w:rsidRPr="00244CDC">
              <w:rPr>
                <w:i/>
                <w:iCs/>
              </w:rPr>
              <w:t>UE (2022)</w:t>
            </w:r>
          </w:p>
        </w:tc>
        <w:tc>
          <w:tcPr>
            <w:tcW w:w="2268" w:type="dxa"/>
            <w:gridSpan w:val="2"/>
            <w:tcBorders>
              <w:top w:val="single" w:sz="4" w:space="0" w:color="auto"/>
            </w:tcBorders>
            <w:vAlign w:val="center"/>
          </w:tcPr>
          <w:p w14:paraId="2D367FE8" w14:textId="77777777" w:rsidR="00244CDC" w:rsidRPr="00244CDC" w:rsidRDefault="00244CDC" w:rsidP="00244CDC">
            <w:pPr>
              <w:keepNext/>
              <w:spacing w:after="0"/>
              <w:jc w:val="center"/>
              <w:rPr>
                <w:i/>
                <w:iCs/>
              </w:rPr>
            </w:pPr>
            <w:r w:rsidRPr="00244CDC">
              <w:rPr>
                <w:i/>
                <w:iCs/>
              </w:rPr>
              <w:t>OCDE (2021)</w:t>
            </w:r>
          </w:p>
        </w:tc>
      </w:tr>
      <w:tr w:rsidR="00244CDC" w14:paraId="219A98E9" w14:textId="77777777" w:rsidTr="00E9757D">
        <w:trPr>
          <w:jc w:val="center"/>
        </w:trPr>
        <w:tc>
          <w:tcPr>
            <w:tcW w:w="2263" w:type="dxa"/>
            <w:vAlign w:val="center"/>
          </w:tcPr>
          <w:p w14:paraId="075EEAF5" w14:textId="77777777" w:rsidR="00244CDC" w:rsidRPr="00244CDC" w:rsidRDefault="00244CDC" w:rsidP="00244CDC">
            <w:pPr>
              <w:keepNext/>
              <w:spacing w:after="0"/>
              <w:jc w:val="left"/>
              <w:rPr>
                <w:i/>
                <w:iCs/>
              </w:rPr>
            </w:pPr>
            <w:r w:rsidRPr="00244CDC">
              <w:rPr>
                <w:i/>
                <w:iCs/>
              </w:rPr>
              <w:t>Central government</w:t>
            </w:r>
          </w:p>
        </w:tc>
        <w:tc>
          <w:tcPr>
            <w:tcW w:w="1134" w:type="dxa"/>
            <w:vAlign w:val="center"/>
          </w:tcPr>
          <w:p w14:paraId="5F6870AD" w14:textId="3987026D" w:rsidR="00244CDC" w:rsidRDefault="00244CDC" w:rsidP="00244CDC">
            <w:pPr>
              <w:keepNext/>
              <w:spacing w:after="0"/>
              <w:jc w:val="center"/>
            </w:pPr>
            <w:r>
              <w:t>43,4 %</w:t>
            </w:r>
          </w:p>
        </w:tc>
        <w:tc>
          <w:tcPr>
            <w:tcW w:w="1134" w:type="dxa"/>
            <w:vMerge w:val="restart"/>
            <w:vAlign w:val="center"/>
          </w:tcPr>
          <w:p w14:paraId="44B7751D" w14:textId="20FC5C62" w:rsidR="00244CDC" w:rsidRDefault="00244CDC" w:rsidP="00244CDC">
            <w:pPr>
              <w:keepNext/>
              <w:spacing w:after="0"/>
              <w:jc w:val="center"/>
            </w:pPr>
            <w:r>
              <w:t>73,3 %</w:t>
            </w:r>
          </w:p>
        </w:tc>
        <w:tc>
          <w:tcPr>
            <w:tcW w:w="1134" w:type="dxa"/>
            <w:vAlign w:val="center"/>
          </w:tcPr>
          <w:p w14:paraId="4D14B253" w14:textId="426BEE59" w:rsidR="00244CDC" w:rsidRDefault="00244CDC" w:rsidP="00244CDC">
            <w:pPr>
              <w:keepNext/>
              <w:spacing w:after="0"/>
              <w:jc w:val="center"/>
            </w:pPr>
            <w:r>
              <w:t>46,0 %</w:t>
            </w:r>
          </w:p>
        </w:tc>
        <w:tc>
          <w:tcPr>
            <w:tcW w:w="1134" w:type="dxa"/>
            <w:vMerge w:val="restart"/>
            <w:vAlign w:val="center"/>
          </w:tcPr>
          <w:p w14:paraId="2E09FD5C" w14:textId="516D9498" w:rsidR="00244CDC" w:rsidRDefault="00244CDC" w:rsidP="00244CDC">
            <w:pPr>
              <w:keepNext/>
              <w:spacing w:after="0"/>
              <w:jc w:val="center"/>
            </w:pPr>
            <w:r>
              <w:t>78,3 %</w:t>
            </w:r>
          </w:p>
        </w:tc>
        <w:tc>
          <w:tcPr>
            <w:tcW w:w="1134" w:type="dxa"/>
            <w:vAlign w:val="center"/>
          </w:tcPr>
          <w:p w14:paraId="504978C7" w14:textId="0D27836D" w:rsidR="00244CDC" w:rsidRDefault="00244CDC" w:rsidP="00244CDC">
            <w:pPr>
              <w:keepNext/>
              <w:spacing w:after="0"/>
              <w:jc w:val="center"/>
            </w:pPr>
            <w:r>
              <w:t>52,6 %</w:t>
            </w:r>
          </w:p>
        </w:tc>
        <w:tc>
          <w:tcPr>
            <w:tcW w:w="1134" w:type="dxa"/>
            <w:vMerge w:val="restart"/>
            <w:vAlign w:val="center"/>
          </w:tcPr>
          <w:p w14:paraId="2DAB59A3" w14:textId="7A3438B7" w:rsidR="00244CDC" w:rsidRDefault="00244CDC" w:rsidP="00244CDC">
            <w:pPr>
              <w:keepNext/>
              <w:spacing w:after="0"/>
              <w:jc w:val="center"/>
            </w:pPr>
            <w:r>
              <w:t>60,3 %</w:t>
            </w:r>
          </w:p>
        </w:tc>
      </w:tr>
      <w:tr w:rsidR="00244CDC" w14:paraId="04D4B476" w14:textId="77777777" w:rsidTr="00E9757D">
        <w:trPr>
          <w:jc w:val="center"/>
        </w:trPr>
        <w:tc>
          <w:tcPr>
            <w:tcW w:w="2263" w:type="dxa"/>
            <w:vAlign w:val="center"/>
          </w:tcPr>
          <w:p w14:paraId="42E8DC31" w14:textId="77777777" w:rsidR="00244CDC" w:rsidRPr="00244CDC" w:rsidRDefault="00244CDC" w:rsidP="00244CDC">
            <w:pPr>
              <w:keepNext/>
              <w:spacing w:after="0"/>
              <w:jc w:val="left"/>
              <w:rPr>
                <w:i/>
                <w:iCs/>
              </w:rPr>
            </w:pPr>
            <w:r w:rsidRPr="00244CDC">
              <w:rPr>
                <w:i/>
                <w:iCs/>
              </w:rPr>
              <w:t>Social security funds</w:t>
            </w:r>
          </w:p>
        </w:tc>
        <w:tc>
          <w:tcPr>
            <w:tcW w:w="1134" w:type="dxa"/>
            <w:vAlign w:val="center"/>
          </w:tcPr>
          <w:p w14:paraId="7A540A74" w14:textId="682267B2" w:rsidR="00244CDC" w:rsidRDefault="00244CDC" w:rsidP="00244CDC">
            <w:pPr>
              <w:keepNext/>
              <w:spacing w:after="0"/>
              <w:jc w:val="center"/>
            </w:pPr>
            <w:r>
              <w:t>29,9 %</w:t>
            </w:r>
          </w:p>
        </w:tc>
        <w:tc>
          <w:tcPr>
            <w:tcW w:w="1134" w:type="dxa"/>
            <w:vMerge/>
            <w:vAlign w:val="center"/>
          </w:tcPr>
          <w:p w14:paraId="05220F5C" w14:textId="77777777" w:rsidR="00244CDC" w:rsidRDefault="00244CDC" w:rsidP="00244CDC">
            <w:pPr>
              <w:keepNext/>
              <w:spacing w:after="0"/>
              <w:jc w:val="center"/>
            </w:pPr>
          </w:p>
        </w:tc>
        <w:tc>
          <w:tcPr>
            <w:tcW w:w="1134" w:type="dxa"/>
            <w:vAlign w:val="center"/>
          </w:tcPr>
          <w:p w14:paraId="06B402C9" w14:textId="597FF0A0" w:rsidR="00244CDC" w:rsidRDefault="00244CDC" w:rsidP="00244CDC">
            <w:pPr>
              <w:keepNext/>
              <w:spacing w:after="0"/>
              <w:jc w:val="center"/>
            </w:pPr>
            <w:r>
              <w:t>32,4 %</w:t>
            </w:r>
          </w:p>
        </w:tc>
        <w:tc>
          <w:tcPr>
            <w:tcW w:w="1134" w:type="dxa"/>
            <w:vMerge/>
            <w:vAlign w:val="center"/>
          </w:tcPr>
          <w:p w14:paraId="42DB7BA3" w14:textId="77777777" w:rsidR="00244CDC" w:rsidRDefault="00244CDC" w:rsidP="00244CDC">
            <w:pPr>
              <w:keepNext/>
              <w:spacing w:after="0"/>
              <w:jc w:val="center"/>
            </w:pPr>
          </w:p>
        </w:tc>
        <w:tc>
          <w:tcPr>
            <w:tcW w:w="1134" w:type="dxa"/>
            <w:vAlign w:val="center"/>
          </w:tcPr>
          <w:p w14:paraId="7922F2E7" w14:textId="2B889B1A" w:rsidR="00244CDC" w:rsidRDefault="00244CDC" w:rsidP="00244CDC">
            <w:pPr>
              <w:keepNext/>
              <w:spacing w:after="0"/>
              <w:jc w:val="center"/>
            </w:pPr>
            <w:r>
              <w:t>17,6 %</w:t>
            </w:r>
          </w:p>
        </w:tc>
        <w:tc>
          <w:tcPr>
            <w:tcW w:w="1134" w:type="dxa"/>
            <w:vMerge/>
            <w:vAlign w:val="center"/>
          </w:tcPr>
          <w:p w14:paraId="4CCD8E30" w14:textId="77777777" w:rsidR="00244CDC" w:rsidRDefault="00244CDC" w:rsidP="00244CDC">
            <w:pPr>
              <w:keepNext/>
              <w:spacing w:after="0"/>
              <w:jc w:val="center"/>
            </w:pPr>
          </w:p>
        </w:tc>
      </w:tr>
      <w:tr w:rsidR="00244CDC" w14:paraId="2FD8E8F8" w14:textId="77777777" w:rsidTr="00E9757D">
        <w:trPr>
          <w:jc w:val="center"/>
        </w:trPr>
        <w:tc>
          <w:tcPr>
            <w:tcW w:w="2263" w:type="dxa"/>
            <w:vAlign w:val="center"/>
          </w:tcPr>
          <w:p w14:paraId="6F1BD15B" w14:textId="77777777" w:rsidR="00244CDC" w:rsidRPr="00244CDC" w:rsidRDefault="00244CDC" w:rsidP="00244CDC">
            <w:pPr>
              <w:keepNext/>
              <w:spacing w:after="0"/>
              <w:jc w:val="left"/>
              <w:rPr>
                <w:i/>
                <w:iCs/>
              </w:rPr>
            </w:pPr>
            <w:r w:rsidRPr="00244CDC">
              <w:rPr>
                <w:i/>
                <w:iCs/>
              </w:rPr>
              <w:t>State government</w:t>
            </w:r>
          </w:p>
        </w:tc>
        <w:tc>
          <w:tcPr>
            <w:tcW w:w="1134" w:type="dxa"/>
            <w:vAlign w:val="center"/>
          </w:tcPr>
          <w:p w14:paraId="193B7CA2" w14:textId="435EB253" w:rsidR="00244CDC" w:rsidRDefault="00244CDC" w:rsidP="00244CDC">
            <w:pPr>
              <w:keepNext/>
              <w:spacing w:after="0"/>
              <w:jc w:val="center"/>
            </w:pPr>
            <w:r>
              <w:t>17,5 %</w:t>
            </w:r>
          </w:p>
        </w:tc>
        <w:tc>
          <w:tcPr>
            <w:tcW w:w="1134" w:type="dxa"/>
            <w:vMerge w:val="restart"/>
            <w:vAlign w:val="center"/>
          </w:tcPr>
          <w:p w14:paraId="1A290DF9" w14:textId="40130B96" w:rsidR="00244CDC" w:rsidRDefault="00244CDC" w:rsidP="00244CDC">
            <w:pPr>
              <w:keepNext/>
              <w:spacing w:after="0"/>
              <w:jc w:val="center"/>
            </w:pPr>
            <w:r>
              <w:t>26,7 %</w:t>
            </w:r>
          </w:p>
        </w:tc>
        <w:tc>
          <w:tcPr>
            <w:tcW w:w="1134" w:type="dxa"/>
            <w:vAlign w:val="center"/>
          </w:tcPr>
          <w:p w14:paraId="3409C8FF" w14:textId="73E987EA" w:rsidR="00244CDC" w:rsidRDefault="00244CDC" w:rsidP="00244CDC">
            <w:pPr>
              <w:keepNext/>
              <w:spacing w:after="0"/>
              <w:jc w:val="center"/>
            </w:pPr>
            <w:r>
              <w:t>8,6 %</w:t>
            </w:r>
          </w:p>
        </w:tc>
        <w:tc>
          <w:tcPr>
            <w:tcW w:w="1134" w:type="dxa"/>
            <w:vMerge w:val="restart"/>
            <w:vAlign w:val="center"/>
          </w:tcPr>
          <w:p w14:paraId="7670B9AC" w14:textId="2CA68CA3" w:rsidR="00244CDC" w:rsidRDefault="00244CDC" w:rsidP="00244CDC">
            <w:pPr>
              <w:keepNext/>
              <w:spacing w:after="0"/>
              <w:jc w:val="center"/>
            </w:pPr>
            <w:r>
              <w:t>21,7 %</w:t>
            </w:r>
          </w:p>
        </w:tc>
        <w:tc>
          <w:tcPr>
            <w:tcW w:w="1134" w:type="dxa"/>
            <w:vAlign w:val="center"/>
          </w:tcPr>
          <w:p w14:paraId="5D8FEFEC" w14:textId="010226D4" w:rsidR="00244CDC" w:rsidRDefault="00244CDC" w:rsidP="00244CDC">
            <w:pPr>
              <w:keepNext/>
              <w:spacing w:after="0"/>
              <w:jc w:val="center"/>
            </w:pPr>
            <w:r>
              <w:t>19,5 %</w:t>
            </w:r>
          </w:p>
        </w:tc>
        <w:tc>
          <w:tcPr>
            <w:tcW w:w="1134" w:type="dxa"/>
            <w:vMerge w:val="restart"/>
            <w:vAlign w:val="center"/>
          </w:tcPr>
          <w:p w14:paraId="75F4150F" w14:textId="630127DA" w:rsidR="00244CDC" w:rsidRDefault="00244CDC" w:rsidP="00244CDC">
            <w:pPr>
              <w:keepNext/>
              <w:spacing w:after="0"/>
              <w:jc w:val="center"/>
            </w:pPr>
            <w:r>
              <w:t>29,7 %</w:t>
            </w:r>
          </w:p>
        </w:tc>
      </w:tr>
      <w:tr w:rsidR="00244CDC" w14:paraId="7C78B298" w14:textId="77777777" w:rsidTr="00E9757D">
        <w:trPr>
          <w:jc w:val="center"/>
        </w:trPr>
        <w:tc>
          <w:tcPr>
            <w:tcW w:w="2263" w:type="dxa"/>
            <w:vAlign w:val="center"/>
          </w:tcPr>
          <w:p w14:paraId="2F6E4A23" w14:textId="77777777" w:rsidR="00244CDC" w:rsidRPr="00244CDC" w:rsidRDefault="00244CDC" w:rsidP="00244CDC">
            <w:pPr>
              <w:keepNext/>
              <w:spacing w:after="0"/>
              <w:jc w:val="left"/>
              <w:rPr>
                <w:i/>
                <w:iCs/>
              </w:rPr>
            </w:pPr>
            <w:r w:rsidRPr="00244CDC">
              <w:rPr>
                <w:i/>
                <w:iCs/>
              </w:rPr>
              <w:t>Local government</w:t>
            </w:r>
          </w:p>
        </w:tc>
        <w:tc>
          <w:tcPr>
            <w:tcW w:w="1134" w:type="dxa"/>
            <w:vAlign w:val="center"/>
          </w:tcPr>
          <w:p w14:paraId="351EE49A" w14:textId="7256C159" w:rsidR="00244CDC" w:rsidRDefault="00244CDC" w:rsidP="00E9757D">
            <w:pPr>
              <w:spacing w:after="0"/>
              <w:jc w:val="center"/>
            </w:pPr>
            <w:r>
              <w:t>9,1 %</w:t>
            </w:r>
          </w:p>
        </w:tc>
        <w:tc>
          <w:tcPr>
            <w:tcW w:w="1134" w:type="dxa"/>
            <w:vMerge/>
          </w:tcPr>
          <w:p w14:paraId="7D34B126" w14:textId="77777777" w:rsidR="00244CDC" w:rsidRDefault="00244CDC" w:rsidP="00E9757D">
            <w:pPr>
              <w:spacing w:after="0"/>
              <w:jc w:val="center"/>
            </w:pPr>
          </w:p>
        </w:tc>
        <w:tc>
          <w:tcPr>
            <w:tcW w:w="1134" w:type="dxa"/>
            <w:vAlign w:val="center"/>
          </w:tcPr>
          <w:p w14:paraId="697CEA66" w14:textId="7FF8415A" w:rsidR="00244CDC" w:rsidRDefault="00244CDC" w:rsidP="00E9757D">
            <w:pPr>
              <w:spacing w:after="0"/>
              <w:jc w:val="center"/>
            </w:pPr>
            <w:r>
              <w:t>13,1 %</w:t>
            </w:r>
          </w:p>
        </w:tc>
        <w:tc>
          <w:tcPr>
            <w:tcW w:w="1134" w:type="dxa"/>
            <w:vMerge/>
          </w:tcPr>
          <w:p w14:paraId="783944F6" w14:textId="77777777" w:rsidR="00244CDC" w:rsidRDefault="00244CDC" w:rsidP="00E9757D">
            <w:pPr>
              <w:spacing w:after="0"/>
              <w:jc w:val="center"/>
            </w:pPr>
          </w:p>
        </w:tc>
        <w:tc>
          <w:tcPr>
            <w:tcW w:w="1134" w:type="dxa"/>
            <w:vAlign w:val="center"/>
          </w:tcPr>
          <w:p w14:paraId="48177F83" w14:textId="04F7F767" w:rsidR="00244CDC" w:rsidRDefault="00244CDC" w:rsidP="00E9757D">
            <w:pPr>
              <w:spacing w:after="0"/>
              <w:jc w:val="center"/>
            </w:pPr>
            <w:r>
              <w:t>10,2 %</w:t>
            </w:r>
          </w:p>
        </w:tc>
        <w:tc>
          <w:tcPr>
            <w:tcW w:w="1134" w:type="dxa"/>
            <w:vMerge/>
          </w:tcPr>
          <w:p w14:paraId="48839F07" w14:textId="77777777" w:rsidR="00244CDC" w:rsidRDefault="00244CDC" w:rsidP="00E9757D">
            <w:pPr>
              <w:spacing w:after="0"/>
              <w:jc w:val="center"/>
            </w:pPr>
          </w:p>
        </w:tc>
      </w:tr>
    </w:tbl>
    <w:p w14:paraId="21DCE112" w14:textId="0875F748" w:rsidR="0061540F" w:rsidRPr="00820E90" w:rsidRDefault="0061540F" w:rsidP="0061540F">
      <w:pPr>
        <w:pStyle w:val="Imagen"/>
        <w:rPr>
          <w:lang w:val="en-US"/>
        </w:rPr>
      </w:pPr>
      <w:r w:rsidRPr="007B75A3">
        <w:rPr>
          <w:lang w:val="en-US"/>
        </w:rPr>
        <w:drawing>
          <wp:inline distT="0" distB="0" distL="0" distR="0" wp14:anchorId="68601AF9" wp14:editId="49F7A716">
            <wp:extent cx="3996000" cy="2289007"/>
            <wp:effectExtent l="0" t="0" r="5080" b="0"/>
            <wp:docPr id="203476344" name="Imagen 1"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6344" name="Imagen 1" descr="Gráfico, Gráfico de barras&#10;&#10;Descripción generada automáticamente"/>
                    <pic:cNvPicPr/>
                  </pic:nvPicPr>
                  <pic:blipFill rotWithShape="1">
                    <a:blip r:embed="rId52"/>
                    <a:srcRect l="2208"/>
                    <a:stretch/>
                  </pic:blipFill>
                  <pic:spPr bwMode="auto">
                    <a:xfrm>
                      <a:off x="0" y="0"/>
                      <a:ext cx="3996000" cy="2289007"/>
                    </a:xfrm>
                    <a:prstGeom prst="rect">
                      <a:avLst/>
                    </a:prstGeom>
                    <a:ln>
                      <a:noFill/>
                    </a:ln>
                    <a:extLst>
                      <a:ext uri="{53640926-AAD7-44D8-BBD7-CCE9431645EC}">
                        <a14:shadowObscured xmlns:a14="http://schemas.microsoft.com/office/drawing/2010/main"/>
                      </a:ext>
                    </a:extLst>
                  </pic:spPr>
                </pic:pic>
              </a:graphicData>
            </a:graphic>
          </wp:inline>
        </w:drawing>
      </w:r>
    </w:p>
    <w:p w14:paraId="3FCC70A5" w14:textId="3FEAD8C5" w:rsidR="0061540F" w:rsidRPr="0061540F" w:rsidRDefault="0061540F" w:rsidP="0061540F">
      <w:pPr>
        <w:pStyle w:val="PiedeImagen"/>
        <w:rPr>
          <w:i w:val="0"/>
          <w:iCs/>
          <w:spacing w:val="-2"/>
        </w:rPr>
      </w:pPr>
      <w:r w:rsidRPr="00114FE8">
        <w:rPr>
          <w:spacing w:val="-2"/>
          <w:lang w:val="en-US"/>
        </w:rPr>
        <w:t>Fuente</w:t>
      </w:r>
      <w:r w:rsidRPr="00114FE8">
        <w:rPr>
          <w:i w:val="0"/>
          <w:iCs/>
          <w:spacing w:val="-2"/>
          <w:lang w:val="en-US"/>
        </w:rPr>
        <w:t xml:space="preserve">: </w:t>
      </w:r>
      <w:r w:rsidRPr="00A11F7B">
        <w:rPr>
          <w:i w:val="0"/>
          <w:iCs/>
          <w:spacing w:val="-2"/>
          <w:lang w:val="en-US"/>
        </w:rPr>
        <w:t xml:space="preserve">OECD. (2023). </w:t>
      </w:r>
      <w:r w:rsidRPr="00A11F7B">
        <w:rPr>
          <w:spacing w:val="-2"/>
          <w:lang w:val="en-US"/>
        </w:rPr>
        <w:t>Government at a Glance 2023</w:t>
      </w:r>
      <w:r w:rsidRPr="00A11F7B">
        <w:rPr>
          <w:i w:val="0"/>
          <w:iCs/>
          <w:spacing w:val="-2"/>
          <w:lang w:val="en-US"/>
        </w:rPr>
        <w:t xml:space="preserve">. </w:t>
      </w:r>
      <w:r w:rsidRPr="00A11F7B">
        <w:rPr>
          <w:i w:val="0"/>
          <w:iCs/>
          <w:spacing w:val="-2"/>
        </w:rPr>
        <w:t xml:space="preserve">OECD. </w:t>
      </w:r>
      <w:hyperlink r:id="rId53" w:history="1">
        <w:r w:rsidRPr="00A11F7B">
          <w:rPr>
            <w:rStyle w:val="Hipervnculo"/>
            <w:i w:val="0"/>
            <w:iCs/>
            <w:spacing w:val="-2"/>
          </w:rPr>
          <w:t>https://doi.org/10.1787/3d5c5d31-en</w:t>
        </w:r>
      </w:hyperlink>
    </w:p>
    <w:p w14:paraId="17D4701D" w14:textId="2C157879" w:rsidR="003F526F" w:rsidRPr="009530EF" w:rsidRDefault="00A762AF" w:rsidP="005C010F">
      <w:pPr>
        <w:pStyle w:val="Ttulo2"/>
      </w:pPr>
      <w:bookmarkStart w:id="116" w:name="_Toc151113628"/>
      <w:r>
        <w:t xml:space="preserve">Comodín: </w:t>
      </w:r>
      <w:r w:rsidR="005C010F">
        <w:t>La política fiscal y el estancamiento secular</w:t>
      </w:r>
      <w:bookmarkEnd w:id="116"/>
    </w:p>
    <w:p w14:paraId="152C2922" w14:textId="6A204294" w:rsidR="003F526F" w:rsidRDefault="003F526F" w:rsidP="005C010F">
      <w:pPr>
        <w:pStyle w:val="Ttulo3"/>
        <w:spacing w:before="0"/>
      </w:pPr>
      <w:bookmarkStart w:id="117" w:name="_Toc151113629"/>
      <w:r>
        <w:t>Estancamiento secular y tipos de interés reales negativos</w:t>
      </w:r>
      <w:bookmarkEnd w:id="117"/>
    </w:p>
    <w:p w14:paraId="5A32C9C7" w14:textId="4F2C13D5" w:rsidR="003F526F" w:rsidRDefault="003F526F" w:rsidP="00E63DC6">
      <w:pPr>
        <w:pStyle w:val="Nivel2SM"/>
        <w:keepNext/>
        <w:spacing w:after="0"/>
      </w:pPr>
      <w:r>
        <w:t xml:space="preserve">En marzo de 2019 </w:t>
      </w:r>
      <w:r w:rsidRPr="009530EF">
        <w:rPr>
          <w:smallCaps/>
        </w:rPr>
        <w:t>Larry Summers</w:t>
      </w:r>
      <w:r>
        <w:t xml:space="preserve"> y </w:t>
      </w:r>
      <w:r w:rsidRPr="009530EF">
        <w:rPr>
          <w:smallCaps/>
        </w:rPr>
        <w:t>Lukasz Rachel</w:t>
      </w:r>
      <w:r>
        <w:t xml:space="preserve"> publicaron un artículo donde han advertido de la </w:t>
      </w:r>
      <w:r w:rsidRPr="009530EF">
        <w:rPr>
          <w:i/>
          <w:iCs/>
          <w:u w:val="single"/>
        </w:rPr>
        <w:t>situación de estancamiento secular</w:t>
      </w:r>
      <w:r>
        <w:t xml:space="preserve"> en la que se encuentran las principales economías desarrolladas a raíz de un exceso de ahorro privado y una falta de inversión privada provocado por factores como:</w:t>
      </w:r>
    </w:p>
    <w:p w14:paraId="6973BB9F" w14:textId="77777777" w:rsidR="003F526F" w:rsidRDefault="003F526F" w:rsidP="00E63DC6">
      <w:pPr>
        <w:pStyle w:val="Nivel3SM"/>
        <w:keepNext/>
      </w:pPr>
      <w:r w:rsidRPr="000A384D">
        <w:t>Ahorro</w:t>
      </w:r>
    </w:p>
    <w:p w14:paraId="17F1A4EC" w14:textId="71B95582" w:rsidR="003F526F" w:rsidRDefault="003F526F" w:rsidP="00E63DC6">
      <w:pPr>
        <w:pStyle w:val="Nivel4"/>
        <w:ind w:left="1474"/>
      </w:pPr>
      <w:r>
        <w:t>Envejecimiento población y reducción de la natalidad (al tener menos hijos se ahorra más).</w:t>
      </w:r>
    </w:p>
    <w:p w14:paraId="2C50A343" w14:textId="09C550CC" w:rsidR="003F526F" w:rsidRDefault="003F526F" w:rsidP="00E63DC6">
      <w:pPr>
        <w:pStyle w:val="Nivel4"/>
        <w:ind w:left="1474"/>
      </w:pPr>
      <w:r>
        <w:t>Incertidumbre: Ahorro precautorio.</w:t>
      </w:r>
    </w:p>
    <w:p w14:paraId="2C941DA7" w14:textId="77777777" w:rsidR="003F526F" w:rsidRPr="000A384D" w:rsidRDefault="003F526F" w:rsidP="00E63DC6">
      <w:pPr>
        <w:pStyle w:val="Nivel3SM"/>
        <w:keepNext/>
      </w:pPr>
      <w:r w:rsidRPr="00E63DC6">
        <w:lastRenderedPageBreak/>
        <w:t>Inversión</w:t>
      </w:r>
    </w:p>
    <w:p w14:paraId="4942611D" w14:textId="33602056" w:rsidR="003F526F" w:rsidRDefault="003F526F" w:rsidP="00E63DC6">
      <w:pPr>
        <w:pStyle w:val="Nivel4"/>
        <w:ind w:left="1474"/>
      </w:pPr>
      <w:r>
        <w:t>Incertidumbre: Afecta los animal spirits.</w:t>
      </w:r>
    </w:p>
    <w:p w14:paraId="12948063" w14:textId="3B65819E" w:rsidR="003F526F" w:rsidRDefault="003F526F" w:rsidP="00E63DC6">
      <w:pPr>
        <w:pStyle w:val="Nivel4"/>
        <w:ind w:left="1474"/>
      </w:pPr>
      <w:r>
        <w:t>Histéresis</w:t>
      </w:r>
    </w:p>
    <w:p w14:paraId="43A9C46E" w14:textId="402A5733" w:rsidR="003F526F" w:rsidRDefault="003F526F" w:rsidP="00E63DC6">
      <w:pPr>
        <w:pStyle w:val="Nivel4"/>
        <w:ind w:left="1474"/>
      </w:pPr>
      <w:r>
        <w:t>Aumento del e-commerce (reduce la inversión real).</w:t>
      </w:r>
    </w:p>
    <w:p w14:paraId="00F1D4D7" w14:textId="27A76F8A" w:rsidR="003F526F" w:rsidRPr="009530EF" w:rsidRDefault="003F526F" w:rsidP="00E63DC6">
      <w:pPr>
        <w:pStyle w:val="Nivel2SM"/>
      </w:pPr>
      <w:r>
        <w:t>Estos aspectos han llevado a reducciones de hasta un 3</w:t>
      </w:r>
      <w:r w:rsidR="00E63DC6">
        <w:t> </w:t>
      </w:r>
      <w:r>
        <w:t>% en el tipo de interés real neutral, aquel que iguala el ahorro y la inversión en el mercado de fondos prestables, haciendo que se encuentre en niveles cercanos a cero o negativos en muchos países desarrollados.</w:t>
      </w:r>
    </w:p>
    <w:p w14:paraId="17164BB0" w14:textId="2AFBAFBE" w:rsidR="003F526F" w:rsidRPr="009530EF" w:rsidRDefault="00C07581" w:rsidP="009530EF">
      <w:pPr>
        <w:ind w:left="720"/>
        <w:jc w:val="center"/>
      </w:pPr>
      <w:r>
        <w:rPr>
          <w:noProof/>
        </w:rPr>
        <w:drawing>
          <wp:inline distT="0" distB="0" distL="0" distR="0" wp14:anchorId="5FF35FFB" wp14:editId="588CCA28">
            <wp:extent cx="1362075" cy="1476375"/>
            <wp:effectExtent l="0" t="0" r="0" b="0"/>
            <wp:docPr id="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62075" cy="1476375"/>
                    </a:xfrm>
                    <a:prstGeom prst="rect">
                      <a:avLst/>
                    </a:prstGeom>
                    <a:noFill/>
                    <a:ln>
                      <a:noFill/>
                    </a:ln>
                  </pic:spPr>
                </pic:pic>
              </a:graphicData>
            </a:graphic>
          </wp:inline>
        </w:drawing>
      </w:r>
    </w:p>
    <w:p w14:paraId="4D62514A" w14:textId="2F9EC344" w:rsidR="003F526F" w:rsidRDefault="003F526F" w:rsidP="00E63DC6">
      <w:pPr>
        <w:pStyle w:val="Nivel2SM"/>
        <w:keepNext/>
        <w:spacing w:after="0"/>
      </w:pPr>
      <w:r>
        <w:t>Por tanto, en caso de no implementarse soluciones no podrá asegurarse en el largo plazo que las economías por sí solas (mediante fuerzas de mercado) alcancen el pleno empleo:</w:t>
      </w:r>
    </w:p>
    <w:p w14:paraId="4FD5601E" w14:textId="3A09F4A8" w:rsidR="003F526F" w:rsidRDefault="003F526F" w:rsidP="00E63DC6">
      <w:pPr>
        <w:pStyle w:val="Nivel3SM"/>
      </w:pPr>
      <w:r>
        <w:t>Subyace en esta idea el pensamiento keynesiano, el cual postula que una depresión permanente es posible en caso de no intervención.</w:t>
      </w:r>
    </w:p>
    <w:p w14:paraId="5D60F4A1" w14:textId="6393D973" w:rsidR="003F526F" w:rsidRPr="009530EF" w:rsidRDefault="003F526F" w:rsidP="00E63DC6">
      <w:pPr>
        <w:pStyle w:val="Nivel3SM"/>
      </w:pPr>
      <w:r>
        <w:t>Además rechaza el pensamiento de la NEK, la cual se apoya en rigidices de precios temporales para justificar el desempleo involuntario.</w:t>
      </w:r>
    </w:p>
    <w:p w14:paraId="65F62D8A" w14:textId="1BD62FDA" w:rsidR="003F526F" w:rsidRDefault="003F526F" w:rsidP="005C010F">
      <w:pPr>
        <w:pStyle w:val="Ttulo3"/>
      </w:pPr>
      <w:bookmarkStart w:id="118" w:name="_Toc151113630"/>
      <w:r>
        <w:t>Soluciones iniciales: Política monetaria</w:t>
      </w:r>
      <w:bookmarkEnd w:id="118"/>
    </w:p>
    <w:p w14:paraId="303DF25B" w14:textId="0E5D62AA" w:rsidR="003F526F" w:rsidRDefault="003F526F" w:rsidP="00017197">
      <w:pPr>
        <w:pStyle w:val="Nivel2SM"/>
        <w:keepNext/>
        <w:spacing w:after="0"/>
      </w:pPr>
      <w:r>
        <w:t>La solución llevada a cabo en la mayoría de los países fue en el ámbito de la política monetaria con el objetivo de aumentar la inflación para reducir así los tipos de interés reales.</w:t>
      </w:r>
    </w:p>
    <w:p w14:paraId="53876420" w14:textId="77777777" w:rsidR="003F526F" w:rsidRPr="00954DB0" w:rsidRDefault="003F526F" w:rsidP="00017197">
      <w:pPr>
        <w:pStyle w:val="Nivel3SM"/>
        <w:keepNext/>
      </w:pPr>
      <w:r>
        <w:t>Política monetaria convencional</w:t>
      </w:r>
    </w:p>
    <w:p w14:paraId="0C18FC04" w14:textId="527608C7" w:rsidR="003F526F" w:rsidRPr="009D1870" w:rsidRDefault="003F526F" w:rsidP="00017197">
      <w:pPr>
        <w:pStyle w:val="Nivel4"/>
        <w:ind w:left="1474"/>
      </w:pPr>
      <w:r>
        <w:t xml:space="preserve">Los bancos centrales de los principales </w:t>
      </w:r>
      <w:r w:rsidR="00F668C8">
        <w:t>países desarrollados</w:t>
      </w:r>
      <w:r>
        <w:t xml:space="preserve"> han reducido los tipos de interés de referencia (nominales) muy cercanos al 0</w:t>
      </w:r>
      <w:r w:rsidR="00F668C8">
        <w:t> </w:t>
      </w:r>
      <w:r>
        <w:t>%.</w:t>
      </w:r>
    </w:p>
    <w:p w14:paraId="3588D782" w14:textId="013B6220" w:rsidR="003F526F" w:rsidRDefault="003F526F" w:rsidP="00017197">
      <w:pPr>
        <w:pStyle w:val="Nivel3SM"/>
        <w:keepNext/>
      </w:pPr>
      <w:r w:rsidRPr="00954DB0">
        <w:t>Política monetaria no</w:t>
      </w:r>
      <w:r w:rsidR="004320A9">
        <w:t> </w:t>
      </w:r>
      <w:r w:rsidRPr="00954DB0">
        <w:t>convencional</w:t>
      </w:r>
    </w:p>
    <w:p w14:paraId="36C6B9D2" w14:textId="54F9BA50" w:rsidR="003F526F" w:rsidRPr="009530EF" w:rsidRDefault="003F526F" w:rsidP="00017197">
      <w:pPr>
        <w:pStyle w:val="Nivel4"/>
        <w:ind w:left="1474"/>
      </w:pPr>
      <w:r>
        <w:t>Además se han llevado múltiples rondas de QE y otras políticas monetarias de tipo no</w:t>
      </w:r>
      <w:r w:rsidR="004320A9">
        <w:t> </w:t>
      </w:r>
      <w:r>
        <w:t>convencional. No obstante tampoco han tenido el éxito esperado en términos de inflación.</w:t>
      </w:r>
    </w:p>
    <w:p w14:paraId="4B252EFE" w14:textId="62C0DC74" w:rsidR="003F526F" w:rsidRPr="009530EF" w:rsidRDefault="003F526F" w:rsidP="00017197">
      <w:pPr>
        <w:pStyle w:val="Nivel2SM"/>
        <w:rPr>
          <w:u w:val="single"/>
        </w:rPr>
      </w:pPr>
      <w:r>
        <w:t>Además esta solución de reducción de tipos de interés podría no solo ser insuficiente para hacer despegar la inversión privada sino que además podría llevar a situaciones de sobrevaloración de activos.</w:t>
      </w:r>
    </w:p>
    <w:p w14:paraId="4F8D6004" w14:textId="1E428232" w:rsidR="003F526F" w:rsidRPr="009530EF" w:rsidRDefault="003F526F" w:rsidP="005C010F">
      <w:pPr>
        <w:pStyle w:val="Ttulo3"/>
        <w:rPr>
          <w:u w:val="none"/>
        </w:rPr>
      </w:pPr>
      <w:bookmarkStart w:id="119" w:name="_Toc151113631"/>
      <w:r>
        <w:t>Solución alternativa: Política fiscal</w:t>
      </w:r>
      <w:bookmarkEnd w:id="119"/>
    </w:p>
    <w:p w14:paraId="7DA961AD" w14:textId="77777777" w:rsidR="003F526F" w:rsidRPr="002B00DF" w:rsidRDefault="003F526F" w:rsidP="00017197">
      <w:pPr>
        <w:pStyle w:val="Nivel2SM"/>
        <w:keepNext/>
        <w:spacing w:after="0"/>
        <w:rPr>
          <w:u w:val="single"/>
        </w:rPr>
      </w:pPr>
      <w:r w:rsidRPr="00017197">
        <w:rPr>
          <w:smallCaps/>
        </w:rPr>
        <w:t>Summers</w:t>
      </w:r>
      <w:r>
        <w:t xml:space="preserve"> urge a la implementación de políticas fiscales expansivas y presupuesto desequilibrado para salir de la situación del estancamiento secular. </w:t>
      </w:r>
    </w:p>
    <w:p w14:paraId="66151D16" w14:textId="00943535" w:rsidR="003F526F" w:rsidRPr="00254BC8" w:rsidRDefault="003F526F" w:rsidP="00017197">
      <w:pPr>
        <w:pStyle w:val="Nivel3SM"/>
        <w:rPr>
          <w:u w:val="single"/>
        </w:rPr>
      </w:pPr>
      <w:r>
        <w:t>A nivel gráfico esto supondría desplazar la curva de demanda de fondos prestables hacia la derecha.</w:t>
      </w:r>
    </w:p>
    <w:p w14:paraId="37A15ABD" w14:textId="6FC65AC7" w:rsidR="003F526F" w:rsidRPr="00017197" w:rsidRDefault="003F526F" w:rsidP="00017197">
      <w:pPr>
        <w:pStyle w:val="Nivel3SM"/>
        <w:rPr>
          <w:u w:val="single"/>
        </w:rPr>
      </w:pPr>
      <w:r>
        <w:t>Pone como ejemplo a la economía de Estados Unidos y c</w:t>
      </w:r>
      <w:r w:rsidR="00D669EE">
        <w:t>ó</w:t>
      </w:r>
      <w:r>
        <w:t>mo ésta experimentó un freno en el crecimiento económico cuando dejó de implementar políticas fiscales expansivas.</w:t>
      </w:r>
    </w:p>
    <w:p w14:paraId="4422D68F" w14:textId="77777777" w:rsidR="00684BD7" w:rsidRPr="00050981" w:rsidRDefault="003F526F" w:rsidP="00017197">
      <w:pPr>
        <w:pStyle w:val="Nivel2SM"/>
        <w:rPr>
          <w:u w:val="single"/>
        </w:rPr>
      </w:pPr>
      <w:r>
        <w:t xml:space="preserve">Como respuesta a las críticas en términos de peligro de insostenibilidad de la deuda, </w:t>
      </w:r>
      <w:r w:rsidRPr="00050981">
        <w:rPr>
          <w:smallCaps/>
        </w:rPr>
        <w:t>Summers</w:t>
      </w:r>
      <w:r>
        <w:t xml:space="preserve"> aboga que en un mundo en donde el gobierno puede endeudarse a tipos de interés reales negativos o cercanos a cero, el peligro no reside en la sostenibilidad de la deuda total sino en la sostenibilidad en términos del servicio de la deuda.</w:t>
      </w:r>
    </w:p>
    <w:p w14:paraId="76FE92CE" w14:textId="77777777" w:rsidR="00050981" w:rsidRDefault="00050981" w:rsidP="00050981">
      <w:pPr>
        <w:pStyle w:val="Nivel2SM"/>
      </w:pPr>
      <w:r>
        <w:t>Sin embargo, no todos los autores están de acuerdo.</w:t>
      </w:r>
    </w:p>
    <w:p w14:paraId="4B5B4F73" w14:textId="23CC019A" w:rsidR="00050981" w:rsidRPr="00050981" w:rsidRDefault="00050981" w:rsidP="00050981">
      <w:pPr>
        <w:pStyle w:val="Ttulo6"/>
      </w:pPr>
      <w:bookmarkStart w:id="120" w:name="_Toc151113632"/>
      <w:r>
        <w:rPr>
          <w:smallCaps/>
        </w:rPr>
        <w:lastRenderedPageBreak/>
        <w:t>John Cochrane</w:t>
      </w:r>
      <w:r>
        <w:t>: No es un problema de demanda</w:t>
      </w:r>
      <w:bookmarkEnd w:id="120"/>
    </w:p>
    <w:p w14:paraId="1502DC79" w14:textId="1F52ED03" w:rsidR="00050981" w:rsidRDefault="00050981" w:rsidP="00050981">
      <w:pPr>
        <w:pStyle w:val="Nivel2SM"/>
      </w:pPr>
      <w:r>
        <w:t xml:space="preserve">En el momento en que </w:t>
      </w:r>
      <w:r w:rsidRPr="00193736">
        <w:rPr>
          <w:smallCaps/>
        </w:rPr>
        <w:t>Summers</w:t>
      </w:r>
      <w:r>
        <w:t xml:space="preserve"> recomendaba estímulos, la tasa desempleo de Estados Unidos estaba en niveles menores que el 4 %. No hay un problema de demanda.</w:t>
      </w:r>
    </w:p>
    <w:p w14:paraId="4C14A8E8" w14:textId="1C59A34F" w:rsidR="00050981" w:rsidRDefault="00050981" w:rsidP="00050981">
      <w:pPr>
        <w:pStyle w:val="Nivel2SM"/>
      </w:pPr>
      <w:r>
        <w:t>Recomienda ser más cautos en recomendar expansiones fiscales.</w:t>
      </w:r>
    </w:p>
    <w:p w14:paraId="256B190D" w14:textId="77777777" w:rsidR="00050981" w:rsidRPr="00365C91" w:rsidRDefault="00050981" w:rsidP="00050981">
      <w:pPr>
        <w:pStyle w:val="Ttulo6"/>
        <w:rPr>
          <w:lang w:val="en-US"/>
        </w:rPr>
      </w:pPr>
      <w:bookmarkStart w:id="121" w:name="_Toc145421446"/>
      <w:bookmarkStart w:id="122" w:name="_Toc151113633"/>
      <w:r w:rsidRPr="00365C91">
        <w:rPr>
          <w:smallCaps/>
          <w:lang w:val="en-US"/>
        </w:rPr>
        <w:t>Blanchard</w:t>
      </w:r>
      <w:r w:rsidRPr="00365C91">
        <w:rPr>
          <w:lang w:val="en-US"/>
        </w:rPr>
        <w:t xml:space="preserve"> vs </w:t>
      </w:r>
      <w:r w:rsidRPr="00365C91">
        <w:rPr>
          <w:smallCaps/>
          <w:lang w:val="en-US"/>
        </w:rPr>
        <w:t>Summers</w:t>
      </w:r>
      <w:r w:rsidRPr="00365C91">
        <w:rPr>
          <w:lang w:val="en-US"/>
        </w:rPr>
        <w:t>: Is secular stagnation over?</w:t>
      </w:r>
      <w:bookmarkEnd w:id="121"/>
      <w:bookmarkEnd w:id="122"/>
    </w:p>
    <w:bookmarkStart w:id="123" w:name="_Hlk146471018"/>
    <w:p w14:paraId="18ACC5C4" w14:textId="75BC7E1F" w:rsidR="00050981" w:rsidRPr="00616BBF" w:rsidRDefault="00000000" w:rsidP="00050981">
      <w:pPr>
        <w:pStyle w:val="Cajadeanotaciones"/>
        <w:spacing w:after="0"/>
        <w:rPr>
          <w:lang w:val="en-US"/>
        </w:rPr>
      </w:pPr>
      <w:r>
        <w:fldChar w:fldCharType="begin"/>
      </w:r>
      <w:r w:rsidRPr="000A76C6">
        <w:rPr>
          <w:lang w:val="en-US"/>
        </w:rPr>
        <w:instrText>HYPERLINK "https://www.piie.com/blogs/realtime-economics/secular-stagnation-not-over"</w:instrText>
      </w:r>
      <w:r>
        <w:fldChar w:fldCharType="separate"/>
      </w:r>
      <w:r w:rsidR="00050981" w:rsidRPr="00365C91">
        <w:rPr>
          <w:rStyle w:val="Hipervnculo"/>
          <w:lang w:val="en-US"/>
        </w:rPr>
        <w:t>https://www.piie.com/blogs/realtime-economics/secular-stagnation-not-over</w:t>
      </w:r>
      <w:r>
        <w:rPr>
          <w:rStyle w:val="Hipervnculo"/>
          <w:lang w:val="en-US"/>
        </w:rPr>
        <w:fldChar w:fldCharType="end"/>
      </w:r>
    </w:p>
    <w:p w14:paraId="372BB2F7" w14:textId="2C6096AA" w:rsidR="00050981" w:rsidRPr="005B0050" w:rsidRDefault="00000000" w:rsidP="00050981">
      <w:pPr>
        <w:pStyle w:val="Cajadeanotaciones"/>
        <w:spacing w:after="0"/>
        <w:rPr>
          <w:lang w:val="en-US"/>
        </w:rPr>
      </w:pPr>
      <w:hyperlink r:id="rId55" w:history="1">
        <w:r w:rsidR="00050981" w:rsidRPr="005B0050">
          <w:rPr>
            <w:rStyle w:val="Hipervnculo"/>
            <w:lang w:val="en-US"/>
          </w:rPr>
          <w:t>https://www.piie.com/events/summers-and-blanchard-debate-future-interest-rates</w:t>
        </w:r>
      </w:hyperlink>
    </w:p>
    <w:p w14:paraId="227D8181" w14:textId="367A68D6" w:rsidR="00050981" w:rsidRDefault="00000000" w:rsidP="00050981">
      <w:pPr>
        <w:pStyle w:val="Cajadeanotaciones"/>
        <w:spacing w:after="0"/>
        <w:rPr>
          <w:lang w:val="fr-FR"/>
        </w:rPr>
      </w:pPr>
      <w:hyperlink r:id="rId56" w:history="1">
        <w:r w:rsidR="00050981" w:rsidRPr="00616BBF">
          <w:rPr>
            <w:rStyle w:val="Hipervnculo"/>
            <w:lang w:val="fr-FR"/>
          </w:rPr>
          <w:t>https://youtu.be/df5csVeBcrQ?t=538</w:t>
        </w:r>
      </w:hyperlink>
      <w:r w:rsidR="00050981" w:rsidRPr="00616BBF">
        <w:rPr>
          <w:lang w:val="fr-FR"/>
        </w:rPr>
        <w:t xml:space="preserve"> </w:t>
      </w:r>
      <w:r w:rsidR="00050981">
        <w:rPr>
          <w:lang w:val="fr-FR"/>
        </w:rPr>
        <w:t>–</w:t>
      </w:r>
      <w:r w:rsidR="00050981" w:rsidRPr="00616BBF">
        <w:rPr>
          <w:lang w:val="fr-FR"/>
        </w:rPr>
        <w:t xml:space="preserve"> </w:t>
      </w:r>
      <w:r w:rsidR="00050981" w:rsidRPr="00616BBF">
        <w:rPr>
          <w:smallCaps/>
          <w:lang w:val="fr-FR"/>
        </w:rPr>
        <w:t>Blanchard</w:t>
      </w:r>
    </w:p>
    <w:p w14:paraId="43DDE830" w14:textId="60AA9EC6" w:rsidR="00050981" w:rsidRPr="00616BBF" w:rsidRDefault="00000000" w:rsidP="00050981">
      <w:pPr>
        <w:pStyle w:val="Cajadeanotaciones"/>
        <w:rPr>
          <w:lang w:val="en-US"/>
        </w:rPr>
      </w:pPr>
      <w:hyperlink r:id="rId57" w:history="1">
        <w:r w:rsidR="00050981" w:rsidRPr="003561D8">
          <w:rPr>
            <w:rStyle w:val="Hipervnculo"/>
            <w:lang w:val="en-US"/>
          </w:rPr>
          <w:t>https://youtu.be/df5csVeBcrQ?t=1140</w:t>
        </w:r>
      </w:hyperlink>
      <w:r w:rsidR="00050981" w:rsidRPr="00616BBF">
        <w:rPr>
          <w:lang w:val="en-US"/>
        </w:rPr>
        <w:t xml:space="preserve"> </w:t>
      </w:r>
      <w:r w:rsidR="00050981">
        <w:rPr>
          <w:lang w:val="en-US"/>
        </w:rPr>
        <w:t>–</w:t>
      </w:r>
      <w:r w:rsidR="00050981" w:rsidRPr="00616BBF">
        <w:rPr>
          <w:lang w:val="en-US"/>
        </w:rPr>
        <w:t xml:space="preserve"> </w:t>
      </w:r>
      <w:r w:rsidR="00050981" w:rsidRPr="00616BBF">
        <w:rPr>
          <w:smallCaps/>
          <w:lang w:val="en-US"/>
        </w:rPr>
        <w:t>Summers</w:t>
      </w:r>
    </w:p>
    <w:p w14:paraId="3321475D" w14:textId="77777777" w:rsidR="00050981" w:rsidRDefault="00050981" w:rsidP="00050981">
      <w:pPr>
        <w:pStyle w:val="Nivel1SM"/>
        <w:keepNext/>
        <w:spacing w:before="0" w:after="0"/>
      </w:pPr>
      <w:r>
        <w:t>Idea principal:</w:t>
      </w:r>
    </w:p>
    <w:p w14:paraId="1EBB9108" w14:textId="77777777" w:rsidR="00050981" w:rsidRDefault="00050981" w:rsidP="00050981">
      <w:pPr>
        <w:pStyle w:val="Nivel2SM"/>
        <w:keepNext/>
        <w:spacing w:after="0"/>
      </w:pPr>
      <w:r>
        <w:t xml:space="preserve">Paradójicamente, </w:t>
      </w:r>
      <w:r>
        <w:rPr>
          <w:smallCaps/>
        </w:rPr>
        <w:t>Larry Summers</w:t>
      </w:r>
      <w:r>
        <w:t xml:space="preserve"> </w:t>
      </w:r>
      <w:r w:rsidRPr="00365C91">
        <w:rPr>
          <w:sz w:val="19"/>
          <w:szCs w:val="19"/>
        </w:rPr>
        <w:t xml:space="preserve">(primer economista en rescatar el concepto introducido por </w:t>
      </w:r>
      <w:r w:rsidRPr="00365C91">
        <w:rPr>
          <w:smallCaps/>
          <w:sz w:val="19"/>
          <w:szCs w:val="19"/>
        </w:rPr>
        <w:t>Alvin Hansen</w:t>
      </w:r>
      <w:r w:rsidRPr="00365C91">
        <w:rPr>
          <w:sz w:val="19"/>
          <w:szCs w:val="19"/>
        </w:rPr>
        <w:t xml:space="preserve"> y considerar que la economía se encuentra ante un problema de estancamiento secular en 2013)</w:t>
      </w:r>
      <w:r>
        <w:t xml:space="preserve"> afirma en 2022 que el mundo ya no se encuentra en una situación de estancamiento secular. Por el contrario, </w:t>
      </w:r>
      <w:r>
        <w:rPr>
          <w:smallCaps/>
        </w:rPr>
        <w:t>Olivier Blanchard</w:t>
      </w:r>
      <w:r>
        <w:t xml:space="preserve"> considera que aún no se ha acabado dicho escenario y que son circunstancias excepcionales las que han llevado a mayores tipos de interés.</w:t>
      </w:r>
    </w:p>
    <w:p w14:paraId="1CB79602" w14:textId="77777777" w:rsidR="00050981" w:rsidRDefault="00050981" w:rsidP="00050981">
      <w:pPr>
        <w:pStyle w:val="Nivel3SM"/>
        <w:keepNext/>
      </w:pPr>
      <w:r w:rsidRPr="00616BBF">
        <w:rPr>
          <w:smallCaps/>
        </w:rPr>
        <w:t>Blanchard</w:t>
      </w:r>
      <w:r>
        <w:t>:</w:t>
      </w:r>
    </w:p>
    <w:p w14:paraId="4A0283BF" w14:textId="77777777" w:rsidR="00050981" w:rsidRPr="00BA1A85" w:rsidRDefault="00050981" w:rsidP="00050981">
      <w:pPr>
        <w:pStyle w:val="Nivel4"/>
        <w:keepNext/>
        <w:ind w:left="1474"/>
        <w:rPr>
          <w:spacing w:val="-1"/>
        </w:rPr>
      </w:pPr>
      <w:r w:rsidRPr="00BA1A85">
        <w:rPr>
          <w:spacing w:val="-1"/>
        </w:rPr>
        <w:t>En los 35 años previos a la pandemia los tipos de interés reales caen en todo el mundo.</w:t>
      </w:r>
    </w:p>
    <w:p w14:paraId="5D8518FE" w14:textId="77777777" w:rsidR="00050981" w:rsidRDefault="00050981" w:rsidP="00050981">
      <w:pPr>
        <w:pStyle w:val="Nivel5"/>
        <w:keepNext/>
        <w:ind w:left="1871"/>
      </w:pPr>
      <w:r>
        <w:t>Factores clave:</w:t>
      </w:r>
    </w:p>
    <w:p w14:paraId="561CA39C" w14:textId="77777777" w:rsidR="00050981" w:rsidRDefault="00050981" w:rsidP="00050981">
      <w:pPr>
        <w:pStyle w:val="Nivel6"/>
        <w:ind w:left="2212"/>
      </w:pPr>
      <w:r w:rsidRPr="00BF7ED9">
        <w:rPr>
          <w:i/>
          <w:iCs/>
        </w:rPr>
        <w:t xml:space="preserve">Demand </w:t>
      </w:r>
      <w:proofErr w:type="spellStart"/>
      <w:r w:rsidRPr="00BF7ED9">
        <w:rPr>
          <w:i/>
          <w:iCs/>
        </w:rPr>
        <w:t>for</w:t>
      </w:r>
      <w:proofErr w:type="spellEnd"/>
      <w:r w:rsidRPr="00BF7ED9">
        <w:rPr>
          <w:i/>
          <w:iCs/>
        </w:rPr>
        <w:t xml:space="preserve"> safety</w:t>
      </w:r>
      <w:r w:rsidRPr="00BF7ED9">
        <w:t>,</w:t>
      </w:r>
    </w:p>
    <w:p w14:paraId="23BD819F" w14:textId="77777777" w:rsidR="00050981" w:rsidRDefault="00050981" w:rsidP="00050981">
      <w:pPr>
        <w:pStyle w:val="Nivel6"/>
        <w:ind w:left="2212"/>
      </w:pPr>
      <w:r w:rsidRPr="00BF7ED9">
        <w:t>Envejecimiento de la población</w:t>
      </w:r>
      <w:r>
        <w:t>; y</w:t>
      </w:r>
    </w:p>
    <w:p w14:paraId="38228475" w14:textId="77777777" w:rsidR="00050981" w:rsidRDefault="00050981" w:rsidP="00050981">
      <w:pPr>
        <w:pStyle w:val="Nivel6"/>
        <w:keepNext/>
        <w:ind w:left="2212"/>
      </w:pPr>
      <w:r>
        <w:t>Demanda de inversión débil. Esto podría cambiar debido a:</w:t>
      </w:r>
    </w:p>
    <w:p w14:paraId="1F405239" w14:textId="77777777" w:rsidR="00050981" w:rsidRDefault="00050981" w:rsidP="00050981">
      <w:pPr>
        <w:pStyle w:val="Nivel7"/>
        <w:ind w:left="2438"/>
      </w:pPr>
      <w:r>
        <w:t xml:space="preserve">Inteligencia artificial (que lleve a un mayor crecimiento de la PTF, </w:t>
      </w:r>
      <w:proofErr w:type="gramStart"/>
      <w:r>
        <w:t xml:space="preserve">mayor </w:t>
      </w:r>
      <w:r>
        <w:rPr>
          <w:i/>
          <w:iCs/>
        </w:rPr>
        <w:t>g</w:t>
      </w:r>
      <w:r>
        <w:t xml:space="preserve"> y mayor </w:t>
      </w:r>
      <w:r>
        <w:rPr>
          <w:i/>
          <w:iCs/>
        </w:rPr>
        <w:t>r</w:t>
      </w:r>
      <w:proofErr w:type="gramEnd"/>
      <w:r>
        <w:t xml:space="preserve"> y, por lo </w:t>
      </w:r>
      <w:proofErr w:type="gramStart"/>
      <w:r>
        <w:t>tanto</w:t>
      </w:r>
      <w:proofErr w:type="gramEnd"/>
      <w:r>
        <w:t xml:space="preserve"> generando efectos ambiguos)</w:t>
      </w:r>
      <w:r w:rsidRPr="00BF7ED9">
        <w:t>.</w:t>
      </w:r>
    </w:p>
    <w:p w14:paraId="019F26C2" w14:textId="77777777" w:rsidR="00050981" w:rsidRDefault="00050981" w:rsidP="00050981">
      <w:pPr>
        <w:pStyle w:val="Nivel7"/>
        <w:ind w:left="2438"/>
      </w:pPr>
      <w:proofErr w:type="spellStart"/>
      <w:r>
        <w:t>Re-shoring</w:t>
      </w:r>
      <w:proofErr w:type="spellEnd"/>
      <w:r>
        <w:t>.</w:t>
      </w:r>
    </w:p>
    <w:p w14:paraId="519E8FFB" w14:textId="77777777" w:rsidR="00050981" w:rsidRPr="00BF7ED9" w:rsidRDefault="00050981" w:rsidP="00050981">
      <w:pPr>
        <w:pStyle w:val="Nivel7"/>
        <w:ind w:left="2438"/>
        <w:rPr>
          <w:spacing w:val="-2"/>
        </w:rPr>
      </w:pPr>
      <w:r w:rsidRPr="00BF7ED9">
        <w:rPr>
          <w:spacing w:val="-2"/>
        </w:rPr>
        <w:t xml:space="preserve">Gasto público en defensa y en adaptación al cambio climático </w:t>
      </w:r>
      <w:r w:rsidRPr="00BF7ED9">
        <w:rPr>
          <w:spacing w:val="-2"/>
          <w:sz w:val="19"/>
          <w:szCs w:val="19"/>
        </w:rPr>
        <w:t>(más inversión)</w:t>
      </w:r>
      <w:r w:rsidRPr="00BF7ED9">
        <w:rPr>
          <w:spacing w:val="-2"/>
        </w:rPr>
        <w:t>.</w:t>
      </w:r>
    </w:p>
    <w:p w14:paraId="4B06702B" w14:textId="77777777" w:rsidR="00050981" w:rsidRDefault="00050981" w:rsidP="00050981">
      <w:pPr>
        <w:pStyle w:val="Nivel4"/>
        <w:ind w:left="1474"/>
      </w:pPr>
      <w:r>
        <w:t xml:space="preserve">Incluso en el momento álgido de la lucha contra la inflación y las subidas de tipos de interés, </w:t>
      </w:r>
      <w:r w:rsidRPr="00F65165">
        <w:rPr>
          <w:i/>
          <w:iCs/>
        </w:rPr>
        <w:t>r</w:t>
      </w:r>
      <w:r>
        <w:rPr>
          <w:i/>
          <w:iCs/>
        </w:rPr>
        <w:t> </w:t>
      </w:r>
      <w:r>
        <w:rPr>
          <w:rFonts w:ascii="Times New Roman" w:hAnsi="Times New Roman" w:cs="Times New Roman"/>
          <w:i/>
          <w:iCs/>
        </w:rPr>
        <w:t>&lt; </w:t>
      </w:r>
      <w:r w:rsidRPr="00F65165">
        <w:rPr>
          <w:i/>
          <w:iCs/>
        </w:rPr>
        <w:t>g</w:t>
      </w:r>
      <w:r>
        <w:t xml:space="preserve"> </w:t>
      </w:r>
      <w:r w:rsidRPr="00616BBF">
        <w:rPr>
          <w:sz w:val="19"/>
          <w:szCs w:val="19"/>
        </w:rPr>
        <w:t>(aunque la diferencia se ha reducido y podría revertir en los próximos meses)</w:t>
      </w:r>
      <w:r>
        <w:t>.</w:t>
      </w:r>
    </w:p>
    <w:p w14:paraId="5109FAB6" w14:textId="77777777" w:rsidR="00050981" w:rsidRPr="00BF7ED9" w:rsidRDefault="00050981" w:rsidP="00050981">
      <w:pPr>
        <w:pStyle w:val="Nivel4"/>
        <w:ind w:left="1474"/>
      </w:pPr>
      <w:r>
        <w:t xml:space="preserve">Como consecuencia de todo lo anterior, </w:t>
      </w:r>
      <w:r>
        <w:rPr>
          <w:smallCaps/>
        </w:rPr>
        <w:t>Blanchard</w:t>
      </w:r>
      <w:r>
        <w:t xml:space="preserve"> anticipa que </w:t>
      </w:r>
      <w:r>
        <w:rPr>
          <w:i/>
          <w:iCs/>
        </w:rPr>
        <w:t>r</w:t>
      </w:r>
      <w:r>
        <w:t xml:space="preserve"> tenderá a valores reducidos e inferiores a </w:t>
      </w:r>
      <w:r>
        <w:rPr>
          <w:i/>
          <w:iCs/>
        </w:rPr>
        <w:t>g</w:t>
      </w:r>
      <w:r>
        <w:t xml:space="preserve"> (aunque mayores que tras la crisis financiera global debido a los factores que podrían llevar a una mayor demanda de inversión).</w:t>
      </w:r>
    </w:p>
    <w:p w14:paraId="06E3F0D6" w14:textId="77777777" w:rsidR="00050981" w:rsidRDefault="00050981" w:rsidP="00050981">
      <w:pPr>
        <w:pStyle w:val="Nivel3SM"/>
        <w:keepNext/>
      </w:pPr>
      <w:r>
        <w:rPr>
          <w:smallCaps/>
        </w:rPr>
        <w:t>Summers</w:t>
      </w:r>
      <w:r>
        <w:t>:</w:t>
      </w:r>
    </w:p>
    <w:p w14:paraId="719AF79D" w14:textId="77777777" w:rsidR="00050981" w:rsidRDefault="00050981" w:rsidP="00050981">
      <w:pPr>
        <w:pStyle w:val="Nivel4"/>
        <w:keepNext/>
        <w:ind w:left="1474"/>
      </w:pPr>
      <w:r>
        <w:t xml:space="preserve">Están de acuerdo en la manera de razonar, pero de acuerdo con </w:t>
      </w:r>
      <w:r>
        <w:rPr>
          <w:smallCaps/>
        </w:rPr>
        <w:t>Summers</w:t>
      </w:r>
      <w:r>
        <w:t xml:space="preserve"> hay una diferencia semántica:</w:t>
      </w:r>
    </w:p>
    <w:p w14:paraId="611A32E0" w14:textId="77777777" w:rsidR="00050981" w:rsidRDefault="00050981" w:rsidP="00050981">
      <w:pPr>
        <w:pStyle w:val="Nivel5"/>
        <w:ind w:left="1871"/>
      </w:pPr>
      <w:r>
        <w:t xml:space="preserve">Para </w:t>
      </w:r>
      <w:r>
        <w:rPr>
          <w:smallCaps/>
        </w:rPr>
        <w:t>Summers</w:t>
      </w:r>
      <w:r>
        <w:t xml:space="preserve"> la era de estancamiento secular ha concluido porque la Reserva Federal ha identificado el tipo de interés real neutral en 0,5 %, mientras que el tipo de interés real se encuentra en 1,5 % </w:t>
      </w:r>
      <w:r w:rsidRPr="00D373A7">
        <w:rPr>
          <w:sz w:val="19"/>
          <w:szCs w:val="19"/>
        </w:rPr>
        <w:t>(significativamente superior al nivel neutral)</w:t>
      </w:r>
      <w:r>
        <w:t>.</w:t>
      </w:r>
    </w:p>
    <w:p w14:paraId="451EAA7E" w14:textId="77777777" w:rsidR="00050981" w:rsidRDefault="00050981" w:rsidP="00050981">
      <w:pPr>
        <w:pStyle w:val="Nivel5"/>
        <w:keepNext/>
        <w:ind w:left="1871"/>
      </w:pPr>
      <w:r>
        <w:t xml:space="preserve">Para </w:t>
      </w:r>
      <w:r>
        <w:rPr>
          <w:smallCaps/>
        </w:rPr>
        <w:t>Blanchard</w:t>
      </w:r>
      <w:r>
        <w:t xml:space="preserve">, en cambio, aún sigue en pie porque se cumple la condición </w:t>
      </w:r>
      <w:r w:rsidRPr="00F65165">
        <w:rPr>
          <w:i/>
          <w:iCs/>
        </w:rPr>
        <w:t>r</w:t>
      </w:r>
      <w:r>
        <w:rPr>
          <w:i/>
          <w:iCs/>
        </w:rPr>
        <w:t> </w:t>
      </w:r>
      <w:r>
        <w:rPr>
          <w:rFonts w:ascii="Times New Roman" w:hAnsi="Times New Roman" w:cs="Times New Roman"/>
          <w:i/>
          <w:iCs/>
        </w:rPr>
        <w:t>&lt; </w:t>
      </w:r>
      <w:r w:rsidRPr="00F65165">
        <w:rPr>
          <w:i/>
          <w:iCs/>
        </w:rPr>
        <w:t>g</w:t>
      </w:r>
      <w:r>
        <w:t>.</w:t>
      </w:r>
    </w:p>
    <w:p w14:paraId="447F8BEC" w14:textId="77777777" w:rsidR="00050981" w:rsidRDefault="00050981" w:rsidP="00050981">
      <w:pPr>
        <w:pStyle w:val="Nivel6"/>
        <w:ind w:left="2212"/>
      </w:pPr>
      <w:r>
        <w:t xml:space="preserve">Según </w:t>
      </w:r>
      <w:r>
        <w:rPr>
          <w:smallCaps/>
        </w:rPr>
        <w:t>Summers</w:t>
      </w:r>
      <w:r>
        <w:t xml:space="preserve">, si aplicamos el criterio de </w:t>
      </w:r>
      <w:r>
        <w:rPr>
          <w:smallCaps/>
        </w:rPr>
        <w:t>Blanchard</w:t>
      </w:r>
      <w:r>
        <w:t xml:space="preserve"> existiría estancamiento secular en la década de 1950 y 1960, cuando no parecía haber un problema de demanda (i.e. no había estancamiento secular).</w:t>
      </w:r>
    </w:p>
    <w:p w14:paraId="6C27C901" w14:textId="77777777" w:rsidR="00050981" w:rsidRPr="00F715C8" w:rsidRDefault="00050981" w:rsidP="00050981">
      <w:pPr>
        <w:pStyle w:val="Nivel4"/>
        <w:keepNext/>
        <w:ind w:left="1474"/>
        <w:rPr>
          <w:spacing w:val="-2"/>
        </w:rPr>
      </w:pPr>
      <w:r w:rsidRPr="00F715C8">
        <w:rPr>
          <w:spacing w:val="-2"/>
        </w:rPr>
        <w:t xml:space="preserve">Además </w:t>
      </w:r>
      <w:r w:rsidRPr="00F715C8">
        <w:rPr>
          <w:smallCaps/>
          <w:spacing w:val="-2"/>
        </w:rPr>
        <w:t>Summers</w:t>
      </w:r>
      <w:r w:rsidRPr="00F715C8">
        <w:rPr>
          <w:spacing w:val="-2"/>
        </w:rPr>
        <w:t xml:space="preserve"> pondera de distinta manera los factores señalados por </w:t>
      </w:r>
      <w:r w:rsidRPr="00F715C8">
        <w:rPr>
          <w:smallCaps/>
          <w:spacing w:val="-2"/>
        </w:rPr>
        <w:t>Blanchard</w:t>
      </w:r>
      <w:r w:rsidRPr="00F715C8">
        <w:rPr>
          <w:spacing w:val="-2"/>
        </w:rPr>
        <w:t>:</w:t>
      </w:r>
    </w:p>
    <w:p w14:paraId="4D571742" w14:textId="77777777" w:rsidR="00050981" w:rsidRDefault="00050981" w:rsidP="00050981">
      <w:pPr>
        <w:pStyle w:val="Nivel5"/>
        <w:ind w:left="1871"/>
      </w:pPr>
      <w:r w:rsidRPr="00F715C8">
        <w:rPr>
          <w:smallCaps/>
        </w:rPr>
        <w:t>Summers</w:t>
      </w:r>
      <w:r>
        <w:t xml:space="preserve"> considera que </w:t>
      </w:r>
      <w:r w:rsidRPr="00F715C8">
        <w:t>hay</w:t>
      </w:r>
      <w:r>
        <w:t xml:space="preserve"> una mayor aversión al riesgo por parte de los inversores y no una mayor </w:t>
      </w:r>
      <w:proofErr w:type="spellStart"/>
      <w:r w:rsidRPr="00F715C8">
        <w:rPr>
          <w:i/>
          <w:iCs/>
        </w:rPr>
        <w:t>demand</w:t>
      </w:r>
      <w:proofErr w:type="spellEnd"/>
      <w:r w:rsidRPr="00F715C8">
        <w:rPr>
          <w:i/>
          <w:iCs/>
        </w:rPr>
        <w:t xml:space="preserve"> </w:t>
      </w:r>
      <w:proofErr w:type="spellStart"/>
      <w:r>
        <w:rPr>
          <w:i/>
          <w:iCs/>
        </w:rPr>
        <w:t>for</w:t>
      </w:r>
      <w:proofErr w:type="spellEnd"/>
      <w:r>
        <w:rPr>
          <w:i/>
          <w:iCs/>
        </w:rPr>
        <w:t xml:space="preserve"> safety</w:t>
      </w:r>
      <w:r>
        <w:t xml:space="preserve"> (lo que parece un fenómeno de largo plazo y lleva a aumentos del tipo de interés neutral).</w:t>
      </w:r>
    </w:p>
    <w:p w14:paraId="21242E66" w14:textId="77777777" w:rsidR="00050981" w:rsidRDefault="00050981" w:rsidP="00050981">
      <w:pPr>
        <w:pStyle w:val="Nivel5"/>
        <w:ind w:left="1871"/>
      </w:pPr>
      <w:r>
        <w:t xml:space="preserve">La tendencia hacia el aumento de la esperanza de vida ha perdido fuerza. Además, </w:t>
      </w:r>
      <w:r>
        <w:rPr>
          <w:smallCaps/>
        </w:rPr>
        <w:t>Larry Summers</w:t>
      </w:r>
      <w:r>
        <w:t xml:space="preserve"> afirma que lo realmente relevante es la relación entre </w:t>
      </w:r>
      <w:r>
        <w:lastRenderedPageBreak/>
        <w:t>la esperanza de vida y la edad de jubilación (que también ha aumentado), pues es lo que marca la ratio entre ahorradores y demandantes de fondos prestables.</w:t>
      </w:r>
    </w:p>
    <w:p w14:paraId="25232228" w14:textId="0414B65B" w:rsidR="00050981" w:rsidRDefault="00050981" w:rsidP="00050981">
      <w:pPr>
        <w:pStyle w:val="Nivel2SM"/>
      </w:pPr>
      <w:r>
        <w:t xml:space="preserve">Con respecto a la inversión, </w:t>
      </w:r>
      <w:r>
        <w:rPr>
          <w:smallCaps/>
        </w:rPr>
        <w:t>Summers</w:t>
      </w:r>
      <w:r>
        <w:t xml:space="preserve"> considera que la demanda de inversión aumentará</w:t>
      </w:r>
      <w:r>
        <w:rPr>
          <w:rStyle w:val="Refdenotaalpie"/>
        </w:rPr>
        <w:footnoteReference w:id="38"/>
      </w:r>
      <w:r>
        <w:t>.</w:t>
      </w:r>
      <w:bookmarkEnd w:id="123"/>
    </w:p>
    <w:p w14:paraId="078DF3E2" w14:textId="7D8CC03A" w:rsidR="00C00295" w:rsidRDefault="005C010F" w:rsidP="005C010F">
      <w:pPr>
        <w:pStyle w:val="Introduccinyconclusin"/>
      </w:pPr>
      <w:r>
        <w:t>CONCLUSIÓN</w:t>
      </w:r>
    </w:p>
    <w:p w14:paraId="5333531B" w14:textId="77777777" w:rsidR="00525D2E" w:rsidRDefault="00525D2E" w:rsidP="00525D2E">
      <w:pPr>
        <w:pStyle w:val="Nivel1"/>
        <w:keepNext/>
        <w:spacing w:before="0" w:after="0"/>
      </w:pPr>
      <w:r w:rsidRPr="00525D2E">
        <w:rPr>
          <w:b/>
          <w:bCs/>
          <w:i/>
          <w:iCs/>
        </w:rPr>
        <w:t>Ideas clave (recapitulación)</w:t>
      </w:r>
      <w:r>
        <w:t>:</w:t>
      </w:r>
    </w:p>
    <w:p w14:paraId="6A450D09" w14:textId="77777777" w:rsidR="003029A5" w:rsidRDefault="003029A5" w:rsidP="003029A5">
      <w:pPr>
        <w:pStyle w:val="Nivel2"/>
        <w:keepNext/>
        <w:spacing w:after="0"/>
      </w:pPr>
      <w:r>
        <w:t>A lo largo de esta exposición h</w:t>
      </w:r>
      <w:r w:rsidR="00525D2E">
        <w:t xml:space="preserve">emos </w:t>
      </w:r>
      <w:r>
        <w:t>visto que es relevante contar con criterios y reglas que nos permitan analizar el comportamiento .</w:t>
      </w:r>
    </w:p>
    <w:p w14:paraId="56698F88" w14:textId="121A5888" w:rsidR="002B41A0" w:rsidRDefault="002B41A0" w:rsidP="003029A5">
      <w:pPr>
        <w:pStyle w:val="Nivel3"/>
      </w:pPr>
      <w:r>
        <w:t>Así, hemos comenzado por justificar la necesidad del estudio del sector público.</w:t>
      </w:r>
    </w:p>
    <w:p w14:paraId="56005489" w14:textId="758A519B" w:rsidR="00525D2E" w:rsidRDefault="002B41A0" w:rsidP="003029A5">
      <w:pPr>
        <w:pStyle w:val="Nivel3"/>
      </w:pPr>
      <w:r>
        <w:t>H</w:t>
      </w:r>
      <w:r w:rsidR="003029A5">
        <w:t xml:space="preserve">emos </w:t>
      </w:r>
      <w:r w:rsidR="00525D2E">
        <w:t xml:space="preserve">repasado los elementos definitorios del </w:t>
      </w:r>
      <w:r w:rsidR="003029A5">
        <w:t>sector público</w:t>
      </w:r>
      <w:r>
        <w:t>, lo que nos ha permitido definir qué unidades integran el sector de las AAPP y del sector público empresarial</w:t>
      </w:r>
      <w:r w:rsidR="00525D2E">
        <w:t>.</w:t>
      </w:r>
    </w:p>
    <w:p w14:paraId="75CA2E92" w14:textId="521400D0" w:rsidR="003029A5" w:rsidRDefault="003029A5" w:rsidP="003029A5">
      <w:pPr>
        <w:pStyle w:val="Nivel3"/>
        <w:keepNext/>
      </w:pPr>
      <w:r>
        <w:t>Hemos presentado un marco sistemático y contable que nos ha permitido:</w:t>
      </w:r>
    </w:p>
    <w:p w14:paraId="3763FF69" w14:textId="5A3FAB66" w:rsidR="003029A5" w:rsidRDefault="003029A5" w:rsidP="003029A5">
      <w:pPr>
        <w:pStyle w:val="Nivel4"/>
      </w:pPr>
      <w:r>
        <w:t>Registrar sus operaciones en una sucesión de cuentas a partir de la cual hemos obtenido una serie de macromagnitudes relevantes.</w:t>
      </w:r>
    </w:p>
    <w:p w14:paraId="1450B8A0" w14:textId="6DA650C0" w:rsidR="003029A5" w:rsidRDefault="003029A5" w:rsidP="003029A5">
      <w:pPr>
        <w:pStyle w:val="Nivel4"/>
      </w:pPr>
      <w:r>
        <w:t>Simplificar el análisis en una cuenta integrada (EFP).</w:t>
      </w:r>
    </w:p>
    <w:p w14:paraId="591A1B49" w14:textId="505D2655" w:rsidR="003029A5" w:rsidRDefault="003029A5" w:rsidP="003029A5">
      <w:pPr>
        <w:pStyle w:val="Nivel3"/>
      </w:pPr>
      <w:r>
        <w:t>Finalmente, hemos realizado comparaciones entre países en lo que respecta a dichas macromagnitudes.</w:t>
      </w:r>
    </w:p>
    <w:p w14:paraId="29F05B5A" w14:textId="6DE6020B" w:rsidR="00525D2E" w:rsidRDefault="00525D2E" w:rsidP="00525D2E">
      <w:pPr>
        <w:pStyle w:val="Nivel2"/>
        <w:keepNext/>
        <w:spacing w:after="0"/>
      </w:pPr>
      <w:r>
        <w:t xml:space="preserve">El </w:t>
      </w:r>
      <w:r w:rsidRPr="003029A5">
        <w:rPr>
          <w:i/>
          <w:iCs/>
        </w:rPr>
        <w:t xml:space="preserve">debate sobre la intervención del </w:t>
      </w:r>
      <w:r w:rsidR="003029A5" w:rsidRPr="003029A5">
        <w:rPr>
          <w:i/>
          <w:iCs/>
        </w:rPr>
        <w:t>sector público</w:t>
      </w:r>
      <w:r w:rsidR="003029A5">
        <w:t xml:space="preserve"> </w:t>
      </w:r>
      <w:r>
        <w:t>se remonta al origen de la ciencia económica.</w:t>
      </w:r>
    </w:p>
    <w:p w14:paraId="3206FAD1" w14:textId="77777777" w:rsidR="00525D2E" w:rsidRDefault="00525D2E" w:rsidP="00525D2E">
      <w:pPr>
        <w:pStyle w:val="Nivel3"/>
      </w:pPr>
      <w:r w:rsidRPr="00525D2E">
        <w:rPr>
          <w:smallCaps/>
        </w:rPr>
        <w:t>A. Smith</w:t>
      </w:r>
      <w:r>
        <w:t xml:space="preserve"> y </w:t>
      </w:r>
      <w:r w:rsidRPr="00525D2E">
        <w:rPr>
          <w:smallCaps/>
        </w:rPr>
        <w:t>Ricardo</w:t>
      </w:r>
      <w:r>
        <w:t xml:space="preserve"> propugnan una intervención mínima; </w:t>
      </w:r>
      <w:r w:rsidRPr="00525D2E">
        <w:rPr>
          <w:smallCaps/>
        </w:rPr>
        <w:t>Malthus</w:t>
      </w:r>
      <w:r>
        <w:t xml:space="preserve"> considera que en ocasiones el Estado debe jugar un papel activo para evitar problemas de subconsumo; y </w:t>
      </w:r>
      <w:r w:rsidRPr="00525D2E">
        <w:rPr>
          <w:smallCaps/>
        </w:rPr>
        <w:t>J.S. Mill</w:t>
      </w:r>
      <w:r>
        <w:t xml:space="preserve"> introduce la función social del Estado.</w:t>
      </w:r>
    </w:p>
    <w:p w14:paraId="57F5C33C" w14:textId="25682F02" w:rsidR="00525D2E" w:rsidRDefault="00525D2E" w:rsidP="00525D2E">
      <w:pPr>
        <w:pStyle w:val="Nivel3"/>
      </w:pPr>
      <w:r>
        <w:t xml:space="preserve">Con el progreso de la teoría económica (formalización matemática y gráfica) de los marginalistas y </w:t>
      </w:r>
      <w:r w:rsidR="003029A5">
        <w:t>neoclásicos</w:t>
      </w:r>
      <w:r>
        <w:t xml:space="preserve"> se justifica la intervención estatal para subsanar fallos de mercado (teoría de los bienes públicos, externalidades, economías de escala, etc.); y</w:t>
      </w:r>
    </w:p>
    <w:p w14:paraId="24CC01DB" w14:textId="77777777" w:rsidR="00525D2E" w:rsidRDefault="00525D2E" w:rsidP="00525D2E">
      <w:pPr>
        <w:pStyle w:val="Nivel3"/>
      </w:pPr>
      <w:r>
        <w:t xml:space="preserve">Con </w:t>
      </w:r>
      <w:r w:rsidRPr="00525D2E">
        <w:rPr>
          <w:smallCaps/>
        </w:rPr>
        <w:t>Keynes</w:t>
      </w:r>
      <w:r>
        <w:t xml:space="preserve"> se le asigna al Estado un papel determinante en la economía (estabilización macroeconómica, búsqueda del pleno empleo).</w:t>
      </w:r>
    </w:p>
    <w:p w14:paraId="65B7F808" w14:textId="2736150C" w:rsidR="00525D2E" w:rsidRDefault="00525D2E" w:rsidP="00525D2E">
      <w:pPr>
        <w:pStyle w:val="Nivel2"/>
      </w:pPr>
      <w:r>
        <w:t xml:space="preserve">La Economía Pública, por su parte, pone de manifiesto </w:t>
      </w:r>
      <w:r w:rsidRPr="00525D2E">
        <w:rPr>
          <w:i/>
          <w:iCs/>
        </w:rPr>
        <w:t xml:space="preserve">los fallos del </w:t>
      </w:r>
      <w:r w:rsidR="003029A5">
        <w:rPr>
          <w:i/>
          <w:iCs/>
        </w:rPr>
        <w:t>sector público</w:t>
      </w:r>
      <w:r>
        <w:t xml:space="preserve"> argumentando que este trata de maximizar su propia función de utilidad (distinta de la de la colectividad), reabriendo nuevamente el debate sobre la deseabilidad de la intervención, que deberá analizarse caso por caso y en base a un análisis coste-beneficio.</w:t>
      </w:r>
    </w:p>
    <w:p w14:paraId="66DC65CF" w14:textId="77CC0FE5" w:rsidR="00525D2E" w:rsidRDefault="00525D2E" w:rsidP="00525D2E">
      <w:pPr>
        <w:pStyle w:val="Nivel1"/>
        <w:keepNext/>
        <w:spacing w:after="0"/>
      </w:pPr>
      <w:r w:rsidRPr="00525D2E">
        <w:rPr>
          <w:b/>
          <w:bCs/>
          <w:i/>
          <w:iCs/>
        </w:rPr>
        <w:t>Relevancia</w:t>
      </w:r>
      <w:r>
        <w:t>:</w:t>
      </w:r>
    </w:p>
    <w:p w14:paraId="66C2DDDA" w14:textId="69677CE3" w:rsidR="00525D2E" w:rsidRPr="00525D2E" w:rsidRDefault="00525D2E" w:rsidP="00525D2E">
      <w:pPr>
        <w:pStyle w:val="Nivel2"/>
      </w:pPr>
    </w:p>
    <w:p w14:paraId="2129929C" w14:textId="3BE53D9C" w:rsidR="00525D2E" w:rsidRDefault="00525D2E" w:rsidP="00525D2E">
      <w:pPr>
        <w:pStyle w:val="Nivel1"/>
        <w:keepNext/>
        <w:spacing w:after="0"/>
      </w:pPr>
      <w:r w:rsidRPr="00525D2E">
        <w:rPr>
          <w:b/>
          <w:bCs/>
          <w:i/>
          <w:iCs/>
        </w:rPr>
        <w:t>Extensiones y relación con otras partes del temario</w:t>
      </w:r>
      <w:r>
        <w:t>:</w:t>
      </w:r>
    </w:p>
    <w:p w14:paraId="1F05749C" w14:textId="77777777" w:rsidR="00525D2E" w:rsidRPr="00525D2E" w:rsidRDefault="00525D2E" w:rsidP="00525D2E">
      <w:pPr>
        <w:pStyle w:val="Nivel2"/>
      </w:pPr>
    </w:p>
    <w:p w14:paraId="2F1142AC" w14:textId="422F06ED" w:rsidR="00525D2E" w:rsidRDefault="00525D2E" w:rsidP="00525D2E">
      <w:pPr>
        <w:pStyle w:val="Nivel1"/>
        <w:keepNext/>
        <w:spacing w:after="0"/>
      </w:pPr>
      <w:r w:rsidRPr="00525D2E">
        <w:rPr>
          <w:b/>
          <w:bCs/>
          <w:i/>
          <w:iCs/>
        </w:rPr>
        <w:t>Opinión</w:t>
      </w:r>
      <w:r>
        <w:t>:</w:t>
      </w:r>
    </w:p>
    <w:p w14:paraId="7F73859C" w14:textId="77777777" w:rsidR="00525D2E" w:rsidRPr="00525D2E" w:rsidRDefault="00525D2E" w:rsidP="00525D2E">
      <w:pPr>
        <w:pStyle w:val="Nivel2"/>
      </w:pPr>
    </w:p>
    <w:p w14:paraId="53AC83BA" w14:textId="08BF544A" w:rsidR="00525D2E" w:rsidRDefault="00525D2E" w:rsidP="00525D2E">
      <w:pPr>
        <w:pStyle w:val="Nivel1"/>
        <w:keepNext/>
        <w:spacing w:after="0"/>
      </w:pPr>
      <w:r>
        <w:rPr>
          <w:b/>
          <w:bCs/>
          <w:i/>
          <w:iCs/>
        </w:rPr>
        <w:t>Idea final (</w:t>
      </w:r>
      <w:r w:rsidRPr="00525D2E">
        <w:rPr>
          <w:b/>
          <w:bCs/>
          <w:i/>
          <w:iCs/>
        </w:rPr>
        <w:t>Salida o cierre</w:t>
      </w:r>
      <w:r>
        <w:rPr>
          <w:b/>
          <w:bCs/>
          <w:i/>
          <w:iCs/>
        </w:rPr>
        <w:t>)</w:t>
      </w:r>
      <w:r>
        <w:t>:</w:t>
      </w:r>
    </w:p>
    <w:p w14:paraId="5BF3663B" w14:textId="5D8671DE" w:rsidR="004E1F0C" w:rsidRDefault="00525D2E" w:rsidP="004E1F0C">
      <w:pPr>
        <w:pStyle w:val="Nivel2"/>
        <w:keepNext/>
        <w:spacing w:after="0"/>
      </w:pPr>
      <w:r>
        <w:t xml:space="preserve">En definitiva, el debate acerca del tamaño óptimo del </w:t>
      </w:r>
      <w:r w:rsidR="003F0EBE">
        <w:t>sector público</w:t>
      </w:r>
      <w:r>
        <w:t xml:space="preserve"> ha sido una constante en la Economía Pública, y podemos concluir que </w:t>
      </w:r>
      <w:r w:rsidRPr="004E1F0C">
        <w:rPr>
          <w:i/>
          <w:iCs/>
        </w:rPr>
        <w:t>no hay un único tamaño óptimo</w:t>
      </w:r>
      <w:r>
        <w:t xml:space="preserve">, sino que este </w:t>
      </w:r>
      <w:r w:rsidRPr="004E1F0C">
        <w:rPr>
          <w:b/>
          <w:bCs/>
        </w:rPr>
        <w:t xml:space="preserve">dependerá de las preferencias sociales y del uso que se dé a los </w:t>
      </w:r>
      <w:r w:rsidR="004E1F0C">
        <w:rPr>
          <w:b/>
          <w:bCs/>
        </w:rPr>
        <w:t>ingresos públicos</w:t>
      </w:r>
      <w:r>
        <w:t xml:space="preserve"> </w:t>
      </w:r>
      <w:r>
        <w:lastRenderedPageBreak/>
        <w:t xml:space="preserve">(hay múltiples ejemplos de países prósperos con un gran peso del </w:t>
      </w:r>
      <w:r w:rsidR="003F0EBE">
        <w:t>sector público</w:t>
      </w:r>
      <w:r>
        <w:t xml:space="preserve"> y viceversa).</w:t>
      </w:r>
    </w:p>
    <w:p w14:paraId="5DB32784" w14:textId="4240A02E" w:rsidR="00525D2E" w:rsidRDefault="00525D2E" w:rsidP="004E1F0C">
      <w:pPr>
        <w:pStyle w:val="Nivel3"/>
      </w:pPr>
      <w:r>
        <w:t xml:space="preserve">Sí que parece generalmente aceptado, no obstante, que un tamaño excesivo del </w:t>
      </w:r>
      <w:r w:rsidR="003F0EBE">
        <w:t>gasto público</w:t>
      </w:r>
      <w:r>
        <w:t xml:space="preserve">, como el alcanzado a principios de los 90 en numerosos </w:t>
      </w:r>
      <w:r w:rsidR="004E1F0C">
        <w:t>países desarrollados</w:t>
      </w:r>
      <w:r>
        <w:t xml:space="preserve"> es negativo para el funcionamiento de la economía.</w:t>
      </w:r>
    </w:p>
    <w:p w14:paraId="6BD1E6F6" w14:textId="60EF3184" w:rsidR="00F054D1" w:rsidRPr="00C8093C" w:rsidRDefault="00525D2E" w:rsidP="004E1F0C">
      <w:pPr>
        <w:pStyle w:val="Nivel2"/>
        <w:rPr>
          <w:b/>
        </w:rPr>
      </w:pPr>
      <w:r>
        <w:t xml:space="preserve">El énfasis, por tanto, no debe ponerse en la reducción del </w:t>
      </w:r>
      <w:r w:rsidR="003F0EBE">
        <w:t>gasto público</w:t>
      </w:r>
      <w:r>
        <w:t xml:space="preserve"> per se sino en su racionalización, es decir, en buscar aquellas partidas que realmente contribuyen a la eficiencia asignativa, la equidad y la estabilización, y eliminar aquellas otras que puedan ser superfluas. </w:t>
      </w:r>
      <w:r w:rsidRPr="004E1F0C">
        <w:rPr>
          <w:smallCaps/>
        </w:rPr>
        <w:t>Jeffrey Sachs</w:t>
      </w:r>
      <w:r>
        <w:t xml:space="preserve">: lo importante no es el tamaño del </w:t>
      </w:r>
      <w:r w:rsidR="003F0EBE">
        <w:t>sector público</w:t>
      </w:r>
      <w:r>
        <w:t xml:space="preserve">, sino su eficacia (mi opinión, esto es </w:t>
      </w:r>
      <w:proofErr w:type="spellStart"/>
      <w:r w:rsidRPr="004E1F0C">
        <w:rPr>
          <w:i/>
          <w:iCs/>
        </w:rPr>
        <w:t>wishful</w:t>
      </w:r>
      <w:proofErr w:type="spellEnd"/>
      <w:r w:rsidRPr="004E1F0C">
        <w:rPr>
          <w:i/>
          <w:iCs/>
        </w:rPr>
        <w:t xml:space="preserve"> </w:t>
      </w:r>
      <w:proofErr w:type="spellStart"/>
      <w:r w:rsidRPr="004E1F0C">
        <w:rPr>
          <w:i/>
          <w:iCs/>
        </w:rPr>
        <w:t>thinking</w:t>
      </w:r>
      <w:proofErr w:type="spellEnd"/>
      <w:r>
        <w:t>).</w:t>
      </w:r>
    </w:p>
    <w:p w14:paraId="6BB36706" w14:textId="5C6F7E99" w:rsidR="00C8093C" w:rsidRDefault="00C8093C" w:rsidP="004E1F0C">
      <w:pPr>
        <w:pStyle w:val="Nivel2"/>
        <w:rPr>
          <w:b/>
        </w:rPr>
      </w:pPr>
      <w:r>
        <w:t>En definitiva, el análisis de contabilidad nacional y de las macromagnitudes es esencial para comprender la sostenibilidad de las cuentas públicas.</w:t>
      </w:r>
    </w:p>
    <w:p w14:paraId="5D4CC501" w14:textId="77777777" w:rsidR="00AB12D0" w:rsidRDefault="00AB12D0">
      <w:pPr>
        <w:spacing w:after="0" w:line="240" w:lineRule="auto"/>
        <w:jc w:val="left"/>
        <w:rPr>
          <w:b/>
          <w:u w:val="single"/>
        </w:rPr>
      </w:pPr>
      <w:r>
        <w:rPr>
          <w:b/>
          <w:u w:val="single"/>
        </w:rPr>
        <w:br w:type="page"/>
      </w:r>
    </w:p>
    <w:p w14:paraId="087EEC7A" w14:textId="77777777" w:rsidR="00AB12D0" w:rsidRDefault="00AB12D0" w:rsidP="00AB12D0">
      <w:pPr>
        <w:pStyle w:val="Ttulo4"/>
      </w:pPr>
      <w:bookmarkStart w:id="124" w:name="_Hlk145919065"/>
      <w:r>
        <w:lastRenderedPageBreak/>
        <w:t>Bibliografía</w:t>
      </w:r>
    </w:p>
    <w:p w14:paraId="0842CA9B" w14:textId="77777777" w:rsidR="00AB12D0" w:rsidRDefault="00AB12D0" w:rsidP="00AB12D0">
      <w:r>
        <w:t>Tema María Palacios Carrere</w:t>
      </w:r>
    </w:p>
    <w:p w14:paraId="3ABFD7F1" w14:textId="44329ADE" w:rsidR="00577F36" w:rsidRDefault="00577F36" w:rsidP="00AB12D0">
      <w:r w:rsidRPr="00577F36">
        <w:t>Parlamento Europeo y Consejo (2013)</w:t>
      </w:r>
      <w:r w:rsidR="00DE3F57">
        <w:t>.</w:t>
      </w:r>
      <w:r w:rsidRPr="00577F36">
        <w:t xml:space="preserve"> </w:t>
      </w:r>
      <w:r>
        <w:rPr>
          <w:i/>
          <w:iCs/>
        </w:rPr>
        <w:t xml:space="preserve">Reglamento UE </w:t>
      </w:r>
      <w:proofErr w:type="spellStart"/>
      <w:r>
        <w:rPr>
          <w:i/>
          <w:iCs/>
        </w:rPr>
        <w:t>Nº</w:t>
      </w:r>
      <w:proofErr w:type="spellEnd"/>
      <w:r>
        <w:rPr>
          <w:i/>
          <w:iCs/>
        </w:rPr>
        <w:t xml:space="preserve"> 549/2013 relativo al sistema Europeo de Cuentas nacionales y Regionales de la UE</w:t>
      </w:r>
      <w:r w:rsidRPr="00577F36">
        <w:t>.</w:t>
      </w:r>
      <w:r>
        <w:t xml:space="preserve"> Anexo A (Capítulo 20: Cuentas de las Administraciones Públicas).</w:t>
      </w:r>
      <w:r w:rsidRPr="00577F36">
        <w:t xml:space="preserve"> </w:t>
      </w:r>
      <w:hyperlink r:id="rId58" w:history="1">
        <w:r w:rsidRPr="008C4AF0">
          <w:rPr>
            <w:rStyle w:val="Hipervnculo"/>
            <w:iCs/>
          </w:rPr>
          <w:t>https://www.boe.es/doue/2013/174/L00001-00727.pdf</w:t>
        </w:r>
      </w:hyperlink>
    </w:p>
    <w:p w14:paraId="78C288BA" w14:textId="2C72CC0D" w:rsidR="00AB12D0" w:rsidRDefault="00AB12D0" w:rsidP="00AB12D0">
      <w:r w:rsidRPr="00AB12D0">
        <w:rPr>
          <w:i/>
          <w:iCs/>
        </w:rPr>
        <w:t>“Economía pública: una introducción”</w:t>
      </w:r>
      <w:r>
        <w:t>, de Fernando Álvarez Gómez (disponible en Google libros).</w:t>
      </w:r>
    </w:p>
    <w:p w14:paraId="05635E53" w14:textId="77777777" w:rsidR="00AB12D0" w:rsidRDefault="00AB12D0" w:rsidP="00AB12D0">
      <w:r>
        <w:t>Tema ICEX-CECO</w:t>
      </w:r>
    </w:p>
    <w:p w14:paraId="50264A9A" w14:textId="77777777" w:rsidR="00AB12D0" w:rsidRDefault="00AB12D0" w:rsidP="00AB12D0">
      <w:r>
        <w:t>Tema José Bernardo de Lizaur</w:t>
      </w:r>
    </w:p>
    <w:p w14:paraId="6808D57A" w14:textId="77777777" w:rsidR="00AB12D0" w:rsidRDefault="00AB12D0" w:rsidP="00AB12D0">
      <w:pPr>
        <w:pStyle w:val="Ttulo4"/>
      </w:pPr>
      <w:r>
        <w:t>Preguntas de otros exámenes</w:t>
      </w:r>
    </w:p>
    <w:p w14:paraId="35F299DD" w14:textId="77777777" w:rsidR="00AB12D0" w:rsidRPr="002908B3" w:rsidRDefault="00AB12D0" w:rsidP="00AB12D0">
      <w:pPr>
        <w:pStyle w:val="Nivel2SM"/>
      </w:pPr>
    </w:p>
    <w:p w14:paraId="37058662" w14:textId="77777777" w:rsidR="00AB12D0" w:rsidRDefault="00AB12D0" w:rsidP="00AB12D0">
      <w:pPr>
        <w:pStyle w:val="Ttulo4"/>
      </w:pPr>
      <w:r w:rsidRPr="00342648">
        <w:t>Anexos</w:t>
      </w:r>
    </w:p>
    <w:p w14:paraId="6A0121EF" w14:textId="6E17BFDC" w:rsidR="00AB12D0" w:rsidRPr="00AF1FE6" w:rsidRDefault="00AB12D0" w:rsidP="00AB12D0">
      <w:pPr>
        <w:pStyle w:val="Ttulo5"/>
        <w:rPr>
          <w:u w:val="none"/>
        </w:rPr>
      </w:pPr>
      <w:r w:rsidRPr="0002549F">
        <w:t>Anexo</w:t>
      </w:r>
      <w:r>
        <w:t> </w:t>
      </w:r>
      <w:r w:rsidRPr="0002549F">
        <w:t>1</w:t>
      </w:r>
      <w:r w:rsidRPr="00AF1FE6">
        <w:rPr>
          <w:u w:val="none"/>
        </w:rPr>
        <w:t xml:space="preserve">: </w:t>
      </w:r>
      <w:r w:rsidR="006C114E">
        <w:rPr>
          <w:u w:val="none"/>
        </w:rPr>
        <w:t>Sectores y subsectores institucionales según el SEC-2010</w:t>
      </w:r>
    </w:p>
    <w:bookmarkEnd w:id="124"/>
    <w:p w14:paraId="08650936" w14:textId="31AE6F46" w:rsidR="002D0944" w:rsidRPr="003506BE" w:rsidRDefault="006C114E" w:rsidP="006C114E">
      <w:pPr>
        <w:jc w:val="center"/>
      </w:pPr>
      <w:r>
        <w:rPr>
          <w:noProof/>
        </w:rPr>
        <w:drawing>
          <wp:inline distT="0" distB="0" distL="0" distR="0" wp14:anchorId="23B9D67D" wp14:editId="4A4AC683">
            <wp:extent cx="3060000" cy="5462873"/>
            <wp:effectExtent l="0" t="0" r="7620" b="5080"/>
            <wp:docPr id="1727357997"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57997" name="Imagen 1" descr="Tabla&#10;&#10;Descripción generada automáticamente"/>
                    <pic:cNvPicPr/>
                  </pic:nvPicPr>
                  <pic:blipFill rotWithShape="1">
                    <a:blip r:embed="rId59"/>
                    <a:srcRect b="1893"/>
                    <a:stretch/>
                  </pic:blipFill>
                  <pic:spPr bwMode="auto">
                    <a:xfrm>
                      <a:off x="0" y="0"/>
                      <a:ext cx="3060000" cy="5462873"/>
                    </a:xfrm>
                    <a:prstGeom prst="rect">
                      <a:avLst/>
                    </a:prstGeom>
                    <a:ln>
                      <a:noFill/>
                    </a:ln>
                    <a:extLst>
                      <a:ext uri="{53640926-AAD7-44D8-BBD7-CCE9431645EC}">
                        <a14:shadowObscured xmlns:a14="http://schemas.microsoft.com/office/drawing/2010/main"/>
                      </a:ext>
                    </a:extLst>
                  </pic:spPr>
                </pic:pic>
              </a:graphicData>
            </a:graphic>
          </wp:inline>
        </w:drawing>
      </w:r>
      <w:r w:rsidR="002D0944">
        <w:rPr>
          <w:noProof/>
        </w:rPr>
        <w:drawing>
          <wp:inline distT="0" distB="0" distL="0" distR="0" wp14:anchorId="0C0F67F1" wp14:editId="1FDDAA91">
            <wp:extent cx="3024000" cy="4501487"/>
            <wp:effectExtent l="0" t="0" r="5080" b="0"/>
            <wp:docPr id="346248703"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48703" name="Imagen 1" descr="Diagrama&#10;&#10;Descripción generada automáticamente"/>
                    <pic:cNvPicPr/>
                  </pic:nvPicPr>
                  <pic:blipFill>
                    <a:blip r:embed="rId60"/>
                    <a:stretch>
                      <a:fillRect/>
                    </a:stretch>
                  </pic:blipFill>
                  <pic:spPr>
                    <a:xfrm>
                      <a:off x="0" y="0"/>
                      <a:ext cx="3024000" cy="4501487"/>
                    </a:xfrm>
                    <a:prstGeom prst="rect">
                      <a:avLst/>
                    </a:prstGeom>
                  </pic:spPr>
                </pic:pic>
              </a:graphicData>
            </a:graphic>
          </wp:inline>
        </w:drawing>
      </w:r>
    </w:p>
    <w:sectPr w:rsidR="002D0944" w:rsidRPr="003506BE" w:rsidSect="00437F99">
      <w:headerReference w:type="even" r:id="rId61"/>
      <w:headerReference w:type="default" r:id="rId62"/>
      <w:footerReference w:type="even" r:id="rId63"/>
      <w:footerReference w:type="default" r:id="rId64"/>
      <w:headerReference w:type="first" r:id="rId65"/>
      <w:footerReference w:type="first" r:id="rId66"/>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978EC" w14:textId="77777777" w:rsidR="00804495" w:rsidRDefault="00804495">
      <w:r>
        <w:separator/>
      </w:r>
    </w:p>
  </w:endnote>
  <w:endnote w:type="continuationSeparator" w:id="0">
    <w:p w14:paraId="49E060F8" w14:textId="77777777" w:rsidR="00804495" w:rsidRDefault="00804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07581" w:rsidRPr="009B5FC2" w14:paraId="48137574" w14:textId="77777777" w:rsidTr="004711E1">
      <w:trPr>
        <w:trHeight w:val="138"/>
        <w:jc w:val="center"/>
      </w:trPr>
      <w:tc>
        <w:tcPr>
          <w:tcW w:w="1134" w:type="dxa"/>
        </w:tcPr>
        <w:p w14:paraId="6B67441E" w14:textId="77777777" w:rsidR="00C07581" w:rsidRPr="009B5FC2" w:rsidRDefault="00C07581" w:rsidP="004711E1">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73AD1C3F" w14:textId="77777777" w:rsidR="00C07581" w:rsidRPr="009B5FC2" w:rsidRDefault="00C07581" w:rsidP="004711E1">
          <w:pPr>
            <w:pStyle w:val="Encabezado"/>
            <w:spacing w:after="0"/>
            <w:ind w:right="-110"/>
            <w:contextualSpacing/>
            <w:jc w:val="center"/>
            <w:rPr>
              <w:i/>
              <w:iCs/>
              <w:color w:val="5F2987"/>
              <w:sz w:val="18"/>
              <w:szCs w:val="18"/>
            </w:rPr>
          </w:pPr>
        </w:p>
      </w:tc>
      <w:tc>
        <w:tcPr>
          <w:tcW w:w="2551" w:type="dxa"/>
          <w:vAlign w:val="center"/>
        </w:tcPr>
        <w:p w14:paraId="532185B6" w14:textId="77777777" w:rsidR="00C07581" w:rsidRPr="009B5FC2" w:rsidRDefault="00C07581" w:rsidP="004711E1">
          <w:pPr>
            <w:pStyle w:val="Encabezado"/>
            <w:spacing w:after="0"/>
            <w:contextualSpacing/>
            <w:jc w:val="right"/>
            <w:rPr>
              <w:b/>
              <w:bCs/>
              <w:i/>
              <w:iCs/>
              <w:color w:val="5F2987"/>
              <w:spacing w:val="-6"/>
              <w:sz w:val="18"/>
              <w:szCs w:val="18"/>
            </w:rPr>
          </w:pPr>
        </w:p>
      </w:tc>
    </w:tr>
  </w:tbl>
  <w:p w14:paraId="2D8DB0EB" w14:textId="77777777" w:rsidR="00C07581" w:rsidRPr="009C61AF" w:rsidRDefault="00C07581" w:rsidP="003F0EBE">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07581" w:rsidRPr="00C44422" w14:paraId="252BA5F9" w14:textId="77777777" w:rsidTr="004711E1">
      <w:trPr>
        <w:trHeight w:val="138"/>
        <w:jc w:val="center"/>
      </w:trPr>
      <w:tc>
        <w:tcPr>
          <w:tcW w:w="1134" w:type="dxa"/>
          <w:vAlign w:val="center"/>
        </w:tcPr>
        <w:p w14:paraId="03C1BD89" w14:textId="77777777" w:rsidR="00C07581" w:rsidRPr="006B5D4B" w:rsidRDefault="00C07581" w:rsidP="004711E1">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A90D4BC" w14:textId="77777777" w:rsidR="00C07581" w:rsidRPr="006B5D4B" w:rsidRDefault="00C07581" w:rsidP="004711E1">
          <w:pPr>
            <w:pStyle w:val="Encabezado"/>
            <w:spacing w:after="0"/>
            <w:ind w:right="-110"/>
            <w:contextualSpacing/>
            <w:jc w:val="center"/>
            <w:rPr>
              <w:i/>
              <w:iCs/>
              <w:color w:val="5F2987"/>
              <w:sz w:val="18"/>
              <w:szCs w:val="18"/>
            </w:rPr>
          </w:pPr>
        </w:p>
      </w:tc>
      <w:tc>
        <w:tcPr>
          <w:tcW w:w="2551" w:type="dxa"/>
          <w:vAlign w:val="center"/>
        </w:tcPr>
        <w:p w14:paraId="613E1154" w14:textId="77777777" w:rsidR="00C07581" w:rsidRPr="006B5D4B" w:rsidRDefault="00C07581" w:rsidP="004711E1">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168B0EDC" w14:textId="77777777" w:rsidR="00C07581" w:rsidRPr="00BE1B62" w:rsidRDefault="00C07581" w:rsidP="004711E1">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07581" w:rsidRPr="00C44422" w14:paraId="251F0058" w14:textId="77777777" w:rsidTr="004711E1">
      <w:trPr>
        <w:trHeight w:val="138"/>
        <w:jc w:val="center"/>
      </w:trPr>
      <w:tc>
        <w:tcPr>
          <w:tcW w:w="1134" w:type="dxa"/>
          <w:vAlign w:val="center"/>
        </w:tcPr>
        <w:p w14:paraId="211ADC31" w14:textId="77777777" w:rsidR="00C07581" w:rsidRPr="006B5D4B" w:rsidRDefault="00C07581" w:rsidP="004711E1">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E7DFE52" w14:textId="77777777" w:rsidR="00C07581" w:rsidRPr="006B5D4B" w:rsidRDefault="00C07581" w:rsidP="004711E1">
          <w:pPr>
            <w:pStyle w:val="Encabezado"/>
            <w:spacing w:after="0"/>
            <w:ind w:right="-110"/>
            <w:contextualSpacing/>
            <w:jc w:val="center"/>
            <w:rPr>
              <w:i/>
              <w:iCs/>
              <w:color w:val="5F2987"/>
              <w:sz w:val="18"/>
              <w:szCs w:val="18"/>
            </w:rPr>
          </w:pPr>
        </w:p>
      </w:tc>
      <w:tc>
        <w:tcPr>
          <w:tcW w:w="2551" w:type="dxa"/>
          <w:vAlign w:val="center"/>
        </w:tcPr>
        <w:p w14:paraId="6292644E" w14:textId="77777777" w:rsidR="00C07581" w:rsidRPr="006B5D4B" w:rsidRDefault="00C07581" w:rsidP="004711E1">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315CFB0C" w14:textId="77777777" w:rsidR="00C07581" w:rsidRPr="00BE1B62" w:rsidRDefault="00C07581" w:rsidP="004711E1">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71CAD" w14:textId="77777777" w:rsidR="00804495" w:rsidRPr="00A35C94" w:rsidRDefault="00804495" w:rsidP="00A35C94">
      <w:pPr>
        <w:spacing w:after="0" w:line="240" w:lineRule="auto"/>
        <w:rPr>
          <w:sz w:val="16"/>
          <w:szCs w:val="16"/>
        </w:rPr>
      </w:pPr>
      <w:r w:rsidRPr="00A35C94">
        <w:rPr>
          <w:sz w:val="16"/>
          <w:szCs w:val="16"/>
        </w:rPr>
        <w:separator/>
      </w:r>
    </w:p>
  </w:footnote>
  <w:footnote w:type="continuationSeparator" w:id="0">
    <w:p w14:paraId="2BF48981" w14:textId="77777777" w:rsidR="00804495" w:rsidRPr="00A35C94" w:rsidRDefault="00804495" w:rsidP="00A35C94">
      <w:pPr>
        <w:spacing w:after="0" w:line="240" w:lineRule="auto"/>
        <w:rPr>
          <w:sz w:val="16"/>
          <w:szCs w:val="16"/>
        </w:rPr>
      </w:pPr>
      <w:r w:rsidRPr="00A35C94">
        <w:rPr>
          <w:sz w:val="16"/>
          <w:szCs w:val="16"/>
        </w:rPr>
        <w:continuationSeparator/>
      </w:r>
    </w:p>
  </w:footnote>
  <w:footnote w:type="continuationNotice" w:id="1">
    <w:p w14:paraId="7F86556C" w14:textId="77777777" w:rsidR="00804495" w:rsidRPr="00A35C94" w:rsidRDefault="00804495" w:rsidP="00A35C94">
      <w:pPr>
        <w:spacing w:after="0" w:line="192" w:lineRule="auto"/>
        <w:jc w:val="right"/>
        <w:rPr>
          <w:sz w:val="16"/>
          <w:szCs w:val="16"/>
        </w:rPr>
      </w:pPr>
      <w:r w:rsidRPr="00A35C94">
        <w:rPr>
          <w:rFonts w:ascii="Cambria Math" w:hAnsi="Cambria Math" w:cs="Cambria Math"/>
          <w:color w:val="202122"/>
          <w:sz w:val="16"/>
          <w:szCs w:val="16"/>
          <w:shd w:val="clear" w:color="auto" w:fill="FFFFFF"/>
        </w:rPr>
        <w:t>↪</w:t>
      </w:r>
    </w:p>
  </w:footnote>
  <w:footnote w:id="2">
    <w:p w14:paraId="24762407" w14:textId="77777777" w:rsidR="00963A44" w:rsidRDefault="00963A44" w:rsidP="00963A44">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6350D37E" w14:textId="77777777" w:rsidR="00963A44" w:rsidRDefault="00963A44" w:rsidP="00963A44">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2ECE7665" w14:textId="77777777" w:rsidR="00963A44" w:rsidRPr="00446C0D" w:rsidRDefault="00963A44" w:rsidP="00963A44">
      <w:pPr>
        <w:pStyle w:val="Textonotapie"/>
      </w:pPr>
      <w:r>
        <w:t>Además, la microeconomía también estudia a otros agentes como las instituciones financieras o el Estado.</w:t>
      </w:r>
    </w:p>
  </w:footnote>
  <w:footnote w:id="4">
    <w:p w14:paraId="41A0D091" w14:textId="77777777" w:rsidR="00963A44" w:rsidRDefault="00963A44" w:rsidP="00963A44">
      <w:pPr>
        <w:pStyle w:val="Textonotapie"/>
        <w:spacing w:after="0"/>
      </w:pPr>
      <w:r>
        <w:rPr>
          <w:rStyle w:val="Refdenotaalpie"/>
        </w:rPr>
        <w:footnoteRef/>
      </w:r>
      <w:r>
        <w:t xml:space="preserve"> Siguiendo a </w:t>
      </w:r>
      <w:r w:rsidRPr="00780F9D">
        <w:rPr>
          <w:smallCaps/>
        </w:rPr>
        <w:t>Anna Koutsoyiannis</w:t>
      </w:r>
      <w:r>
        <w:t xml:space="preserve"> (</w:t>
      </w:r>
      <w:r w:rsidRPr="00780F9D">
        <w:rPr>
          <w:i/>
          <w:iCs/>
        </w:rPr>
        <w:t xml:space="preserve">“Modern </w:t>
      </w:r>
      <w:proofErr w:type="spellStart"/>
      <w:r w:rsidRPr="00780F9D">
        <w:rPr>
          <w:i/>
          <w:iCs/>
        </w:rPr>
        <w:t>Microeconomics</w:t>
      </w:r>
      <w:proofErr w:type="spellEnd"/>
      <w:r w:rsidRPr="00780F9D">
        <w:rPr>
          <w:i/>
          <w:iCs/>
        </w:rPr>
        <w:t>”</w:t>
      </w:r>
      <w:r>
        <w:t>), las tareas de la teoría económica del bienestar son:</w:t>
      </w:r>
    </w:p>
    <w:p w14:paraId="516E1647" w14:textId="77777777" w:rsidR="00963A44" w:rsidRDefault="00963A44">
      <w:pPr>
        <w:pStyle w:val="Textonotapie"/>
        <w:numPr>
          <w:ilvl w:val="0"/>
          <w:numId w:val="27"/>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07598633" w14:textId="77777777" w:rsidR="00963A44" w:rsidRDefault="00963A44">
      <w:pPr>
        <w:pStyle w:val="Textonotapie"/>
        <w:numPr>
          <w:ilvl w:val="0"/>
          <w:numId w:val="27"/>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107E154B" w14:textId="77777777" w:rsidR="00963A44" w:rsidRPr="002A08C4" w:rsidRDefault="00963A44" w:rsidP="00963A44">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50038BA7" w14:textId="77777777" w:rsidR="00963A44" w:rsidRPr="002A08C4" w:rsidRDefault="00963A44" w:rsidP="00963A44">
      <w:pPr>
        <w:pStyle w:val="Textonotapie"/>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3388BBE8" w14:textId="77777777" w:rsidR="001E65E7" w:rsidRDefault="001E65E7" w:rsidP="001E65E7">
      <w:pPr>
        <w:pStyle w:val="Textonotapie"/>
      </w:pPr>
      <w:r>
        <w:rPr>
          <w:rStyle w:val="Refdenotaalpie"/>
        </w:rPr>
        <w:footnoteRef/>
      </w:r>
      <w:r>
        <w:t xml:space="preserve"> </w:t>
      </w:r>
      <w:r w:rsidRPr="00FD1B81">
        <w:t>A modo de ejemplo ha de recordarse cómo las autoridades económicas reaccionaron con contundencia a la crisis económica de 2008, con el objetivo de dar soporte al sistema financiero, salvaguardar su funcionamiento y estimular la economía. En la mayoría de los países europeos y en Estados Unidos, los gobiernos diseñaron planes de apoyo a los sistemas financieros y adoptaron paquetes de impulso fiscal, Por su parte, los bancos centrales (que pertenecen al ámbito del sector público aunque están clasificadas fuera del sector de las AAPP en contabilidad nacional), redujeron los tipos de interés, con un impulso monetarios sin precedente. Simultáneamente, adoptaron medidas expansivas no convencionales de apoyo al crédito.</w:t>
      </w:r>
    </w:p>
  </w:footnote>
  <w:footnote w:id="7">
    <w:p w14:paraId="2DBD451F" w14:textId="6273AB94" w:rsidR="007675D5" w:rsidRDefault="007675D5" w:rsidP="007675D5">
      <w:pPr>
        <w:pStyle w:val="Textonotapie"/>
        <w:keepNext/>
        <w:spacing w:after="0"/>
      </w:pPr>
      <w:r>
        <w:rPr>
          <w:rStyle w:val="Refdenotaalpie"/>
        </w:rPr>
        <w:footnoteRef/>
      </w:r>
      <w:r>
        <w:t xml:space="preserve"> Desde un punto de vista histórico, cabe señalar que el desarrollo de las Cuentas Nacionales ha venido influenciado por la existencia de una teoría macroeconómica (keynesiana).</w:t>
      </w:r>
    </w:p>
    <w:p w14:paraId="51118529" w14:textId="3121E198" w:rsidR="007675D5" w:rsidRDefault="007675D5" w:rsidP="007675D5">
      <w:pPr>
        <w:pStyle w:val="Textonotapie"/>
        <w:keepNext/>
        <w:numPr>
          <w:ilvl w:val="0"/>
          <w:numId w:val="49"/>
        </w:numPr>
        <w:spacing w:after="0"/>
        <w:ind w:left="283" w:hanging="113"/>
      </w:pPr>
      <w:r>
        <w:t>La teoría macroeconómica es aquella rama de la Teoría Económica, que intenta explicar el comportamiento de la economía en su conjunto a partir de la construcción de modelos que permitan analizar el efecto de diferentes políticas económicas.</w:t>
      </w:r>
    </w:p>
    <w:p w14:paraId="282E5A00" w14:textId="09A72028" w:rsidR="007675D5" w:rsidRDefault="007675D5" w:rsidP="007675D5">
      <w:pPr>
        <w:pStyle w:val="Textonotapie"/>
        <w:numPr>
          <w:ilvl w:val="1"/>
          <w:numId w:val="49"/>
        </w:numPr>
        <w:spacing w:after="0"/>
        <w:ind w:left="567" w:hanging="113"/>
      </w:pPr>
      <w:r>
        <w:t>Es decir, su objeto principal es explicar la evolución de los agregados económicos (p.ej. volumen de producción, nivel general de precios o nivel de empleo). Estos agregados son el resultado de agrupar los comportamientos de distintos agentes individuales en diferentes mercados.</w:t>
      </w:r>
    </w:p>
    <w:p w14:paraId="153F7F41" w14:textId="0E38997A" w:rsidR="007675D5" w:rsidRDefault="007675D5" w:rsidP="007675D5">
      <w:pPr>
        <w:pStyle w:val="Textonotapie"/>
        <w:keepNext/>
        <w:numPr>
          <w:ilvl w:val="0"/>
          <w:numId w:val="49"/>
        </w:numPr>
        <w:spacing w:after="0"/>
        <w:ind w:left="283" w:hanging="113"/>
      </w:pPr>
      <w:r>
        <w:t xml:space="preserve">No es de extrañar, por tanto, que la contabilidad nacional sea una herramienta que en su forma actual aparece en la década de 1930 de la mano de economistas como </w:t>
      </w:r>
      <w:r>
        <w:rPr>
          <w:smallCaps/>
        </w:rPr>
        <w:t>K</w:t>
      </w:r>
      <w:r w:rsidRPr="007675D5">
        <w:rPr>
          <w:smallCaps/>
        </w:rPr>
        <w:t>uznets</w:t>
      </w:r>
      <w:r>
        <w:t xml:space="preserve"> o </w:t>
      </w:r>
      <w:r>
        <w:rPr>
          <w:smallCaps/>
        </w:rPr>
        <w:t>S</w:t>
      </w:r>
      <w:r w:rsidRPr="007675D5">
        <w:rPr>
          <w:smallCaps/>
        </w:rPr>
        <w:t>tone</w:t>
      </w:r>
      <w:r>
        <w:t>.</w:t>
      </w:r>
    </w:p>
    <w:p w14:paraId="40019E81" w14:textId="6E2F46BD" w:rsidR="007675D5" w:rsidRDefault="007675D5" w:rsidP="007675D5">
      <w:pPr>
        <w:pStyle w:val="Textonotapie"/>
        <w:numPr>
          <w:ilvl w:val="1"/>
          <w:numId w:val="49"/>
        </w:numPr>
        <w:spacing w:after="0"/>
        <w:ind w:left="567" w:hanging="113"/>
      </w:pPr>
      <w:r>
        <w:rPr>
          <w:smallCaps/>
        </w:rPr>
        <w:t>S</w:t>
      </w:r>
      <w:r w:rsidRPr="007675D5">
        <w:rPr>
          <w:smallCaps/>
        </w:rPr>
        <w:t xml:space="preserve">imon </w:t>
      </w:r>
      <w:r>
        <w:rPr>
          <w:smallCaps/>
        </w:rPr>
        <w:t>K</w:t>
      </w:r>
      <w:r w:rsidRPr="007675D5">
        <w:rPr>
          <w:smallCaps/>
        </w:rPr>
        <w:t>uznets</w:t>
      </w:r>
      <w:r>
        <w:t xml:space="preserve"> fue capaz de utilizar la contabilidad nacional para aconsejar al presidente de Estados Unidos sobre la organización del ejército durante la 2ª Guerra Mundial, contribuyendo con ello de manera decisiva a la derrota del eje.</w:t>
      </w:r>
    </w:p>
    <w:p w14:paraId="2066E368" w14:textId="7FFC9305" w:rsidR="007675D5" w:rsidRDefault="007675D5" w:rsidP="007675D5">
      <w:pPr>
        <w:pStyle w:val="Textonotapie"/>
        <w:numPr>
          <w:ilvl w:val="1"/>
          <w:numId w:val="49"/>
        </w:numPr>
        <w:ind w:left="567" w:hanging="113"/>
      </w:pPr>
      <w:r>
        <w:rPr>
          <w:smallCaps/>
        </w:rPr>
        <w:t>R</w:t>
      </w:r>
      <w:r w:rsidRPr="007675D5">
        <w:rPr>
          <w:smallCaps/>
        </w:rPr>
        <w:t xml:space="preserve">ichard </w:t>
      </w:r>
      <w:r>
        <w:rPr>
          <w:smallCaps/>
        </w:rPr>
        <w:t>S</w:t>
      </w:r>
      <w:r w:rsidRPr="007675D5">
        <w:rPr>
          <w:smallCaps/>
        </w:rPr>
        <w:t>tone</w:t>
      </w:r>
      <w:r>
        <w:t>, por su parte, introdujo el principio contable de partida doble en el Sistema de Cuentas Nacionales (SCN) y fue el impulsor de los trabajos de normalización de las Naciones Unidas. Este proceso de homogeneización en su última versión constituye el SCN-2008 sobre el que la Unión Europea tiene aprobado el Sistema Europeo de Cuentas (SEC 2010).</w:t>
      </w:r>
    </w:p>
  </w:footnote>
  <w:footnote w:id="8">
    <w:p w14:paraId="3C3369FE" w14:textId="77777777" w:rsidR="007675D5" w:rsidRPr="00410B74" w:rsidRDefault="007675D5" w:rsidP="007675D5">
      <w:pPr>
        <w:pStyle w:val="Textonotapie"/>
      </w:pPr>
      <w:r>
        <w:rPr>
          <w:rStyle w:val="Refdenotaalpie"/>
        </w:rPr>
        <w:footnoteRef/>
      </w:r>
      <w:r>
        <w:t xml:space="preserve"> Cuando los Estados Unidos entran en la guerra, el ejército, la marina, las agencias federales, etc. empiezan a pedir muchos recursos. </w:t>
      </w:r>
      <w:r>
        <w:rPr>
          <w:smallCaps/>
        </w:rPr>
        <w:t>Simon Kuznets</w:t>
      </w:r>
      <w:r>
        <w:t xml:space="preserve"> se da cuenta, empleando contabilidad nacional, de que Estados Unidos no puede producir todo esto a la vez y convence (indirectamente) al presidente de la necesidad de tener un ejército más pequeño pero más sostenible durante el esfuerzo bélico. De hecho, EEUU tuvo muy pocas divisiones en la Segunda Guerra Mundial (aunque muy bien suministradas). Los alemanes, por el contrario, nunca pudieron organizar correctamente su producción.</w:t>
      </w:r>
    </w:p>
  </w:footnote>
  <w:footnote w:id="9">
    <w:p w14:paraId="5AEFD83E" w14:textId="77777777" w:rsidR="007675D5" w:rsidRDefault="007675D5" w:rsidP="007675D5">
      <w:pPr>
        <w:pStyle w:val="Textonotapie"/>
        <w:spacing w:after="0"/>
      </w:pPr>
      <w:r>
        <w:rPr>
          <w:rStyle w:val="Refdenotaalpie"/>
        </w:rPr>
        <w:footnoteRef/>
      </w:r>
      <w:r>
        <w:t xml:space="preserve"> A pesar de que fue inicialmente la revolución keynesiana en economía lo que causó el principal impulso hacia el desarrollo de los sistemas de cuentas nacionales, estos sistemas pueden ser entendidos hoy en día como neutrales, tanto desde el punto de vista analítico como desde el punto de vista ideológico.</w:t>
      </w:r>
    </w:p>
    <w:p w14:paraId="3E479E03" w14:textId="77777777" w:rsidR="007675D5" w:rsidRPr="00254C13" w:rsidRDefault="007675D5" w:rsidP="007675D5">
      <w:pPr>
        <w:pStyle w:val="Textonotapie"/>
      </w:pPr>
      <w:r>
        <w:rPr>
          <w:smallCaps/>
        </w:rPr>
        <w:t>Keynes</w:t>
      </w:r>
      <w:r>
        <w:t xml:space="preserve"> impulsó a autores como </w:t>
      </w:r>
      <w:r>
        <w:rPr>
          <w:smallCaps/>
        </w:rPr>
        <w:t>Stone</w:t>
      </w:r>
      <w:r>
        <w:t xml:space="preserve"> y </w:t>
      </w:r>
      <w:r>
        <w:rPr>
          <w:smallCaps/>
        </w:rPr>
        <w:t>Meade</w:t>
      </w:r>
      <w:r>
        <w:t xml:space="preserve"> a recoger datos para analizar los desequilibrios de la economía británica.</w:t>
      </w:r>
    </w:p>
  </w:footnote>
  <w:footnote w:id="10">
    <w:p w14:paraId="04C3CE52" w14:textId="77777777" w:rsidR="007675D5" w:rsidRPr="00F6714C" w:rsidRDefault="007675D5" w:rsidP="007675D5">
      <w:pPr>
        <w:pStyle w:val="Textonotapie"/>
        <w:rPr>
          <w:i/>
          <w:iCs/>
        </w:rPr>
      </w:pPr>
      <w:r>
        <w:rPr>
          <w:rStyle w:val="Refdenotaalpie"/>
        </w:rPr>
        <w:footnoteRef/>
      </w:r>
      <w:r>
        <w:t xml:space="preserve"> </w:t>
      </w:r>
      <w:r>
        <w:rPr>
          <w:smallCaps/>
        </w:rPr>
        <w:t>Simon Kuznets</w:t>
      </w:r>
      <w:r>
        <w:t xml:space="preserve"> fue galardonado con el Premio Nobel de Economía en 1971 </w:t>
      </w:r>
      <w:r w:rsidRPr="00A6227E">
        <w:t>«Por su interpretación empíricamente fundada del crecimiento económico, que ha llevado a un nuevo y más profundo acercamiento a la estructura económica y social y a los procesos de desarrollo».</w:t>
      </w:r>
      <w:r>
        <w:t xml:space="preserve"> </w:t>
      </w:r>
      <w:r>
        <w:rPr>
          <w:i/>
          <w:iCs/>
        </w:rPr>
        <w:t>Nótese que no lo recibe tanto por contabilidad nacional sino por sus trabajos empíricos en macroeconomía.</w:t>
      </w:r>
    </w:p>
  </w:footnote>
  <w:footnote w:id="11">
    <w:p w14:paraId="32692715" w14:textId="77777777" w:rsidR="007675D5" w:rsidRPr="00A6227E" w:rsidRDefault="007675D5" w:rsidP="007675D5">
      <w:pPr>
        <w:pStyle w:val="Textonotapie"/>
      </w:pPr>
      <w:r>
        <w:rPr>
          <w:rStyle w:val="Refdenotaalpie"/>
        </w:rPr>
        <w:footnoteRef/>
      </w:r>
      <w:r>
        <w:t xml:space="preserve"> </w:t>
      </w:r>
      <w:r w:rsidRPr="00A6227E">
        <w:rPr>
          <w:smallCaps/>
        </w:rPr>
        <w:t>Richard Stone</w:t>
      </w:r>
      <w:r w:rsidRPr="00A6227E">
        <w:t xml:space="preserve"> fue galardonado con </w:t>
      </w:r>
      <w:r>
        <w:t xml:space="preserve">el Premio Nobel de Economía en 1984 </w:t>
      </w:r>
      <w:r w:rsidRPr="00A6227E">
        <w:t xml:space="preserve">«Por sus contribuciones fundamentales al desarrollo de las </w:t>
      </w:r>
      <w:r w:rsidRPr="00254C13">
        <w:rPr>
          <w:u w:val="single"/>
        </w:rPr>
        <w:t>cuentas nacionales</w:t>
      </w:r>
      <w:r w:rsidRPr="00A6227E">
        <w:t>, desde el cual se han podido mejorar en gran medida las bases para el análisis económico empírico».</w:t>
      </w:r>
    </w:p>
  </w:footnote>
  <w:footnote w:id="12">
    <w:p w14:paraId="52C01880" w14:textId="77777777" w:rsidR="00C96D3C" w:rsidRDefault="00C96D3C">
      <w:pPr>
        <w:pStyle w:val="Textonotapie"/>
      </w:pPr>
      <w:r>
        <w:rPr>
          <w:rStyle w:val="Refdenotaalpie"/>
        </w:rPr>
        <w:footnoteRef/>
      </w:r>
      <w:r>
        <w:t xml:space="preserve"> Por el contrario, un agente pertenece al sector privado si sus decisiones se basan fundamentalmente en el principio de mercado.</w:t>
      </w:r>
    </w:p>
    <w:p w14:paraId="7C45DC20" w14:textId="060E4C1A" w:rsidR="00C96D3C" w:rsidRPr="008F16EE" w:rsidRDefault="00C96D3C">
      <w:pPr>
        <w:pStyle w:val="Textonotapie"/>
        <w:rPr>
          <w:spacing w:val="-2"/>
        </w:rPr>
      </w:pPr>
      <w:r w:rsidRPr="008F16EE">
        <w:rPr>
          <w:spacing w:val="-2"/>
        </w:rPr>
        <w:t>Por ejemplo, atendiendo al principio de autoridad, se consideraría como pública a una empresa de accionariado mayoritariamente privado si el gobierno tuviese el poder de regular sus precios, su política de inversiones o su gestión.</w:t>
      </w:r>
      <w:r w:rsidR="008F16EE" w:rsidRPr="008F16EE">
        <w:rPr>
          <w:spacing w:val="-2"/>
        </w:rPr>
        <w:t xml:space="preserve"> Así, los criterios estrictamente económicos no serían suficientes para delimitar las instituciones que configuran el sector público, ya que en algunos casos las características del sector público y del privado son casi idénticas. Es por ello necesarios utilizar otros criterios alternativos al puramente económico.</w:t>
      </w:r>
    </w:p>
  </w:footnote>
  <w:footnote w:id="13">
    <w:p w14:paraId="508159DB" w14:textId="77777777" w:rsidR="00F37CD5" w:rsidRDefault="00F37CD5" w:rsidP="00F37CD5">
      <w:pPr>
        <w:pStyle w:val="Textonotapie"/>
      </w:pPr>
      <w:r>
        <w:rPr>
          <w:rStyle w:val="Refdenotaalpie"/>
        </w:rPr>
        <w:footnoteRef/>
      </w:r>
      <w:r>
        <w:t xml:space="preserve"> Es correcto decir que todas las administraciones públicas pertenecen al sector público. Pero, por el contrario, no todas las unidades del sector público son AAPP. Hay unidades que, siendo del Sector Público, no se consideran AAPP, como por ejemplo las empresas públicas.</w:t>
      </w:r>
    </w:p>
  </w:footnote>
  <w:footnote w:id="14">
    <w:p w14:paraId="0DBAA742" w14:textId="6F3C6618" w:rsidR="000E46DE" w:rsidRPr="000E46DE" w:rsidRDefault="000E46DE" w:rsidP="000E46DE">
      <w:pPr>
        <w:pStyle w:val="Textonotapie"/>
      </w:pPr>
      <w:r w:rsidRPr="00B94152">
        <w:rPr>
          <w:rStyle w:val="Refdenotaalpie"/>
        </w:rPr>
        <w:footnoteRef/>
      </w:r>
      <w:r w:rsidRPr="000E46DE">
        <w:t xml:space="preserve"> Otros criterios de delimitación del </w:t>
      </w:r>
      <w:r w:rsidR="00C86337">
        <w:t>sector público</w:t>
      </w:r>
      <w:r w:rsidRPr="000E46DE">
        <w:t xml:space="preserve">: según </w:t>
      </w:r>
      <w:r w:rsidRPr="000E46DE">
        <w:rPr>
          <w:smallCaps/>
        </w:rPr>
        <w:t>Wagner</w:t>
      </w:r>
      <w:r w:rsidRPr="000E46DE">
        <w:t xml:space="preserve">, el </w:t>
      </w:r>
      <w:r w:rsidR="00C86337">
        <w:t>sector público</w:t>
      </w:r>
      <w:r w:rsidR="00C86337" w:rsidRPr="000E46DE">
        <w:t xml:space="preserve"> </w:t>
      </w:r>
      <w:r w:rsidRPr="000E46DE">
        <w:t xml:space="preserve">incluye </w:t>
      </w:r>
      <w:r w:rsidR="00C86337">
        <w:t>(</w:t>
      </w:r>
      <w:r w:rsidRPr="000E46DE">
        <w:t xml:space="preserve">además de las AAPP y el </w:t>
      </w:r>
      <w:r w:rsidR="00C86337">
        <w:t>sector público</w:t>
      </w:r>
      <w:r w:rsidR="00C86337" w:rsidRPr="000E46DE">
        <w:t xml:space="preserve"> </w:t>
      </w:r>
      <w:r w:rsidRPr="000E46DE">
        <w:t>empresarial</w:t>
      </w:r>
      <w:r w:rsidR="00C86337">
        <w:t>) a</w:t>
      </w:r>
      <w:r w:rsidRPr="000E46DE">
        <w:t xml:space="preserve"> aquella parte del sector privado sujeta a protección por decisión de los poderes públicos. En este sector se incluirían empresas privadas subvencionadas y otras actividades protegidas mediante regulación de los poderes públicos.</w:t>
      </w:r>
    </w:p>
  </w:footnote>
  <w:footnote w:id="15">
    <w:p w14:paraId="0D60F3E3" w14:textId="77777777" w:rsidR="00F37CD5" w:rsidRDefault="00F37CD5" w:rsidP="00F37CD5">
      <w:pPr>
        <w:pStyle w:val="Textonotapie"/>
        <w:keepNext/>
        <w:spacing w:after="0"/>
      </w:pPr>
      <w:r>
        <w:rPr>
          <w:rStyle w:val="Refdenotaalpie"/>
        </w:rPr>
        <w:footnoteRef/>
      </w:r>
      <w:r>
        <w:t xml:space="preserve"> ¿Qué tienen en común y en qué se diferencian las AAPP de las empresas públicas?</w:t>
      </w:r>
    </w:p>
    <w:p w14:paraId="5B791053" w14:textId="77777777" w:rsidR="00F37CD5" w:rsidRPr="00AD176B" w:rsidRDefault="00F37CD5" w:rsidP="00F37CD5">
      <w:pPr>
        <w:pStyle w:val="Textonotapie"/>
        <w:numPr>
          <w:ilvl w:val="0"/>
          <w:numId w:val="10"/>
        </w:numPr>
        <w:spacing w:after="0"/>
        <w:ind w:left="283" w:hanging="113"/>
      </w:pPr>
      <w:r>
        <w:t xml:space="preserve">AAPP y empresas públicas </w:t>
      </w:r>
      <w:r w:rsidRPr="00AD176B">
        <w:rPr>
          <w:i/>
          <w:iCs/>
        </w:rPr>
        <w:t>tienen en común</w:t>
      </w:r>
      <w:r>
        <w:t xml:space="preserve"> que ambas son públicas. En términos de contabilidad nacional, ser público es equivalente a “estar controlado por las AAPP”. A su vez, en contabilidad nacional, una unidad está controlada por las AAPP si éstas tienen la capacidad para determinar la política general de dicha entidad, por ejemplo eligiendo a los miembros del consejo o si las AAPP tienen la titularidad de la mayoría de las acciones. Se consideran unidades privadas todas aquellas que no están controladas por las AAPP (son de titularidad mayoritariamente privada y las AAPP no definen su política general)</w:t>
      </w:r>
    </w:p>
    <w:p w14:paraId="4E741738" w14:textId="77777777" w:rsidR="00F37CD5" w:rsidRDefault="00F37CD5" w:rsidP="00F37CD5">
      <w:pPr>
        <w:pStyle w:val="Textonotapie"/>
        <w:keepNext/>
        <w:numPr>
          <w:ilvl w:val="0"/>
          <w:numId w:val="10"/>
        </w:numPr>
        <w:spacing w:after="0"/>
        <w:ind w:left="283" w:hanging="113"/>
      </w:pPr>
      <w:r>
        <w:rPr>
          <w:i/>
          <w:iCs/>
        </w:rPr>
        <w:t>¿En qué se diferencian las AAPP y las empresas públicas?</w:t>
      </w:r>
      <w:r>
        <w:t xml:space="preserve"> Las AAPP son productores no de mercado, mientras que las empresas públicas son productores de mercado.</w:t>
      </w:r>
    </w:p>
    <w:p w14:paraId="56AB9BBB" w14:textId="77777777" w:rsidR="00F37CD5" w:rsidRDefault="00F37CD5" w:rsidP="00A9141C">
      <w:pPr>
        <w:pStyle w:val="Textonotapie"/>
        <w:numPr>
          <w:ilvl w:val="1"/>
          <w:numId w:val="10"/>
        </w:numPr>
        <w:spacing w:after="0"/>
        <w:ind w:left="567" w:hanging="113"/>
      </w:pPr>
      <w:r>
        <w:t>Los productores no de mercado (como las AAPP) proporcionan su producción de forma gratuita o a precios muy inferiores a sus costes de producción. Su objetivo principal no es la obtención de beneficios.</w:t>
      </w:r>
    </w:p>
    <w:p w14:paraId="10822D5A" w14:textId="77777777" w:rsidR="00F37CD5" w:rsidRDefault="00F37CD5" w:rsidP="00F37CD5">
      <w:pPr>
        <w:pStyle w:val="Textonotapie"/>
        <w:keepNext/>
        <w:numPr>
          <w:ilvl w:val="1"/>
          <w:numId w:val="10"/>
        </w:numPr>
        <w:spacing w:after="0"/>
        <w:ind w:left="567" w:hanging="113"/>
      </w:pPr>
      <w:r>
        <w:t>Por el contrario, los productores de mercado, están orientados a obtener beneficios y venden su producción a precios económicamente significativos.</w:t>
      </w:r>
    </w:p>
    <w:p w14:paraId="6D12960E" w14:textId="77777777" w:rsidR="00F37CD5" w:rsidRPr="004F5D87" w:rsidRDefault="00F37CD5" w:rsidP="00F37CD5">
      <w:pPr>
        <w:pStyle w:val="Textonotapie"/>
        <w:numPr>
          <w:ilvl w:val="2"/>
          <w:numId w:val="10"/>
        </w:numPr>
        <w:ind w:left="850" w:hanging="113"/>
        <w:rPr>
          <w:spacing w:val="-2"/>
        </w:rPr>
      </w:pPr>
      <w:r w:rsidRPr="004F5D87">
        <w:rPr>
          <w:spacing w:val="-2"/>
        </w:rPr>
        <w:t>En la práctica, en general, se considera que una empresa pública es un productor de mercado si sus ventas cubren al menos el 50 % de sus costes de producción (</w:t>
      </w:r>
      <w:r w:rsidRPr="004F5D87">
        <w:rPr>
          <w:i/>
          <w:iCs/>
          <w:spacing w:val="-2"/>
        </w:rPr>
        <w:t>criterio cuantitativo</w:t>
      </w:r>
      <w:r w:rsidRPr="004F5D87">
        <w:rPr>
          <w:spacing w:val="-2"/>
        </w:rPr>
        <w:t xml:space="preserve">). El SEC 2010 ha añadido además los llamados </w:t>
      </w:r>
      <w:r w:rsidRPr="004F5D87">
        <w:rPr>
          <w:i/>
          <w:iCs/>
          <w:spacing w:val="-2"/>
        </w:rPr>
        <w:t>criterios cualitativos</w:t>
      </w:r>
      <w:r w:rsidRPr="004F5D87">
        <w:rPr>
          <w:spacing w:val="-2"/>
        </w:rPr>
        <w:t>, que deben verificarse también a la hora de determinar el carácter de mercado o no de mercado de una unidad pública. Dichos criterios se basan en analizar quién consume los bienes y servicios producidos por la unidad (por ejemplo, si las ventas se hacen a la AAPP) y si la unidad compite en la práctica con otros productores en el mercado o, si por el contrario es el único suministrador.</w:t>
      </w:r>
    </w:p>
  </w:footnote>
  <w:footnote w:id="16">
    <w:p w14:paraId="7D139869" w14:textId="77777777" w:rsidR="00F37CD5" w:rsidRDefault="00F37CD5" w:rsidP="00F37CD5">
      <w:pPr>
        <w:pStyle w:val="Textonotapie"/>
      </w:pPr>
      <w:r>
        <w:rPr>
          <w:rStyle w:val="Refdenotaalpie"/>
        </w:rPr>
        <w:footnoteRef/>
      </w:r>
      <w:r>
        <w:t xml:space="preserve"> El FROB, el Fondo de Garantía de Depósitos, RTVE, TRAGSA y SEITTSA, a pesar de ser “empresas públicas”, son productores no de mercado y, por tanto, forman parte del sector de las AAPP (S.13).</w:t>
      </w:r>
    </w:p>
  </w:footnote>
  <w:footnote w:id="17">
    <w:p w14:paraId="0DB14D5C" w14:textId="3E5E160C" w:rsidR="006F1E58" w:rsidRPr="006F1E58" w:rsidRDefault="006F1E58" w:rsidP="00BE1F6A">
      <w:pPr>
        <w:pStyle w:val="Textonotapie"/>
      </w:pPr>
      <w:r>
        <w:rPr>
          <w:rStyle w:val="Refdenotaalpie"/>
        </w:rPr>
        <w:footnoteRef/>
      </w:r>
      <w:r>
        <w:t xml:space="preserve"> El Banco de España sigue una contabilidad </w:t>
      </w:r>
      <w:r>
        <w:rPr>
          <w:i/>
          <w:iCs/>
        </w:rPr>
        <w:t>sui generis</w:t>
      </w:r>
      <w:r>
        <w:t xml:space="preserve"> basada en los estatutos del SEBC.</w:t>
      </w:r>
    </w:p>
  </w:footnote>
  <w:footnote w:id="18">
    <w:p w14:paraId="36DBDBB0" w14:textId="5C70A6B7" w:rsidR="006F1E58" w:rsidRDefault="006F1E58">
      <w:pPr>
        <w:pStyle w:val="Textonotapie"/>
      </w:pPr>
      <w:r>
        <w:rPr>
          <w:rStyle w:val="Refdenotaalpie"/>
        </w:rPr>
        <w:footnoteRef/>
      </w:r>
      <w:r>
        <w:t xml:space="preserve"> Su contabilidad la audita la Intervención General de la Administración del Estado (IGAE).</w:t>
      </w:r>
    </w:p>
  </w:footnote>
  <w:footnote w:id="19">
    <w:p w14:paraId="34E7C82C" w14:textId="77777777" w:rsidR="00E42B53" w:rsidRDefault="00E42B53" w:rsidP="00E42B53">
      <w:pPr>
        <w:pStyle w:val="Textonotapie"/>
      </w:pPr>
      <w:r>
        <w:rPr>
          <w:rStyle w:val="Refdenotaalpie"/>
        </w:rPr>
        <w:footnoteRef/>
      </w:r>
      <w:r>
        <w:t xml:space="preserve"> Encargada de verificar la legalidad, control financiero y control de subvenciones.</w:t>
      </w:r>
    </w:p>
  </w:footnote>
  <w:footnote w:id="20">
    <w:p w14:paraId="5E0B350D" w14:textId="77777777" w:rsidR="002305FD" w:rsidRDefault="002305FD" w:rsidP="002305FD">
      <w:pPr>
        <w:pStyle w:val="Textonotapie"/>
      </w:pPr>
      <w:r>
        <w:rPr>
          <w:rStyle w:val="Refdenotaalpie"/>
        </w:rPr>
        <w:footnoteRef/>
      </w:r>
      <w:r>
        <w:t xml:space="preserve"> Ahora bien, la autonomía de un sector institucional no implica la ausencia de interrelaciones con otros, todo lo contrario.</w:t>
      </w:r>
    </w:p>
  </w:footnote>
  <w:footnote w:id="21">
    <w:p w14:paraId="6EFF137A" w14:textId="77777777" w:rsidR="002305FD" w:rsidRDefault="002305FD" w:rsidP="002305FD">
      <w:pPr>
        <w:pStyle w:val="Textonotapie"/>
      </w:pPr>
      <w:r>
        <w:rPr>
          <w:rStyle w:val="Refdenotaalpie"/>
        </w:rPr>
        <w:footnoteRef/>
      </w:r>
      <w:r>
        <w:t xml:space="preserve"> El SEC considera un productor de mercado a aquel cuyas ventas cubran al menos el 50 % de sus costes de producción.</w:t>
      </w:r>
    </w:p>
  </w:footnote>
  <w:footnote w:id="22">
    <w:p w14:paraId="4A9B34C4" w14:textId="77777777" w:rsidR="002305FD" w:rsidRPr="00E34A0C" w:rsidRDefault="002305FD" w:rsidP="002305FD">
      <w:pPr>
        <w:pStyle w:val="Textonotapie"/>
      </w:pPr>
      <w:r>
        <w:rPr>
          <w:rStyle w:val="Refdenotaalpie"/>
        </w:rPr>
        <w:footnoteRef/>
      </w:r>
      <w:r>
        <w:t xml:space="preserve"> A diferencia de las sociedades no financieras y las instituciones financieras, las administraciones públicas son productores </w:t>
      </w:r>
      <w:r>
        <w:rPr>
          <w:i/>
          <w:iCs/>
        </w:rPr>
        <w:t>no</w:t>
      </w:r>
      <w:r>
        <w:t xml:space="preserve"> de mercado, esto es, su objetivo no es la producción a precios económicamente significativos. Se consideran unidades no de mercado aquellas cuyas ventas cubran menos del 50 % de sus costes de producción.</w:t>
      </w:r>
    </w:p>
  </w:footnote>
  <w:footnote w:id="23">
    <w:p w14:paraId="3F443060" w14:textId="77777777" w:rsidR="002305FD" w:rsidRDefault="002305FD" w:rsidP="002305FD">
      <w:pPr>
        <w:pStyle w:val="Textonotapie"/>
      </w:pPr>
      <w:r>
        <w:rPr>
          <w:rStyle w:val="Refdenotaalpie"/>
        </w:rPr>
        <w:footnoteRef/>
      </w:r>
      <w:r>
        <w:t xml:space="preserve"> En su condición de consumidores, los hogares pueden definirse como pequeños grupos de personas que comparten una misma vivienda y ponen en común sus rentas y su patrimonio y consumen colectivamente determinados bienes y servicios (principalmente la vivienda y la alimentación).</w:t>
      </w:r>
    </w:p>
  </w:footnote>
  <w:footnote w:id="24">
    <w:p w14:paraId="36009F4E" w14:textId="77777777" w:rsidR="002305FD" w:rsidRDefault="002305FD" w:rsidP="002305FD">
      <w:pPr>
        <w:pStyle w:val="Textonotapie"/>
      </w:pPr>
      <w:r>
        <w:rPr>
          <w:rStyle w:val="Refdenotaalpie"/>
        </w:rPr>
        <w:footnoteRef/>
      </w:r>
      <w:r>
        <w:t xml:space="preserve"> También se incluye la producción para uso final propio.</w:t>
      </w:r>
    </w:p>
  </w:footnote>
  <w:footnote w:id="25">
    <w:p w14:paraId="50EC314D" w14:textId="77777777" w:rsidR="002305FD" w:rsidRDefault="002305FD" w:rsidP="002305FD">
      <w:pPr>
        <w:pStyle w:val="Textonotapie"/>
      </w:pPr>
      <w:r>
        <w:rPr>
          <w:rStyle w:val="Refdenotaalpie"/>
        </w:rPr>
        <w:footnoteRef/>
      </w:r>
      <w:r>
        <w:t xml:space="preserve"> Están dotadas de personalidad jurídica. Algunos ejemplos de ISFLSH son: sindicatos, asociaciones profesionales o científicas, asociaciones de consumidores, partidos políticos, asociaciones religiosas, clubs sociales, clubs culturales, clubs recreativos, clubs deportivos, asociaciones de beneficencia, etc.</w:t>
      </w:r>
    </w:p>
  </w:footnote>
  <w:footnote w:id="26">
    <w:p w14:paraId="102C3922" w14:textId="77777777" w:rsidR="002305FD" w:rsidRDefault="002305FD" w:rsidP="002305FD">
      <w:pPr>
        <w:pStyle w:val="Textonotapie"/>
      </w:pPr>
      <w:r>
        <w:rPr>
          <w:rStyle w:val="Refdenotaalpie"/>
        </w:rPr>
        <w:footnoteRef/>
      </w:r>
      <w:r>
        <w:t xml:space="preserve"> Estos sectores institucionales aparecen también en el Sexto Manual de la Balanza de Pagos (6MBP) del FMI, pero la forma de agruparlos difiere </w:t>
      </w:r>
      <w:r w:rsidRPr="00E7603B">
        <w:rPr>
          <w:color w:val="767171" w:themeColor="background2" w:themeShade="80"/>
          <w:sz w:val="14"/>
          <w:szCs w:val="18"/>
        </w:rPr>
        <w:t>[</w:t>
      </w:r>
      <w:r>
        <w:rPr>
          <w:color w:val="767171" w:themeColor="background2" w:themeShade="80"/>
          <w:sz w:val="14"/>
          <w:szCs w:val="18"/>
        </w:rPr>
        <w:t>ver tema 3.B.12</w:t>
      </w:r>
      <w:r w:rsidRPr="00E7603B">
        <w:rPr>
          <w:color w:val="767171" w:themeColor="background2" w:themeShade="80"/>
          <w:sz w:val="14"/>
          <w:szCs w:val="18"/>
        </w:rPr>
        <w:t>]</w:t>
      </w:r>
      <w:r>
        <w:t>. A diferencia de la clasificación funcional de sectores que aparece en el 6MBP, que privilegia una clasificación en función de que sectores interactúan más con el resto del mundo, el SEC 2010 privilegia una clasificación que resalta cuáles son los sectores institucionales que interactúan dentro de la economía nacional.</w:t>
      </w:r>
    </w:p>
  </w:footnote>
  <w:footnote w:id="27">
    <w:p w14:paraId="24ACB2C4" w14:textId="741E61DC" w:rsidR="000F3478" w:rsidRDefault="000F3478">
      <w:pPr>
        <w:pStyle w:val="Textonotapie"/>
      </w:pPr>
      <w:r>
        <w:rPr>
          <w:rStyle w:val="Refdenotaalpie"/>
        </w:rPr>
        <w:footnoteRef/>
      </w:r>
      <w:r>
        <w:t xml:space="preserve"> Para ingresos se recoge información de la Agencia Tributaria (AEAT). Para gastos se recoge información de las unidades de gasto.</w:t>
      </w:r>
    </w:p>
  </w:footnote>
  <w:footnote w:id="28">
    <w:p w14:paraId="3BAD843C" w14:textId="77777777" w:rsidR="0094302E" w:rsidRDefault="0094302E" w:rsidP="0094302E">
      <w:pPr>
        <w:pStyle w:val="Textonotapie"/>
      </w:pPr>
      <w:r>
        <w:rPr>
          <w:rStyle w:val="Refdenotaalpie"/>
        </w:rPr>
        <w:footnoteRef/>
      </w:r>
      <w:r>
        <w:t xml:space="preserve"> Es necesario realizar imputaciones para calcular el servicio de alojamiento que los propietarios proveen para ellos mismos. Si no lo hacemos, un cambio en el porcentaje de los hogares propietarios cambiaría el PIB.</w:t>
      </w:r>
    </w:p>
  </w:footnote>
  <w:footnote w:id="29">
    <w:p w14:paraId="0AB6CEDD" w14:textId="77777777" w:rsidR="0094302E" w:rsidRDefault="0094302E" w:rsidP="0094302E">
      <w:pPr>
        <w:pStyle w:val="Textonotapie"/>
      </w:pPr>
      <w:r>
        <w:rPr>
          <w:rStyle w:val="Refdenotaalpie"/>
        </w:rPr>
        <w:footnoteRef/>
      </w:r>
      <w:r>
        <w:t xml:space="preserve"> Un </w:t>
      </w:r>
      <w:r w:rsidRPr="00A318D2">
        <w:rPr>
          <w:i/>
          <w:iCs/>
        </w:rPr>
        <w:t>cambio en el volumen</w:t>
      </w:r>
      <w:r>
        <w:t xml:space="preserve"> no es lo mismo que un </w:t>
      </w:r>
      <w:r w:rsidRPr="00A318D2">
        <w:rPr>
          <w:i/>
          <w:iCs/>
        </w:rPr>
        <w:t>cambio en cantidad</w:t>
      </w:r>
      <w:r>
        <w:t>. El cambio en volumen tiene en consideración diferencias en la calidad y en los niveles de precio de los productos. Por eso, el año base tiene que estar cerca o si no se utiliza una regla de la cadena (es decir, se realizan los cálculos a precio base del año pasado y luego se referencian al año base inicial).</w:t>
      </w:r>
    </w:p>
    <w:p w14:paraId="222A9854" w14:textId="77777777" w:rsidR="0094302E" w:rsidRDefault="0094302E" w:rsidP="0094302E">
      <w:pPr>
        <w:pStyle w:val="Textonotapie"/>
      </w:pPr>
      <w:r>
        <w:t xml:space="preserve">Muchos flujos y stocks (p.ej. la renta) no tienen sus propias dimensiones de precio y cantidad (por lo que su variación nominal no se puede descomponer directamente en variaciones de volumen y variaciones de precios). No obstante, en estas circunstancias, la variación en volumen se aproxima por el poder de compra de tales variables deflactando los valores corrientes mediante un índice de precios adecuado. Se dice entonces que los flujos y stocks deflactados se expresan </w:t>
      </w:r>
      <w:r w:rsidRPr="005C3232">
        <w:rPr>
          <w:i/>
          <w:iCs/>
        </w:rPr>
        <w:t>en términos reales</w:t>
      </w:r>
      <w:r>
        <w:t>.</w:t>
      </w:r>
    </w:p>
  </w:footnote>
  <w:footnote w:id="30">
    <w:p w14:paraId="57229027" w14:textId="77777777" w:rsidR="0094302E" w:rsidRPr="00CD4D38" w:rsidRDefault="0094302E" w:rsidP="0094302E">
      <w:pPr>
        <w:pStyle w:val="Textonotapie"/>
        <w:rPr>
          <w:spacing w:val="-2"/>
        </w:rPr>
      </w:pPr>
      <w:r w:rsidRPr="00CD4D38">
        <w:rPr>
          <w:rStyle w:val="Refdenotaalpie"/>
          <w:spacing w:val="-2"/>
        </w:rPr>
        <w:footnoteRef/>
      </w:r>
      <w:r w:rsidRPr="00CD4D38">
        <w:rPr>
          <w:spacing w:val="-2"/>
        </w:rPr>
        <w:t xml:space="preserve"> En la práctica se sugiere utilizar como referencia la permanencia en el país durante un año o más, aunque no se trata de una regla inflexible.</w:t>
      </w:r>
    </w:p>
  </w:footnote>
  <w:footnote w:id="31">
    <w:p w14:paraId="0CEBCFE7" w14:textId="5DB1BC2C" w:rsidR="00C245F1" w:rsidRDefault="00C245F1">
      <w:pPr>
        <w:pStyle w:val="Textonotapie"/>
      </w:pPr>
      <w:r>
        <w:rPr>
          <w:rStyle w:val="Refdenotaalpie"/>
        </w:rPr>
        <w:footnoteRef/>
      </w:r>
      <w:r>
        <w:t xml:space="preserve"> También se incluye la producción para uso propio (p.ej. producir el propio </w:t>
      </w:r>
      <w:r w:rsidRPr="00C245F1">
        <w:rPr>
          <w:i/>
          <w:iCs/>
        </w:rPr>
        <w:t>software</w:t>
      </w:r>
      <w:r>
        <w:t xml:space="preserve">). Esto es relevante, pues supone en torno al </w:t>
      </w:r>
      <w:r w:rsidR="00C951BF">
        <w:t>6</w:t>
      </w:r>
      <w:r>
        <w:t> % de los ingresos de las AAPP.</w:t>
      </w:r>
    </w:p>
  </w:footnote>
  <w:footnote w:id="32">
    <w:p w14:paraId="4D59470A" w14:textId="77777777" w:rsidR="00B11E35" w:rsidRDefault="00B11E35" w:rsidP="00B11E35">
      <w:pPr>
        <w:pStyle w:val="Textonotapie"/>
        <w:keepNext/>
        <w:spacing w:after="0"/>
      </w:pPr>
      <w:r>
        <w:rPr>
          <w:rStyle w:val="Refdenotaalpie"/>
        </w:rPr>
        <w:footnoteRef/>
      </w:r>
      <w:r>
        <w:t xml:space="preserve"> </w:t>
      </w:r>
    </w:p>
    <w:p w14:paraId="6C6DB983" w14:textId="4D40E335" w:rsidR="00B11E35" w:rsidRDefault="00B11E35" w:rsidP="00B11E35">
      <w:pPr>
        <w:pStyle w:val="Textonotapie"/>
        <w:jc w:val="center"/>
      </w:pPr>
      <w:r>
        <w:rPr>
          <w:noProof/>
        </w:rPr>
        <w:drawing>
          <wp:inline distT="0" distB="0" distL="0" distR="0" wp14:anchorId="3211D021" wp14:editId="372CD053">
            <wp:extent cx="2837152" cy="1266386"/>
            <wp:effectExtent l="0" t="0" r="1905" b="0"/>
            <wp:docPr id="62818063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180632" name="Imagen 1" descr="Texto&#10;&#10;Descripción generada automáticamente"/>
                    <pic:cNvPicPr/>
                  </pic:nvPicPr>
                  <pic:blipFill>
                    <a:blip r:embed="rId1"/>
                    <a:stretch>
                      <a:fillRect/>
                    </a:stretch>
                  </pic:blipFill>
                  <pic:spPr>
                    <a:xfrm>
                      <a:off x="0" y="0"/>
                      <a:ext cx="2854798" cy="1274262"/>
                    </a:xfrm>
                    <a:prstGeom prst="rect">
                      <a:avLst/>
                    </a:prstGeom>
                  </pic:spPr>
                </pic:pic>
              </a:graphicData>
            </a:graphic>
          </wp:inline>
        </w:drawing>
      </w:r>
    </w:p>
  </w:footnote>
  <w:footnote w:id="33">
    <w:p w14:paraId="74FB2F45" w14:textId="09C5FF88" w:rsidR="006D75B3" w:rsidRDefault="006D75B3">
      <w:pPr>
        <w:pStyle w:val="Textonotapie"/>
      </w:pPr>
      <w:r>
        <w:rPr>
          <w:rStyle w:val="Refdenotaalpie"/>
        </w:rPr>
        <w:footnoteRef/>
      </w:r>
      <w:r>
        <w:t xml:space="preserve"> Para cerrar el círculo déficit/deuda se necesita el ajuste déficit-deuda, que permite reconciliar los datos de necesidad de financiación de las administraciones públicas con los de variaciones del stock de deuda según el Protocolo de Déficit Excesivo. Este ajuste permite excluir de la deuda PDE los pasivos pendientes de pago (deuda comercial) y los créditos entre CCAA.</w:t>
      </w:r>
    </w:p>
  </w:footnote>
  <w:footnote w:id="34">
    <w:p w14:paraId="1E830D29" w14:textId="50467FD5" w:rsidR="006D75B3" w:rsidRDefault="006D75B3">
      <w:pPr>
        <w:pStyle w:val="Textonotapie"/>
      </w:pPr>
      <w:r>
        <w:rPr>
          <w:rStyle w:val="Refdenotaalpie"/>
        </w:rPr>
        <w:footnoteRef/>
      </w:r>
      <w:r>
        <w:t xml:space="preserve"> Según la ley, 60 días es el período de pago a proveedores.</w:t>
      </w:r>
    </w:p>
  </w:footnote>
  <w:footnote w:id="35">
    <w:p w14:paraId="7A1B7127" w14:textId="77777777" w:rsidR="00041142" w:rsidRDefault="00041142" w:rsidP="00041142">
      <w:pPr>
        <w:pStyle w:val="Textonotapie"/>
      </w:pPr>
      <w:r>
        <w:rPr>
          <w:rStyle w:val="Refdenotaalpie"/>
        </w:rPr>
        <w:footnoteRef/>
      </w:r>
      <w:r>
        <w:t xml:space="preserve"> En sentido amplio, la literatura ha considerado como gasto productivo el gasto en seguridad, justicia, defensa, sanidad, transporte y comunicaciones, infraestructura y los subsidios a la investigación y el desarrollo.</w:t>
      </w:r>
    </w:p>
  </w:footnote>
  <w:footnote w:id="36">
    <w:p w14:paraId="09D0EA52" w14:textId="77777777" w:rsidR="00041142" w:rsidRDefault="00041142" w:rsidP="00041142">
      <w:pPr>
        <w:pStyle w:val="Textonotapie"/>
      </w:pPr>
      <w:r>
        <w:rPr>
          <w:rStyle w:val="Refdenotaalpie"/>
        </w:rPr>
        <w:footnoteRef/>
      </w:r>
      <w:r>
        <w:t xml:space="preserve"> Si consideramos gasto público improductivo, sólo existiría el efecto negativo y el tamaño óptimo del sector público sería nulo.</w:t>
      </w:r>
    </w:p>
  </w:footnote>
  <w:footnote w:id="37">
    <w:p w14:paraId="2EB9F6B9" w14:textId="77777777" w:rsidR="00041142" w:rsidRDefault="00041142" w:rsidP="00041142">
      <w:pPr>
        <w:pStyle w:val="Textonotapie"/>
        <w:keepNext/>
        <w:spacing w:after="0"/>
      </w:pPr>
      <w:r>
        <w:rPr>
          <w:rStyle w:val="Refdenotaalpie"/>
        </w:rPr>
        <w:footnoteRef/>
      </w:r>
      <w:r>
        <w:t xml:space="preserve"> El cálculo por el que se llega a esta conclusión es el siguiente:</w:t>
      </w:r>
    </w:p>
    <w:p w14:paraId="2F3AF41F" w14:textId="77777777" w:rsidR="00041142" w:rsidRPr="007275EB" w:rsidRDefault="00000000" w:rsidP="00041142">
      <w:pPr>
        <w:pStyle w:val="Textonotapie"/>
        <w:keepNext/>
        <w:spacing w:after="0"/>
        <w:rPr>
          <w:rFonts w:eastAsiaTheme="minorEastAsia"/>
          <w:iCs/>
        </w:rPr>
      </w:pPr>
      <m:oMathPara>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color w:val="C00000"/>
                  <w:lang w:val="fr-FR"/>
                </w:rPr>
              </m:ctrlPr>
            </m:dPr>
            <m:e>
              <m:r>
                <m:rPr>
                  <m:nor/>
                </m:rPr>
                <w:rPr>
                  <w:i/>
                  <w:color w:val="C00000"/>
                </w:rPr>
                <m:t>1</m:t>
              </m:r>
              <m:r>
                <w:rPr>
                  <w:rFonts w:ascii="Cambria Math" w:hAnsi="Cambria Math"/>
                  <w:color w:val="C00000"/>
                </w:rPr>
                <m:t>-</m:t>
              </m:r>
              <m:r>
                <m:rPr>
                  <m:nor/>
                </m:rPr>
                <w:rPr>
                  <w:i/>
                  <w:color w:val="C00000"/>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r>
            <w:rPr>
              <w:rFonts w:ascii="Cambria Math" w:hAnsi="Cambria Math"/>
            </w:rPr>
            <m:t>-</m:t>
          </m:r>
          <m:d>
            <m:dPr>
              <m:ctrlPr>
                <w:rPr>
                  <w:rFonts w:ascii="Cambria Math" w:hAnsi="Cambria Math"/>
                  <w:i/>
                  <w:iCs/>
                  <w:lang w:val="fr-FR"/>
                </w:rPr>
              </m:ctrlPr>
            </m:dPr>
            <m:e>
              <m:r>
                <m:rPr>
                  <m:nor/>
                </m:rPr>
                <w:rPr>
                  <w:i/>
                  <w:lang w:val="fr-FR"/>
                </w:rPr>
                <m:t>δ</m:t>
              </m:r>
              <m:r>
                <w:rPr>
                  <w:rFonts w:ascii="Cambria Math" w:hAnsi="Cambria Math"/>
                </w:rPr>
                <m:t>+</m:t>
              </m:r>
              <m:r>
                <m:rPr>
                  <m:nor/>
                </m:rPr>
                <w:rPr>
                  <w:i/>
                  <w:iCs/>
                </w:rPr>
                <m:t>n</m:t>
              </m:r>
            </m:e>
          </m:d>
        </m:oMath>
      </m:oMathPara>
    </w:p>
    <w:p w14:paraId="03B405BC" w14:textId="77777777" w:rsidR="00041142" w:rsidRPr="003E31EB" w:rsidRDefault="00000000" w:rsidP="00041142">
      <w:pPr>
        <w:pStyle w:val="Textonotapie"/>
        <w:keepNext/>
        <w:spacing w:after="0"/>
        <w:rPr>
          <w:rFonts w:eastAsiaTheme="minorEastAsia"/>
          <w:iCs/>
          <w:lang w:val="en-US"/>
        </w:rPr>
      </w:pPr>
      <m:oMathPara>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y</m:t>
              </m:r>
            </m:sub>
          </m:sSub>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r>
            <m:rPr>
              <m:nor/>
            </m:rPr>
            <w:rPr>
              <w:i/>
            </w:rPr>
            <m:t>τ</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hAnsi="Cambria Math"/>
              <w:lang w:val="en-US"/>
            </w:rPr>
            <m:t>-</m:t>
          </m:r>
          <m:d>
            <m:dPr>
              <m:ctrlPr>
                <w:rPr>
                  <w:rFonts w:ascii="Cambria Math" w:hAnsi="Cambria Math"/>
                  <w:i/>
                  <w:iCs/>
                  <w:lang w:val="fr-FR"/>
                </w:rPr>
              </m:ctrlPr>
            </m:dPr>
            <m:e>
              <m:r>
                <m:rPr>
                  <m:nor/>
                </m:rPr>
                <w:rPr>
                  <w:i/>
                  <w:lang w:val="fr-FR"/>
                </w:rPr>
                <m:t>δ</m:t>
              </m:r>
              <m:r>
                <w:rPr>
                  <w:rFonts w:ascii="Cambria Math" w:hAnsi="Cambria Math"/>
                  <w:lang w:val="en-US"/>
                </w:rPr>
                <m:t>+</m:t>
              </m:r>
              <m:r>
                <m:rPr>
                  <m:nor/>
                </m:rPr>
                <w:rPr>
                  <w:i/>
                  <w:iCs/>
                  <w:lang w:val="en-US"/>
                </w:rPr>
                <m:t>n</m:t>
              </m:r>
            </m:e>
          </m:d>
          <m:r>
            <m:rPr>
              <m:sty m:val="p"/>
            </m:rPr>
            <w:rPr>
              <w:rFonts w:ascii="Cambria Math" w:hAnsi="Cambria Math"/>
              <w:lang w:val="en-US"/>
            </w:rPr>
            <w:br/>
          </m:r>
        </m:oMath>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y</m:t>
              </m:r>
            </m:sub>
          </m:sSub>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d>
            <m:dPr>
              <m:ctrlPr>
                <w:rPr>
                  <w:rFonts w:ascii="Cambria Math" w:hAnsi="Cambria Math"/>
                  <w:i/>
                  <w:iCs/>
                  <w:lang w:val="fr-FR"/>
                </w:rPr>
              </m:ctrlPr>
            </m:dPr>
            <m:e>
              <m:r>
                <m:rPr>
                  <m:nor/>
                </m:rPr>
                <w:rPr>
                  <w:i/>
                  <w:lang w:val="fr-FR"/>
                </w:rPr>
                <m:t>δ</m:t>
              </m:r>
              <m:r>
                <w:rPr>
                  <w:rFonts w:ascii="Cambria Math" w:hAnsi="Cambria Math"/>
                  <w:lang w:val="en-US"/>
                </w:rPr>
                <m:t>+</m:t>
              </m:r>
              <m:r>
                <m:rPr>
                  <m:nor/>
                </m:rPr>
                <w:rPr>
                  <w:i/>
                  <w:iCs/>
                  <w:lang w:val="en-US"/>
                </w:rPr>
                <m:t>n</m:t>
              </m:r>
            </m:e>
          </m:d>
        </m:oMath>
      </m:oMathPara>
    </w:p>
    <w:p w14:paraId="2C4CA0D0" w14:textId="77777777" w:rsidR="00041142" w:rsidRPr="003E31EB" w:rsidRDefault="00000000" w:rsidP="00041142">
      <w:pPr>
        <w:pStyle w:val="Textonotapie"/>
        <w:rPr>
          <w:rFonts w:eastAsiaTheme="minorEastAsia"/>
          <w:lang w:val="en-US"/>
        </w:rPr>
      </w:pPr>
      <m:oMathPara>
        <m:oMath>
          <m:f>
            <m:fPr>
              <m:ctrlPr>
                <w:rPr>
                  <w:rFonts w:ascii="Cambria Math" w:eastAsiaTheme="minorEastAsia" w:hAnsi="Cambria Math"/>
                  <w:i/>
                </w:rPr>
              </m:ctrlPr>
            </m:fPr>
            <m:num>
              <m:r>
                <w:rPr>
                  <w:rFonts w:ascii="Cambria Math"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y</m:t>
                  </m:r>
                </m:sub>
              </m:sSub>
            </m:num>
            <m:den>
              <m:r>
                <w:rPr>
                  <w:rFonts w:ascii="Cambria Math" w:hAnsi="Cambria Math"/>
                </w:rPr>
                <m:t>∂</m:t>
              </m:r>
              <m:r>
                <m:rPr>
                  <m:nor/>
                </m:rPr>
                <w:rPr>
                  <w:i/>
                </w:rPr>
                <m:t>τ</m:t>
              </m:r>
            </m:den>
          </m:f>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r>
                <w:rPr>
                  <w:rFonts w:ascii="Cambria Math" w:eastAsia="Times New Roman" w:hAnsi="Cambria Math"/>
                  <w:vertAlign w:val="superscript"/>
                  <w:lang w:val="en-US"/>
                </w:rPr>
                <m:t>-</m:t>
              </m:r>
              <m:r>
                <m:rPr>
                  <m:nor/>
                </m:rPr>
                <w:rPr>
                  <w:i/>
                </w:rPr>
                <m:t>α</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eastAsiaTheme="minorEastAsia" w:hAnsi="Cambria Math"/>
              <w:lang w:val="en-US"/>
            </w:rPr>
            <m:t>=</m:t>
          </m:r>
          <m:r>
            <m:rPr>
              <m:nor/>
            </m:rPr>
            <w:rPr>
              <w:i/>
              <w:lang w:val="en-US"/>
            </w:rPr>
            <m:t>0</m:t>
          </m:r>
          <m:r>
            <w:rPr>
              <w:rFonts w:ascii="Cambria Math" w:eastAsiaTheme="minorEastAsia" w:hAnsi="Cambria Math"/>
              <w:lang w:val="en-US"/>
            </w:rPr>
            <m:t>⟹</m:t>
          </m:r>
          <m:r>
            <m:rPr>
              <m:sty m:val="p"/>
            </m:rPr>
            <w:rPr>
              <w:rFonts w:ascii="Cambria Math" w:eastAsiaTheme="minorEastAsia" w:hAnsi="Cambria Math"/>
              <w:lang w:val="en-US"/>
            </w:rPr>
            <w:br/>
          </m:r>
        </m:oMath>
        <m:oMath>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r>
                <w:rPr>
                  <w:rFonts w:ascii="Cambria Math" w:eastAsia="Times New Roman" w:hAnsi="Cambria Math"/>
                  <w:vertAlign w:val="superscript"/>
                  <w:lang w:val="en-US"/>
                </w:rPr>
                <m:t>-</m:t>
              </m:r>
              <m:r>
                <m:rPr>
                  <m:nor/>
                </m:rPr>
                <w:rPr>
                  <w:i/>
                </w:rPr>
                <m:t>α</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eastAsiaTheme="minorEastAsia"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eastAsiaTheme="minorEastAsia" w:hAnsi="Cambria Math"/>
              <w:lang w:val="en-US"/>
            </w:rPr>
            <m:t>⟹</m:t>
          </m:r>
          <m:r>
            <m:rPr>
              <m:sty m:val="p"/>
            </m:rPr>
            <w:rPr>
              <w:rFonts w:ascii="Cambria Math" w:eastAsiaTheme="minorEastAsia" w:hAnsi="Cambria Math"/>
              <w:lang w:val="en-US"/>
            </w:rPr>
            <w:br/>
          </m:r>
        </m:oMath>
        <m:oMath>
          <m:r>
            <w:rPr>
              <w:rFonts w:ascii="Cambria Math" w:eastAsiaTheme="minorEastAsia" w:hAnsi="Cambria Math"/>
              <w:lang w:val="en-US"/>
            </w:rPr>
            <m:t>⟹</m:t>
          </m:r>
          <m:f>
            <m:fPr>
              <m:ctrlPr>
                <w:rPr>
                  <w:rFonts w:ascii="Cambria Math" w:hAnsi="Cambria Math"/>
                  <w:i/>
                  <w:iCs/>
                  <w:lang w:val="fr-FR"/>
                </w:rPr>
              </m:ctrlPr>
            </m:fPr>
            <m:num>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num>
            <m:den>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den>
          </m:f>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r>
            <w:rPr>
              <w:rFonts w:ascii="Cambria Math" w:eastAsiaTheme="minorEastAsia" w:hAnsi="Cambria Math"/>
              <w:lang w:val="en-US"/>
            </w:rPr>
            <m:t>⟹</m:t>
          </m:r>
          <m:sSup>
            <m:sSupPr>
              <m:ctrlPr>
                <w:rPr>
                  <w:rFonts w:ascii="Cambria Math" w:hAnsi="Cambria Math"/>
                  <w:i/>
                  <w:iCs/>
                  <w:lang w:val="fr-FR"/>
                </w:rPr>
              </m:ctrlPr>
            </m:sSupPr>
            <m:e>
              <m:r>
                <m:rPr>
                  <m:nor/>
                </m:rPr>
                <w:rPr>
                  <w:i/>
                </w:rPr>
                <m:t>τ</m:t>
              </m:r>
            </m:e>
            <m:sup>
              <m:d>
                <m:dPr>
                  <m:begChr m:val="["/>
                  <m:endChr m:val="]"/>
                  <m:ctrlPr>
                    <w:rPr>
                      <w:rFonts w:ascii="Cambria Math" w:hAnsi="Cambria Math"/>
                      <w:i/>
                      <w:lang w:val="fr-FR"/>
                    </w:rPr>
                  </m:ctrlPr>
                </m:dPr>
                <m:e>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e>
              </m:d>
              <m:r>
                <w:rPr>
                  <w:rFonts w:ascii="Cambria Math" w:hAnsi="Cambria Math"/>
                  <w:lang w:val="en-US"/>
                </w:rPr>
                <m:t>-</m:t>
              </m:r>
              <m:d>
                <m:dPr>
                  <m:begChr m:val="["/>
                  <m:endChr m:val="]"/>
                  <m:ctrlPr>
                    <w:rPr>
                      <w:rFonts w:ascii="Cambria Math" w:hAnsi="Cambria Math"/>
                      <w:i/>
                      <w:lang w:val="en-US"/>
                    </w:rPr>
                  </m:ctrlPr>
                </m:dPr>
                <m:e>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e>
              </m:d>
            </m:sup>
          </m:sSup>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r>
            <w:rPr>
              <w:rFonts w:ascii="Cambria Math" w:eastAsiaTheme="minorEastAsia" w:hAnsi="Cambria Math"/>
              <w:lang w:val="en-US"/>
            </w:rPr>
            <m:t>⟹</m:t>
          </m:r>
          <m:borderBox>
            <m:borderBoxPr>
              <m:ctrlPr>
                <w:rPr>
                  <w:rFonts w:ascii="Cambria Math" w:hAnsi="Cambria Math"/>
                  <w:i/>
                </w:rPr>
              </m:ctrlPr>
            </m:borderBoxPr>
            <m:e>
              <m:r>
                <m:rPr>
                  <m:nor/>
                </m:rPr>
                <w:rPr>
                  <w:i/>
                </w:rPr>
                <m:t>τ</m:t>
              </m:r>
              <m:r>
                <m:rPr>
                  <m:nor/>
                </m:rPr>
                <w:rPr>
                  <w:i/>
                  <w:lang w:val="en-US"/>
                </w:rPr>
                <m:t>*</m:t>
              </m:r>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e>
          </m:borderBox>
        </m:oMath>
      </m:oMathPara>
    </w:p>
  </w:footnote>
  <w:footnote w:id="38">
    <w:p w14:paraId="29A4767C" w14:textId="77777777" w:rsidR="00050981" w:rsidRPr="000B1DFB" w:rsidRDefault="00050981" w:rsidP="00050981">
      <w:pPr>
        <w:pStyle w:val="Textonotapie"/>
        <w:keepNext/>
        <w:spacing w:after="0"/>
        <w:rPr>
          <w:spacing w:val="-4"/>
          <w:lang w:val="en-US"/>
        </w:rPr>
      </w:pPr>
      <w:r w:rsidRPr="000B1DFB">
        <w:rPr>
          <w:rStyle w:val="Refdenotaalpie"/>
        </w:rPr>
        <w:footnoteRef/>
      </w:r>
      <w:r w:rsidRPr="000B1DFB">
        <w:rPr>
          <w:spacing w:val="-4"/>
          <w:lang w:val="en-US"/>
        </w:rPr>
        <w:t xml:space="preserve"> And I am mindful as I think about this and it's hardly a conclusive consideration that if </w:t>
      </w:r>
      <w:r w:rsidRPr="000B1DFB">
        <w:rPr>
          <w:smallCaps/>
          <w:spacing w:val="-4"/>
          <w:lang w:val="en-US"/>
        </w:rPr>
        <w:t>Olivier</w:t>
      </w:r>
      <w:r w:rsidRPr="000B1DFB">
        <w:rPr>
          <w:spacing w:val="-4"/>
          <w:lang w:val="en-US"/>
        </w:rPr>
        <w:t xml:space="preserve"> </w:t>
      </w:r>
      <w:r w:rsidRPr="000B1DFB">
        <w:rPr>
          <w:smallCaps/>
          <w:spacing w:val="-4"/>
          <w:lang w:val="en-US"/>
        </w:rPr>
        <w:t>Blanchard</w:t>
      </w:r>
      <w:r w:rsidRPr="000B1DFB">
        <w:rPr>
          <w:spacing w:val="-4"/>
          <w:lang w:val="en-US"/>
        </w:rPr>
        <w:t xml:space="preserve"> and I were practicing economists in 1943, we would have for sure been worried deeply worried about </w:t>
      </w:r>
      <w:r w:rsidRPr="000B1DFB">
        <w:rPr>
          <w:i/>
          <w:iCs/>
          <w:spacing w:val="-4"/>
          <w:lang w:val="en-US"/>
        </w:rPr>
        <w:t>secular stagnation</w:t>
      </w:r>
      <w:r w:rsidRPr="000B1DFB">
        <w:rPr>
          <w:spacing w:val="-4"/>
          <w:lang w:val="en-US"/>
        </w:rPr>
        <w:t xml:space="preserve"> and a return to depression after the Second World War, because all the smart Keynesian economists were quite convinced that that was going to happen. And it proved to be wrong, in part because </w:t>
      </w:r>
      <w:r w:rsidRPr="000B1DFB">
        <w:rPr>
          <w:i/>
          <w:iCs/>
          <w:spacing w:val="-4"/>
          <w:lang w:val="en-US"/>
        </w:rPr>
        <w:t>the buildup of assets and the change in habits that took place during the Second World War proved to be more durable than people had expected</w:t>
      </w:r>
      <w:r w:rsidRPr="000B1DFB">
        <w:rPr>
          <w:spacing w:val="-4"/>
          <w:lang w:val="en-US"/>
        </w:rPr>
        <w:t xml:space="preserve">. And </w:t>
      </w:r>
      <w:proofErr w:type="gramStart"/>
      <w:r w:rsidRPr="000B1DFB">
        <w:rPr>
          <w:spacing w:val="-4"/>
          <w:lang w:val="en-US"/>
        </w:rPr>
        <w:t>so</w:t>
      </w:r>
      <w:proofErr w:type="gramEnd"/>
      <w:r w:rsidRPr="000B1DFB">
        <w:rPr>
          <w:spacing w:val="-4"/>
          <w:lang w:val="en-US"/>
        </w:rPr>
        <w:t xml:space="preserve"> I would be a little bit more skeptical about a return to secular stagnation. But again, I don't think </w:t>
      </w:r>
      <w:r w:rsidRPr="000B1DFB">
        <w:rPr>
          <w:smallCaps/>
          <w:spacing w:val="-4"/>
          <w:lang w:val="en-US"/>
        </w:rPr>
        <w:t>Olivier Blanchard</w:t>
      </w:r>
      <w:r w:rsidRPr="000B1DFB">
        <w:rPr>
          <w:spacing w:val="-4"/>
          <w:lang w:val="en-US"/>
        </w:rPr>
        <w:t xml:space="preserve"> and I are very far apart.</w:t>
      </w:r>
    </w:p>
    <w:p w14:paraId="25623A15" w14:textId="77777777" w:rsidR="00050981" w:rsidRPr="005B0050" w:rsidRDefault="00050981" w:rsidP="00050981">
      <w:pPr>
        <w:pStyle w:val="Textonotapie"/>
        <w:jc w:val="right"/>
      </w:pPr>
      <w:r w:rsidRPr="005B0050">
        <w:rPr>
          <w:smallCaps/>
        </w:rPr>
        <w:t>Lawrence Summers</w:t>
      </w:r>
      <w:r w:rsidRPr="005B0050">
        <w:t xml:space="preserv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DF7AB2" w:rsidRPr="00C44422" w14:paraId="5031AC09" w14:textId="77777777" w:rsidTr="009F6145">
      <w:trPr>
        <w:trHeight w:val="136"/>
        <w:jc w:val="center"/>
      </w:trPr>
      <w:sdt>
        <w:sdtPr>
          <w:rPr>
            <w:b/>
            <w:bCs/>
            <w:i/>
            <w:iCs/>
            <w:caps/>
            <w:color w:val="5F2987"/>
            <w:sz w:val="18"/>
            <w:szCs w:val="18"/>
          </w:rPr>
          <w:alias w:val="Title"/>
          <w:tag w:val=""/>
          <w:id w:val="757332093"/>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63825A2E" w14:textId="67D40568" w:rsidR="00DF7AB2" w:rsidRPr="00851FCE" w:rsidRDefault="00DF7AB2"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rPr>
                <w:t>4.B.1</w:t>
              </w:r>
            </w:p>
          </w:tc>
        </w:sdtContent>
      </w:sdt>
      <w:tc>
        <w:tcPr>
          <w:tcW w:w="7937" w:type="dxa"/>
          <w:vAlign w:val="center"/>
        </w:tcPr>
        <w:sdt>
          <w:sdtPr>
            <w:rPr>
              <w:i/>
              <w:iCs/>
              <w:color w:val="5F2987"/>
              <w:sz w:val="18"/>
              <w:szCs w:val="18"/>
            </w:rPr>
            <w:alias w:val="Subject"/>
            <w:tag w:val=""/>
            <w:id w:val="833805230"/>
            <w:dataBinding w:prefixMappings="xmlns:ns0='http://purl.org/dc/elements/1.1/' xmlns:ns1='http://schemas.openxmlformats.org/package/2006/metadata/core-properties' " w:xpath="/ns1:coreProperties[1]/ns0:subject[1]" w:storeItemID="{6C3C8BC8-F283-45AE-878A-BAB7291924A1}"/>
            <w:text/>
          </w:sdtPr>
          <w:sdtContent>
            <w:p w14:paraId="1ACA91D2" w14:textId="2B842455" w:rsidR="00DF7AB2" w:rsidRPr="00851FCE" w:rsidRDefault="00DF7AB2" w:rsidP="00C80BBD">
              <w:pPr>
                <w:pStyle w:val="Encabezado"/>
                <w:spacing w:after="0"/>
                <w:ind w:right="-110"/>
                <w:contextualSpacing/>
                <w:jc w:val="center"/>
                <w:rPr>
                  <w:i/>
                  <w:iCs/>
                  <w:color w:val="5F2987"/>
                  <w:sz w:val="18"/>
                  <w:szCs w:val="18"/>
                  <w:lang w:val="es-ES"/>
                </w:rPr>
              </w:pPr>
              <w:r w:rsidRPr="00DF7AB2">
                <w:rPr>
                  <w:i/>
                  <w:iCs/>
                  <w:color w:val="5F2987"/>
                  <w:sz w:val="18"/>
                  <w:szCs w:val="18"/>
                  <w:lang w:val="es-ES"/>
                </w:rPr>
                <w:t>El sector público: delimitación, operaciones y cuentas principales. Comparaciones internacionales.</w:t>
              </w:r>
            </w:p>
          </w:sdtContent>
        </w:sdt>
      </w:tc>
      <w:sdt>
        <w:sdtPr>
          <w:rPr>
            <w:b/>
            <w:bCs/>
            <w:i/>
            <w:iCs/>
            <w:color w:val="5F2987"/>
            <w:spacing w:val="-6"/>
            <w:sz w:val="18"/>
            <w:szCs w:val="18"/>
          </w:rPr>
          <w:alias w:val="Author"/>
          <w:tag w:val=""/>
          <w:id w:val="419295734"/>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6848E979" w14:textId="77777777" w:rsidR="00DF7AB2" w:rsidRPr="00C44422" w:rsidRDefault="00DF7AB2"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DF7AB2" w:rsidRPr="00C44422" w14:paraId="01B02282"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670955DB" w14:textId="73DCFD61" w:rsidR="00DF7AB2" w:rsidRPr="00851FCE" w:rsidRDefault="00DF7AB2"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rPr>
                <w:t>4.B.1</w:t>
              </w:r>
            </w:p>
          </w:tc>
        </w:sdtContent>
      </w:sdt>
      <w:tc>
        <w:tcPr>
          <w:tcW w:w="7937" w:type="dxa"/>
          <w:vAlign w:val="center"/>
        </w:tcPr>
        <w:sdt>
          <w:sdtPr>
            <w:rPr>
              <w:i/>
              <w:iCs/>
              <w:color w:val="5F2987"/>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6C2FA81E" w14:textId="08FC0302" w:rsidR="00DF7AB2" w:rsidRPr="00851FCE" w:rsidRDefault="00DF7AB2" w:rsidP="00C80BBD">
              <w:pPr>
                <w:pStyle w:val="Encabezado"/>
                <w:spacing w:after="0"/>
                <w:ind w:right="-110"/>
                <w:contextualSpacing/>
                <w:jc w:val="center"/>
                <w:rPr>
                  <w:i/>
                  <w:iCs/>
                  <w:color w:val="5F2987"/>
                  <w:sz w:val="18"/>
                  <w:szCs w:val="18"/>
                  <w:lang w:val="es-ES"/>
                </w:rPr>
              </w:pPr>
              <w:r w:rsidRPr="00DF7AB2">
                <w:rPr>
                  <w:i/>
                  <w:iCs/>
                  <w:color w:val="5F2987"/>
                  <w:sz w:val="18"/>
                  <w:szCs w:val="18"/>
                  <w:lang w:val="es-ES"/>
                </w:rPr>
                <w:t>El sector público: delimitación, operaciones y cuentas principales. Comparaciones internacionales.</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7B5186DF" w14:textId="77777777" w:rsidR="00DF7AB2" w:rsidRPr="00C44422" w:rsidRDefault="00DF7AB2"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C07581" w:rsidRPr="00BE1B62" w14:paraId="78F3B52E" w14:textId="77777777" w:rsidTr="00A35C94">
      <w:tc>
        <w:tcPr>
          <w:tcW w:w="3261" w:type="dxa"/>
          <w:tcBorders>
            <w:bottom w:val="thickThinSmallGap" w:sz="12" w:space="0" w:color="5F2987"/>
          </w:tcBorders>
        </w:tcPr>
        <w:p w14:paraId="4AD33605" w14:textId="0075BB9B" w:rsidR="00C07581" w:rsidRPr="00C07581" w:rsidRDefault="00C07581" w:rsidP="004711E1">
          <w:pPr>
            <w:pStyle w:val="Encabezado"/>
            <w:spacing w:after="0"/>
            <w:jc w:val="left"/>
            <w:rPr>
              <w:i/>
              <w:iCs/>
              <w:color w:val="5F2987"/>
              <w:spacing w:val="-6"/>
              <w:sz w:val="18"/>
              <w:szCs w:val="18"/>
              <w:lang w:val="es-ES"/>
            </w:rPr>
          </w:pPr>
          <w:r w:rsidRPr="00C07581">
            <w:rPr>
              <w:i/>
              <w:iCs/>
              <w:color w:val="5F2987"/>
              <w:spacing w:val="-6"/>
              <w:sz w:val="14"/>
              <w:szCs w:val="14"/>
              <w:lang w:val="es-ES"/>
            </w:rPr>
            <w:t>Fecha de la última actualización:</w:t>
          </w:r>
          <w:r w:rsidRPr="00C07581">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21538E">
            <w:rPr>
              <w:i/>
              <w:iCs/>
              <w:noProof/>
              <w:color w:val="5F2987"/>
              <w:spacing w:val="-6"/>
              <w:sz w:val="18"/>
              <w:szCs w:val="18"/>
            </w:rPr>
            <w:t>16/01/2026</w:t>
          </w:r>
          <w:r>
            <w:rPr>
              <w:i/>
              <w:iCs/>
              <w:color w:val="5F2987"/>
              <w:spacing w:val="-6"/>
              <w:sz w:val="18"/>
              <w:szCs w:val="18"/>
            </w:rPr>
            <w:fldChar w:fldCharType="end"/>
          </w:r>
        </w:p>
      </w:tc>
      <w:tc>
        <w:tcPr>
          <w:tcW w:w="4819" w:type="dxa"/>
          <w:tcBorders>
            <w:bottom w:val="thickThinSmallGap" w:sz="12" w:space="0" w:color="5F2987"/>
          </w:tcBorders>
        </w:tcPr>
        <w:p w14:paraId="23CC3137" w14:textId="77777777" w:rsidR="00C07581" w:rsidRPr="00C07581" w:rsidRDefault="00C07581" w:rsidP="004711E1">
          <w:pPr>
            <w:pStyle w:val="Encabezado"/>
            <w:spacing w:after="0"/>
            <w:jc w:val="center"/>
            <w:rPr>
              <w:i/>
              <w:iCs/>
              <w:color w:val="5F2987"/>
              <w:spacing w:val="-6"/>
              <w:sz w:val="18"/>
              <w:szCs w:val="18"/>
              <w:lang w:val="es-ES"/>
            </w:rPr>
          </w:pPr>
          <w:r w:rsidRPr="00C07581">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432435049"/>
          <w:placeholder>
            <w:docPart w:val="04F33676B8FA4DF1B9E088D9DA2BCB84"/>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B88C4D3" w14:textId="7D6405BF" w:rsidR="00C07581" w:rsidRPr="00BE1B62" w:rsidRDefault="00C07581" w:rsidP="004711E1">
              <w:pPr>
                <w:pStyle w:val="Encabezado"/>
                <w:spacing w:after="0"/>
                <w:jc w:val="right"/>
                <w:rPr>
                  <w:i/>
                  <w:iCs/>
                  <w:color w:val="5F2987"/>
                  <w:spacing w:val="-6"/>
                  <w:sz w:val="18"/>
                  <w:szCs w:val="18"/>
                </w:rPr>
              </w:pPr>
              <w:r>
                <w:rPr>
                  <w:i/>
                  <w:iCs/>
                  <w:color w:val="5F2987"/>
                  <w:spacing w:val="-6"/>
                  <w:sz w:val="20"/>
                  <w:szCs w:val="20"/>
                </w:rPr>
                <w:t>4.B.1</w:t>
              </w:r>
            </w:p>
          </w:tc>
        </w:sdtContent>
      </w:sdt>
    </w:tr>
  </w:tbl>
  <w:p w14:paraId="387AA085" w14:textId="77777777" w:rsidR="00C07581" w:rsidRPr="00C80BBD" w:rsidRDefault="00C07581" w:rsidP="004711E1">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8065C5"/>
    <w:multiLevelType w:val="hybridMultilevel"/>
    <w:tmpl w:val="3A9E35CA"/>
    <w:lvl w:ilvl="0" w:tplc="728616F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53B4BFE"/>
    <w:multiLevelType w:val="hybridMultilevel"/>
    <w:tmpl w:val="4C4EA0D8"/>
    <w:lvl w:ilvl="0" w:tplc="FB9291B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5442D88"/>
    <w:multiLevelType w:val="hybridMultilevel"/>
    <w:tmpl w:val="0A747AAC"/>
    <w:lvl w:ilvl="0" w:tplc="397A7E6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4" w15:restartNumberingAfterBreak="0">
    <w:nsid w:val="07A73A43"/>
    <w:multiLevelType w:val="hybridMultilevel"/>
    <w:tmpl w:val="F55A2030"/>
    <w:lvl w:ilvl="0" w:tplc="2084DD3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5" w15:restartNumberingAfterBreak="0">
    <w:nsid w:val="0A336EBF"/>
    <w:multiLevelType w:val="hybridMultilevel"/>
    <w:tmpl w:val="EAF67C2C"/>
    <w:lvl w:ilvl="0" w:tplc="0D68C970">
      <w:start w:val="1"/>
      <w:numFmt w:val="lowerLetter"/>
      <w:lvlText w:val="%1)"/>
      <w:lvlJc w:val="right"/>
      <w:pPr>
        <w:ind w:left="720" w:hanging="360"/>
      </w:pPr>
      <w:rPr>
        <w:rFonts w:hint="default"/>
        <w:i/>
        <w:iCs/>
      </w:rPr>
    </w:lvl>
    <w:lvl w:ilvl="1" w:tplc="32CC269E">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7"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9225D44"/>
    <w:multiLevelType w:val="hybridMultilevel"/>
    <w:tmpl w:val="8A5ED08C"/>
    <w:lvl w:ilvl="0" w:tplc="2044366E">
      <w:start w:val="1"/>
      <w:numFmt w:val="lowerLetter"/>
      <w:lvlText w:val="%1."/>
      <w:lvlJc w:val="left"/>
      <w:pPr>
        <w:ind w:left="720" w:hanging="360"/>
      </w:pPr>
      <w:rPr>
        <w:rFonts w:hint="default"/>
        <w:b/>
        <w:bCs w:val="0"/>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C0F24FF"/>
    <w:multiLevelType w:val="hybridMultilevel"/>
    <w:tmpl w:val="F650F55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11015A2"/>
    <w:multiLevelType w:val="hybridMultilevel"/>
    <w:tmpl w:val="A72CC6D4"/>
    <w:lvl w:ilvl="0" w:tplc="9FF27D6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4" w15:restartNumberingAfterBreak="0">
    <w:nsid w:val="2C5E4B62"/>
    <w:multiLevelType w:val="hybridMultilevel"/>
    <w:tmpl w:val="712623AC"/>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5" w15:restartNumberingAfterBreak="0">
    <w:nsid w:val="33226453"/>
    <w:multiLevelType w:val="hybridMultilevel"/>
    <w:tmpl w:val="FC7CB3F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34F00F94"/>
    <w:multiLevelType w:val="hybridMultilevel"/>
    <w:tmpl w:val="52FAA572"/>
    <w:lvl w:ilvl="0" w:tplc="DDD6E2DE">
      <w:start w:val="1"/>
      <w:numFmt w:val="decimal"/>
      <w:lvlText w:val="%1."/>
      <w:lvlJc w:val="righ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7" w15:restartNumberingAfterBreak="0">
    <w:nsid w:val="36F0565B"/>
    <w:multiLevelType w:val="hybridMultilevel"/>
    <w:tmpl w:val="56682FF4"/>
    <w:lvl w:ilvl="0" w:tplc="7C787E80">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7A5782B"/>
    <w:multiLevelType w:val="hybridMultilevel"/>
    <w:tmpl w:val="3C40E378"/>
    <w:lvl w:ilvl="0" w:tplc="AF0CD0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835018D"/>
    <w:multiLevelType w:val="hybridMultilevel"/>
    <w:tmpl w:val="52F268FE"/>
    <w:lvl w:ilvl="0" w:tplc="8F703160">
      <w:start w:val="1"/>
      <w:numFmt w:val="decimal"/>
      <w:lvlText w:val="%1."/>
      <w:lvlJc w:val="left"/>
      <w:pPr>
        <w:ind w:left="1211"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7124407"/>
    <w:multiLevelType w:val="hybridMultilevel"/>
    <w:tmpl w:val="07B0462C"/>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0FB7C1A"/>
    <w:multiLevelType w:val="multilevel"/>
    <w:tmpl w:val="0809001D"/>
    <w:numStyleLink w:val="Lista1"/>
  </w:abstractNum>
  <w:abstractNum w:abstractNumId="34" w15:restartNumberingAfterBreak="0">
    <w:nsid w:val="51503709"/>
    <w:multiLevelType w:val="hybridMultilevel"/>
    <w:tmpl w:val="45DA3146"/>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4F62FBF"/>
    <w:multiLevelType w:val="hybridMultilevel"/>
    <w:tmpl w:val="B0622EE8"/>
    <w:lvl w:ilvl="0" w:tplc="CA20E98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82008C5"/>
    <w:multiLevelType w:val="hybridMultilevel"/>
    <w:tmpl w:val="43381A9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8336733"/>
    <w:multiLevelType w:val="hybridMultilevel"/>
    <w:tmpl w:val="B09CCA18"/>
    <w:lvl w:ilvl="0" w:tplc="0C0A0017">
      <w:start w:val="1"/>
      <w:numFmt w:val="lowerLetter"/>
      <w:lvlText w:val="%1)"/>
      <w:lvlJc w:val="left"/>
      <w:pPr>
        <w:ind w:left="720" w:hanging="360"/>
      </w:pPr>
    </w:lvl>
    <w:lvl w:ilvl="1" w:tplc="701091FE">
      <w:numFmt w:val="bullet"/>
      <w:lvlText w:val="•"/>
      <w:lvlJc w:val="left"/>
      <w:pPr>
        <w:ind w:left="1440" w:hanging="360"/>
      </w:pPr>
      <w:rPr>
        <w:rFonts w:ascii="Palatino Linotype" w:eastAsiaTheme="minorHAnsi" w:hAnsi="Palatino Linotype"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387122"/>
    <w:multiLevelType w:val="hybridMultilevel"/>
    <w:tmpl w:val="EBD010A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3"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18255C6"/>
    <w:multiLevelType w:val="hybridMultilevel"/>
    <w:tmpl w:val="32347A9C"/>
    <w:lvl w:ilvl="0" w:tplc="54863418">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7"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49" w15:restartNumberingAfterBreak="0">
    <w:nsid w:val="7CFF0BCF"/>
    <w:multiLevelType w:val="hybridMultilevel"/>
    <w:tmpl w:val="7B62D16C"/>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68265250">
    <w:abstractNumId w:val="16"/>
  </w:num>
  <w:num w:numId="2" w16cid:durableId="1963464073">
    <w:abstractNumId w:val="47"/>
  </w:num>
  <w:num w:numId="3" w16cid:durableId="113526021">
    <w:abstractNumId w:val="22"/>
  </w:num>
  <w:num w:numId="4" w16cid:durableId="782647210">
    <w:abstractNumId w:val="42"/>
  </w:num>
  <w:num w:numId="5" w16cid:durableId="401029450">
    <w:abstractNumId w:val="23"/>
  </w:num>
  <w:num w:numId="6" w16cid:durableId="495264494">
    <w:abstractNumId w:val="31"/>
  </w:num>
  <w:num w:numId="7" w16cid:durableId="200746150">
    <w:abstractNumId w:val="17"/>
  </w:num>
  <w:num w:numId="8" w16cid:durableId="721634037">
    <w:abstractNumId w:val="41"/>
  </w:num>
  <w:num w:numId="9" w16cid:durableId="1738552165">
    <w:abstractNumId w:val="28"/>
  </w:num>
  <w:num w:numId="10" w16cid:durableId="164589067">
    <w:abstractNumId w:val="40"/>
  </w:num>
  <w:num w:numId="11" w16cid:durableId="1624459006">
    <w:abstractNumId w:val="20"/>
  </w:num>
  <w:num w:numId="12" w16cid:durableId="1077551767">
    <w:abstractNumId w:val="37"/>
  </w:num>
  <w:num w:numId="13" w16cid:durableId="354044338">
    <w:abstractNumId w:val="19"/>
  </w:num>
  <w:num w:numId="14" w16cid:durableId="1922520641">
    <w:abstractNumId w:val="26"/>
  </w:num>
  <w:num w:numId="15" w16cid:durableId="1177041893">
    <w:abstractNumId w:val="14"/>
  </w:num>
  <w:num w:numId="16" w16cid:durableId="2123330830">
    <w:abstractNumId w:val="10"/>
  </w:num>
  <w:num w:numId="17" w16cid:durableId="977301888">
    <w:abstractNumId w:val="35"/>
  </w:num>
  <w:num w:numId="18" w16cid:durableId="1843743798">
    <w:abstractNumId w:val="11"/>
  </w:num>
  <w:num w:numId="19" w16cid:durableId="594091881">
    <w:abstractNumId w:val="32"/>
  </w:num>
  <w:num w:numId="20" w16cid:durableId="1571574820">
    <w:abstractNumId w:val="15"/>
  </w:num>
  <w:num w:numId="21" w16cid:durableId="171993594">
    <w:abstractNumId w:val="42"/>
    <w:lvlOverride w:ilvl="0">
      <w:startOverride w:val="1"/>
    </w:lvlOverride>
  </w:num>
  <w:num w:numId="22" w16cid:durableId="1998802003">
    <w:abstractNumId w:val="44"/>
  </w:num>
  <w:num w:numId="23" w16cid:durableId="708458325">
    <w:abstractNumId w:val="12"/>
  </w:num>
  <w:num w:numId="24" w16cid:durableId="2121875882">
    <w:abstractNumId w:val="18"/>
  </w:num>
  <w:num w:numId="25" w16cid:durableId="1334911573">
    <w:abstractNumId w:val="34"/>
  </w:num>
  <w:num w:numId="26" w16cid:durableId="1464031934">
    <w:abstractNumId w:val="49"/>
  </w:num>
  <w:num w:numId="27" w16cid:durableId="761993762">
    <w:abstractNumId w:val="38"/>
  </w:num>
  <w:num w:numId="28" w16cid:durableId="181676059">
    <w:abstractNumId w:val="43"/>
  </w:num>
  <w:num w:numId="29" w16cid:durableId="1281767471">
    <w:abstractNumId w:val="45"/>
  </w:num>
  <w:num w:numId="30" w16cid:durableId="259066400">
    <w:abstractNumId w:val="48"/>
  </w:num>
  <w:num w:numId="31" w16cid:durableId="373384582">
    <w:abstractNumId w:val="21"/>
  </w:num>
  <w:num w:numId="32" w16cid:durableId="829365101">
    <w:abstractNumId w:val="39"/>
  </w:num>
  <w:num w:numId="33" w16cid:durableId="25372873">
    <w:abstractNumId w:val="33"/>
  </w:num>
  <w:num w:numId="34" w16cid:durableId="159583792">
    <w:abstractNumId w:val="9"/>
  </w:num>
  <w:num w:numId="35" w16cid:durableId="1412461012">
    <w:abstractNumId w:val="7"/>
  </w:num>
  <w:num w:numId="36" w16cid:durableId="1049498149">
    <w:abstractNumId w:val="6"/>
  </w:num>
  <w:num w:numId="37" w16cid:durableId="480776684">
    <w:abstractNumId w:val="5"/>
  </w:num>
  <w:num w:numId="38" w16cid:durableId="1221096349">
    <w:abstractNumId w:val="4"/>
  </w:num>
  <w:num w:numId="39" w16cid:durableId="1127814330">
    <w:abstractNumId w:val="8"/>
  </w:num>
  <w:num w:numId="40" w16cid:durableId="953441926">
    <w:abstractNumId w:val="3"/>
  </w:num>
  <w:num w:numId="41" w16cid:durableId="1642999023">
    <w:abstractNumId w:val="2"/>
  </w:num>
  <w:num w:numId="42" w16cid:durableId="327173804">
    <w:abstractNumId w:val="1"/>
  </w:num>
  <w:num w:numId="43" w16cid:durableId="434401366">
    <w:abstractNumId w:val="0"/>
  </w:num>
  <w:num w:numId="44" w16cid:durableId="1051079801">
    <w:abstractNumId w:val="46"/>
  </w:num>
  <w:num w:numId="45" w16cid:durableId="623118318">
    <w:abstractNumId w:val="30"/>
  </w:num>
  <w:num w:numId="46" w16cid:durableId="7665390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79938890">
    <w:abstractNumId w:val="36"/>
  </w:num>
  <w:num w:numId="48" w16cid:durableId="494882035">
    <w:abstractNumId w:val="13"/>
  </w:num>
  <w:num w:numId="49" w16cid:durableId="1214930474">
    <w:abstractNumId w:val="25"/>
  </w:num>
  <w:num w:numId="50" w16cid:durableId="1727532975">
    <w:abstractNumId w:val="42"/>
    <w:lvlOverride w:ilvl="0">
      <w:startOverride w:val="1"/>
    </w:lvlOverride>
  </w:num>
  <w:num w:numId="51" w16cid:durableId="873225727">
    <w:abstractNumId w:val="24"/>
  </w:num>
  <w:num w:numId="52" w16cid:durableId="129328039">
    <w:abstractNumId w:val="27"/>
  </w:num>
  <w:num w:numId="53" w16cid:durableId="1495730000">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1448"/>
    <w:rsid w:val="0000166E"/>
    <w:rsid w:val="000016E3"/>
    <w:rsid w:val="00001E3D"/>
    <w:rsid w:val="000023C4"/>
    <w:rsid w:val="00002A09"/>
    <w:rsid w:val="00002B53"/>
    <w:rsid w:val="00002B76"/>
    <w:rsid w:val="00002E3A"/>
    <w:rsid w:val="00002EB6"/>
    <w:rsid w:val="000032B1"/>
    <w:rsid w:val="00003A25"/>
    <w:rsid w:val="000040EA"/>
    <w:rsid w:val="00004264"/>
    <w:rsid w:val="000051EF"/>
    <w:rsid w:val="000053F9"/>
    <w:rsid w:val="00005501"/>
    <w:rsid w:val="00005F38"/>
    <w:rsid w:val="00005F55"/>
    <w:rsid w:val="00006470"/>
    <w:rsid w:val="0000663D"/>
    <w:rsid w:val="000066BD"/>
    <w:rsid w:val="000066C0"/>
    <w:rsid w:val="0000675F"/>
    <w:rsid w:val="00006E30"/>
    <w:rsid w:val="000076BF"/>
    <w:rsid w:val="000077E2"/>
    <w:rsid w:val="00007F0E"/>
    <w:rsid w:val="000105A3"/>
    <w:rsid w:val="0001073A"/>
    <w:rsid w:val="00010D0C"/>
    <w:rsid w:val="00011356"/>
    <w:rsid w:val="00012701"/>
    <w:rsid w:val="00012CD0"/>
    <w:rsid w:val="00013A71"/>
    <w:rsid w:val="00013BF9"/>
    <w:rsid w:val="0001470D"/>
    <w:rsid w:val="0001569A"/>
    <w:rsid w:val="000157F5"/>
    <w:rsid w:val="00015997"/>
    <w:rsid w:val="000160C9"/>
    <w:rsid w:val="000161D0"/>
    <w:rsid w:val="00016574"/>
    <w:rsid w:val="0001668B"/>
    <w:rsid w:val="000167E0"/>
    <w:rsid w:val="00017197"/>
    <w:rsid w:val="00017700"/>
    <w:rsid w:val="00017B40"/>
    <w:rsid w:val="00017C10"/>
    <w:rsid w:val="00020130"/>
    <w:rsid w:val="0002076A"/>
    <w:rsid w:val="00020816"/>
    <w:rsid w:val="00021052"/>
    <w:rsid w:val="000214D2"/>
    <w:rsid w:val="00021872"/>
    <w:rsid w:val="000219B4"/>
    <w:rsid w:val="00021E32"/>
    <w:rsid w:val="00022463"/>
    <w:rsid w:val="000230C3"/>
    <w:rsid w:val="000233DD"/>
    <w:rsid w:val="0002361F"/>
    <w:rsid w:val="0002386C"/>
    <w:rsid w:val="0002394F"/>
    <w:rsid w:val="0002399C"/>
    <w:rsid w:val="00024095"/>
    <w:rsid w:val="00024146"/>
    <w:rsid w:val="00024A80"/>
    <w:rsid w:val="00024CD1"/>
    <w:rsid w:val="00024F9E"/>
    <w:rsid w:val="000254B1"/>
    <w:rsid w:val="00025A5C"/>
    <w:rsid w:val="00025C78"/>
    <w:rsid w:val="0002613E"/>
    <w:rsid w:val="00026E2C"/>
    <w:rsid w:val="00026ECA"/>
    <w:rsid w:val="000272EA"/>
    <w:rsid w:val="00027DD5"/>
    <w:rsid w:val="00030BE9"/>
    <w:rsid w:val="0003115D"/>
    <w:rsid w:val="0003122B"/>
    <w:rsid w:val="000317B6"/>
    <w:rsid w:val="000319FC"/>
    <w:rsid w:val="00031D49"/>
    <w:rsid w:val="000322BC"/>
    <w:rsid w:val="000329E8"/>
    <w:rsid w:val="00032AA1"/>
    <w:rsid w:val="00032E0F"/>
    <w:rsid w:val="00032EA1"/>
    <w:rsid w:val="00032EC1"/>
    <w:rsid w:val="00032ECC"/>
    <w:rsid w:val="0003313A"/>
    <w:rsid w:val="000335BC"/>
    <w:rsid w:val="00034991"/>
    <w:rsid w:val="00034A20"/>
    <w:rsid w:val="00034A74"/>
    <w:rsid w:val="0003695A"/>
    <w:rsid w:val="00036EAA"/>
    <w:rsid w:val="00037286"/>
    <w:rsid w:val="000378E1"/>
    <w:rsid w:val="000379B1"/>
    <w:rsid w:val="00037BA7"/>
    <w:rsid w:val="00040C13"/>
    <w:rsid w:val="00041142"/>
    <w:rsid w:val="000411AD"/>
    <w:rsid w:val="0004175F"/>
    <w:rsid w:val="000419AD"/>
    <w:rsid w:val="00041BFD"/>
    <w:rsid w:val="000421C1"/>
    <w:rsid w:val="00042263"/>
    <w:rsid w:val="000423AB"/>
    <w:rsid w:val="00042696"/>
    <w:rsid w:val="00042973"/>
    <w:rsid w:val="00042DAB"/>
    <w:rsid w:val="00043363"/>
    <w:rsid w:val="00043790"/>
    <w:rsid w:val="000439C9"/>
    <w:rsid w:val="00043AF6"/>
    <w:rsid w:val="00043B1C"/>
    <w:rsid w:val="00043B59"/>
    <w:rsid w:val="00043E46"/>
    <w:rsid w:val="00043FA0"/>
    <w:rsid w:val="000443C1"/>
    <w:rsid w:val="00044994"/>
    <w:rsid w:val="00044E0E"/>
    <w:rsid w:val="00044EEE"/>
    <w:rsid w:val="00045047"/>
    <w:rsid w:val="00045070"/>
    <w:rsid w:val="00045432"/>
    <w:rsid w:val="000456D4"/>
    <w:rsid w:val="00045F40"/>
    <w:rsid w:val="00045FC7"/>
    <w:rsid w:val="00046894"/>
    <w:rsid w:val="00046E12"/>
    <w:rsid w:val="00046F0A"/>
    <w:rsid w:val="000472B2"/>
    <w:rsid w:val="00047596"/>
    <w:rsid w:val="00047D0E"/>
    <w:rsid w:val="00047F74"/>
    <w:rsid w:val="0005073C"/>
    <w:rsid w:val="000508D3"/>
    <w:rsid w:val="00050981"/>
    <w:rsid w:val="00050BB0"/>
    <w:rsid w:val="00051268"/>
    <w:rsid w:val="000515EB"/>
    <w:rsid w:val="00052224"/>
    <w:rsid w:val="00052B42"/>
    <w:rsid w:val="00052E5A"/>
    <w:rsid w:val="0005333B"/>
    <w:rsid w:val="00053A62"/>
    <w:rsid w:val="00053B06"/>
    <w:rsid w:val="00053C54"/>
    <w:rsid w:val="00053CEF"/>
    <w:rsid w:val="000545A3"/>
    <w:rsid w:val="000549AD"/>
    <w:rsid w:val="00054CB3"/>
    <w:rsid w:val="0005534A"/>
    <w:rsid w:val="00056419"/>
    <w:rsid w:val="000567DF"/>
    <w:rsid w:val="0005681F"/>
    <w:rsid w:val="00056BC3"/>
    <w:rsid w:val="00056F79"/>
    <w:rsid w:val="000570D0"/>
    <w:rsid w:val="0005794D"/>
    <w:rsid w:val="000601B9"/>
    <w:rsid w:val="00060392"/>
    <w:rsid w:val="000603B8"/>
    <w:rsid w:val="00060B47"/>
    <w:rsid w:val="00061379"/>
    <w:rsid w:val="00061865"/>
    <w:rsid w:val="0006187D"/>
    <w:rsid w:val="000621FB"/>
    <w:rsid w:val="00062584"/>
    <w:rsid w:val="00062667"/>
    <w:rsid w:val="00062B55"/>
    <w:rsid w:val="00063066"/>
    <w:rsid w:val="0006321F"/>
    <w:rsid w:val="00063852"/>
    <w:rsid w:val="00064985"/>
    <w:rsid w:val="000649BE"/>
    <w:rsid w:val="00064AA9"/>
    <w:rsid w:val="00065023"/>
    <w:rsid w:val="00065961"/>
    <w:rsid w:val="00065B51"/>
    <w:rsid w:val="00065F29"/>
    <w:rsid w:val="00066999"/>
    <w:rsid w:val="00066AD2"/>
    <w:rsid w:val="00066DB4"/>
    <w:rsid w:val="00066EA5"/>
    <w:rsid w:val="000675E4"/>
    <w:rsid w:val="0007015B"/>
    <w:rsid w:val="00070191"/>
    <w:rsid w:val="000705E3"/>
    <w:rsid w:val="00070AB1"/>
    <w:rsid w:val="00070BBF"/>
    <w:rsid w:val="00070C1B"/>
    <w:rsid w:val="0007141A"/>
    <w:rsid w:val="00071619"/>
    <w:rsid w:val="0007194A"/>
    <w:rsid w:val="0007259E"/>
    <w:rsid w:val="000725F5"/>
    <w:rsid w:val="000745FB"/>
    <w:rsid w:val="0007480F"/>
    <w:rsid w:val="00074AAF"/>
    <w:rsid w:val="0007508F"/>
    <w:rsid w:val="00076382"/>
    <w:rsid w:val="000764AD"/>
    <w:rsid w:val="00076B08"/>
    <w:rsid w:val="0007702B"/>
    <w:rsid w:val="0007783C"/>
    <w:rsid w:val="00077DFE"/>
    <w:rsid w:val="00081B23"/>
    <w:rsid w:val="00082C9E"/>
    <w:rsid w:val="00082E23"/>
    <w:rsid w:val="0008375E"/>
    <w:rsid w:val="00084408"/>
    <w:rsid w:val="00085177"/>
    <w:rsid w:val="00085FC9"/>
    <w:rsid w:val="0008688A"/>
    <w:rsid w:val="00086893"/>
    <w:rsid w:val="00087BA9"/>
    <w:rsid w:val="00090006"/>
    <w:rsid w:val="0009025A"/>
    <w:rsid w:val="000908A1"/>
    <w:rsid w:val="00090C80"/>
    <w:rsid w:val="00091307"/>
    <w:rsid w:val="00091DC2"/>
    <w:rsid w:val="000936CB"/>
    <w:rsid w:val="00093C52"/>
    <w:rsid w:val="00093C8D"/>
    <w:rsid w:val="00094FE7"/>
    <w:rsid w:val="000954D2"/>
    <w:rsid w:val="00095F6E"/>
    <w:rsid w:val="00096069"/>
    <w:rsid w:val="00096521"/>
    <w:rsid w:val="000968C5"/>
    <w:rsid w:val="0009696E"/>
    <w:rsid w:val="00096C51"/>
    <w:rsid w:val="00096DFA"/>
    <w:rsid w:val="000974BE"/>
    <w:rsid w:val="000979F7"/>
    <w:rsid w:val="000A00F4"/>
    <w:rsid w:val="000A0126"/>
    <w:rsid w:val="000A0643"/>
    <w:rsid w:val="000A0777"/>
    <w:rsid w:val="000A12DC"/>
    <w:rsid w:val="000A16CE"/>
    <w:rsid w:val="000A1D85"/>
    <w:rsid w:val="000A27FB"/>
    <w:rsid w:val="000A280C"/>
    <w:rsid w:val="000A2927"/>
    <w:rsid w:val="000A2960"/>
    <w:rsid w:val="000A312B"/>
    <w:rsid w:val="000A3691"/>
    <w:rsid w:val="000A39AE"/>
    <w:rsid w:val="000A3B96"/>
    <w:rsid w:val="000A3EEA"/>
    <w:rsid w:val="000A442B"/>
    <w:rsid w:val="000A454A"/>
    <w:rsid w:val="000A5531"/>
    <w:rsid w:val="000A6519"/>
    <w:rsid w:val="000A6812"/>
    <w:rsid w:val="000A6DE8"/>
    <w:rsid w:val="000A6F27"/>
    <w:rsid w:val="000A6FA7"/>
    <w:rsid w:val="000A73E3"/>
    <w:rsid w:val="000A75BB"/>
    <w:rsid w:val="000A76C6"/>
    <w:rsid w:val="000A7AED"/>
    <w:rsid w:val="000A7DBE"/>
    <w:rsid w:val="000A7E52"/>
    <w:rsid w:val="000B0054"/>
    <w:rsid w:val="000B0096"/>
    <w:rsid w:val="000B0BAE"/>
    <w:rsid w:val="000B11F8"/>
    <w:rsid w:val="000B15D8"/>
    <w:rsid w:val="000B19FF"/>
    <w:rsid w:val="000B1C3E"/>
    <w:rsid w:val="000B1D8F"/>
    <w:rsid w:val="000B1E8A"/>
    <w:rsid w:val="000B2526"/>
    <w:rsid w:val="000B2AB6"/>
    <w:rsid w:val="000B30E2"/>
    <w:rsid w:val="000B3B89"/>
    <w:rsid w:val="000B3C7C"/>
    <w:rsid w:val="000B47ED"/>
    <w:rsid w:val="000B4B3B"/>
    <w:rsid w:val="000B55D1"/>
    <w:rsid w:val="000B6476"/>
    <w:rsid w:val="000B6503"/>
    <w:rsid w:val="000B69FA"/>
    <w:rsid w:val="000B7003"/>
    <w:rsid w:val="000B7180"/>
    <w:rsid w:val="000B7442"/>
    <w:rsid w:val="000B744C"/>
    <w:rsid w:val="000B7548"/>
    <w:rsid w:val="000C0074"/>
    <w:rsid w:val="000C025D"/>
    <w:rsid w:val="000C0260"/>
    <w:rsid w:val="000C0D1E"/>
    <w:rsid w:val="000C13F2"/>
    <w:rsid w:val="000C1462"/>
    <w:rsid w:val="000C1523"/>
    <w:rsid w:val="000C17EA"/>
    <w:rsid w:val="000C1964"/>
    <w:rsid w:val="000C1DBE"/>
    <w:rsid w:val="000C20FD"/>
    <w:rsid w:val="000C2166"/>
    <w:rsid w:val="000C253C"/>
    <w:rsid w:val="000C254C"/>
    <w:rsid w:val="000C3DC2"/>
    <w:rsid w:val="000C3FA8"/>
    <w:rsid w:val="000C4B4C"/>
    <w:rsid w:val="000C4F4B"/>
    <w:rsid w:val="000C4FD1"/>
    <w:rsid w:val="000C56EF"/>
    <w:rsid w:val="000C703F"/>
    <w:rsid w:val="000C762E"/>
    <w:rsid w:val="000C76CF"/>
    <w:rsid w:val="000C7AB9"/>
    <w:rsid w:val="000D010B"/>
    <w:rsid w:val="000D0FDC"/>
    <w:rsid w:val="000D1552"/>
    <w:rsid w:val="000D156B"/>
    <w:rsid w:val="000D18D7"/>
    <w:rsid w:val="000D22F9"/>
    <w:rsid w:val="000D2489"/>
    <w:rsid w:val="000D2E97"/>
    <w:rsid w:val="000D324F"/>
    <w:rsid w:val="000D329E"/>
    <w:rsid w:val="000D3789"/>
    <w:rsid w:val="000D3E79"/>
    <w:rsid w:val="000D4047"/>
    <w:rsid w:val="000D5122"/>
    <w:rsid w:val="000D5658"/>
    <w:rsid w:val="000D71EC"/>
    <w:rsid w:val="000D79D9"/>
    <w:rsid w:val="000D7B09"/>
    <w:rsid w:val="000D7FAC"/>
    <w:rsid w:val="000E0D36"/>
    <w:rsid w:val="000E1061"/>
    <w:rsid w:val="000E112F"/>
    <w:rsid w:val="000E1335"/>
    <w:rsid w:val="000E140A"/>
    <w:rsid w:val="000E144E"/>
    <w:rsid w:val="000E1949"/>
    <w:rsid w:val="000E1A81"/>
    <w:rsid w:val="000E23AA"/>
    <w:rsid w:val="000E23EA"/>
    <w:rsid w:val="000E3E9D"/>
    <w:rsid w:val="000E46DE"/>
    <w:rsid w:val="000E47C9"/>
    <w:rsid w:val="000E48DC"/>
    <w:rsid w:val="000E537D"/>
    <w:rsid w:val="000E599F"/>
    <w:rsid w:val="000E5A0A"/>
    <w:rsid w:val="000E5A42"/>
    <w:rsid w:val="000E65E9"/>
    <w:rsid w:val="000E6621"/>
    <w:rsid w:val="000E7029"/>
    <w:rsid w:val="000E70A6"/>
    <w:rsid w:val="000E7B38"/>
    <w:rsid w:val="000F05E1"/>
    <w:rsid w:val="000F0914"/>
    <w:rsid w:val="000F0B43"/>
    <w:rsid w:val="000F12C9"/>
    <w:rsid w:val="000F12FD"/>
    <w:rsid w:val="000F15D5"/>
    <w:rsid w:val="000F1641"/>
    <w:rsid w:val="000F3478"/>
    <w:rsid w:val="000F41A6"/>
    <w:rsid w:val="000F4DB5"/>
    <w:rsid w:val="000F51DA"/>
    <w:rsid w:val="000F5222"/>
    <w:rsid w:val="000F57A9"/>
    <w:rsid w:val="000F57CE"/>
    <w:rsid w:val="000F58E0"/>
    <w:rsid w:val="000F591C"/>
    <w:rsid w:val="000F595B"/>
    <w:rsid w:val="000F5E3F"/>
    <w:rsid w:val="000F6025"/>
    <w:rsid w:val="000F6281"/>
    <w:rsid w:val="000F6E15"/>
    <w:rsid w:val="000F79E6"/>
    <w:rsid w:val="00100DE1"/>
    <w:rsid w:val="00101138"/>
    <w:rsid w:val="0010128F"/>
    <w:rsid w:val="00101A75"/>
    <w:rsid w:val="00101CA5"/>
    <w:rsid w:val="001025D7"/>
    <w:rsid w:val="001033DC"/>
    <w:rsid w:val="00103552"/>
    <w:rsid w:val="001039D3"/>
    <w:rsid w:val="00103C93"/>
    <w:rsid w:val="00103C9A"/>
    <w:rsid w:val="00103D94"/>
    <w:rsid w:val="00103FD3"/>
    <w:rsid w:val="00104262"/>
    <w:rsid w:val="00104428"/>
    <w:rsid w:val="00104A2E"/>
    <w:rsid w:val="00104A41"/>
    <w:rsid w:val="00105770"/>
    <w:rsid w:val="001061BE"/>
    <w:rsid w:val="001062F1"/>
    <w:rsid w:val="00106401"/>
    <w:rsid w:val="00106C24"/>
    <w:rsid w:val="00107791"/>
    <w:rsid w:val="00107C93"/>
    <w:rsid w:val="001100D5"/>
    <w:rsid w:val="00110A50"/>
    <w:rsid w:val="00110C5E"/>
    <w:rsid w:val="00110FE6"/>
    <w:rsid w:val="0011118B"/>
    <w:rsid w:val="001111EE"/>
    <w:rsid w:val="00111F70"/>
    <w:rsid w:val="001123A7"/>
    <w:rsid w:val="0011249A"/>
    <w:rsid w:val="00112A64"/>
    <w:rsid w:val="00113181"/>
    <w:rsid w:val="001134C9"/>
    <w:rsid w:val="001138C0"/>
    <w:rsid w:val="001138F3"/>
    <w:rsid w:val="00113926"/>
    <w:rsid w:val="00113C92"/>
    <w:rsid w:val="00113F74"/>
    <w:rsid w:val="0011405A"/>
    <w:rsid w:val="00114156"/>
    <w:rsid w:val="00114458"/>
    <w:rsid w:val="00114FE8"/>
    <w:rsid w:val="0011502D"/>
    <w:rsid w:val="001150C5"/>
    <w:rsid w:val="00115210"/>
    <w:rsid w:val="001152BD"/>
    <w:rsid w:val="00115FDC"/>
    <w:rsid w:val="001164CB"/>
    <w:rsid w:val="001168B8"/>
    <w:rsid w:val="00116B7B"/>
    <w:rsid w:val="001170B7"/>
    <w:rsid w:val="001172DE"/>
    <w:rsid w:val="00117B8A"/>
    <w:rsid w:val="001204C9"/>
    <w:rsid w:val="001205E1"/>
    <w:rsid w:val="0012126B"/>
    <w:rsid w:val="00121369"/>
    <w:rsid w:val="0012177F"/>
    <w:rsid w:val="00121A82"/>
    <w:rsid w:val="001221B5"/>
    <w:rsid w:val="00122278"/>
    <w:rsid w:val="00122371"/>
    <w:rsid w:val="00122900"/>
    <w:rsid w:val="00122936"/>
    <w:rsid w:val="00123AF0"/>
    <w:rsid w:val="001244FF"/>
    <w:rsid w:val="001247FA"/>
    <w:rsid w:val="001249B3"/>
    <w:rsid w:val="001249BE"/>
    <w:rsid w:val="00124E01"/>
    <w:rsid w:val="00125188"/>
    <w:rsid w:val="00125993"/>
    <w:rsid w:val="00125A75"/>
    <w:rsid w:val="00125B31"/>
    <w:rsid w:val="00125D43"/>
    <w:rsid w:val="00125D87"/>
    <w:rsid w:val="001260A9"/>
    <w:rsid w:val="001263B1"/>
    <w:rsid w:val="001269C5"/>
    <w:rsid w:val="00126B77"/>
    <w:rsid w:val="001274F1"/>
    <w:rsid w:val="0012792C"/>
    <w:rsid w:val="00127935"/>
    <w:rsid w:val="00127D7D"/>
    <w:rsid w:val="001300A6"/>
    <w:rsid w:val="00130361"/>
    <w:rsid w:val="00130608"/>
    <w:rsid w:val="001306CD"/>
    <w:rsid w:val="00131138"/>
    <w:rsid w:val="001313B0"/>
    <w:rsid w:val="0013168E"/>
    <w:rsid w:val="00131782"/>
    <w:rsid w:val="00131D37"/>
    <w:rsid w:val="00131DCF"/>
    <w:rsid w:val="001320C8"/>
    <w:rsid w:val="001324E7"/>
    <w:rsid w:val="00132CA4"/>
    <w:rsid w:val="00133991"/>
    <w:rsid w:val="00133B56"/>
    <w:rsid w:val="00133D52"/>
    <w:rsid w:val="00133F37"/>
    <w:rsid w:val="0013436E"/>
    <w:rsid w:val="00134704"/>
    <w:rsid w:val="00134944"/>
    <w:rsid w:val="00134A8E"/>
    <w:rsid w:val="00134E18"/>
    <w:rsid w:val="001354B7"/>
    <w:rsid w:val="00135570"/>
    <w:rsid w:val="00135622"/>
    <w:rsid w:val="001356E5"/>
    <w:rsid w:val="0013573A"/>
    <w:rsid w:val="0013632D"/>
    <w:rsid w:val="00136489"/>
    <w:rsid w:val="00136690"/>
    <w:rsid w:val="00136C70"/>
    <w:rsid w:val="001373DE"/>
    <w:rsid w:val="00137705"/>
    <w:rsid w:val="00137C0D"/>
    <w:rsid w:val="00141AE8"/>
    <w:rsid w:val="00142095"/>
    <w:rsid w:val="00142820"/>
    <w:rsid w:val="00142BF8"/>
    <w:rsid w:val="0014336D"/>
    <w:rsid w:val="00143B41"/>
    <w:rsid w:val="00143F4A"/>
    <w:rsid w:val="00144545"/>
    <w:rsid w:val="00144DAA"/>
    <w:rsid w:val="00145515"/>
    <w:rsid w:val="0014577B"/>
    <w:rsid w:val="001459B6"/>
    <w:rsid w:val="00145BD6"/>
    <w:rsid w:val="001463EC"/>
    <w:rsid w:val="001467B0"/>
    <w:rsid w:val="001468F2"/>
    <w:rsid w:val="00146924"/>
    <w:rsid w:val="00146ACA"/>
    <w:rsid w:val="00146D04"/>
    <w:rsid w:val="00147934"/>
    <w:rsid w:val="00147EAD"/>
    <w:rsid w:val="00150090"/>
    <w:rsid w:val="00151742"/>
    <w:rsid w:val="0015199E"/>
    <w:rsid w:val="00152780"/>
    <w:rsid w:val="00153316"/>
    <w:rsid w:val="00154070"/>
    <w:rsid w:val="0015419A"/>
    <w:rsid w:val="0015430F"/>
    <w:rsid w:val="001545D6"/>
    <w:rsid w:val="00154B5E"/>
    <w:rsid w:val="00154EE3"/>
    <w:rsid w:val="00155144"/>
    <w:rsid w:val="00155472"/>
    <w:rsid w:val="001555E0"/>
    <w:rsid w:val="001558F1"/>
    <w:rsid w:val="00155B6D"/>
    <w:rsid w:val="00155D0A"/>
    <w:rsid w:val="00155EE2"/>
    <w:rsid w:val="00156641"/>
    <w:rsid w:val="001567CD"/>
    <w:rsid w:val="001569BA"/>
    <w:rsid w:val="00156A36"/>
    <w:rsid w:val="00156EFF"/>
    <w:rsid w:val="00156F36"/>
    <w:rsid w:val="00156FEC"/>
    <w:rsid w:val="001577A2"/>
    <w:rsid w:val="00157C44"/>
    <w:rsid w:val="00157DE8"/>
    <w:rsid w:val="00157E61"/>
    <w:rsid w:val="00160011"/>
    <w:rsid w:val="00160023"/>
    <w:rsid w:val="00160061"/>
    <w:rsid w:val="0016066A"/>
    <w:rsid w:val="00160698"/>
    <w:rsid w:val="00160842"/>
    <w:rsid w:val="00160CF7"/>
    <w:rsid w:val="00161146"/>
    <w:rsid w:val="001633DA"/>
    <w:rsid w:val="001639C2"/>
    <w:rsid w:val="00163DDF"/>
    <w:rsid w:val="00163E43"/>
    <w:rsid w:val="00164474"/>
    <w:rsid w:val="00164977"/>
    <w:rsid w:val="00164C6B"/>
    <w:rsid w:val="00164D68"/>
    <w:rsid w:val="00164E25"/>
    <w:rsid w:val="00164F52"/>
    <w:rsid w:val="001650FE"/>
    <w:rsid w:val="00165EAD"/>
    <w:rsid w:val="00165FAE"/>
    <w:rsid w:val="00166877"/>
    <w:rsid w:val="00167DC8"/>
    <w:rsid w:val="00170321"/>
    <w:rsid w:val="001705BE"/>
    <w:rsid w:val="00171335"/>
    <w:rsid w:val="001714B6"/>
    <w:rsid w:val="00171FA8"/>
    <w:rsid w:val="00172068"/>
    <w:rsid w:val="001727E7"/>
    <w:rsid w:val="0017386A"/>
    <w:rsid w:val="00173968"/>
    <w:rsid w:val="00173D3A"/>
    <w:rsid w:val="0017427D"/>
    <w:rsid w:val="0017486E"/>
    <w:rsid w:val="00174A9E"/>
    <w:rsid w:val="0017505C"/>
    <w:rsid w:val="001751AD"/>
    <w:rsid w:val="001757B8"/>
    <w:rsid w:val="00176A0F"/>
    <w:rsid w:val="0017709E"/>
    <w:rsid w:val="0017722C"/>
    <w:rsid w:val="00177664"/>
    <w:rsid w:val="0017771E"/>
    <w:rsid w:val="00177836"/>
    <w:rsid w:val="001778CD"/>
    <w:rsid w:val="00177A61"/>
    <w:rsid w:val="00177D42"/>
    <w:rsid w:val="00180335"/>
    <w:rsid w:val="001817E7"/>
    <w:rsid w:val="00181C36"/>
    <w:rsid w:val="00182034"/>
    <w:rsid w:val="00182462"/>
    <w:rsid w:val="00182AFD"/>
    <w:rsid w:val="00182CAE"/>
    <w:rsid w:val="00182F6F"/>
    <w:rsid w:val="00183427"/>
    <w:rsid w:val="0018389C"/>
    <w:rsid w:val="00184D75"/>
    <w:rsid w:val="0018589E"/>
    <w:rsid w:val="00185B9F"/>
    <w:rsid w:val="0018673F"/>
    <w:rsid w:val="0018728D"/>
    <w:rsid w:val="001878DE"/>
    <w:rsid w:val="00190D02"/>
    <w:rsid w:val="00190F33"/>
    <w:rsid w:val="0019127C"/>
    <w:rsid w:val="00191285"/>
    <w:rsid w:val="00191311"/>
    <w:rsid w:val="001913DF"/>
    <w:rsid w:val="00191492"/>
    <w:rsid w:val="00191FE7"/>
    <w:rsid w:val="0019287E"/>
    <w:rsid w:val="001930F3"/>
    <w:rsid w:val="00193A2C"/>
    <w:rsid w:val="00193CB3"/>
    <w:rsid w:val="00193F15"/>
    <w:rsid w:val="0019455D"/>
    <w:rsid w:val="00194655"/>
    <w:rsid w:val="001953E5"/>
    <w:rsid w:val="00195400"/>
    <w:rsid w:val="001958A6"/>
    <w:rsid w:val="00195F6D"/>
    <w:rsid w:val="00196044"/>
    <w:rsid w:val="00196147"/>
    <w:rsid w:val="00196972"/>
    <w:rsid w:val="00196B4B"/>
    <w:rsid w:val="00196C5B"/>
    <w:rsid w:val="00197282"/>
    <w:rsid w:val="001A020C"/>
    <w:rsid w:val="001A03F7"/>
    <w:rsid w:val="001A0631"/>
    <w:rsid w:val="001A06D9"/>
    <w:rsid w:val="001A0CAC"/>
    <w:rsid w:val="001A0FD0"/>
    <w:rsid w:val="001A1ABF"/>
    <w:rsid w:val="001A25CD"/>
    <w:rsid w:val="001A2639"/>
    <w:rsid w:val="001A2719"/>
    <w:rsid w:val="001A37B6"/>
    <w:rsid w:val="001A388D"/>
    <w:rsid w:val="001A45AD"/>
    <w:rsid w:val="001A4BB3"/>
    <w:rsid w:val="001A5E4B"/>
    <w:rsid w:val="001A6380"/>
    <w:rsid w:val="001A729F"/>
    <w:rsid w:val="001A7844"/>
    <w:rsid w:val="001A7895"/>
    <w:rsid w:val="001A7B4D"/>
    <w:rsid w:val="001B074F"/>
    <w:rsid w:val="001B111A"/>
    <w:rsid w:val="001B15CC"/>
    <w:rsid w:val="001B1FF4"/>
    <w:rsid w:val="001B22E1"/>
    <w:rsid w:val="001B23B4"/>
    <w:rsid w:val="001B26CF"/>
    <w:rsid w:val="001B2B5A"/>
    <w:rsid w:val="001B2BA5"/>
    <w:rsid w:val="001B3038"/>
    <w:rsid w:val="001B3172"/>
    <w:rsid w:val="001B34E9"/>
    <w:rsid w:val="001B416B"/>
    <w:rsid w:val="001B4D08"/>
    <w:rsid w:val="001B4E25"/>
    <w:rsid w:val="001B5466"/>
    <w:rsid w:val="001B5793"/>
    <w:rsid w:val="001B5CA5"/>
    <w:rsid w:val="001B5DDE"/>
    <w:rsid w:val="001B606A"/>
    <w:rsid w:val="001B62D0"/>
    <w:rsid w:val="001B65B0"/>
    <w:rsid w:val="001B687A"/>
    <w:rsid w:val="001B6BFD"/>
    <w:rsid w:val="001B742E"/>
    <w:rsid w:val="001B748C"/>
    <w:rsid w:val="001B7677"/>
    <w:rsid w:val="001B7C2F"/>
    <w:rsid w:val="001B7C46"/>
    <w:rsid w:val="001B7DF0"/>
    <w:rsid w:val="001B7E94"/>
    <w:rsid w:val="001C031B"/>
    <w:rsid w:val="001C0940"/>
    <w:rsid w:val="001C148A"/>
    <w:rsid w:val="001C17E9"/>
    <w:rsid w:val="001C18BE"/>
    <w:rsid w:val="001C1DC8"/>
    <w:rsid w:val="001C1F92"/>
    <w:rsid w:val="001C2CAD"/>
    <w:rsid w:val="001C2EE4"/>
    <w:rsid w:val="001C3046"/>
    <w:rsid w:val="001C3ACE"/>
    <w:rsid w:val="001C3D0B"/>
    <w:rsid w:val="001C3DB7"/>
    <w:rsid w:val="001C4500"/>
    <w:rsid w:val="001C4953"/>
    <w:rsid w:val="001C4C26"/>
    <w:rsid w:val="001C535E"/>
    <w:rsid w:val="001C6141"/>
    <w:rsid w:val="001C6161"/>
    <w:rsid w:val="001C6240"/>
    <w:rsid w:val="001C6951"/>
    <w:rsid w:val="001C759B"/>
    <w:rsid w:val="001C798E"/>
    <w:rsid w:val="001C7E0C"/>
    <w:rsid w:val="001D22E5"/>
    <w:rsid w:val="001D2AD9"/>
    <w:rsid w:val="001D2E0E"/>
    <w:rsid w:val="001D2EA1"/>
    <w:rsid w:val="001D3DEB"/>
    <w:rsid w:val="001D4096"/>
    <w:rsid w:val="001D4865"/>
    <w:rsid w:val="001D4E9B"/>
    <w:rsid w:val="001D559C"/>
    <w:rsid w:val="001D6930"/>
    <w:rsid w:val="001D6A97"/>
    <w:rsid w:val="001D6EA3"/>
    <w:rsid w:val="001D736D"/>
    <w:rsid w:val="001D73D5"/>
    <w:rsid w:val="001E014D"/>
    <w:rsid w:val="001E0354"/>
    <w:rsid w:val="001E03FE"/>
    <w:rsid w:val="001E0479"/>
    <w:rsid w:val="001E065A"/>
    <w:rsid w:val="001E0910"/>
    <w:rsid w:val="001E118B"/>
    <w:rsid w:val="001E11BE"/>
    <w:rsid w:val="001E142E"/>
    <w:rsid w:val="001E14A2"/>
    <w:rsid w:val="001E1A52"/>
    <w:rsid w:val="001E1DA3"/>
    <w:rsid w:val="001E2164"/>
    <w:rsid w:val="001E3D44"/>
    <w:rsid w:val="001E5BBB"/>
    <w:rsid w:val="001E603D"/>
    <w:rsid w:val="001E6095"/>
    <w:rsid w:val="001E65E6"/>
    <w:rsid w:val="001E65E7"/>
    <w:rsid w:val="001E68C5"/>
    <w:rsid w:val="001E6E7B"/>
    <w:rsid w:val="001E7465"/>
    <w:rsid w:val="001E7791"/>
    <w:rsid w:val="001E798B"/>
    <w:rsid w:val="001E7BDD"/>
    <w:rsid w:val="001E7C03"/>
    <w:rsid w:val="001F00AD"/>
    <w:rsid w:val="001F0432"/>
    <w:rsid w:val="001F061D"/>
    <w:rsid w:val="001F0AD8"/>
    <w:rsid w:val="001F0FBD"/>
    <w:rsid w:val="001F0FC5"/>
    <w:rsid w:val="001F206A"/>
    <w:rsid w:val="001F262F"/>
    <w:rsid w:val="001F26F9"/>
    <w:rsid w:val="001F27C7"/>
    <w:rsid w:val="001F2EF2"/>
    <w:rsid w:val="001F3893"/>
    <w:rsid w:val="001F4573"/>
    <w:rsid w:val="001F4889"/>
    <w:rsid w:val="001F4DDF"/>
    <w:rsid w:val="001F5178"/>
    <w:rsid w:val="001F525A"/>
    <w:rsid w:val="001F5592"/>
    <w:rsid w:val="001F57D9"/>
    <w:rsid w:val="001F5B49"/>
    <w:rsid w:val="001F5C43"/>
    <w:rsid w:val="001F5F42"/>
    <w:rsid w:val="001F6399"/>
    <w:rsid w:val="001F63C6"/>
    <w:rsid w:val="001F670C"/>
    <w:rsid w:val="001F737C"/>
    <w:rsid w:val="001F73CB"/>
    <w:rsid w:val="001F7896"/>
    <w:rsid w:val="0020044B"/>
    <w:rsid w:val="002004F7"/>
    <w:rsid w:val="00200B0E"/>
    <w:rsid w:val="00200C78"/>
    <w:rsid w:val="00200DE2"/>
    <w:rsid w:val="00200E22"/>
    <w:rsid w:val="00200EFE"/>
    <w:rsid w:val="002011D7"/>
    <w:rsid w:val="002015C1"/>
    <w:rsid w:val="002015F2"/>
    <w:rsid w:val="002017A6"/>
    <w:rsid w:val="0020182E"/>
    <w:rsid w:val="00201839"/>
    <w:rsid w:val="00202384"/>
    <w:rsid w:val="00202B5D"/>
    <w:rsid w:val="00202FE3"/>
    <w:rsid w:val="0020322D"/>
    <w:rsid w:val="002035BB"/>
    <w:rsid w:val="00203E2F"/>
    <w:rsid w:val="00203F81"/>
    <w:rsid w:val="002042F4"/>
    <w:rsid w:val="00204BCA"/>
    <w:rsid w:val="00204E5D"/>
    <w:rsid w:val="00205552"/>
    <w:rsid w:val="0020598B"/>
    <w:rsid w:val="00206A8B"/>
    <w:rsid w:val="00207B84"/>
    <w:rsid w:val="002103E5"/>
    <w:rsid w:val="002104FE"/>
    <w:rsid w:val="00210B62"/>
    <w:rsid w:val="00211E9D"/>
    <w:rsid w:val="00211F6F"/>
    <w:rsid w:val="00211F87"/>
    <w:rsid w:val="00212224"/>
    <w:rsid w:val="002129EF"/>
    <w:rsid w:val="0021349C"/>
    <w:rsid w:val="0021352E"/>
    <w:rsid w:val="00213604"/>
    <w:rsid w:val="00213694"/>
    <w:rsid w:val="00213A95"/>
    <w:rsid w:val="00213C4E"/>
    <w:rsid w:val="00214595"/>
    <w:rsid w:val="00214BD2"/>
    <w:rsid w:val="00214D29"/>
    <w:rsid w:val="00214E4A"/>
    <w:rsid w:val="002152E7"/>
    <w:rsid w:val="0021538E"/>
    <w:rsid w:val="00215757"/>
    <w:rsid w:val="00215AA6"/>
    <w:rsid w:val="00215DD8"/>
    <w:rsid w:val="002165E0"/>
    <w:rsid w:val="00216792"/>
    <w:rsid w:val="00217336"/>
    <w:rsid w:val="0021737E"/>
    <w:rsid w:val="00217C4A"/>
    <w:rsid w:val="00217DFD"/>
    <w:rsid w:val="002202ED"/>
    <w:rsid w:val="002204FC"/>
    <w:rsid w:val="00220558"/>
    <w:rsid w:val="0022093F"/>
    <w:rsid w:val="00221390"/>
    <w:rsid w:val="0022185E"/>
    <w:rsid w:val="00221E5A"/>
    <w:rsid w:val="00222140"/>
    <w:rsid w:val="002221E3"/>
    <w:rsid w:val="0022227B"/>
    <w:rsid w:val="002226D7"/>
    <w:rsid w:val="00222879"/>
    <w:rsid w:val="002232B1"/>
    <w:rsid w:val="00223852"/>
    <w:rsid w:val="00223940"/>
    <w:rsid w:val="00224451"/>
    <w:rsid w:val="00224BF4"/>
    <w:rsid w:val="00225A4A"/>
    <w:rsid w:val="00226A1A"/>
    <w:rsid w:val="00226D92"/>
    <w:rsid w:val="0022753A"/>
    <w:rsid w:val="0022784E"/>
    <w:rsid w:val="00227A67"/>
    <w:rsid w:val="00227CEB"/>
    <w:rsid w:val="00227F49"/>
    <w:rsid w:val="0023047B"/>
    <w:rsid w:val="002305FD"/>
    <w:rsid w:val="0023064E"/>
    <w:rsid w:val="0023072F"/>
    <w:rsid w:val="0023073A"/>
    <w:rsid w:val="00230A96"/>
    <w:rsid w:val="002310E7"/>
    <w:rsid w:val="00231798"/>
    <w:rsid w:val="00232273"/>
    <w:rsid w:val="002325D0"/>
    <w:rsid w:val="00232977"/>
    <w:rsid w:val="0023328C"/>
    <w:rsid w:val="002334F9"/>
    <w:rsid w:val="00233538"/>
    <w:rsid w:val="00233CC7"/>
    <w:rsid w:val="00233FF0"/>
    <w:rsid w:val="00234361"/>
    <w:rsid w:val="00235884"/>
    <w:rsid w:val="002366E4"/>
    <w:rsid w:val="00236D8B"/>
    <w:rsid w:val="00236ED0"/>
    <w:rsid w:val="00237369"/>
    <w:rsid w:val="002373A2"/>
    <w:rsid w:val="00237599"/>
    <w:rsid w:val="0023792E"/>
    <w:rsid w:val="00237A1C"/>
    <w:rsid w:val="00237E80"/>
    <w:rsid w:val="002401C4"/>
    <w:rsid w:val="00240471"/>
    <w:rsid w:val="00240A1E"/>
    <w:rsid w:val="0024204C"/>
    <w:rsid w:val="00242152"/>
    <w:rsid w:val="0024217B"/>
    <w:rsid w:val="002422A9"/>
    <w:rsid w:val="00242F80"/>
    <w:rsid w:val="0024324F"/>
    <w:rsid w:val="002436C1"/>
    <w:rsid w:val="002437DE"/>
    <w:rsid w:val="0024415A"/>
    <w:rsid w:val="00244CDC"/>
    <w:rsid w:val="002450CD"/>
    <w:rsid w:val="002455EA"/>
    <w:rsid w:val="00245669"/>
    <w:rsid w:val="002460FB"/>
    <w:rsid w:val="002462B1"/>
    <w:rsid w:val="00246FC6"/>
    <w:rsid w:val="00247220"/>
    <w:rsid w:val="00247C23"/>
    <w:rsid w:val="00250B87"/>
    <w:rsid w:val="0025118D"/>
    <w:rsid w:val="0025135D"/>
    <w:rsid w:val="002513D1"/>
    <w:rsid w:val="00251A09"/>
    <w:rsid w:val="0025205A"/>
    <w:rsid w:val="0025207F"/>
    <w:rsid w:val="002520D7"/>
    <w:rsid w:val="00252362"/>
    <w:rsid w:val="00252684"/>
    <w:rsid w:val="00253F2E"/>
    <w:rsid w:val="0025411D"/>
    <w:rsid w:val="002542B0"/>
    <w:rsid w:val="002545B9"/>
    <w:rsid w:val="00254A2E"/>
    <w:rsid w:val="00255325"/>
    <w:rsid w:val="00255BDA"/>
    <w:rsid w:val="002562DB"/>
    <w:rsid w:val="00256957"/>
    <w:rsid w:val="00256D5F"/>
    <w:rsid w:val="00256E4B"/>
    <w:rsid w:val="00257085"/>
    <w:rsid w:val="00257F09"/>
    <w:rsid w:val="00260022"/>
    <w:rsid w:val="002600A5"/>
    <w:rsid w:val="002606E7"/>
    <w:rsid w:val="00260701"/>
    <w:rsid w:val="0026094A"/>
    <w:rsid w:val="0026124E"/>
    <w:rsid w:val="00261919"/>
    <w:rsid w:val="00261A24"/>
    <w:rsid w:val="00261DF2"/>
    <w:rsid w:val="002627EA"/>
    <w:rsid w:val="0026300C"/>
    <w:rsid w:val="002635F6"/>
    <w:rsid w:val="00264456"/>
    <w:rsid w:val="00264633"/>
    <w:rsid w:val="00264CB8"/>
    <w:rsid w:val="00264F4B"/>
    <w:rsid w:val="0026582C"/>
    <w:rsid w:val="00265E3F"/>
    <w:rsid w:val="0026611F"/>
    <w:rsid w:val="00266894"/>
    <w:rsid w:val="00266A7E"/>
    <w:rsid w:val="00266C46"/>
    <w:rsid w:val="00266ECF"/>
    <w:rsid w:val="002671E8"/>
    <w:rsid w:val="00267369"/>
    <w:rsid w:val="002675EC"/>
    <w:rsid w:val="00267E3F"/>
    <w:rsid w:val="00270077"/>
    <w:rsid w:val="00270597"/>
    <w:rsid w:val="00270602"/>
    <w:rsid w:val="002709BD"/>
    <w:rsid w:val="00270FAD"/>
    <w:rsid w:val="002717E7"/>
    <w:rsid w:val="00271E4F"/>
    <w:rsid w:val="002720CC"/>
    <w:rsid w:val="00272AD7"/>
    <w:rsid w:val="002730E8"/>
    <w:rsid w:val="0027338D"/>
    <w:rsid w:val="002733B8"/>
    <w:rsid w:val="00273840"/>
    <w:rsid w:val="00273BCD"/>
    <w:rsid w:val="00273F89"/>
    <w:rsid w:val="0027423C"/>
    <w:rsid w:val="002753A9"/>
    <w:rsid w:val="00275844"/>
    <w:rsid w:val="00275C40"/>
    <w:rsid w:val="00275DAE"/>
    <w:rsid w:val="00275F17"/>
    <w:rsid w:val="0027631D"/>
    <w:rsid w:val="00276A31"/>
    <w:rsid w:val="00277B20"/>
    <w:rsid w:val="00277BC3"/>
    <w:rsid w:val="0028039A"/>
    <w:rsid w:val="00280632"/>
    <w:rsid w:val="00280D7C"/>
    <w:rsid w:val="00280DF3"/>
    <w:rsid w:val="00281016"/>
    <w:rsid w:val="002813C7"/>
    <w:rsid w:val="00281DBD"/>
    <w:rsid w:val="002820A0"/>
    <w:rsid w:val="00282575"/>
    <w:rsid w:val="0028270F"/>
    <w:rsid w:val="00282754"/>
    <w:rsid w:val="002829DB"/>
    <w:rsid w:val="00282F5B"/>
    <w:rsid w:val="00283057"/>
    <w:rsid w:val="00283388"/>
    <w:rsid w:val="00283E43"/>
    <w:rsid w:val="00283EAB"/>
    <w:rsid w:val="002845C9"/>
    <w:rsid w:val="00284CA2"/>
    <w:rsid w:val="002850CA"/>
    <w:rsid w:val="002851AA"/>
    <w:rsid w:val="002855C3"/>
    <w:rsid w:val="002855CF"/>
    <w:rsid w:val="00285B27"/>
    <w:rsid w:val="002900F8"/>
    <w:rsid w:val="00291208"/>
    <w:rsid w:val="00291B4B"/>
    <w:rsid w:val="00291DD0"/>
    <w:rsid w:val="00291E53"/>
    <w:rsid w:val="00292021"/>
    <w:rsid w:val="002921C7"/>
    <w:rsid w:val="002927FF"/>
    <w:rsid w:val="0029285F"/>
    <w:rsid w:val="00292C24"/>
    <w:rsid w:val="00293D85"/>
    <w:rsid w:val="00294745"/>
    <w:rsid w:val="00294A3E"/>
    <w:rsid w:val="00294B93"/>
    <w:rsid w:val="00294F7E"/>
    <w:rsid w:val="002950F8"/>
    <w:rsid w:val="002953B1"/>
    <w:rsid w:val="0029546E"/>
    <w:rsid w:val="00295724"/>
    <w:rsid w:val="00295B07"/>
    <w:rsid w:val="00295BA4"/>
    <w:rsid w:val="00295CE6"/>
    <w:rsid w:val="00295E19"/>
    <w:rsid w:val="00296483"/>
    <w:rsid w:val="00296C31"/>
    <w:rsid w:val="00296C66"/>
    <w:rsid w:val="00296C86"/>
    <w:rsid w:val="00296DC0"/>
    <w:rsid w:val="00297D4B"/>
    <w:rsid w:val="00297F55"/>
    <w:rsid w:val="002A0153"/>
    <w:rsid w:val="002A0346"/>
    <w:rsid w:val="002A0515"/>
    <w:rsid w:val="002A0F3C"/>
    <w:rsid w:val="002A1427"/>
    <w:rsid w:val="002A1C11"/>
    <w:rsid w:val="002A229C"/>
    <w:rsid w:val="002A23EB"/>
    <w:rsid w:val="002A291C"/>
    <w:rsid w:val="002A29B7"/>
    <w:rsid w:val="002A2CD8"/>
    <w:rsid w:val="002A2EB1"/>
    <w:rsid w:val="002A3240"/>
    <w:rsid w:val="002A347E"/>
    <w:rsid w:val="002A3A6D"/>
    <w:rsid w:val="002A3F66"/>
    <w:rsid w:val="002A4195"/>
    <w:rsid w:val="002A4383"/>
    <w:rsid w:val="002A4CD3"/>
    <w:rsid w:val="002A590B"/>
    <w:rsid w:val="002A5FC3"/>
    <w:rsid w:val="002A5FEA"/>
    <w:rsid w:val="002A6641"/>
    <w:rsid w:val="002A6E7C"/>
    <w:rsid w:val="002A730E"/>
    <w:rsid w:val="002A7C26"/>
    <w:rsid w:val="002B0819"/>
    <w:rsid w:val="002B08AA"/>
    <w:rsid w:val="002B093F"/>
    <w:rsid w:val="002B0C52"/>
    <w:rsid w:val="002B0E44"/>
    <w:rsid w:val="002B0EF7"/>
    <w:rsid w:val="002B1226"/>
    <w:rsid w:val="002B1465"/>
    <w:rsid w:val="002B2072"/>
    <w:rsid w:val="002B2898"/>
    <w:rsid w:val="002B41A0"/>
    <w:rsid w:val="002B435A"/>
    <w:rsid w:val="002B46EF"/>
    <w:rsid w:val="002B50AE"/>
    <w:rsid w:val="002B601D"/>
    <w:rsid w:val="002B652F"/>
    <w:rsid w:val="002B668A"/>
    <w:rsid w:val="002B6878"/>
    <w:rsid w:val="002B6EBC"/>
    <w:rsid w:val="002B6F45"/>
    <w:rsid w:val="002B74B5"/>
    <w:rsid w:val="002B7700"/>
    <w:rsid w:val="002B79A4"/>
    <w:rsid w:val="002C04D4"/>
    <w:rsid w:val="002C1334"/>
    <w:rsid w:val="002C151D"/>
    <w:rsid w:val="002C1559"/>
    <w:rsid w:val="002C159B"/>
    <w:rsid w:val="002C22D0"/>
    <w:rsid w:val="002C2BC0"/>
    <w:rsid w:val="002C2F29"/>
    <w:rsid w:val="002C3060"/>
    <w:rsid w:val="002C355C"/>
    <w:rsid w:val="002C3A97"/>
    <w:rsid w:val="002C3AB9"/>
    <w:rsid w:val="002C3DFA"/>
    <w:rsid w:val="002C41D5"/>
    <w:rsid w:val="002C4352"/>
    <w:rsid w:val="002C47CF"/>
    <w:rsid w:val="002C537C"/>
    <w:rsid w:val="002C54B6"/>
    <w:rsid w:val="002C5791"/>
    <w:rsid w:val="002C583A"/>
    <w:rsid w:val="002C60D1"/>
    <w:rsid w:val="002C631A"/>
    <w:rsid w:val="002C6727"/>
    <w:rsid w:val="002C6DD9"/>
    <w:rsid w:val="002C6E92"/>
    <w:rsid w:val="002C79BB"/>
    <w:rsid w:val="002D012B"/>
    <w:rsid w:val="002D04C1"/>
    <w:rsid w:val="002D0944"/>
    <w:rsid w:val="002D0D0E"/>
    <w:rsid w:val="002D0F55"/>
    <w:rsid w:val="002D1A73"/>
    <w:rsid w:val="002D2871"/>
    <w:rsid w:val="002D2937"/>
    <w:rsid w:val="002D2F39"/>
    <w:rsid w:val="002D3151"/>
    <w:rsid w:val="002D35FE"/>
    <w:rsid w:val="002D3700"/>
    <w:rsid w:val="002D3C97"/>
    <w:rsid w:val="002D3F74"/>
    <w:rsid w:val="002D4F5E"/>
    <w:rsid w:val="002D51B8"/>
    <w:rsid w:val="002D5E48"/>
    <w:rsid w:val="002D65ED"/>
    <w:rsid w:val="002D67F9"/>
    <w:rsid w:val="002D694D"/>
    <w:rsid w:val="002D6FBA"/>
    <w:rsid w:val="002D704B"/>
    <w:rsid w:val="002D7650"/>
    <w:rsid w:val="002D7854"/>
    <w:rsid w:val="002D7DB7"/>
    <w:rsid w:val="002E02E3"/>
    <w:rsid w:val="002E02FF"/>
    <w:rsid w:val="002E0509"/>
    <w:rsid w:val="002E0C5D"/>
    <w:rsid w:val="002E1545"/>
    <w:rsid w:val="002E1E46"/>
    <w:rsid w:val="002E28A5"/>
    <w:rsid w:val="002E2BA7"/>
    <w:rsid w:val="002E35A7"/>
    <w:rsid w:val="002E3857"/>
    <w:rsid w:val="002E3B09"/>
    <w:rsid w:val="002E3F29"/>
    <w:rsid w:val="002E4952"/>
    <w:rsid w:val="002E51A2"/>
    <w:rsid w:val="002E544F"/>
    <w:rsid w:val="002E5CDA"/>
    <w:rsid w:val="002E60C7"/>
    <w:rsid w:val="002E622D"/>
    <w:rsid w:val="002E6641"/>
    <w:rsid w:val="002E66A6"/>
    <w:rsid w:val="002E6A02"/>
    <w:rsid w:val="002E6B49"/>
    <w:rsid w:val="002E7189"/>
    <w:rsid w:val="002E7600"/>
    <w:rsid w:val="002E7815"/>
    <w:rsid w:val="002F0DD7"/>
    <w:rsid w:val="002F13B1"/>
    <w:rsid w:val="002F1556"/>
    <w:rsid w:val="002F1700"/>
    <w:rsid w:val="002F184D"/>
    <w:rsid w:val="002F22D6"/>
    <w:rsid w:val="002F2459"/>
    <w:rsid w:val="002F2F23"/>
    <w:rsid w:val="002F2F49"/>
    <w:rsid w:val="002F3188"/>
    <w:rsid w:val="002F3B14"/>
    <w:rsid w:val="002F404C"/>
    <w:rsid w:val="002F414F"/>
    <w:rsid w:val="002F4AD0"/>
    <w:rsid w:val="002F4C9D"/>
    <w:rsid w:val="002F4F33"/>
    <w:rsid w:val="002F594E"/>
    <w:rsid w:val="002F59F8"/>
    <w:rsid w:val="002F6BB4"/>
    <w:rsid w:val="002F728D"/>
    <w:rsid w:val="002F7760"/>
    <w:rsid w:val="002F78C3"/>
    <w:rsid w:val="002F7C05"/>
    <w:rsid w:val="00300EF3"/>
    <w:rsid w:val="00301345"/>
    <w:rsid w:val="00301677"/>
    <w:rsid w:val="003017AE"/>
    <w:rsid w:val="003017D1"/>
    <w:rsid w:val="00301C50"/>
    <w:rsid w:val="00301C76"/>
    <w:rsid w:val="0030204F"/>
    <w:rsid w:val="003024A3"/>
    <w:rsid w:val="003026D6"/>
    <w:rsid w:val="003029A5"/>
    <w:rsid w:val="00302A4E"/>
    <w:rsid w:val="003033DF"/>
    <w:rsid w:val="00303714"/>
    <w:rsid w:val="00303A91"/>
    <w:rsid w:val="00303B26"/>
    <w:rsid w:val="003045D2"/>
    <w:rsid w:val="003056BC"/>
    <w:rsid w:val="00305D84"/>
    <w:rsid w:val="00306111"/>
    <w:rsid w:val="003068C2"/>
    <w:rsid w:val="0030690C"/>
    <w:rsid w:val="00306ADF"/>
    <w:rsid w:val="00306B9C"/>
    <w:rsid w:val="00306D9E"/>
    <w:rsid w:val="00306DD4"/>
    <w:rsid w:val="00306ED4"/>
    <w:rsid w:val="00307366"/>
    <w:rsid w:val="003079A1"/>
    <w:rsid w:val="00307FCB"/>
    <w:rsid w:val="003104AF"/>
    <w:rsid w:val="003104F3"/>
    <w:rsid w:val="00310B41"/>
    <w:rsid w:val="00311181"/>
    <w:rsid w:val="00312034"/>
    <w:rsid w:val="00312401"/>
    <w:rsid w:val="00312C58"/>
    <w:rsid w:val="00312FA3"/>
    <w:rsid w:val="00313643"/>
    <w:rsid w:val="00313C0B"/>
    <w:rsid w:val="00314096"/>
    <w:rsid w:val="003143FB"/>
    <w:rsid w:val="0031476B"/>
    <w:rsid w:val="0031483F"/>
    <w:rsid w:val="0031491B"/>
    <w:rsid w:val="003150F2"/>
    <w:rsid w:val="00315CA4"/>
    <w:rsid w:val="0031626A"/>
    <w:rsid w:val="003164EA"/>
    <w:rsid w:val="00317447"/>
    <w:rsid w:val="00317C80"/>
    <w:rsid w:val="00320AB2"/>
    <w:rsid w:val="00320E74"/>
    <w:rsid w:val="00321147"/>
    <w:rsid w:val="00321EEF"/>
    <w:rsid w:val="00321F9C"/>
    <w:rsid w:val="003226F9"/>
    <w:rsid w:val="00322815"/>
    <w:rsid w:val="003231EF"/>
    <w:rsid w:val="00323872"/>
    <w:rsid w:val="00323B38"/>
    <w:rsid w:val="00323C1C"/>
    <w:rsid w:val="00324016"/>
    <w:rsid w:val="00324755"/>
    <w:rsid w:val="003247AF"/>
    <w:rsid w:val="00324D19"/>
    <w:rsid w:val="0032501D"/>
    <w:rsid w:val="003253BE"/>
    <w:rsid w:val="0032558C"/>
    <w:rsid w:val="0032580C"/>
    <w:rsid w:val="00326794"/>
    <w:rsid w:val="00326970"/>
    <w:rsid w:val="003269BC"/>
    <w:rsid w:val="003269E7"/>
    <w:rsid w:val="00326ED9"/>
    <w:rsid w:val="00327019"/>
    <w:rsid w:val="00327346"/>
    <w:rsid w:val="00327368"/>
    <w:rsid w:val="003279C0"/>
    <w:rsid w:val="00327B2C"/>
    <w:rsid w:val="00327CCF"/>
    <w:rsid w:val="0033083B"/>
    <w:rsid w:val="00330AB2"/>
    <w:rsid w:val="00330D06"/>
    <w:rsid w:val="00330FAB"/>
    <w:rsid w:val="0033130F"/>
    <w:rsid w:val="00331414"/>
    <w:rsid w:val="003315EB"/>
    <w:rsid w:val="00331752"/>
    <w:rsid w:val="0033197E"/>
    <w:rsid w:val="00331E23"/>
    <w:rsid w:val="00331FC9"/>
    <w:rsid w:val="003320DD"/>
    <w:rsid w:val="00333628"/>
    <w:rsid w:val="00333E87"/>
    <w:rsid w:val="00333F01"/>
    <w:rsid w:val="00334465"/>
    <w:rsid w:val="003348E4"/>
    <w:rsid w:val="00334F3D"/>
    <w:rsid w:val="00335261"/>
    <w:rsid w:val="003355AF"/>
    <w:rsid w:val="003357F5"/>
    <w:rsid w:val="00335E6A"/>
    <w:rsid w:val="00336993"/>
    <w:rsid w:val="003369F5"/>
    <w:rsid w:val="00336C24"/>
    <w:rsid w:val="00336E6C"/>
    <w:rsid w:val="003371DB"/>
    <w:rsid w:val="00337287"/>
    <w:rsid w:val="00337A39"/>
    <w:rsid w:val="003405F0"/>
    <w:rsid w:val="00340F2B"/>
    <w:rsid w:val="00341098"/>
    <w:rsid w:val="00341177"/>
    <w:rsid w:val="00341C4D"/>
    <w:rsid w:val="00341D94"/>
    <w:rsid w:val="0034223E"/>
    <w:rsid w:val="003422B6"/>
    <w:rsid w:val="00342B0D"/>
    <w:rsid w:val="00342D34"/>
    <w:rsid w:val="00343C24"/>
    <w:rsid w:val="00343F79"/>
    <w:rsid w:val="003447CC"/>
    <w:rsid w:val="00344BFC"/>
    <w:rsid w:val="003455BF"/>
    <w:rsid w:val="003457FF"/>
    <w:rsid w:val="00345BC0"/>
    <w:rsid w:val="0034657E"/>
    <w:rsid w:val="00346632"/>
    <w:rsid w:val="00346968"/>
    <w:rsid w:val="00346BD7"/>
    <w:rsid w:val="0034741C"/>
    <w:rsid w:val="003479C3"/>
    <w:rsid w:val="0035016E"/>
    <w:rsid w:val="0035068E"/>
    <w:rsid w:val="003506BE"/>
    <w:rsid w:val="00350B7F"/>
    <w:rsid w:val="00350DF3"/>
    <w:rsid w:val="0035129A"/>
    <w:rsid w:val="003516E5"/>
    <w:rsid w:val="0035195B"/>
    <w:rsid w:val="00351BF1"/>
    <w:rsid w:val="00352301"/>
    <w:rsid w:val="0035232C"/>
    <w:rsid w:val="00352776"/>
    <w:rsid w:val="00352A43"/>
    <w:rsid w:val="00352C4C"/>
    <w:rsid w:val="003535DB"/>
    <w:rsid w:val="00353CB5"/>
    <w:rsid w:val="00353E1E"/>
    <w:rsid w:val="00354639"/>
    <w:rsid w:val="0035487A"/>
    <w:rsid w:val="00355418"/>
    <w:rsid w:val="00355F82"/>
    <w:rsid w:val="003562EE"/>
    <w:rsid w:val="003566D2"/>
    <w:rsid w:val="00356AB7"/>
    <w:rsid w:val="003573E0"/>
    <w:rsid w:val="00357782"/>
    <w:rsid w:val="003578DC"/>
    <w:rsid w:val="0036036B"/>
    <w:rsid w:val="0036060F"/>
    <w:rsid w:val="003608F5"/>
    <w:rsid w:val="00360A57"/>
    <w:rsid w:val="00360BCC"/>
    <w:rsid w:val="00360F63"/>
    <w:rsid w:val="003611AC"/>
    <w:rsid w:val="003613E3"/>
    <w:rsid w:val="003618D6"/>
    <w:rsid w:val="00361E5B"/>
    <w:rsid w:val="003620B4"/>
    <w:rsid w:val="0036234B"/>
    <w:rsid w:val="003626B5"/>
    <w:rsid w:val="00362C5A"/>
    <w:rsid w:val="003630F0"/>
    <w:rsid w:val="003633DE"/>
    <w:rsid w:val="003635AA"/>
    <w:rsid w:val="003637D8"/>
    <w:rsid w:val="00363C16"/>
    <w:rsid w:val="00363D1A"/>
    <w:rsid w:val="003649C8"/>
    <w:rsid w:val="0036513B"/>
    <w:rsid w:val="003656EB"/>
    <w:rsid w:val="00365731"/>
    <w:rsid w:val="00365A29"/>
    <w:rsid w:val="00366668"/>
    <w:rsid w:val="00366C0A"/>
    <w:rsid w:val="00367103"/>
    <w:rsid w:val="00367568"/>
    <w:rsid w:val="00367AAD"/>
    <w:rsid w:val="00370ADE"/>
    <w:rsid w:val="00370CCF"/>
    <w:rsid w:val="00370DBC"/>
    <w:rsid w:val="00370FAB"/>
    <w:rsid w:val="0037106F"/>
    <w:rsid w:val="00371723"/>
    <w:rsid w:val="00371B46"/>
    <w:rsid w:val="003720AE"/>
    <w:rsid w:val="0037241F"/>
    <w:rsid w:val="00372470"/>
    <w:rsid w:val="00372772"/>
    <w:rsid w:val="00373925"/>
    <w:rsid w:val="0037397B"/>
    <w:rsid w:val="00373AD0"/>
    <w:rsid w:val="00373DF0"/>
    <w:rsid w:val="0037442E"/>
    <w:rsid w:val="0037456A"/>
    <w:rsid w:val="00374694"/>
    <w:rsid w:val="003746BB"/>
    <w:rsid w:val="00374713"/>
    <w:rsid w:val="003766E3"/>
    <w:rsid w:val="0037774A"/>
    <w:rsid w:val="003777BA"/>
    <w:rsid w:val="00380620"/>
    <w:rsid w:val="0038090E"/>
    <w:rsid w:val="00380BF7"/>
    <w:rsid w:val="00380C05"/>
    <w:rsid w:val="00380DCC"/>
    <w:rsid w:val="00380FC5"/>
    <w:rsid w:val="0038139C"/>
    <w:rsid w:val="0038141E"/>
    <w:rsid w:val="003815FD"/>
    <w:rsid w:val="00381649"/>
    <w:rsid w:val="00381912"/>
    <w:rsid w:val="003824BC"/>
    <w:rsid w:val="00382555"/>
    <w:rsid w:val="003825BE"/>
    <w:rsid w:val="003826D9"/>
    <w:rsid w:val="00383BD1"/>
    <w:rsid w:val="00384553"/>
    <w:rsid w:val="00385564"/>
    <w:rsid w:val="00386540"/>
    <w:rsid w:val="003874D1"/>
    <w:rsid w:val="00387B4B"/>
    <w:rsid w:val="003901DE"/>
    <w:rsid w:val="0039086F"/>
    <w:rsid w:val="00391B48"/>
    <w:rsid w:val="00391F49"/>
    <w:rsid w:val="00391F4C"/>
    <w:rsid w:val="00392066"/>
    <w:rsid w:val="00392C1F"/>
    <w:rsid w:val="00392C51"/>
    <w:rsid w:val="00392C90"/>
    <w:rsid w:val="00392CF9"/>
    <w:rsid w:val="00392DEE"/>
    <w:rsid w:val="003931F7"/>
    <w:rsid w:val="0039325A"/>
    <w:rsid w:val="0039341D"/>
    <w:rsid w:val="00393BA1"/>
    <w:rsid w:val="003941DC"/>
    <w:rsid w:val="00394818"/>
    <w:rsid w:val="00394945"/>
    <w:rsid w:val="00394A46"/>
    <w:rsid w:val="0039614D"/>
    <w:rsid w:val="003962A8"/>
    <w:rsid w:val="003967EC"/>
    <w:rsid w:val="00397665"/>
    <w:rsid w:val="00397DDC"/>
    <w:rsid w:val="003A006F"/>
    <w:rsid w:val="003A0680"/>
    <w:rsid w:val="003A13AE"/>
    <w:rsid w:val="003A1C88"/>
    <w:rsid w:val="003A1D26"/>
    <w:rsid w:val="003A2BCB"/>
    <w:rsid w:val="003A2F4D"/>
    <w:rsid w:val="003A3050"/>
    <w:rsid w:val="003A34F1"/>
    <w:rsid w:val="003A3605"/>
    <w:rsid w:val="003A3C3C"/>
    <w:rsid w:val="003A3EF3"/>
    <w:rsid w:val="003A4827"/>
    <w:rsid w:val="003A499F"/>
    <w:rsid w:val="003A4FBA"/>
    <w:rsid w:val="003A5040"/>
    <w:rsid w:val="003A51CF"/>
    <w:rsid w:val="003A5DCB"/>
    <w:rsid w:val="003A6238"/>
    <w:rsid w:val="003A6826"/>
    <w:rsid w:val="003A68FD"/>
    <w:rsid w:val="003A6942"/>
    <w:rsid w:val="003A6F93"/>
    <w:rsid w:val="003A721F"/>
    <w:rsid w:val="003A7F37"/>
    <w:rsid w:val="003B014C"/>
    <w:rsid w:val="003B0914"/>
    <w:rsid w:val="003B1416"/>
    <w:rsid w:val="003B2A4F"/>
    <w:rsid w:val="003B2F26"/>
    <w:rsid w:val="003B3490"/>
    <w:rsid w:val="003B3D0E"/>
    <w:rsid w:val="003B42A8"/>
    <w:rsid w:val="003B439F"/>
    <w:rsid w:val="003B46BE"/>
    <w:rsid w:val="003B507D"/>
    <w:rsid w:val="003B5A30"/>
    <w:rsid w:val="003B5E14"/>
    <w:rsid w:val="003B77FB"/>
    <w:rsid w:val="003B7CF2"/>
    <w:rsid w:val="003C0322"/>
    <w:rsid w:val="003C0608"/>
    <w:rsid w:val="003C062E"/>
    <w:rsid w:val="003C0BA9"/>
    <w:rsid w:val="003C135D"/>
    <w:rsid w:val="003C1D9F"/>
    <w:rsid w:val="003C2A95"/>
    <w:rsid w:val="003C33B1"/>
    <w:rsid w:val="003C3BB4"/>
    <w:rsid w:val="003C4218"/>
    <w:rsid w:val="003C42DC"/>
    <w:rsid w:val="003C43E0"/>
    <w:rsid w:val="003C4426"/>
    <w:rsid w:val="003C4573"/>
    <w:rsid w:val="003C4ADA"/>
    <w:rsid w:val="003C4D01"/>
    <w:rsid w:val="003C4DA2"/>
    <w:rsid w:val="003C5018"/>
    <w:rsid w:val="003C5060"/>
    <w:rsid w:val="003C51AC"/>
    <w:rsid w:val="003C51F3"/>
    <w:rsid w:val="003C5A4C"/>
    <w:rsid w:val="003C5C2B"/>
    <w:rsid w:val="003C5E17"/>
    <w:rsid w:val="003C5FFA"/>
    <w:rsid w:val="003C6EC8"/>
    <w:rsid w:val="003D03BB"/>
    <w:rsid w:val="003D079A"/>
    <w:rsid w:val="003D07C5"/>
    <w:rsid w:val="003D0C71"/>
    <w:rsid w:val="003D18E6"/>
    <w:rsid w:val="003D1A11"/>
    <w:rsid w:val="003D1D6F"/>
    <w:rsid w:val="003D2077"/>
    <w:rsid w:val="003D2529"/>
    <w:rsid w:val="003D25C9"/>
    <w:rsid w:val="003D2DEE"/>
    <w:rsid w:val="003D2EBE"/>
    <w:rsid w:val="003D3D42"/>
    <w:rsid w:val="003D433B"/>
    <w:rsid w:val="003D4F68"/>
    <w:rsid w:val="003D5374"/>
    <w:rsid w:val="003D5DBA"/>
    <w:rsid w:val="003D5DC8"/>
    <w:rsid w:val="003D616A"/>
    <w:rsid w:val="003D6A1A"/>
    <w:rsid w:val="003D6CAC"/>
    <w:rsid w:val="003D716D"/>
    <w:rsid w:val="003D7C32"/>
    <w:rsid w:val="003D7D46"/>
    <w:rsid w:val="003E05E7"/>
    <w:rsid w:val="003E081B"/>
    <w:rsid w:val="003E09B9"/>
    <w:rsid w:val="003E1063"/>
    <w:rsid w:val="003E1129"/>
    <w:rsid w:val="003E13F9"/>
    <w:rsid w:val="003E20D6"/>
    <w:rsid w:val="003E2205"/>
    <w:rsid w:val="003E2858"/>
    <w:rsid w:val="003E336E"/>
    <w:rsid w:val="003E3BD5"/>
    <w:rsid w:val="003E3D2C"/>
    <w:rsid w:val="003E444A"/>
    <w:rsid w:val="003E44DC"/>
    <w:rsid w:val="003E4512"/>
    <w:rsid w:val="003E462C"/>
    <w:rsid w:val="003E4F6F"/>
    <w:rsid w:val="003E505A"/>
    <w:rsid w:val="003E506E"/>
    <w:rsid w:val="003E50C4"/>
    <w:rsid w:val="003E514E"/>
    <w:rsid w:val="003E53FC"/>
    <w:rsid w:val="003E6624"/>
    <w:rsid w:val="003E6CC8"/>
    <w:rsid w:val="003E6EEB"/>
    <w:rsid w:val="003E74F7"/>
    <w:rsid w:val="003E76B7"/>
    <w:rsid w:val="003E7F82"/>
    <w:rsid w:val="003F019D"/>
    <w:rsid w:val="003F027D"/>
    <w:rsid w:val="003F053F"/>
    <w:rsid w:val="003F071C"/>
    <w:rsid w:val="003F07FB"/>
    <w:rsid w:val="003F0CF5"/>
    <w:rsid w:val="003F0E27"/>
    <w:rsid w:val="003F0EBE"/>
    <w:rsid w:val="003F12DB"/>
    <w:rsid w:val="003F25EF"/>
    <w:rsid w:val="003F273D"/>
    <w:rsid w:val="003F2A76"/>
    <w:rsid w:val="003F39E4"/>
    <w:rsid w:val="003F3D95"/>
    <w:rsid w:val="003F3DD4"/>
    <w:rsid w:val="003F526F"/>
    <w:rsid w:val="003F5430"/>
    <w:rsid w:val="003F55F4"/>
    <w:rsid w:val="003F5A20"/>
    <w:rsid w:val="003F5DED"/>
    <w:rsid w:val="003F5F0F"/>
    <w:rsid w:val="003F6221"/>
    <w:rsid w:val="003F66C2"/>
    <w:rsid w:val="003F6FBA"/>
    <w:rsid w:val="003F7672"/>
    <w:rsid w:val="003F7889"/>
    <w:rsid w:val="003F7CE5"/>
    <w:rsid w:val="0040089B"/>
    <w:rsid w:val="00400B7A"/>
    <w:rsid w:val="004013CD"/>
    <w:rsid w:val="0040185F"/>
    <w:rsid w:val="004018D1"/>
    <w:rsid w:val="00401B94"/>
    <w:rsid w:val="004022CE"/>
    <w:rsid w:val="004028BA"/>
    <w:rsid w:val="004035A7"/>
    <w:rsid w:val="004039C5"/>
    <w:rsid w:val="00403B22"/>
    <w:rsid w:val="00403D3E"/>
    <w:rsid w:val="00403DEA"/>
    <w:rsid w:val="00403E5A"/>
    <w:rsid w:val="00404177"/>
    <w:rsid w:val="004045C3"/>
    <w:rsid w:val="00404EE3"/>
    <w:rsid w:val="00405007"/>
    <w:rsid w:val="00405520"/>
    <w:rsid w:val="00405533"/>
    <w:rsid w:val="0040572B"/>
    <w:rsid w:val="00405882"/>
    <w:rsid w:val="00405D03"/>
    <w:rsid w:val="00405E72"/>
    <w:rsid w:val="004060B3"/>
    <w:rsid w:val="00406201"/>
    <w:rsid w:val="004074B9"/>
    <w:rsid w:val="004104FC"/>
    <w:rsid w:val="004106E7"/>
    <w:rsid w:val="004107C1"/>
    <w:rsid w:val="0041127B"/>
    <w:rsid w:val="0041158D"/>
    <w:rsid w:val="00411AB2"/>
    <w:rsid w:val="00411EF1"/>
    <w:rsid w:val="004122E3"/>
    <w:rsid w:val="00412395"/>
    <w:rsid w:val="00413891"/>
    <w:rsid w:val="00413ECE"/>
    <w:rsid w:val="004149CB"/>
    <w:rsid w:val="00414CEB"/>
    <w:rsid w:val="0041599F"/>
    <w:rsid w:val="00415E37"/>
    <w:rsid w:val="00415F5E"/>
    <w:rsid w:val="00415FC0"/>
    <w:rsid w:val="00416080"/>
    <w:rsid w:val="00416983"/>
    <w:rsid w:val="00416D2F"/>
    <w:rsid w:val="00417007"/>
    <w:rsid w:val="004202B5"/>
    <w:rsid w:val="0042053C"/>
    <w:rsid w:val="0042068F"/>
    <w:rsid w:val="00420EB5"/>
    <w:rsid w:val="00420F31"/>
    <w:rsid w:val="00421044"/>
    <w:rsid w:val="004211B1"/>
    <w:rsid w:val="0042187D"/>
    <w:rsid w:val="00421A31"/>
    <w:rsid w:val="004224B4"/>
    <w:rsid w:val="00422787"/>
    <w:rsid w:val="00422F93"/>
    <w:rsid w:val="004232ED"/>
    <w:rsid w:val="004237C9"/>
    <w:rsid w:val="004240FF"/>
    <w:rsid w:val="0042424E"/>
    <w:rsid w:val="0042538D"/>
    <w:rsid w:val="00425A1A"/>
    <w:rsid w:val="00425BCF"/>
    <w:rsid w:val="004262AA"/>
    <w:rsid w:val="004269D3"/>
    <w:rsid w:val="00426AF7"/>
    <w:rsid w:val="00426BE5"/>
    <w:rsid w:val="00426E29"/>
    <w:rsid w:val="00427131"/>
    <w:rsid w:val="0042723F"/>
    <w:rsid w:val="00427403"/>
    <w:rsid w:val="00427A28"/>
    <w:rsid w:val="004300B4"/>
    <w:rsid w:val="00430224"/>
    <w:rsid w:val="0043033B"/>
    <w:rsid w:val="004303CC"/>
    <w:rsid w:val="004304B2"/>
    <w:rsid w:val="00430721"/>
    <w:rsid w:val="0043079D"/>
    <w:rsid w:val="00431744"/>
    <w:rsid w:val="00431AD6"/>
    <w:rsid w:val="00431B48"/>
    <w:rsid w:val="00431D0E"/>
    <w:rsid w:val="004320A9"/>
    <w:rsid w:val="0043265C"/>
    <w:rsid w:val="004337C9"/>
    <w:rsid w:val="00433899"/>
    <w:rsid w:val="00433A0E"/>
    <w:rsid w:val="00433A3E"/>
    <w:rsid w:val="00433BD9"/>
    <w:rsid w:val="00433DEB"/>
    <w:rsid w:val="0043413D"/>
    <w:rsid w:val="0043442C"/>
    <w:rsid w:val="0043486A"/>
    <w:rsid w:val="00434DE9"/>
    <w:rsid w:val="00435495"/>
    <w:rsid w:val="0043677C"/>
    <w:rsid w:val="004368AA"/>
    <w:rsid w:val="004371DE"/>
    <w:rsid w:val="00437528"/>
    <w:rsid w:val="00437B06"/>
    <w:rsid w:val="00437F99"/>
    <w:rsid w:val="0044015A"/>
    <w:rsid w:val="00440380"/>
    <w:rsid w:val="004403AA"/>
    <w:rsid w:val="004420DF"/>
    <w:rsid w:val="004427DB"/>
    <w:rsid w:val="00442809"/>
    <w:rsid w:val="00442CEF"/>
    <w:rsid w:val="00442D3C"/>
    <w:rsid w:val="004430FA"/>
    <w:rsid w:val="004433BD"/>
    <w:rsid w:val="0044355D"/>
    <w:rsid w:val="00443C87"/>
    <w:rsid w:val="00443FB2"/>
    <w:rsid w:val="004447B5"/>
    <w:rsid w:val="004456C3"/>
    <w:rsid w:val="004465D0"/>
    <w:rsid w:val="00446790"/>
    <w:rsid w:val="00446D62"/>
    <w:rsid w:val="004502B2"/>
    <w:rsid w:val="0045068C"/>
    <w:rsid w:val="00450CAB"/>
    <w:rsid w:val="00450F85"/>
    <w:rsid w:val="004517AF"/>
    <w:rsid w:val="00451FF2"/>
    <w:rsid w:val="00452801"/>
    <w:rsid w:val="00453B76"/>
    <w:rsid w:val="00453F07"/>
    <w:rsid w:val="00454181"/>
    <w:rsid w:val="0045434F"/>
    <w:rsid w:val="0045438C"/>
    <w:rsid w:val="00454477"/>
    <w:rsid w:val="00454C5A"/>
    <w:rsid w:val="00455701"/>
    <w:rsid w:val="00455876"/>
    <w:rsid w:val="004559F9"/>
    <w:rsid w:val="00455C80"/>
    <w:rsid w:val="004563DD"/>
    <w:rsid w:val="00456CDF"/>
    <w:rsid w:val="00456F6D"/>
    <w:rsid w:val="00457458"/>
    <w:rsid w:val="00457741"/>
    <w:rsid w:val="00457F73"/>
    <w:rsid w:val="00460B9F"/>
    <w:rsid w:val="00460F04"/>
    <w:rsid w:val="0046107F"/>
    <w:rsid w:val="0046115B"/>
    <w:rsid w:val="00461274"/>
    <w:rsid w:val="004614B2"/>
    <w:rsid w:val="004614B4"/>
    <w:rsid w:val="0046193D"/>
    <w:rsid w:val="004619A5"/>
    <w:rsid w:val="00462644"/>
    <w:rsid w:val="004654B1"/>
    <w:rsid w:val="0046557B"/>
    <w:rsid w:val="00465B3C"/>
    <w:rsid w:val="00465C56"/>
    <w:rsid w:val="00465EAF"/>
    <w:rsid w:val="00466114"/>
    <w:rsid w:val="004666EB"/>
    <w:rsid w:val="00466845"/>
    <w:rsid w:val="0046684E"/>
    <w:rsid w:val="0046692F"/>
    <w:rsid w:val="00466B8A"/>
    <w:rsid w:val="0046757E"/>
    <w:rsid w:val="00470338"/>
    <w:rsid w:val="0047033E"/>
    <w:rsid w:val="00470EFE"/>
    <w:rsid w:val="004711E1"/>
    <w:rsid w:val="00471F10"/>
    <w:rsid w:val="00472568"/>
    <w:rsid w:val="004730EF"/>
    <w:rsid w:val="004736B1"/>
    <w:rsid w:val="004738F5"/>
    <w:rsid w:val="004740F2"/>
    <w:rsid w:val="0047417D"/>
    <w:rsid w:val="00474C92"/>
    <w:rsid w:val="00474E77"/>
    <w:rsid w:val="00475708"/>
    <w:rsid w:val="0047581F"/>
    <w:rsid w:val="004766B7"/>
    <w:rsid w:val="00476C8F"/>
    <w:rsid w:val="00477416"/>
    <w:rsid w:val="004800EB"/>
    <w:rsid w:val="00480D1E"/>
    <w:rsid w:val="00481D33"/>
    <w:rsid w:val="00482295"/>
    <w:rsid w:val="004822A0"/>
    <w:rsid w:val="004822E9"/>
    <w:rsid w:val="0048269D"/>
    <w:rsid w:val="00482B74"/>
    <w:rsid w:val="00482D74"/>
    <w:rsid w:val="00483130"/>
    <w:rsid w:val="004844A7"/>
    <w:rsid w:val="004844D9"/>
    <w:rsid w:val="00484659"/>
    <w:rsid w:val="00484678"/>
    <w:rsid w:val="00484E04"/>
    <w:rsid w:val="004855BE"/>
    <w:rsid w:val="00485878"/>
    <w:rsid w:val="00485A57"/>
    <w:rsid w:val="00485B3D"/>
    <w:rsid w:val="00485E5B"/>
    <w:rsid w:val="00485E70"/>
    <w:rsid w:val="00486587"/>
    <w:rsid w:val="004867BC"/>
    <w:rsid w:val="00486A41"/>
    <w:rsid w:val="00486C68"/>
    <w:rsid w:val="00486D74"/>
    <w:rsid w:val="00486DEC"/>
    <w:rsid w:val="004871B0"/>
    <w:rsid w:val="00487564"/>
    <w:rsid w:val="00487899"/>
    <w:rsid w:val="00487BD2"/>
    <w:rsid w:val="004902B4"/>
    <w:rsid w:val="00490397"/>
    <w:rsid w:val="004905F3"/>
    <w:rsid w:val="00490985"/>
    <w:rsid w:val="00490B10"/>
    <w:rsid w:val="00490B67"/>
    <w:rsid w:val="00490E53"/>
    <w:rsid w:val="00491305"/>
    <w:rsid w:val="0049147B"/>
    <w:rsid w:val="00491668"/>
    <w:rsid w:val="00491C14"/>
    <w:rsid w:val="0049261B"/>
    <w:rsid w:val="004929E8"/>
    <w:rsid w:val="00492F2D"/>
    <w:rsid w:val="00492FD6"/>
    <w:rsid w:val="004936CF"/>
    <w:rsid w:val="004936E8"/>
    <w:rsid w:val="0049401A"/>
    <w:rsid w:val="00494332"/>
    <w:rsid w:val="004944C4"/>
    <w:rsid w:val="00494594"/>
    <w:rsid w:val="00494BE0"/>
    <w:rsid w:val="004958F6"/>
    <w:rsid w:val="00495AB3"/>
    <w:rsid w:val="00495C4A"/>
    <w:rsid w:val="00495EE8"/>
    <w:rsid w:val="004968C1"/>
    <w:rsid w:val="00496A8D"/>
    <w:rsid w:val="004974D9"/>
    <w:rsid w:val="004977C3"/>
    <w:rsid w:val="004A09C8"/>
    <w:rsid w:val="004A11F0"/>
    <w:rsid w:val="004A1AD7"/>
    <w:rsid w:val="004A1F84"/>
    <w:rsid w:val="004A1FB2"/>
    <w:rsid w:val="004A2FA9"/>
    <w:rsid w:val="004A341F"/>
    <w:rsid w:val="004A3531"/>
    <w:rsid w:val="004A36CE"/>
    <w:rsid w:val="004A3CFE"/>
    <w:rsid w:val="004A4621"/>
    <w:rsid w:val="004A4BDE"/>
    <w:rsid w:val="004A4D66"/>
    <w:rsid w:val="004A519F"/>
    <w:rsid w:val="004A5295"/>
    <w:rsid w:val="004A52A8"/>
    <w:rsid w:val="004A5C1E"/>
    <w:rsid w:val="004A5DC5"/>
    <w:rsid w:val="004A5DF1"/>
    <w:rsid w:val="004A63A9"/>
    <w:rsid w:val="004A63FA"/>
    <w:rsid w:val="004A6B1E"/>
    <w:rsid w:val="004A7631"/>
    <w:rsid w:val="004A77D6"/>
    <w:rsid w:val="004A7952"/>
    <w:rsid w:val="004A7DE3"/>
    <w:rsid w:val="004B0148"/>
    <w:rsid w:val="004B052B"/>
    <w:rsid w:val="004B0699"/>
    <w:rsid w:val="004B0ABB"/>
    <w:rsid w:val="004B0C11"/>
    <w:rsid w:val="004B19BE"/>
    <w:rsid w:val="004B1A72"/>
    <w:rsid w:val="004B1A7A"/>
    <w:rsid w:val="004B1C77"/>
    <w:rsid w:val="004B20FA"/>
    <w:rsid w:val="004B2D91"/>
    <w:rsid w:val="004B32E0"/>
    <w:rsid w:val="004B3BDB"/>
    <w:rsid w:val="004B40BF"/>
    <w:rsid w:val="004B4569"/>
    <w:rsid w:val="004B4863"/>
    <w:rsid w:val="004B4D7D"/>
    <w:rsid w:val="004B603D"/>
    <w:rsid w:val="004B685E"/>
    <w:rsid w:val="004B69F5"/>
    <w:rsid w:val="004B6A26"/>
    <w:rsid w:val="004B6E5D"/>
    <w:rsid w:val="004B7264"/>
    <w:rsid w:val="004B74D9"/>
    <w:rsid w:val="004B7E94"/>
    <w:rsid w:val="004B7FAD"/>
    <w:rsid w:val="004C00E1"/>
    <w:rsid w:val="004C0AA7"/>
    <w:rsid w:val="004C0BC5"/>
    <w:rsid w:val="004C1234"/>
    <w:rsid w:val="004C13CF"/>
    <w:rsid w:val="004C18E3"/>
    <w:rsid w:val="004C2598"/>
    <w:rsid w:val="004C2DD9"/>
    <w:rsid w:val="004C3E60"/>
    <w:rsid w:val="004C42BE"/>
    <w:rsid w:val="004C4AF6"/>
    <w:rsid w:val="004C528A"/>
    <w:rsid w:val="004C5F1E"/>
    <w:rsid w:val="004C6075"/>
    <w:rsid w:val="004C6742"/>
    <w:rsid w:val="004C6A4A"/>
    <w:rsid w:val="004C6B0B"/>
    <w:rsid w:val="004C6BCC"/>
    <w:rsid w:val="004C702A"/>
    <w:rsid w:val="004C7817"/>
    <w:rsid w:val="004C7C30"/>
    <w:rsid w:val="004D02FB"/>
    <w:rsid w:val="004D0A75"/>
    <w:rsid w:val="004D135D"/>
    <w:rsid w:val="004D231F"/>
    <w:rsid w:val="004D246B"/>
    <w:rsid w:val="004D248F"/>
    <w:rsid w:val="004D2C5E"/>
    <w:rsid w:val="004D2CB6"/>
    <w:rsid w:val="004D4293"/>
    <w:rsid w:val="004D5719"/>
    <w:rsid w:val="004D6739"/>
    <w:rsid w:val="004D6CD6"/>
    <w:rsid w:val="004D6CF9"/>
    <w:rsid w:val="004D7479"/>
    <w:rsid w:val="004D78DC"/>
    <w:rsid w:val="004D7BAF"/>
    <w:rsid w:val="004D7D6E"/>
    <w:rsid w:val="004D7D80"/>
    <w:rsid w:val="004D7E8D"/>
    <w:rsid w:val="004E0480"/>
    <w:rsid w:val="004E16EE"/>
    <w:rsid w:val="004E1948"/>
    <w:rsid w:val="004E1A3B"/>
    <w:rsid w:val="004E1AE9"/>
    <w:rsid w:val="004E1D13"/>
    <w:rsid w:val="004E1E85"/>
    <w:rsid w:val="004E1F0C"/>
    <w:rsid w:val="004E217E"/>
    <w:rsid w:val="004E219E"/>
    <w:rsid w:val="004E22CD"/>
    <w:rsid w:val="004E2810"/>
    <w:rsid w:val="004E2929"/>
    <w:rsid w:val="004E2DDF"/>
    <w:rsid w:val="004E3223"/>
    <w:rsid w:val="004E3274"/>
    <w:rsid w:val="004E3916"/>
    <w:rsid w:val="004E41A4"/>
    <w:rsid w:val="004E4538"/>
    <w:rsid w:val="004E56E0"/>
    <w:rsid w:val="004E5A20"/>
    <w:rsid w:val="004E5C11"/>
    <w:rsid w:val="004E5D42"/>
    <w:rsid w:val="004E6399"/>
    <w:rsid w:val="004E6EAF"/>
    <w:rsid w:val="004E7444"/>
    <w:rsid w:val="004E7BE3"/>
    <w:rsid w:val="004E7CB4"/>
    <w:rsid w:val="004E7CF2"/>
    <w:rsid w:val="004E7DC1"/>
    <w:rsid w:val="004F0865"/>
    <w:rsid w:val="004F204E"/>
    <w:rsid w:val="004F234D"/>
    <w:rsid w:val="004F25D5"/>
    <w:rsid w:val="004F2EED"/>
    <w:rsid w:val="004F2F78"/>
    <w:rsid w:val="004F31E5"/>
    <w:rsid w:val="004F3423"/>
    <w:rsid w:val="004F355B"/>
    <w:rsid w:val="004F3B5A"/>
    <w:rsid w:val="004F3F93"/>
    <w:rsid w:val="004F43CD"/>
    <w:rsid w:val="004F4B4C"/>
    <w:rsid w:val="004F4E01"/>
    <w:rsid w:val="004F5424"/>
    <w:rsid w:val="004F57FE"/>
    <w:rsid w:val="004F5AF0"/>
    <w:rsid w:val="004F5D87"/>
    <w:rsid w:val="004F66BD"/>
    <w:rsid w:val="004F6C91"/>
    <w:rsid w:val="00500238"/>
    <w:rsid w:val="00500640"/>
    <w:rsid w:val="005007A6"/>
    <w:rsid w:val="00500D8C"/>
    <w:rsid w:val="0050130D"/>
    <w:rsid w:val="005015CC"/>
    <w:rsid w:val="00501637"/>
    <w:rsid w:val="00501B8B"/>
    <w:rsid w:val="00501CDC"/>
    <w:rsid w:val="00502307"/>
    <w:rsid w:val="005024D3"/>
    <w:rsid w:val="005027AC"/>
    <w:rsid w:val="00502C69"/>
    <w:rsid w:val="00502CFA"/>
    <w:rsid w:val="00502E3E"/>
    <w:rsid w:val="00502F7A"/>
    <w:rsid w:val="00502F8D"/>
    <w:rsid w:val="005031B4"/>
    <w:rsid w:val="0050335D"/>
    <w:rsid w:val="00503C98"/>
    <w:rsid w:val="00504865"/>
    <w:rsid w:val="00504F24"/>
    <w:rsid w:val="005058C6"/>
    <w:rsid w:val="00505F8A"/>
    <w:rsid w:val="005060D9"/>
    <w:rsid w:val="00506A30"/>
    <w:rsid w:val="00506EE2"/>
    <w:rsid w:val="005078A5"/>
    <w:rsid w:val="00510EC1"/>
    <w:rsid w:val="00511213"/>
    <w:rsid w:val="005119F8"/>
    <w:rsid w:val="00511BD1"/>
    <w:rsid w:val="00511E33"/>
    <w:rsid w:val="00512384"/>
    <w:rsid w:val="005123B0"/>
    <w:rsid w:val="00513439"/>
    <w:rsid w:val="005135A3"/>
    <w:rsid w:val="00513630"/>
    <w:rsid w:val="00513707"/>
    <w:rsid w:val="005138C5"/>
    <w:rsid w:val="00513AA0"/>
    <w:rsid w:val="00513B8E"/>
    <w:rsid w:val="00513C25"/>
    <w:rsid w:val="005147AA"/>
    <w:rsid w:val="00514AFA"/>
    <w:rsid w:val="00514FED"/>
    <w:rsid w:val="005151E3"/>
    <w:rsid w:val="00515427"/>
    <w:rsid w:val="00515606"/>
    <w:rsid w:val="00515711"/>
    <w:rsid w:val="00515B3B"/>
    <w:rsid w:val="00515B67"/>
    <w:rsid w:val="00516149"/>
    <w:rsid w:val="0051656F"/>
    <w:rsid w:val="00516DAF"/>
    <w:rsid w:val="00517C5A"/>
    <w:rsid w:val="00517FF0"/>
    <w:rsid w:val="0052028A"/>
    <w:rsid w:val="00520AED"/>
    <w:rsid w:val="00520D6D"/>
    <w:rsid w:val="005216D7"/>
    <w:rsid w:val="00521BD6"/>
    <w:rsid w:val="0052252E"/>
    <w:rsid w:val="00522829"/>
    <w:rsid w:val="00523150"/>
    <w:rsid w:val="0052351D"/>
    <w:rsid w:val="00523C53"/>
    <w:rsid w:val="005241D0"/>
    <w:rsid w:val="00524254"/>
    <w:rsid w:val="00524534"/>
    <w:rsid w:val="00524EDB"/>
    <w:rsid w:val="005250CD"/>
    <w:rsid w:val="0052529A"/>
    <w:rsid w:val="00525677"/>
    <w:rsid w:val="00525D2E"/>
    <w:rsid w:val="00525DAE"/>
    <w:rsid w:val="00526222"/>
    <w:rsid w:val="0052653C"/>
    <w:rsid w:val="005269AC"/>
    <w:rsid w:val="005273BA"/>
    <w:rsid w:val="005276FF"/>
    <w:rsid w:val="005305FC"/>
    <w:rsid w:val="00530840"/>
    <w:rsid w:val="005312B7"/>
    <w:rsid w:val="00531581"/>
    <w:rsid w:val="005317AA"/>
    <w:rsid w:val="00531ECB"/>
    <w:rsid w:val="00532555"/>
    <w:rsid w:val="00532590"/>
    <w:rsid w:val="00532D8C"/>
    <w:rsid w:val="005336F5"/>
    <w:rsid w:val="005338F5"/>
    <w:rsid w:val="0053396B"/>
    <w:rsid w:val="00533B19"/>
    <w:rsid w:val="005343DC"/>
    <w:rsid w:val="00534469"/>
    <w:rsid w:val="00534A31"/>
    <w:rsid w:val="00534A74"/>
    <w:rsid w:val="00535237"/>
    <w:rsid w:val="005359FD"/>
    <w:rsid w:val="00535FAB"/>
    <w:rsid w:val="00536170"/>
    <w:rsid w:val="005361BC"/>
    <w:rsid w:val="005368C8"/>
    <w:rsid w:val="00536CAC"/>
    <w:rsid w:val="00536E4B"/>
    <w:rsid w:val="00536E4D"/>
    <w:rsid w:val="005372E4"/>
    <w:rsid w:val="00537432"/>
    <w:rsid w:val="0053796C"/>
    <w:rsid w:val="00537CC0"/>
    <w:rsid w:val="0054062B"/>
    <w:rsid w:val="00540CA3"/>
    <w:rsid w:val="00541283"/>
    <w:rsid w:val="00541743"/>
    <w:rsid w:val="00541AC4"/>
    <w:rsid w:val="00541C62"/>
    <w:rsid w:val="00542509"/>
    <w:rsid w:val="005427B7"/>
    <w:rsid w:val="00543132"/>
    <w:rsid w:val="005432AA"/>
    <w:rsid w:val="005449A9"/>
    <w:rsid w:val="005449C6"/>
    <w:rsid w:val="00544FBD"/>
    <w:rsid w:val="00545049"/>
    <w:rsid w:val="005456D9"/>
    <w:rsid w:val="00545713"/>
    <w:rsid w:val="00545E9D"/>
    <w:rsid w:val="005464F3"/>
    <w:rsid w:val="00546FED"/>
    <w:rsid w:val="0054709B"/>
    <w:rsid w:val="00547B56"/>
    <w:rsid w:val="00550004"/>
    <w:rsid w:val="005502E4"/>
    <w:rsid w:val="00550329"/>
    <w:rsid w:val="00550467"/>
    <w:rsid w:val="005505B7"/>
    <w:rsid w:val="0055086E"/>
    <w:rsid w:val="00550D05"/>
    <w:rsid w:val="00551098"/>
    <w:rsid w:val="00551434"/>
    <w:rsid w:val="00551560"/>
    <w:rsid w:val="00551653"/>
    <w:rsid w:val="0055178B"/>
    <w:rsid w:val="00551A2E"/>
    <w:rsid w:val="00552025"/>
    <w:rsid w:val="0055204C"/>
    <w:rsid w:val="0055232B"/>
    <w:rsid w:val="00552B9C"/>
    <w:rsid w:val="00552BF9"/>
    <w:rsid w:val="00553D8D"/>
    <w:rsid w:val="00554353"/>
    <w:rsid w:val="005545B2"/>
    <w:rsid w:val="0055460C"/>
    <w:rsid w:val="00554747"/>
    <w:rsid w:val="00554D73"/>
    <w:rsid w:val="005557E3"/>
    <w:rsid w:val="00555A44"/>
    <w:rsid w:val="00555BEA"/>
    <w:rsid w:val="00556A0E"/>
    <w:rsid w:val="00556D80"/>
    <w:rsid w:val="0055702D"/>
    <w:rsid w:val="00557487"/>
    <w:rsid w:val="005577B3"/>
    <w:rsid w:val="005577CD"/>
    <w:rsid w:val="005579EC"/>
    <w:rsid w:val="0056013E"/>
    <w:rsid w:val="00561897"/>
    <w:rsid w:val="00561E7E"/>
    <w:rsid w:val="005623D5"/>
    <w:rsid w:val="00562481"/>
    <w:rsid w:val="005627AE"/>
    <w:rsid w:val="00562E6A"/>
    <w:rsid w:val="0056323F"/>
    <w:rsid w:val="00563498"/>
    <w:rsid w:val="0056366C"/>
    <w:rsid w:val="0056389D"/>
    <w:rsid w:val="00563DE8"/>
    <w:rsid w:val="00563F57"/>
    <w:rsid w:val="005646E1"/>
    <w:rsid w:val="005648D9"/>
    <w:rsid w:val="00564A23"/>
    <w:rsid w:val="0056508D"/>
    <w:rsid w:val="00565971"/>
    <w:rsid w:val="00565B86"/>
    <w:rsid w:val="00565D61"/>
    <w:rsid w:val="00566232"/>
    <w:rsid w:val="0056686F"/>
    <w:rsid w:val="00566C34"/>
    <w:rsid w:val="005673AA"/>
    <w:rsid w:val="00567DB0"/>
    <w:rsid w:val="00567E3E"/>
    <w:rsid w:val="0057010E"/>
    <w:rsid w:val="00570180"/>
    <w:rsid w:val="005702F5"/>
    <w:rsid w:val="00570CB9"/>
    <w:rsid w:val="00571114"/>
    <w:rsid w:val="0057113B"/>
    <w:rsid w:val="0057172F"/>
    <w:rsid w:val="00571B99"/>
    <w:rsid w:val="0057206A"/>
    <w:rsid w:val="005721D3"/>
    <w:rsid w:val="005724CC"/>
    <w:rsid w:val="005724DE"/>
    <w:rsid w:val="005726F5"/>
    <w:rsid w:val="005728AC"/>
    <w:rsid w:val="005729A1"/>
    <w:rsid w:val="00572D88"/>
    <w:rsid w:val="00572FE5"/>
    <w:rsid w:val="00573225"/>
    <w:rsid w:val="0057383E"/>
    <w:rsid w:val="0057394E"/>
    <w:rsid w:val="00573CE0"/>
    <w:rsid w:val="0057475D"/>
    <w:rsid w:val="00574D9E"/>
    <w:rsid w:val="00575484"/>
    <w:rsid w:val="00575CFA"/>
    <w:rsid w:val="00576111"/>
    <w:rsid w:val="00576B33"/>
    <w:rsid w:val="00576E44"/>
    <w:rsid w:val="00577287"/>
    <w:rsid w:val="005772B4"/>
    <w:rsid w:val="0057752D"/>
    <w:rsid w:val="005777FB"/>
    <w:rsid w:val="005778E0"/>
    <w:rsid w:val="00577D6B"/>
    <w:rsid w:val="00577F36"/>
    <w:rsid w:val="00580170"/>
    <w:rsid w:val="0058023D"/>
    <w:rsid w:val="00580A48"/>
    <w:rsid w:val="00580E4E"/>
    <w:rsid w:val="00580F30"/>
    <w:rsid w:val="00581212"/>
    <w:rsid w:val="00581530"/>
    <w:rsid w:val="00581C01"/>
    <w:rsid w:val="00581FE4"/>
    <w:rsid w:val="005822F6"/>
    <w:rsid w:val="005829F3"/>
    <w:rsid w:val="00582AD5"/>
    <w:rsid w:val="00582D9A"/>
    <w:rsid w:val="005833C6"/>
    <w:rsid w:val="005836EC"/>
    <w:rsid w:val="00583AF2"/>
    <w:rsid w:val="00583BA8"/>
    <w:rsid w:val="0058408C"/>
    <w:rsid w:val="0058434F"/>
    <w:rsid w:val="00584485"/>
    <w:rsid w:val="00584CB9"/>
    <w:rsid w:val="00584F4C"/>
    <w:rsid w:val="0058504C"/>
    <w:rsid w:val="00585450"/>
    <w:rsid w:val="00585A99"/>
    <w:rsid w:val="00585AA0"/>
    <w:rsid w:val="005861B6"/>
    <w:rsid w:val="00586250"/>
    <w:rsid w:val="005865CE"/>
    <w:rsid w:val="005873BB"/>
    <w:rsid w:val="005874F4"/>
    <w:rsid w:val="00587A29"/>
    <w:rsid w:val="00587D87"/>
    <w:rsid w:val="005903CD"/>
    <w:rsid w:val="00590BE2"/>
    <w:rsid w:val="005917B6"/>
    <w:rsid w:val="005917D0"/>
    <w:rsid w:val="00592732"/>
    <w:rsid w:val="00592B97"/>
    <w:rsid w:val="005936DF"/>
    <w:rsid w:val="00593BD2"/>
    <w:rsid w:val="00593F95"/>
    <w:rsid w:val="00593FF1"/>
    <w:rsid w:val="0059475F"/>
    <w:rsid w:val="00594CD7"/>
    <w:rsid w:val="005958AE"/>
    <w:rsid w:val="00595ED6"/>
    <w:rsid w:val="00596052"/>
    <w:rsid w:val="005965A9"/>
    <w:rsid w:val="00597283"/>
    <w:rsid w:val="00597448"/>
    <w:rsid w:val="00597516"/>
    <w:rsid w:val="00597804"/>
    <w:rsid w:val="00597BE4"/>
    <w:rsid w:val="005A019E"/>
    <w:rsid w:val="005A0426"/>
    <w:rsid w:val="005A09C2"/>
    <w:rsid w:val="005A12B5"/>
    <w:rsid w:val="005A1399"/>
    <w:rsid w:val="005A1514"/>
    <w:rsid w:val="005A1A34"/>
    <w:rsid w:val="005A1D50"/>
    <w:rsid w:val="005A21EE"/>
    <w:rsid w:val="005A2F41"/>
    <w:rsid w:val="005A33CB"/>
    <w:rsid w:val="005A350C"/>
    <w:rsid w:val="005A3693"/>
    <w:rsid w:val="005A3DD0"/>
    <w:rsid w:val="005A447F"/>
    <w:rsid w:val="005A47D5"/>
    <w:rsid w:val="005A5783"/>
    <w:rsid w:val="005A5A05"/>
    <w:rsid w:val="005A6108"/>
    <w:rsid w:val="005A7376"/>
    <w:rsid w:val="005A7820"/>
    <w:rsid w:val="005A7879"/>
    <w:rsid w:val="005A788F"/>
    <w:rsid w:val="005A7E7F"/>
    <w:rsid w:val="005B02DF"/>
    <w:rsid w:val="005B0437"/>
    <w:rsid w:val="005B05B3"/>
    <w:rsid w:val="005B05F5"/>
    <w:rsid w:val="005B0F39"/>
    <w:rsid w:val="005B1AB9"/>
    <w:rsid w:val="005B1BEA"/>
    <w:rsid w:val="005B1CC5"/>
    <w:rsid w:val="005B1DA5"/>
    <w:rsid w:val="005B202F"/>
    <w:rsid w:val="005B21DA"/>
    <w:rsid w:val="005B260E"/>
    <w:rsid w:val="005B2EA8"/>
    <w:rsid w:val="005B34C2"/>
    <w:rsid w:val="005B380E"/>
    <w:rsid w:val="005B3C3E"/>
    <w:rsid w:val="005B3D32"/>
    <w:rsid w:val="005B4921"/>
    <w:rsid w:val="005B5335"/>
    <w:rsid w:val="005B5853"/>
    <w:rsid w:val="005B5A1E"/>
    <w:rsid w:val="005B5EEC"/>
    <w:rsid w:val="005B6B38"/>
    <w:rsid w:val="005B6EF1"/>
    <w:rsid w:val="005B6F05"/>
    <w:rsid w:val="005B7F43"/>
    <w:rsid w:val="005C010F"/>
    <w:rsid w:val="005C02D9"/>
    <w:rsid w:val="005C0CDF"/>
    <w:rsid w:val="005C0D70"/>
    <w:rsid w:val="005C1182"/>
    <w:rsid w:val="005C11E1"/>
    <w:rsid w:val="005C1467"/>
    <w:rsid w:val="005C1502"/>
    <w:rsid w:val="005C1746"/>
    <w:rsid w:val="005C1F6A"/>
    <w:rsid w:val="005C238F"/>
    <w:rsid w:val="005C2F03"/>
    <w:rsid w:val="005C2F77"/>
    <w:rsid w:val="005C3717"/>
    <w:rsid w:val="005C38A2"/>
    <w:rsid w:val="005C4361"/>
    <w:rsid w:val="005C45E4"/>
    <w:rsid w:val="005C4B7F"/>
    <w:rsid w:val="005C4F6D"/>
    <w:rsid w:val="005C4FBE"/>
    <w:rsid w:val="005C50FA"/>
    <w:rsid w:val="005C52C4"/>
    <w:rsid w:val="005C5A2E"/>
    <w:rsid w:val="005C6045"/>
    <w:rsid w:val="005C63FF"/>
    <w:rsid w:val="005C6499"/>
    <w:rsid w:val="005C661A"/>
    <w:rsid w:val="005C73E1"/>
    <w:rsid w:val="005C74C0"/>
    <w:rsid w:val="005C7E2E"/>
    <w:rsid w:val="005D00E2"/>
    <w:rsid w:val="005D0B0A"/>
    <w:rsid w:val="005D1476"/>
    <w:rsid w:val="005D187A"/>
    <w:rsid w:val="005D1ACA"/>
    <w:rsid w:val="005D2272"/>
    <w:rsid w:val="005D33E5"/>
    <w:rsid w:val="005D3557"/>
    <w:rsid w:val="005D3C95"/>
    <w:rsid w:val="005D4D9E"/>
    <w:rsid w:val="005D5072"/>
    <w:rsid w:val="005D58C3"/>
    <w:rsid w:val="005D6F09"/>
    <w:rsid w:val="005D7678"/>
    <w:rsid w:val="005E0F01"/>
    <w:rsid w:val="005E1B51"/>
    <w:rsid w:val="005E25A6"/>
    <w:rsid w:val="005E270C"/>
    <w:rsid w:val="005E276A"/>
    <w:rsid w:val="005E2BE7"/>
    <w:rsid w:val="005E2EC9"/>
    <w:rsid w:val="005E3036"/>
    <w:rsid w:val="005E334F"/>
    <w:rsid w:val="005E3557"/>
    <w:rsid w:val="005E3630"/>
    <w:rsid w:val="005E3B74"/>
    <w:rsid w:val="005E3BFB"/>
    <w:rsid w:val="005E41B1"/>
    <w:rsid w:val="005E4891"/>
    <w:rsid w:val="005E4942"/>
    <w:rsid w:val="005E4948"/>
    <w:rsid w:val="005E5DE3"/>
    <w:rsid w:val="005E5F36"/>
    <w:rsid w:val="005E6744"/>
    <w:rsid w:val="005E6815"/>
    <w:rsid w:val="005E6828"/>
    <w:rsid w:val="005E6F6E"/>
    <w:rsid w:val="005E7604"/>
    <w:rsid w:val="005F0324"/>
    <w:rsid w:val="005F0747"/>
    <w:rsid w:val="005F07F5"/>
    <w:rsid w:val="005F0C58"/>
    <w:rsid w:val="005F0E10"/>
    <w:rsid w:val="005F0F49"/>
    <w:rsid w:val="005F1651"/>
    <w:rsid w:val="005F1B67"/>
    <w:rsid w:val="005F23DE"/>
    <w:rsid w:val="005F2E83"/>
    <w:rsid w:val="005F33FB"/>
    <w:rsid w:val="005F3E68"/>
    <w:rsid w:val="005F431A"/>
    <w:rsid w:val="005F4532"/>
    <w:rsid w:val="005F472D"/>
    <w:rsid w:val="005F4815"/>
    <w:rsid w:val="005F5141"/>
    <w:rsid w:val="005F51F2"/>
    <w:rsid w:val="005F5F0B"/>
    <w:rsid w:val="005F6230"/>
    <w:rsid w:val="005F668D"/>
    <w:rsid w:val="005F676F"/>
    <w:rsid w:val="005F6BE6"/>
    <w:rsid w:val="005F70AD"/>
    <w:rsid w:val="005F730C"/>
    <w:rsid w:val="005F7584"/>
    <w:rsid w:val="005F77A1"/>
    <w:rsid w:val="005F784F"/>
    <w:rsid w:val="005F78BA"/>
    <w:rsid w:val="00600146"/>
    <w:rsid w:val="00600379"/>
    <w:rsid w:val="006003DE"/>
    <w:rsid w:val="00600EC1"/>
    <w:rsid w:val="006015FF"/>
    <w:rsid w:val="00601B80"/>
    <w:rsid w:val="00602183"/>
    <w:rsid w:val="006023EB"/>
    <w:rsid w:val="00603A3B"/>
    <w:rsid w:val="00603B58"/>
    <w:rsid w:val="00604544"/>
    <w:rsid w:val="00604838"/>
    <w:rsid w:val="00604BFB"/>
    <w:rsid w:val="00605191"/>
    <w:rsid w:val="0060562E"/>
    <w:rsid w:val="006064D4"/>
    <w:rsid w:val="006066EE"/>
    <w:rsid w:val="00606B28"/>
    <w:rsid w:val="006072E6"/>
    <w:rsid w:val="00607679"/>
    <w:rsid w:val="006079C8"/>
    <w:rsid w:val="00607A44"/>
    <w:rsid w:val="00607A7B"/>
    <w:rsid w:val="00607A85"/>
    <w:rsid w:val="00607CE3"/>
    <w:rsid w:val="006107D3"/>
    <w:rsid w:val="00610CFF"/>
    <w:rsid w:val="00610E58"/>
    <w:rsid w:val="00611195"/>
    <w:rsid w:val="006119F1"/>
    <w:rsid w:val="00611D0D"/>
    <w:rsid w:val="006125A6"/>
    <w:rsid w:val="006125BB"/>
    <w:rsid w:val="00612725"/>
    <w:rsid w:val="00612F11"/>
    <w:rsid w:val="0061308B"/>
    <w:rsid w:val="00613AE5"/>
    <w:rsid w:val="00613C4A"/>
    <w:rsid w:val="00614730"/>
    <w:rsid w:val="00614E2C"/>
    <w:rsid w:val="00615320"/>
    <w:rsid w:val="0061540F"/>
    <w:rsid w:val="006161D7"/>
    <w:rsid w:val="006165DE"/>
    <w:rsid w:val="00616DC1"/>
    <w:rsid w:val="00616E2B"/>
    <w:rsid w:val="0061700A"/>
    <w:rsid w:val="0061718B"/>
    <w:rsid w:val="006175A0"/>
    <w:rsid w:val="00617828"/>
    <w:rsid w:val="006201C7"/>
    <w:rsid w:val="006204DC"/>
    <w:rsid w:val="0062163E"/>
    <w:rsid w:val="00622415"/>
    <w:rsid w:val="0062246F"/>
    <w:rsid w:val="00622567"/>
    <w:rsid w:val="00622D25"/>
    <w:rsid w:val="00622D41"/>
    <w:rsid w:val="00622E72"/>
    <w:rsid w:val="00622FDE"/>
    <w:rsid w:val="00623287"/>
    <w:rsid w:val="00623845"/>
    <w:rsid w:val="00623852"/>
    <w:rsid w:val="006248B4"/>
    <w:rsid w:val="006249DA"/>
    <w:rsid w:val="006256F9"/>
    <w:rsid w:val="00625DDF"/>
    <w:rsid w:val="006267A6"/>
    <w:rsid w:val="00626D9F"/>
    <w:rsid w:val="00626E9E"/>
    <w:rsid w:val="00626F26"/>
    <w:rsid w:val="00627011"/>
    <w:rsid w:val="00627130"/>
    <w:rsid w:val="00627181"/>
    <w:rsid w:val="00627392"/>
    <w:rsid w:val="006273F6"/>
    <w:rsid w:val="00627579"/>
    <w:rsid w:val="00627FD3"/>
    <w:rsid w:val="006300AD"/>
    <w:rsid w:val="00630421"/>
    <w:rsid w:val="00631076"/>
    <w:rsid w:val="00631DE8"/>
    <w:rsid w:val="006324AB"/>
    <w:rsid w:val="00632644"/>
    <w:rsid w:val="00633C56"/>
    <w:rsid w:val="00634BCB"/>
    <w:rsid w:val="00635096"/>
    <w:rsid w:val="00635303"/>
    <w:rsid w:val="00635505"/>
    <w:rsid w:val="0063583F"/>
    <w:rsid w:val="006363A7"/>
    <w:rsid w:val="0063695F"/>
    <w:rsid w:val="00636DE3"/>
    <w:rsid w:val="00636F58"/>
    <w:rsid w:val="00637011"/>
    <w:rsid w:val="00637059"/>
    <w:rsid w:val="006375DB"/>
    <w:rsid w:val="006378D3"/>
    <w:rsid w:val="006379AE"/>
    <w:rsid w:val="0064003F"/>
    <w:rsid w:val="006404E7"/>
    <w:rsid w:val="006405A1"/>
    <w:rsid w:val="00640B38"/>
    <w:rsid w:val="0064135A"/>
    <w:rsid w:val="00641640"/>
    <w:rsid w:val="00641AD1"/>
    <w:rsid w:val="00641B26"/>
    <w:rsid w:val="00642BD7"/>
    <w:rsid w:val="0064337B"/>
    <w:rsid w:val="006433F4"/>
    <w:rsid w:val="006434FC"/>
    <w:rsid w:val="00643804"/>
    <w:rsid w:val="006438CB"/>
    <w:rsid w:val="00643B67"/>
    <w:rsid w:val="00643C28"/>
    <w:rsid w:val="0064400D"/>
    <w:rsid w:val="006440AB"/>
    <w:rsid w:val="00644734"/>
    <w:rsid w:val="00644906"/>
    <w:rsid w:val="00644C72"/>
    <w:rsid w:val="0064519E"/>
    <w:rsid w:val="00645B88"/>
    <w:rsid w:val="006463C9"/>
    <w:rsid w:val="00646BFE"/>
    <w:rsid w:val="006500CC"/>
    <w:rsid w:val="00650A67"/>
    <w:rsid w:val="00650DF8"/>
    <w:rsid w:val="00650FE0"/>
    <w:rsid w:val="00651566"/>
    <w:rsid w:val="006517B7"/>
    <w:rsid w:val="006518C6"/>
    <w:rsid w:val="00651E4F"/>
    <w:rsid w:val="006522C6"/>
    <w:rsid w:val="00652A4C"/>
    <w:rsid w:val="00653A3A"/>
    <w:rsid w:val="006541D5"/>
    <w:rsid w:val="006543F3"/>
    <w:rsid w:val="00654892"/>
    <w:rsid w:val="00654CFA"/>
    <w:rsid w:val="00655CC6"/>
    <w:rsid w:val="00656041"/>
    <w:rsid w:val="006560AD"/>
    <w:rsid w:val="006576BB"/>
    <w:rsid w:val="006576CB"/>
    <w:rsid w:val="0065778E"/>
    <w:rsid w:val="006579D0"/>
    <w:rsid w:val="00657B85"/>
    <w:rsid w:val="00657B8A"/>
    <w:rsid w:val="00657EDC"/>
    <w:rsid w:val="00660854"/>
    <w:rsid w:val="0066092A"/>
    <w:rsid w:val="00661026"/>
    <w:rsid w:val="006614DF"/>
    <w:rsid w:val="00661B02"/>
    <w:rsid w:val="00661D2B"/>
    <w:rsid w:val="006624C6"/>
    <w:rsid w:val="00662888"/>
    <w:rsid w:val="00662C78"/>
    <w:rsid w:val="00663491"/>
    <w:rsid w:val="00663578"/>
    <w:rsid w:val="00663B36"/>
    <w:rsid w:val="00663C1B"/>
    <w:rsid w:val="00663E18"/>
    <w:rsid w:val="00663F16"/>
    <w:rsid w:val="006645C2"/>
    <w:rsid w:val="0066507D"/>
    <w:rsid w:val="006652D0"/>
    <w:rsid w:val="0066567D"/>
    <w:rsid w:val="006659D5"/>
    <w:rsid w:val="00665FC9"/>
    <w:rsid w:val="00666236"/>
    <w:rsid w:val="0066653E"/>
    <w:rsid w:val="0066738D"/>
    <w:rsid w:val="006679D7"/>
    <w:rsid w:val="00667E1A"/>
    <w:rsid w:val="0067004D"/>
    <w:rsid w:val="006702DC"/>
    <w:rsid w:val="00670507"/>
    <w:rsid w:val="00670E79"/>
    <w:rsid w:val="00671B1E"/>
    <w:rsid w:val="00671B73"/>
    <w:rsid w:val="00671FA5"/>
    <w:rsid w:val="00672034"/>
    <w:rsid w:val="006735C3"/>
    <w:rsid w:val="00673A9D"/>
    <w:rsid w:val="00673FF8"/>
    <w:rsid w:val="00674CD3"/>
    <w:rsid w:val="00674FD4"/>
    <w:rsid w:val="00675184"/>
    <w:rsid w:val="0067524A"/>
    <w:rsid w:val="006759D6"/>
    <w:rsid w:val="00675BCE"/>
    <w:rsid w:val="00676048"/>
    <w:rsid w:val="00676890"/>
    <w:rsid w:val="00676C3C"/>
    <w:rsid w:val="00677775"/>
    <w:rsid w:val="00677B72"/>
    <w:rsid w:val="00677FD1"/>
    <w:rsid w:val="00680B7A"/>
    <w:rsid w:val="00680FD9"/>
    <w:rsid w:val="0068207D"/>
    <w:rsid w:val="00683134"/>
    <w:rsid w:val="0068324E"/>
    <w:rsid w:val="00683B25"/>
    <w:rsid w:val="00683DF7"/>
    <w:rsid w:val="00684123"/>
    <w:rsid w:val="0068487E"/>
    <w:rsid w:val="0068490B"/>
    <w:rsid w:val="00684BD7"/>
    <w:rsid w:val="006852B6"/>
    <w:rsid w:val="00685FC2"/>
    <w:rsid w:val="00686041"/>
    <w:rsid w:val="006869E6"/>
    <w:rsid w:val="00686B5C"/>
    <w:rsid w:val="00686DE3"/>
    <w:rsid w:val="00686F9D"/>
    <w:rsid w:val="00687372"/>
    <w:rsid w:val="006873C0"/>
    <w:rsid w:val="00687BEE"/>
    <w:rsid w:val="0069106B"/>
    <w:rsid w:val="00691282"/>
    <w:rsid w:val="00691730"/>
    <w:rsid w:val="00692415"/>
    <w:rsid w:val="0069292E"/>
    <w:rsid w:val="006929CC"/>
    <w:rsid w:val="00692B17"/>
    <w:rsid w:val="00693546"/>
    <w:rsid w:val="00693903"/>
    <w:rsid w:val="00693A68"/>
    <w:rsid w:val="00693E3D"/>
    <w:rsid w:val="0069494F"/>
    <w:rsid w:val="0069509F"/>
    <w:rsid w:val="00695C15"/>
    <w:rsid w:val="0069657D"/>
    <w:rsid w:val="00696B3D"/>
    <w:rsid w:val="00696DA1"/>
    <w:rsid w:val="00697260"/>
    <w:rsid w:val="00697A66"/>
    <w:rsid w:val="006A0116"/>
    <w:rsid w:val="006A0309"/>
    <w:rsid w:val="006A0C41"/>
    <w:rsid w:val="006A14F2"/>
    <w:rsid w:val="006A16B8"/>
    <w:rsid w:val="006A1F28"/>
    <w:rsid w:val="006A2335"/>
    <w:rsid w:val="006A2353"/>
    <w:rsid w:val="006A2748"/>
    <w:rsid w:val="006A2771"/>
    <w:rsid w:val="006A27FD"/>
    <w:rsid w:val="006A289B"/>
    <w:rsid w:val="006A295A"/>
    <w:rsid w:val="006A33CD"/>
    <w:rsid w:val="006A3961"/>
    <w:rsid w:val="006A3F3C"/>
    <w:rsid w:val="006A489D"/>
    <w:rsid w:val="006A54C7"/>
    <w:rsid w:val="006A582C"/>
    <w:rsid w:val="006A582D"/>
    <w:rsid w:val="006A582E"/>
    <w:rsid w:val="006A5E28"/>
    <w:rsid w:val="006A655B"/>
    <w:rsid w:val="006A67B9"/>
    <w:rsid w:val="006A6959"/>
    <w:rsid w:val="006A6C70"/>
    <w:rsid w:val="006A6D2C"/>
    <w:rsid w:val="006A70C8"/>
    <w:rsid w:val="006A7250"/>
    <w:rsid w:val="006B0D03"/>
    <w:rsid w:val="006B105C"/>
    <w:rsid w:val="006B10A3"/>
    <w:rsid w:val="006B10C3"/>
    <w:rsid w:val="006B1559"/>
    <w:rsid w:val="006B18A5"/>
    <w:rsid w:val="006B19D9"/>
    <w:rsid w:val="006B1BFE"/>
    <w:rsid w:val="006B1F09"/>
    <w:rsid w:val="006B2C7B"/>
    <w:rsid w:val="006B2E3A"/>
    <w:rsid w:val="006B3891"/>
    <w:rsid w:val="006B3CBF"/>
    <w:rsid w:val="006B4BB6"/>
    <w:rsid w:val="006B58CD"/>
    <w:rsid w:val="006B5FA6"/>
    <w:rsid w:val="006B6278"/>
    <w:rsid w:val="006B65FB"/>
    <w:rsid w:val="006B662D"/>
    <w:rsid w:val="006B6842"/>
    <w:rsid w:val="006B7865"/>
    <w:rsid w:val="006B7DEE"/>
    <w:rsid w:val="006B7F9B"/>
    <w:rsid w:val="006C056E"/>
    <w:rsid w:val="006C09C6"/>
    <w:rsid w:val="006C0C3C"/>
    <w:rsid w:val="006C0FCE"/>
    <w:rsid w:val="006C114E"/>
    <w:rsid w:val="006C11F9"/>
    <w:rsid w:val="006C2200"/>
    <w:rsid w:val="006C25D4"/>
    <w:rsid w:val="006C26AE"/>
    <w:rsid w:val="006C329C"/>
    <w:rsid w:val="006C3446"/>
    <w:rsid w:val="006C349C"/>
    <w:rsid w:val="006C3D25"/>
    <w:rsid w:val="006C4061"/>
    <w:rsid w:val="006C42E6"/>
    <w:rsid w:val="006C4A8C"/>
    <w:rsid w:val="006C4B22"/>
    <w:rsid w:val="006C4BE0"/>
    <w:rsid w:val="006C4F6A"/>
    <w:rsid w:val="006C5150"/>
    <w:rsid w:val="006C69D0"/>
    <w:rsid w:val="006C6AA9"/>
    <w:rsid w:val="006C7739"/>
    <w:rsid w:val="006C7955"/>
    <w:rsid w:val="006C7B62"/>
    <w:rsid w:val="006D0008"/>
    <w:rsid w:val="006D0183"/>
    <w:rsid w:val="006D026B"/>
    <w:rsid w:val="006D03A5"/>
    <w:rsid w:val="006D091C"/>
    <w:rsid w:val="006D1D0F"/>
    <w:rsid w:val="006D1F98"/>
    <w:rsid w:val="006D238A"/>
    <w:rsid w:val="006D2500"/>
    <w:rsid w:val="006D2C4E"/>
    <w:rsid w:val="006D3214"/>
    <w:rsid w:val="006D3501"/>
    <w:rsid w:val="006D3FDC"/>
    <w:rsid w:val="006D40A4"/>
    <w:rsid w:val="006D5134"/>
    <w:rsid w:val="006D55DD"/>
    <w:rsid w:val="006D5E35"/>
    <w:rsid w:val="006D60C5"/>
    <w:rsid w:val="006D6367"/>
    <w:rsid w:val="006D75B3"/>
    <w:rsid w:val="006D79C8"/>
    <w:rsid w:val="006D7F74"/>
    <w:rsid w:val="006E10AA"/>
    <w:rsid w:val="006E16DE"/>
    <w:rsid w:val="006E1DD9"/>
    <w:rsid w:val="006E2206"/>
    <w:rsid w:val="006E2404"/>
    <w:rsid w:val="006E260F"/>
    <w:rsid w:val="006E2AAF"/>
    <w:rsid w:val="006E2C7B"/>
    <w:rsid w:val="006E403F"/>
    <w:rsid w:val="006E4DEE"/>
    <w:rsid w:val="006E566B"/>
    <w:rsid w:val="006E589D"/>
    <w:rsid w:val="006E5B5A"/>
    <w:rsid w:val="006E5BA3"/>
    <w:rsid w:val="006E5FB3"/>
    <w:rsid w:val="006E61A6"/>
    <w:rsid w:val="006E735F"/>
    <w:rsid w:val="006E78EE"/>
    <w:rsid w:val="006E7E8D"/>
    <w:rsid w:val="006F032D"/>
    <w:rsid w:val="006F06A1"/>
    <w:rsid w:val="006F154D"/>
    <w:rsid w:val="006F18AD"/>
    <w:rsid w:val="006F1C18"/>
    <w:rsid w:val="006F1E58"/>
    <w:rsid w:val="006F1E7F"/>
    <w:rsid w:val="006F1E94"/>
    <w:rsid w:val="006F1EFD"/>
    <w:rsid w:val="006F24E5"/>
    <w:rsid w:val="006F257A"/>
    <w:rsid w:val="006F269A"/>
    <w:rsid w:val="006F2CA0"/>
    <w:rsid w:val="006F2E7A"/>
    <w:rsid w:val="006F3098"/>
    <w:rsid w:val="006F33D5"/>
    <w:rsid w:val="006F33F3"/>
    <w:rsid w:val="006F3584"/>
    <w:rsid w:val="006F35DE"/>
    <w:rsid w:val="006F37DA"/>
    <w:rsid w:val="006F39E1"/>
    <w:rsid w:val="006F4D41"/>
    <w:rsid w:val="006F4E52"/>
    <w:rsid w:val="006F4F4C"/>
    <w:rsid w:val="006F4FE1"/>
    <w:rsid w:val="006F5550"/>
    <w:rsid w:val="006F6A2B"/>
    <w:rsid w:val="006F6F76"/>
    <w:rsid w:val="006F7250"/>
    <w:rsid w:val="006F7410"/>
    <w:rsid w:val="00700478"/>
    <w:rsid w:val="0070053F"/>
    <w:rsid w:val="00700663"/>
    <w:rsid w:val="0070071F"/>
    <w:rsid w:val="00700790"/>
    <w:rsid w:val="007007BD"/>
    <w:rsid w:val="00700ABD"/>
    <w:rsid w:val="00701524"/>
    <w:rsid w:val="0070225E"/>
    <w:rsid w:val="00702801"/>
    <w:rsid w:val="00702AF7"/>
    <w:rsid w:val="0070304E"/>
    <w:rsid w:val="00703395"/>
    <w:rsid w:val="00703501"/>
    <w:rsid w:val="0070469F"/>
    <w:rsid w:val="007051A4"/>
    <w:rsid w:val="00706096"/>
    <w:rsid w:val="00706159"/>
    <w:rsid w:val="007064A8"/>
    <w:rsid w:val="007064B2"/>
    <w:rsid w:val="007068AB"/>
    <w:rsid w:val="007074FD"/>
    <w:rsid w:val="0070755C"/>
    <w:rsid w:val="007076BB"/>
    <w:rsid w:val="00710038"/>
    <w:rsid w:val="00710041"/>
    <w:rsid w:val="0071018E"/>
    <w:rsid w:val="00710652"/>
    <w:rsid w:val="0071078D"/>
    <w:rsid w:val="007109D0"/>
    <w:rsid w:val="007116E6"/>
    <w:rsid w:val="00711733"/>
    <w:rsid w:val="007118F5"/>
    <w:rsid w:val="007127DF"/>
    <w:rsid w:val="00712FC1"/>
    <w:rsid w:val="0071301B"/>
    <w:rsid w:val="00713633"/>
    <w:rsid w:val="007136F0"/>
    <w:rsid w:val="007141E6"/>
    <w:rsid w:val="007143E6"/>
    <w:rsid w:val="007147B0"/>
    <w:rsid w:val="00714DC1"/>
    <w:rsid w:val="007152E8"/>
    <w:rsid w:val="007155A9"/>
    <w:rsid w:val="00715B83"/>
    <w:rsid w:val="007163B9"/>
    <w:rsid w:val="00716447"/>
    <w:rsid w:val="007165AC"/>
    <w:rsid w:val="00716B63"/>
    <w:rsid w:val="00716DBF"/>
    <w:rsid w:val="00716EA5"/>
    <w:rsid w:val="007171A3"/>
    <w:rsid w:val="0071736D"/>
    <w:rsid w:val="00717481"/>
    <w:rsid w:val="00717BC0"/>
    <w:rsid w:val="007200C7"/>
    <w:rsid w:val="0072015D"/>
    <w:rsid w:val="00720264"/>
    <w:rsid w:val="00720494"/>
    <w:rsid w:val="00720E60"/>
    <w:rsid w:val="00720F7B"/>
    <w:rsid w:val="007218B7"/>
    <w:rsid w:val="00722486"/>
    <w:rsid w:val="00724407"/>
    <w:rsid w:val="007245C6"/>
    <w:rsid w:val="007248EE"/>
    <w:rsid w:val="00724AE9"/>
    <w:rsid w:val="0072518F"/>
    <w:rsid w:val="00725373"/>
    <w:rsid w:val="0072544A"/>
    <w:rsid w:val="007257E0"/>
    <w:rsid w:val="00725B73"/>
    <w:rsid w:val="00725D94"/>
    <w:rsid w:val="007261E6"/>
    <w:rsid w:val="00727A37"/>
    <w:rsid w:val="00727A59"/>
    <w:rsid w:val="00727A74"/>
    <w:rsid w:val="00727BB9"/>
    <w:rsid w:val="00727BF9"/>
    <w:rsid w:val="00727D78"/>
    <w:rsid w:val="00730491"/>
    <w:rsid w:val="00730832"/>
    <w:rsid w:val="007308EE"/>
    <w:rsid w:val="00730B4F"/>
    <w:rsid w:val="00730DB7"/>
    <w:rsid w:val="00730F03"/>
    <w:rsid w:val="00731007"/>
    <w:rsid w:val="007319BC"/>
    <w:rsid w:val="00731A2F"/>
    <w:rsid w:val="00731F42"/>
    <w:rsid w:val="00732A7B"/>
    <w:rsid w:val="0073303D"/>
    <w:rsid w:val="00733745"/>
    <w:rsid w:val="007346AA"/>
    <w:rsid w:val="00734801"/>
    <w:rsid w:val="00734E00"/>
    <w:rsid w:val="00735378"/>
    <w:rsid w:val="00735726"/>
    <w:rsid w:val="007359B3"/>
    <w:rsid w:val="00735C4F"/>
    <w:rsid w:val="00735CB8"/>
    <w:rsid w:val="00735F1C"/>
    <w:rsid w:val="00736116"/>
    <w:rsid w:val="00740C09"/>
    <w:rsid w:val="00741830"/>
    <w:rsid w:val="007419A5"/>
    <w:rsid w:val="00741F51"/>
    <w:rsid w:val="00742331"/>
    <w:rsid w:val="00742668"/>
    <w:rsid w:val="00742C4B"/>
    <w:rsid w:val="00742CC1"/>
    <w:rsid w:val="00743375"/>
    <w:rsid w:val="00743994"/>
    <w:rsid w:val="00743BE2"/>
    <w:rsid w:val="00744210"/>
    <w:rsid w:val="00744687"/>
    <w:rsid w:val="0074477F"/>
    <w:rsid w:val="00744E34"/>
    <w:rsid w:val="00745888"/>
    <w:rsid w:val="0074601D"/>
    <w:rsid w:val="00746138"/>
    <w:rsid w:val="00746427"/>
    <w:rsid w:val="00747528"/>
    <w:rsid w:val="00747AE8"/>
    <w:rsid w:val="00747EB9"/>
    <w:rsid w:val="007501BA"/>
    <w:rsid w:val="0075025C"/>
    <w:rsid w:val="00750391"/>
    <w:rsid w:val="007506A7"/>
    <w:rsid w:val="00750C5A"/>
    <w:rsid w:val="00750ED6"/>
    <w:rsid w:val="007521DE"/>
    <w:rsid w:val="00752200"/>
    <w:rsid w:val="007526DD"/>
    <w:rsid w:val="007538BD"/>
    <w:rsid w:val="00753A3E"/>
    <w:rsid w:val="007543C4"/>
    <w:rsid w:val="007544C8"/>
    <w:rsid w:val="00754F16"/>
    <w:rsid w:val="00755123"/>
    <w:rsid w:val="00755668"/>
    <w:rsid w:val="00755801"/>
    <w:rsid w:val="00755F9C"/>
    <w:rsid w:val="00756F05"/>
    <w:rsid w:val="00757CCA"/>
    <w:rsid w:val="007602A1"/>
    <w:rsid w:val="007606F9"/>
    <w:rsid w:val="00760CC4"/>
    <w:rsid w:val="007613D4"/>
    <w:rsid w:val="0076147E"/>
    <w:rsid w:val="007614F6"/>
    <w:rsid w:val="0076159C"/>
    <w:rsid w:val="007618DB"/>
    <w:rsid w:val="00761997"/>
    <w:rsid w:val="00761B4A"/>
    <w:rsid w:val="00761F26"/>
    <w:rsid w:val="007626C2"/>
    <w:rsid w:val="007629E5"/>
    <w:rsid w:val="00763554"/>
    <w:rsid w:val="00763A8E"/>
    <w:rsid w:val="00763E10"/>
    <w:rsid w:val="00764642"/>
    <w:rsid w:val="00764A92"/>
    <w:rsid w:val="00764C22"/>
    <w:rsid w:val="007652A6"/>
    <w:rsid w:val="0076535B"/>
    <w:rsid w:val="00765847"/>
    <w:rsid w:val="0076592B"/>
    <w:rsid w:val="007659FE"/>
    <w:rsid w:val="00765F06"/>
    <w:rsid w:val="00766280"/>
    <w:rsid w:val="00766318"/>
    <w:rsid w:val="007664A8"/>
    <w:rsid w:val="007675D5"/>
    <w:rsid w:val="00770C02"/>
    <w:rsid w:val="00770C03"/>
    <w:rsid w:val="00770D16"/>
    <w:rsid w:val="0077101D"/>
    <w:rsid w:val="007714C1"/>
    <w:rsid w:val="00771832"/>
    <w:rsid w:val="007732FA"/>
    <w:rsid w:val="00774252"/>
    <w:rsid w:val="00774E52"/>
    <w:rsid w:val="007750D3"/>
    <w:rsid w:val="00775127"/>
    <w:rsid w:val="007759A5"/>
    <w:rsid w:val="00776179"/>
    <w:rsid w:val="007763A0"/>
    <w:rsid w:val="007767CE"/>
    <w:rsid w:val="00776ACB"/>
    <w:rsid w:val="00776BD3"/>
    <w:rsid w:val="00777364"/>
    <w:rsid w:val="007777C4"/>
    <w:rsid w:val="00777A01"/>
    <w:rsid w:val="00777B0A"/>
    <w:rsid w:val="0078201A"/>
    <w:rsid w:val="00782082"/>
    <w:rsid w:val="00782963"/>
    <w:rsid w:val="00782A60"/>
    <w:rsid w:val="00782BA7"/>
    <w:rsid w:val="00783491"/>
    <w:rsid w:val="007835E2"/>
    <w:rsid w:val="00783ADB"/>
    <w:rsid w:val="00783B02"/>
    <w:rsid w:val="00783D80"/>
    <w:rsid w:val="00784397"/>
    <w:rsid w:val="00784586"/>
    <w:rsid w:val="00784876"/>
    <w:rsid w:val="00784CBC"/>
    <w:rsid w:val="00784DF1"/>
    <w:rsid w:val="00784FE1"/>
    <w:rsid w:val="00785095"/>
    <w:rsid w:val="0078534A"/>
    <w:rsid w:val="00785585"/>
    <w:rsid w:val="00785604"/>
    <w:rsid w:val="007867AE"/>
    <w:rsid w:val="00787A23"/>
    <w:rsid w:val="00787BFF"/>
    <w:rsid w:val="0079006F"/>
    <w:rsid w:val="007903C6"/>
    <w:rsid w:val="00791628"/>
    <w:rsid w:val="00791DB6"/>
    <w:rsid w:val="0079273B"/>
    <w:rsid w:val="00792912"/>
    <w:rsid w:val="00792A3D"/>
    <w:rsid w:val="007931DE"/>
    <w:rsid w:val="0079372F"/>
    <w:rsid w:val="00793EE4"/>
    <w:rsid w:val="0079403F"/>
    <w:rsid w:val="00794118"/>
    <w:rsid w:val="00794216"/>
    <w:rsid w:val="00794817"/>
    <w:rsid w:val="00795410"/>
    <w:rsid w:val="00795434"/>
    <w:rsid w:val="00795838"/>
    <w:rsid w:val="00795B30"/>
    <w:rsid w:val="00795C4D"/>
    <w:rsid w:val="00795FD8"/>
    <w:rsid w:val="007960C9"/>
    <w:rsid w:val="00796222"/>
    <w:rsid w:val="0079626F"/>
    <w:rsid w:val="00796374"/>
    <w:rsid w:val="00796A9F"/>
    <w:rsid w:val="00797044"/>
    <w:rsid w:val="007976FC"/>
    <w:rsid w:val="00797986"/>
    <w:rsid w:val="00797D15"/>
    <w:rsid w:val="00797D50"/>
    <w:rsid w:val="007A0203"/>
    <w:rsid w:val="007A080E"/>
    <w:rsid w:val="007A1F4B"/>
    <w:rsid w:val="007A20BE"/>
    <w:rsid w:val="007A226C"/>
    <w:rsid w:val="007A23C4"/>
    <w:rsid w:val="007A2998"/>
    <w:rsid w:val="007A2BB2"/>
    <w:rsid w:val="007A3A38"/>
    <w:rsid w:val="007A3A94"/>
    <w:rsid w:val="007A4FFC"/>
    <w:rsid w:val="007A5076"/>
    <w:rsid w:val="007A510C"/>
    <w:rsid w:val="007A5AEE"/>
    <w:rsid w:val="007A5F17"/>
    <w:rsid w:val="007A6516"/>
    <w:rsid w:val="007A65DF"/>
    <w:rsid w:val="007A6659"/>
    <w:rsid w:val="007A66F6"/>
    <w:rsid w:val="007A687C"/>
    <w:rsid w:val="007A6D88"/>
    <w:rsid w:val="007A7E3E"/>
    <w:rsid w:val="007B0889"/>
    <w:rsid w:val="007B0ABB"/>
    <w:rsid w:val="007B0B01"/>
    <w:rsid w:val="007B0DA8"/>
    <w:rsid w:val="007B0DE0"/>
    <w:rsid w:val="007B1376"/>
    <w:rsid w:val="007B1558"/>
    <w:rsid w:val="007B1B06"/>
    <w:rsid w:val="007B227F"/>
    <w:rsid w:val="007B2534"/>
    <w:rsid w:val="007B2F2C"/>
    <w:rsid w:val="007B3BFF"/>
    <w:rsid w:val="007B3DF5"/>
    <w:rsid w:val="007B44B8"/>
    <w:rsid w:val="007B4664"/>
    <w:rsid w:val="007B4831"/>
    <w:rsid w:val="007B5376"/>
    <w:rsid w:val="007B5587"/>
    <w:rsid w:val="007B55B9"/>
    <w:rsid w:val="007B585A"/>
    <w:rsid w:val="007B5C7D"/>
    <w:rsid w:val="007B63FF"/>
    <w:rsid w:val="007B6821"/>
    <w:rsid w:val="007B6A27"/>
    <w:rsid w:val="007B75A3"/>
    <w:rsid w:val="007B76E7"/>
    <w:rsid w:val="007C015D"/>
    <w:rsid w:val="007C0726"/>
    <w:rsid w:val="007C13EC"/>
    <w:rsid w:val="007C182F"/>
    <w:rsid w:val="007C19B0"/>
    <w:rsid w:val="007C1B87"/>
    <w:rsid w:val="007C1C44"/>
    <w:rsid w:val="007C2126"/>
    <w:rsid w:val="007C238E"/>
    <w:rsid w:val="007C2646"/>
    <w:rsid w:val="007C27D7"/>
    <w:rsid w:val="007C2EC3"/>
    <w:rsid w:val="007C3384"/>
    <w:rsid w:val="007C3A16"/>
    <w:rsid w:val="007C3A9E"/>
    <w:rsid w:val="007C4065"/>
    <w:rsid w:val="007C448C"/>
    <w:rsid w:val="007C4639"/>
    <w:rsid w:val="007C59C2"/>
    <w:rsid w:val="007C5AF2"/>
    <w:rsid w:val="007C5D77"/>
    <w:rsid w:val="007C62BE"/>
    <w:rsid w:val="007C63DA"/>
    <w:rsid w:val="007C6EE5"/>
    <w:rsid w:val="007C6F5A"/>
    <w:rsid w:val="007C6FF4"/>
    <w:rsid w:val="007C78C8"/>
    <w:rsid w:val="007C7FA7"/>
    <w:rsid w:val="007C7FE9"/>
    <w:rsid w:val="007D06D3"/>
    <w:rsid w:val="007D115A"/>
    <w:rsid w:val="007D1257"/>
    <w:rsid w:val="007D20FF"/>
    <w:rsid w:val="007D283F"/>
    <w:rsid w:val="007D38DD"/>
    <w:rsid w:val="007D3A93"/>
    <w:rsid w:val="007D3D4C"/>
    <w:rsid w:val="007D4371"/>
    <w:rsid w:val="007D447A"/>
    <w:rsid w:val="007D45FB"/>
    <w:rsid w:val="007D462F"/>
    <w:rsid w:val="007D46A0"/>
    <w:rsid w:val="007D4881"/>
    <w:rsid w:val="007D48BD"/>
    <w:rsid w:val="007D4DC6"/>
    <w:rsid w:val="007D5743"/>
    <w:rsid w:val="007D594D"/>
    <w:rsid w:val="007D5AC0"/>
    <w:rsid w:val="007D610B"/>
    <w:rsid w:val="007D621F"/>
    <w:rsid w:val="007D6248"/>
    <w:rsid w:val="007D69A0"/>
    <w:rsid w:val="007D73B0"/>
    <w:rsid w:val="007D7952"/>
    <w:rsid w:val="007D7D13"/>
    <w:rsid w:val="007E0594"/>
    <w:rsid w:val="007E0B89"/>
    <w:rsid w:val="007E1454"/>
    <w:rsid w:val="007E22C2"/>
    <w:rsid w:val="007E2ADF"/>
    <w:rsid w:val="007E33ED"/>
    <w:rsid w:val="007E353A"/>
    <w:rsid w:val="007E3623"/>
    <w:rsid w:val="007E3993"/>
    <w:rsid w:val="007E3E9F"/>
    <w:rsid w:val="007E3EB4"/>
    <w:rsid w:val="007E45A8"/>
    <w:rsid w:val="007E4B1B"/>
    <w:rsid w:val="007E4E18"/>
    <w:rsid w:val="007E53C3"/>
    <w:rsid w:val="007E56CD"/>
    <w:rsid w:val="007E5755"/>
    <w:rsid w:val="007E5990"/>
    <w:rsid w:val="007E6A4F"/>
    <w:rsid w:val="007E793C"/>
    <w:rsid w:val="007E7D7A"/>
    <w:rsid w:val="007E7E66"/>
    <w:rsid w:val="007F00A1"/>
    <w:rsid w:val="007F0903"/>
    <w:rsid w:val="007F0E6A"/>
    <w:rsid w:val="007F22A7"/>
    <w:rsid w:val="007F2434"/>
    <w:rsid w:val="007F2B91"/>
    <w:rsid w:val="007F2F5A"/>
    <w:rsid w:val="007F3200"/>
    <w:rsid w:val="007F3714"/>
    <w:rsid w:val="007F40B7"/>
    <w:rsid w:val="007F49FE"/>
    <w:rsid w:val="007F4EA3"/>
    <w:rsid w:val="007F4EFB"/>
    <w:rsid w:val="007F55CB"/>
    <w:rsid w:val="007F5632"/>
    <w:rsid w:val="007F5806"/>
    <w:rsid w:val="007F5D34"/>
    <w:rsid w:val="007F5EDD"/>
    <w:rsid w:val="007F5F90"/>
    <w:rsid w:val="007F61D0"/>
    <w:rsid w:val="007F6C16"/>
    <w:rsid w:val="007F6E4E"/>
    <w:rsid w:val="007F75E9"/>
    <w:rsid w:val="007F7BDA"/>
    <w:rsid w:val="00800747"/>
    <w:rsid w:val="00801015"/>
    <w:rsid w:val="0080116C"/>
    <w:rsid w:val="008011FE"/>
    <w:rsid w:val="00801416"/>
    <w:rsid w:val="00801A2E"/>
    <w:rsid w:val="00801AEC"/>
    <w:rsid w:val="00801F1E"/>
    <w:rsid w:val="00801F73"/>
    <w:rsid w:val="008023E5"/>
    <w:rsid w:val="008023F2"/>
    <w:rsid w:val="00802401"/>
    <w:rsid w:val="00802D01"/>
    <w:rsid w:val="00803082"/>
    <w:rsid w:val="0080323A"/>
    <w:rsid w:val="008034DC"/>
    <w:rsid w:val="00803C0C"/>
    <w:rsid w:val="00804495"/>
    <w:rsid w:val="00804C37"/>
    <w:rsid w:val="00805087"/>
    <w:rsid w:val="008061DC"/>
    <w:rsid w:val="00806226"/>
    <w:rsid w:val="0080646F"/>
    <w:rsid w:val="008067BC"/>
    <w:rsid w:val="00807049"/>
    <w:rsid w:val="008072FA"/>
    <w:rsid w:val="00807444"/>
    <w:rsid w:val="00807470"/>
    <w:rsid w:val="00807B06"/>
    <w:rsid w:val="00807D59"/>
    <w:rsid w:val="0081009F"/>
    <w:rsid w:val="00810279"/>
    <w:rsid w:val="008103A5"/>
    <w:rsid w:val="00810518"/>
    <w:rsid w:val="008105B6"/>
    <w:rsid w:val="0081064D"/>
    <w:rsid w:val="00810D13"/>
    <w:rsid w:val="00810D68"/>
    <w:rsid w:val="00811016"/>
    <w:rsid w:val="00811CBB"/>
    <w:rsid w:val="008126C6"/>
    <w:rsid w:val="008127D8"/>
    <w:rsid w:val="00812968"/>
    <w:rsid w:val="00812AB8"/>
    <w:rsid w:val="0081311D"/>
    <w:rsid w:val="0081367A"/>
    <w:rsid w:val="008136DE"/>
    <w:rsid w:val="0081399B"/>
    <w:rsid w:val="00813A50"/>
    <w:rsid w:val="00813EB6"/>
    <w:rsid w:val="00813F8F"/>
    <w:rsid w:val="00814109"/>
    <w:rsid w:val="00814260"/>
    <w:rsid w:val="008147D2"/>
    <w:rsid w:val="00814FE0"/>
    <w:rsid w:val="00815357"/>
    <w:rsid w:val="00815DC8"/>
    <w:rsid w:val="0081674A"/>
    <w:rsid w:val="008168E7"/>
    <w:rsid w:val="00816E01"/>
    <w:rsid w:val="008171D5"/>
    <w:rsid w:val="00817551"/>
    <w:rsid w:val="008201B4"/>
    <w:rsid w:val="00820698"/>
    <w:rsid w:val="0082093F"/>
    <w:rsid w:val="008209B5"/>
    <w:rsid w:val="00820A07"/>
    <w:rsid w:val="00820A81"/>
    <w:rsid w:val="00820B35"/>
    <w:rsid w:val="00820E90"/>
    <w:rsid w:val="00820ECD"/>
    <w:rsid w:val="0082103D"/>
    <w:rsid w:val="00821A8D"/>
    <w:rsid w:val="00821ADD"/>
    <w:rsid w:val="00821B31"/>
    <w:rsid w:val="00821BB5"/>
    <w:rsid w:val="00821DCE"/>
    <w:rsid w:val="008221E8"/>
    <w:rsid w:val="00822289"/>
    <w:rsid w:val="00822549"/>
    <w:rsid w:val="0082269C"/>
    <w:rsid w:val="00822942"/>
    <w:rsid w:val="008230D5"/>
    <w:rsid w:val="00823295"/>
    <w:rsid w:val="00823A04"/>
    <w:rsid w:val="008242CB"/>
    <w:rsid w:val="00824608"/>
    <w:rsid w:val="00824CD4"/>
    <w:rsid w:val="00825167"/>
    <w:rsid w:val="00825314"/>
    <w:rsid w:val="00825567"/>
    <w:rsid w:val="008259B2"/>
    <w:rsid w:val="00825A69"/>
    <w:rsid w:val="00826404"/>
    <w:rsid w:val="00826440"/>
    <w:rsid w:val="008275C0"/>
    <w:rsid w:val="008275C4"/>
    <w:rsid w:val="0082772B"/>
    <w:rsid w:val="00827FCD"/>
    <w:rsid w:val="0083008C"/>
    <w:rsid w:val="00830421"/>
    <w:rsid w:val="008309E7"/>
    <w:rsid w:val="0083118C"/>
    <w:rsid w:val="008319B3"/>
    <w:rsid w:val="00832835"/>
    <w:rsid w:val="00832AED"/>
    <w:rsid w:val="00832C8E"/>
    <w:rsid w:val="00833118"/>
    <w:rsid w:val="00833256"/>
    <w:rsid w:val="00833ABA"/>
    <w:rsid w:val="008341F0"/>
    <w:rsid w:val="00834A2D"/>
    <w:rsid w:val="00834AEF"/>
    <w:rsid w:val="00835ADF"/>
    <w:rsid w:val="00835D65"/>
    <w:rsid w:val="00836400"/>
    <w:rsid w:val="00836B3D"/>
    <w:rsid w:val="00836C68"/>
    <w:rsid w:val="00836D0B"/>
    <w:rsid w:val="00836EDF"/>
    <w:rsid w:val="00836EF8"/>
    <w:rsid w:val="00837AC9"/>
    <w:rsid w:val="00837D21"/>
    <w:rsid w:val="00840291"/>
    <w:rsid w:val="008402BF"/>
    <w:rsid w:val="00840498"/>
    <w:rsid w:val="00840523"/>
    <w:rsid w:val="0084099C"/>
    <w:rsid w:val="0084117D"/>
    <w:rsid w:val="008421B0"/>
    <w:rsid w:val="00842934"/>
    <w:rsid w:val="00842D55"/>
    <w:rsid w:val="00843206"/>
    <w:rsid w:val="008432C8"/>
    <w:rsid w:val="008435D4"/>
    <w:rsid w:val="00843788"/>
    <w:rsid w:val="00843918"/>
    <w:rsid w:val="00843FD3"/>
    <w:rsid w:val="00843FD7"/>
    <w:rsid w:val="008446E6"/>
    <w:rsid w:val="00844943"/>
    <w:rsid w:val="008449D9"/>
    <w:rsid w:val="008459E2"/>
    <w:rsid w:val="00845E2F"/>
    <w:rsid w:val="0084649A"/>
    <w:rsid w:val="00846950"/>
    <w:rsid w:val="00846AB3"/>
    <w:rsid w:val="00847335"/>
    <w:rsid w:val="0084737B"/>
    <w:rsid w:val="0084755C"/>
    <w:rsid w:val="00847588"/>
    <w:rsid w:val="00847601"/>
    <w:rsid w:val="00847EEE"/>
    <w:rsid w:val="0085056C"/>
    <w:rsid w:val="008506B5"/>
    <w:rsid w:val="008508F1"/>
    <w:rsid w:val="00850995"/>
    <w:rsid w:val="0085118B"/>
    <w:rsid w:val="00851936"/>
    <w:rsid w:val="00851A3F"/>
    <w:rsid w:val="00852070"/>
    <w:rsid w:val="00852672"/>
    <w:rsid w:val="00853139"/>
    <w:rsid w:val="008539A1"/>
    <w:rsid w:val="00854037"/>
    <w:rsid w:val="00854065"/>
    <w:rsid w:val="0085433D"/>
    <w:rsid w:val="0085447F"/>
    <w:rsid w:val="00854994"/>
    <w:rsid w:val="00854999"/>
    <w:rsid w:val="00854A2D"/>
    <w:rsid w:val="00854E4B"/>
    <w:rsid w:val="0085517F"/>
    <w:rsid w:val="008553F1"/>
    <w:rsid w:val="0085563C"/>
    <w:rsid w:val="0085578B"/>
    <w:rsid w:val="008558B3"/>
    <w:rsid w:val="00855A32"/>
    <w:rsid w:val="0085601B"/>
    <w:rsid w:val="008563AA"/>
    <w:rsid w:val="00856AAC"/>
    <w:rsid w:val="00856B83"/>
    <w:rsid w:val="00857FCD"/>
    <w:rsid w:val="00860742"/>
    <w:rsid w:val="00860B93"/>
    <w:rsid w:val="00860CEE"/>
    <w:rsid w:val="00860D07"/>
    <w:rsid w:val="00860DEB"/>
    <w:rsid w:val="00860EF6"/>
    <w:rsid w:val="0086164D"/>
    <w:rsid w:val="008624BA"/>
    <w:rsid w:val="0086494E"/>
    <w:rsid w:val="008651A3"/>
    <w:rsid w:val="00865978"/>
    <w:rsid w:val="00865981"/>
    <w:rsid w:val="00865A84"/>
    <w:rsid w:val="008669A4"/>
    <w:rsid w:val="00866B3C"/>
    <w:rsid w:val="008672AC"/>
    <w:rsid w:val="00867423"/>
    <w:rsid w:val="00867ACD"/>
    <w:rsid w:val="00870067"/>
    <w:rsid w:val="008708C8"/>
    <w:rsid w:val="00870A00"/>
    <w:rsid w:val="00870CD4"/>
    <w:rsid w:val="00870FB5"/>
    <w:rsid w:val="0087153F"/>
    <w:rsid w:val="008715EF"/>
    <w:rsid w:val="008719FB"/>
    <w:rsid w:val="00871D0F"/>
    <w:rsid w:val="00872AB8"/>
    <w:rsid w:val="00872B73"/>
    <w:rsid w:val="00872EF5"/>
    <w:rsid w:val="00873449"/>
    <w:rsid w:val="008738E5"/>
    <w:rsid w:val="00873DC0"/>
    <w:rsid w:val="0087423F"/>
    <w:rsid w:val="0087479E"/>
    <w:rsid w:val="0087536B"/>
    <w:rsid w:val="00876684"/>
    <w:rsid w:val="008772A6"/>
    <w:rsid w:val="00877D0D"/>
    <w:rsid w:val="00877E1B"/>
    <w:rsid w:val="00880D38"/>
    <w:rsid w:val="00881199"/>
    <w:rsid w:val="008814C7"/>
    <w:rsid w:val="0088247B"/>
    <w:rsid w:val="008824E7"/>
    <w:rsid w:val="00882B16"/>
    <w:rsid w:val="00882CAB"/>
    <w:rsid w:val="00882DF9"/>
    <w:rsid w:val="00883505"/>
    <w:rsid w:val="008837A4"/>
    <w:rsid w:val="008838FA"/>
    <w:rsid w:val="008842CF"/>
    <w:rsid w:val="008849F3"/>
    <w:rsid w:val="00884E3A"/>
    <w:rsid w:val="00885187"/>
    <w:rsid w:val="00885352"/>
    <w:rsid w:val="008856FD"/>
    <w:rsid w:val="008859D2"/>
    <w:rsid w:val="00885D3A"/>
    <w:rsid w:val="00886AD9"/>
    <w:rsid w:val="0088715F"/>
    <w:rsid w:val="008873FC"/>
    <w:rsid w:val="008876D1"/>
    <w:rsid w:val="00887ADF"/>
    <w:rsid w:val="00887F45"/>
    <w:rsid w:val="00890864"/>
    <w:rsid w:val="00890FB9"/>
    <w:rsid w:val="008915E6"/>
    <w:rsid w:val="00891B1F"/>
    <w:rsid w:val="00891BB5"/>
    <w:rsid w:val="00892A1F"/>
    <w:rsid w:val="00892C1E"/>
    <w:rsid w:val="00892F7D"/>
    <w:rsid w:val="008935A3"/>
    <w:rsid w:val="00893613"/>
    <w:rsid w:val="00893AB4"/>
    <w:rsid w:val="00893B38"/>
    <w:rsid w:val="00893C34"/>
    <w:rsid w:val="00894534"/>
    <w:rsid w:val="00894F73"/>
    <w:rsid w:val="00895559"/>
    <w:rsid w:val="008957BE"/>
    <w:rsid w:val="008957D4"/>
    <w:rsid w:val="00895BEC"/>
    <w:rsid w:val="00895F31"/>
    <w:rsid w:val="008963F5"/>
    <w:rsid w:val="008966E7"/>
    <w:rsid w:val="00896A63"/>
    <w:rsid w:val="008977D1"/>
    <w:rsid w:val="00897CD0"/>
    <w:rsid w:val="008A0620"/>
    <w:rsid w:val="008A09F6"/>
    <w:rsid w:val="008A14F6"/>
    <w:rsid w:val="008A1881"/>
    <w:rsid w:val="008A1924"/>
    <w:rsid w:val="008A26B9"/>
    <w:rsid w:val="008A2970"/>
    <w:rsid w:val="008A3331"/>
    <w:rsid w:val="008A3406"/>
    <w:rsid w:val="008A360A"/>
    <w:rsid w:val="008A3A85"/>
    <w:rsid w:val="008A3B3D"/>
    <w:rsid w:val="008A3BEC"/>
    <w:rsid w:val="008A4E03"/>
    <w:rsid w:val="008A541D"/>
    <w:rsid w:val="008A5544"/>
    <w:rsid w:val="008A5DCB"/>
    <w:rsid w:val="008A6027"/>
    <w:rsid w:val="008A6936"/>
    <w:rsid w:val="008A77AB"/>
    <w:rsid w:val="008A7C7C"/>
    <w:rsid w:val="008B05E2"/>
    <w:rsid w:val="008B0EFC"/>
    <w:rsid w:val="008B1447"/>
    <w:rsid w:val="008B161A"/>
    <w:rsid w:val="008B2E14"/>
    <w:rsid w:val="008B2EEB"/>
    <w:rsid w:val="008B2F1E"/>
    <w:rsid w:val="008B3070"/>
    <w:rsid w:val="008B3124"/>
    <w:rsid w:val="008B3DEB"/>
    <w:rsid w:val="008B3DED"/>
    <w:rsid w:val="008B3E2D"/>
    <w:rsid w:val="008B3E97"/>
    <w:rsid w:val="008B469A"/>
    <w:rsid w:val="008B4C55"/>
    <w:rsid w:val="008B4F47"/>
    <w:rsid w:val="008B57C1"/>
    <w:rsid w:val="008B59E0"/>
    <w:rsid w:val="008B5D62"/>
    <w:rsid w:val="008B5E00"/>
    <w:rsid w:val="008B5F65"/>
    <w:rsid w:val="008B5FD0"/>
    <w:rsid w:val="008B6F62"/>
    <w:rsid w:val="008B712F"/>
    <w:rsid w:val="008B78E0"/>
    <w:rsid w:val="008C0417"/>
    <w:rsid w:val="008C0CAC"/>
    <w:rsid w:val="008C0EAD"/>
    <w:rsid w:val="008C1538"/>
    <w:rsid w:val="008C1DDC"/>
    <w:rsid w:val="008C28B0"/>
    <w:rsid w:val="008C29EA"/>
    <w:rsid w:val="008C3245"/>
    <w:rsid w:val="008C352E"/>
    <w:rsid w:val="008C3B37"/>
    <w:rsid w:val="008C3C1F"/>
    <w:rsid w:val="008C4230"/>
    <w:rsid w:val="008C43F8"/>
    <w:rsid w:val="008C4670"/>
    <w:rsid w:val="008C4A09"/>
    <w:rsid w:val="008C4D5D"/>
    <w:rsid w:val="008C53E9"/>
    <w:rsid w:val="008C5982"/>
    <w:rsid w:val="008C5A79"/>
    <w:rsid w:val="008C5F23"/>
    <w:rsid w:val="008C5FAB"/>
    <w:rsid w:val="008C6030"/>
    <w:rsid w:val="008C7549"/>
    <w:rsid w:val="008C790B"/>
    <w:rsid w:val="008D08F2"/>
    <w:rsid w:val="008D0BB5"/>
    <w:rsid w:val="008D16C2"/>
    <w:rsid w:val="008D17B2"/>
    <w:rsid w:val="008D1A4D"/>
    <w:rsid w:val="008D22EA"/>
    <w:rsid w:val="008D24EF"/>
    <w:rsid w:val="008D2734"/>
    <w:rsid w:val="008D2F1C"/>
    <w:rsid w:val="008D4017"/>
    <w:rsid w:val="008D4285"/>
    <w:rsid w:val="008D4540"/>
    <w:rsid w:val="008D48FA"/>
    <w:rsid w:val="008D4EA1"/>
    <w:rsid w:val="008D59D4"/>
    <w:rsid w:val="008D5F0D"/>
    <w:rsid w:val="008D67F2"/>
    <w:rsid w:val="008D6A49"/>
    <w:rsid w:val="008D6BEA"/>
    <w:rsid w:val="008D6CE5"/>
    <w:rsid w:val="008D6DCC"/>
    <w:rsid w:val="008D76BB"/>
    <w:rsid w:val="008E0783"/>
    <w:rsid w:val="008E0A83"/>
    <w:rsid w:val="008E0E0F"/>
    <w:rsid w:val="008E0E36"/>
    <w:rsid w:val="008E1222"/>
    <w:rsid w:val="008E18E6"/>
    <w:rsid w:val="008E1A9D"/>
    <w:rsid w:val="008E1ABE"/>
    <w:rsid w:val="008E1E4F"/>
    <w:rsid w:val="008E27A4"/>
    <w:rsid w:val="008E295D"/>
    <w:rsid w:val="008E2C90"/>
    <w:rsid w:val="008E2D58"/>
    <w:rsid w:val="008E301E"/>
    <w:rsid w:val="008E35CD"/>
    <w:rsid w:val="008E3CE7"/>
    <w:rsid w:val="008E3FD5"/>
    <w:rsid w:val="008E40FE"/>
    <w:rsid w:val="008E4244"/>
    <w:rsid w:val="008E442C"/>
    <w:rsid w:val="008E4A38"/>
    <w:rsid w:val="008E4F57"/>
    <w:rsid w:val="008E51B4"/>
    <w:rsid w:val="008E549D"/>
    <w:rsid w:val="008E55B5"/>
    <w:rsid w:val="008E666F"/>
    <w:rsid w:val="008E68EF"/>
    <w:rsid w:val="008E69CB"/>
    <w:rsid w:val="008E772F"/>
    <w:rsid w:val="008E7733"/>
    <w:rsid w:val="008E77D4"/>
    <w:rsid w:val="008E7861"/>
    <w:rsid w:val="008E7DA1"/>
    <w:rsid w:val="008F025A"/>
    <w:rsid w:val="008F031D"/>
    <w:rsid w:val="008F06F5"/>
    <w:rsid w:val="008F0ADA"/>
    <w:rsid w:val="008F0E73"/>
    <w:rsid w:val="008F1645"/>
    <w:rsid w:val="008F16EE"/>
    <w:rsid w:val="008F1C4B"/>
    <w:rsid w:val="008F2127"/>
    <w:rsid w:val="008F2219"/>
    <w:rsid w:val="008F2ADC"/>
    <w:rsid w:val="008F2DC7"/>
    <w:rsid w:val="008F2DD7"/>
    <w:rsid w:val="008F2FE0"/>
    <w:rsid w:val="008F31BE"/>
    <w:rsid w:val="008F3866"/>
    <w:rsid w:val="008F3FA7"/>
    <w:rsid w:val="008F41EB"/>
    <w:rsid w:val="008F4264"/>
    <w:rsid w:val="008F44EA"/>
    <w:rsid w:val="008F4581"/>
    <w:rsid w:val="008F49A3"/>
    <w:rsid w:val="008F4D2F"/>
    <w:rsid w:val="008F573A"/>
    <w:rsid w:val="008F59DD"/>
    <w:rsid w:val="008F6034"/>
    <w:rsid w:val="008F6449"/>
    <w:rsid w:val="008F6591"/>
    <w:rsid w:val="008F65F8"/>
    <w:rsid w:val="008F6EF1"/>
    <w:rsid w:val="008F749F"/>
    <w:rsid w:val="008F7682"/>
    <w:rsid w:val="00900384"/>
    <w:rsid w:val="00900BA7"/>
    <w:rsid w:val="00900C0E"/>
    <w:rsid w:val="00900D77"/>
    <w:rsid w:val="009010D9"/>
    <w:rsid w:val="00901BE2"/>
    <w:rsid w:val="00902396"/>
    <w:rsid w:val="0090295D"/>
    <w:rsid w:val="00902D47"/>
    <w:rsid w:val="00902F49"/>
    <w:rsid w:val="00902FCA"/>
    <w:rsid w:val="009038E5"/>
    <w:rsid w:val="00903C4F"/>
    <w:rsid w:val="00904036"/>
    <w:rsid w:val="009044A9"/>
    <w:rsid w:val="00904860"/>
    <w:rsid w:val="009049E3"/>
    <w:rsid w:val="0090510A"/>
    <w:rsid w:val="0090526F"/>
    <w:rsid w:val="009058ED"/>
    <w:rsid w:val="00905B43"/>
    <w:rsid w:val="00906A01"/>
    <w:rsid w:val="00907163"/>
    <w:rsid w:val="009072C7"/>
    <w:rsid w:val="0090759A"/>
    <w:rsid w:val="00907888"/>
    <w:rsid w:val="0090788C"/>
    <w:rsid w:val="00907A06"/>
    <w:rsid w:val="009105EB"/>
    <w:rsid w:val="009105FD"/>
    <w:rsid w:val="00910C34"/>
    <w:rsid w:val="0091100B"/>
    <w:rsid w:val="00911790"/>
    <w:rsid w:val="00911BE7"/>
    <w:rsid w:val="009128D6"/>
    <w:rsid w:val="00912FBA"/>
    <w:rsid w:val="00913284"/>
    <w:rsid w:val="00913C94"/>
    <w:rsid w:val="0091462B"/>
    <w:rsid w:val="00914727"/>
    <w:rsid w:val="0091477B"/>
    <w:rsid w:val="00914893"/>
    <w:rsid w:val="00914D37"/>
    <w:rsid w:val="00915030"/>
    <w:rsid w:val="009150A5"/>
    <w:rsid w:val="0091510C"/>
    <w:rsid w:val="00915251"/>
    <w:rsid w:val="00915640"/>
    <w:rsid w:val="0091567C"/>
    <w:rsid w:val="00915D6B"/>
    <w:rsid w:val="00916A2D"/>
    <w:rsid w:val="00916AC0"/>
    <w:rsid w:val="00916B92"/>
    <w:rsid w:val="00916BA3"/>
    <w:rsid w:val="00916D1F"/>
    <w:rsid w:val="00916D51"/>
    <w:rsid w:val="00916FB7"/>
    <w:rsid w:val="00917067"/>
    <w:rsid w:val="009175C7"/>
    <w:rsid w:val="00917CE5"/>
    <w:rsid w:val="00917EF2"/>
    <w:rsid w:val="00917F58"/>
    <w:rsid w:val="00920787"/>
    <w:rsid w:val="00920F73"/>
    <w:rsid w:val="00921569"/>
    <w:rsid w:val="00921676"/>
    <w:rsid w:val="00921760"/>
    <w:rsid w:val="00921B00"/>
    <w:rsid w:val="00921E9A"/>
    <w:rsid w:val="00921E9C"/>
    <w:rsid w:val="00922127"/>
    <w:rsid w:val="00922332"/>
    <w:rsid w:val="00922748"/>
    <w:rsid w:val="00922F6D"/>
    <w:rsid w:val="00923019"/>
    <w:rsid w:val="00923526"/>
    <w:rsid w:val="00923992"/>
    <w:rsid w:val="009239EA"/>
    <w:rsid w:val="00923B6B"/>
    <w:rsid w:val="00924007"/>
    <w:rsid w:val="0092432C"/>
    <w:rsid w:val="00924C78"/>
    <w:rsid w:val="00925039"/>
    <w:rsid w:val="00926A16"/>
    <w:rsid w:val="009271FC"/>
    <w:rsid w:val="00927375"/>
    <w:rsid w:val="009278AF"/>
    <w:rsid w:val="00927919"/>
    <w:rsid w:val="009312EF"/>
    <w:rsid w:val="009313B1"/>
    <w:rsid w:val="009313FE"/>
    <w:rsid w:val="009314E8"/>
    <w:rsid w:val="00932944"/>
    <w:rsid w:val="00932BA7"/>
    <w:rsid w:val="0093327B"/>
    <w:rsid w:val="009333AA"/>
    <w:rsid w:val="009339EB"/>
    <w:rsid w:val="00934B92"/>
    <w:rsid w:val="00934D79"/>
    <w:rsid w:val="00935188"/>
    <w:rsid w:val="00935343"/>
    <w:rsid w:val="00935363"/>
    <w:rsid w:val="0093549F"/>
    <w:rsid w:val="00935618"/>
    <w:rsid w:val="00935637"/>
    <w:rsid w:val="00935D12"/>
    <w:rsid w:val="00935FBF"/>
    <w:rsid w:val="0093602D"/>
    <w:rsid w:val="009368DD"/>
    <w:rsid w:val="00936920"/>
    <w:rsid w:val="00936A55"/>
    <w:rsid w:val="00936AE7"/>
    <w:rsid w:val="00936C0E"/>
    <w:rsid w:val="00936ED7"/>
    <w:rsid w:val="009404A4"/>
    <w:rsid w:val="0094062A"/>
    <w:rsid w:val="00940A1B"/>
    <w:rsid w:val="00940C72"/>
    <w:rsid w:val="00940EAA"/>
    <w:rsid w:val="00941197"/>
    <w:rsid w:val="00941252"/>
    <w:rsid w:val="00941631"/>
    <w:rsid w:val="0094172C"/>
    <w:rsid w:val="00941BC6"/>
    <w:rsid w:val="009420D1"/>
    <w:rsid w:val="00942150"/>
    <w:rsid w:val="00942A19"/>
    <w:rsid w:val="00942C0E"/>
    <w:rsid w:val="0094302E"/>
    <w:rsid w:val="00943071"/>
    <w:rsid w:val="009440AE"/>
    <w:rsid w:val="00944B0A"/>
    <w:rsid w:val="00945045"/>
    <w:rsid w:val="009454BB"/>
    <w:rsid w:val="00945699"/>
    <w:rsid w:val="009456A4"/>
    <w:rsid w:val="00945F30"/>
    <w:rsid w:val="00946480"/>
    <w:rsid w:val="009464FC"/>
    <w:rsid w:val="009469F4"/>
    <w:rsid w:val="00946DC9"/>
    <w:rsid w:val="00946E7A"/>
    <w:rsid w:val="009478F4"/>
    <w:rsid w:val="00947950"/>
    <w:rsid w:val="009501BA"/>
    <w:rsid w:val="00950AE4"/>
    <w:rsid w:val="00950DA0"/>
    <w:rsid w:val="00950E73"/>
    <w:rsid w:val="00950EB1"/>
    <w:rsid w:val="00951192"/>
    <w:rsid w:val="0095127F"/>
    <w:rsid w:val="00951ACA"/>
    <w:rsid w:val="00952285"/>
    <w:rsid w:val="00952C41"/>
    <w:rsid w:val="009530EF"/>
    <w:rsid w:val="0095425E"/>
    <w:rsid w:val="009543DE"/>
    <w:rsid w:val="00954441"/>
    <w:rsid w:val="009557AA"/>
    <w:rsid w:val="00955807"/>
    <w:rsid w:val="009568A4"/>
    <w:rsid w:val="009568B4"/>
    <w:rsid w:val="00956ECE"/>
    <w:rsid w:val="0095708D"/>
    <w:rsid w:val="009574BC"/>
    <w:rsid w:val="009577BB"/>
    <w:rsid w:val="00957CFD"/>
    <w:rsid w:val="00957E29"/>
    <w:rsid w:val="00957E96"/>
    <w:rsid w:val="00960324"/>
    <w:rsid w:val="00960330"/>
    <w:rsid w:val="00960750"/>
    <w:rsid w:val="00960931"/>
    <w:rsid w:val="00960B7A"/>
    <w:rsid w:val="00960DEF"/>
    <w:rsid w:val="00960F98"/>
    <w:rsid w:val="009617D9"/>
    <w:rsid w:val="00961818"/>
    <w:rsid w:val="0096201C"/>
    <w:rsid w:val="009625DA"/>
    <w:rsid w:val="00962E26"/>
    <w:rsid w:val="009631B1"/>
    <w:rsid w:val="00963688"/>
    <w:rsid w:val="009638D9"/>
    <w:rsid w:val="00963A44"/>
    <w:rsid w:val="00963C62"/>
    <w:rsid w:val="00963D4F"/>
    <w:rsid w:val="0096407D"/>
    <w:rsid w:val="009651CF"/>
    <w:rsid w:val="0096630C"/>
    <w:rsid w:val="00966312"/>
    <w:rsid w:val="00966482"/>
    <w:rsid w:val="00966650"/>
    <w:rsid w:val="00966CF5"/>
    <w:rsid w:val="0096746F"/>
    <w:rsid w:val="009678C4"/>
    <w:rsid w:val="00967B16"/>
    <w:rsid w:val="0097064A"/>
    <w:rsid w:val="00970C3C"/>
    <w:rsid w:val="00971AA9"/>
    <w:rsid w:val="00971F25"/>
    <w:rsid w:val="0097222A"/>
    <w:rsid w:val="00972CA1"/>
    <w:rsid w:val="00973028"/>
    <w:rsid w:val="00973151"/>
    <w:rsid w:val="00973377"/>
    <w:rsid w:val="009733FC"/>
    <w:rsid w:val="00973444"/>
    <w:rsid w:val="009740A5"/>
    <w:rsid w:val="0097464F"/>
    <w:rsid w:val="00974758"/>
    <w:rsid w:val="0097522B"/>
    <w:rsid w:val="009758D1"/>
    <w:rsid w:val="009762A9"/>
    <w:rsid w:val="0097638D"/>
    <w:rsid w:val="009769B0"/>
    <w:rsid w:val="00976DE4"/>
    <w:rsid w:val="00977162"/>
    <w:rsid w:val="009773DE"/>
    <w:rsid w:val="009776D1"/>
    <w:rsid w:val="0097773E"/>
    <w:rsid w:val="00977F18"/>
    <w:rsid w:val="009805C6"/>
    <w:rsid w:val="00981433"/>
    <w:rsid w:val="00982479"/>
    <w:rsid w:val="009829A4"/>
    <w:rsid w:val="00982B6E"/>
    <w:rsid w:val="0098352A"/>
    <w:rsid w:val="00983545"/>
    <w:rsid w:val="00984143"/>
    <w:rsid w:val="00984243"/>
    <w:rsid w:val="009843AB"/>
    <w:rsid w:val="00984B24"/>
    <w:rsid w:val="009853F3"/>
    <w:rsid w:val="00985428"/>
    <w:rsid w:val="00985821"/>
    <w:rsid w:val="00985BD9"/>
    <w:rsid w:val="00985D0F"/>
    <w:rsid w:val="00985F21"/>
    <w:rsid w:val="009863D9"/>
    <w:rsid w:val="009864CA"/>
    <w:rsid w:val="00986A58"/>
    <w:rsid w:val="00986A6B"/>
    <w:rsid w:val="0098727F"/>
    <w:rsid w:val="00987626"/>
    <w:rsid w:val="009876D6"/>
    <w:rsid w:val="00987843"/>
    <w:rsid w:val="009879DC"/>
    <w:rsid w:val="00987C5F"/>
    <w:rsid w:val="009904F2"/>
    <w:rsid w:val="009907F1"/>
    <w:rsid w:val="00991114"/>
    <w:rsid w:val="0099130F"/>
    <w:rsid w:val="0099177F"/>
    <w:rsid w:val="0099182A"/>
    <w:rsid w:val="009919CB"/>
    <w:rsid w:val="00992583"/>
    <w:rsid w:val="00992EA5"/>
    <w:rsid w:val="00992F90"/>
    <w:rsid w:val="0099362A"/>
    <w:rsid w:val="00993B1C"/>
    <w:rsid w:val="00993D26"/>
    <w:rsid w:val="00994E9D"/>
    <w:rsid w:val="00995AE9"/>
    <w:rsid w:val="00996726"/>
    <w:rsid w:val="0099739B"/>
    <w:rsid w:val="00997809"/>
    <w:rsid w:val="009A01A1"/>
    <w:rsid w:val="009A053C"/>
    <w:rsid w:val="009A0C05"/>
    <w:rsid w:val="009A10D0"/>
    <w:rsid w:val="009A1122"/>
    <w:rsid w:val="009A1DF0"/>
    <w:rsid w:val="009A1E1C"/>
    <w:rsid w:val="009A2328"/>
    <w:rsid w:val="009A2F20"/>
    <w:rsid w:val="009A30EB"/>
    <w:rsid w:val="009A3790"/>
    <w:rsid w:val="009A3C99"/>
    <w:rsid w:val="009A4B16"/>
    <w:rsid w:val="009A4D68"/>
    <w:rsid w:val="009A4D92"/>
    <w:rsid w:val="009A52DC"/>
    <w:rsid w:val="009A53B3"/>
    <w:rsid w:val="009A54D4"/>
    <w:rsid w:val="009A5AAE"/>
    <w:rsid w:val="009A62DB"/>
    <w:rsid w:val="009A66A9"/>
    <w:rsid w:val="009A70DE"/>
    <w:rsid w:val="009A7834"/>
    <w:rsid w:val="009A7854"/>
    <w:rsid w:val="009A78FB"/>
    <w:rsid w:val="009A7DDE"/>
    <w:rsid w:val="009B015B"/>
    <w:rsid w:val="009B0FB0"/>
    <w:rsid w:val="009B1029"/>
    <w:rsid w:val="009B166A"/>
    <w:rsid w:val="009B1A15"/>
    <w:rsid w:val="009B24D5"/>
    <w:rsid w:val="009B26FB"/>
    <w:rsid w:val="009B2B0D"/>
    <w:rsid w:val="009B2F6E"/>
    <w:rsid w:val="009B32AD"/>
    <w:rsid w:val="009B3316"/>
    <w:rsid w:val="009B33EC"/>
    <w:rsid w:val="009B3516"/>
    <w:rsid w:val="009B3720"/>
    <w:rsid w:val="009B3A4B"/>
    <w:rsid w:val="009B3B9C"/>
    <w:rsid w:val="009B3E56"/>
    <w:rsid w:val="009B3FD1"/>
    <w:rsid w:val="009B44B5"/>
    <w:rsid w:val="009B484B"/>
    <w:rsid w:val="009B5DC9"/>
    <w:rsid w:val="009B690E"/>
    <w:rsid w:val="009B6983"/>
    <w:rsid w:val="009B6E1C"/>
    <w:rsid w:val="009B7452"/>
    <w:rsid w:val="009C029C"/>
    <w:rsid w:val="009C0339"/>
    <w:rsid w:val="009C0DDC"/>
    <w:rsid w:val="009C11B0"/>
    <w:rsid w:val="009C1390"/>
    <w:rsid w:val="009C1968"/>
    <w:rsid w:val="009C19E4"/>
    <w:rsid w:val="009C19F1"/>
    <w:rsid w:val="009C1E25"/>
    <w:rsid w:val="009C1F24"/>
    <w:rsid w:val="009C221C"/>
    <w:rsid w:val="009C2345"/>
    <w:rsid w:val="009C26AA"/>
    <w:rsid w:val="009C2BA6"/>
    <w:rsid w:val="009C32D6"/>
    <w:rsid w:val="009C3482"/>
    <w:rsid w:val="009C3812"/>
    <w:rsid w:val="009C3B34"/>
    <w:rsid w:val="009C3F36"/>
    <w:rsid w:val="009C3FCE"/>
    <w:rsid w:val="009C415C"/>
    <w:rsid w:val="009C45BD"/>
    <w:rsid w:val="009C470B"/>
    <w:rsid w:val="009C6402"/>
    <w:rsid w:val="009C67DC"/>
    <w:rsid w:val="009C6F2D"/>
    <w:rsid w:val="009C7620"/>
    <w:rsid w:val="009C7B34"/>
    <w:rsid w:val="009C7F9B"/>
    <w:rsid w:val="009C7FD8"/>
    <w:rsid w:val="009D00C5"/>
    <w:rsid w:val="009D00F7"/>
    <w:rsid w:val="009D079A"/>
    <w:rsid w:val="009D1315"/>
    <w:rsid w:val="009D142C"/>
    <w:rsid w:val="009D193A"/>
    <w:rsid w:val="009D1E73"/>
    <w:rsid w:val="009D2192"/>
    <w:rsid w:val="009D262B"/>
    <w:rsid w:val="009D2843"/>
    <w:rsid w:val="009D323A"/>
    <w:rsid w:val="009D3722"/>
    <w:rsid w:val="009D382C"/>
    <w:rsid w:val="009D43EF"/>
    <w:rsid w:val="009D537E"/>
    <w:rsid w:val="009D5782"/>
    <w:rsid w:val="009D5C56"/>
    <w:rsid w:val="009D5FFA"/>
    <w:rsid w:val="009D64EA"/>
    <w:rsid w:val="009D66C7"/>
    <w:rsid w:val="009D67E5"/>
    <w:rsid w:val="009D687C"/>
    <w:rsid w:val="009D6A81"/>
    <w:rsid w:val="009D7214"/>
    <w:rsid w:val="009D7D69"/>
    <w:rsid w:val="009D7F4E"/>
    <w:rsid w:val="009E03D9"/>
    <w:rsid w:val="009E0453"/>
    <w:rsid w:val="009E04C6"/>
    <w:rsid w:val="009E0605"/>
    <w:rsid w:val="009E1533"/>
    <w:rsid w:val="009E19F7"/>
    <w:rsid w:val="009E1CC4"/>
    <w:rsid w:val="009E1D13"/>
    <w:rsid w:val="009E2025"/>
    <w:rsid w:val="009E298C"/>
    <w:rsid w:val="009E3291"/>
    <w:rsid w:val="009E33C4"/>
    <w:rsid w:val="009E3AF4"/>
    <w:rsid w:val="009E3CFA"/>
    <w:rsid w:val="009E40B9"/>
    <w:rsid w:val="009E535E"/>
    <w:rsid w:val="009E56D7"/>
    <w:rsid w:val="009E57FD"/>
    <w:rsid w:val="009E5D0D"/>
    <w:rsid w:val="009E5E8A"/>
    <w:rsid w:val="009E634A"/>
    <w:rsid w:val="009E6C56"/>
    <w:rsid w:val="009E6D63"/>
    <w:rsid w:val="009E7025"/>
    <w:rsid w:val="009E728C"/>
    <w:rsid w:val="009E7AFF"/>
    <w:rsid w:val="009E7C82"/>
    <w:rsid w:val="009E7EA6"/>
    <w:rsid w:val="009F06C9"/>
    <w:rsid w:val="009F0F2A"/>
    <w:rsid w:val="009F10A1"/>
    <w:rsid w:val="009F18E0"/>
    <w:rsid w:val="009F1A41"/>
    <w:rsid w:val="009F1D0B"/>
    <w:rsid w:val="009F2B33"/>
    <w:rsid w:val="009F2F4E"/>
    <w:rsid w:val="009F3072"/>
    <w:rsid w:val="009F3A31"/>
    <w:rsid w:val="009F3C99"/>
    <w:rsid w:val="009F3D94"/>
    <w:rsid w:val="009F425D"/>
    <w:rsid w:val="009F4895"/>
    <w:rsid w:val="009F491C"/>
    <w:rsid w:val="009F4B0B"/>
    <w:rsid w:val="009F4C70"/>
    <w:rsid w:val="009F4EDD"/>
    <w:rsid w:val="009F57AB"/>
    <w:rsid w:val="009F5C63"/>
    <w:rsid w:val="009F5FDA"/>
    <w:rsid w:val="009F6A9D"/>
    <w:rsid w:val="009F6AB4"/>
    <w:rsid w:val="009F6B4C"/>
    <w:rsid w:val="009F6FD2"/>
    <w:rsid w:val="009F7224"/>
    <w:rsid w:val="009F7402"/>
    <w:rsid w:val="009F7EA2"/>
    <w:rsid w:val="00A00546"/>
    <w:rsid w:val="00A006E0"/>
    <w:rsid w:val="00A007C4"/>
    <w:rsid w:val="00A009A9"/>
    <w:rsid w:val="00A00EBA"/>
    <w:rsid w:val="00A00F74"/>
    <w:rsid w:val="00A011B4"/>
    <w:rsid w:val="00A012AF"/>
    <w:rsid w:val="00A01343"/>
    <w:rsid w:val="00A01E64"/>
    <w:rsid w:val="00A02A8B"/>
    <w:rsid w:val="00A03433"/>
    <w:rsid w:val="00A03F47"/>
    <w:rsid w:val="00A03F68"/>
    <w:rsid w:val="00A0417F"/>
    <w:rsid w:val="00A0465F"/>
    <w:rsid w:val="00A0488C"/>
    <w:rsid w:val="00A04E82"/>
    <w:rsid w:val="00A0504D"/>
    <w:rsid w:val="00A05433"/>
    <w:rsid w:val="00A05E44"/>
    <w:rsid w:val="00A06282"/>
    <w:rsid w:val="00A062A0"/>
    <w:rsid w:val="00A068FB"/>
    <w:rsid w:val="00A0704D"/>
    <w:rsid w:val="00A07221"/>
    <w:rsid w:val="00A0732F"/>
    <w:rsid w:val="00A0780B"/>
    <w:rsid w:val="00A101B0"/>
    <w:rsid w:val="00A10599"/>
    <w:rsid w:val="00A10F47"/>
    <w:rsid w:val="00A112F1"/>
    <w:rsid w:val="00A11530"/>
    <w:rsid w:val="00A11F7B"/>
    <w:rsid w:val="00A1258F"/>
    <w:rsid w:val="00A129BB"/>
    <w:rsid w:val="00A12D58"/>
    <w:rsid w:val="00A133A1"/>
    <w:rsid w:val="00A138DC"/>
    <w:rsid w:val="00A13EEC"/>
    <w:rsid w:val="00A13F3B"/>
    <w:rsid w:val="00A13F97"/>
    <w:rsid w:val="00A14379"/>
    <w:rsid w:val="00A1438A"/>
    <w:rsid w:val="00A149CA"/>
    <w:rsid w:val="00A14C81"/>
    <w:rsid w:val="00A15016"/>
    <w:rsid w:val="00A15CB0"/>
    <w:rsid w:val="00A1618C"/>
    <w:rsid w:val="00A16D32"/>
    <w:rsid w:val="00A16E7A"/>
    <w:rsid w:val="00A171C4"/>
    <w:rsid w:val="00A173F8"/>
    <w:rsid w:val="00A17634"/>
    <w:rsid w:val="00A17CBE"/>
    <w:rsid w:val="00A20152"/>
    <w:rsid w:val="00A20F41"/>
    <w:rsid w:val="00A21FA8"/>
    <w:rsid w:val="00A22162"/>
    <w:rsid w:val="00A22418"/>
    <w:rsid w:val="00A22886"/>
    <w:rsid w:val="00A231C2"/>
    <w:rsid w:val="00A24204"/>
    <w:rsid w:val="00A24354"/>
    <w:rsid w:val="00A24368"/>
    <w:rsid w:val="00A245F5"/>
    <w:rsid w:val="00A248AB"/>
    <w:rsid w:val="00A24C51"/>
    <w:rsid w:val="00A25017"/>
    <w:rsid w:val="00A251E2"/>
    <w:rsid w:val="00A25B82"/>
    <w:rsid w:val="00A25C1E"/>
    <w:rsid w:val="00A25C28"/>
    <w:rsid w:val="00A25DFB"/>
    <w:rsid w:val="00A26063"/>
    <w:rsid w:val="00A2647D"/>
    <w:rsid w:val="00A26ADF"/>
    <w:rsid w:val="00A279D1"/>
    <w:rsid w:val="00A279EC"/>
    <w:rsid w:val="00A3027A"/>
    <w:rsid w:val="00A304F1"/>
    <w:rsid w:val="00A307E4"/>
    <w:rsid w:val="00A30F4C"/>
    <w:rsid w:val="00A31374"/>
    <w:rsid w:val="00A31A23"/>
    <w:rsid w:val="00A31A8E"/>
    <w:rsid w:val="00A31D9F"/>
    <w:rsid w:val="00A31FFB"/>
    <w:rsid w:val="00A325D0"/>
    <w:rsid w:val="00A32977"/>
    <w:rsid w:val="00A32C00"/>
    <w:rsid w:val="00A32CBA"/>
    <w:rsid w:val="00A32E70"/>
    <w:rsid w:val="00A337BE"/>
    <w:rsid w:val="00A33E94"/>
    <w:rsid w:val="00A34670"/>
    <w:rsid w:val="00A34831"/>
    <w:rsid w:val="00A35380"/>
    <w:rsid w:val="00A35644"/>
    <w:rsid w:val="00A35B44"/>
    <w:rsid w:val="00A35C94"/>
    <w:rsid w:val="00A361BD"/>
    <w:rsid w:val="00A3648B"/>
    <w:rsid w:val="00A36832"/>
    <w:rsid w:val="00A36938"/>
    <w:rsid w:val="00A3699B"/>
    <w:rsid w:val="00A36E31"/>
    <w:rsid w:val="00A36FAF"/>
    <w:rsid w:val="00A370B9"/>
    <w:rsid w:val="00A3722E"/>
    <w:rsid w:val="00A37897"/>
    <w:rsid w:val="00A4046C"/>
    <w:rsid w:val="00A40503"/>
    <w:rsid w:val="00A4083E"/>
    <w:rsid w:val="00A40ADB"/>
    <w:rsid w:val="00A417A6"/>
    <w:rsid w:val="00A41C63"/>
    <w:rsid w:val="00A41D40"/>
    <w:rsid w:val="00A420BA"/>
    <w:rsid w:val="00A420F9"/>
    <w:rsid w:val="00A42214"/>
    <w:rsid w:val="00A42A0F"/>
    <w:rsid w:val="00A42EB4"/>
    <w:rsid w:val="00A43362"/>
    <w:rsid w:val="00A43650"/>
    <w:rsid w:val="00A442A7"/>
    <w:rsid w:val="00A44393"/>
    <w:rsid w:val="00A4454F"/>
    <w:rsid w:val="00A44AEB"/>
    <w:rsid w:val="00A453AA"/>
    <w:rsid w:val="00A45739"/>
    <w:rsid w:val="00A45907"/>
    <w:rsid w:val="00A45FC4"/>
    <w:rsid w:val="00A46106"/>
    <w:rsid w:val="00A4686B"/>
    <w:rsid w:val="00A4749D"/>
    <w:rsid w:val="00A47795"/>
    <w:rsid w:val="00A47D1A"/>
    <w:rsid w:val="00A47D5E"/>
    <w:rsid w:val="00A50328"/>
    <w:rsid w:val="00A50621"/>
    <w:rsid w:val="00A50D76"/>
    <w:rsid w:val="00A51487"/>
    <w:rsid w:val="00A51513"/>
    <w:rsid w:val="00A519CD"/>
    <w:rsid w:val="00A52ED9"/>
    <w:rsid w:val="00A52F78"/>
    <w:rsid w:val="00A53339"/>
    <w:rsid w:val="00A53C18"/>
    <w:rsid w:val="00A5401C"/>
    <w:rsid w:val="00A54AFE"/>
    <w:rsid w:val="00A54B85"/>
    <w:rsid w:val="00A55330"/>
    <w:rsid w:val="00A555E6"/>
    <w:rsid w:val="00A55977"/>
    <w:rsid w:val="00A55DB6"/>
    <w:rsid w:val="00A56DBB"/>
    <w:rsid w:val="00A56EA6"/>
    <w:rsid w:val="00A56FA9"/>
    <w:rsid w:val="00A57DBD"/>
    <w:rsid w:val="00A57E39"/>
    <w:rsid w:val="00A60366"/>
    <w:rsid w:val="00A6049F"/>
    <w:rsid w:val="00A6079C"/>
    <w:rsid w:val="00A6088D"/>
    <w:rsid w:val="00A60B3E"/>
    <w:rsid w:val="00A60B88"/>
    <w:rsid w:val="00A60BC9"/>
    <w:rsid w:val="00A60CEF"/>
    <w:rsid w:val="00A60D28"/>
    <w:rsid w:val="00A61671"/>
    <w:rsid w:val="00A618C7"/>
    <w:rsid w:val="00A619C9"/>
    <w:rsid w:val="00A61AEC"/>
    <w:rsid w:val="00A61BB7"/>
    <w:rsid w:val="00A62E55"/>
    <w:rsid w:val="00A63C13"/>
    <w:rsid w:val="00A63E5A"/>
    <w:rsid w:val="00A64A30"/>
    <w:rsid w:val="00A64FC5"/>
    <w:rsid w:val="00A6515D"/>
    <w:rsid w:val="00A6653B"/>
    <w:rsid w:val="00A6685C"/>
    <w:rsid w:val="00A66914"/>
    <w:rsid w:val="00A66977"/>
    <w:rsid w:val="00A66ADF"/>
    <w:rsid w:val="00A6765F"/>
    <w:rsid w:val="00A70918"/>
    <w:rsid w:val="00A70984"/>
    <w:rsid w:val="00A70B30"/>
    <w:rsid w:val="00A71043"/>
    <w:rsid w:val="00A71AF4"/>
    <w:rsid w:val="00A72EDC"/>
    <w:rsid w:val="00A73216"/>
    <w:rsid w:val="00A739E6"/>
    <w:rsid w:val="00A73BDE"/>
    <w:rsid w:val="00A73CB9"/>
    <w:rsid w:val="00A73FC5"/>
    <w:rsid w:val="00A74399"/>
    <w:rsid w:val="00A74B7A"/>
    <w:rsid w:val="00A74E0F"/>
    <w:rsid w:val="00A75B77"/>
    <w:rsid w:val="00A762AF"/>
    <w:rsid w:val="00A76892"/>
    <w:rsid w:val="00A76965"/>
    <w:rsid w:val="00A76A44"/>
    <w:rsid w:val="00A76C3C"/>
    <w:rsid w:val="00A771DC"/>
    <w:rsid w:val="00A77295"/>
    <w:rsid w:val="00A77961"/>
    <w:rsid w:val="00A802E6"/>
    <w:rsid w:val="00A804E6"/>
    <w:rsid w:val="00A804F8"/>
    <w:rsid w:val="00A80527"/>
    <w:rsid w:val="00A80675"/>
    <w:rsid w:val="00A808B9"/>
    <w:rsid w:val="00A80B21"/>
    <w:rsid w:val="00A812F8"/>
    <w:rsid w:val="00A817C9"/>
    <w:rsid w:val="00A817FD"/>
    <w:rsid w:val="00A81961"/>
    <w:rsid w:val="00A81D11"/>
    <w:rsid w:val="00A82657"/>
    <w:rsid w:val="00A82955"/>
    <w:rsid w:val="00A82C48"/>
    <w:rsid w:val="00A82D45"/>
    <w:rsid w:val="00A82F61"/>
    <w:rsid w:val="00A838D3"/>
    <w:rsid w:val="00A83E6F"/>
    <w:rsid w:val="00A8463C"/>
    <w:rsid w:val="00A8493A"/>
    <w:rsid w:val="00A84C04"/>
    <w:rsid w:val="00A84C6D"/>
    <w:rsid w:val="00A84FD0"/>
    <w:rsid w:val="00A84FF1"/>
    <w:rsid w:val="00A85158"/>
    <w:rsid w:val="00A852EB"/>
    <w:rsid w:val="00A85426"/>
    <w:rsid w:val="00A85576"/>
    <w:rsid w:val="00A858A1"/>
    <w:rsid w:val="00A85B9E"/>
    <w:rsid w:val="00A863E2"/>
    <w:rsid w:val="00A86558"/>
    <w:rsid w:val="00A86941"/>
    <w:rsid w:val="00A86C2D"/>
    <w:rsid w:val="00A86DDA"/>
    <w:rsid w:val="00A8703B"/>
    <w:rsid w:val="00A878BA"/>
    <w:rsid w:val="00A87D7E"/>
    <w:rsid w:val="00A90058"/>
    <w:rsid w:val="00A9009B"/>
    <w:rsid w:val="00A904F1"/>
    <w:rsid w:val="00A90BE1"/>
    <w:rsid w:val="00A9110D"/>
    <w:rsid w:val="00A9124E"/>
    <w:rsid w:val="00A9141C"/>
    <w:rsid w:val="00A91A2D"/>
    <w:rsid w:val="00A91B00"/>
    <w:rsid w:val="00A920B2"/>
    <w:rsid w:val="00A9298B"/>
    <w:rsid w:val="00A92A99"/>
    <w:rsid w:val="00A92C11"/>
    <w:rsid w:val="00A93561"/>
    <w:rsid w:val="00A94017"/>
    <w:rsid w:val="00A94FC8"/>
    <w:rsid w:val="00A95A14"/>
    <w:rsid w:val="00A95A5B"/>
    <w:rsid w:val="00A9615B"/>
    <w:rsid w:val="00A96189"/>
    <w:rsid w:val="00A966C0"/>
    <w:rsid w:val="00A96C0E"/>
    <w:rsid w:val="00A96DBB"/>
    <w:rsid w:val="00A97DB8"/>
    <w:rsid w:val="00AA0CD9"/>
    <w:rsid w:val="00AA0ED5"/>
    <w:rsid w:val="00AA1327"/>
    <w:rsid w:val="00AA14D6"/>
    <w:rsid w:val="00AA155C"/>
    <w:rsid w:val="00AA1A8B"/>
    <w:rsid w:val="00AA1BB4"/>
    <w:rsid w:val="00AA2491"/>
    <w:rsid w:val="00AA2617"/>
    <w:rsid w:val="00AA2F9F"/>
    <w:rsid w:val="00AA30B6"/>
    <w:rsid w:val="00AA341A"/>
    <w:rsid w:val="00AA372C"/>
    <w:rsid w:val="00AA4468"/>
    <w:rsid w:val="00AA49DB"/>
    <w:rsid w:val="00AA4BFD"/>
    <w:rsid w:val="00AA559E"/>
    <w:rsid w:val="00AA5CAB"/>
    <w:rsid w:val="00AA5D36"/>
    <w:rsid w:val="00AA5E25"/>
    <w:rsid w:val="00AA641A"/>
    <w:rsid w:val="00AA7249"/>
    <w:rsid w:val="00AA7305"/>
    <w:rsid w:val="00AA74AA"/>
    <w:rsid w:val="00AA74B0"/>
    <w:rsid w:val="00AA7983"/>
    <w:rsid w:val="00AA7C4E"/>
    <w:rsid w:val="00AA7CCD"/>
    <w:rsid w:val="00AB028E"/>
    <w:rsid w:val="00AB055F"/>
    <w:rsid w:val="00AB062C"/>
    <w:rsid w:val="00AB06B2"/>
    <w:rsid w:val="00AB0E6F"/>
    <w:rsid w:val="00AB0F2C"/>
    <w:rsid w:val="00AB12D0"/>
    <w:rsid w:val="00AB13F5"/>
    <w:rsid w:val="00AB16D8"/>
    <w:rsid w:val="00AB187B"/>
    <w:rsid w:val="00AB1F37"/>
    <w:rsid w:val="00AB2388"/>
    <w:rsid w:val="00AB29A7"/>
    <w:rsid w:val="00AB2B6A"/>
    <w:rsid w:val="00AB2F76"/>
    <w:rsid w:val="00AB32F2"/>
    <w:rsid w:val="00AB38CA"/>
    <w:rsid w:val="00AB3B2A"/>
    <w:rsid w:val="00AB4281"/>
    <w:rsid w:val="00AB46BC"/>
    <w:rsid w:val="00AB491F"/>
    <w:rsid w:val="00AB5196"/>
    <w:rsid w:val="00AB5430"/>
    <w:rsid w:val="00AB543E"/>
    <w:rsid w:val="00AB576B"/>
    <w:rsid w:val="00AB5C0F"/>
    <w:rsid w:val="00AB5F86"/>
    <w:rsid w:val="00AB64F9"/>
    <w:rsid w:val="00AB6F0F"/>
    <w:rsid w:val="00AB725B"/>
    <w:rsid w:val="00AB799B"/>
    <w:rsid w:val="00AB7E41"/>
    <w:rsid w:val="00AC0492"/>
    <w:rsid w:val="00AC0610"/>
    <w:rsid w:val="00AC099F"/>
    <w:rsid w:val="00AC17A3"/>
    <w:rsid w:val="00AC17C0"/>
    <w:rsid w:val="00AC1964"/>
    <w:rsid w:val="00AC2EA2"/>
    <w:rsid w:val="00AC32E1"/>
    <w:rsid w:val="00AC3983"/>
    <w:rsid w:val="00AC4494"/>
    <w:rsid w:val="00AC4DF0"/>
    <w:rsid w:val="00AC5FAA"/>
    <w:rsid w:val="00AC67BE"/>
    <w:rsid w:val="00AC7084"/>
    <w:rsid w:val="00AC7399"/>
    <w:rsid w:val="00AC7841"/>
    <w:rsid w:val="00AD0D35"/>
    <w:rsid w:val="00AD139C"/>
    <w:rsid w:val="00AD15B3"/>
    <w:rsid w:val="00AD176B"/>
    <w:rsid w:val="00AD1C1B"/>
    <w:rsid w:val="00AD2BE3"/>
    <w:rsid w:val="00AD35A8"/>
    <w:rsid w:val="00AD3840"/>
    <w:rsid w:val="00AD3879"/>
    <w:rsid w:val="00AD40D7"/>
    <w:rsid w:val="00AD56B8"/>
    <w:rsid w:val="00AD5D92"/>
    <w:rsid w:val="00AD632D"/>
    <w:rsid w:val="00AD656A"/>
    <w:rsid w:val="00AD6A7D"/>
    <w:rsid w:val="00AD6C02"/>
    <w:rsid w:val="00AD6CC2"/>
    <w:rsid w:val="00AD7511"/>
    <w:rsid w:val="00AD7B90"/>
    <w:rsid w:val="00AE03FE"/>
    <w:rsid w:val="00AE0639"/>
    <w:rsid w:val="00AE0C64"/>
    <w:rsid w:val="00AE16C8"/>
    <w:rsid w:val="00AE1CAE"/>
    <w:rsid w:val="00AE1E1D"/>
    <w:rsid w:val="00AE1F90"/>
    <w:rsid w:val="00AE2BBE"/>
    <w:rsid w:val="00AE328C"/>
    <w:rsid w:val="00AE3D15"/>
    <w:rsid w:val="00AE3DA7"/>
    <w:rsid w:val="00AE47E7"/>
    <w:rsid w:val="00AE47FD"/>
    <w:rsid w:val="00AE4B26"/>
    <w:rsid w:val="00AE4DF8"/>
    <w:rsid w:val="00AE4E8F"/>
    <w:rsid w:val="00AE503F"/>
    <w:rsid w:val="00AE5554"/>
    <w:rsid w:val="00AE5635"/>
    <w:rsid w:val="00AE5906"/>
    <w:rsid w:val="00AE594C"/>
    <w:rsid w:val="00AE5F28"/>
    <w:rsid w:val="00AE658A"/>
    <w:rsid w:val="00AE66D7"/>
    <w:rsid w:val="00AE6830"/>
    <w:rsid w:val="00AE7153"/>
    <w:rsid w:val="00AF020F"/>
    <w:rsid w:val="00AF077A"/>
    <w:rsid w:val="00AF087D"/>
    <w:rsid w:val="00AF0AFA"/>
    <w:rsid w:val="00AF0E2E"/>
    <w:rsid w:val="00AF12CC"/>
    <w:rsid w:val="00AF1DF6"/>
    <w:rsid w:val="00AF1FA7"/>
    <w:rsid w:val="00AF247F"/>
    <w:rsid w:val="00AF273C"/>
    <w:rsid w:val="00AF27DA"/>
    <w:rsid w:val="00AF2849"/>
    <w:rsid w:val="00AF32B5"/>
    <w:rsid w:val="00AF3348"/>
    <w:rsid w:val="00AF342B"/>
    <w:rsid w:val="00AF3443"/>
    <w:rsid w:val="00AF3D6E"/>
    <w:rsid w:val="00AF40EA"/>
    <w:rsid w:val="00AF426C"/>
    <w:rsid w:val="00AF4868"/>
    <w:rsid w:val="00AF558B"/>
    <w:rsid w:val="00AF55D2"/>
    <w:rsid w:val="00AF5891"/>
    <w:rsid w:val="00AF5895"/>
    <w:rsid w:val="00AF5909"/>
    <w:rsid w:val="00AF5CB8"/>
    <w:rsid w:val="00AF6231"/>
    <w:rsid w:val="00AF6429"/>
    <w:rsid w:val="00AF65AE"/>
    <w:rsid w:val="00AF695A"/>
    <w:rsid w:val="00AF6F0B"/>
    <w:rsid w:val="00AF77F8"/>
    <w:rsid w:val="00AF79F8"/>
    <w:rsid w:val="00AF7BE5"/>
    <w:rsid w:val="00B00AFB"/>
    <w:rsid w:val="00B00B80"/>
    <w:rsid w:val="00B013BA"/>
    <w:rsid w:val="00B017F5"/>
    <w:rsid w:val="00B019D8"/>
    <w:rsid w:val="00B01F8C"/>
    <w:rsid w:val="00B0234C"/>
    <w:rsid w:val="00B0331D"/>
    <w:rsid w:val="00B0338D"/>
    <w:rsid w:val="00B0350F"/>
    <w:rsid w:val="00B035A8"/>
    <w:rsid w:val="00B037FE"/>
    <w:rsid w:val="00B0385F"/>
    <w:rsid w:val="00B038B0"/>
    <w:rsid w:val="00B03900"/>
    <w:rsid w:val="00B0392E"/>
    <w:rsid w:val="00B045FE"/>
    <w:rsid w:val="00B04C37"/>
    <w:rsid w:val="00B051F9"/>
    <w:rsid w:val="00B05792"/>
    <w:rsid w:val="00B061A9"/>
    <w:rsid w:val="00B062CD"/>
    <w:rsid w:val="00B06564"/>
    <w:rsid w:val="00B076F3"/>
    <w:rsid w:val="00B07A1F"/>
    <w:rsid w:val="00B07B18"/>
    <w:rsid w:val="00B107F2"/>
    <w:rsid w:val="00B10B1D"/>
    <w:rsid w:val="00B10F81"/>
    <w:rsid w:val="00B11C79"/>
    <w:rsid w:val="00B11E35"/>
    <w:rsid w:val="00B124E0"/>
    <w:rsid w:val="00B129CE"/>
    <w:rsid w:val="00B12AEB"/>
    <w:rsid w:val="00B12F86"/>
    <w:rsid w:val="00B130C6"/>
    <w:rsid w:val="00B133FC"/>
    <w:rsid w:val="00B13B1C"/>
    <w:rsid w:val="00B14515"/>
    <w:rsid w:val="00B14A7C"/>
    <w:rsid w:val="00B14FD7"/>
    <w:rsid w:val="00B153F4"/>
    <w:rsid w:val="00B15DE0"/>
    <w:rsid w:val="00B15FC8"/>
    <w:rsid w:val="00B15FF7"/>
    <w:rsid w:val="00B16AF9"/>
    <w:rsid w:val="00B16CE0"/>
    <w:rsid w:val="00B16D5A"/>
    <w:rsid w:val="00B17598"/>
    <w:rsid w:val="00B17683"/>
    <w:rsid w:val="00B177D7"/>
    <w:rsid w:val="00B201A5"/>
    <w:rsid w:val="00B2180F"/>
    <w:rsid w:val="00B21DA6"/>
    <w:rsid w:val="00B223BB"/>
    <w:rsid w:val="00B22ED2"/>
    <w:rsid w:val="00B23483"/>
    <w:rsid w:val="00B23EDF"/>
    <w:rsid w:val="00B24335"/>
    <w:rsid w:val="00B2450C"/>
    <w:rsid w:val="00B25463"/>
    <w:rsid w:val="00B254C4"/>
    <w:rsid w:val="00B25918"/>
    <w:rsid w:val="00B25BEB"/>
    <w:rsid w:val="00B26024"/>
    <w:rsid w:val="00B26A01"/>
    <w:rsid w:val="00B26EC4"/>
    <w:rsid w:val="00B2705C"/>
    <w:rsid w:val="00B27962"/>
    <w:rsid w:val="00B27A3D"/>
    <w:rsid w:val="00B303C8"/>
    <w:rsid w:val="00B312F6"/>
    <w:rsid w:val="00B3147B"/>
    <w:rsid w:val="00B32E3B"/>
    <w:rsid w:val="00B32EAA"/>
    <w:rsid w:val="00B33A6C"/>
    <w:rsid w:val="00B33DDD"/>
    <w:rsid w:val="00B3527C"/>
    <w:rsid w:val="00B35A30"/>
    <w:rsid w:val="00B35CD3"/>
    <w:rsid w:val="00B35DE5"/>
    <w:rsid w:val="00B35E18"/>
    <w:rsid w:val="00B35E74"/>
    <w:rsid w:val="00B367F3"/>
    <w:rsid w:val="00B36B6F"/>
    <w:rsid w:val="00B378D2"/>
    <w:rsid w:val="00B40571"/>
    <w:rsid w:val="00B40891"/>
    <w:rsid w:val="00B40F4B"/>
    <w:rsid w:val="00B4112C"/>
    <w:rsid w:val="00B41522"/>
    <w:rsid w:val="00B41700"/>
    <w:rsid w:val="00B41D93"/>
    <w:rsid w:val="00B42E1D"/>
    <w:rsid w:val="00B43299"/>
    <w:rsid w:val="00B4330E"/>
    <w:rsid w:val="00B43FE6"/>
    <w:rsid w:val="00B44D14"/>
    <w:rsid w:val="00B44E28"/>
    <w:rsid w:val="00B44FF1"/>
    <w:rsid w:val="00B45090"/>
    <w:rsid w:val="00B453D7"/>
    <w:rsid w:val="00B46160"/>
    <w:rsid w:val="00B4694C"/>
    <w:rsid w:val="00B47E1D"/>
    <w:rsid w:val="00B50176"/>
    <w:rsid w:val="00B50413"/>
    <w:rsid w:val="00B50A43"/>
    <w:rsid w:val="00B50E35"/>
    <w:rsid w:val="00B51C87"/>
    <w:rsid w:val="00B5233E"/>
    <w:rsid w:val="00B523D7"/>
    <w:rsid w:val="00B52874"/>
    <w:rsid w:val="00B52A8F"/>
    <w:rsid w:val="00B531CA"/>
    <w:rsid w:val="00B5325C"/>
    <w:rsid w:val="00B5391A"/>
    <w:rsid w:val="00B542FE"/>
    <w:rsid w:val="00B54367"/>
    <w:rsid w:val="00B5437A"/>
    <w:rsid w:val="00B548F4"/>
    <w:rsid w:val="00B54D1D"/>
    <w:rsid w:val="00B54FE4"/>
    <w:rsid w:val="00B5521F"/>
    <w:rsid w:val="00B552CE"/>
    <w:rsid w:val="00B55594"/>
    <w:rsid w:val="00B556FB"/>
    <w:rsid w:val="00B55D76"/>
    <w:rsid w:val="00B55E3E"/>
    <w:rsid w:val="00B55F3E"/>
    <w:rsid w:val="00B56267"/>
    <w:rsid w:val="00B56A78"/>
    <w:rsid w:val="00B56B69"/>
    <w:rsid w:val="00B572E8"/>
    <w:rsid w:val="00B57483"/>
    <w:rsid w:val="00B579A6"/>
    <w:rsid w:val="00B60240"/>
    <w:rsid w:val="00B60410"/>
    <w:rsid w:val="00B60ABC"/>
    <w:rsid w:val="00B60DE6"/>
    <w:rsid w:val="00B61143"/>
    <w:rsid w:val="00B61323"/>
    <w:rsid w:val="00B615D5"/>
    <w:rsid w:val="00B6185F"/>
    <w:rsid w:val="00B619F8"/>
    <w:rsid w:val="00B62136"/>
    <w:rsid w:val="00B62C1C"/>
    <w:rsid w:val="00B63BB8"/>
    <w:rsid w:val="00B63CD7"/>
    <w:rsid w:val="00B63EA6"/>
    <w:rsid w:val="00B64229"/>
    <w:rsid w:val="00B64672"/>
    <w:rsid w:val="00B6472A"/>
    <w:rsid w:val="00B654C2"/>
    <w:rsid w:val="00B65CAD"/>
    <w:rsid w:val="00B65D5D"/>
    <w:rsid w:val="00B65F7C"/>
    <w:rsid w:val="00B6641C"/>
    <w:rsid w:val="00B66A0D"/>
    <w:rsid w:val="00B67478"/>
    <w:rsid w:val="00B67890"/>
    <w:rsid w:val="00B678AC"/>
    <w:rsid w:val="00B67B81"/>
    <w:rsid w:val="00B701DC"/>
    <w:rsid w:val="00B70544"/>
    <w:rsid w:val="00B70B1F"/>
    <w:rsid w:val="00B718D1"/>
    <w:rsid w:val="00B721A1"/>
    <w:rsid w:val="00B722A1"/>
    <w:rsid w:val="00B72535"/>
    <w:rsid w:val="00B72637"/>
    <w:rsid w:val="00B72750"/>
    <w:rsid w:val="00B727A3"/>
    <w:rsid w:val="00B72C4B"/>
    <w:rsid w:val="00B7317A"/>
    <w:rsid w:val="00B73BFD"/>
    <w:rsid w:val="00B7550F"/>
    <w:rsid w:val="00B758D2"/>
    <w:rsid w:val="00B75D74"/>
    <w:rsid w:val="00B7659D"/>
    <w:rsid w:val="00B7697D"/>
    <w:rsid w:val="00B77932"/>
    <w:rsid w:val="00B803DB"/>
    <w:rsid w:val="00B80617"/>
    <w:rsid w:val="00B80643"/>
    <w:rsid w:val="00B80656"/>
    <w:rsid w:val="00B81CE1"/>
    <w:rsid w:val="00B82040"/>
    <w:rsid w:val="00B822F5"/>
    <w:rsid w:val="00B827A7"/>
    <w:rsid w:val="00B83764"/>
    <w:rsid w:val="00B83782"/>
    <w:rsid w:val="00B83964"/>
    <w:rsid w:val="00B83A84"/>
    <w:rsid w:val="00B83DD1"/>
    <w:rsid w:val="00B83F04"/>
    <w:rsid w:val="00B84F51"/>
    <w:rsid w:val="00B8510F"/>
    <w:rsid w:val="00B851DC"/>
    <w:rsid w:val="00B855A5"/>
    <w:rsid w:val="00B85A1D"/>
    <w:rsid w:val="00B8651F"/>
    <w:rsid w:val="00B865E2"/>
    <w:rsid w:val="00B86A33"/>
    <w:rsid w:val="00B86C39"/>
    <w:rsid w:val="00B86E84"/>
    <w:rsid w:val="00B86FC3"/>
    <w:rsid w:val="00B870E8"/>
    <w:rsid w:val="00B87BA4"/>
    <w:rsid w:val="00B87CBA"/>
    <w:rsid w:val="00B87DAA"/>
    <w:rsid w:val="00B87F60"/>
    <w:rsid w:val="00B90324"/>
    <w:rsid w:val="00B90E39"/>
    <w:rsid w:val="00B917C1"/>
    <w:rsid w:val="00B9195F"/>
    <w:rsid w:val="00B91BF4"/>
    <w:rsid w:val="00B921CF"/>
    <w:rsid w:val="00B923E9"/>
    <w:rsid w:val="00B924EA"/>
    <w:rsid w:val="00B92691"/>
    <w:rsid w:val="00B928B4"/>
    <w:rsid w:val="00B94152"/>
    <w:rsid w:val="00B9480B"/>
    <w:rsid w:val="00B94AFE"/>
    <w:rsid w:val="00B94BC8"/>
    <w:rsid w:val="00B94D3A"/>
    <w:rsid w:val="00B9582A"/>
    <w:rsid w:val="00B95B8C"/>
    <w:rsid w:val="00B95C32"/>
    <w:rsid w:val="00B95D49"/>
    <w:rsid w:val="00B963EB"/>
    <w:rsid w:val="00B97A92"/>
    <w:rsid w:val="00B97C1F"/>
    <w:rsid w:val="00B97E48"/>
    <w:rsid w:val="00BA027F"/>
    <w:rsid w:val="00BA04AA"/>
    <w:rsid w:val="00BA0BAD"/>
    <w:rsid w:val="00BA0E9C"/>
    <w:rsid w:val="00BA1711"/>
    <w:rsid w:val="00BA1765"/>
    <w:rsid w:val="00BA17FE"/>
    <w:rsid w:val="00BA1DD3"/>
    <w:rsid w:val="00BA21B0"/>
    <w:rsid w:val="00BA2679"/>
    <w:rsid w:val="00BA2FF7"/>
    <w:rsid w:val="00BA31F1"/>
    <w:rsid w:val="00BA32E3"/>
    <w:rsid w:val="00BA34D4"/>
    <w:rsid w:val="00BA3700"/>
    <w:rsid w:val="00BA41AA"/>
    <w:rsid w:val="00BA500C"/>
    <w:rsid w:val="00BA54B7"/>
    <w:rsid w:val="00BA56CF"/>
    <w:rsid w:val="00BA5D15"/>
    <w:rsid w:val="00BA5DFB"/>
    <w:rsid w:val="00BA63AE"/>
    <w:rsid w:val="00BA6E28"/>
    <w:rsid w:val="00BA711F"/>
    <w:rsid w:val="00BA7166"/>
    <w:rsid w:val="00BA719B"/>
    <w:rsid w:val="00BA7954"/>
    <w:rsid w:val="00BA7A10"/>
    <w:rsid w:val="00BA7E0C"/>
    <w:rsid w:val="00BB0D0A"/>
    <w:rsid w:val="00BB1D8E"/>
    <w:rsid w:val="00BB1DFF"/>
    <w:rsid w:val="00BB21D0"/>
    <w:rsid w:val="00BB2302"/>
    <w:rsid w:val="00BB253F"/>
    <w:rsid w:val="00BB2C97"/>
    <w:rsid w:val="00BB2D25"/>
    <w:rsid w:val="00BB2E97"/>
    <w:rsid w:val="00BB34EC"/>
    <w:rsid w:val="00BB3711"/>
    <w:rsid w:val="00BB398D"/>
    <w:rsid w:val="00BB3A15"/>
    <w:rsid w:val="00BB3D46"/>
    <w:rsid w:val="00BB3E20"/>
    <w:rsid w:val="00BB4918"/>
    <w:rsid w:val="00BB4D9D"/>
    <w:rsid w:val="00BB5002"/>
    <w:rsid w:val="00BB53B9"/>
    <w:rsid w:val="00BB5614"/>
    <w:rsid w:val="00BB5639"/>
    <w:rsid w:val="00BB5902"/>
    <w:rsid w:val="00BB608B"/>
    <w:rsid w:val="00BB639F"/>
    <w:rsid w:val="00BB6775"/>
    <w:rsid w:val="00BB6B51"/>
    <w:rsid w:val="00BB6E31"/>
    <w:rsid w:val="00BB7A08"/>
    <w:rsid w:val="00BC08F5"/>
    <w:rsid w:val="00BC0D27"/>
    <w:rsid w:val="00BC0F44"/>
    <w:rsid w:val="00BC1835"/>
    <w:rsid w:val="00BC1A54"/>
    <w:rsid w:val="00BC24E2"/>
    <w:rsid w:val="00BC29CE"/>
    <w:rsid w:val="00BC2FD6"/>
    <w:rsid w:val="00BC310B"/>
    <w:rsid w:val="00BC38DC"/>
    <w:rsid w:val="00BC3B6B"/>
    <w:rsid w:val="00BC5A2D"/>
    <w:rsid w:val="00BC5D85"/>
    <w:rsid w:val="00BC60C9"/>
    <w:rsid w:val="00BC664B"/>
    <w:rsid w:val="00BC6B06"/>
    <w:rsid w:val="00BC6E77"/>
    <w:rsid w:val="00BC7568"/>
    <w:rsid w:val="00BC763D"/>
    <w:rsid w:val="00BC7846"/>
    <w:rsid w:val="00BC7E7C"/>
    <w:rsid w:val="00BD003B"/>
    <w:rsid w:val="00BD01DF"/>
    <w:rsid w:val="00BD0223"/>
    <w:rsid w:val="00BD055A"/>
    <w:rsid w:val="00BD086B"/>
    <w:rsid w:val="00BD0885"/>
    <w:rsid w:val="00BD0C27"/>
    <w:rsid w:val="00BD0CD7"/>
    <w:rsid w:val="00BD0E38"/>
    <w:rsid w:val="00BD10AC"/>
    <w:rsid w:val="00BD13F2"/>
    <w:rsid w:val="00BD178B"/>
    <w:rsid w:val="00BD1BCA"/>
    <w:rsid w:val="00BD2164"/>
    <w:rsid w:val="00BD23B5"/>
    <w:rsid w:val="00BD2E93"/>
    <w:rsid w:val="00BD2F6F"/>
    <w:rsid w:val="00BD3A40"/>
    <w:rsid w:val="00BD53A7"/>
    <w:rsid w:val="00BD5756"/>
    <w:rsid w:val="00BD57A5"/>
    <w:rsid w:val="00BD693B"/>
    <w:rsid w:val="00BD6A23"/>
    <w:rsid w:val="00BD702F"/>
    <w:rsid w:val="00BD786C"/>
    <w:rsid w:val="00BD7D46"/>
    <w:rsid w:val="00BD7FC9"/>
    <w:rsid w:val="00BE06C9"/>
    <w:rsid w:val="00BE0EC2"/>
    <w:rsid w:val="00BE13BF"/>
    <w:rsid w:val="00BE1449"/>
    <w:rsid w:val="00BE1849"/>
    <w:rsid w:val="00BE1CB1"/>
    <w:rsid w:val="00BE1EA9"/>
    <w:rsid w:val="00BE1F6A"/>
    <w:rsid w:val="00BE237B"/>
    <w:rsid w:val="00BE2A43"/>
    <w:rsid w:val="00BE2C32"/>
    <w:rsid w:val="00BE2DBD"/>
    <w:rsid w:val="00BE4914"/>
    <w:rsid w:val="00BE4928"/>
    <w:rsid w:val="00BE4B43"/>
    <w:rsid w:val="00BE5496"/>
    <w:rsid w:val="00BE59F2"/>
    <w:rsid w:val="00BE5D52"/>
    <w:rsid w:val="00BE6106"/>
    <w:rsid w:val="00BE642D"/>
    <w:rsid w:val="00BE669E"/>
    <w:rsid w:val="00BE6CD9"/>
    <w:rsid w:val="00BE75D5"/>
    <w:rsid w:val="00BF06F4"/>
    <w:rsid w:val="00BF0C2D"/>
    <w:rsid w:val="00BF1429"/>
    <w:rsid w:val="00BF1616"/>
    <w:rsid w:val="00BF199A"/>
    <w:rsid w:val="00BF237C"/>
    <w:rsid w:val="00BF24F5"/>
    <w:rsid w:val="00BF2E5A"/>
    <w:rsid w:val="00BF30CD"/>
    <w:rsid w:val="00BF352D"/>
    <w:rsid w:val="00BF3799"/>
    <w:rsid w:val="00BF3E51"/>
    <w:rsid w:val="00BF3E89"/>
    <w:rsid w:val="00BF4006"/>
    <w:rsid w:val="00BF48A6"/>
    <w:rsid w:val="00BF4975"/>
    <w:rsid w:val="00BF4E65"/>
    <w:rsid w:val="00BF500D"/>
    <w:rsid w:val="00BF5184"/>
    <w:rsid w:val="00BF5214"/>
    <w:rsid w:val="00BF5608"/>
    <w:rsid w:val="00BF575A"/>
    <w:rsid w:val="00BF5B26"/>
    <w:rsid w:val="00BF6005"/>
    <w:rsid w:val="00BF66C1"/>
    <w:rsid w:val="00BF68CC"/>
    <w:rsid w:val="00BF6CAE"/>
    <w:rsid w:val="00BF6D3D"/>
    <w:rsid w:val="00BF704A"/>
    <w:rsid w:val="00BF729B"/>
    <w:rsid w:val="00BF7739"/>
    <w:rsid w:val="00BF7914"/>
    <w:rsid w:val="00BF7E1C"/>
    <w:rsid w:val="00BF7EE5"/>
    <w:rsid w:val="00C0011A"/>
    <w:rsid w:val="00C001B3"/>
    <w:rsid w:val="00C00295"/>
    <w:rsid w:val="00C007A9"/>
    <w:rsid w:val="00C0092B"/>
    <w:rsid w:val="00C00B3E"/>
    <w:rsid w:val="00C00CC2"/>
    <w:rsid w:val="00C0204A"/>
    <w:rsid w:val="00C02822"/>
    <w:rsid w:val="00C029BE"/>
    <w:rsid w:val="00C02DAA"/>
    <w:rsid w:val="00C0310E"/>
    <w:rsid w:val="00C0453D"/>
    <w:rsid w:val="00C048C0"/>
    <w:rsid w:val="00C04A35"/>
    <w:rsid w:val="00C05131"/>
    <w:rsid w:val="00C0539C"/>
    <w:rsid w:val="00C055F0"/>
    <w:rsid w:val="00C05684"/>
    <w:rsid w:val="00C06278"/>
    <w:rsid w:val="00C06CB8"/>
    <w:rsid w:val="00C07581"/>
    <w:rsid w:val="00C07AE8"/>
    <w:rsid w:val="00C102B2"/>
    <w:rsid w:val="00C10517"/>
    <w:rsid w:val="00C106A0"/>
    <w:rsid w:val="00C1071E"/>
    <w:rsid w:val="00C1073C"/>
    <w:rsid w:val="00C10A4C"/>
    <w:rsid w:val="00C10D11"/>
    <w:rsid w:val="00C1100B"/>
    <w:rsid w:val="00C114AC"/>
    <w:rsid w:val="00C11C09"/>
    <w:rsid w:val="00C12907"/>
    <w:rsid w:val="00C12945"/>
    <w:rsid w:val="00C129A0"/>
    <w:rsid w:val="00C133F9"/>
    <w:rsid w:val="00C1340C"/>
    <w:rsid w:val="00C13C87"/>
    <w:rsid w:val="00C13D35"/>
    <w:rsid w:val="00C13E4B"/>
    <w:rsid w:val="00C141CB"/>
    <w:rsid w:val="00C1498A"/>
    <w:rsid w:val="00C15214"/>
    <w:rsid w:val="00C15318"/>
    <w:rsid w:val="00C16B5D"/>
    <w:rsid w:val="00C16BA4"/>
    <w:rsid w:val="00C1754C"/>
    <w:rsid w:val="00C177BE"/>
    <w:rsid w:val="00C1792F"/>
    <w:rsid w:val="00C179B5"/>
    <w:rsid w:val="00C200B8"/>
    <w:rsid w:val="00C205F5"/>
    <w:rsid w:val="00C2083D"/>
    <w:rsid w:val="00C2162E"/>
    <w:rsid w:val="00C21B52"/>
    <w:rsid w:val="00C222ED"/>
    <w:rsid w:val="00C227AE"/>
    <w:rsid w:val="00C22AFB"/>
    <w:rsid w:val="00C22C26"/>
    <w:rsid w:val="00C230CE"/>
    <w:rsid w:val="00C23397"/>
    <w:rsid w:val="00C2354D"/>
    <w:rsid w:val="00C2414E"/>
    <w:rsid w:val="00C24256"/>
    <w:rsid w:val="00C24291"/>
    <w:rsid w:val="00C24441"/>
    <w:rsid w:val="00C245F1"/>
    <w:rsid w:val="00C2476B"/>
    <w:rsid w:val="00C24956"/>
    <w:rsid w:val="00C24D48"/>
    <w:rsid w:val="00C2579F"/>
    <w:rsid w:val="00C26059"/>
    <w:rsid w:val="00C26C4E"/>
    <w:rsid w:val="00C27170"/>
    <w:rsid w:val="00C272D2"/>
    <w:rsid w:val="00C27D05"/>
    <w:rsid w:val="00C27FC4"/>
    <w:rsid w:val="00C301A0"/>
    <w:rsid w:val="00C3125E"/>
    <w:rsid w:val="00C316B4"/>
    <w:rsid w:val="00C31B0A"/>
    <w:rsid w:val="00C32159"/>
    <w:rsid w:val="00C326B9"/>
    <w:rsid w:val="00C32EF5"/>
    <w:rsid w:val="00C32F90"/>
    <w:rsid w:val="00C3361F"/>
    <w:rsid w:val="00C341FB"/>
    <w:rsid w:val="00C34757"/>
    <w:rsid w:val="00C347A0"/>
    <w:rsid w:val="00C3628C"/>
    <w:rsid w:val="00C365EA"/>
    <w:rsid w:val="00C3661C"/>
    <w:rsid w:val="00C36787"/>
    <w:rsid w:val="00C369DC"/>
    <w:rsid w:val="00C36B2C"/>
    <w:rsid w:val="00C36E30"/>
    <w:rsid w:val="00C375BB"/>
    <w:rsid w:val="00C37A0A"/>
    <w:rsid w:val="00C37C02"/>
    <w:rsid w:val="00C37FF6"/>
    <w:rsid w:val="00C4016C"/>
    <w:rsid w:val="00C401FF"/>
    <w:rsid w:val="00C40401"/>
    <w:rsid w:val="00C40CB6"/>
    <w:rsid w:val="00C40FBF"/>
    <w:rsid w:val="00C41417"/>
    <w:rsid w:val="00C41453"/>
    <w:rsid w:val="00C41902"/>
    <w:rsid w:val="00C4216F"/>
    <w:rsid w:val="00C428DF"/>
    <w:rsid w:val="00C42975"/>
    <w:rsid w:val="00C42F0F"/>
    <w:rsid w:val="00C4382A"/>
    <w:rsid w:val="00C43DCF"/>
    <w:rsid w:val="00C4540A"/>
    <w:rsid w:val="00C45770"/>
    <w:rsid w:val="00C45C10"/>
    <w:rsid w:val="00C45C86"/>
    <w:rsid w:val="00C470ED"/>
    <w:rsid w:val="00C47B9A"/>
    <w:rsid w:val="00C503A5"/>
    <w:rsid w:val="00C50986"/>
    <w:rsid w:val="00C50C26"/>
    <w:rsid w:val="00C52A21"/>
    <w:rsid w:val="00C52EAD"/>
    <w:rsid w:val="00C532EA"/>
    <w:rsid w:val="00C534A4"/>
    <w:rsid w:val="00C537D2"/>
    <w:rsid w:val="00C53990"/>
    <w:rsid w:val="00C53A95"/>
    <w:rsid w:val="00C53AC5"/>
    <w:rsid w:val="00C53DE9"/>
    <w:rsid w:val="00C53FCB"/>
    <w:rsid w:val="00C54D51"/>
    <w:rsid w:val="00C54E8E"/>
    <w:rsid w:val="00C565C6"/>
    <w:rsid w:val="00C56E05"/>
    <w:rsid w:val="00C57035"/>
    <w:rsid w:val="00C57804"/>
    <w:rsid w:val="00C578F3"/>
    <w:rsid w:val="00C57C5E"/>
    <w:rsid w:val="00C609DD"/>
    <w:rsid w:val="00C60EC2"/>
    <w:rsid w:val="00C61FB0"/>
    <w:rsid w:val="00C6270F"/>
    <w:rsid w:val="00C631EF"/>
    <w:rsid w:val="00C63298"/>
    <w:rsid w:val="00C637C5"/>
    <w:rsid w:val="00C6383D"/>
    <w:rsid w:val="00C639B8"/>
    <w:rsid w:val="00C639F6"/>
    <w:rsid w:val="00C63E06"/>
    <w:rsid w:val="00C63EED"/>
    <w:rsid w:val="00C650BA"/>
    <w:rsid w:val="00C65AF4"/>
    <w:rsid w:val="00C66029"/>
    <w:rsid w:val="00C6608C"/>
    <w:rsid w:val="00C66BC1"/>
    <w:rsid w:val="00C6733E"/>
    <w:rsid w:val="00C67726"/>
    <w:rsid w:val="00C706B7"/>
    <w:rsid w:val="00C70ACA"/>
    <w:rsid w:val="00C7108C"/>
    <w:rsid w:val="00C710C3"/>
    <w:rsid w:val="00C715EB"/>
    <w:rsid w:val="00C71B8C"/>
    <w:rsid w:val="00C71D2A"/>
    <w:rsid w:val="00C72B2F"/>
    <w:rsid w:val="00C72BE2"/>
    <w:rsid w:val="00C72CDC"/>
    <w:rsid w:val="00C73211"/>
    <w:rsid w:val="00C738C7"/>
    <w:rsid w:val="00C73D7D"/>
    <w:rsid w:val="00C7442E"/>
    <w:rsid w:val="00C744EE"/>
    <w:rsid w:val="00C7454B"/>
    <w:rsid w:val="00C74937"/>
    <w:rsid w:val="00C74FEF"/>
    <w:rsid w:val="00C751FE"/>
    <w:rsid w:val="00C757C2"/>
    <w:rsid w:val="00C75C9E"/>
    <w:rsid w:val="00C75EE9"/>
    <w:rsid w:val="00C75F0A"/>
    <w:rsid w:val="00C76772"/>
    <w:rsid w:val="00C76861"/>
    <w:rsid w:val="00C7687D"/>
    <w:rsid w:val="00C76AA1"/>
    <w:rsid w:val="00C76D20"/>
    <w:rsid w:val="00C76D47"/>
    <w:rsid w:val="00C77263"/>
    <w:rsid w:val="00C77E2F"/>
    <w:rsid w:val="00C77EC9"/>
    <w:rsid w:val="00C77FB2"/>
    <w:rsid w:val="00C8083A"/>
    <w:rsid w:val="00C8093C"/>
    <w:rsid w:val="00C80A5E"/>
    <w:rsid w:val="00C80B48"/>
    <w:rsid w:val="00C81102"/>
    <w:rsid w:val="00C82831"/>
    <w:rsid w:val="00C828F1"/>
    <w:rsid w:val="00C82900"/>
    <w:rsid w:val="00C8327A"/>
    <w:rsid w:val="00C83E94"/>
    <w:rsid w:val="00C83EA7"/>
    <w:rsid w:val="00C842BD"/>
    <w:rsid w:val="00C8556F"/>
    <w:rsid w:val="00C857F2"/>
    <w:rsid w:val="00C85CE5"/>
    <w:rsid w:val="00C86337"/>
    <w:rsid w:val="00C86456"/>
    <w:rsid w:val="00C865DB"/>
    <w:rsid w:val="00C86AA6"/>
    <w:rsid w:val="00C873FD"/>
    <w:rsid w:val="00C87C53"/>
    <w:rsid w:val="00C87FBE"/>
    <w:rsid w:val="00C90038"/>
    <w:rsid w:val="00C9020F"/>
    <w:rsid w:val="00C905B6"/>
    <w:rsid w:val="00C90799"/>
    <w:rsid w:val="00C90BF7"/>
    <w:rsid w:val="00C90F77"/>
    <w:rsid w:val="00C91102"/>
    <w:rsid w:val="00C91407"/>
    <w:rsid w:val="00C91628"/>
    <w:rsid w:val="00C91E22"/>
    <w:rsid w:val="00C92206"/>
    <w:rsid w:val="00C92DAC"/>
    <w:rsid w:val="00C92F28"/>
    <w:rsid w:val="00C93F74"/>
    <w:rsid w:val="00C94827"/>
    <w:rsid w:val="00C94C93"/>
    <w:rsid w:val="00C951BF"/>
    <w:rsid w:val="00C9544F"/>
    <w:rsid w:val="00C96011"/>
    <w:rsid w:val="00C9637D"/>
    <w:rsid w:val="00C965B9"/>
    <w:rsid w:val="00C96966"/>
    <w:rsid w:val="00C96D3C"/>
    <w:rsid w:val="00C977C8"/>
    <w:rsid w:val="00C979B2"/>
    <w:rsid w:val="00CA02EE"/>
    <w:rsid w:val="00CA08BF"/>
    <w:rsid w:val="00CA0956"/>
    <w:rsid w:val="00CA0A9E"/>
    <w:rsid w:val="00CA0B2F"/>
    <w:rsid w:val="00CA171E"/>
    <w:rsid w:val="00CA1EED"/>
    <w:rsid w:val="00CA208D"/>
    <w:rsid w:val="00CA2162"/>
    <w:rsid w:val="00CA3246"/>
    <w:rsid w:val="00CA32D0"/>
    <w:rsid w:val="00CA3941"/>
    <w:rsid w:val="00CA3F16"/>
    <w:rsid w:val="00CA4281"/>
    <w:rsid w:val="00CA44F3"/>
    <w:rsid w:val="00CA52A8"/>
    <w:rsid w:val="00CA5562"/>
    <w:rsid w:val="00CA5642"/>
    <w:rsid w:val="00CA5659"/>
    <w:rsid w:val="00CA5875"/>
    <w:rsid w:val="00CA5BCC"/>
    <w:rsid w:val="00CA61EB"/>
    <w:rsid w:val="00CA7210"/>
    <w:rsid w:val="00CA736C"/>
    <w:rsid w:val="00CB006D"/>
    <w:rsid w:val="00CB033E"/>
    <w:rsid w:val="00CB04EF"/>
    <w:rsid w:val="00CB04F1"/>
    <w:rsid w:val="00CB12C0"/>
    <w:rsid w:val="00CB1511"/>
    <w:rsid w:val="00CB185A"/>
    <w:rsid w:val="00CB1BBA"/>
    <w:rsid w:val="00CB1BC1"/>
    <w:rsid w:val="00CB1DCE"/>
    <w:rsid w:val="00CB29A4"/>
    <w:rsid w:val="00CB325B"/>
    <w:rsid w:val="00CB34A1"/>
    <w:rsid w:val="00CB3B3B"/>
    <w:rsid w:val="00CB3B71"/>
    <w:rsid w:val="00CB3E7B"/>
    <w:rsid w:val="00CB3EC7"/>
    <w:rsid w:val="00CB3F46"/>
    <w:rsid w:val="00CB4023"/>
    <w:rsid w:val="00CB4A7C"/>
    <w:rsid w:val="00CB577C"/>
    <w:rsid w:val="00CB59B1"/>
    <w:rsid w:val="00CB6549"/>
    <w:rsid w:val="00CB76BD"/>
    <w:rsid w:val="00CB7969"/>
    <w:rsid w:val="00CB79F5"/>
    <w:rsid w:val="00CB7A50"/>
    <w:rsid w:val="00CB7E2D"/>
    <w:rsid w:val="00CC08A7"/>
    <w:rsid w:val="00CC1259"/>
    <w:rsid w:val="00CC153C"/>
    <w:rsid w:val="00CC179A"/>
    <w:rsid w:val="00CC1F9D"/>
    <w:rsid w:val="00CC269A"/>
    <w:rsid w:val="00CC2738"/>
    <w:rsid w:val="00CC2766"/>
    <w:rsid w:val="00CC2868"/>
    <w:rsid w:val="00CC2BAC"/>
    <w:rsid w:val="00CC350D"/>
    <w:rsid w:val="00CC3E9B"/>
    <w:rsid w:val="00CC3EBD"/>
    <w:rsid w:val="00CC4669"/>
    <w:rsid w:val="00CC4C6D"/>
    <w:rsid w:val="00CC55D4"/>
    <w:rsid w:val="00CC55E7"/>
    <w:rsid w:val="00CC57E3"/>
    <w:rsid w:val="00CC5A08"/>
    <w:rsid w:val="00CC5CA5"/>
    <w:rsid w:val="00CC7236"/>
    <w:rsid w:val="00CC73D1"/>
    <w:rsid w:val="00CC7B78"/>
    <w:rsid w:val="00CD015D"/>
    <w:rsid w:val="00CD0DEE"/>
    <w:rsid w:val="00CD11A1"/>
    <w:rsid w:val="00CD1BE3"/>
    <w:rsid w:val="00CD24E7"/>
    <w:rsid w:val="00CD2703"/>
    <w:rsid w:val="00CD2A43"/>
    <w:rsid w:val="00CD2C14"/>
    <w:rsid w:val="00CD2E4A"/>
    <w:rsid w:val="00CD3246"/>
    <w:rsid w:val="00CD3ABB"/>
    <w:rsid w:val="00CD3AD3"/>
    <w:rsid w:val="00CD46EA"/>
    <w:rsid w:val="00CD4DB0"/>
    <w:rsid w:val="00CD51BA"/>
    <w:rsid w:val="00CD581F"/>
    <w:rsid w:val="00CD5987"/>
    <w:rsid w:val="00CD5ADA"/>
    <w:rsid w:val="00CD5E67"/>
    <w:rsid w:val="00CD69D3"/>
    <w:rsid w:val="00CD69D4"/>
    <w:rsid w:val="00CD6E7B"/>
    <w:rsid w:val="00CD6F8C"/>
    <w:rsid w:val="00CD70E5"/>
    <w:rsid w:val="00CD7553"/>
    <w:rsid w:val="00CD7C15"/>
    <w:rsid w:val="00CE066A"/>
    <w:rsid w:val="00CE06D1"/>
    <w:rsid w:val="00CE0791"/>
    <w:rsid w:val="00CE0A15"/>
    <w:rsid w:val="00CE0FFB"/>
    <w:rsid w:val="00CE1077"/>
    <w:rsid w:val="00CE1217"/>
    <w:rsid w:val="00CE125F"/>
    <w:rsid w:val="00CE161B"/>
    <w:rsid w:val="00CE17CA"/>
    <w:rsid w:val="00CE1C6F"/>
    <w:rsid w:val="00CE220C"/>
    <w:rsid w:val="00CE2BF4"/>
    <w:rsid w:val="00CE2F42"/>
    <w:rsid w:val="00CE2FF7"/>
    <w:rsid w:val="00CE3E91"/>
    <w:rsid w:val="00CE4078"/>
    <w:rsid w:val="00CE43B7"/>
    <w:rsid w:val="00CE44AE"/>
    <w:rsid w:val="00CE4B3A"/>
    <w:rsid w:val="00CE5F47"/>
    <w:rsid w:val="00CE67FC"/>
    <w:rsid w:val="00CE69F8"/>
    <w:rsid w:val="00CE7126"/>
    <w:rsid w:val="00CE73EF"/>
    <w:rsid w:val="00CE75BC"/>
    <w:rsid w:val="00CE7D88"/>
    <w:rsid w:val="00CF00DD"/>
    <w:rsid w:val="00CF013F"/>
    <w:rsid w:val="00CF0440"/>
    <w:rsid w:val="00CF06A0"/>
    <w:rsid w:val="00CF06FB"/>
    <w:rsid w:val="00CF0A63"/>
    <w:rsid w:val="00CF0A69"/>
    <w:rsid w:val="00CF0A88"/>
    <w:rsid w:val="00CF0E97"/>
    <w:rsid w:val="00CF121D"/>
    <w:rsid w:val="00CF1954"/>
    <w:rsid w:val="00CF1A05"/>
    <w:rsid w:val="00CF2627"/>
    <w:rsid w:val="00CF2685"/>
    <w:rsid w:val="00CF32DF"/>
    <w:rsid w:val="00CF34AC"/>
    <w:rsid w:val="00CF34F5"/>
    <w:rsid w:val="00CF3782"/>
    <w:rsid w:val="00CF5804"/>
    <w:rsid w:val="00CF5BAF"/>
    <w:rsid w:val="00CF654C"/>
    <w:rsid w:val="00CF67D7"/>
    <w:rsid w:val="00CF6C26"/>
    <w:rsid w:val="00CF7333"/>
    <w:rsid w:val="00CF7553"/>
    <w:rsid w:val="00CF75FE"/>
    <w:rsid w:val="00CF7710"/>
    <w:rsid w:val="00CF78BB"/>
    <w:rsid w:val="00D00165"/>
    <w:rsid w:val="00D003B3"/>
    <w:rsid w:val="00D005BB"/>
    <w:rsid w:val="00D007DD"/>
    <w:rsid w:val="00D0116A"/>
    <w:rsid w:val="00D012E6"/>
    <w:rsid w:val="00D0186C"/>
    <w:rsid w:val="00D01A64"/>
    <w:rsid w:val="00D01D3B"/>
    <w:rsid w:val="00D02344"/>
    <w:rsid w:val="00D02509"/>
    <w:rsid w:val="00D02618"/>
    <w:rsid w:val="00D02B16"/>
    <w:rsid w:val="00D03A5E"/>
    <w:rsid w:val="00D03B0D"/>
    <w:rsid w:val="00D03B2A"/>
    <w:rsid w:val="00D03ECC"/>
    <w:rsid w:val="00D05186"/>
    <w:rsid w:val="00D054F0"/>
    <w:rsid w:val="00D05686"/>
    <w:rsid w:val="00D05E49"/>
    <w:rsid w:val="00D0760D"/>
    <w:rsid w:val="00D076CE"/>
    <w:rsid w:val="00D077B2"/>
    <w:rsid w:val="00D077BD"/>
    <w:rsid w:val="00D077D8"/>
    <w:rsid w:val="00D07C62"/>
    <w:rsid w:val="00D11C05"/>
    <w:rsid w:val="00D11F93"/>
    <w:rsid w:val="00D125EF"/>
    <w:rsid w:val="00D12C18"/>
    <w:rsid w:val="00D12FAE"/>
    <w:rsid w:val="00D12FF9"/>
    <w:rsid w:val="00D13212"/>
    <w:rsid w:val="00D1368A"/>
    <w:rsid w:val="00D13889"/>
    <w:rsid w:val="00D13BEF"/>
    <w:rsid w:val="00D14DB9"/>
    <w:rsid w:val="00D14EF3"/>
    <w:rsid w:val="00D14F95"/>
    <w:rsid w:val="00D15396"/>
    <w:rsid w:val="00D1545B"/>
    <w:rsid w:val="00D15623"/>
    <w:rsid w:val="00D15835"/>
    <w:rsid w:val="00D16168"/>
    <w:rsid w:val="00D16B06"/>
    <w:rsid w:val="00D1753D"/>
    <w:rsid w:val="00D20B06"/>
    <w:rsid w:val="00D20CC6"/>
    <w:rsid w:val="00D20D21"/>
    <w:rsid w:val="00D215AC"/>
    <w:rsid w:val="00D21883"/>
    <w:rsid w:val="00D218D4"/>
    <w:rsid w:val="00D21B79"/>
    <w:rsid w:val="00D21DAC"/>
    <w:rsid w:val="00D226C7"/>
    <w:rsid w:val="00D226DF"/>
    <w:rsid w:val="00D227C5"/>
    <w:rsid w:val="00D22EC9"/>
    <w:rsid w:val="00D23674"/>
    <w:rsid w:val="00D23CB0"/>
    <w:rsid w:val="00D2460D"/>
    <w:rsid w:val="00D24C68"/>
    <w:rsid w:val="00D24C87"/>
    <w:rsid w:val="00D24D13"/>
    <w:rsid w:val="00D24EDB"/>
    <w:rsid w:val="00D252A3"/>
    <w:rsid w:val="00D261C3"/>
    <w:rsid w:val="00D2622A"/>
    <w:rsid w:val="00D263B5"/>
    <w:rsid w:val="00D27206"/>
    <w:rsid w:val="00D27802"/>
    <w:rsid w:val="00D278E7"/>
    <w:rsid w:val="00D30488"/>
    <w:rsid w:val="00D3056D"/>
    <w:rsid w:val="00D30849"/>
    <w:rsid w:val="00D30D84"/>
    <w:rsid w:val="00D31DC8"/>
    <w:rsid w:val="00D31E33"/>
    <w:rsid w:val="00D32322"/>
    <w:rsid w:val="00D32B02"/>
    <w:rsid w:val="00D33429"/>
    <w:rsid w:val="00D33878"/>
    <w:rsid w:val="00D33AD1"/>
    <w:rsid w:val="00D33CCE"/>
    <w:rsid w:val="00D33EB9"/>
    <w:rsid w:val="00D340D7"/>
    <w:rsid w:val="00D345D6"/>
    <w:rsid w:val="00D34D99"/>
    <w:rsid w:val="00D34DD3"/>
    <w:rsid w:val="00D34FFE"/>
    <w:rsid w:val="00D3561C"/>
    <w:rsid w:val="00D356B9"/>
    <w:rsid w:val="00D35914"/>
    <w:rsid w:val="00D35B2E"/>
    <w:rsid w:val="00D35CC1"/>
    <w:rsid w:val="00D36404"/>
    <w:rsid w:val="00D36751"/>
    <w:rsid w:val="00D369E3"/>
    <w:rsid w:val="00D36DA2"/>
    <w:rsid w:val="00D36E9B"/>
    <w:rsid w:val="00D373E1"/>
    <w:rsid w:val="00D3751A"/>
    <w:rsid w:val="00D377D8"/>
    <w:rsid w:val="00D379EC"/>
    <w:rsid w:val="00D37D45"/>
    <w:rsid w:val="00D37E67"/>
    <w:rsid w:val="00D400F9"/>
    <w:rsid w:val="00D40435"/>
    <w:rsid w:val="00D408E2"/>
    <w:rsid w:val="00D409DE"/>
    <w:rsid w:val="00D412EE"/>
    <w:rsid w:val="00D413E6"/>
    <w:rsid w:val="00D41509"/>
    <w:rsid w:val="00D41EE0"/>
    <w:rsid w:val="00D41F78"/>
    <w:rsid w:val="00D425BB"/>
    <w:rsid w:val="00D427F1"/>
    <w:rsid w:val="00D42B8C"/>
    <w:rsid w:val="00D43010"/>
    <w:rsid w:val="00D43674"/>
    <w:rsid w:val="00D43693"/>
    <w:rsid w:val="00D4390D"/>
    <w:rsid w:val="00D43A3E"/>
    <w:rsid w:val="00D43C35"/>
    <w:rsid w:val="00D43F92"/>
    <w:rsid w:val="00D4453A"/>
    <w:rsid w:val="00D44D0B"/>
    <w:rsid w:val="00D44F32"/>
    <w:rsid w:val="00D44FE6"/>
    <w:rsid w:val="00D45CA3"/>
    <w:rsid w:val="00D4618B"/>
    <w:rsid w:val="00D46254"/>
    <w:rsid w:val="00D468BF"/>
    <w:rsid w:val="00D46FAE"/>
    <w:rsid w:val="00D4717E"/>
    <w:rsid w:val="00D47F92"/>
    <w:rsid w:val="00D50671"/>
    <w:rsid w:val="00D50CC5"/>
    <w:rsid w:val="00D5109E"/>
    <w:rsid w:val="00D516AB"/>
    <w:rsid w:val="00D51B0D"/>
    <w:rsid w:val="00D51B4A"/>
    <w:rsid w:val="00D52D28"/>
    <w:rsid w:val="00D53271"/>
    <w:rsid w:val="00D534D7"/>
    <w:rsid w:val="00D53EE9"/>
    <w:rsid w:val="00D53F2D"/>
    <w:rsid w:val="00D54184"/>
    <w:rsid w:val="00D54E52"/>
    <w:rsid w:val="00D54F0D"/>
    <w:rsid w:val="00D55B18"/>
    <w:rsid w:val="00D56332"/>
    <w:rsid w:val="00D5679A"/>
    <w:rsid w:val="00D567FD"/>
    <w:rsid w:val="00D56EE3"/>
    <w:rsid w:val="00D57454"/>
    <w:rsid w:val="00D5753B"/>
    <w:rsid w:val="00D5760A"/>
    <w:rsid w:val="00D579F2"/>
    <w:rsid w:val="00D57A5C"/>
    <w:rsid w:val="00D607EE"/>
    <w:rsid w:val="00D608D0"/>
    <w:rsid w:val="00D61407"/>
    <w:rsid w:val="00D616D3"/>
    <w:rsid w:val="00D61BA9"/>
    <w:rsid w:val="00D620FB"/>
    <w:rsid w:val="00D62A70"/>
    <w:rsid w:val="00D62BCF"/>
    <w:rsid w:val="00D6312D"/>
    <w:rsid w:val="00D636B8"/>
    <w:rsid w:val="00D63CAF"/>
    <w:rsid w:val="00D6472A"/>
    <w:rsid w:val="00D64F97"/>
    <w:rsid w:val="00D653C1"/>
    <w:rsid w:val="00D65471"/>
    <w:rsid w:val="00D65F24"/>
    <w:rsid w:val="00D66081"/>
    <w:rsid w:val="00D66185"/>
    <w:rsid w:val="00D666CD"/>
    <w:rsid w:val="00D669EE"/>
    <w:rsid w:val="00D66B68"/>
    <w:rsid w:val="00D66DB6"/>
    <w:rsid w:val="00D67095"/>
    <w:rsid w:val="00D67105"/>
    <w:rsid w:val="00D67329"/>
    <w:rsid w:val="00D67A0B"/>
    <w:rsid w:val="00D70968"/>
    <w:rsid w:val="00D70BB4"/>
    <w:rsid w:val="00D70F1D"/>
    <w:rsid w:val="00D717AB"/>
    <w:rsid w:val="00D718EA"/>
    <w:rsid w:val="00D71DA1"/>
    <w:rsid w:val="00D72356"/>
    <w:rsid w:val="00D723C3"/>
    <w:rsid w:val="00D72528"/>
    <w:rsid w:val="00D7280A"/>
    <w:rsid w:val="00D7346D"/>
    <w:rsid w:val="00D7362D"/>
    <w:rsid w:val="00D73815"/>
    <w:rsid w:val="00D73A89"/>
    <w:rsid w:val="00D73CA3"/>
    <w:rsid w:val="00D74309"/>
    <w:rsid w:val="00D745D4"/>
    <w:rsid w:val="00D749CF"/>
    <w:rsid w:val="00D74B4B"/>
    <w:rsid w:val="00D75053"/>
    <w:rsid w:val="00D750E6"/>
    <w:rsid w:val="00D75261"/>
    <w:rsid w:val="00D75FAF"/>
    <w:rsid w:val="00D7610E"/>
    <w:rsid w:val="00D766F5"/>
    <w:rsid w:val="00D76D92"/>
    <w:rsid w:val="00D76F61"/>
    <w:rsid w:val="00D76F86"/>
    <w:rsid w:val="00D77813"/>
    <w:rsid w:val="00D77B9B"/>
    <w:rsid w:val="00D8017B"/>
    <w:rsid w:val="00D8027B"/>
    <w:rsid w:val="00D80317"/>
    <w:rsid w:val="00D80F8B"/>
    <w:rsid w:val="00D818B8"/>
    <w:rsid w:val="00D81A71"/>
    <w:rsid w:val="00D81AB4"/>
    <w:rsid w:val="00D81D5C"/>
    <w:rsid w:val="00D81F67"/>
    <w:rsid w:val="00D82030"/>
    <w:rsid w:val="00D82042"/>
    <w:rsid w:val="00D82241"/>
    <w:rsid w:val="00D82361"/>
    <w:rsid w:val="00D827C3"/>
    <w:rsid w:val="00D82804"/>
    <w:rsid w:val="00D828B9"/>
    <w:rsid w:val="00D82EE5"/>
    <w:rsid w:val="00D831C3"/>
    <w:rsid w:val="00D8339B"/>
    <w:rsid w:val="00D840DD"/>
    <w:rsid w:val="00D84156"/>
    <w:rsid w:val="00D8449C"/>
    <w:rsid w:val="00D8479A"/>
    <w:rsid w:val="00D84980"/>
    <w:rsid w:val="00D84D23"/>
    <w:rsid w:val="00D8608A"/>
    <w:rsid w:val="00D86BB2"/>
    <w:rsid w:val="00D86FAE"/>
    <w:rsid w:val="00D874B5"/>
    <w:rsid w:val="00D87721"/>
    <w:rsid w:val="00D878DB"/>
    <w:rsid w:val="00D87F38"/>
    <w:rsid w:val="00D900EF"/>
    <w:rsid w:val="00D90145"/>
    <w:rsid w:val="00D9014E"/>
    <w:rsid w:val="00D90153"/>
    <w:rsid w:val="00D901ED"/>
    <w:rsid w:val="00D90202"/>
    <w:rsid w:val="00D90609"/>
    <w:rsid w:val="00D90ADD"/>
    <w:rsid w:val="00D91337"/>
    <w:rsid w:val="00D916F5"/>
    <w:rsid w:val="00D9182A"/>
    <w:rsid w:val="00D91C86"/>
    <w:rsid w:val="00D92511"/>
    <w:rsid w:val="00D9284E"/>
    <w:rsid w:val="00D92DD9"/>
    <w:rsid w:val="00D9349D"/>
    <w:rsid w:val="00D934D4"/>
    <w:rsid w:val="00D936AB"/>
    <w:rsid w:val="00D937A2"/>
    <w:rsid w:val="00D93EE7"/>
    <w:rsid w:val="00D945CC"/>
    <w:rsid w:val="00D947A4"/>
    <w:rsid w:val="00D947C8"/>
    <w:rsid w:val="00D94871"/>
    <w:rsid w:val="00D9487D"/>
    <w:rsid w:val="00D958FA"/>
    <w:rsid w:val="00D95CF2"/>
    <w:rsid w:val="00D96149"/>
    <w:rsid w:val="00D96D4E"/>
    <w:rsid w:val="00D976A9"/>
    <w:rsid w:val="00D97798"/>
    <w:rsid w:val="00D977E9"/>
    <w:rsid w:val="00D9781D"/>
    <w:rsid w:val="00DA0E98"/>
    <w:rsid w:val="00DA11A2"/>
    <w:rsid w:val="00DA1308"/>
    <w:rsid w:val="00DA1367"/>
    <w:rsid w:val="00DA1EEE"/>
    <w:rsid w:val="00DA2A13"/>
    <w:rsid w:val="00DA3AE5"/>
    <w:rsid w:val="00DA43FB"/>
    <w:rsid w:val="00DA442D"/>
    <w:rsid w:val="00DA4622"/>
    <w:rsid w:val="00DA46A9"/>
    <w:rsid w:val="00DA5A00"/>
    <w:rsid w:val="00DA5A11"/>
    <w:rsid w:val="00DA5FDF"/>
    <w:rsid w:val="00DA6305"/>
    <w:rsid w:val="00DA6751"/>
    <w:rsid w:val="00DA70A3"/>
    <w:rsid w:val="00DA792F"/>
    <w:rsid w:val="00DA7AFF"/>
    <w:rsid w:val="00DB03EB"/>
    <w:rsid w:val="00DB07AD"/>
    <w:rsid w:val="00DB0E78"/>
    <w:rsid w:val="00DB1068"/>
    <w:rsid w:val="00DB245E"/>
    <w:rsid w:val="00DB2999"/>
    <w:rsid w:val="00DB2F1D"/>
    <w:rsid w:val="00DB3604"/>
    <w:rsid w:val="00DB3960"/>
    <w:rsid w:val="00DB4317"/>
    <w:rsid w:val="00DB45A8"/>
    <w:rsid w:val="00DB46FE"/>
    <w:rsid w:val="00DB475D"/>
    <w:rsid w:val="00DB4892"/>
    <w:rsid w:val="00DB53DE"/>
    <w:rsid w:val="00DB5CC5"/>
    <w:rsid w:val="00DB5F28"/>
    <w:rsid w:val="00DB729B"/>
    <w:rsid w:val="00DB7915"/>
    <w:rsid w:val="00DB7A8B"/>
    <w:rsid w:val="00DB7C0A"/>
    <w:rsid w:val="00DB7F14"/>
    <w:rsid w:val="00DC00DD"/>
    <w:rsid w:val="00DC059F"/>
    <w:rsid w:val="00DC076C"/>
    <w:rsid w:val="00DC0827"/>
    <w:rsid w:val="00DC09B2"/>
    <w:rsid w:val="00DC0FB0"/>
    <w:rsid w:val="00DC1220"/>
    <w:rsid w:val="00DC1583"/>
    <w:rsid w:val="00DC290B"/>
    <w:rsid w:val="00DC2D95"/>
    <w:rsid w:val="00DC35D2"/>
    <w:rsid w:val="00DC3648"/>
    <w:rsid w:val="00DC4789"/>
    <w:rsid w:val="00DC4C92"/>
    <w:rsid w:val="00DC5128"/>
    <w:rsid w:val="00DC5FCC"/>
    <w:rsid w:val="00DC6B23"/>
    <w:rsid w:val="00DC716A"/>
    <w:rsid w:val="00DC75A4"/>
    <w:rsid w:val="00DC76C4"/>
    <w:rsid w:val="00DC7979"/>
    <w:rsid w:val="00DC7FB9"/>
    <w:rsid w:val="00DD06DA"/>
    <w:rsid w:val="00DD0761"/>
    <w:rsid w:val="00DD0ED2"/>
    <w:rsid w:val="00DD0F8F"/>
    <w:rsid w:val="00DD10B4"/>
    <w:rsid w:val="00DD1AE2"/>
    <w:rsid w:val="00DD1C93"/>
    <w:rsid w:val="00DD1D99"/>
    <w:rsid w:val="00DD1F7C"/>
    <w:rsid w:val="00DD2BE9"/>
    <w:rsid w:val="00DD3184"/>
    <w:rsid w:val="00DD3684"/>
    <w:rsid w:val="00DD4577"/>
    <w:rsid w:val="00DD4647"/>
    <w:rsid w:val="00DD5956"/>
    <w:rsid w:val="00DD5CA0"/>
    <w:rsid w:val="00DD5DC7"/>
    <w:rsid w:val="00DD61E8"/>
    <w:rsid w:val="00DD62C1"/>
    <w:rsid w:val="00DD668C"/>
    <w:rsid w:val="00DD66E5"/>
    <w:rsid w:val="00DD747B"/>
    <w:rsid w:val="00DD76B9"/>
    <w:rsid w:val="00DE01BA"/>
    <w:rsid w:val="00DE0AAD"/>
    <w:rsid w:val="00DE0B29"/>
    <w:rsid w:val="00DE0E13"/>
    <w:rsid w:val="00DE0F16"/>
    <w:rsid w:val="00DE1511"/>
    <w:rsid w:val="00DE23E6"/>
    <w:rsid w:val="00DE2929"/>
    <w:rsid w:val="00DE2C70"/>
    <w:rsid w:val="00DE2D66"/>
    <w:rsid w:val="00DE3139"/>
    <w:rsid w:val="00DE3375"/>
    <w:rsid w:val="00DE3C0D"/>
    <w:rsid w:val="00DE3F57"/>
    <w:rsid w:val="00DE4FE3"/>
    <w:rsid w:val="00DE51B8"/>
    <w:rsid w:val="00DE52AD"/>
    <w:rsid w:val="00DE53DA"/>
    <w:rsid w:val="00DE5858"/>
    <w:rsid w:val="00DE58C9"/>
    <w:rsid w:val="00DE6977"/>
    <w:rsid w:val="00DE70F9"/>
    <w:rsid w:val="00DE714B"/>
    <w:rsid w:val="00DE71F5"/>
    <w:rsid w:val="00DE7284"/>
    <w:rsid w:val="00DE72CD"/>
    <w:rsid w:val="00DE7385"/>
    <w:rsid w:val="00DE76FA"/>
    <w:rsid w:val="00DE7D3F"/>
    <w:rsid w:val="00DE7E1A"/>
    <w:rsid w:val="00DF0095"/>
    <w:rsid w:val="00DF00D3"/>
    <w:rsid w:val="00DF1504"/>
    <w:rsid w:val="00DF1BFF"/>
    <w:rsid w:val="00DF20CC"/>
    <w:rsid w:val="00DF20D9"/>
    <w:rsid w:val="00DF24E8"/>
    <w:rsid w:val="00DF2DF6"/>
    <w:rsid w:val="00DF2F00"/>
    <w:rsid w:val="00DF39ED"/>
    <w:rsid w:val="00DF40E0"/>
    <w:rsid w:val="00DF4E10"/>
    <w:rsid w:val="00DF57F3"/>
    <w:rsid w:val="00DF5F60"/>
    <w:rsid w:val="00DF651B"/>
    <w:rsid w:val="00DF6805"/>
    <w:rsid w:val="00DF6889"/>
    <w:rsid w:val="00DF6988"/>
    <w:rsid w:val="00DF6B2F"/>
    <w:rsid w:val="00DF71A3"/>
    <w:rsid w:val="00DF7201"/>
    <w:rsid w:val="00DF77EC"/>
    <w:rsid w:val="00DF7AB2"/>
    <w:rsid w:val="00E0014A"/>
    <w:rsid w:val="00E00633"/>
    <w:rsid w:val="00E00A7C"/>
    <w:rsid w:val="00E0119E"/>
    <w:rsid w:val="00E0137F"/>
    <w:rsid w:val="00E01AB7"/>
    <w:rsid w:val="00E01FA3"/>
    <w:rsid w:val="00E02084"/>
    <w:rsid w:val="00E02418"/>
    <w:rsid w:val="00E03BFE"/>
    <w:rsid w:val="00E03C2E"/>
    <w:rsid w:val="00E03C67"/>
    <w:rsid w:val="00E03C8B"/>
    <w:rsid w:val="00E040E7"/>
    <w:rsid w:val="00E04309"/>
    <w:rsid w:val="00E043DC"/>
    <w:rsid w:val="00E048CD"/>
    <w:rsid w:val="00E04982"/>
    <w:rsid w:val="00E04C3B"/>
    <w:rsid w:val="00E04E73"/>
    <w:rsid w:val="00E04EC2"/>
    <w:rsid w:val="00E05236"/>
    <w:rsid w:val="00E0531F"/>
    <w:rsid w:val="00E05AAF"/>
    <w:rsid w:val="00E06209"/>
    <w:rsid w:val="00E0649A"/>
    <w:rsid w:val="00E067A4"/>
    <w:rsid w:val="00E06A98"/>
    <w:rsid w:val="00E102BE"/>
    <w:rsid w:val="00E10879"/>
    <w:rsid w:val="00E110B6"/>
    <w:rsid w:val="00E11C50"/>
    <w:rsid w:val="00E12736"/>
    <w:rsid w:val="00E1287F"/>
    <w:rsid w:val="00E12908"/>
    <w:rsid w:val="00E12B6A"/>
    <w:rsid w:val="00E12BF5"/>
    <w:rsid w:val="00E12CA0"/>
    <w:rsid w:val="00E13540"/>
    <w:rsid w:val="00E1418E"/>
    <w:rsid w:val="00E145D6"/>
    <w:rsid w:val="00E155DC"/>
    <w:rsid w:val="00E15D27"/>
    <w:rsid w:val="00E15D2E"/>
    <w:rsid w:val="00E16877"/>
    <w:rsid w:val="00E171ED"/>
    <w:rsid w:val="00E17305"/>
    <w:rsid w:val="00E1757B"/>
    <w:rsid w:val="00E20255"/>
    <w:rsid w:val="00E204ED"/>
    <w:rsid w:val="00E20526"/>
    <w:rsid w:val="00E20963"/>
    <w:rsid w:val="00E209F6"/>
    <w:rsid w:val="00E21337"/>
    <w:rsid w:val="00E2166B"/>
    <w:rsid w:val="00E22121"/>
    <w:rsid w:val="00E22EEE"/>
    <w:rsid w:val="00E24457"/>
    <w:rsid w:val="00E24A4D"/>
    <w:rsid w:val="00E24F8C"/>
    <w:rsid w:val="00E25827"/>
    <w:rsid w:val="00E2582E"/>
    <w:rsid w:val="00E265D1"/>
    <w:rsid w:val="00E268F7"/>
    <w:rsid w:val="00E26905"/>
    <w:rsid w:val="00E26C36"/>
    <w:rsid w:val="00E26C71"/>
    <w:rsid w:val="00E27822"/>
    <w:rsid w:val="00E308B6"/>
    <w:rsid w:val="00E30A92"/>
    <w:rsid w:val="00E3103E"/>
    <w:rsid w:val="00E31B04"/>
    <w:rsid w:val="00E31F49"/>
    <w:rsid w:val="00E3299C"/>
    <w:rsid w:val="00E329CC"/>
    <w:rsid w:val="00E32E13"/>
    <w:rsid w:val="00E32E99"/>
    <w:rsid w:val="00E3326D"/>
    <w:rsid w:val="00E33361"/>
    <w:rsid w:val="00E33B9E"/>
    <w:rsid w:val="00E34559"/>
    <w:rsid w:val="00E34C88"/>
    <w:rsid w:val="00E34EEC"/>
    <w:rsid w:val="00E34F08"/>
    <w:rsid w:val="00E34FA6"/>
    <w:rsid w:val="00E3552E"/>
    <w:rsid w:val="00E363D1"/>
    <w:rsid w:val="00E36931"/>
    <w:rsid w:val="00E3699B"/>
    <w:rsid w:val="00E36A1E"/>
    <w:rsid w:val="00E372C0"/>
    <w:rsid w:val="00E37517"/>
    <w:rsid w:val="00E375DF"/>
    <w:rsid w:val="00E375F4"/>
    <w:rsid w:val="00E3771F"/>
    <w:rsid w:val="00E37E08"/>
    <w:rsid w:val="00E406F8"/>
    <w:rsid w:val="00E4085A"/>
    <w:rsid w:val="00E4111F"/>
    <w:rsid w:val="00E411B1"/>
    <w:rsid w:val="00E41E66"/>
    <w:rsid w:val="00E41F9B"/>
    <w:rsid w:val="00E42565"/>
    <w:rsid w:val="00E42B53"/>
    <w:rsid w:val="00E42E62"/>
    <w:rsid w:val="00E43A71"/>
    <w:rsid w:val="00E43DD4"/>
    <w:rsid w:val="00E43EE1"/>
    <w:rsid w:val="00E44305"/>
    <w:rsid w:val="00E444F7"/>
    <w:rsid w:val="00E446A7"/>
    <w:rsid w:val="00E44F76"/>
    <w:rsid w:val="00E451F4"/>
    <w:rsid w:val="00E45730"/>
    <w:rsid w:val="00E46187"/>
    <w:rsid w:val="00E4678B"/>
    <w:rsid w:val="00E46A43"/>
    <w:rsid w:val="00E46AC7"/>
    <w:rsid w:val="00E46DD0"/>
    <w:rsid w:val="00E47952"/>
    <w:rsid w:val="00E47B69"/>
    <w:rsid w:val="00E47DE5"/>
    <w:rsid w:val="00E47FE6"/>
    <w:rsid w:val="00E5003B"/>
    <w:rsid w:val="00E50C0D"/>
    <w:rsid w:val="00E51285"/>
    <w:rsid w:val="00E5165F"/>
    <w:rsid w:val="00E51AC3"/>
    <w:rsid w:val="00E51FD6"/>
    <w:rsid w:val="00E52D71"/>
    <w:rsid w:val="00E54B3E"/>
    <w:rsid w:val="00E54DD9"/>
    <w:rsid w:val="00E5520B"/>
    <w:rsid w:val="00E5603E"/>
    <w:rsid w:val="00E560D7"/>
    <w:rsid w:val="00E56748"/>
    <w:rsid w:val="00E56850"/>
    <w:rsid w:val="00E56A42"/>
    <w:rsid w:val="00E56D6D"/>
    <w:rsid w:val="00E56E04"/>
    <w:rsid w:val="00E57399"/>
    <w:rsid w:val="00E5744A"/>
    <w:rsid w:val="00E57B17"/>
    <w:rsid w:val="00E57BF7"/>
    <w:rsid w:val="00E60236"/>
    <w:rsid w:val="00E606B4"/>
    <w:rsid w:val="00E61518"/>
    <w:rsid w:val="00E61B2B"/>
    <w:rsid w:val="00E620D6"/>
    <w:rsid w:val="00E62172"/>
    <w:rsid w:val="00E6225E"/>
    <w:rsid w:val="00E622A0"/>
    <w:rsid w:val="00E628AB"/>
    <w:rsid w:val="00E62921"/>
    <w:rsid w:val="00E62F87"/>
    <w:rsid w:val="00E630FB"/>
    <w:rsid w:val="00E63DC6"/>
    <w:rsid w:val="00E63FA9"/>
    <w:rsid w:val="00E64B9C"/>
    <w:rsid w:val="00E64FDC"/>
    <w:rsid w:val="00E65001"/>
    <w:rsid w:val="00E6516B"/>
    <w:rsid w:val="00E65472"/>
    <w:rsid w:val="00E65A52"/>
    <w:rsid w:val="00E65C0B"/>
    <w:rsid w:val="00E65EE5"/>
    <w:rsid w:val="00E6632A"/>
    <w:rsid w:val="00E66891"/>
    <w:rsid w:val="00E67002"/>
    <w:rsid w:val="00E672F9"/>
    <w:rsid w:val="00E6737E"/>
    <w:rsid w:val="00E67538"/>
    <w:rsid w:val="00E67C6D"/>
    <w:rsid w:val="00E70007"/>
    <w:rsid w:val="00E70085"/>
    <w:rsid w:val="00E70BE9"/>
    <w:rsid w:val="00E7116B"/>
    <w:rsid w:val="00E714BC"/>
    <w:rsid w:val="00E7179E"/>
    <w:rsid w:val="00E721B1"/>
    <w:rsid w:val="00E7230D"/>
    <w:rsid w:val="00E725EE"/>
    <w:rsid w:val="00E7297A"/>
    <w:rsid w:val="00E72FE9"/>
    <w:rsid w:val="00E732D1"/>
    <w:rsid w:val="00E7330A"/>
    <w:rsid w:val="00E7386D"/>
    <w:rsid w:val="00E73882"/>
    <w:rsid w:val="00E74221"/>
    <w:rsid w:val="00E742F8"/>
    <w:rsid w:val="00E74670"/>
    <w:rsid w:val="00E7483D"/>
    <w:rsid w:val="00E759F4"/>
    <w:rsid w:val="00E75B44"/>
    <w:rsid w:val="00E765B0"/>
    <w:rsid w:val="00E76604"/>
    <w:rsid w:val="00E7795B"/>
    <w:rsid w:val="00E8018B"/>
    <w:rsid w:val="00E8030E"/>
    <w:rsid w:val="00E80E8F"/>
    <w:rsid w:val="00E81263"/>
    <w:rsid w:val="00E81501"/>
    <w:rsid w:val="00E82160"/>
    <w:rsid w:val="00E829A0"/>
    <w:rsid w:val="00E82F56"/>
    <w:rsid w:val="00E830BF"/>
    <w:rsid w:val="00E831BF"/>
    <w:rsid w:val="00E83314"/>
    <w:rsid w:val="00E8356D"/>
    <w:rsid w:val="00E839DF"/>
    <w:rsid w:val="00E83A07"/>
    <w:rsid w:val="00E83A7E"/>
    <w:rsid w:val="00E83C48"/>
    <w:rsid w:val="00E843A8"/>
    <w:rsid w:val="00E843D4"/>
    <w:rsid w:val="00E8442B"/>
    <w:rsid w:val="00E845A9"/>
    <w:rsid w:val="00E849FD"/>
    <w:rsid w:val="00E851FA"/>
    <w:rsid w:val="00E85219"/>
    <w:rsid w:val="00E8546A"/>
    <w:rsid w:val="00E8546F"/>
    <w:rsid w:val="00E854EB"/>
    <w:rsid w:val="00E854EF"/>
    <w:rsid w:val="00E85E89"/>
    <w:rsid w:val="00E860A7"/>
    <w:rsid w:val="00E86889"/>
    <w:rsid w:val="00E86D41"/>
    <w:rsid w:val="00E871A4"/>
    <w:rsid w:val="00E871B3"/>
    <w:rsid w:val="00E871F8"/>
    <w:rsid w:val="00E87A0A"/>
    <w:rsid w:val="00E87D1B"/>
    <w:rsid w:val="00E90243"/>
    <w:rsid w:val="00E90B9A"/>
    <w:rsid w:val="00E90C9E"/>
    <w:rsid w:val="00E913EB"/>
    <w:rsid w:val="00E91EF6"/>
    <w:rsid w:val="00E921A9"/>
    <w:rsid w:val="00E92737"/>
    <w:rsid w:val="00E92754"/>
    <w:rsid w:val="00E92B43"/>
    <w:rsid w:val="00E92B87"/>
    <w:rsid w:val="00E92C1F"/>
    <w:rsid w:val="00E92E2D"/>
    <w:rsid w:val="00E938E5"/>
    <w:rsid w:val="00E94329"/>
    <w:rsid w:val="00E956BC"/>
    <w:rsid w:val="00E95D2B"/>
    <w:rsid w:val="00E9729D"/>
    <w:rsid w:val="00E97E08"/>
    <w:rsid w:val="00EA02A2"/>
    <w:rsid w:val="00EA061D"/>
    <w:rsid w:val="00EA0795"/>
    <w:rsid w:val="00EA0E2A"/>
    <w:rsid w:val="00EA0E73"/>
    <w:rsid w:val="00EA0FA2"/>
    <w:rsid w:val="00EA1ACC"/>
    <w:rsid w:val="00EA1F74"/>
    <w:rsid w:val="00EA241D"/>
    <w:rsid w:val="00EA261B"/>
    <w:rsid w:val="00EA2641"/>
    <w:rsid w:val="00EA2984"/>
    <w:rsid w:val="00EA2CCC"/>
    <w:rsid w:val="00EA345C"/>
    <w:rsid w:val="00EA358F"/>
    <w:rsid w:val="00EA41D6"/>
    <w:rsid w:val="00EA422E"/>
    <w:rsid w:val="00EA48EE"/>
    <w:rsid w:val="00EA4A39"/>
    <w:rsid w:val="00EA4DDF"/>
    <w:rsid w:val="00EA50F2"/>
    <w:rsid w:val="00EA5410"/>
    <w:rsid w:val="00EA5428"/>
    <w:rsid w:val="00EA5890"/>
    <w:rsid w:val="00EA599D"/>
    <w:rsid w:val="00EA5B0B"/>
    <w:rsid w:val="00EA5B71"/>
    <w:rsid w:val="00EA5CD9"/>
    <w:rsid w:val="00EA65D8"/>
    <w:rsid w:val="00EA7BE1"/>
    <w:rsid w:val="00EA7CA2"/>
    <w:rsid w:val="00EB019B"/>
    <w:rsid w:val="00EB031D"/>
    <w:rsid w:val="00EB033C"/>
    <w:rsid w:val="00EB077F"/>
    <w:rsid w:val="00EB0E7C"/>
    <w:rsid w:val="00EB107B"/>
    <w:rsid w:val="00EB10B4"/>
    <w:rsid w:val="00EB1159"/>
    <w:rsid w:val="00EB11AD"/>
    <w:rsid w:val="00EB1BC9"/>
    <w:rsid w:val="00EB215A"/>
    <w:rsid w:val="00EB23BE"/>
    <w:rsid w:val="00EB2AD5"/>
    <w:rsid w:val="00EB2E56"/>
    <w:rsid w:val="00EB357F"/>
    <w:rsid w:val="00EB35E8"/>
    <w:rsid w:val="00EB3814"/>
    <w:rsid w:val="00EB4695"/>
    <w:rsid w:val="00EB4D02"/>
    <w:rsid w:val="00EB54F2"/>
    <w:rsid w:val="00EB595D"/>
    <w:rsid w:val="00EB6295"/>
    <w:rsid w:val="00EB693B"/>
    <w:rsid w:val="00EB6CA3"/>
    <w:rsid w:val="00EB6CD4"/>
    <w:rsid w:val="00EB7135"/>
    <w:rsid w:val="00EB719E"/>
    <w:rsid w:val="00EB7474"/>
    <w:rsid w:val="00EB7AAA"/>
    <w:rsid w:val="00EC0BB1"/>
    <w:rsid w:val="00EC0E6A"/>
    <w:rsid w:val="00EC0EEB"/>
    <w:rsid w:val="00EC114D"/>
    <w:rsid w:val="00EC167D"/>
    <w:rsid w:val="00EC214D"/>
    <w:rsid w:val="00EC24A6"/>
    <w:rsid w:val="00EC2B01"/>
    <w:rsid w:val="00EC2C90"/>
    <w:rsid w:val="00EC30FA"/>
    <w:rsid w:val="00EC341C"/>
    <w:rsid w:val="00EC43FC"/>
    <w:rsid w:val="00EC4452"/>
    <w:rsid w:val="00EC4461"/>
    <w:rsid w:val="00EC4613"/>
    <w:rsid w:val="00EC4EAF"/>
    <w:rsid w:val="00EC504C"/>
    <w:rsid w:val="00EC5797"/>
    <w:rsid w:val="00EC5BAC"/>
    <w:rsid w:val="00EC5D5F"/>
    <w:rsid w:val="00EC6244"/>
    <w:rsid w:val="00EC63E4"/>
    <w:rsid w:val="00EC68F4"/>
    <w:rsid w:val="00EC6A0B"/>
    <w:rsid w:val="00EC6EFF"/>
    <w:rsid w:val="00EC72E9"/>
    <w:rsid w:val="00EC746A"/>
    <w:rsid w:val="00EC7EF9"/>
    <w:rsid w:val="00ED0364"/>
    <w:rsid w:val="00ED07F0"/>
    <w:rsid w:val="00ED113D"/>
    <w:rsid w:val="00ED1831"/>
    <w:rsid w:val="00ED1D85"/>
    <w:rsid w:val="00ED232D"/>
    <w:rsid w:val="00ED2C4F"/>
    <w:rsid w:val="00ED305A"/>
    <w:rsid w:val="00ED374B"/>
    <w:rsid w:val="00ED37C0"/>
    <w:rsid w:val="00ED3811"/>
    <w:rsid w:val="00ED38A4"/>
    <w:rsid w:val="00ED3AB5"/>
    <w:rsid w:val="00ED477E"/>
    <w:rsid w:val="00ED4A3F"/>
    <w:rsid w:val="00ED4EFB"/>
    <w:rsid w:val="00ED5334"/>
    <w:rsid w:val="00ED5D29"/>
    <w:rsid w:val="00ED5E39"/>
    <w:rsid w:val="00ED622C"/>
    <w:rsid w:val="00ED62EE"/>
    <w:rsid w:val="00ED64D7"/>
    <w:rsid w:val="00ED660F"/>
    <w:rsid w:val="00ED71B5"/>
    <w:rsid w:val="00ED73FA"/>
    <w:rsid w:val="00ED7A2F"/>
    <w:rsid w:val="00ED7B38"/>
    <w:rsid w:val="00ED7EC8"/>
    <w:rsid w:val="00EE007E"/>
    <w:rsid w:val="00EE0423"/>
    <w:rsid w:val="00EE08C8"/>
    <w:rsid w:val="00EE08F2"/>
    <w:rsid w:val="00EE14B4"/>
    <w:rsid w:val="00EE168C"/>
    <w:rsid w:val="00EE16EF"/>
    <w:rsid w:val="00EE1701"/>
    <w:rsid w:val="00EE1AE0"/>
    <w:rsid w:val="00EE1D1B"/>
    <w:rsid w:val="00EE1E99"/>
    <w:rsid w:val="00EE273D"/>
    <w:rsid w:val="00EE2B86"/>
    <w:rsid w:val="00EE2E1A"/>
    <w:rsid w:val="00EE320F"/>
    <w:rsid w:val="00EE33F5"/>
    <w:rsid w:val="00EE3BEC"/>
    <w:rsid w:val="00EE412D"/>
    <w:rsid w:val="00EE4176"/>
    <w:rsid w:val="00EE447B"/>
    <w:rsid w:val="00EE471B"/>
    <w:rsid w:val="00EE4CFA"/>
    <w:rsid w:val="00EE5604"/>
    <w:rsid w:val="00EE5AAB"/>
    <w:rsid w:val="00EE6F51"/>
    <w:rsid w:val="00EE7274"/>
    <w:rsid w:val="00EE761F"/>
    <w:rsid w:val="00EE7A37"/>
    <w:rsid w:val="00EF00E8"/>
    <w:rsid w:val="00EF0162"/>
    <w:rsid w:val="00EF064C"/>
    <w:rsid w:val="00EF2903"/>
    <w:rsid w:val="00EF2999"/>
    <w:rsid w:val="00EF31CC"/>
    <w:rsid w:val="00EF36DB"/>
    <w:rsid w:val="00EF37C9"/>
    <w:rsid w:val="00EF38D5"/>
    <w:rsid w:val="00EF3B18"/>
    <w:rsid w:val="00EF3DB2"/>
    <w:rsid w:val="00EF3E68"/>
    <w:rsid w:val="00EF4336"/>
    <w:rsid w:val="00EF49A2"/>
    <w:rsid w:val="00EF53C7"/>
    <w:rsid w:val="00EF5650"/>
    <w:rsid w:val="00EF5AF1"/>
    <w:rsid w:val="00EF64AB"/>
    <w:rsid w:val="00EF706B"/>
    <w:rsid w:val="00EF73DC"/>
    <w:rsid w:val="00EF7AF9"/>
    <w:rsid w:val="00EF7D05"/>
    <w:rsid w:val="00F00188"/>
    <w:rsid w:val="00F00F15"/>
    <w:rsid w:val="00F013FF"/>
    <w:rsid w:val="00F02284"/>
    <w:rsid w:val="00F02890"/>
    <w:rsid w:val="00F02E10"/>
    <w:rsid w:val="00F0332B"/>
    <w:rsid w:val="00F03B6E"/>
    <w:rsid w:val="00F03E80"/>
    <w:rsid w:val="00F0434C"/>
    <w:rsid w:val="00F0439D"/>
    <w:rsid w:val="00F043A5"/>
    <w:rsid w:val="00F054D1"/>
    <w:rsid w:val="00F054F3"/>
    <w:rsid w:val="00F056DD"/>
    <w:rsid w:val="00F058A2"/>
    <w:rsid w:val="00F058C7"/>
    <w:rsid w:val="00F0594B"/>
    <w:rsid w:val="00F05B99"/>
    <w:rsid w:val="00F05EAF"/>
    <w:rsid w:val="00F066AB"/>
    <w:rsid w:val="00F06944"/>
    <w:rsid w:val="00F077B0"/>
    <w:rsid w:val="00F07A76"/>
    <w:rsid w:val="00F10004"/>
    <w:rsid w:val="00F10615"/>
    <w:rsid w:val="00F1069E"/>
    <w:rsid w:val="00F110A3"/>
    <w:rsid w:val="00F11350"/>
    <w:rsid w:val="00F113AC"/>
    <w:rsid w:val="00F11E08"/>
    <w:rsid w:val="00F12611"/>
    <w:rsid w:val="00F126EE"/>
    <w:rsid w:val="00F12E6C"/>
    <w:rsid w:val="00F13AB0"/>
    <w:rsid w:val="00F13D21"/>
    <w:rsid w:val="00F14814"/>
    <w:rsid w:val="00F15042"/>
    <w:rsid w:val="00F150DB"/>
    <w:rsid w:val="00F15749"/>
    <w:rsid w:val="00F16372"/>
    <w:rsid w:val="00F16CEC"/>
    <w:rsid w:val="00F16FD8"/>
    <w:rsid w:val="00F17055"/>
    <w:rsid w:val="00F1707E"/>
    <w:rsid w:val="00F17645"/>
    <w:rsid w:val="00F17C7F"/>
    <w:rsid w:val="00F201A9"/>
    <w:rsid w:val="00F204E2"/>
    <w:rsid w:val="00F20A06"/>
    <w:rsid w:val="00F20F9A"/>
    <w:rsid w:val="00F21495"/>
    <w:rsid w:val="00F214E8"/>
    <w:rsid w:val="00F21EF2"/>
    <w:rsid w:val="00F225F8"/>
    <w:rsid w:val="00F22B53"/>
    <w:rsid w:val="00F2310A"/>
    <w:rsid w:val="00F2375F"/>
    <w:rsid w:val="00F23809"/>
    <w:rsid w:val="00F23912"/>
    <w:rsid w:val="00F24461"/>
    <w:rsid w:val="00F244A4"/>
    <w:rsid w:val="00F24520"/>
    <w:rsid w:val="00F246B6"/>
    <w:rsid w:val="00F24E10"/>
    <w:rsid w:val="00F25190"/>
    <w:rsid w:val="00F2655B"/>
    <w:rsid w:val="00F26D14"/>
    <w:rsid w:val="00F2710E"/>
    <w:rsid w:val="00F2737A"/>
    <w:rsid w:val="00F27830"/>
    <w:rsid w:val="00F27A55"/>
    <w:rsid w:val="00F300F7"/>
    <w:rsid w:val="00F30553"/>
    <w:rsid w:val="00F30939"/>
    <w:rsid w:val="00F30A36"/>
    <w:rsid w:val="00F30F8C"/>
    <w:rsid w:val="00F3177E"/>
    <w:rsid w:val="00F3189C"/>
    <w:rsid w:val="00F327CF"/>
    <w:rsid w:val="00F329DD"/>
    <w:rsid w:val="00F32D4A"/>
    <w:rsid w:val="00F32DE2"/>
    <w:rsid w:val="00F332D5"/>
    <w:rsid w:val="00F33531"/>
    <w:rsid w:val="00F33CAF"/>
    <w:rsid w:val="00F340E2"/>
    <w:rsid w:val="00F344FD"/>
    <w:rsid w:val="00F34869"/>
    <w:rsid w:val="00F34EA6"/>
    <w:rsid w:val="00F352D1"/>
    <w:rsid w:val="00F355E8"/>
    <w:rsid w:val="00F358D6"/>
    <w:rsid w:val="00F36C0C"/>
    <w:rsid w:val="00F36D54"/>
    <w:rsid w:val="00F36EA2"/>
    <w:rsid w:val="00F37002"/>
    <w:rsid w:val="00F371B0"/>
    <w:rsid w:val="00F37CD5"/>
    <w:rsid w:val="00F4047C"/>
    <w:rsid w:val="00F4097B"/>
    <w:rsid w:val="00F40BCC"/>
    <w:rsid w:val="00F423C4"/>
    <w:rsid w:val="00F4259B"/>
    <w:rsid w:val="00F42716"/>
    <w:rsid w:val="00F4282F"/>
    <w:rsid w:val="00F4293C"/>
    <w:rsid w:val="00F4315E"/>
    <w:rsid w:val="00F43CAC"/>
    <w:rsid w:val="00F43D41"/>
    <w:rsid w:val="00F44234"/>
    <w:rsid w:val="00F4438B"/>
    <w:rsid w:val="00F45155"/>
    <w:rsid w:val="00F45177"/>
    <w:rsid w:val="00F45202"/>
    <w:rsid w:val="00F4538A"/>
    <w:rsid w:val="00F45442"/>
    <w:rsid w:val="00F459F0"/>
    <w:rsid w:val="00F45C57"/>
    <w:rsid w:val="00F45C7C"/>
    <w:rsid w:val="00F461A5"/>
    <w:rsid w:val="00F463F9"/>
    <w:rsid w:val="00F472BD"/>
    <w:rsid w:val="00F4758F"/>
    <w:rsid w:val="00F501B9"/>
    <w:rsid w:val="00F506E7"/>
    <w:rsid w:val="00F5177A"/>
    <w:rsid w:val="00F52150"/>
    <w:rsid w:val="00F52ACF"/>
    <w:rsid w:val="00F5383A"/>
    <w:rsid w:val="00F53957"/>
    <w:rsid w:val="00F55279"/>
    <w:rsid w:val="00F553EC"/>
    <w:rsid w:val="00F558F1"/>
    <w:rsid w:val="00F55FA4"/>
    <w:rsid w:val="00F5676D"/>
    <w:rsid w:val="00F56BD9"/>
    <w:rsid w:val="00F57292"/>
    <w:rsid w:val="00F57304"/>
    <w:rsid w:val="00F5740B"/>
    <w:rsid w:val="00F60D85"/>
    <w:rsid w:val="00F61231"/>
    <w:rsid w:val="00F61E2B"/>
    <w:rsid w:val="00F620FC"/>
    <w:rsid w:val="00F621EC"/>
    <w:rsid w:val="00F62FA2"/>
    <w:rsid w:val="00F636F5"/>
    <w:rsid w:val="00F64E7A"/>
    <w:rsid w:val="00F65139"/>
    <w:rsid w:val="00F65677"/>
    <w:rsid w:val="00F668C8"/>
    <w:rsid w:val="00F66AAB"/>
    <w:rsid w:val="00F66DA6"/>
    <w:rsid w:val="00F66DDC"/>
    <w:rsid w:val="00F672FE"/>
    <w:rsid w:val="00F67B93"/>
    <w:rsid w:val="00F705FD"/>
    <w:rsid w:val="00F70C8C"/>
    <w:rsid w:val="00F712FB"/>
    <w:rsid w:val="00F714AD"/>
    <w:rsid w:val="00F7172C"/>
    <w:rsid w:val="00F71D13"/>
    <w:rsid w:val="00F72407"/>
    <w:rsid w:val="00F729AF"/>
    <w:rsid w:val="00F729D2"/>
    <w:rsid w:val="00F730B4"/>
    <w:rsid w:val="00F737EA"/>
    <w:rsid w:val="00F73932"/>
    <w:rsid w:val="00F7422B"/>
    <w:rsid w:val="00F74E17"/>
    <w:rsid w:val="00F75082"/>
    <w:rsid w:val="00F75930"/>
    <w:rsid w:val="00F75D3F"/>
    <w:rsid w:val="00F760BD"/>
    <w:rsid w:val="00F76235"/>
    <w:rsid w:val="00F76FAE"/>
    <w:rsid w:val="00F773BC"/>
    <w:rsid w:val="00F77526"/>
    <w:rsid w:val="00F77F8C"/>
    <w:rsid w:val="00F803C7"/>
    <w:rsid w:val="00F80D98"/>
    <w:rsid w:val="00F80F1C"/>
    <w:rsid w:val="00F8126A"/>
    <w:rsid w:val="00F81640"/>
    <w:rsid w:val="00F81AEE"/>
    <w:rsid w:val="00F81DDA"/>
    <w:rsid w:val="00F8211C"/>
    <w:rsid w:val="00F8245A"/>
    <w:rsid w:val="00F824C5"/>
    <w:rsid w:val="00F82EE9"/>
    <w:rsid w:val="00F83147"/>
    <w:rsid w:val="00F832F9"/>
    <w:rsid w:val="00F83E58"/>
    <w:rsid w:val="00F83EA4"/>
    <w:rsid w:val="00F84287"/>
    <w:rsid w:val="00F845B2"/>
    <w:rsid w:val="00F8466E"/>
    <w:rsid w:val="00F8477E"/>
    <w:rsid w:val="00F84B5D"/>
    <w:rsid w:val="00F84C07"/>
    <w:rsid w:val="00F84CB9"/>
    <w:rsid w:val="00F853B9"/>
    <w:rsid w:val="00F858F8"/>
    <w:rsid w:val="00F86134"/>
    <w:rsid w:val="00F8673E"/>
    <w:rsid w:val="00F868EF"/>
    <w:rsid w:val="00F86B49"/>
    <w:rsid w:val="00F86CC0"/>
    <w:rsid w:val="00F86DE8"/>
    <w:rsid w:val="00F86E5B"/>
    <w:rsid w:val="00F873AF"/>
    <w:rsid w:val="00F87558"/>
    <w:rsid w:val="00F876C7"/>
    <w:rsid w:val="00F900C0"/>
    <w:rsid w:val="00F90503"/>
    <w:rsid w:val="00F9054D"/>
    <w:rsid w:val="00F91972"/>
    <w:rsid w:val="00F91B56"/>
    <w:rsid w:val="00F91EF4"/>
    <w:rsid w:val="00F92245"/>
    <w:rsid w:val="00F922D7"/>
    <w:rsid w:val="00F92794"/>
    <w:rsid w:val="00F9369D"/>
    <w:rsid w:val="00F93DBC"/>
    <w:rsid w:val="00F94189"/>
    <w:rsid w:val="00F946B3"/>
    <w:rsid w:val="00F94EE6"/>
    <w:rsid w:val="00F951EA"/>
    <w:rsid w:val="00F951FC"/>
    <w:rsid w:val="00F95806"/>
    <w:rsid w:val="00F95A33"/>
    <w:rsid w:val="00F96160"/>
    <w:rsid w:val="00F9632F"/>
    <w:rsid w:val="00F96946"/>
    <w:rsid w:val="00F96D9D"/>
    <w:rsid w:val="00F96FFE"/>
    <w:rsid w:val="00F97212"/>
    <w:rsid w:val="00F9740C"/>
    <w:rsid w:val="00F97725"/>
    <w:rsid w:val="00F97ED9"/>
    <w:rsid w:val="00FA0A0D"/>
    <w:rsid w:val="00FA0FAC"/>
    <w:rsid w:val="00FA1143"/>
    <w:rsid w:val="00FA1F57"/>
    <w:rsid w:val="00FA21E2"/>
    <w:rsid w:val="00FA2986"/>
    <w:rsid w:val="00FA32A4"/>
    <w:rsid w:val="00FA3AD8"/>
    <w:rsid w:val="00FA3AFC"/>
    <w:rsid w:val="00FA43A8"/>
    <w:rsid w:val="00FA4853"/>
    <w:rsid w:val="00FA4B13"/>
    <w:rsid w:val="00FA5645"/>
    <w:rsid w:val="00FA56D3"/>
    <w:rsid w:val="00FA57F9"/>
    <w:rsid w:val="00FA6B2D"/>
    <w:rsid w:val="00FA76A7"/>
    <w:rsid w:val="00FB0472"/>
    <w:rsid w:val="00FB0728"/>
    <w:rsid w:val="00FB13A4"/>
    <w:rsid w:val="00FB14B8"/>
    <w:rsid w:val="00FB1848"/>
    <w:rsid w:val="00FB1B8E"/>
    <w:rsid w:val="00FB1FD0"/>
    <w:rsid w:val="00FB1FDC"/>
    <w:rsid w:val="00FB24B5"/>
    <w:rsid w:val="00FB24BA"/>
    <w:rsid w:val="00FB33F4"/>
    <w:rsid w:val="00FB35DF"/>
    <w:rsid w:val="00FB3DFE"/>
    <w:rsid w:val="00FB3FFE"/>
    <w:rsid w:val="00FB426B"/>
    <w:rsid w:val="00FB451F"/>
    <w:rsid w:val="00FB4612"/>
    <w:rsid w:val="00FB480D"/>
    <w:rsid w:val="00FB48E1"/>
    <w:rsid w:val="00FB524B"/>
    <w:rsid w:val="00FB53C7"/>
    <w:rsid w:val="00FB5962"/>
    <w:rsid w:val="00FB5981"/>
    <w:rsid w:val="00FB6258"/>
    <w:rsid w:val="00FB6759"/>
    <w:rsid w:val="00FB676E"/>
    <w:rsid w:val="00FB67CE"/>
    <w:rsid w:val="00FB6CB4"/>
    <w:rsid w:val="00FB6CE3"/>
    <w:rsid w:val="00FB6CF9"/>
    <w:rsid w:val="00FB7A40"/>
    <w:rsid w:val="00FB7BD7"/>
    <w:rsid w:val="00FC036A"/>
    <w:rsid w:val="00FC05F4"/>
    <w:rsid w:val="00FC0C36"/>
    <w:rsid w:val="00FC1BCF"/>
    <w:rsid w:val="00FC2066"/>
    <w:rsid w:val="00FC22A8"/>
    <w:rsid w:val="00FC2745"/>
    <w:rsid w:val="00FC30F1"/>
    <w:rsid w:val="00FC3691"/>
    <w:rsid w:val="00FC38EB"/>
    <w:rsid w:val="00FC3B04"/>
    <w:rsid w:val="00FC3F33"/>
    <w:rsid w:val="00FC3F89"/>
    <w:rsid w:val="00FC41B0"/>
    <w:rsid w:val="00FC45FF"/>
    <w:rsid w:val="00FC49A8"/>
    <w:rsid w:val="00FC5512"/>
    <w:rsid w:val="00FC60E6"/>
    <w:rsid w:val="00FC6C19"/>
    <w:rsid w:val="00FC6CD4"/>
    <w:rsid w:val="00FC7155"/>
    <w:rsid w:val="00FC74A1"/>
    <w:rsid w:val="00FC7618"/>
    <w:rsid w:val="00FC7AE2"/>
    <w:rsid w:val="00FC7D69"/>
    <w:rsid w:val="00FD02C9"/>
    <w:rsid w:val="00FD0442"/>
    <w:rsid w:val="00FD0BEC"/>
    <w:rsid w:val="00FD1B81"/>
    <w:rsid w:val="00FD22D5"/>
    <w:rsid w:val="00FD29B4"/>
    <w:rsid w:val="00FD2AD2"/>
    <w:rsid w:val="00FD2DA6"/>
    <w:rsid w:val="00FD2F73"/>
    <w:rsid w:val="00FD30C5"/>
    <w:rsid w:val="00FD4A16"/>
    <w:rsid w:val="00FD4C96"/>
    <w:rsid w:val="00FD5AFF"/>
    <w:rsid w:val="00FD61F8"/>
    <w:rsid w:val="00FD6386"/>
    <w:rsid w:val="00FD6504"/>
    <w:rsid w:val="00FD772E"/>
    <w:rsid w:val="00FD7AC7"/>
    <w:rsid w:val="00FD7CE8"/>
    <w:rsid w:val="00FE09AF"/>
    <w:rsid w:val="00FE0D97"/>
    <w:rsid w:val="00FE0F16"/>
    <w:rsid w:val="00FE0FA3"/>
    <w:rsid w:val="00FE1259"/>
    <w:rsid w:val="00FE1307"/>
    <w:rsid w:val="00FE16CC"/>
    <w:rsid w:val="00FE2066"/>
    <w:rsid w:val="00FE250E"/>
    <w:rsid w:val="00FE273C"/>
    <w:rsid w:val="00FE299A"/>
    <w:rsid w:val="00FE2D16"/>
    <w:rsid w:val="00FE2E74"/>
    <w:rsid w:val="00FE2ED2"/>
    <w:rsid w:val="00FE3691"/>
    <w:rsid w:val="00FE3761"/>
    <w:rsid w:val="00FE3FF3"/>
    <w:rsid w:val="00FE41F5"/>
    <w:rsid w:val="00FE452A"/>
    <w:rsid w:val="00FE4547"/>
    <w:rsid w:val="00FE461A"/>
    <w:rsid w:val="00FE48EB"/>
    <w:rsid w:val="00FE4D7B"/>
    <w:rsid w:val="00FE50D6"/>
    <w:rsid w:val="00FE5C13"/>
    <w:rsid w:val="00FE6393"/>
    <w:rsid w:val="00FE643C"/>
    <w:rsid w:val="00FE66D9"/>
    <w:rsid w:val="00FE6BD0"/>
    <w:rsid w:val="00FE7CBB"/>
    <w:rsid w:val="00FE7D80"/>
    <w:rsid w:val="00FE7FFB"/>
    <w:rsid w:val="00FF05B0"/>
    <w:rsid w:val="00FF07A8"/>
    <w:rsid w:val="00FF09C6"/>
    <w:rsid w:val="00FF1247"/>
    <w:rsid w:val="00FF1946"/>
    <w:rsid w:val="00FF1FCA"/>
    <w:rsid w:val="00FF20E9"/>
    <w:rsid w:val="00FF21C9"/>
    <w:rsid w:val="00FF2855"/>
    <w:rsid w:val="00FF2AD0"/>
    <w:rsid w:val="00FF3820"/>
    <w:rsid w:val="00FF40C2"/>
    <w:rsid w:val="00FF4769"/>
    <w:rsid w:val="00FF4C75"/>
    <w:rsid w:val="00FF4EF4"/>
    <w:rsid w:val="00FF54D7"/>
    <w:rsid w:val="00FF591D"/>
    <w:rsid w:val="00FF69A0"/>
    <w:rsid w:val="00FF6A1C"/>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523F9"/>
  <w15:docId w15:val="{3F5529B6-3453-4559-A430-51C03E80E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A62"/>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053A62"/>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053A62"/>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053A62"/>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053A62"/>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053A62"/>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053A62"/>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053A62"/>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053A62"/>
    <w:pPr>
      <w:ind w:left="993"/>
      <w:outlineLvl w:val="7"/>
    </w:pPr>
    <w:rPr>
      <w:color w:val="321547"/>
      <w:szCs w:val="22"/>
      <w:u w:val="dotDotDash"/>
    </w:rPr>
  </w:style>
  <w:style w:type="paragraph" w:styleId="Ttulo9">
    <w:name w:val="heading 9"/>
    <w:basedOn w:val="Ttulo8"/>
    <w:next w:val="Normal"/>
    <w:link w:val="Ttulo9Car"/>
    <w:uiPriority w:val="9"/>
    <w:unhideWhenUsed/>
    <w:qFormat/>
    <w:rsid w:val="00053A62"/>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053A62"/>
    <w:rPr>
      <w:color w:val="0563C1" w:themeColor="hyperlink"/>
      <w:u w:val="single"/>
    </w:rPr>
  </w:style>
  <w:style w:type="paragraph" w:styleId="Textonotapie">
    <w:name w:val="footnote text"/>
    <w:aliases w:val="Nota a pie de página"/>
    <w:basedOn w:val="Normal"/>
    <w:link w:val="TextonotapieCar"/>
    <w:uiPriority w:val="99"/>
    <w:unhideWhenUsed/>
    <w:qFormat/>
    <w:rsid w:val="00053A62"/>
    <w:pPr>
      <w:keepLines/>
      <w:spacing w:after="40" w:line="240" w:lineRule="auto"/>
    </w:pPr>
    <w:rPr>
      <w:sz w:val="16"/>
      <w:szCs w:val="20"/>
    </w:rPr>
  </w:style>
  <w:style w:type="character" w:styleId="Refdenotaalpie">
    <w:name w:val="footnote reference"/>
    <w:basedOn w:val="Fuentedeprrafopredeter"/>
    <w:uiPriority w:val="99"/>
    <w:unhideWhenUsed/>
    <w:rsid w:val="00053A62"/>
    <w:rPr>
      <w:vertAlign w:val="superscript"/>
    </w:rPr>
  </w:style>
  <w:style w:type="table" w:styleId="Tablaconcuadrcula">
    <w:name w:val="Table Grid"/>
    <w:basedOn w:val="Tablanormal"/>
    <w:uiPriority w:val="39"/>
    <w:rsid w:val="00053A62"/>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053A62"/>
    <w:rPr>
      <w:rFonts w:ascii="Segoe UI" w:hAnsi="Segoe UI" w:cs="Segoe UI"/>
      <w:sz w:val="18"/>
      <w:szCs w:val="18"/>
    </w:rPr>
  </w:style>
  <w:style w:type="character" w:customStyle="1" w:styleId="Ttulo2Car">
    <w:name w:val="Título 2 Car"/>
    <w:basedOn w:val="Fuentedeprrafopredeter"/>
    <w:link w:val="Ttulo2"/>
    <w:uiPriority w:val="9"/>
    <w:rsid w:val="00053A62"/>
    <w:rPr>
      <w:rFonts w:ascii="Palatino Linotype" w:eastAsiaTheme="minorHAnsi" w:hAnsi="Palatino Linotype" w:cstheme="minorBidi"/>
      <w:b/>
      <w:bCs/>
      <w:color w:val="5F2987"/>
      <w:sz w:val="22"/>
      <w:szCs w:val="22"/>
      <w:shd w:val="clear" w:color="auto" w:fill="E2EFD9" w:themeFill="accent6" w:themeFillTint="33"/>
      <w:lang w:eastAsia="en-US"/>
    </w:rPr>
  </w:style>
  <w:style w:type="paragraph" w:customStyle="1" w:styleId="General">
    <w:name w:val="General"/>
    <w:basedOn w:val="Normal"/>
    <w:rsid w:val="00614730"/>
    <w:rPr>
      <w:rFonts w:eastAsia="Times"/>
      <w:sz w:val="28"/>
      <w:szCs w:val="20"/>
      <w:lang w:val="es-ES_tradnl"/>
    </w:rPr>
  </w:style>
  <w:style w:type="paragraph" w:styleId="Prrafodelista">
    <w:name w:val="List Paragraph"/>
    <w:basedOn w:val="Normal"/>
    <w:uiPriority w:val="34"/>
    <w:rsid w:val="00053A62"/>
    <w:pPr>
      <w:ind w:left="720"/>
      <w:contextualSpacing/>
    </w:pPr>
  </w:style>
  <w:style w:type="character" w:customStyle="1" w:styleId="TextonotapieCar">
    <w:name w:val="Texto nota pie Car"/>
    <w:aliases w:val="Nota a pie de página Car"/>
    <w:basedOn w:val="Fuentedeprrafopredeter"/>
    <w:link w:val="Textonotapie"/>
    <w:uiPriority w:val="99"/>
    <w:rsid w:val="00053A62"/>
    <w:rPr>
      <w:rFonts w:ascii="Palatino Linotype" w:eastAsiaTheme="minorHAnsi" w:hAnsi="Palatino Linotype" w:cstheme="minorBidi"/>
      <w:sz w:val="16"/>
      <w:lang w:eastAsia="en-US"/>
    </w:rPr>
  </w:style>
  <w:style w:type="character" w:customStyle="1" w:styleId="FootnoteSymbol">
    <w:name w:val="Footnote Symbol"/>
    <w:rsid w:val="00266ECF"/>
    <w:rPr>
      <w:position w:val="0"/>
      <w:vertAlign w:val="superscript"/>
    </w:rPr>
  </w:style>
  <w:style w:type="paragraph" w:customStyle="1" w:styleId="Footnote">
    <w:name w:val="Footnote"/>
    <w:basedOn w:val="Normal"/>
    <w:rsid w:val="00266ECF"/>
    <w:pPr>
      <w:widowControl w:val="0"/>
      <w:suppressLineNumbers/>
      <w:suppressAutoHyphens/>
      <w:autoSpaceDN w:val="0"/>
      <w:ind w:left="283" w:hanging="283"/>
      <w:textAlignment w:val="baseline"/>
    </w:pPr>
    <w:rPr>
      <w:rFonts w:eastAsia="SimSun" w:cs="Mangal"/>
      <w:kern w:val="3"/>
      <w:sz w:val="20"/>
      <w:szCs w:val="20"/>
      <w:lang w:eastAsia="zh-CN" w:bidi="hi-IN"/>
    </w:rPr>
  </w:style>
  <w:style w:type="paragraph" w:customStyle="1" w:styleId="Standard">
    <w:name w:val="Standard"/>
    <w:rsid w:val="00680B7A"/>
    <w:pPr>
      <w:widowControl w:val="0"/>
      <w:suppressAutoHyphens/>
      <w:autoSpaceDN w:val="0"/>
      <w:textAlignment w:val="baseline"/>
    </w:pPr>
    <w:rPr>
      <w:rFonts w:eastAsia="SimSun" w:cs="Mangal"/>
      <w:kern w:val="3"/>
      <w:sz w:val="24"/>
      <w:szCs w:val="24"/>
      <w:lang w:eastAsia="zh-CN" w:bidi="hi-IN"/>
    </w:rPr>
  </w:style>
  <w:style w:type="character" w:styleId="Hipervnculovisitado">
    <w:name w:val="FollowedHyperlink"/>
    <w:rsid w:val="00725373"/>
    <w:rPr>
      <w:color w:val="800080"/>
      <w:u w:val="single"/>
    </w:rPr>
  </w:style>
  <w:style w:type="paragraph" w:styleId="Encabezado">
    <w:name w:val="header"/>
    <w:basedOn w:val="Normal"/>
    <w:link w:val="EncabezadoCar"/>
    <w:uiPriority w:val="99"/>
    <w:unhideWhenUsed/>
    <w:rsid w:val="00053A62"/>
    <w:pPr>
      <w:tabs>
        <w:tab w:val="center" w:pos="4252"/>
        <w:tab w:val="right" w:pos="8504"/>
      </w:tabs>
    </w:pPr>
  </w:style>
  <w:style w:type="character" w:customStyle="1" w:styleId="EncabezadoCar">
    <w:name w:val="Encabezado Car"/>
    <w:basedOn w:val="Fuentedeprrafopredeter"/>
    <w:link w:val="Encabezado"/>
    <w:uiPriority w:val="99"/>
    <w:rsid w:val="00053A62"/>
    <w:rPr>
      <w:rFonts w:ascii="Palatino Linotype" w:eastAsiaTheme="minorHAnsi" w:hAnsi="Palatino Linotype" w:cstheme="minorBidi"/>
      <w:sz w:val="22"/>
      <w:szCs w:val="22"/>
      <w:lang w:eastAsia="en-US"/>
    </w:rPr>
  </w:style>
  <w:style w:type="character" w:customStyle="1" w:styleId="Ttulo1Car">
    <w:name w:val="Título 1 Car"/>
    <w:basedOn w:val="Fuentedeprrafopredeter"/>
    <w:link w:val="Ttulo1"/>
    <w:uiPriority w:val="9"/>
    <w:rsid w:val="00053A62"/>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3Car">
    <w:name w:val="Título 3 Car"/>
    <w:basedOn w:val="Fuentedeprrafopredeter"/>
    <w:link w:val="Ttulo3"/>
    <w:uiPriority w:val="9"/>
    <w:rsid w:val="00053A62"/>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053A62"/>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053A62"/>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053A62"/>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053A62"/>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053A62"/>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053A62"/>
    <w:rPr>
      <w:rFonts w:ascii="Palatino Linotype" w:eastAsiaTheme="majorEastAsia" w:hAnsi="Palatino Linotype" w:cstheme="majorBidi"/>
      <w:i/>
      <w:color w:val="240F33"/>
      <w:spacing w:val="-4"/>
      <w:w w:val="99"/>
      <w:sz w:val="21"/>
      <w:szCs w:val="21"/>
      <w:u w:val="dotted"/>
      <w:lang w:eastAsia="en-US"/>
    </w:rPr>
  </w:style>
  <w:style w:type="character" w:customStyle="1" w:styleId="HeaderChar">
    <w:name w:val="Header Char"/>
    <w:basedOn w:val="Fuentedeprrafopredeter"/>
    <w:uiPriority w:val="99"/>
    <w:rsid w:val="00053A62"/>
    <w:rPr>
      <w:rFonts w:ascii="Garamond" w:hAnsi="Garamond"/>
      <w:lang w:val="es-ES"/>
    </w:rPr>
  </w:style>
  <w:style w:type="character" w:customStyle="1" w:styleId="FooterChar">
    <w:name w:val="Footer Char"/>
    <w:basedOn w:val="Fuentedeprrafopredeter"/>
    <w:uiPriority w:val="99"/>
    <w:rsid w:val="00053A62"/>
    <w:rPr>
      <w:rFonts w:ascii="Garamond" w:hAnsi="Garamond"/>
      <w:lang w:val="es-ES"/>
    </w:rPr>
  </w:style>
  <w:style w:type="character" w:styleId="Textodelmarcadordeposicin">
    <w:name w:val="Placeholder Text"/>
    <w:basedOn w:val="Fuentedeprrafopredeter"/>
    <w:uiPriority w:val="99"/>
    <w:semiHidden/>
    <w:rsid w:val="00053A62"/>
    <w:rPr>
      <w:color w:val="808080"/>
    </w:rPr>
  </w:style>
  <w:style w:type="paragraph" w:styleId="Ttulo">
    <w:name w:val="Title"/>
    <w:basedOn w:val="Normal"/>
    <w:next w:val="Normal"/>
    <w:link w:val="TtuloCar"/>
    <w:uiPriority w:val="10"/>
    <w:qFormat/>
    <w:rsid w:val="00053A62"/>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053A62"/>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053A62"/>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053A62"/>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053A62"/>
    <w:pPr>
      <w:numPr>
        <w:ilvl w:val="1"/>
        <w:numId w:val="1"/>
      </w:numPr>
      <w:spacing w:after="100"/>
      <w:ind w:left="1049" w:hanging="198"/>
      <w:contextualSpacing/>
    </w:pPr>
  </w:style>
  <w:style w:type="character" w:customStyle="1" w:styleId="Heading2Char">
    <w:name w:val="Heading 2 Char"/>
    <w:basedOn w:val="Fuentedeprrafopredeter"/>
    <w:uiPriority w:val="9"/>
    <w:rsid w:val="00053A62"/>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053A62"/>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053A62"/>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053A62"/>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053A62"/>
    <w:rPr>
      <w:rFonts w:ascii="Garamond" w:hAnsi="Garamond"/>
      <w:i/>
      <w:iCs/>
      <w:color w:val="5F2987"/>
      <w:u w:val="single"/>
      <w:lang w:val="es-ES"/>
    </w:rPr>
  </w:style>
  <w:style w:type="paragraph" w:styleId="TDC3">
    <w:name w:val="toc 3"/>
    <w:basedOn w:val="Normal"/>
    <w:next w:val="FinTDC"/>
    <w:autoRedefine/>
    <w:uiPriority w:val="39"/>
    <w:unhideWhenUsed/>
    <w:rsid w:val="00053A62"/>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053A62"/>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053A62"/>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053A62"/>
    <w:rPr>
      <w:color w:val="7F7F7F" w:themeColor="text1" w:themeTint="80"/>
      <w:sz w:val="16"/>
    </w:rPr>
  </w:style>
  <w:style w:type="character" w:customStyle="1" w:styleId="NocantarChar">
    <w:name w:val="No cantar Char"/>
    <w:basedOn w:val="Fuentedeprrafopredeter"/>
    <w:link w:val="Nocantar"/>
    <w:rsid w:val="00053A62"/>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053A62"/>
    <w:pPr>
      <w:numPr>
        <w:numId w:val="0"/>
      </w:numPr>
      <w:ind w:firstLine="142"/>
    </w:pPr>
  </w:style>
  <w:style w:type="character" w:customStyle="1" w:styleId="IntroduccinyconclusinChar">
    <w:name w:val="Introducción y conclusión Char"/>
    <w:basedOn w:val="Ttulo1Car"/>
    <w:link w:val="Introduccinyconclusin"/>
    <w:rsid w:val="00053A62"/>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053A62"/>
    <w:pPr>
      <w:numPr>
        <w:numId w:val="3"/>
      </w:numPr>
    </w:pPr>
  </w:style>
  <w:style w:type="paragraph" w:customStyle="1" w:styleId="Nivel1">
    <w:name w:val="Nivel 1"/>
    <w:basedOn w:val="Normal"/>
    <w:qFormat/>
    <w:rsid w:val="00053A62"/>
    <w:pPr>
      <w:numPr>
        <w:numId w:val="1"/>
      </w:numPr>
      <w:spacing w:before="100" w:after="100"/>
      <w:ind w:left="623" w:hanging="198"/>
    </w:pPr>
  </w:style>
  <w:style w:type="paragraph" w:customStyle="1" w:styleId="Nivel3">
    <w:name w:val="Nivel 3"/>
    <w:basedOn w:val="Nivel2"/>
    <w:link w:val="Nivel3Car"/>
    <w:qFormat/>
    <w:rsid w:val="00053A62"/>
    <w:pPr>
      <w:numPr>
        <w:ilvl w:val="2"/>
      </w:numPr>
      <w:spacing w:after="0"/>
      <w:ind w:left="1474" w:hanging="198"/>
    </w:pPr>
  </w:style>
  <w:style w:type="paragraph" w:customStyle="1" w:styleId="Letra">
    <w:name w:val="Letra"/>
    <w:basedOn w:val="Nivel1"/>
    <w:qFormat/>
    <w:rsid w:val="00053A62"/>
    <w:pPr>
      <w:numPr>
        <w:numId w:val="4"/>
      </w:numPr>
      <w:spacing w:before="0" w:after="40"/>
      <w:ind w:left="936" w:hanging="227"/>
    </w:pPr>
  </w:style>
  <w:style w:type="paragraph" w:customStyle="1" w:styleId="Nmero">
    <w:name w:val="Número"/>
    <w:basedOn w:val="Normal"/>
    <w:qFormat/>
    <w:rsid w:val="00053A62"/>
    <w:pPr>
      <w:numPr>
        <w:numId w:val="5"/>
      </w:numPr>
      <w:spacing w:after="40"/>
      <w:ind w:left="936" w:hanging="227"/>
    </w:pPr>
  </w:style>
  <w:style w:type="character" w:customStyle="1" w:styleId="BalloonTextChar">
    <w:name w:val="Balloon Text Char"/>
    <w:basedOn w:val="Fuentedeprrafopredeter"/>
    <w:uiPriority w:val="99"/>
    <w:semiHidden/>
    <w:rsid w:val="00053A62"/>
    <w:rPr>
      <w:rFonts w:ascii="Segoe UI" w:hAnsi="Segoe UI" w:cs="Segoe UI"/>
      <w:sz w:val="18"/>
      <w:szCs w:val="18"/>
      <w:lang w:val="es-ES"/>
    </w:rPr>
  </w:style>
  <w:style w:type="paragraph" w:customStyle="1" w:styleId="Notaalopositor">
    <w:name w:val="Nota al opositor"/>
    <w:basedOn w:val="Normal"/>
    <w:link w:val="NotaalopositorChar"/>
    <w:qFormat/>
    <w:rsid w:val="00053A62"/>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053A62"/>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053A62"/>
    <w:rPr>
      <w:rFonts w:ascii="Garamond" w:hAnsi="Garamond"/>
      <w:sz w:val="16"/>
      <w:szCs w:val="20"/>
      <w:lang w:val="es-ES"/>
    </w:rPr>
  </w:style>
  <w:style w:type="character" w:customStyle="1" w:styleId="Heading6Char">
    <w:name w:val="Heading 6 Char"/>
    <w:basedOn w:val="Fuentedeprrafopredeter"/>
    <w:uiPriority w:val="9"/>
    <w:semiHidden/>
    <w:rsid w:val="00053A62"/>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053A62"/>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053A62"/>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053A62"/>
    <w:rPr>
      <w:rFonts w:ascii="Garamond" w:eastAsiaTheme="minorEastAsia" w:hAnsi="Garamond"/>
      <w:smallCaps/>
      <w:color w:val="5A5A5A" w:themeColor="text1" w:themeTint="A5"/>
      <w:lang w:val="es-ES"/>
    </w:rPr>
  </w:style>
  <w:style w:type="paragraph" w:customStyle="1" w:styleId="Nivel1SM">
    <w:name w:val="Nivel 1 SM"/>
    <w:basedOn w:val="Nivel1"/>
    <w:qFormat/>
    <w:rsid w:val="00053A62"/>
    <w:pPr>
      <w:ind w:left="0"/>
    </w:pPr>
  </w:style>
  <w:style w:type="paragraph" w:customStyle="1" w:styleId="Nivel2SM">
    <w:name w:val="Nivel 2 SM"/>
    <w:basedOn w:val="Nivel2"/>
    <w:qFormat/>
    <w:rsid w:val="00053A62"/>
    <w:pPr>
      <w:ind w:left="567"/>
    </w:pPr>
  </w:style>
  <w:style w:type="paragraph" w:customStyle="1" w:styleId="Nivel3SM">
    <w:name w:val="Nivel 3 SM"/>
    <w:basedOn w:val="Nivel3"/>
    <w:qFormat/>
    <w:rsid w:val="00053A62"/>
    <w:pPr>
      <w:ind w:left="963"/>
    </w:pPr>
  </w:style>
  <w:style w:type="paragraph" w:styleId="Encabezadodelista">
    <w:name w:val="toa heading"/>
    <w:basedOn w:val="Normal"/>
    <w:next w:val="Normal"/>
    <w:uiPriority w:val="99"/>
    <w:unhideWhenUsed/>
    <w:rsid w:val="00053A62"/>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053A62"/>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053A62"/>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053A62"/>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053A62"/>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053A62"/>
    <w:rPr>
      <w:color w:val="605E5C"/>
      <w:shd w:val="clear" w:color="auto" w:fill="E1DFDD"/>
    </w:rPr>
  </w:style>
  <w:style w:type="paragraph" w:styleId="TDC5">
    <w:name w:val="toc 5"/>
    <w:basedOn w:val="Normal"/>
    <w:next w:val="FinTDC"/>
    <w:autoRedefine/>
    <w:uiPriority w:val="39"/>
    <w:unhideWhenUsed/>
    <w:rsid w:val="00053A62"/>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053A62"/>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053A62"/>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053A62"/>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053A62"/>
    <w:pPr>
      <w:spacing w:line="240" w:lineRule="auto"/>
      <w:ind w:left="567" w:hanging="567"/>
    </w:pPr>
  </w:style>
  <w:style w:type="paragraph" w:customStyle="1" w:styleId="Ttuloimagen">
    <w:name w:val="Título imagen"/>
    <w:basedOn w:val="PiedeImagen"/>
    <w:next w:val="Imagen"/>
    <w:link w:val="TtuloimagenCar"/>
    <w:qFormat/>
    <w:rsid w:val="00053A62"/>
    <w:pPr>
      <w:keepNext/>
      <w:spacing w:after="0"/>
    </w:pPr>
    <w:rPr>
      <w:i w:val="0"/>
      <w:smallCaps/>
      <w:sz w:val="20"/>
    </w:rPr>
  </w:style>
  <w:style w:type="character" w:customStyle="1" w:styleId="TtuloimagenCar">
    <w:name w:val="Título imagen Car"/>
    <w:basedOn w:val="ImagenCar"/>
    <w:link w:val="Ttuloimagen"/>
    <w:rsid w:val="00053A62"/>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053A62"/>
    <w:pPr>
      <w:ind w:left="1100"/>
    </w:pPr>
  </w:style>
  <w:style w:type="paragraph" w:styleId="Sinespaciado">
    <w:name w:val="No Spacing"/>
    <w:link w:val="SinespaciadoCar"/>
    <w:uiPriority w:val="1"/>
    <w:qFormat/>
    <w:rsid w:val="00053A62"/>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053A62"/>
    <w:rPr>
      <w:rFonts w:asciiTheme="minorHAnsi" w:eastAsiaTheme="minorEastAsia" w:hAnsiTheme="minorHAnsi" w:cstheme="minorBidi"/>
      <w:sz w:val="22"/>
      <w:szCs w:val="22"/>
    </w:rPr>
  </w:style>
  <w:style w:type="paragraph" w:customStyle="1" w:styleId="Nmeroromano">
    <w:name w:val="Número romano"/>
    <w:basedOn w:val="Prrafodelista"/>
    <w:qFormat/>
    <w:rsid w:val="00053A62"/>
    <w:pPr>
      <w:numPr>
        <w:numId w:val="8"/>
      </w:numPr>
      <w:spacing w:after="100"/>
      <w:ind w:left="567" w:hanging="113"/>
    </w:pPr>
  </w:style>
  <w:style w:type="paragraph" w:customStyle="1" w:styleId="Saltodettulos">
    <w:name w:val="Salto de títulos"/>
    <w:basedOn w:val="Normal"/>
    <w:rsid w:val="00053A62"/>
    <w:pPr>
      <w:spacing w:after="0" w:line="240" w:lineRule="auto"/>
    </w:pPr>
    <w:rPr>
      <w:color w:val="FFFFFF"/>
      <w:sz w:val="2"/>
    </w:rPr>
  </w:style>
  <w:style w:type="paragraph" w:styleId="TDC7">
    <w:name w:val="toc 7"/>
    <w:basedOn w:val="Normal"/>
    <w:next w:val="FinTDC"/>
    <w:autoRedefine/>
    <w:uiPriority w:val="39"/>
    <w:unhideWhenUsed/>
    <w:rsid w:val="00053A62"/>
    <w:pPr>
      <w:spacing w:after="0" w:line="20" w:lineRule="atLeast"/>
      <w:ind w:left="1418"/>
      <w:jc w:val="left"/>
    </w:pPr>
    <w:rPr>
      <w:i/>
      <w:color w:val="5F2987"/>
      <w:sz w:val="12"/>
    </w:rPr>
  </w:style>
  <w:style w:type="paragraph" w:customStyle="1" w:styleId="FinTDC">
    <w:name w:val="FinTDC"/>
    <w:basedOn w:val="Nivel1"/>
    <w:qFormat/>
    <w:rsid w:val="00053A62"/>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053A62"/>
    <w:pPr>
      <w:spacing w:after="0" w:line="240" w:lineRule="auto"/>
      <w:jc w:val="left"/>
    </w:pPr>
    <w:rPr>
      <w:sz w:val="15"/>
    </w:rPr>
  </w:style>
  <w:style w:type="paragraph" w:styleId="TDC9">
    <w:name w:val="toc 9"/>
    <w:basedOn w:val="TDC8"/>
    <w:next w:val="FinTDC"/>
    <w:autoRedefine/>
    <w:uiPriority w:val="39"/>
    <w:unhideWhenUsed/>
    <w:rsid w:val="00053A62"/>
    <w:pPr>
      <w:ind w:left="1760"/>
    </w:pPr>
  </w:style>
  <w:style w:type="paragraph" w:customStyle="1" w:styleId="Apartado0">
    <w:name w:val="Apartado 0"/>
    <w:basedOn w:val="Ttulo1"/>
    <w:next w:val="Normal"/>
    <w:link w:val="Apartado0Car"/>
    <w:qFormat/>
    <w:rsid w:val="00053A62"/>
    <w:pPr>
      <w:numPr>
        <w:numId w:val="7"/>
      </w:numPr>
      <w:ind w:left="357" w:hanging="357"/>
    </w:pPr>
  </w:style>
  <w:style w:type="character" w:customStyle="1" w:styleId="Apartado0Car">
    <w:name w:val="Apartado 0 Car"/>
    <w:basedOn w:val="Ttulo1Car"/>
    <w:link w:val="Apartado0"/>
    <w:rsid w:val="00053A62"/>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053A62"/>
    <w:pPr>
      <w:numPr>
        <w:ilvl w:val="3"/>
      </w:numPr>
      <w:ind w:left="1899" w:hanging="198"/>
    </w:pPr>
  </w:style>
  <w:style w:type="paragraph" w:customStyle="1" w:styleId="Nivel5">
    <w:name w:val="Nivel 5"/>
    <w:basedOn w:val="Nivel4"/>
    <w:link w:val="Nivel5Car"/>
    <w:qFormat/>
    <w:rsid w:val="00053A62"/>
    <w:pPr>
      <w:numPr>
        <w:ilvl w:val="4"/>
      </w:numPr>
      <w:ind w:left="2155" w:hanging="170"/>
    </w:pPr>
  </w:style>
  <w:style w:type="character" w:customStyle="1" w:styleId="Nivel2Car">
    <w:name w:val="Nivel 2 Car"/>
    <w:basedOn w:val="Fuentedeprrafopredeter"/>
    <w:link w:val="Nivel2"/>
    <w:rsid w:val="00053A62"/>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053A62"/>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053A62"/>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053A62"/>
    <w:pPr>
      <w:numPr>
        <w:ilvl w:val="5"/>
      </w:numPr>
      <w:ind w:left="2438" w:hanging="227"/>
    </w:pPr>
  </w:style>
  <w:style w:type="character" w:customStyle="1" w:styleId="Nivel5Car">
    <w:name w:val="Nivel 5 Car"/>
    <w:basedOn w:val="Nivel4Car"/>
    <w:link w:val="Nivel5"/>
    <w:rsid w:val="00053A62"/>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053A62"/>
    <w:pPr>
      <w:numPr>
        <w:ilvl w:val="6"/>
      </w:numPr>
      <w:ind w:left="2722" w:hanging="170"/>
    </w:pPr>
  </w:style>
  <w:style w:type="character" w:customStyle="1" w:styleId="Nivel6Car">
    <w:name w:val="Nivel 6 Car"/>
    <w:basedOn w:val="Nivel5Car"/>
    <w:link w:val="Nivel6"/>
    <w:rsid w:val="00053A62"/>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053A62"/>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053A62"/>
    <w:pPr>
      <w:spacing w:after="200" w:line="240" w:lineRule="auto"/>
    </w:pPr>
    <w:rPr>
      <w:i/>
      <w:iCs/>
      <w:color w:val="44546A" w:themeColor="text2"/>
      <w:sz w:val="18"/>
      <w:szCs w:val="18"/>
    </w:rPr>
  </w:style>
  <w:style w:type="paragraph" w:customStyle="1" w:styleId="Ttulo10">
    <w:name w:val="Título 10"/>
    <w:basedOn w:val="Ttulo9"/>
    <w:link w:val="Ttulo10Car"/>
    <w:qFormat/>
    <w:rsid w:val="00053A62"/>
    <w:pPr>
      <w:ind w:left="1276"/>
    </w:pPr>
    <w:rPr>
      <w:w w:val="97"/>
    </w:rPr>
  </w:style>
  <w:style w:type="character" w:customStyle="1" w:styleId="Ttulo10Car">
    <w:name w:val="Título 10 Car"/>
    <w:basedOn w:val="Ttulo9Car"/>
    <w:link w:val="Ttulo10"/>
    <w:rsid w:val="00053A62"/>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053A62"/>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053A62"/>
    <w:pPr>
      <w:numPr>
        <w:ilvl w:val="7"/>
      </w:numPr>
      <w:ind w:left="3005" w:hanging="170"/>
    </w:pPr>
  </w:style>
  <w:style w:type="character" w:customStyle="1" w:styleId="Nivel8Car">
    <w:name w:val="Nivel 8 Car"/>
    <w:basedOn w:val="Nivel7Car"/>
    <w:link w:val="Nivel8"/>
    <w:rsid w:val="00053A62"/>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053A62"/>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053A62"/>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053A62"/>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053A62"/>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053A62"/>
    <w:rPr>
      <w:vertAlign w:val="superscript"/>
    </w:rPr>
  </w:style>
  <w:style w:type="character" w:customStyle="1" w:styleId="PiedepginaCar">
    <w:name w:val="Pie de página Car"/>
    <w:basedOn w:val="Fuentedeprrafopredeter"/>
    <w:link w:val="Piedepgina"/>
    <w:uiPriority w:val="99"/>
    <w:rsid w:val="00C07581"/>
    <w:rPr>
      <w:rFonts w:ascii="Palatino Linotype" w:eastAsiaTheme="minorHAnsi" w:hAnsi="Palatino Linotype"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83621255">
      <w:bodyDiv w:val="1"/>
      <w:marLeft w:val="0"/>
      <w:marRight w:val="0"/>
      <w:marTop w:val="0"/>
      <w:marBottom w:val="0"/>
      <w:divBdr>
        <w:top w:val="none" w:sz="0" w:space="0" w:color="auto"/>
        <w:left w:val="none" w:sz="0" w:space="0" w:color="auto"/>
        <w:bottom w:val="none" w:sz="0" w:space="0" w:color="auto"/>
        <w:right w:val="none" w:sz="0" w:space="0" w:color="auto"/>
      </w:divBdr>
    </w:div>
    <w:div w:id="1069962030">
      <w:bodyDiv w:val="1"/>
      <w:marLeft w:val="0"/>
      <w:marRight w:val="0"/>
      <w:marTop w:val="0"/>
      <w:marBottom w:val="0"/>
      <w:divBdr>
        <w:top w:val="none" w:sz="0" w:space="0" w:color="auto"/>
        <w:left w:val="none" w:sz="0" w:space="0" w:color="auto"/>
        <w:bottom w:val="none" w:sz="0" w:space="0" w:color="auto"/>
        <w:right w:val="none" w:sz="0" w:space="0" w:color="auto"/>
      </w:divBdr>
      <w:divsChild>
        <w:div w:id="465584955">
          <w:marLeft w:val="480"/>
          <w:marRight w:val="0"/>
          <w:marTop w:val="0"/>
          <w:marBottom w:val="0"/>
          <w:divBdr>
            <w:top w:val="none" w:sz="0" w:space="0" w:color="auto"/>
            <w:left w:val="none" w:sz="0" w:space="0" w:color="auto"/>
            <w:bottom w:val="none" w:sz="0" w:space="0" w:color="auto"/>
            <w:right w:val="none" w:sz="0" w:space="0" w:color="auto"/>
          </w:divBdr>
          <w:divsChild>
            <w:div w:id="19032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195080">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g"/><Relationship Id="rId21" Type="http://schemas.openxmlformats.org/officeDocument/2006/relationships/diagramColors" Target="diagrams/colors1.xml"/><Relationship Id="rId42" Type="http://schemas.openxmlformats.org/officeDocument/2006/relationships/hyperlink" Target="https://doi.org/10.1787/3d5c5d31-en" TargetMode="External"/><Relationship Id="rId47" Type="http://schemas.openxmlformats.org/officeDocument/2006/relationships/image" Target="media/image29.png"/><Relationship Id="rId63" Type="http://schemas.openxmlformats.org/officeDocument/2006/relationships/footer" Target="footer1.xml"/><Relationship Id="rId68"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5.png"/><Relationship Id="rId11" Type="http://schemas.openxmlformats.org/officeDocument/2006/relationships/image" Target="media/image3.png"/><Relationship Id="rId24" Type="http://schemas.openxmlformats.org/officeDocument/2006/relationships/image" Target="media/image9.png"/><Relationship Id="rId32" Type="http://schemas.openxmlformats.org/officeDocument/2006/relationships/image" Target="media/image18.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8.png"/><Relationship Id="rId53" Type="http://schemas.openxmlformats.org/officeDocument/2006/relationships/hyperlink" Target="https://doi.org/10.1787/3d5c5d31-en" TargetMode="External"/><Relationship Id="rId58" Type="http://schemas.openxmlformats.org/officeDocument/2006/relationships/hyperlink" Target="https://www.boe.es/doue/2013/174/L00001-00727.pdf" TargetMode="External"/><Relationship Id="rId66"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diagramLayout" Target="diagrams/layout1.xml"/><Relationship Id="rId14" Type="http://schemas.openxmlformats.org/officeDocument/2006/relationships/image" Target="media/image4.png"/><Relationship Id="rId22" Type="http://schemas.microsoft.com/office/2007/relationships/diagramDrawing" Target="diagrams/drawing1.xm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0.png"/><Relationship Id="rId43" Type="http://schemas.openxmlformats.org/officeDocument/2006/relationships/image" Target="media/image26.png"/><Relationship Id="rId48" Type="http://schemas.microsoft.com/office/2007/relationships/hdphoto" Target="media/hdphoto2.wdp"/><Relationship Id="rId56" Type="http://schemas.openxmlformats.org/officeDocument/2006/relationships/hyperlink" Target="https://youtu.be/df5csVeBcrQ?t=538" TargetMode="External"/><Relationship Id="rId64" Type="http://schemas.openxmlformats.org/officeDocument/2006/relationships/footer" Target="footer2.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32.png"/><Relationship Id="rId3" Type="http://schemas.openxmlformats.org/officeDocument/2006/relationships/styles" Target="styles.xml"/><Relationship Id="rId12" Type="http://schemas.openxmlformats.org/officeDocument/2006/relationships/hyperlink" Target="https://www.boe.es/doue/2013/174/L00001-00727.pdf" TargetMode="External"/><Relationship Id="rId17" Type="http://schemas.openxmlformats.org/officeDocument/2006/relationships/image" Target="media/image7.jpeg"/><Relationship Id="rId25" Type="http://schemas.openxmlformats.org/officeDocument/2006/relationships/image" Target="media/image10.gif"/><Relationship Id="rId33" Type="http://schemas.openxmlformats.org/officeDocument/2006/relationships/image" Target="media/image19.png"/><Relationship Id="rId38" Type="http://schemas.openxmlformats.org/officeDocument/2006/relationships/image" Target="media/image22.png"/><Relationship Id="rId46" Type="http://schemas.microsoft.com/office/2007/relationships/hdphoto" Target="media/hdphoto1.wdp"/><Relationship Id="rId59" Type="http://schemas.openxmlformats.org/officeDocument/2006/relationships/image" Target="media/image35.png"/><Relationship Id="rId67" Type="http://schemas.openxmlformats.org/officeDocument/2006/relationships/fontTable" Target="fontTable.xml"/><Relationship Id="rId20" Type="http://schemas.openxmlformats.org/officeDocument/2006/relationships/diagramQuickStyle" Target="diagrams/quickStyle1.xml"/><Relationship Id="rId41" Type="http://schemas.openxmlformats.org/officeDocument/2006/relationships/image" Target="media/image25.png"/><Relationship Id="rId54" Type="http://schemas.openxmlformats.org/officeDocument/2006/relationships/image" Target="media/image34.png"/><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image" Target="media/image14.png"/><Relationship Id="rId36" Type="http://schemas.openxmlformats.org/officeDocument/2006/relationships/hyperlink" Target="https://ec.europa.eu/eurostat/statistics-explained/index.php/Government_expenditure_by_function_%E2%80%93_COFOG" TargetMode="External"/><Relationship Id="rId49" Type="http://schemas.openxmlformats.org/officeDocument/2006/relationships/image" Target="media/image30.png"/><Relationship Id="rId57" Type="http://schemas.openxmlformats.org/officeDocument/2006/relationships/hyperlink" Target="https://youtu.be/df5csVeBcrQ?t=1140" TargetMode="External"/><Relationship Id="rId10" Type="http://schemas.openxmlformats.org/officeDocument/2006/relationships/hyperlink" Target="https://www.boe.es/doue/2013/174/L00001-00727.pdf%20y%20imf.org/external/pubs/ft/gfs/manual/2014/gfsm_2014_spa.pdf" TargetMode="External"/><Relationship Id="rId31" Type="http://schemas.openxmlformats.org/officeDocument/2006/relationships/image" Target="media/image17.png"/><Relationship Id="rId44" Type="http://schemas.openxmlformats.org/officeDocument/2006/relationships/image" Target="media/image27.png"/><Relationship Id="rId52" Type="http://schemas.openxmlformats.org/officeDocument/2006/relationships/image" Target="media/image33.png"/><Relationship Id="rId60" Type="http://schemas.openxmlformats.org/officeDocument/2006/relationships/image" Target="media/image36.png"/><Relationship Id="rId6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igae.pap.hacienda.gob.es/sitios/igae/es-ES/Contabilidad/ContabilidadNacional/Publicaciones/Paginas/ianofinancierasTotal.aspx" TargetMode="External"/><Relationship Id="rId18" Type="http://schemas.openxmlformats.org/officeDocument/2006/relationships/diagramData" Target="diagrams/data1.xml"/><Relationship Id="rId39" Type="http://schemas.openxmlformats.org/officeDocument/2006/relationships/image" Target="media/image23.png"/><Relationship Id="rId34" Type="http://schemas.openxmlformats.org/officeDocument/2006/relationships/hyperlink" Target="https://data.oecd.org/gga/general-government-spending.htm" TargetMode="External"/><Relationship Id="rId50" Type="http://schemas.openxmlformats.org/officeDocument/2006/relationships/image" Target="media/image31.png"/><Relationship Id="rId55" Type="http://schemas.openxmlformats.org/officeDocument/2006/relationships/hyperlink" Target="https://www.piie.com/events/summers-and-blanchard-debate-future-interest-rates" TargetMode="External"/></Relationships>
</file>

<file path=word/_rels/footnotes.xml.rels><?xml version="1.0" encoding="UTF-8" standalone="yes"?>
<Relationships xmlns="http://schemas.openxmlformats.org/package/2006/relationships"><Relationship Id="rId1"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FD506F-2361-4CC5-ACC6-2B743F6FD165}"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en-GB"/>
        </a:p>
      </dgm:t>
    </dgm:pt>
    <dgm:pt modelId="{CE63D591-DDB3-40D9-9AF2-33ED3165AD0A}">
      <dgm:prSet phldrT="[Text]" custT="1"/>
      <dgm:spPr>
        <a:ln>
          <a:solidFill>
            <a:srgbClr val="5F2987"/>
          </a:solidFill>
        </a:ln>
      </dgm:spPr>
      <dgm:t>
        <a:bodyPr/>
        <a:lstStyle/>
        <a:p>
          <a:pPr algn="ctr"/>
          <a:r>
            <a:rPr lang="en-GB" sz="1050">
              <a:latin typeface="Garamond" panose="02020404030301010803" pitchFamily="18" charset="0"/>
            </a:rPr>
            <a:t>Impuestos</a:t>
          </a:r>
        </a:p>
      </dgm:t>
    </dgm:pt>
    <dgm:pt modelId="{E25ED1EE-8CDD-485B-A3A2-C74603E733B4}" type="parTrans" cxnId="{C7B4F4BB-A9F8-45C9-A2E1-09B7109D74E0}">
      <dgm:prSet/>
      <dgm:spPr/>
      <dgm:t>
        <a:bodyPr/>
        <a:lstStyle/>
        <a:p>
          <a:pPr algn="ctr"/>
          <a:endParaRPr lang="en-GB">
            <a:latin typeface="Garamond" panose="02020404030301010803" pitchFamily="18" charset="0"/>
          </a:endParaRPr>
        </a:p>
      </dgm:t>
    </dgm:pt>
    <dgm:pt modelId="{0E034C34-A8C9-43B4-831B-73A634CF80A1}" type="sibTrans" cxnId="{C7B4F4BB-A9F8-45C9-A2E1-09B7109D74E0}">
      <dgm:prSet/>
      <dgm:spPr/>
      <dgm:t>
        <a:bodyPr/>
        <a:lstStyle/>
        <a:p>
          <a:pPr algn="ctr"/>
          <a:endParaRPr lang="en-GB">
            <a:latin typeface="Garamond" panose="02020404030301010803" pitchFamily="18" charset="0"/>
          </a:endParaRPr>
        </a:p>
      </dgm:t>
    </dgm:pt>
    <dgm:pt modelId="{E1958368-DB21-480E-B4F5-7728A7F762E5}">
      <dgm:prSet phldrT="[Text]" custT="1"/>
      <dgm:spPr>
        <a:ln>
          <a:solidFill>
            <a:srgbClr val="5F2987"/>
          </a:solidFill>
        </a:ln>
      </dgm:spPr>
      <dgm:t>
        <a:bodyPr/>
        <a:lstStyle/>
        <a:p>
          <a:pPr algn="ctr"/>
          <a:r>
            <a:rPr lang="en-GB" sz="1000">
              <a:latin typeface="Garamond" panose="02020404030301010803" pitchFamily="18" charset="0"/>
            </a:rPr>
            <a:t>Producción</a:t>
          </a:r>
        </a:p>
      </dgm:t>
    </dgm:pt>
    <dgm:pt modelId="{382366B0-4868-49EA-BEE4-FFF041EFF868}" type="parTrans" cxnId="{433BD4C6-0212-4F60-940D-6DD4EEA75E1B}">
      <dgm:prSet/>
      <dgm:spPr>
        <a:ln>
          <a:solidFill>
            <a:srgbClr val="5F2987"/>
          </a:solidFill>
        </a:ln>
      </dgm:spPr>
      <dgm:t>
        <a:bodyPr/>
        <a:lstStyle/>
        <a:p>
          <a:pPr algn="ctr"/>
          <a:endParaRPr lang="en-GB">
            <a:latin typeface="Garamond" panose="02020404030301010803" pitchFamily="18" charset="0"/>
          </a:endParaRPr>
        </a:p>
      </dgm:t>
    </dgm:pt>
    <dgm:pt modelId="{66BBCEC1-B6FD-4748-BEC6-43B484DCB750}" type="sibTrans" cxnId="{433BD4C6-0212-4F60-940D-6DD4EEA75E1B}">
      <dgm:prSet/>
      <dgm:spPr/>
      <dgm:t>
        <a:bodyPr/>
        <a:lstStyle/>
        <a:p>
          <a:pPr algn="ctr"/>
          <a:endParaRPr lang="en-GB">
            <a:latin typeface="Garamond" panose="02020404030301010803" pitchFamily="18" charset="0"/>
          </a:endParaRPr>
        </a:p>
      </dgm:t>
    </dgm:pt>
    <dgm:pt modelId="{1550A000-A987-47E0-AF0A-1B16A97A678F}">
      <dgm:prSet phldrT="[Text]"/>
      <dgm:spPr>
        <a:ln>
          <a:solidFill>
            <a:srgbClr val="5F2987"/>
          </a:solidFill>
        </a:ln>
      </dgm:spPr>
      <dgm:t>
        <a:bodyPr/>
        <a:lstStyle/>
        <a:p>
          <a:pPr algn="ctr"/>
          <a:r>
            <a:rPr lang="en-GB">
              <a:latin typeface="Garamond" panose="02020404030301010803" pitchFamily="18" charset="0"/>
            </a:rPr>
            <a:t>Impuestos sobre los productos</a:t>
          </a:r>
        </a:p>
      </dgm:t>
    </dgm:pt>
    <dgm:pt modelId="{65220AA6-43F0-4050-A772-AB8660859C3A}" type="parTrans" cxnId="{A574E231-6D7D-453D-9151-2C043CAE1AF8}">
      <dgm:prSet/>
      <dgm:spPr>
        <a:ln>
          <a:solidFill>
            <a:srgbClr val="5F2987"/>
          </a:solidFill>
        </a:ln>
      </dgm:spPr>
      <dgm:t>
        <a:bodyPr/>
        <a:lstStyle/>
        <a:p>
          <a:pPr algn="ctr"/>
          <a:endParaRPr lang="en-GB">
            <a:latin typeface="Garamond" panose="02020404030301010803" pitchFamily="18" charset="0"/>
          </a:endParaRPr>
        </a:p>
      </dgm:t>
    </dgm:pt>
    <dgm:pt modelId="{5FA26539-D545-4DEC-9ACB-0B00D02E5532}" type="sibTrans" cxnId="{A574E231-6D7D-453D-9151-2C043CAE1AF8}">
      <dgm:prSet/>
      <dgm:spPr/>
      <dgm:t>
        <a:bodyPr/>
        <a:lstStyle/>
        <a:p>
          <a:pPr algn="ctr"/>
          <a:endParaRPr lang="en-GB">
            <a:latin typeface="Garamond" panose="02020404030301010803" pitchFamily="18" charset="0"/>
          </a:endParaRPr>
        </a:p>
      </dgm:t>
    </dgm:pt>
    <dgm:pt modelId="{2FB6C8E2-B97F-4FFF-A52E-41FB37D7BC8B}">
      <dgm:prSet phldrT="[Text]"/>
      <dgm:spPr>
        <a:ln>
          <a:solidFill>
            <a:srgbClr val="5F2987"/>
          </a:solidFill>
        </a:ln>
      </dgm:spPr>
      <dgm:t>
        <a:bodyPr/>
        <a:lstStyle/>
        <a:p>
          <a:pPr algn="ctr"/>
          <a:r>
            <a:rPr lang="en-GB">
              <a:latin typeface="Garamond" panose="02020404030301010803" pitchFamily="18" charset="0"/>
            </a:rPr>
            <a:t>Otros impuestos sobre la producción</a:t>
          </a:r>
        </a:p>
      </dgm:t>
    </dgm:pt>
    <dgm:pt modelId="{1CE9D758-72C4-46D1-A3B3-7C9BB8FDD308}" type="parTrans" cxnId="{E76AF5E5-CCA3-4754-9D3A-96B750C384B5}">
      <dgm:prSet/>
      <dgm:spPr>
        <a:ln>
          <a:solidFill>
            <a:srgbClr val="5F2987"/>
          </a:solidFill>
        </a:ln>
      </dgm:spPr>
      <dgm:t>
        <a:bodyPr/>
        <a:lstStyle/>
        <a:p>
          <a:pPr algn="ctr"/>
          <a:endParaRPr lang="en-GB">
            <a:latin typeface="Garamond" panose="02020404030301010803" pitchFamily="18" charset="0"/>
          </a:endParaRPr>
        </a:p>
      </dgm:t>
    </dgm:pt>
    <dgm:pt modelId="{8E276A83-A9E7-4674-AC99-77EF4EFC6878}" type="sibTrans" cxnId="{E76AF5E5-CCA3-4754-9D3A-96B750C384B5}">
      <dgm:prSet/>
      <dgm:spPr/>
      <dgm:t>
        <a:bodyPr/>
        <a:lstStyle/>
        <a:p>
          <a:pPr algn="ctr"/>
          <a:endParaRPr lang="en-GB">
            <a:latin typeface="Garamond" panose="02020404030301010803" pitchFamily="18" charset="0"/>
          </a:endParaRPr>
        </a:p>
      </dgm:t>
    </dgm:pt>
    <dgm:pt modelId="{EEFC9806-CBD4-42BE-BFBF-F8E9AB335A3F}">
      <dgm:prSet phldrT="[Text]" custT="1"/>
      <dgm:spPr>
        <a:ln>
          <a:solidFill>
            <a:srgbClr val="5F2987"/>
          </a:solidFill>
        </a:ln>
      </dgm:spPr>
      <dgm:t>
        <a:bodyPr/>
        <a:lstStyle/>
        <a:p>
          <a:pPr algn="ctr"/>
          <a:r>
            <a:rPr lang="en-GB" sz="1000">
              <a:latin typeface="Garamond" panose="02020404030301010803" pitchFamily="18" charset="0"/>
            </a:rPr>
            <a:t>Resto</a:t>
          </a:r>
        </a:p>
      </dgm:t>
    </dgm:pt>
    <dgm:pt modelId="{D37CF5CE-9DCD-4F96-8BE0-850F1A4FD3FF}" type="parTrans" cxnId="{3E224705-B83B-4C31-BCB3-172E3D93B26A}">
      <dgm:prSet/>
      <dgm:spPr>
        <a:ln>
          <a:solidFill>
            <a:srgbClr val="5F2987"/>
          </a:solidFill>
        </a:ln>
      </dgm:spPr>
      <dgm:t>
        <a:bodyPr/>
        <a:lstStyle/>
        <a:p>
          <a:pPr algn="ctr"/>
          <a:endParaRPr lang="en-GB">
            <a:latin typeface="Garamond" panose="02020404030301010803" pitchFamily="18" charset="0"/>
          </a:endParaRPr>
        </a:p>
      </dgm:t>
    </dgm:pt>
    <dgm:pt modelId="{8F0DC486-814C-412D-B1D3-FBCF57F6962E}" type="sibTrans" cxnId="{3E224705-B83B-4C31-BCB3-172E3D93B26A}">
      <dgm:prSet/>
      <dgm:spPr/>
      <dgm:t>
        <a:bodyPr/>
        <a:lstStyle/>
        <a:p>
          <a:pPr algn="ctr"/>
          <a:endParaRPr lang="en-GB">
            <a:latin typeface="Garamond" panose="02020404030301010803" pitchFamily="18" charset="0"/>
          </a:endParaRPr>
        </a:p>
      </dgm:t>
    </dgm:pt>
    <dgm:pt modelId="{B4C50B7B-C598-4E99-A6B3-6D3713D39B36}">
      <dgm:prSet phldrT="[Text]"/>
      <dgm:spPr>
        <a:ln>
          <a:solidFill>
            <a:srgbClr val="5F2987"/>
          </a:solidFill>
        </a:ln>
      </dgm:spPr>
      <dgm:t>
        <a:bodyPr/>
        <a:lstStyle/>
        <a:p>
          <a:pPr algn="ctr"/>
          <a:r>
            <a:rPr lang="en-GB">
              <a:latin typeface="Garamond" panose="02020404030301010803" pitchFamily="18" charset="0"/>
            </a:rPr>
            <a:t>IVA</a:t>
          </a:r>
        </a:p>
      </dgm:t>
    </dgm:pt>
    <dgm:pt modelId="{D82B5322-7386-4D06-8F13-695DE0EA62EA}" type="parTrans" cxnId="{C272B890-4870-4D2C-8809-3A4D086BF210}">
      <dgm:prSet/>
      <dgm:spPr>
        <a:ln>
          <a:solidFill>
            <a:srgbClr val="5F2987"/>
          </a:solidFill>
        </a:ln>
      </dgm:spPr>
      <dgm:t>
        <a:bodyPr/>
        <a:lstStyle/>
        <a:p>
          <a:pPr algn="ctr"/>
          <a:endParaRPr lang="es-ES"/>
        </a:p>
      </dgm:t>
    </dgm:pt>
    <dgm:pt modelId="{C7F3DBF5-A392-4032-B936-EC1C6E68E0F7}" type="sibTrans" cxnId="{C272B890-4870-4D2C-8809-3A4D086BF210}">
      <dgm:prSet/>
      <dgm:spPr/>
      <dgm:t>
        <a:bodyPr/>
        <a:lstStyle/>
        <a:p>
          <a:pPr algn="ctr"/>
          <a:endParaRPr lang="es-ES"/>
        </a:p>
      </dgm:t>
    </dgm:pt>
    <dgm:pt modelId="{42266F70-F7E4-4E4F-91BF-E918E2A28614}">
      <dgm:prSet phldrT="[Text]"/>
      <dgm:spPr>
        <a:ln>
          <a:solidFill>
            <a:srgbClr val="5F2987"/>
          </a:solidFill>
        </a:ln>
      </dgm:spPr>
      <dgm:t>
        <a:bodyPr/>
        <a:lstStyle/>
        <a:p>
          <a:pPr algn="ctr"/>
          <a:r>
            <a:rPr lang="en-GB">
              <a:latin typeface="Garamond" panose="02020404030301010803" pitchFamily="18" charset="0"/>
            </a:rPr>
            <a:t>Impuestos sobre importaciones</a:t>
          </a:r>
        </a:p>
      </dgm:t>
    </dgm:pt>
    <dgm:pt modelId="{72958093-560F-4804-BA69-FDE7B5A360DC}" type="parTrans" cxnId="{4E459027-A65E-4661-B5FA-4860BBABE3F2}">
      <dgm:prSet/>
      <dgm:spPr>
        <a:ln>
          <a:solidFill>
            <a:srgbClr val="5F2987"/>
          </a:solidFill>
        </a:ln>
      </dgm:spPr>
      <dgm:t>
        <a:bodyPr/>
        <a:lstStyle/>
        <a:p>
          <a:pPr algn="ctr"/>
          <a:endParaRPr lang="es-ES"/>
        </a:p>
      </dgm:t>
    </dgm:pt>
    <dgm:pt modelId="{25D17161-ABC9-47DF-BD04-FE511F6D934A}" type="sibTrans" cxnId="{4E459027-A65E-4661-B5FA-4860BBABE3F2}">
      <dgm:prSet/>
      <dgm:spPr/>
      <dgm:t>
        <a:bodyPr/>
        <a:lstStyle/>
        <a:p>
          <a:pPr algn="ctr"/>
          <a:endParaRPr lang="es-ES"/>
        </a:p>
      </dgm:t>
    </dgm:pt>
    <dgm:pt modelId="{5B2E5BA5-A8A1-42B5-B6DE-DB857014AD7D}">
      <dgm:prSet phldrT="[Text]"/>
      <dgm:spPr>
        <a:ln>
          <a:solidFill>
            <a:srgbClr val="5F2987"/>
          </a:solidFill>
        </a:ln>
      </dgm:spPr>
      <dgm:t>
        <a:bodyPr/>
        <a:lstStyle/>
        <a:p>
          <a:pPr algn="ctr"/>
          <a:r>
            <a:rPr lang="en-GB">
              <a:latin typeface="Garamond" panose="02020404030301010803" pitchFamily="18" charset="0"/>
            </a:rPr>
            <a:t>Otros</a:t>
          </a:r>
        </a:p>
      </dgm:t>
    </dgm:pt>
    <dgm:pt modelId="{7CFBA2F4-65A9-41B1-A44F-F12FE0B5C9C4}" type="parTrans" cxnId="{5AF9811C-379C-4E4B-8434-F860F8601AA5}">
      <dgm:prSet/>
      <dgm:spPr>
        <a:ln>
          <a:solidFill>
            <a:srgbClr val="5F2987"/>
          </a:solidFill>
        </a:ln>
      </dgm:spPr>
      <dgm:t>
        <a:bodyPr/>
        <a:lstStyle/>
        <a:p>
          <a:pPr algn="ctr"/>
          <a:endParaRPr lang="es-ES"/>
        </a:p>
      </dgm:t>
    </dgm:pt>
    <dgm:pt modelId="{68DDEDE7-1894-4744-96D5-2918A85C7BA7}" type="sibTrans" cxnId="{5AF9811C-379C-4E4B-8434-F860F8601AA5}">
      <dgm:prSet/>
      <dgm:spPr/>
      <dgm:t>
        <a:bodyPr/>
        <a:lstStyle/>
        <a:p>
          <a:pPr algn="ctr"/>
          <a:endParaRPr lang="es-ES"/>
        </a:p>
      </dgm:t>
    </dgm:pt>
    <dgm:pt modelId="{709B826E-6EFD-487C-BA72-F525F81C7F98}" type="pres">
      <dgm:prSet presAssocID="{AAFD506F-2361-4CC5-ACC6-2B743F6FD165}" presName="diagram" presStyleCnt="0">
        <dgm:presLayoutVars>
          <dgm:chPref val="1"/>
          <dgm:dir/>
          <dgm:animOne val="branch"/>
          <dgm:animLvl val="lvl"/>
          <dgm:resizeHandles val="exact"/>
        </dgm:presLayoutVars>
      </dgm:prSet>
      <dgm:spPr/>
    </dgm:pt>
    <dgm:pt modelId="{8843E22C-61E4-4A4B-B19D-604D94B49804}" type="pres">
      <dgm:prSet presAssocID="{CE63D591-DDB3-40D9-9AF2-33ED3165AD0A}" presName="root1" presStyleCnt="0"/>
      <dgm:spPr/>
    </dgm:pt>
    <dgm:pt modelId="{7C2761A6-82EA-4AEA-80BB-5F8E25B68E5A}" type="pres">
      <dgm:prSet presAssocID="{CE63D591-DDB3-40D9-9AF2-33ED3165AD0A}" presName="LevelOneTextNode" presStyleLbl="node0" presStyleIdx="0" presStyleCnt="1">
        <dgm:presLayoutVars>
          <dgm:chPref val="3"/>
        </dgm:presLayoutVars>
      </dgm:prSet>
      <dgm:spPr/>
    </dgm:pt>
    <dgm:pt modelId="{BBAC426B-7414-4ED8-BA72-F166189565F8}" type="pres">
      <dgm:prSet presAssocID="{CE63D591-DDB3-40D9-9AF2-33ED3165AD0A}" presName="level2hierChild" presStyleCnt="0"/>
      <dgm:spPr/>
    </dgm:pt>
    <dgm:pt modelId="{920C7AD9-5B86-4699-B3A6-8A9288E0D4F9}" type="pres">
      <dgm:prSet presAssocID="{382366B0-4868-49EA-BEE4-FFF041EFF868}" presName="conn2-1" presStyleLbl="parChTrans1D2" presStyleIdx="0" presStyleCnt="2"/>
      <dgm:spPr/>
    </dgm:pt>
    <dgm:pt modelId="{2FEE0063-C916-433D-A9AD-96ADF5895C24}" type="pres">
      <dgm:prSet presAssocID="{382366B0-4868-49EA-BEE4-FFF041EFF868}" presName="connTx" presStyleLbl="parChTrans1D2" presStyleIdx="0" presStyleCnt="2"/>
      <dgm:spPr/>
    </dgm:pt>
    <dgm:pt modelId="{DB0839C8-8A82-493C-8CC1-4CFFF5975744}" type="pres">
      <dgm:prSet presAssocID="{E1958368-DB21-480E-B4F5-7728A7F762E5}" presName="root2" presStyleCnt="0"/>
      <dgm:spPr/>
    </dgm:pt>
    <dgm:pt modelId="{2BEEE392-126B-4934-8132-2D2A7DC5DF63}" type="pres">
      <dgm:prSet presAssocID="{E1958368-DB21-480E-B4F5-7728A7F762E5}" presName="LevelTwoTextNode" presStyleLbl="node2" presStyleIdx="0" presStyleCnt="2">
        <dgm:presLayoutVars>
          <dgm:chPref val="3"/>
        </dgm:presLayoutVars>
      </dgm:prSet>
      <dgm:spPr/>
    </dgm:pt>
    <dgm:pt modelId="{ED963594-35F5-41DF-8E19-99F0FE510077}" type="pres">
      <dgm:prSet presAssocID="{E1958368-DB21-480E-B4F5-7728A7F762E5}" presName="level3hierChild" presStyleCnt="0"/>
      <dgm:spPr/>
    </dgm:pt>
    <dgm:pt modelId="{4FBE0415-231E-4E3B-8305-D3C3B41AD8D6}" type="pres">
      <dgm:prSet presAssocID="{65220AA6-43F0-4050-A772-AB8660859C3A}" presName="conn2-1" presStyleLbl="parChTrans1D3" presStyleIdx="0" presStyleCnt="2"/>
      <dgm:spPr/>
    </dgm:pt>
    <dgm:pt modelId="{F8A13C92-F05E-4AC3-AFE5-7B91A9F63F73}" type="pres">
      <dgm:prSet presAssocID="{65220AA6-43F0-4050-A772-AB8660859C3A}" presName="connTx" presStyleLbl="parChTrans1D3" presStyleIdx="0" presStyleCnt="2"/>
      <dgm:spPr/>
    </dgm:pt>
    <dgm:pt modelId="{C3408249-5A6B-4FF8-9278-794ACA1BFD88}" type="pres">
      <dgm:prSet presAssocID="{1550A000-A987-47E0-AF0A-1B16A97A678F}" presName="root2" presStyleCnt="0"/>
      <dgm:spPr/>
    </dgm:pt>
    <dgm:pt modelId="{390E068C-87E8-4332-B92D-4ADAB33464C8}" type="pres">
      <dgm:prSet presAssocID="{1550A000-A987-47E0-AF0A-1B16A97A678F}" presName="LevelTwoTextNode" presStyleLbl="node3" presStyleIdx="0" presStyleCnt="2">
        <dgm:presLayoutVars>
          <dgm:chPref val="3"/>
        </dgm:presLayoutVars>
      </dgm:prSet>
      <dgm:spPr/>
    </dgm:pt>
    <dgm:pt modelId="{8129A765-D73C-4D7D-9999-1A3E243F569C}" type="pres">
      <dgm:prSet presAssocID="{1550A000-A987-47E0-AF0A-1B16A97A678F}" presName="level3hierChild" presStyleCnt="0"/>
      <dgm:spPr/>
    </dgm:pt>
    <dgm:pt modelId="{BF2B834A-4F3D-4EC7-BB1F-E08D5E2AA255}" type="pres">
      <dgm:prSet presAssocID="{D82B5322-7386-4D06-8F13-695DE0EA62EA}" presName="conn2-1" presStyleLbl="parChTrans1D4" presStyleIdx="0" presStyleCnt="3"/>
      <dgm:spPr/>
    </dgm:pt>
    <dgm:pt modelId="{DE6EBF54-A525-40DC-8DBF-8240D8F76BE5}" type="pres">
      <dgm:prSet presAssocID="{D82B5322-7386-4D06-8F13-695DE0EA62EA}" presName="connTx" presStyleLbl="parChTrans1D4" presStyleIdx="0" presStyleCnt="3"/>
      <dgm:spPr/>
    </dgm:pt>
    <dgm:pt modelId="{D79EDE77-902E-4413-BBAA-042AB93BB94B}" type="pres">
      <dgm:prSet presAssocID="{B4C50B7B-C598-4E99-A6B3-6D3713D39B36}" presName="root2" presStyleCnt="0"/>
      <dgm:spPr/>
    </dgm:pt>
    <dgm:pt modelId="{58D9606C-3B1E-45D2-A517-54CE07FD7235}" type="pres">
      <dgm:prSet presAssocID="{B4C50B7B-C598-4E99-A6B3-6D3713D39B36}" presName="LevelTwoTextNode" presStyleLbl="node4" presStyleIdx="0" presStyleCnt="3" custScaleX="110391" custScaleY="54559">
        <dgm:presLayoutVars>
          <dgm:chPref val="3"/>
        </dgm:presLayoutVars>
      </dgm:prSet>
      <dgm:spPr/>
    </dgm:pt>
    <dgm:pt modelId="{3F12F0FC-B245-4CFA-9776-1F93C6492637}" type="pres">
      <dgm:prSet presAssocID="{B4C50B7B-C598-4E99-A6B3-6D3713D39B36}" presName="level3hierChild" presStyleCnt="0"/>
      <dgm:spPr/>
    </dgm:pt>
    <dgm:pt modelId="{B94DD90A-165C-4E41-8DF7-1FD76C111894}" type="pres">
      <dgm:prSet presAssocID="{72958093-560F-4804-BA69-FDE7B5A360DC}" presName="conn2-1" presStyleLbl="parChTrans1D4" presStyleIdx="1" presStyleCnt="3"/>
      <dgm:spPr/>
    </dgm:pt>
    <dgm:pt modelId="{6E9F4F80-BA25-40F4-BA7B-55AA757BD54C}" type="pres">
      <dgm:prSet presAssocID="{72958093-560F-4804-BA69-FDE7B5A360DC}" presName="connTx" presStyleLbl="parChTrans1D4" presStyleIdx="1" presStyleCnt="3"/>
      <dgm:spPr/>
    </dgm:pt>
    <dgm:pt modelId="{EC7A597C-84BE-41E4-8CF4-1B66B80F2EC8}" type="pres">
      <dgm:prSet presAssocID="{42266F70-F7E4-4E4F-91BF-E918E2A28614}" presName="root2" presStyleCnt="0"/>
      <dgm:spPr/>
    </dgm:pt>
    <dgm:pt modelId="{1750E523-226F-4CF8-A122-C78AC1F392FF}" type="pres">
      <dgm:prSet presAssocID="{42266F70-F7E4-4E4F-91BF-E918E2A28614}" presName="LevelTwoTextNode" presStyleLbl="node4" presStyleIdx="1" presStyleCnt="3" custScaleX="110391" custScaleY="54559">
        <dgm:presLayoutVars>
          <dgm:chPref val="3"/>
        </dgm:presLayoutVars>
      </dgm:prSet>
      <dgm:spPr/>
    </dgm:pt>
    <dgm:pt modelId="{D831E02E-4365-4335-B1C1-9CE230D7651B}" type="pres">
      <dgm:prSet presAssocID="{42266F70-F7E4-4E4F-91BF-E918E2A28614}" presName="level3hierChild" presStyleCnt="0"/>
      <dgm:spPr/>
    </dgm:pt>
    <dgm:pt modelId="{647C7D88-B2A6-48C2-8679-23451BBC9F4F}" type="pres">
      <dgm:prSet presAssocID="{7CFBA2F4-65A9-41B1-A44F-F12FE0B5C9C4}" presName="conn2-1" presStyleLbl="parChTrans1D4" presStyleIdx="2" presStyleCnt="3"/>
      <dgm:spPr/>
    </dgm:pt>
    <dgm:pt modelId="{2F3ED9A8-3666-4044-A812-0B957AD05607}" type="pres">
      <dgm:prSet presAssocID="{7CFBA2F4-65A9-41B1-A44F-F12FE0B5C9C4}" presName="connTx" presStyleLbl="parChTrans1D4" presStyleIdx="2" presStyleCnt="3"/>
      <dgm:spPr/>
    </dgm:pt>
    <dgm:pt modelId="{7187E1CF-6E8D-409B-9BCB-BDA4A23C2DB5}" type="pres">
      <dgm:prSet presAssocID="{5B2E5BA5-A8A1-42B5-B6DE-DB857014AD7D}" presName="root2" presStyleCnt="0"/>
      <dgm:spPr/>
    </dgm:pt>
    <dgm:pt modelId="{1D507963-EE55-45A8-B095-D2F3B89B46F8}" type="pres">
      <dgm:prSet presAssocID="{5B2E5BA5-A8A1-42B5-B6DE-DB857014AD7D}" presName="LevelTwoTextNode" presStyleLbl="node4" presStyleIdx="2" presStyleCnt="3" custScaleX="110391" custScaleY="54559">
        <dgm:presLayoutVars>
          <dgm:chPref val="3"/>
        </dgm:presLayoutVars>
      </dgm:prSet>
      <dgm:spPr/>
    </dgm:pt>
    <dgm:pt modelId="{6A96472A-3D6B-4C6F-AD98-EFEAEC3D100D}" type="pres">
      <dgm:prSet presAssocID="{5B2E5BA5-A8A1-42B5-B6DE-DB857014AD7D}" presName="level3hierChild" presStyleCnt="0"/>
      <dgm:spPr/>
    </dgm:pt>
    <dgm:pt modelId="{E81AC797-7EB4-4295-908E-83F2D941CC5B}" type="pres">
      <dgm:prSet presAssocID="{1CE9D758-72C4-46D1-A3B3-7C9BB8FDD308}" presName="conn2-1" presStyleLbl="parChTrans1D3" presStyleIdx="1" presStyleCnt="2"/>
      <dgm:spPr/>
    </dgm:pt>
    <dgm:pt modelId="{08B1FDBC-74B4-4EC3-B156-CBFA1725274C}" type="pres">
      <dgm:prSet presAssocID="{1CE9D758-72C4-46D1-A3B3-7C9BB8FDD308}" presName="connTx" presStyleLbl="parChTrans1D3" presStyleIdx="1" presStyleCnt="2"/>
      <dgm:spPr/>
    </dgm:pt>
    <dgm:pt modelId="{632B999D-8AC5-4C7F-95FF-7A52EC1D9683}" type="pres">
      <dgm:prSet presAssocID="{2FB6C8E2-B97F-4FFF-A52E-41FB37D7BC8B}" presName="root2" presStyleCnt="0"/>
      <dgm:spPr/>
    </dgm:pt>
    <dgm:pt modelId="{F3E92EAF-FF95-4685-B28F-6D34D162339B}" type="pres">
      <dgm:prSet presAssocID="{2FB6C8E2-B97F-4FFF-A52E-41FB37D7BC8B}" presName="LevelTwoTextNode" presStyleLbl="node3" presStyleIdx="1" presStyleCnt="2">
        <dgm:presLayoutVars>
          <dgm:chPref val="3"/>
        </dgm:presLayoutVars>
      </dgm:prSet>
      <dgm:spPr/>
    </dgm:pt>
    <dgm:pt modelId="{FD131E09-2ADA-4294-8B5F-B2373AB976D2}" type="pres">
      <dgm:prSet presAssocID="{2FB6C8E2-B97F-4FFF-A52E-41FB37D7BC8B}" presName="level3hierChild" presStyleCnt="0"/>
      <dgm:spPr/>
    </dgm:pt>
    <dgm:pt modelId="{79E24A38-0DC3-4B27-BE8F-8C3F73A33369}" type="pres">
      <dgm:prSet presAssocID="{D37CF5CE-9DCD-4F96-8BE0-850F1A4FD3FF}" presName="conn2-1" presStyleLbl="parChTrans1D2" presStyleIdx="1" presStyleCnt="2"/>
      <dgm:spPr/>
    </dgm:pt>
    <dgm:pt modelId="{4E24E803-B06D-4554-B0B7-E989E8EB5DA0}" type="pres">
      <dgm:prSet presAssocID="{D37CF5CE-9DCD-4F96-8BE0-850F1A4FD3FF}" presName="connTx" presStyleLbl="parChTrans1D2" presStyleIdx="1" presStyleCnt="2"/>
      <dgm:spPr/>
    </dgm:pt>
    <dgm:pt modelId="{01A8A4C8-44A1-4D8A-95D3-361811F2C2E4}" type="pres">
      <dgm:prSet presAssocID="{EEFC9806-CBD4-42BE-BFBF-F8E9AB335A3F}" presName="root2" presStyleCnt="0"/>
      <dgm:spPr/>
    </dgm:pt>
    <dgm:pt modelId="{F5742226-42F2-4540-9B40-F39D2DE584D6}" type="pres">
      <dgm:prSet presAssocID="{EEFC9806-CBD4-42BE-BFBF-F8E9AB335A3F}" presName="LevelTwoTextNode" presStyleLbl="node2" presStyleIdx="1" presStyleCnt="2">
        <dgm:presLayoutVars>
          <dgm:chPref val="3"/>
        </dgm:presLayoutVars>
      </dgm:prSet>
      <dgm:spPr/>
    </dgm:pt>
    <dgm:pt modelId="{55D17A68-B110-4AED-AB45-9A30EB24C51B}" type="pres">
      <dgm:prSet presAssocID="{EEFC9806-CBD4-42BE-BFBF-F8E9AB335A3F}" presName="level3hierChild" presStyleCnt="0"/>
      <dgm:spPr/>
    </dgm:pt>
  </dgm:ptLst>
  <dgm:cxnLst>
    <dgm:cxn modelId="{3E224705-B83B-4C31-BCB3-172E3D93B26A}" srcId="{CE63D591-DDB3-40D9-9AF2-33ED3165AD0A}" destId="{EEFC9806-CBD4-42BE-BFBF-F8E9AB335A3F}" srcOrd="1" destOrd="0" parTransId="{D37CF5CE-9DCD-4F96-8BE0-850F1A4FD3FF}" sibTransId="{8F0DC486-814C-412D-B1D3-FBCF57F6962E}"/>
    <dgm:cxn modelId="{50EFFD05-4E36-42C5-902E-57104DD4FC9D}" type="presOf" srcId="{D37CF5CE-9DCD-4F96-8BE0-850F1A4FD3FF}" destId="{4E24E803-B06D-4554-B0B7-E989E8EB5DA0}" srcOrd="1" destOrd="0" presId="urn:microsoft.com/office/officeart/2005/8/layout/hierarchy2"/>
    <dgm:cxn modelId="{5AF9811C-379C-4E4B-8434-F860F8601AA5}" srcId="{1550A000-A987-47E0-AF0A-1B16A97A678F}" destId="{5B2E5BA5-A8A1-42B5-B6DE-DB857014AD7D}" srcOrd="2" destOrd="0" parTransId="{7CFBA2F4-65A9-41B1-A44F-F12FE0B5C9C4}" sibTransId="{68DDEDE7-1894-4744-96D5-2918A85C7BA7}"/>
    <dgm:cxn modelId="{504B2C24-04F5-4682-AE86-69CABA0957DB}" type="presOf" srcId="{CE63D591-DDB3-40D9-9AF2-33ED3165AD0A}" destId="{7C2761A6-82EA-4AEA-80BB-5F8E25B68E5A}" srcOrd="0" destOrd="0" presId="urn:microsoft.com/office/officeart/2005/8/layout/hierarchy2"/>
    <dgm:cxn modelId="{F1378126-17AA-44E3-9A92-E62E256F4F2F}" type="presOf" srcId="{7CFBA2F4-65A9-41B1-A44F-F12FE0B5C9C4}" destId="{2F3ED9A8-3666-4044-A812-0B957AD05607}" srcOrd="1" destOrd="0" presId="urn:microsoft.com/office/officeart/2005/8/layout/hierarchy2"/>
    <dgm:cxn modelId="{4E459027-A65E-4661-B5FA-4860BBABE3F2}" srcId="{1550A000-A987-47E0-AF0A-1B16A97A678F}" destId="{42266F70-F7E4-4E4F-91BF-E918E2A28614}" srcOrd="1" destOrd="0" parTransId="{72958093-560F-4804-BA69-FDE7B5A360DC}" sibTransId="{25D17161-ABC9-47DF-BD04-FE511F6D934A}"/>
    <dgm:cxn modelId="{DE70972A-27A5-419E-B2CE-EC19FBB44682}" type="presOf" srcId="{2FB6C8E2-B97F-4FFF-A52E-41FB37D7BC8B}" destId="{F3E92EAF-FF95-4685-B28F-6D34D162339B}" srcOrd="0" destOrd="0" presId="urn:microsoft.com/office/officeart/2005/8/layout/hierarchy2"/>
    <dgm:cxn modelId="{B128322C-E991-4E1E-A1AE-3140FC1B74A1}" type="presOf" srcId="{5B2E5BA5-A8A1-42B5-B6DE-DB857014AD7D}" destId="{1D507963-EE55-45A8-B095-D2F3B89B46F8}" srcOrd="0" destOrd="0" presId="urn:microsoft.com/office/officeart/2005/8/layout/hierarchy2"/>
    <dgm:cxn modelId="{A574E231-6D7D-453D-9151-2C043CAE1AF8}" srcId="{E1958368-DB21-480E-B4F5-7728A7F762E5}" destId="{1550A000-A987-47E0-AF0A-1B16A97A678F}" srcOrd="0" destOrd="0" parTransId="{65220AA6-43F0-4050-A772-AB8660859C3A}" sibTransId="{5FA26539-D545-4DEC-9ACB-0B00D02E5532}"/>
    <dgm:cxn modelId="{3D8C963A-3032-4E34-B2BC-68D571158C9B}" type="presOf" srcId="{1CE9D758-72C4-46D1-A3B3-7C9BB8FDD308}" destId="{08B1FDBC-74B4-4EC3-B156-CBFA1725274C}" srcOrd="1" destOrd="0" presId="urn:microsoft.com/office/officeart/2005/8/layout/hierarchy2"/>
    <dgm:cxn modelId="{52B98946-21FA-4451-B1D5-B5BD161CD162}" type="presOf" srcId="{72958093-560F-4804-BA69-FDE7B5A360DC}" destId="{6E9F4F80-BA25-40F4-BA7B-55AA757BD54C}" srcOrd="1" destOrd="0" presId="urn:microsoft.com/office/officeart/2005/8/layout/hierarchy2"/>
    <dgm:cxn modelId="{C2344249-1084-4086-8087-E787F66FBDB5}" type="presOf" srcId="{42266F70-F7E4-4E4F-91BF-E918E2A28614}" destId="{1750E523-226F-4CF8-A122-C78AC1F392FF}" srcOrd="0" destOrd="0" presId="urn:microsoft.com/office/officeart/2005/8/layout/hierarchy2"/>
    <dgm:cxn modelId="{35159E6B-25BA-4B10-BC29-E732CEA03C74}" type="presOf" srcId="{1CE9D758-72C4-46D1-A3B3-7C9BB8FDD308}" destId="{E81AC797-7EB4-4295-908E-83F2D941CC5B}" srcOrd="0" destOrd="0" presId="urn:microsoft.com/office/officeart/2005/8/layout/hierarchy2"/>
    <dgm:cxn modelId="{8BA8A94D-F986-4BAC-B850-C447D391C9B3}" type="presOf" srcId="{1550A000-A987-47E0-AF0A-1B16A97A678F}" destId="{390E068C-87E8-4332-B92D-4ADAB33464C8}" srcOrd="0" destOrd="0" presId="urn:microsoft.com/office/officeart/2005/8/layout/hierarchy2"/>
    <dgm:cxn modelId="{9C2AC651-C509-4C55-8FCB-06C1CAFDBCA0}" type="presOf" srcId="{382366B0-4868-49EA-BEE4-FFF041EFF868}" destId="{920C7AD9-5B86-4699-B3A6-8A9288E0D4F9}" srcOrd="0" destOrd="0" presId="urn:microsoft.com/office/officeart/2005/8/layout/hierarchy2"/>
    <dgm:cxn modelId="{CADD217D-AE5C-4C76-BBA6-C84736FB3BD9}" type="presOf" srcId="{E1958368-DB21-480E-B4F5-7728A7F762E5}" destId="{2BEEE392-126B-4934-8132-2D2A7DC5DF63}" srcOrd="0" destOrd="0" presId="urn:microsoft.com/office/officeart/2005/8/layout/hierarchy2"/>
    <dgm:cxn modelId="{67F0568E-3DEA-421F-919E-6E1C7D921087}" type="presOf" srcId="{B4C50B7B-C598-4E99-A6B3-6D3713D39B36}" destId="{58D9606C-3B1E-45D2-A517-54CE07FD7235}" srcOrd="0" destOrd="0" presId="urn:microsoft.com/office/officeart/2005/8/layout/hierarchy2"/>
    <dgm:cxn modelId="{C272B890-4870-4D2C-8809-3A4D086BF210}" srcId="{1550A000-A987-47E0-AF0A-1B16A97A678F}" destId="{B4C50B7B-C598-4E99-A6B3-6D3713D39B36}" srcOrd="0" destOrd="0" parTransId="{D82B5322-7386-4D06-8F13-695DE0EA62EA}" sibTransId="{C7F3DBF5-A392-4032-B936-EC1C6E68E0F7}"/>
    <dgm:cxn modelId="{85E749A2-B8C0-48C0-836B-2C9E26E2FC1C}" type="presOf" srcId="{AAFD506F-2361-4CC5-ACC6-2B743F6FD165}" destId="{709B826E-6EFD-487C-BA72-F525F81C7F98}" srcOrd="0" destOrd="0" presId="urn:microsoft.com/office/officeart/2005/8/layout/hierarchy2"/>
    <dgm:cxn modelId="{805E87A5-6064-4CEA-B0C7-8746876B9D3B}" type="presOf" srcId="{D82B5322-7386-4D06-8F13-695DE0EA62EA}" destId="{DE6EBF54-A525-40DC-8DBF-8240D8F76BE5}" srcOrd="1" destOrd="0" presId="urn:microsoft.com/office/officeart/2005/8/layout/hierarchy2"/>
    <dgm:cxn modelId="{F7E242AA-7778-4906-A7FE-A153A85313AE}" type="presOf" srcId="{D37CF5CE-9DCD-4F96-8BE0-850F1A4FD3FF}" destId="{79E24A38-0DC3-4B27-BE8F-8C3F73A33369}" srcOrd="0" destOrd="0" presId="urn:microsoft.com/office/officeart/2005/8/layout/hierarchy2"/>
    <dgm:cxn modelId="{D6E03EB8-3CE9-44BF-A9B7-8CB78BCCD442}" type="presOf" srcId="{72958093-560F-4804-BA69-FDE7B5A360DC}" destId="{B94DD90A-165C-4E41-8DF7-1FD76C111894}" srcOrd="0" destOrd="0" presId="urn:microsoft.com/office/officeart/2005/8/layout/hierarchy2"/>
    <dgm:cxn modelId="{52A074BB-A9F4-472F-9058-DC027388CC7B}" type="presOf" srcId="{D82B5322-7386-4D06-8F13-695DE0EA62EA}" destId="{BF2B834A-4F3D-4EC7-BB1F-E08D5E2AA255}" srcOrd="0" destOrd="0" presId="urn:microsoft.com/office/officeart/2005/8/layout/hierarchy2"/>
    <dgm:cxn modelId="{C7B4F4BB-A9F8-45C9-A2E1-09B7109D74E0}" srcId="{AAFD506F-2361-4CC5-ACC6-2B743F6FD165}" destId="{CE63D591-DDB3-40D9-9AF2-33ED3165AD0A}" srcOrd="0" destOrd="0" parTransId="{E25ED1EE-8CDD-485B-A3A2-C74603E733B4}" sibTransId="{0E034C34-A8C9-43B4-831B-73A634CF80A1}"/>
    <dgm:cxn modelId="{3E5917C2-06D9-4F4E-A7A5-A5683529C35A}" type="presOf" srcId="{7CFBA2F4-65A9-41B1-A44F-F12FE0B5C9C4}" destId="{647C7D88-B2A6-48C2-8679-23451BBC9F4F}" srcOrd="0" destOrd="0" presId="urn:microsoft.com/office/officeart/2005/8/layout/hierarchy2"/>
    <dgm:cxn modelId="{433BD4C6-0212-4F60-940D-6DD4EEA75E1B}" srcId="{CE63D591-DDB3-40D9-9AF2-33ED3165AD0A}" destId="{E1958368-DB21-480E-B4F5-7728A7F762E5}" srcOrd="0" destOrd="0" parTransId="{382366B0-4868-49EA-BEE4-FFF041EFF868}" sibTransId="{66BBCEC1-B6FD-4748-BEC6-43B484DCB750}"/>
    <dgm:cxn modelId="{EC2D3FD3-123B-4E6E-8C64-CAFE2A12A31F}" type="presOf" srcId="{65220AA6-43F0-4050-A772-AB8660859C3A}" destId="{F8A13C92-F05E-4AC3-AFE5-7B91A9F63F73}" srcOrd="1" destOrd="0" presId="urn:microsoft.com/office/officeart/2005/8/layout/hierarchy2"/>
    <dgm:cxn modelId="{FAB22FD7-83C3-4169-A98F-6A2F947B3934}" type="presOf" srcId="{EEFC9806-CBD4-42BE-BFBF-F8E9AB335A3F}" destId="{F5742226-42F2-4540-9B40-F39D2DE584D6}" srcOrd="0" destOrd="0" presId="urn:microsoft.com/office/officeart/2005/8/layout/hierarchy2"/>
    <dgm:cxn modelId="{E04380DA-FEF8-4C5D-A8DB-D33B73697208}" type="presOf" srcId="{65220AA6-43F0-4050-A772-AB8660859C3A}" destId="{4FBE0415-231E-4E3B-8305-D3C3B41AD8D6}" srcOrd="0" destOrd="0" presId="urn:microsoft.com/office/officeart/2005/8/layout/hierarchy2"/>
    <dgm:cxn modelId="{5CA50CDE-4838-4237-A9D4-870465A2472F}" type="presOf" srcId="{382366B0-4868-49EA-BEE4-FFF041EFF868}" destId="{2FEE0063-C916-433D-A9AD-96ADF5895C24}" srcOrd="1" destOrd="0" presId="urn:microsoft.com/office/officeart/2005/8/layout/hierarchy2"/>
    <dgm:cxn modelId="{E76AF5E5-CCA3-4754-9D3A-96B750C384B5}" srcId="{E1958368-DB21-480E-B4F5-7728A7F762E5}" destId="{2FB6C8E2-B97F-4FFF-A52E-41FB37D7BC8B}" srcOrd="1" destOrd="0" parTransId="{1CE9D758-72C4-46D1-A3B3-7C9BB8FDD308}" sibTransId="{8E276A83-A9E7-4674-AC99-77EF4EFC6878}"/>
    <dgm:cxn modelId="{D0215543-795C-4A33-8112-562B8776E557}" type="presParOf" srcId="{709B826E-6EFD-487C-BA72-F525F81C7F98}" destId="{8843E22C-61E4-4A4B-B19D-604D94B49804}" srcOrd="0" destOrd="0" presId="urn:microsoft.com/office/officeart/2005/8/layout/hierarchy2"/>
    <dgm:cxn modelId="{17A96368-8D80-4BE2-8E34-E2CF1B456854}" type="presParOf" srcId="{8843E22C-61E4-4A4B-B19D-604D94B49804}" destId="{7C2761A6-82EA-4AEA-80BB-5F8E25B68E5A}" srcOrd="0" destOrd="0" presId="urn:microsoft.com/office/officeart/2005/8/layout/hierarchy2"/>
    <dgm:cxn modelId="{B6A54054-81E9-45A5-BA08-3BA6AB9C950B}" type="presParOf" srcId="{8843E22C-61E4-4A4B-B19D-604D94B49804}" destId="{BBAC426B-7414-4ED8-BA72-F166189565F8}" srcOrd="1" destOrd="0" presId="urn:microsoft.com/office/officeart/2005/8/layout/hierarchy2"/>
    <dgm:cxn modelId="{BA42796A-0008-4439-8A9F-240E5AE32D4A}" type="presParOf" srcId="{BBAC426B-7414-4ED8-BA72-F166189565F8}" destId="{920C7AD9-5B86-4699-B3A6-8A9288E0D4F9}" srcOrd="0" destOrd="0" presId="urn:microsoft.com/office/officeart/2005/8/layout/hierarchy2"/>
    <dgm:cxn modelId="{9DFD5FBE-4F9D-4B50-B63E-50718D8D68B3}" type="presParOf" srcId="{920C7AD9-5B86-4699-B3A6-8A9288E0D4F9}" destId="{2FEE0063-C916-433D-A9AD-96ADF5895C24}" srcOrd="0" destOrd="0" presId="urn:microsoft.com/office/officeart/2005/8/layout/hierarchy2"/>
    <dgm:cxn modelId="{73205D3D-E1FE-48C9-911E-EAC8550B8BE6}" type="presParOf" srcId="{BBAC426B-7414-4ED8-BA72-F166189565F8}" destId="{DB0839C8-8A82-493C-8CC1-4CFFF5975744}" srcOrd="1" destOrd="0" presId="urn:microsoft.com/office/officeart/2005/8/layout/hierarchy2"/>
    <dgm:cxn modelId="{2343A0D2-F2FA-4BAA-96B2-2E86093E0742}" type="presParOf" srcId="{DB0839C8-8A82-493C-8CC1-4CFFF5975744}" destId="{2BEEE392-126B-4934-8132-2D2A7DC5DF63}" srcOrd="0" destOrd="0" presId="urn:microsoft.com/office/officeart/2005/8/layout/hierarchy2"/>
    <dgm:cxn modelId="{7D4BB88E-669B-441F-AEA9-FC59C1FE4322}" type="presParOf" srcId="{DB0839C8-8A82-493C-8CC1-4CFFF5975744}" destId="{ED963594-35F5-41DF-8E19-99F0FE510077}" srcOrd="1" destOrd="0" presId="urn:microsoft.com/office/officeart/2005/8/layout/hierarchy2"/>
    <dgm:cxn modelId="{547E1745-70BF-4257-AFAF-496B327C1397}" type="presParOf" srcId="{ED963594-35F5-41DF-8E19-99F0FE510077}" destId="{4FBE0415-231E-4E3B-8305-D3C3B41AD8D6}" srcOrd="0" destOrd="0" presId="urn:microsoft.com/office/officeart/2005/8/layout/hierarchy2"/>
    <dgm:cxn modelId="{10BF02F5-21AF-4138-8BC3-DB4D10369AC4}" type="presParOf" srcId="{4FBE0415-231E-4E3B-8305-D3C3B41AD8D6}" destId="{F8A13C92-F05E-4AC3-AFE5-7B91A9F63F73}" srcOrd="0" destOrd="0" presId="urn:microsoft.com/office/officeart/2005/8/layout/hierarchy2"/>
    <dgm:cxn modelId="{CB33E138-4474-4F1F-AC08-0660CE0D99B3}" type="presParOf" srcId="{ED963594-35F5-41DF-8E19-99F0FE510077}" destId="{C3408249-5A6B-4FF8-9278-794ACA1BFD88}" srcOrd="1" destOrd="0" presId="urn:microsoft.com/office/officeart/2005/8/layout/hierarchy2"/>
    <dgm:cxn modelId="{06628804-AC38-4EC9-B04C-63BDFC4F2DC8}" type="presParOf" srcId="{C3408249-5A6B-4FF8-9278-794ACA1BFD88}" destId="{390E068C-87E8-4332-B92D-4ADAB33464C8}" srcOrd="0" destOrd="0" presId="urn:microsoft.com/office/officeart/2005/8/layout/hierarchy2"/>
    <dgm:cxn modelId="{603199BE-85E8-4D03-8A2D-1EEF8A1C139B}" type="presParOf" srcId="{C3408249-5A6B-4FF8-9278-794ACA1BFD88}" destId="{8129A765-D73C-4D7D-9999-1A3E243F569C}" srcOrd="1" destOrd="0" presId="urn:microsoft.com/office/officeart/2005/8/layout/hierarchy2"/>
    <dgm:cxn modelId="{3741D7A1-6F5A-4BB5-A326-5EB3B1E0B376}" type="presParOf" srcId="{8129A765-D73C-4D7D-9999-1A3E243F569C}" destId="{BF2B834A-4F3D-4EC7-BB1F-E08D5E2AA255}" srcOrd="0" destOrd="0" presId="urn:microsoft.com/office/officeart/2005/8/layout/hierarchy2"/>
    <dgm:cxn modelId="{7F6F09D4-D52E-446C-8A1F-5FDD5B143B06}" type="presParOf" srcId="{BF2B834A-4F3D-4EC7-BB1F-E08D5E2AA255}" destId="{DE6EBF54-A525-40DC-8DBF-8240D8F76BE5}" srcOrd="0" destOrd="0" presId="urn:microsoft.com/office/officeart/2005/8/layout/hierarchy2"/>
    <dgm:cxn modelId="{4EC7BDF4-39BA-4721-A827-341C1F7CC7A1}" type="presParOf" srcId="{8129A765-D73C-4D7D-9999-1A3E243F569C}" destId="{D79EDE77-902E-4413-BBAA-042AB93BB94B}" srcOrd="1" destOrd="0" presId="urn:microsoft.com/office/officeart/2005/8/layout/hierarchy2"/>
    <dgm:cxn modelId="{C84653CB-1BDC-4454-8511-A2D4012636A4}" type="presParOf" srcId="{D79EDE77-902E-4413-BBAA-042AB93BB94B}" destId="{58D9606C-3B1E-45D2-A517-54CE07FD7235}" srcOrd="0" destOrd="0" presId="urn:microsoft.com/office/officeart/2005/8/layout/hierarchy2"/>
    <dgm:cxn modelId="{4C35A6BD-8017-489D-8E13-7CFE774BD6C3}" type="presParOf" srcId="{D79EDE77-902E-4413-BBAA-042AB93BB94B}" destId="{3F12F0FC-B245-4CFA-9776-1F93C6492637}" srcOrd="1" destOrd="0" presId="urn:microsoft.com/office/officeart/2005/8/layout/hierarchy2"/>
    <dgm:cxn modelId="{6796C4C9-781D-4615-B8EA-CC0DBA8AD851}" type="presParOf" srcId="{8129A765-D73C-4D7D-9999-1A3E243F569C}" destId="{B94DD90A-165C-4E41-8DF7-1FD76C111894}" srcOrd="2" destOrd="0" presId="urn:microsoft.com/office/officeart/2005/8/layout/hierarchy2"/>
    <dgm:cxn modelId="{89101FAE-D7CD-4D2F-A341-702B0F67EB55}" type="presParOf" srcId="{B94DD90A-165C-4E41-8DF7-1FD76C111894}" destId="{6E9F4F80-BA25-40F4-BA7B-55AA757BD54C}" srcOrd="0" destOrd="0" presId="urn:microsoft.com/office/officeart/2005/8/layout/hierarchy2"/>
    <dgm:cxn modelId="{1FD47D4B-409D-4FD3-AF02-D1527E15295F}" type="presParOf" srcId="{8129A765-D73C-4D7D-9999-1A3E243F569C}" destId="{EC7A597C-84BE-41E4-8CF4-1B66B80F2EC8}" srcOrd="3" destOrd="0" presId="urn:microsoft.com/office/officeart/2005/8/layout/hierarchy2"/>
    <dgm:cxn modelId="{451AB156-489F-4A55-B09E-F2404F69AFD4}" type="presParOf" srcId="{EC7A597C-84BE-41E4-8CF4-1B66B80F2EC8}" destId="{1750E523-226F-4CF8-A122-C78AC1F392FF}" srcOrd="0" destOrd="0" presId="urn:microsoft.com/office/officeart/2005/8/layout/hierarchy2"/>
    <dgm:cxn modelId="{3C12C1E7-2F43-4996-975F-6530C992B5F4}" type="presParOf" srcId="{EC7A597C-84BE-41E4-8CF4-1B66B80F2EC8}" destId="{D831E02E-4365-4335-B1C1-9CE230D7651B}" srcOrd="1" destOrd="0" presId="urn:microsoft.com/office/officeart/2005/8/layout/hierarchy2"/>
    <dgm:cxn modelId="{D2B7E123-034C-4DEB-AFDE-1790235BCC38}" type="presParOf" srcId="{8129A765-D73C-4D7D-9999-1A3E243F569C}" destId="{647C7D88-B2A6-48C2-8679-23451BBC9F4F}" srcOrd="4" destOrd="0" presId="urn:microsoft.com/office/officeart/2005/8/layout/hierarchy2"/>
    <dgm:cxn modelId="{5950D349-F0F6-48A3-8168-F2383B57B5ED}" type="presParOf" srcId="{647C7D88-B2A6-48C2-8679-23451BBC9F4F}" destId="{2F3ED9A8-3666-4044-A812-0B957AD05607}" srcOrd="0" destOrd="0" presId="urn:microsoft.com/office/officeart/2005/8/layout/hierarchy2"/>
    <dgm:cxn modelId="{A09BFB3B-C6C4-4312-AE68-40240C8F60DB}" type="presParOf" srcId="{8129A765-D73C-4D7D-9999-1A3E243F569C}" destId="{7187E1CF-6E8D-409B-9BCB-BDA4A23C2DB5}" srcOrd="5" destOrd="0" presId="urn:microsoft.com/office/officeart/2005/8/layout/hierarchy2"/>
    <dgm:cxn modelId="{DD7DE7B0-92C2-40B3-9F29-4EE28BB6EF57}" type="presParOf" srcId="{7187E1CF-6E8D-409B-9BCB-BDA4A23C2DB5}" destId="{1D507963-EE55-45A8-B095-D2F3B89B46F8}" srcOrd="0" destOrd="0" presId="urn:microsoft.com/office/officeart/2005/8/layout/hierarchy2"/>
    <dgm:cxn modelId="{DA3E338F-E0FD-4625-8BDF-BA26DD88EFF3}" type="presParOf" srcId="{7187E1CF-6E8D-409B-9BCB-BDA4A23C2DB5}" destId="{6A96472A-3D6B-4C6F-AD98-EFEAEC3D100D}" srcOrd="1" destOrd="0" presId="urn:microsoft.com/office/officeart/2005/8/layout/hierarchy2"/>
    <dgm:cxn modelId="{8BB43C2A-DA77-4419-AB4B-D669B274BB29}" type="presParOf" srcId="{ED963594-35F5-41DF-8E19-99F0FE510077}" destId="{E81AC797-7EB4-4295-908E-83F2D941CC5B}" srcOrd="2" destOrd="0" presId="urn:microsoft.com/office/officeart/2005/8/layout/hierarchy2"/>
    <dgm:cxn modelId="{4C9A01CF-A020-49A5-80C1-F3E1CD027190}" type="presParOf" srcId="{E81AC797-7EB4-4295-908E-83F2D941CC5B}" destId="{08B1FDBC-74B4-4EC3-B156-CBFA1725274C}" srcOrd="0" destOrd="0" presId="urn:microsoft.com/office/officeart/2005/8/layout/hierarchy2"/>
    <dgm:cxn modelId="{8FC791A1-9223-4A9C-812D-580B3A1F3486}" type="presParOf" srcId="{ED963594-35F5-41DF-8E19-99F0FE510077}" destId="{632B999D-8AC5-4C7F-95FF-7A52EC1D9683}" srcOrd="3" destOrd="0" presId="urn:microsoft.com/office/officeart/2005/8/layout/hierarchy2"/>
    <dgm:cxn modelId="{5142BA12-78DC-446D-B5C5-3E91BE58F5A1}" type="presParOf" srcId="{632B999D-8AC5-4C7F-95FF-7A52EC1D9683}" destId="{F3E92EAF-FF95-4685-B28F-6D34D162339B}" srcOrd="0" destOrd="0" presId="urn:microsoft.com/office/officeart/2005/8/layout/hierarchy2"/>
    <dgm:cxn modelId="{76F987CD-5773-4364-B501-A856C7A21248}" type="presParOf" srcId="{632B999D-8AC5-4C7F-95FF-7A52EC1D9683}" destId="{FD131E09-2ADA-4294-8B5F-B2373AB976D2}" srcOrd="1" destOrd="0" presId="urn:microsoft.com/office/officeart/2005/8/layout/hierarchy2"/>
    <dgm:cxn modelId="{BA5E360C-AFBF-414F-894A-81E26B62AFB2}" type="presParOf" srcId="{BBAC426B-7414-4ED8-BA72-F166189565F8}" destId="{79E24A38-0DC3-4B27-BE8F-8C3F73A33369}" srcOrd="2" destOrd="0" presId="urn:microsoft.com/office/officeart/2005/8/layout/hierarchy2"/>
    <dgm:cxn modelId="{9F1C44D7-D409-43FC-99A8-DCB8EEE900A3}" type="presParOf" srcId="{79E24A38-0DC3-4B27-BE8F-8C3F73A33369}" destId="{4E24E803-B06D-4554-B0B7-E989E8EB5DA0}" srcOrd="0" destOrd="0" presId="urn:microsoft.com/office/officeart/2005/8/layout/hierarchy2"/>
    <dgm:cxn modelId="{D85BAEDA-9026-47AA-8A0B-1D3CCEFFD175}" type="presParOf" srcId="{BBAC426B-7414-4ED8-BA72-F166189565F8}" destId="{01A8A4C8-44A1-4D8A-95D3-361811F2C2E4}" srcOrd="3" destOrd="0" presId="urn:microsoft.com/office/officeart/2005/8/layout/hierarchy2"/>
    <dgm:cxn modelId="{2408E6B3-962E-48EA-948C-A3F02B55FF95}" type="presParOf" srcId="{01A8A4C8-44A1-4D8A-95D3-361811F2C2E4}" destId="{F5742226-42F2-4540-9B40-F39D2DE584D6}" srcOrd="0" destOrd="0" presId="urn:microsoft.com/office/officeart/2005/8/layout/hierarchy2"/>
    <dgm:cxn modelId="{13BD931C-D88C-4370-833C-7177A512EB1C}" type="presParOf" srcId="{01A8A4C8-44A1-4D8A-95D3-361811F2C2E4}" destId="{55D17A68-B110-4AED-AB45-9A30EB24C51B}" srcOrd="1" destOrd="0" presId="urn:microsoft.com/office/officeart/2005/8/layout/hierarchy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2761A6-82EA-4AEA-80BB-5F8E25B68E5A}">
      <dsp:nvSpPr>
        <dsp:cNvPr id="0" name=""/>
        <dsp:cNvSpPr/>
      </dsp:nvSpPr>
      <dsp:spPr>
        <a:xfrm>
          <a:off x="2408" y="1018614"/>
          <a:ext cx="1034935" cy="517467"/>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a:latin typeface="Garamond" panose="02020404030301010803" pitchFamily="18" charset="0"/>
            </a:rPr>
            <a:t>Impuestos</a:t>
          </a:r>
        </a:p>
      </dsp:txBody>
      <dsp:txXfrm>
        <a:off x="17564" y="1033770"/>
        <a:ext cx="1004623" cy="487155"/>
      </dsp:txXfrm>
    </dsp:sp>
    <dsp:sp modelId="{920C7AD9-5B86-4699-B3A6-8A9288E0D4F9}">
      <dsp:nvSpPr>
        <dsp:cNvPr id="0" name=""/>
        <dsp:cNvSpPr/>
      </dsp:nvSpPr>
      <dsp:spPr>
        <a:xfrm rot="19457599">
          <a:off x="989425" y="1105461"/>
          <a:ext cx="509810" cy="46230"/>
        </a:xfrm>
        <a:custGeom>
          <a:avLst/>
          <a:gdLst/>
          <a:ahLst/>
          <a:cxnLst/>
          <a:rect l="0" t="0" r="0" b="0"/>
          <a:pathLst>
            <a:path>
              <a:moveTo>
                <a:pt x="0" y="23115"/>
              </a:moveTo>
              <a:lnTo>
                <a:pt x="509810" y="23115"/>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Garamond" panose="02020404030301010803" pitchFamily="18" charset="0"/>
          </a:endParaRPr>
        </a:p>
      </dsp:txBody>
      <dsp:txXfrm>
        <a:off x="1231585" y="1115831"/>
        <a:ext cx="25490" cy="25490"/>
      </dsp:txXfrm>
    </dsp:sp>
    <dsp:sp modelId="{2BEEE392-126B-4934-8132-2D2A7DC5DF63}">
      <dsp:nvSpPr>
        <dsp:cNvPr id="0" name=""/>
        <dsp:cNvSpPr/>
      </dsp:nvSpPr>
      <dsp:spPr>
        <a:xfrm>
          <a:off x="1451317" y="721070"/>
          <a:ext cx="1034935" cy="517467"/>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Garamond" panose="02020404030301010803" pitchFamily="18" charset="0"/>
            </a:rPr>
            <a:t>Producción</a:t>
          </a:r>
        </a:p>
      </dsp:txBody>
      <dsp:txXfrm>
        <a:off x="1466473" y="736226"/>
        <a:ext cx="1004623" cy="487155"/>
      </dsp:txXfrm>
    </dsp:sp>
    <dsp:sp modelId="{4FBE0415-231E-4E3B-8305-D3C3B41AD8D6}">
      <dsp:nvSpPr>
        <dsp:cNvPr id="0" name=""/>
        <dsp:cNvSpPr/>
      </dsp:nvSpPr>
      <dsp:spPr>
        <a:xfrm rot="19457599">
          <a:off x="2438334" y="807917"/>
          <a:ext cx="509810" cy="46230"/>
        </a:xfrm>
        <a:custGeom>
          <a:avLst/>
          <a:gdLst/>
          <a:ahLst/>
          <a:cxnLst/>
          <a:rect l="0" t="0" r="0" b="0"/>
          <a:pathLst>
            <a:path>
              <a:moveTo>
                <a:pt x="0" y="23115"/>
              </a:moveTo>
              <a:lnTo>
                <a:pt x="509810" y="23115"/>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Garamond" panose="02020404030301010803" pitchFamily="18" charset="0"/>
          </a:endParaRPr>
        </a:p>
      </dsp:txBody>
      <dsp:txXfrm>
        <a:off x="2680494" y="818287"/>
        <a:ext cx="25490" cy="25490"/>
      </dsp:txXfrm>
    </dsp:sp>
    <dsp:sp modelId="{390E068C-87E8-4332-B92D-4ADAB33464C8}">
      <dsp:nvSpPr>
        <dsp:cNvPr id="0" name=""/>
        <dsp:cNvSpPr/>
      </dsp:nvSpPr>
      <dsp:spPr>
        <a:xfrm>
          <a:off x="2900226" y="423526"/>
          <a:ext cx="1034935" cy="517467"/>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Garamond" panose="02020404030301010803" pitchFamily="18" charset="0"/>
            </a:rPr>
            <a:t>Impuestos sobre los productos</a:t>
          </a:r>
        </a:p>
      </dsp:txBody>
      <dsp:txXfrm>
        <a:off x="2915382" y="438682"/>
        <a:ext cx="1004623" cy="487155"/>
      </dsp:txXfrm>
    </dsp:sp>
    <dsp:sp modelId="{BF2B834A-4F3D-4EC7-BB1F-E08D5E2AA255}">
      <dsp:nvSpPr>
        <dsp:cNvPr id="0" name=""/>
        <dsp:cNvSpPr/>
      </dsp:nvSpPr>
      <dsp:spPr>
        <a:xfrm rot="19139607">
          <a:off x="3867861" y="479172"/>
          <a:ext cx="548575" cy="46230"/>
        </a:xfrm>
        <a:custGeom>
          <a:avLst/>
          <a:gdLst/>
          <a:ahLst/>
          <a:cxnLst/>
          <a:rect l="0" t="0" r="0" b="0"/>
          <a:pathLst>
            <a:path>
              <a:moveTo>
                <a:pt x="0" y="23115"/>
              </a:moveTo>
              <a:lnTo>
                <a:pt x="548575" y="23115"/>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p>
      </dsp:txBody>
      <dsp:txXfrm>
        <a:off x="4128434" y="488573"/>
        <a:ext cx="27428" cy="27428"/>
      </dsp:txXfrm>
    </dsp:sp>
    <dsp:sp modelId="{58D9606C-3B1E-45D2-A517-54CE07FD7235}">
      <dsp:nvSpPr>
        <dsp:cNvPr id="0" name=""/>
        <dsp:cNvSpPr/>
      </dsp:nvSpPr>
      <dsp:spPr>
        <a:xfrm>
          <a:off x="4349136" y="181152"/>
          <a:ext cx="1142475" cy="282325"/>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Garamond" panose="02020404030301010803" pitchFamily="18" charset="0"/>
            </a:rPr>
            <a:t>IVA</a:t>
          </a:r>
        </a:p>
      </dsp:txBody>
      <dsp:txXfrm>
        <a:off x="4357405" y="189421"/>
        <a:ext cx="1125937" cy="265787"/>
      </dsp:txXfrm>
    </dsp:sp>
    <dsp:sp modelId="{B94DD90A-165C-4E41-8DF7-1FD76C111894}">
      <dsp:nvSpPr>
        <dsp:cNvPr id="0" name=""/>
        <dsp:cNvSpPr/>
      </dsp:nvSpPr>
      <dsp:spPr>
        <a:xfrm>
          <a:off x="3935162" y="659145"/>
          <a:ext cx="413974" cy="46230"/>
        </a:xfrm>
        <a:custGeom>
          <a:avLst/>
          <a:gdLst/>
          <a:ahLst/>
          <a:cxnLst/>
          <a:rect l="0" t="0" r="0" b="0"/>
          <a:pathLst>
            <a:path>
              <a:moveTo>
                <a:pt x="0" y="23115"/>
              </a:moveTo>
              <a:lnTo>
                <a:pt x="413974" y="23115"/>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p>
      </dsp:txBody>
      <dsp:txXfrm>
        <a:off x="4131800" y="671911"/>
        <a:ext cx="20698" cy="20698"/>
      </dsp:txXfrm>
    </dsp:sp>
    <dsp:sp modelId="{1750E523-226F-4CF8-A122-C78AC1F392FF}">
      <dsp:nvSpPr>
        <dsp:cNvPr id="0" name=""/>
        <dsp:cNvSpPr/>
      </dsp:nvSpPr>
      <dsp:spPr>
        <a:xfrm>
          <a:off x="4349136" y="541098"/>
          <a:ext cx="1142475" cy="282325"/>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Garamond" panose="02020404030301010803" pitchFamily="18" charset="0"/>
            </a:rPr>
            <a:t>Impuestos sobre importaciones</a:t>
          </a:r>
        </a:p>
      </dsp:txBody>
      <dsp:txXfrm>
        <a:off x="4357405" y="549367"/>
        <a:ext cx="1125937" cy="265787"/>
      </dsp:txXfrm>
    </dsp:sp>
    <dsp:sp modelId="{647C7D88-B2A6-48C2-8679-23451BBC9F4F}">
      <dsp:nvSpPr>
        <dsp:cNvPr id="0" name=""/>
        <dsp:cNvSpPr/>
      </dsp:nvSpPr>
      <dsp:spPr>
        <a:xfrm rot="2460393">
          <a:off x="3867861" y="839118"/>
          <a:ext cx="548575" cy="46230"/>
        </a:xfrm>
        <a:custGeom>
          <a:avLst/>
          <a:gdLst/>
          <a:ahLst/>
          <a:cxnLst/>
          <a:rect l="0" t="0" r="0" b="0"/>
          <a:pathLst>
            <a:path>
              <a:moveTo>
                <a:pt x="0" y="23115"/>
              </a:moveTo>
              <a:lnTo>
                <a:pt x="548575" y="23115"/>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p>
      </dsp:txBody>
      <dsp:txXfrm>
        <a:off x="4128434" y="848518"/>
        <a:ext cx="27428" cy="27428"/>
      </dsp:txXfrm>
    </dsp:sp>
    <dsp:sp modelId="{1D507963-EE55-45A8-B095-D2F3B89B46F8}">
      <dsp:nvSpPr>
        <dsp:cNvPr id="0" name=""/>
        <dsp:cNvSpPr/>
      </dsp:nvSpPr>
      <dsp:spPr>
        <a:xfrm>
          <a:off x="4349136" y="901043"/>
          <a:ext cx="1142475" cy="282325"/>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Garamond" panose="02020404030301010803" pitchFamily="18" charset="0"/>
            </a:rPr>
            <a:t>Otros</a:t>
          </a:r>
        </a:p>
      </dsp:txBody>
      <dsp:txXfrm>
        <a:off x="4357405" y="909312"/>
        <a:ext cx="1125937" cy="265787"/>
      </dsp:txXfrm>
    </dsp:sp>
    <dsp:sp modelId="{E81AC797-7EB4-4295-908E-83F2D941CC5B}">
      <dsp:nvSpPr>
        <dsp:cNvPr id="0" name=""/>
        <dsp:cNvSpPr/>
      </dsp:nvSpPr>
      <dsp:spPr>
        <a:xfrm rot="2142401">
          <a:off x="2438334" y="1105461"/>
          <a:ext cx="509810" cy="46230"/>
        </a:xfrm>
        <a:custGeom>
          <a:avLst/>
          <a:gdLst/>
          <a:ahLst/>
          <a:cxnLst/>
          <a:rect l="0" t="0" r="0" b="0"/>
          <a:pathLst>
            <a:path>
              <a:moveTo>
                <a:pt x="0" y="23115"/>
              </a:moveTo>
              <a:lnTo>
                <a:pt x="509810" y="23115"/>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Garamond" panose="02020404030301010803" pitchFamily="18" charset="0"/>
          </a:endParaRPr>
        </a:p>
      </dsp:txBody>
      <dsp:txXfrm>
        <a:off x="2680494" y="1115831"/>
        <a:ext cx="25490" cy="25490"/>
      </dsp:txXfrm>
    </dsp:sp>
    <dsp:sp modelId="{F3E92EAF-FF95-4685-B28F-6D34D162339B}">
      <dsp:nvSpPr>
        <dsp:cNvPr id="0" name=""/>
        <dsp:cNvSpPr/>
      </dsp:nvSpPr>
      <dsp:spPr>
        <a:xfrm>
          <a:off x="2900226" y="1018614"/>
          <a:ext cx="1034935" cy="517467"/>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Garamond" panose="02020404030301010803" pitchFamily="18" charset="0"/>
            </a:rPr>
            <a:t>Otros impuestos sobre la producción</a:t>
          </a:r>
        </a:p>
      </dsp:txBody>
      <dsp:txXfrm>
        <a:off x="2915382" y="1033770"/>
        <a:ext cx="1004623" cy="487155"/>
      </dsp:txXfrm>
    </dsp:sp>
    <dsp:sp modelId="{79E24A38-0DC3-4B27-BE8F-8C3F73A33369}">
      <dsp:nvSpPr>
        <dsp:cNvPr id="0" name=""/>
        <dsp:cNvSpPr/>
      </dsp:nvSpPr>
      <dsp:spPr>
        <a:xfrm rot="2142401">
          <a:off x="989425" y="1403005"/>
          <a:ext cx="509810" cy="46230"/>
        </a:xfrm>
        <a:custGeom>
          <a:avLst/>
          <a:gdLst/>
          <a:ahLst/>
          <a:cxnLst/>
          <a:rect l="0" t="0" r="0" b="0"/>
          <a:pathLst>
            <a:path>
              <a:moveTo>
                <a:pt x="0" y="23115"/>
              </a:moveTo>
              <a:lnTo>
                <a:pt x="509810" y="23115"/>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Garamond" panose="02020404030301010803" pitchFamily="18" charset="0"/>
          </a:endParaRPr>
        </a:p>
      </dsp:txBody>
      <dsp:txXfrm>
        <a:off x="1231585" y="1413375"/>
        <a:ext cx="25490" cy="25490"/>
      </dsp:txXfrm>
    </dsp:sp>
    <dsp:sp modelId="{F5742226-42F2-4540-9B40-F39D2DE584D6}">
      <dsp:nvSpPr>
        <dsp:cNvPr id="0" name=""/>
        <dsp:cNvSpPr/>
      </dsp:nvSpPr>
      <dsp:spPr>
        <a:xfrm>
          <a:off x="1451317" y="1316158"/>
          <a:ext cx="1034935" cy="517467"/>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Garamond" panose="02020404030301010803" pitchFamily="18" charset="0"/>
            </a:rPr>
            <a:t>Resto</a:t>
          </a:r>
        </a:p>
      </dsp:txBody>
      <dsp:txXfrm>
        <a:off x="1466473" y="1331314"/>
        <a:ext cx="1004623" cy="48715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F33676B8FA4DF1B9E088D9DA2BCB84"/>
        <w:category>
          <w:name w:val="General"/>
          <w:gallery w:val="placeholder"/>
        </w:category>
        <w:types>
          <w:type w:val="bbPlcHdr"/>
        </w:types>
        <w:behaviors>
          <w:behavior w:val="content"/>
        </w:behaviors>
        <w:guid w:val="{28383DC0-1EC2-463F-B6BF-3904A1CD8F60}"/>
      </w:docPartPr>
      <w:docPartBody>
        <w:p w:rsidR="004208E9" w:rsidRDefault="00BD22DE" w:rsidP="00BD22DE">
          <w:pPr>
            <w:pStyle w:val="04F33676B8FA4DF1B9E088D9DA2BCB84"/>
          </w:pPr>
          <w:r w:rsidRPr="00722470">
            <w:rPr>
              <w:rStyle w:val="Textodelmarcadordeposicin"/>
            </w:rPr>
            <w:t>[Título]</w:t>
          </w:r>
        </w:p>
      </w:docPartBody>
    </w:docPart>
    <w:docPart>
      <w:docPartPr>
        <w:name w:val="125EA7EFCCA64ECF85753CE58764833D"/>
        <w:category>
          <w:name w:val="General"/>
          <w:gallery w:val="placeholder"/>
        </w:category>
        <w:types>
          <w:type w:val="bbPlcHdr"/>
        </w:types>
        <w:behaviors>
          <w:behavior w:val="content"/>
        </w:behaviors>
        <w:guid w:val="{3EAAEFBA-0CF4-468B-85B5-26C161A56418}"/>
      </w:docPartPr>
      <w:docPartBody>
        <w:p w:rsidR="004208E9" w:rsidRDefault="00BD22DE" w:rsidP="00BD22DE">
          <w:pPr>
            <w:pStyle w:val="125EA7EFCCA64ECF85753CE58764833D"/>
          </w:pPr>
          <w:r w:rsidRPr="001B5103">
            <w:rPr>
              <w:rStyle w:val="Textodelmarcadordeposicin"/>
            </w:rPr>
            <w:t>[Title]</w:t>
          </w:r>
        </w:p>
      </w:docPartBody>
    </w:docPart>
    <w:docPart>
      <w:docPartPr>
        <w:name w:val="C1D2BD6994254CF3A776C557BBB755C7"/>
        <w:category>
          <w:name w:val="General"/>
          <w:gallery w:val="placeholder"/>
        </w:category>
        <w:types>
          <w:type w:val="bbPlcHdr"/>
        </w:types>
        <w:behaviors>
          <w:behavior w:val="content"/>
        </w:behaviors>
        <w:guid w:val="{65329DC5-0BC0-4FF1-B0BC-81B94F47F556}"/>
      </w:docPartPr>
      <w:docPartBody>
        <w:p w:rsidR="004208E9" w:rsidRDefault="00BD22DE" w:rsidP="00BD22DE">
          <w:pPr>
            <w:pStyle w:val="C1D2BD6994254CF3A776C557BBB755C7"/>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2DE"/>
    <w:rsid w:val="00021ABD"/>
    <w:rsid w:val="001E48D6"/>
    <w:rsid w:val="00247223"/>
    <w:rsid w:val="003B0413"/>
    <w:rsid w:val="004068DD"/>
    <w:rsid w:val="004208E9"/>
    <w:rsid w:val="004345F7"/>
    <w:rsid w:val="005F595A"/>
    <w:rsid w:val="00655D47"/>
    <w:rsid w:val="00697812"/>
    <w:rsid w:val="00737742"/>
    <w:rsid w:val="0076390B"/>
    <w:rsid w:val="00764929"/>
    <w:rsid w:val="0081478F"/>
    <w:rsid w:val="00831308"/>
    <w:rsid w:val="00887A56"/>
    <w:rsid w:val="008C5FEE"/>
    <w:rsid w:val="0098138D"/>
    <w:rsid w:val="00A54B7B"/>
    <w:rsid w:val="00BB55A2"/>
    <w:rsid w:val="00BC2CF8"/>
    <w:rsid w:val="00BD22DE"/>
    <w:rsid w:val="00C951E7"/>
    <w:rsid w:val="00CB5B46"/>
    <w:rsid w:val="00D945C8"/>
    <w:rsid w:val="00E144AC"/>
    <w:rsid w:val="00E340AF"/>
    <w:rsid w:val="00E75A71"/>
    <w:rsid w:val="00EA75BB"/>
    <w:rsid w:val="00EB32BB"/>
    <w:rsid w:val="00EF29FE"/>
    <w:rsid w:val="00F56B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55D47"/>
    <w:rPr>
      <w:color w:val="808080"/>
    </w:rPr>
  </w:style>
  <w:style w:type="paragraph" w:customStyle="1" w:styleId="04F33676B8FA4DF1B9E088D9DA2BCB84">
    <w:name w:val="04F33676B8FA4DF1B9E088D9DA2BCB84"/>
    <w:rsid w:val="00BD22DE"/>
  </w:style>
  <w:style w:type="paragraph" w:customStyle="1" w:styleId="125EA7EFCCA64ECF85753CE58764833D">
    <w:name w:val="125EA7EFCCA64ECF85753CE58764833D"/>
    <w:rsid w:val="00BD22DE"/>
  </w:style>
  <w:style w:type="paragraph" w:customStyle="1" w:styleId="C1D2BD6994254CF3A776C557BBB755C7">
    <w:name w:val="C1D2BD6994254CF3A776C557BBB755C7"/>
    <w:rsid w:val="00BD22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37293-F77D-4D3E-9632-AABE3A3F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temas.dotx</Template>
  <TotalTime>1210</TotalTime>
  <Pages>48</Pages>
  <Words>15679</Words>
  <Characters>86237</Characters>
  <Application>Microsoft Office Word</Application>
  <DocSecurity>0</DocSecurity>
  <Lines>718</Lines>
  <Paragraphs>203</Paragraphs>
  <ScaleCrop>false</ScaleCrop>
  <HeadingPairs>
    <vt:vector size="2" baseType="variant">
      <vt:variant>
        <vt:lpstr>Título</vt:lpstr>
      </vt:variant>
      <vt:variant>
        <vt:i4>1</vt:i4>
      </vt:variant>
    </vt:vector>
  </HeadingPairs>
  <TitlesOfParts>
    <vt:vector size="1" baseType="lpstr">
      <vt:lpstr>4.B.1</vt:lpstr>
    </vt:vector>
  </TitlesOfParts>
  <Company/>
  <LinksUpToDate>false</LinksUpToDate>
  <CharactersWithSpaces>101713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4.B.1</dc:title>
  <dc:subject>El sector público: delimitación, operaciones y cuentas principales. Comparaciones internacionales.</dc:subject>
  <dc:creator>Víctor Gutiérrez Marcos</dc:creator>
  <cp:keywords/>
  <dc:description/>
  <cp:lastModifiedBy>Víctor Gutiérrez Marcos</cp:lastModifiedBy>
  <dcterms:created xsi:type="dcterms:W3CDTF">2023-09-17T14:51:00Z</dcterms:created>
  <dcterms:modified xsi:type="dcterms:W3CDTF">2026-01-15T23:06:00Z</dcterms:modified>
</cp:coreProperties>
</file>