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8111297"/>
    <w:p w14:paraId="1477BDAC" w14:textId="655442AE" w:rsidR="000922E3" w:rsidRDefault="007351AB" w:rsidP="000922E3">
      <w:pPr>
        <w:pStyle w:val="Ttulo"/>
        <w:rPr>
          <w:spacing w:val="-6"/>
        </w:rPr>
      </w:pPr>
      <w:sdt>
        <w:sdtPr>
          <w:rPr>
            <w:i/>
            <w:u w:val="single"/>
          </w:rPr>
          <w:alias w:val="Title"/>
          <w:tag w:val=""/>
          <w:id w:val="-780801520"/>
          <w:placeholder>
            <w:docPart w:val="959CEE2213234F34B5EF123AC3C202F3"/>
          </w:placeholder>
          <w:dataBinding w:prefixMappings="xmlns:ns0='http://purl.org/dc/elements/1.1/' xmlns:ns1='http://schemas.openxmlformats.org/package/2006/metadata/core-properties' " w:xpath="/ns1:coreProperties[1]/ns0:title[1]" w:storeItemID="{6C3C8BC8-F283-45AE-878A-BAB7291924A1}"/>
          <w:text/>
        </w:sdtPr>
        <w:sdtEndPr/>
        <w:sdtContent>
          <w:r w:rsidR="000922E3">
            <w:rPr>
              <w:i/>
              <w:u w:val="single"/>
            </w:rPr>
            <w:t>4.A.30</w:t>
          </w:r>
        </w:sdtContent>
      </w:sdt>
      <w:r w:rsidR="000922E3">
        <w:t xml:space="preserve"> :</w:t>
      </w:r>
      <w:r w:rsidR="000922E3" w:rsidRPr="004C0C34">
        <w:t xml:space="preserve"> </w:t>
      </w:r>
      <w:sdt>
        <w:sdtPr>
          <w:rPr>
            <w:spacing w:val="-6"/>
          </w:rPr>
          <w:alias w:val="Subject"/>
          <w:tag w:val=""/>
          <w:id w:val="-1903059896"/>
          <w:placeholder>
            <w:docPart w:val="DB8AE2F3A15F45F099EEEC2280796D17"/>
          </w:placeholder>
          <w:dataBinding w:prefixMappings="xmlns:ns0='http://purl.org/dc/elements/1.1/' xmlns:ns1='http://schemas.openxmlformats.org/package/2006/metadata/core-properties' " w:xpath="/ns1:coreProperties[1]/ns0:subject[1]" w:storeItemID="{6C3C8BC8-F283-45AE-878A-BAB7291924A1}"/>
          <w:text/>
        </w:sdtPr>
        <w:sdtEndPr/>
        <w:sdtContent>
          <w:r w:rsidR="000922E3">
            <w:rPr>
              <w:spacing w:val="-6"/>
            </w:rPr>
            <w:t>Las relaciones de España con las Comunidades Europeas: antecedentes, el Tratado de Adhesión y evolución hasta la actualidad.</w:t>
          </w:r>
        </w:sdtContent>
      </w:sdt>
    </w:p>
    <w:p w14:paraId="1D9457F3" w14:textId="16C22551" w:rsidR="00B4369E" w:rsidRPr="00B4369E" w:rsidRDefault="007351AB" w:rsidP="00B4369E">
      <w:pPr>
        <w:pStyle w:val="Cajadeanotaciones"/>
        <w:rPr>
          <w:sz w:val="19"/>
          <w:szCs w:val="19"/>
        </w:rPr>
      </w:pPr>
      <w:hyperlink r:id="rId8" w:history="1">
        <w:r w:rsidR="00B4369E" w:rsidRPr="00B4369E">
          <w:rPr>
            <w:rStyle w:val="Hipervnculo"/>
            <w:sz w:val="19"/>
            <w:szCs w:val="19"/>
          </w:rPr>
          <w:t>https://www.realinstitutoelcano.org/policy-paper/la-politica-europea-de-espana-elaboracion-y-prioridades/</w:t>
        </w:r>
      </w:hyperlink>
    </w:p>
    <w:p w14:paraId="50B4340B" w14:textId="77777777" w:rsidR="000922E3" w:rsidRDefault="000922E3" w:rsidP="000922E3">
      <w:pPr>
        <w:pStyle w:val="Introduccinyconclusin"/>
      </w:pPr>
      <w:r w:rsidRPr="006D1AC8">
        <w:t>INTRODUCCION</w:t>
      </w:r>
    </w:p>
    <w:p w14:paraId="2C3D6B8E" w14:textId="77777777" w:rsidR="000922E3" w:rsidRDefault="000922E3" w:rsidP="000922E3">
      <w:pPr>
        <w:pStyle w:val="Nivel1"/>
        <w:keepNext/>
        <w:spacing w:before="0" w:after="0"/>
      </w:pPr>
      <w:r>
        <w:rPr>
          <w:b/>
          <w:bCs/>
          <w:i/>
          <w:iCs/>
        </w:rPr>
        <w:t>Enganche</w:t>
      </w:r>
      <w:r>
        <w:t>:</w:t>
      </w:r>
    </w:p>
    <w:p w14:paraId="51F84ECD" w14:textId="77777777" w:rsidR="000922E3" w:rsidRPr="00517BA7" w:rsidRDefault="000922E3" w:rsidP="000922E3">
      <w:pPr>
        <w:pStyle w:val="Nivel2"/>
        <w:keepNext/>
        <w:spacing w:after="0"/>
        <w:rPr>
          <w:spacing w:val="-2"/>
        </w:rPr>
      </w:pPr>
      <w:r w:rsidRPr="00517BA7">
        <w:rPr>
          <w:spacing w:val="-2"/>
        </w:rPr>
        <w:t xml:space="preserve">En las últimas 7 décadas, en España encontramos </w:t>
      </w:r>
      <w:r w:rsidRPr="00517BA7">
        <w:rPr>
          <w:b/>
          <w:bCs/>
          <w:spacing w:val="-2"/>
        </w:rPr>
        <w:t>3 momentos decisivos</w:t>
      </w:r>
      <w:r w:rsidRPr="00517BA7">
        <w:rPr>
          <w:spacing w:val="-2"/>
        </w:rPr>
        <w:t xml:space="preserve"> que </w:t>
      </w:r>
      <w:r w:rsidRPr="00517BA7">
        <w:rPr>
          <w:i/>
          <w:iCs/>
          <w:spacing w:val="-2"/>
        </w:rPr>
        <w:t>han permitido que España sea una economía modern</w:t>
      </w:r>
      <w:r>
        <w:rPr>
          <w:i/>
          <w:iCs/>
          <w:spacing w:val="-2"/>
        </w:rPr>
        <w:t>a</w:t>
      </w:r>
      <w:r w:rsidRPr="00517BA7">
        <w:rPr>
          <w:i/>
          <w:iCs/>
          <w:spacing w:val="-2"/>
        </w:rPr>
        <w:t xml:space="preserve"> y plenamente integrada en los mercados internacionales</w:t>
      </w:r>
      <w:r w:rsidRPr="00517BA7">
        <w:rPr>
          <w:spacing w:val="-2"/>
        </w:rPr>
        <w:t>:</w:t>
      </w:r>
    </w:p>
    <w:p w14:paraId="3DF3FCC4" w14:textId="77777777" w:rsidR="000922E3" w:rsidRDefault="000922E3" w:rsidP="000922E3">
      <w:pPr>
        <w:pStyle w:val="Prrafodelista"/>
        <w:numPr>
          <w:ilvl w:val="0"/>
          <w:numId w:val="39"/>
        </w:numPr>
        <w:spacing w:after="0"/>
        <w:ind w:left="1417" w:hanging="113"/>
      </w:pPr>
      <w:r>
        <w:t xml:space="preserve">El primero es el verano de 1959, con la aprobación del </w:t>
      </w:r>
      <w:r w:rsidRPr="00FB020A">
        <w:rPr>
          <w:i/>
          <w:iCs/>
          <w:u w:val="single"/>
        </w:rPr>
        <w:t>Plan de Estabilización</w:t>
      </w:r>
      <w:r>
        <w:t>.</w:t>
      </w:r>
    </w:p>
    <w:p w14:paraId="5434D36D" w14:textId="77777777" w:rsidR="000922E3" w:rsidRDefault="000922E3" w:rsidP="000922E3">
      <w:pPr>
        <w:pStyle w:val="Prrafodelista"/>
        <w:numPr>
          <w:ilvl w:val="0"/>
          <w:numId w:val="39"/>
        </w:numPr>
        <w:spacing w:after="0"/>
        <w:ind w:left="1417" w:hanging="113"/>
      </w:pPr>
      <w:r>
        <w:t xml:space="preserve">Un segundo momento decisivo se produjo en la década de 1970, con el </w:t>
      </w:r>
      <w:r w:rsidRPr="00FB020A">
        <w:rPr>
          <w:i/>
          <w:iCs/>
          <w:u w:val="single"/>
        </w:rPr>
        <w:t>establecimiento de la democracia</w:t>
      </w:r>
      <w:r>
        <w:t>, sin lo cual la adhesión a las CEE en 1986 no hubiera sido posible.</w:t>
      </w:r>
    </w:p>
    <w:p w14:paraId="099FEFD7" w14:textId="77777777" w:rsidR="000922E3" w:rsidRDefault="000922E3" w:rsidP="000922E3">
      <w:pPr>
        <w:pStyle w:val="Prrafodelista"/>
        <w:numPr>
          <w:ilvl w:val="0"/>
          <w:numId w:val="39"/>
        </w:numPr>
        <w:spacing w:after="0"/>
        <w:ind w:left="1417" w:hanging="113"/>
      </w:pPr>
      <w:r>
        <w:t xml:space="preserve">Un tercer momento decisivo fue la entrada en la Unión Económica y Monetaria, por la cual un grupo de Estados pertenecientes a la Unión Europea, decidieron poner en común su soberanía monetaria mediante la </w:t>
      </w:r>
      <w:r w:rsidRPr="00FB020A">
        <w:rPr>
          <w:i/>
          <w:iCs/>
          <w:u w:val="single"/>
        </w:rPr>
        <w:t>adopción de una moneda común: el euro</w:t>
      </w:r>
      <w:r>
        <w:t xml:space="preserve">. Esto implica la delegación de la </w:t>
      </w:r>
      <w:r w:rsidRPr="00B737A6">
        <w:t>p</w:t>
      </w:r>
      <w:r>
        <w:t>olítica monetaria al Eurosistema formado por el Banco Central Europeo (BCE) y los Bancos Centrales nacionales dela Eurozona que se encargan a partir de entonces de gestionar la política monetaria de la eurozona con el objetivo de mantener la estabilidad de precios.</w:t>
      </w:r>
    </w:p>
    <w:p w14:paraId="03C824E5" w14:textId="77777777" w:rsidR="000922E3" w:rsidRPr="004F0012" w:rsidRDefault="000922E3" w:rsidP="000922E3">
      <w:pPr>
        <w:pStyle w:val="Nivel2"/>
        <w:keepNext/>
        <w:spacing w:after="0"/>
        <w:rPr>
          <w:spacing w:val="-2"/>
        </w:rPr>
      </w:pPr>
      <w:r>
        <w:rPr>
          <w:spacing w:val="-2"/>
        </w:rPr>
        <w:t>Así, l</w:t>
      </w:r>
      <w:r w:rsidRPr="004F0012">
        <w:rPr>
          <w:spacing w:val="-2"/>
        </w:rPr>
        <w:t xml:space="preserve">a economía española ha experimentado un importante cambio a lo largo de las últimas </w:t>
      </w:r>
      <w:r>
        <w:rPr>
          <w:spacing w:val="-2"/>
        </w:rPr>
        <w:t>7</w:t>
      </w:r>
      <w:r w:rsidRPr="004F0012">
        <w:rPr>
          <w:spacing w:val="-2"/>
        </w:rPr>
        <w:t> décadas tanto desde un punto de vista político como desde un punto de vista económico</w:t>
      </w:r>
      <w:r>
        <w:rPr>
          <w:spacing w:val="-2"/>
        </w:rPr>
        <w:t>:</w:t>
      </w:r>
    </w:p>
    <w:p w14:paraId="303C0CAE" w14:textId="77777777" w:rsidR="000922E3" w:rsidRDefault="000922E3" w:rsidP="000922E3">
      <w:pPr>
        <w:pStyle w:val="Nivel3"/>
      </w:pPr>
      <w:r>
        <w:t>Desde un punto de vista político, el país ha pasado de un régimen autoritario a un régimen democrático.</w:t>
      </w:r>
    </w:p>
    <w:p w14:paraId="0ABF3E7D" w14:textId="77777777" w:rsidR="000922E3" w:rsidRDefault="000922E3" w:rsidP="000922E3">
      <w:pPr>
        <w:pStyle w:val="Nivel3"/>
        <w:keepNext/>
      </w:pPr>
      <w:r>
        <w:t>Desde un punto de vista económico, ha pasado a estar caracterizado por un régimen de autarquía a formar parte del proceso de integración más avanzado del mundo: la Unión Económica y Monetaria Europea.</w:t>
      </w:r>
    </w:p>
    <w:p w14:paraId="65CCFBA1" w14:textId="77777777" w:rsidR="000922E3" w:rsidRDefault="000922E3" w:rsidP="000922E3">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03DE2E80" w14:textId="70AB3CEA" w:rsidR="000922E3" w:rsidRDefault="000922E3" w:rsidP="000922E3">
      <w:pPr>
        <w:pStyle w:val="Nivel4"/>
      </w:pPr>
      <w:r>
        <w:t>Además, la economía española ha pasado de estar dominada por el sector agrícola a ser una economía terciaria. La economía española desde hace décadas presenta una economía muy terciarizada: en 1995 el sector servicios ya representaba el 60,4</w:t>
      </w:r>
      <w:r w:rsidR="004A1CAE">
        <w:t> %</w:t>
      </w:r>
      <w:r>
        <w:t xml:space="preserve"> del PIB nominal y ocupaba al 64,6</w:t>
      </w:r>
      <w:r w:rsidR="004A1CAE">
        <w:t> %</w:t>
      </w:r>
      <w:r>
        <w:t xml:space="preserve"> de la fuerza laboral. Si bien este sector ha seguido avanzando y, en 2021, estas cifras son 67,2</w:t>
      </w:r>
      <w:r w:rsidR="004A1CAE">
        <w:t> %</w:t>
      </w:r>
      <w:r>
        <w:t xml:space="preserve"> y 78,0</w:t>
      </w:r>
      <w:r w:rsidR="004A1CAE">
        <w:t> %</w:t>
      </w:r>
      <w:r>
        <w:t>, respectivamente</w:t>
      </w:r>
      <w:r w:rsidRPr="00F86CFC">
        <w:rPr>
          <w:vertAlign w:val="superscript"/>
        </w:rPr>
        <w:footnoteReference w:id="2"/>
      </w:r>
      <w:r>
        <w:t>.</w:t>
      </w:r>
    </w:p>
    <w:p w14:paraId="104F27AD" w14:textId="4AB54C1A" w:rsidR="000922E3" w:rsidRDefault="000922E3" w:rsidP="000922E3">
      <w:pPr>
        <w:pStyle w:val="Nivel2"/>
      </w:pPr>
      <w:r>
        <w:t>Quizás el factor más relevante en esta evolución es la pertenencia a la Unión Europea.</w:t>
      </w:r>
    </w:p>
    <w:p w14:paraId="1214917E" w14:textId="77777777" w:rsidR="000922E3" w:rsidRDefault="000922E3" w:rsidP="000922E3">
      <w:pPr>
        <w:pStyle w:val="Nivel1"/>
        <w:keepNext/>
        <w:spacing w:after="0"/>
      </w:pPr>
      <w:r>
        <w:rPr>
          <w:b/>
          <w:bCs/>
          <w:i/>
          <w:iCs/>
        </w:rPr>
        <w:t>Relevancia</w:t>
      </w:r>
      <w:bookmarkStart w:id="1" w:name="_Hlk145917891"/>
      <w:r>
        <w:t>:</w:t>
      </w:r>
      <w:bookmarkEnd w:id="1"/>
    </w:p>
    <w:p w14:paraId="26DC496B" w14:textId="77777777" w:rsidR="000922E3" w:rsidRPr="00487266" w:rsidRDefault="000922E3" w:rsidP="000922E3">
      <w:pPr>
        <w:pStyle w:val="Nivel2"/>
        <w:keepNext/>
        <w:spacing w:after="0"/>
        <w:rPr>
          <w:spacing w:val="-4"/>
        </w:rPr>
      </w:pPr>
      <w:r w:rsidRPr="00487266">
        <w:rPr>
          <w:spacing w:val="-4"/>
        </w:rPr>
        <w:t>La importancia de la UE como bloque comercial y económico se refleja en los siguientes datos.</w:t>
      </w:r>
    </w:p>
    <w:p w14:paraId="6BF95B7F" w14:textId="77777777" w:rsidR="000922E3" w:rsidRPr="00873E80" w:rsidRDefault="000922E3" w:rsidP="000922E3">
      <w:pPr>
        <w:pStyle w:val="Nivel3"/>
      </w:pPr>
      <w:r w:rsidRPr="00873E80">
        <w:t>Es el mayor mercado común del mundo con cerca de 450 millones de habitantes.</w:t>
      </w:r>
    </w:p>
    <w:p w14:paraId="58380EDF" w14:textId="77777777" w:rsidR="000922E3" w:rsidRPr="00873E80" w:rsidRDefault="000922E3" w:rsidP="000922E3">
      <w:pPr>
        <w:pStyle w:val="Nivel3"/>
        <w:rPr>
          <w:spacing w:val="-2"/>
        </w:rPr>
      </w:pPr>
      <w:r w:rsidRPr="00873E80">
        <w:rPr>
          <w:spacing w:val="-2"/>
        </w:rPr>
        <w:t>Es el segundo mayor exportador (por detrás de China) y el segundo mayor importador (por detrás de Estados Unidos) del mundo.</w:t>
      </w:r>
    </w:p>
    <w:p w14:paraId="799F650A" w14:textId="77777777" w:rsidR="000922E3" w:rsidRPr="00C04309" w:rsidRDefault="000922E3" w:rsidP="000922E3">
      <w:pPr>
        <w:pStyle w:val="Nivel3"/>
      </w:pPr>
      <w:r w:rsidRPr="00C04309">
        <w:t>Es el mayor emisor de inversión directa extranjera del mundo.</w:t>
      </w:r>
    </w:p>
    <w:p w14:paraId="72F41D47" w14:textId="77777777" w:rsidR="000922E3" w:rsidRPr="00C62554" w:rsidRDefault="000922E3" w:rsidP="000922E3">
      <w:pPr>
        <w:pStyle w:val="Nivel2"/>
        <w:spacing w:after="0"/>
      </w:pPr>
      <w:r w:rsidRPr="00C62554">
        <w:t xml:space="preserve">De esta forma, la UE se ha convertido en un </w:t>
      </w:r>
      <w:r w:rsidRPr="00C62554">
        <w:rPr>
          <w:b/>
          <w:bCs/>
        </w:rPr>
        <w:t>protagonista a nivel internacional</w:t>
      </w:r>
      <w:r w:rsidRPr="00C62554">
        <w:t xml:space="preserve">, tanto en la esfera </w:t>
      </w:r>
      <w:r w:rsidRPr="00C62554">
        <w:rPr>
          <w:b/>
          <w:bCs/>
        </w:rPr>
        <w:t>política</w:t>
      </w:r>
      <w:r w:rsidRPr="00C62554">
        <w:t xml:space="preserve"> como en la </w:t>
      </w:r>
      <w:r w:rsidRPr="00C62554">
        <w:rPr>
          <w:b/>
          <w:bCs/>
        </w:rPr>
        <w:t>económica</w:t>
      </w:r>
      <w:r w:rsidRPr="00C62554">
        <w:t xml:space="preserve">. Por este motivo, las </w:t>
      </w:r>
      <w:r w:rsidRPr="00C62554">
        <w:rPr>
          <w:b/>
          <w:bCs/>
        </w:rPr>
        <w:t>relaciones económicas exteriores de la UE</w:t>
      </w:r>
      <w:r w:rsidRPr="00C62554">
        <w:t xml:space="preserve"> tienen una importancia fundamental en la actualidad.</w:t>
      </w:r>
    </w:p>
    <w:p w14:paraId="1BA28338" w14:textId="77777777" w:rsidR="000922E3" w:rsidRDefault="000922E3" w:rsidP="000922E3">
      <w:pPr>
        <w:pStyle w:val="Nivel1"/>
        <w:keepNext/>
        <w:spacing w:after="0"/>
      </w:pPr>
      <w:r>
        <w:rPr>
          <w:b/>
          <w:bCs/>
          <w:i/>
          <w:iCs/>
        </w:rPr>
        <w:lastRenderedPageBreak/>
        <w:t>Contextualización</w:t>
      </w:r>
      <w:r>
        <w:t>:</w:t>
      </w:r>
    </w:p>
    <w:p w14:paraId="2244827F" w14:textId="12031943" w:rsidR="000922E3" w:rsidRDefault="00752CB8" w:rsidP="00752CB8">
      <w:pPr>
        <w:pStyle w:val="Nivel2"/>
        <w:keepNext/>
        <w:keepLines/>
        <w:spacing w:after="0"/>
      </w:pPr>
      <w:r>
        <w:t>La</w:t>
      </w:r>
      <w:r w:rsidR="000922E3">
        <w:t xml:space="preserve"> adhesión a dicho proceso de integración ha llevado a que la economía nacional haya implementado y experimentado </w:t>
      </w:r>
      <w:r w:rsidR="000922E3" w:rsidRPr="008664DA">
        <w:rPr>
          <w:i/>
          <w:iCs/>
        </w:rPr>
        <w:t>importantes reformas económicas desde el inicio</w:t>
      </w:r>
      <w:r w:rsidR="000922E3">
        <w:t>. Esto a su vez ha provocado una significativa evolución en las relaciones de España con las Comunidades Europeas.</w:t>
      </w:r>
    </w:p>
    <w:p w14:paraId="3FA7BDB9" w14:textId="70A11DEF" w:rsidR="008D6ABE" w:rsidRDefault="00752CB8" w:rsidP="00752CB8">
      <w:pPr>
        <w:pStyle w:val="Nivel3"/>
      </w:pPr>
      <w:r>
        <w:t>Así, d</w:t>
      </w:r>
      <w:r w:rsidR="008D6ABE">
        <w:t xml:space="preserve">esde la Adhesión, España ha venido participando activamente en el proceso de construcción comunitaria mediante la realización de importantes esfuerzos de apertura y adaptación a las exigencias del proceso integración, como son el establecimiento del mercado único, la ampliación hacia el Este o la gestión de la </w:t>
      </w:r>
      <w:r w:rsidR="008A2BA9">
        <w:t>C</w:t>
      </w:r>
      <w:r w:rsidR="008D6ABE">
        <w:t>risis del Euro.</w:t>
      </w:r>
    </w:p>
    <w:p w14:paraId="1AB827C8" w14:textId="77777777" w:rsidR="000922E3" w:rsidRDefault="000922E3" w:rsidP="000922E3">
      <w:pPr>
        <w:pStyle w:val="Nivel1"/>
        <w:keepNext/>
        <w:spacing w:after="0"/>
      </w:pPr>
      <w:r>
        <w:rPr>
          <w:b/>
          <w:bCs/>
          <w:i/>
          <w:iCs/>
        </w:rPr>
        <w:t>Problemática</w:t>
      </w:r>
      <w:r>
        <w:t>:</w:t>
      </w:r>
    </w:p>
    <w:p w14:paraId="25DADB54" w14:textId="0554EE62" w:rsidR="000922E3" w:rsidRDefault="000922E3" w:rsidP="000922E3">
      <w:pPr>
        <w:pStyle w:val="Nivel2"/>
      </w:pPr>
      <w:r>
        <w:t>El objetivo de est</w:t>
      </w:r>
      <w:r w:rsidR="00F978F3">
        <w:t xml:space="preserve">a exposición </w:t>
      </w:r>
      <w:r>
        <w:t>será llevar a cabo un análisis algo más en profundidad de cómo han ido evolucionando dichas relaciones</w:t>
      </w:r>
      <w:r w:rsidR="00CB04AE">
        <w:t xml:space="preserve"> siguiendo un enfoque cronológico</w:t>
      </w:r>
      <w:r>
        <w:t>.</w:t>
      </w:r>
    </w:p>
    <w:p w14:paraId="581CFDC8" w14:textId="77777777" w:rsidR="000922E3" w:rsidRDefault="000922E3" w:rsidP="000922E3">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0922E3" w14:paraId="1F0CB50D" w14:textId="77777777" w:rsidTr="00CA6DBE">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58A8099" w14:textId="77777777" w:rsidR="000922E3" w:rsidRPr="009917D9" w:rsidRDefault="000922E3" w:rsidP="000922E3">
      <w:pPr>
        <w:spacing w:after="0" w:line="240" w:lineRule="auto"/>
        <w:jc w:val="left"/>
        <w:rPr>
          <w:sz w:val="2"/>
          <w:szCs w:val="2"/>
        </w:rPr>
      </w:pPr>
      <w:r w:rsidRPr="009917D9">
        <w:rPr>
          <w:sz w:val="2"/>
          <w:szCs w:val="2"/>
        </w:rPr>
        <w:br w:type="page"/>
      </w:r>
    </w:p>
    <w:p w14:paraId="4782F5F8" w14:textId="09102DD5" w:rsidR="00946480" w:rsidRDefault="001D49DC" w:rsidP="000922E3">
      <w:pPr>
        <w:pStyle w:val="Ttulo1"/>
      </w:pPr>
      <w:bookmarkStart w:id="2" w:name="_Toc151227106"/>
      <w:bookmarkEnd w:id="0"/>
      <w:r>
        <w:lastRenderedPageBreak/>
        <w:t>ANTECEDENTES</w:t>
      </w:r>
      <w:r w:rsidR="001B6D48">
        <w:t>: RELACIONES PREVIAS A</w:t>
      </w:r>
      <w:r w:rsidR="00DA37E1">
        <w:t>L</w:t>
      </w:r>
      <w:r>
        <w:t xml:space="preserve"> TRATADO DE ADHESIÓN</w:t>
      </w:r>
      <w:bookmarkEnd w:id="2"/>
    </w:p>
    <w:p w14:paraId="68FEA43A" w14:textId="40F90DB7" w:rsidR="001B6D48" w:rsidRDefault="001B6D48" w:rsidP="00904F21">
      <w:pPr>
        <w:pStyle w:val="Ttulo2"/>
      </w:pPr>
      <w:bookmarkStart w:id="3" w:name="_Toc151227107"/>
      <w:r>
        <w:t>Situación inicial en España</w:t>
      </w:r>
      <w:bookmarkEnd w:id="3"/>
    </w:p>
    <w:p w14:paraId="7CB7A4C7" w14:textId="07D46EA7" w:rsidR="001B6D48" w:rsidRDefault="001B6D48" w:rsidP="001B6D48">
      <w:pPr>
        <w:pStyle w:val="Ttulo6"/>
        <w:numPr>
          <w:ilvl w:val="0"/>
          <w:numId w:val="40"/>
        </w:numPr>
        <w:spacing w:before="0"/>
        <w:ind w:left="0" w:hanging="284"/>
      </w:pPr>
      <w:bookmarkStart w:id="4" w:name="_Toc151227108"/>
      <w:r>
        <w:t>Aislamiento internacional</w:t>
      </w:r>
      <w:r w:rsidR="00BF544B">
        <w:t xml:space="preserve"> (años 40)</w:t>
      </w:r>
      <w:bookmarkEnd w:id="4"/>
    </w:p>
    <w:p w14:paraId="58FEFAE2" w14:textId="1C1DF016" w:rsidR="001B6D48" w:rsidRDefault="003E34B2" w:rsidP="001B6D48">
      <w:pPr>
        <w:pStyle w:val="Nivel2SM"/>
        <w:keepNext/>
        <w:spacing w:after="0"/>
      </w:pPr>
      <w:bookmarkStart w:id="5" w:name="_Hlk148516395"/>
      <w:r>
        <w:t>Tras la Guerra Civil, l</w:t>
      </w:r>
      <w:r w:rsidR="001B6D48">
        <w:t xml:space="preserve">a </w:t>
      </w:r>
      <w:r w:rsidR="001B6D48" w:rsidRPr="001F69F0">
        <w:rPr>
          <w:bCs/>
        </w:rPr>
        <w:t>elección del</w:t>
      </w:r>
      <w:r w:rsidR="001B6D48" w:rsidRPr="003C1FD7">
        <w:rPr>
          <w:b/>
        </w:rPr>
        <w:t xml:space="preserve"> </w:t>
      </w:r>
      <w:r w:rsidR="001B6D48" w:rsidRPr="001F69F0">
        <w:rPr>
          <w:b/>
        </w:rPr>
        <w:t>modelo de autarquía</w:t>
      </w:r>
      <w:r w:rsidR="001B6D48">
        <w:t xml:space="preserve"> se debió a </w:t>
      </w:r>
      <w:r w:rsidR="00EF055E">
        <w:rPr>
          <w:b/>
          <w:bCs/>
        </w:rPr>
        <w:t>2</w:t>
      </w:r>
      <w:r w:rsidR="001B6D48" w:rsidRPr="001F69F0">
        <w:rPr>
          <w:b/>
          <w:bCs/>
        </w:rPr>
        <w:t> razones</w:t>
      </w:r>
      <w:r w:rsidR="001B6D48">
        <w:t>:</w:t>
      </w:r>
    </w:p>
    <w:p w14:paraId="01BAD502" w14:textId="77777777" w:rsidR="00EF055E" w:rsidRPr="00EF055E" w:rsidRDefault="00EF055E" w:rsidP="001B6D48">
      <w:pPr>
        <w:pStyle w:val="Prrafodelista"/>
        <w:keepNext/>
        <w:numPr>
          <w:ilvl w:val="0"/>
          <w:numId w:val="41"/>
        </w:numPr>
        <w:spacing w:after="0"/>
        <w:ind w:left="1134" w:hanging="113"/>
      </w:pPr>
      <w:r>
        <w:rPr>
          <w:i/>
          <w:iCs/>
          <w:u w:val="single"/>
        </w:rPr>
        <w:t>Motivos internos</w:t>
      </w:r>
    </w:p>
    <w:p w14:paraId="48EB9E05" w14:textId="4BD69264" w:rsidR="001B6D48" w:rsidRDefault="001B6D48" w:rsidP="00EF055E">
      <w:pPr>
        <w:pStyle w:val="Nivel4"/>
        <w:keepNext/>
        <w:ind w:left="1474"/>
      </w:pPr>
      <w:r w:rsidRPr="00EF055E">
        <w:rPr>
          <w:i/>
          <w:iCs/>
        </w:rPr>
        <w:t xml:space="preserve">La ideología del régimen de </w:t>
      </w:r>
      <w:r w:rsidRPr="00EF055E">
        <w:rPr>
          <w:i/>
          <w:iCs/>
          <w:smallCaps/>
        </w:rPr>
        <w:t>Franco</w:t>
      </w:r>
      <w:r w:rsidRPr="001F69F0">
        <w:rPr>
          <w:smallCaps/>
        </w:rPr>
        <w:t>:</w:t>
      </w:r>
    </w:p>
    <w:p w14:paraId="121A1191" w14:textId="77777777" w:rsidR="001B6D48" w:rsidRDefault="001B6D48" w:rsidP="00EF055E">
      <w:pPr>
        <w:pStyle w:val="Nivel5"/>
        <w:ind w:left="1871"/>
      </w:pPr>
      <w:r>
        <w:t>Que rechazaba las sociedades liberal-burguesas de Europa Occidental y la economía de mercado como modelo de organización económica.</w:t>
      </w:r>
    </w:p>
    <w:p w14:paraId="0D20A2CC" w14:textId="77777777" w:rsidR="001B6D48" w:rsidRDefault="001B6D48" w:rsidP="00EF055E">
      <w:pPr>
        <w:pStyle w:val="Nivel5"/>
        <w:ind w:left="1871"/>
      </w:pPr>
      <w:r>
        <w:t>Se considera que debe ser el Estado, guiado por una serie de valores morales superiores, el que determine la asignación óptima de unos recursos escasos.</w:t>
      </w:r>
    </w:p>
    <w:p w14:paraId="45B6B737" w14:textId="77777777" w:rsidR="001B6D48" w:rsidRDefault="001B6D48" w:rsidP="00EF055E">
      <w:pPr>
        <w:pStyle w:val="Nivel4"/>
        <w:ind w:left="1474"/>
      </w:pPr>
      <w:r w:rsidRPr="00EF055E">
        <w:rPr>
          <w:i/>
          <w:iCs/>
        </w:rPr>
        <w:t>La estrategia de industrialización por sustitución de importaciones del nuevo régimen</w:t>
      </w:r>
      <w:r>
        <w:t>.</w:t>
      </w:r>
    </w:p>
    <w:p w14:paraId="38122BA6" w14:textId="3D8F9427" w:rsidR="001B6D48" w:rsidRDefault="00EF055E" w:rsidP="001B6D48">
      <w:pPr>
        <w:pStyle w:val="Prrafodelista"/>
        <w:keepNext/>
        <w:numPr>
          <w:ilvl w:val="0"/>
          <w:numId w:val="41"/>
        </w:numPr>
        <w:spacing w:after="0"/>
        <w:ind w:left="1134" w:hanging="113"/>
      </w:pPr>
      <w:r>
        <w:rPr>
          <w:i/>
          <w:iCs/>
          <w:u w:val="single"/>
        </w:rPr>
        <w:t>Motivo externo</w:t>
      </w:r>
      <w:r w:rsidR="001B6D48">
        <w:t>:</w:t>
      </w:r>
    </w:p>
    <w:p w14:paraId="33F4A600" w14:textId="77777777" w:rsidR="00EF055E" w:rsidRDefault="00EF055E" w:rsidP="00EF055E">
      <w:pPr>
        <w:pStyle w:val="Nivel4"/>
        <w:keepNext/>
        <w:ind w:left="1474"/>
      </w:pPr>
      <w:r>
        <w:t>El aislamiento internacional por parte de las potencias vencedoras de la Segunda Guerra Mundial en respuesta a la simpatía que el régimen franquista había profesado a Alemania durante la Guerra.</w:t>
      </w:r>
    </w:p>
    <w:p w14:paraId="4B912A29" w14:textId="77777777" w:rsidR="00EF055E" w:rsidRDefault="00EF055E" w:rsidP="00EF055E">
      <w:pPr>
        <w:pStyle w:val="Nivel5"/>
        <w:ind w:left="1871"/>
      </w:pPr>
      <w:r>
        <w:t>No obstante, lo cierto es que el comercio con algunos países como Reino Unido nunca llegó a interrumpirse</w:t>
      </w:r>
      <w:r>
        <w:rPr>
          <w:rStyle w:val="Refdenotaalpie"/>
        </w:rPr>
        <w:footnoteReference w:id="3"/>
      </w:r>
      <w:r>
        <w:t>, y España contó con el gran apoyo de Argentina, que se convirtió en el gran socio comercial.</w:t>
      </w:r>
    </w:p>
    <w:p w14:paraId="1B0B50C5" w14:textId="77777777" w:rsidR="00EF055E" w:rsidRDefault="00EF055E" w:rsidP="00EF055E">
      <w:pPr>
        <w:pStyle w:val="Nivel5"/>
        <w:ind w:left="1871"/>
      </w:pPr>
      <w:r>
        <w:t>Aun así, España se convierte en el país más cerrado de Europa, con un comercio exterior que representaba tan solo el 8 % del PIB.</w:t>
      </w:r>
    </w:p>
    <w:p w14:paraId="084B5E14" w14:textId="5CE1D929" w:rsidR="001B6D48" w:rsidRDefault="00BF544B" w:rsidP="001B6D48">
      <w:pPr>
        <w:pStyle w:val="Ttulo6"/>
        <w:numPr>
          <w:ilvl w:val="0"/>
          <w:numId w:val="40"/>
        </w:numPr>
        <w:ind w:left="0" w:hanging="284"/>
      </w:pPr>
      <w:bookmarkStart w:id="6" w:name="_Toc151227109"/>
      <w:bookmarkEnd w:id="5"/>
      <w:r>
        <w:t>Comienzos del d</w:t>
      </w:r>
      <w:r w:rsidR="001B6D48">
        <w:t>ecenio bisagra</w:t>
      </w:r>
      <w:r>
        <w:t xml:space="preserve"> (años 50)</w:t>
      </w:r>
      <w:bookmarkEnd w:id="6"/>
    </w:p>
    <w:p w14:paraId="7101B72C" w14:textId="77777777" w:rsidR="00A37A9D" w:rsidRPr="0039426D" w:rsidRDefault="00A37A9D" w:rsidP="00A37A9D">
      <w:pPr>
        <w:pStyle w:val="Nivel2SM"/>
        <w:keepNext/>
        <w:spacing w:after="0"/>
        <w:rPr>
          <w:b/>
        </w:rPr>
      </w:pPr>
      <w:r>
        <w:t>Frente a los graves problemas económicos de los 40, la siguiente década ofrece algunos avances. A esta época se le cono</w:t>
      </w:r>
      <w:r w:rsidRPr="009347FA">
        <w:t xml:space="preserve">cerá como el </w:t>
      </w:r>
      <w:r w:rsidRPr="007F7B57">
        <w:rPr>
          <w:b/>
          <w:bCs/>
        </w:rPr>
        <w:t>“decenio bisagra”</w:t>
      </w:r>
      <w:r>
        <w:rPr>
          <w:rStyle w:val="Refdenotaalpie"/>
        </w:rPr>
        <w:footnoteReference w:id="4"/>
      </w:r>
      <w:r>
        <w:t xml:space="preserve"> caracterizado por:</w:t>
      </w:r>
    </w:p>
    <w:p w14:paraId="69DCFA02" w14:textId="330B4605" w:rsidR="00A37A9D" w:rsidRPr="00A60BCD" w:rsidRDefault="00A37A9D" w:rsidP="00A37A9D">
      <w:pPr>
        <w:pStyle w:val="Nivel3SM"/>
        <w:rPr>
          <w:b/>
        </w:rPr>
      </w:pPr>
      <w:r>
        <w:t xml:space="preserve">El </w:t>
      </w:r>
      <w:r w:rsidRPr="00A37A9D">
        <w:rPr>
          <w:i/>
          <w:iCs/>
          <w:u w:val="single"/>
        </w:rPr>
        <w:t>ritmo de crecimiento de la economía española aumenta significativamente</w:t>
      </w:r>
      <w:r>
        <w:t>, registrándose una tasa de crecimiento anual promedio del 4,4 %.</w:t>
      </w:r>
    </w:p>
    <w:p w14:paraId="5D7015A3" w14:textId="12DA09D9" w:rsidR="00A37A9D" w:rsidRDefault="00A37A9D" w:rsidP="00A37A9D">
      <w:pPr>
        <w:pStyle w:val="Nivel3SM"/>
      </w:pPr>
      <w:r>
        <w:t xml:space="preserve">Toma cuerpo el </w:t>
      </w:r>
      <w:r w:rsidRPr="00A37A9D">
        <w:rPr>
          <w:i/>
          <w:iCs/>
          <w:u w:val="single"/>
        </w:rPr>
        <w:t>proceso de transformación estructural</w:t>
      </w:r>
      <w:r>
        <w:t xml:space="preserve"> de la economía española.</w:t>
      </w:r>
    </w:p>
    <w:p w14:paraId="2FFAF22C" w14:textId="64790AD9" w:rsidR="00A37A9D" w:rsidRDefault="00A37A9D" w:rsidP="00A37A9D">
      <w:pPr>
        <w:pStyle w:val="Nivel3SM"/>
      </w:pPr>
      <w:r>
        <w:t xml:space="preserve">Comienza, aunque con lentitud, el </w:t>
      </w:r>
      <w:r w:rsidRPr="00A37A9D">
        <w:rPr>
          <w:i/>
          <w:iCs/>
          <w:u w:val="single"/>
        </w:rPr>
        <w:t>proceso de apertura económica</w:t>
      </w:r>
      <w:r>
        <w:t>.</w:t>
      </w:r>
    </w:p>
    <w:p w14:paraId="65D5A93E" w14:textId="77777777" w:rsidR="00BF544B" w:rsidRDefault="00A37A9D" w:rsidP="00BF544B">
      <w:pPr>
        <w:pStyle w:val="Nivel2SM"/>
        <w:keepNext/>
        <w:spacing w:after="0"/>
      </w:pPr>
      <w:bookmarkStart w:id="7" w:name="_Hlk148516669"/>
      <w:r w:rsidRPr="00A37A9D">
        <w:t xml:space="preserve">El inicio de la Guerra Fría a finales de los 40 hace que EEUU trate de ganar para la causa americana el mayor número de países de Europa Occidental, lo que hizo que EEUU promoviera el reconocimiento internacional del régimen de </w:t>
      </w:r>
      <w:r w:rsidR="00BF544B">
        <w:rPr>
          <w:smallCaps/>
        </w:rPr>
        <w:t>Franco</w:t>
      </w:r>
      <w:r w:rsidRPr="00A37A9D">
        <w:t xml:space="preserve"> y el fin de su aislamiento</w:t>
      </w:r>
      <w:r w:rsidR="00BF544B">
        <w:t>.</w:t>
      </w:r>
    </w:p>
    <w:p w14:paraId="079BCA9B" w14:textId="3C06CE88" w:rsidR="001B6D48" w:rsidRDefault="00BF544B" w:rsidP="00BF544B">
      <w:pPr>
        <w:pStyle w:val="Nivel3SM"/>
      </w:pPr>
      <w:r>
        <w:t xml:space="preserve">Esto se ve reflejado en la firma de los </w:t>
      </w:r>
      <w:r w:rsidRPr="00BF544B">
        <w:rPr>
          <w:i/>
          <w:iCs/>
        </w:rPr>
        <w:t>Pactos de Madrid</w:t>
      </w:r>
      <w:r>
        <w:t xml:space="preserve"> de 1953</w:t>
      </w:r>
      <w:bookmarkStart w:id="8" w:name="_Hlk148518009"/>
      <w:r w:rsidR="00CE7C9F">
        <w:rPr>
          <w:rStyle w:val="Refdenotaalpie"/>
        </w:rPr>
        <w:footnoteReference w:id="5"/>
      </w:r>
      <w:bookmarkEnd w:id="8"/>
      <w:r>
        <w:t xml:space="preserve"> con los Estados Unidos y la </w:t>
      </w:r>
      <w:r w:rsidR="00A37A9D" w:rsidRPr="00A37A9D">
        <w:t>entrad</w:t>
      </w:r>
      <w:r>
        <w:t>a de</w:t>
      </w:r>
      <w:r w:rsidR="00A37A9D" w:rsidRPr="00A37A9D">
        <w:t xml:space="preserve"> España </w:t>
      </w:r>
      <w:r>
        <w:t>en las</w:t>
      </w:r>
      <w:r w:rsidR="00A37A9D" w:rsidRPr="00A37A9D">
        <w:t xml:space="preserve"> </w:t>
      </w:r>
      <w:r>
        <w:t>Naciones Unidas</w:t>
      </w:r>
      <w:r w:rsidR="00A37A9D" w:rsidRPr="00A37A9D">
        <w:t xml:space="preserve"> en 1955.</w:t>
      </w:r>
    </w:p>
    <w:p w14:paraId="3F923CC1" w14:textId="06574D2B" w:rsidR="00BF544B" w:rsidRDefault="00BF544B" w:rsidP="00BF544B">
      <w:pPr>
        <w:pStyle w:val="Ttulo6"/>
        <w:numPr>
          <w:ilvl w:val="0"/>
          <w:numId w:val="40"/>
        </w:numPr>
        <w:ind w:left="0" w:hanging="284"/>
      </w:pPr>
      <w:bookmarkStart w:id="9" w:name="_Toc151227110"/>
      <w:r>
        <w:t xml:space="preserve">El bienio </w:t>
      </w:r>
      <w:proofErr w:type="spellStart"/>
      <w:r>
        <w:t>pre-estabilizador</w:t>
      </w:r>
      <w:proofErr w:type="spellEnd"/>
      <w:r>
        <w:t xml:space="preserve"> (1957-1958)</w:t>
      </w:r>
      <w:bookmarkEnd w:id="9"/>
    </w:p>
    <w:p w14:paraId="68318B82" w14:textId="2CCE83EE" w:rsidR="00BF544B" w:rsidRDefault="00FC650F" w:rsidP="00BF544B">
      <w:pPr>
        <w:pStyle w:val="Nivel2SM"/>
        <w:keepNext/>
        <w:spacing w:after="0"/>
      </w:pPr>
      <w:r>
        <w:t>Pese a los cambios, la economía exhibía problemas de déficit comercial e inflación, que acompañados por fuertes desigualdades económicas generaron tensiones sociales. E</w:t>
      </w:r>
      <w:r w:rsidR="00BF544B" w:rsidRPr="00C82535">
        <w:t>n 1957, ante la presión interna de economistas de la Administración y de la Universidad y la presión externa de organismos internacionales, particularmente el FMI, se toman las primeras medidas correctoras:</w:t>
      </w:r>
    </w:p>
    <w:p w14:paraId="77C9DBEB" w14:textId="0245AF1E" w:rsidR="00BF544B" w:rsidRDefault="00BF544B" w:rsidP="00BF544B">
      <w:pPr>
        <w:pStyle w:val="Nivel3SM"/>
      </w:pPr>
      <w:r w:rsidRPr="00BF544B">
        <w:t xml:space="preserve">Se producen </w:t>
      </w:r>
      <w:r w:rsidRPr="00BF544B">
        <w:rPr>
          <w:b/>
        </w:rPr>
        <w:t>cambios en el equipo de Gobierno</w:t>
      </w:r>
      <w:r w:rsidRPr="00BF544B">
        <w:t>, que provocan la llegada de dirigentes con otro tipo de ideas sobre cómo debe ser la política económica</w:t>
      </w:r>
      <w:r>
        <w:t xml:space="preserve">, dando paso a la </w:t>
      </w:r>
      <w:r>
        <w:rPr>
          <w:b/>
          <w:bCs/>
        </w:rPr>
        <w:t>tecnocracia</w:t>
      </w:r>
      <w:r w:rsidRPr="00BF544B">
        <w:t xml:space="preserve"> (entre ellos destacan </w:t>
      </w:r>
      <w:r w:rsidRPr="00BF544B">
        <w:rPr>
          <w:smallCaps/>
        </w:rPr>
        <w:t>Alberto Ullastres</w:t>
      </w:r>
      <w:r w:rsidRPr="00BF544B">
        <w:t xml:space="preserve"> en el Ministerio de Comercio o </w:t>
      </w:r>
      <w:r w:rsidRPr="00BF544B">
        <w:rPr>
          <w:smallCaps/>
        </w:rPr>
        <w:t>Mariano Navarro</w:t>
      </w:r>
      <w:r w:rsidRPr="00BF544B">
        <w:t xml:space="preserve"> en el de Hacienda).</w:t>
      </w:r>
    </w:p>
    <w:p w14:paraId="56EFE372" w14:textId="72B3C2CA" w:rsidR="00BF544B" w:rsidRPr="00BF544B" w:rsidRDefault="00BF544B" w:rsidP="00BF544B">
      <w:pPr>
        <w:pStyle w:val="Nivel3SM"/>
      </w:pPr>
      <w:r>
        <w:lastRenderedPageBreak/>
        <w:t xml:space="preserve">En estos años, </w:t>
      </w:r>
      <w:r w:rsidRPr="00BF544B">
        <w:t>se produce la entrada de España en organismos internacionales: FMI</w:t>
      </w:r>
      <w:r>
        <w:t xml:space="preserve"> y</w:t>
      </w:r>
      <w:r w:rsidRPr="00BF544B">
        <w:t xml:space="preserve"> BIRD</w:t>
      </w:r>
      <w:r>
        <w:t xml:space="preserve"> (en 1958) y </w:t>
      </w:r>
      <w:r w:rsidRPr="00BF544B">
        <w:t>OECE</w:t>
      </w:r>
      <w:r>
        <w:t xml:space="preserve"> (en 1959)</w:t>
      </w:r>
      <w:r w:rsidRPr="00BF544B">
        <w:t>, lo cual supone una vía de apoyo técnico y financiero para el cambio de enfoque de política económico que se pretende acometer.</w:t>
      </w:r>
    </w:p>
    <w:p w14:paraId="512A1D11" w14:textId="77777777" w:rsidR="00BF544B" w:rsidRDefault="00BF544B" w:rsidP="00BF544B">
      <w:pPr>
        <w:pStyle w:val="Nivel2SM"/>
        <w:keepNext/>
        <w:spacing w:after="0"/>
      </w:pPr>
      <w:r>
        <w:t xml:space="preserve">Sin embargo, </w:t>
      </w:r>
      <w:r w:rsidRPr="00FC650F">
        <w:t>todas estas disposiciones no pudieron evitar que la crisis de balanza de pagos se agudizara</w:t>
      </w:r>
      <w:r>
        <w:t>.</w:t>
      </w:r>
    </w:p>
    <w:p w14:paraId="57A9E7BF" w14:textId="77777777" w:rsidR="00BF544B" w:rsidRDefault="00BF544B" w:rsidP="00BF544B">
      <w:pPr>
        <w:pStyle w:val="Nivel3SM"/>
      </w:pPr>
      <w:r>
        <w:t>A finales de 1958, las reservas exteriores se agotaban, estando cerca de materializarse la amenaza de tener que cortar el suministro de materias primas y gasolina.</w:t>
      </w:r>
    </w:p>
    <w:p w14:paraId="2C2C6AAC" w14:textId="77777777" w:rsidR="00BF544B" w:rsidRPr="007F4F89" w:rsidRDefault="00BF544B" w:rsidP="00BF544B">
      <w:pPr>
        <w:pStyle w:val="Nivel2SM"/>
      </w:pPr>
      <w:r>
        <w:t>En este contexto, es necesario tomar medidas. Los informes redactados por el FMI y la OECE fruto de sus misiones permiten ultimar un “</w:t>
      </w:r>
      <w:r w:rsidRPr="0039426D">
        <w:rPr>
          <w:b/>
        </w:rPr>
        <w:t>Memorando</w:t>
      </w:r>
      <w:r>
        <w:t xml:space="preserve">”, que tras ser discutido en junio de 1959 con estos organismos, se acabará plasmando en el Decreto-Ley sobre Ordenación Económica del 21 de julio de 1959, más conocido como el </w:t>
      </w:r>
      <w:r w:rsidRPr="00FC650F">
        <w:rPr>
          <w:i/>
          <w:iCs/>
          <w:u w:val="single"/>
        </w:rPr>
        <w:t>Plan de Estabilización y Liberalización</w:t>
      </w:r>
      <w:r>
        <w:t>.</w:t>
      </w:r>
    </w:p>
    <w:p w14:paraId="4F93570C" w14:textId="4F76C4B0" w:rsidR="00BF544B" w:rsidRDefault="003E34B2" w:rsidP="00BF544B">
      <w:pPr>
        <w:pStyle w:val="Ttulo6"/>
      </w:pPr>
      <w:bookmarkStart w:id="10" w:name="_Toc151227111"/>
      <w:r>
        <w:t>Plan de Estabilización (1959)</w:t>
      </w:r>
      <w:bookmarkEnd w:id="10"/>
    </w:p>
    <w:p w14:paraId="19334436" w14:textId="6A795690" w:rsidR="003E34B2" w:rsidRPr="003E34B2" w:rsidRDefault="003E34B2" w:rsidP="003E34B2">
      <w:pPr>
        <w:pStyle w:val="Nivel2SM"/>
      </w:pPr>
      <w:r>
        <w:t>Con el apoyo de organismos internacionales</w:t>
      </w:r>
      <w:r w:rsidR="00183A1F">
        <w:t xml:space="preserve"> lleva a una mayor apertur</w:t>
      </w:r>
      <w:r w:rsidR="00562894">
        <w:t>a exterior.</w:t>
      </w:r>
    </w:p>
    <w:p w14:paraId="6ECA3C97" w14:textId="77BFBCBF" w:rsidR="009718D7" w:rsidRDefault="009718D7" w:rsidP="00904F21">
      <w:pPr>
        <w:pStyle w:val="Ttulo2"/>
      </w:pPr>
      <w:bookmarkStart w:id="11" w:name="_Toc151227112"/>
      <w:bookmarkEnd w:id="7"/>
      <w:r>
        <w:t>Inicios</w:t>
      </w:r>
      <w:r w:rsidR="003E34B2">
        <w:t xml:space="preserve"> de las Comunidades Europeas</w:t>
      </w:r>
      <w:bookmarkEnd w:id="11"/>
    </w:p>
    <w:p w14:paraId="4E1B9FB8" w14:textId="222D1E47" w:rsidR="00E25BA5" w:rsidRPr="000922E3" w:rsidRDefault="00E25BA5" w:rsidP="00006D4D">
      <w:pPr>
        <w:pStyle w:val="Ttulo6"/>
        <w:spacing w:before="0"/>
      </w:pPr>
      <w:bookmarkStart w:id="12" w:name="_Toc151227113"/>
      <w:r w:rsidRPr="00E25BA5">
        <w:t>Creación de la CEE</w:t>
      </w:r>
      <w:bookmarkEnd w:id="12"/>
    </w:p>
    <w:p w14:paraId="14CB2CEA" w14:textId="77777777" w:rsidR="009718D7" w:rsidRDefault="009718D7" w:rsidP="00C27782">
      <w:pPr>
        <w:pStyle w:val="Nivel2SM"/>
        <w:keepNext/>
        <w:spacing w:after="0"/>
      </w:pPr>
      <w:r>
        <w:t>En 1957, Alemania, Francia, Italia, Bélgica, Holanda y Luxemburgo firman el Tratado de Roma, que entra en vigor en 1958 y por el cual se crea la CEE.</w:t>
      </w:r>
    </w:p>
    <w:p w14:paraId="39F4E253" w14:textId="4A674459" w:rsidR="00DD2546" w:rsidRDefault="00CD4CA6" w:rsidP="00562894">
      <w:pPr>
        <w:pStyle w:val="Nivel3SM"/>
      </w:pPr>
      <w:r>
        <w:t xml:space="preserve">España permanece </w:t>
      </w:r>
      <w:r w:rsidR="004C354F">
        <w:t xml:space="preserve">inicialmente </w:t>
      </w:r>
      <w:r>
        <w:t>al margen del proyecto.</w:t>
      </w:r>
    </w:p>
    <w:p w14:paraId="1A8684EB" w14:textId="76B5F900" w:rsidR="00E25BA5" w:rsidRPr="000922E3" w:rsidRDefault="00E25BA5" w:rsidP="00006D4D">
      <w:pPr>
        <w:pStyle w:val="Ttulo6"/>
      </w:pPr>
      <w:bookmarkStart w:id="13" w:name="_Toc151227114"/>
      <w:r w:rsidRPr="00E25BA5">
        <w:t>Aumento del interés español por el proyecto europeo</w:t>
      </w:r>
      <w:bookmarkEnd w:id="13"/>
    </w:p>
    <w:p w14:paraId="35A5F27B" w14:textId="77777777" w:rsidR="004316D1" w:rsidRDefault="004316D1" w:rsidP="00562894">
      <w:pPr>
        <w:pStyle w:val="Nivel2SM"/>
        <w:keepNext/>
        <w:spacing w:after="0"/>
      </w:pPr>
      <w:r>
        <w:t>No obstante, a pesar de no formar parte de dicho núcleo, el interés de España por el proyecto de integración siempre fue en aumento:</w:t>
      </w:r>
    </w:p>
    <w:p w14:paraId="3A5431A0" w14:textId="2EF358A7" w:rsidR="004316D1" w:rsidRPr="004316D1" w:rsidRDefault="00CD4CA6" w:rsidP="00562894">
      <w:pPr>
        <w:pStyle w:val="Nivel3SM"/>
        <w:keepNext/>
      </w:pPr>
      <w:r w:rsidRPr="00562894">
        <w:rPr>
          <w:i/>
          <w:iCs/>
        </w:rPr>
        <w:t>Plan de Estabilización</w:t>
      </w:r>
      <w:r w:rsidR="004316D1" w:rsidRPr="00562894">
        <w:t xml:space="preserve"> (1959)</w:t>
      </w:r>
      <w:r w:rsidR="00DB0A9B" w:rsidRPr="00DB0A9B">
        <w:t>:</w:t>
      </w:r>
    </w:p>
    <w:p w14:paraId="4B0091E7" w14:textId="41760411" w:rsidR="004316D1" w:rsidRDefault="004316D1" w:rsidP="00562894">
      <w:pPr>
        <w:pStyle w:val="Nivel4"/>
        <w:ind w:left="1474"/>
      </w:pPr>
      <w:r>
        <w:t>S</w:t>
      </w:r>
      <w:r w:rsidR="00CD4CA6">
        <w:t>e produce un cambio de política económica que hará que, aunque lentamente, la economía españo</w:t>
      </w:r>
      <w:r>
        <w:t>la se vaya abriendo al exterior y por ende hacia la CEE.</w:t>
      </w:r>
    </w:p>
    <w:p w14:paraId="6FEA2F65" w14:textId="404E56AD" w:rsidR="00DD2546" w:rsidRPr="004316D1" w:rsidRDefault="004316D1" w:rsidP="00562894">
      <w:pPr>
        <w:pStyle w:val="Nivel3SM"/>
        <w:keepNext/>
      </w:pPr>
      <w:r w:rsidRPr="00562894">
        <w:rPr>
          <w:i/>
          <w:iCs/>
        </w:rPr>
        <w:t>Primer jefe de misión</w:t>
      </w:r>
      <w:r w:rsidRPr="004316D1">
        <w:t xml:space="preserve"> (1960)</w:t>
      </w:r>
      <w:r w:rsidR="00562894">
        <w:t>:</w:t>
      </w:r>
    </w:p>
    <w:p w14:paraId="062925CA" w14:textId="77777777" w:rsidR="00912145" w:rsidRDefault="00912145" w:rsidP="00562894">
      <w:pPr>
        <w:pStyle w:val="Nivel4"/>
        <w:ind w:left="1474"/>
      </w:pPr>
      <w:r>
        <w:t>España plantea la necesidad de contar con un representante diplomático ante las Comunidades Europeas</w:t>
      </w:r>
      <w:r w:rsidR="00A06750">
        <w:t xml:space="preserve"> y las negociaciones se desarrollan con éxito. El primer “Jefe de misión” (nombre técnico que reciben estos representantes) de España ante las Comunidades Europeas es nombrado en 1960.</w:t>
      </w:r>
    </w:p>
    <w:p w14:paraId="739B5FAA" w14:textId="77777777" w:rsidR="00562D10" w:rsidRDefault="00562D10" w:rsidP="00562894">
      <w:pPr>
        <w:pStyle w:val="Nivel4"/>
        <w:ind w:left="1474"/>
      </w:pPr>
      <w:r>
        <w:t xml:space="preserve">En 1965, </w:t>
      </w:r>
      <w:r w:rsidRPr="009F4BD1">
        <w:rPr>
          <w:smallCaps/>
        </w:rPr>
        <w:t>Alberto Ullastres</w:t>
      </w:r>
      <w:r>
        <w:t xml:space="preserve"> (antiguo Ministro de Comercio que había jugado un papel relevante en el cambio político que supuso el Plan de Estabilización) fue nombrado nuevo Jefe de Misión ante la CEE.</w:t>
      </w:r>
    </w:p>
    <w:p w14:paraId="2AB2002F" w14:textId="0E772D92" w:rsidR="00E25BA5" w:rsidRPr="00E25BA5" w:rsidRDefault="00E25BA5" w:rsidP="00562894">
      <w:pPr>
        <w:pStyle w:val="Nivel3SM"/>
        <w:keepNext/>
      </w:pPr>
      <w:r w:rsidRPr="00562894">
        <w:rPr>
          <w:i/>
          <w:iCs/>
        </w:rPr>
        <w:t xml:space="preserve">Informe </w:t>
      </w:r>
      <w:r w:rsidRPr="00562894">
        <w:rPr>
          <w:i/>
          <w:iCs/>
          <w:smallCaps/>
        </w:rPr>
        <w:t>Birkelbach</w:t>
      </w:r>
      <w:r w:rsidR="00562D10" w:rsidRPr="00562894">
        <w:rPr>
          <w:i/>
          <w:iCs/>
        </w:rPr>
        <w:t xml:space="preserve"> </w:t>
      </w:r>
      <w:r w:rsidR="00562894" w:rsidRPr="00562894">
        <w:t>(</w:t>
      </w:r>
      <w:r w:rsidR="00562D10" w:rsidRPr="00562894">
        <w:t>1962</w:t>
      </w:r>
      <w:r w:rsidR="00562894" w:rsidRPr="00562894">
        <w:t>)</w:t>
      </w:r>
      <w:r w:rsidR="00562894">
        <w:t>:</w:t>
      </w:r>
    </w:p>
    <w:p w14:paraId="09BDD5A2" w14:textId="77777777" w:rsidR="004C354F" w:rsidRDefault="008172A8" w:rsidP="00562894">
      <w:pPr>
        <w:pStyle w:val="Nivel4"/>
        <w:ind w:left="1474"/>
      </w:pPr>
      <w:r>
        <w:t xml:space="preserve">Se </w:t>
      </w:r>
      <w:r w:rsidR="004C354F">
        <w:t>aprueba el “</w:t>
      </w:r>
      <w:r w:rsidR="004C354F" w:rsidRPr="004316D1">
        <w:t>Informe Birkelbach</w:t>
      </w:r>
      <w:r w:rsidR="004C354F">
        <w:t>” en el Parlamento Europeo.</w:t>
      </w:r>
      <w:r>
        <w:t xml:space="preserve"> </w:t>
      </w:r>
      <w:r w:rsidR="004C354F">
        <w:t xml:space="preserve">Este informe fija de forma general el </w:t>
      </w:r>
      <w:r w:rsidR="004C354F" w:rsidRPr="004316D1">
        <w:t>principio de que sólo países con un régimen político democrático pueden formar parte de la Comunidad</w:t>
      </w:r>
      <w:r w:rsidR="004C354F">
        <w:t>.</w:t>
      </w:r>
    </w:p>
    <w:p w14:paraId="52B95110" w14:textId="1AD0583E" w:rsidR="00E25BA5" w:rsidRPr="00E25BA5" w:rsidRDefault="00E25BA5" w:rsidP="00562894">
      <w:pPr>
        <w:pStyle w:val="Nivel3SM"/>
        <w:keepNext/>
      </w:pPr>
      <w:r w:rsidRPr="00562894">
        <w:rPr>
          <w:i/>
          <w:iCs/>
        </w:rPr>
        <w:t>Solicitud de asociación</w:t>
      </w:r>
      <w:r w:rsidR="00562894">
        <w:t xml:space="preserve"> (1962):</w:t>
      </w:r>
    </w:p>
    <w:p w14:paraId="2A67A8E8" w14:textId="77777777" w:rsidR="008172A8" w:rsidRDefault="008172A8" w:rsidP="00562894">
      <w:pPr>
        <w:pStyle w:val="Nivel4"/>
        <w:ind w:left="1474"/>
      </w:pPr>
      <w:r>
        <w:t xml:space="preserve">El </w:t>
      </w:r>
      <w:r w:rsidRPr="004316D1">
        <w:rPr>
          <w:u w:val="single"/>
        </w:rPr>
        <w:t>Gobierno español</w:t>
      </w:r>
      <w:r>
        <w:t xml:space="preserve"> remite una </w:t>
      </w:r>
      <w:r w:rsidRPr="004316D1">
        <w:rPr>
          <w:u w:val="single"/>
        </w:rPr>
        <w:t>solicitud de asociaci</w:t>
      </w:r>
      <w:r w:rsidR="004C67ED" w:rsidRPr="004316D1">
        <w:rPr>
          <w:u w:val="single"/>
        </w:rPr>
        <w:t>ón</w:t>
      </w:r>
      <w:r w:rsidR="004C67ED">
        <w:t xml:space="preserve"> </w:t>
      </w:r>
      <w:r>
        <w:t>a las Comunidades Europeas.</w:t>
      </w:r>
    </w:p>
    <w:p w14:paraId="65C79ACE" w14:textId="77777777" w:rsidR="00B8469E" w:rsidRDefault="00B8469E" w:rsidP="00562894">
      <w:pPr>
        <w:pStyle w:val="Nivel4"/>
        <w:ind w:left="1474"/>
      </w:pPr>
      <w:r>
        <w:t xml:space="preserve">Las Comunidades sólo responden a ésta con un </w:t>
      </w:r>
      <w:r w:rsidR="00DD2546">
        <w:t>vale</w:t>
      </w:r>
      <w:r>
        <w:t xml:space="preserve"> de recibo.</w:t>
      </w:r>
    </w:p>
    <w:p w14:paraId="358AB876" w14:textId="5888CAEB" w:rsidR="00CB16E2" w:rsidRPr="00E25BA5" w:rsidRDefault="00E25BA5" w:rsidP="00562894">
      <w:pPr>
        <w:pStyle w:val="Nivel3SM"/>
        <w:keepNext/>
      </w:pPr>
      <w:r w:rsidRPr="00562894">
        <w:rPr>
          <w:i/>
          <w:iCs/>
        </w:rPr>
        <w:t>Negociación del Acuerdo Preferencial</w:t>
      </w:r>
      <w:r w:rsidR="00562894">
        <w:t>:</w:t>
      </w:r>
    </w:p>
    <w:p w14:paraId="25D368BA" w14:textId="2C5F13DE" w:rsidR="00E25BA5" w:rsidRDefault="00E25BA5" w:rsidP="00562894">
      <w:pPr>
        <w:pStyle w:val="Nivel4"/>
        <w:ind w:left="1474"/>
      </w:pPr>
      <w:r>
        <w:t>La CEE termina aceptando negociar un Acuerdo con España. Las negociaciones se extenderán 5</w:t>
      </w:r>
      <w:r w:rsidR="00183A1F">
        <w:t> </w:t>
      </w:r>
      <w:r>
        <w:t>años.</w:t>
      </w:r>
    </w:p>
    <w:p w14:paraId="3A656397" w14:textId="77777777" w:rsidR="0080083D" w:rsidRDefault="00E25BA5" w:rsidP="00562894">
      <w:pPr>
        <w:pStyle w:val="Nivel4"/>
        <w:ind w:left="1474"/>
      </w:pPr>
      <w:r>
        <w:t>Las largas negociaciones pusieron de manifiesto la complejidad del acuerdo.</w:t>
      </w:r>
    </w:p>
    <w:p w14:paraId="48F00CD5" w14:textId="77777777" w:rsidR="006561DD" w:rsidRDefault="004B0EF8" w:rsidP="00904F21">
      <w:pPr>
        <w:pStyle w:val="Ttulo2"/>
      </w:pPr>
      <w:bookmarkStart w:id="14" w:name="_Toc151227115"/>
      <w:r>
        <w:lastRenderedPageBreak/>
        <w:t>El Acuerdo Comercial Preferencial</w:t>
      </w:r>
      <w:bookmarkEnd w:id="14"/>
    </w:p>
    <w:p w14:paraId="07BFDA74" w14:textId="32C45C87" w:rsidR="005D2456" w:rsidRDefault="005D2456" w:rsidP="00006D4D">
      <w:pPr>
        <w:pStyle w:val="Ttulo6"/>
        <w:spacing w:before="0"/>
      </w:pPr>
      <w:bookmarkStart w:id="15" w:name="_Toc151227116"/>
      <w:r>
        <w:t>Introducción</w:t>
      </w:r>
      <w:bookmarkEnd w:id="15"/>
    </w:p>
    <w:p w14:paraId="662C3E06" w14:textId="2DB0C1EB" w:rsidR="00C263A2" w:rsidRPr="00516D31" w:rsidRDefault="00C263A2" w:rsidP="00562894">
      <w:pPr>
        <w:pStyle w:val="Nivel2SM"/>
      </w:pPr>
      <w:r w:rsidRPr="00516D31">
        <w:t xml:space="preserve">El Acuerdo Comercial Preferencial </w:t>
      </w:r>
      <w:r>
        <w:t xml:space="preserve">firmado en 1970 </w:t>
      </w:r>
      <w:r w:rsidRPr="00516D31">
        <w:t>será el que rija las relaciones de España con la CEE durante 15</w:t>
      </w:r>
      <w:r w:rsidR="00562894">
        <w:t> </w:t>
      </w:r>
      <w:r w:rsidRPr="00516D31">
        <w:t xml:space="preserve">años y consistía el establecimiento de un sistema de concesiones recíprocas y supresión progresiva de los obstáculos al intercambio entre España y la CEE. </w:t>
      </w:r>
    </w:p>
    <w:p w14:paraId="21257BED" w14:textId="1BE4FA54" w:rsidR="00C875A0" w:rsidRPr="00516D31" w:rsidRDefault="00C875A0" w:rsidP="00562894">
      <w:pPr>
        <w:pStyle w:val="Nivel2SM"/>
        <w:keepNext/>
        <w:spacing w:after="0"/>
      </w:pPr>
      <w:r w:rsidRPr="00516D31">
        <w:t xml:space="preserve">En el momento de la firma, se prevé un proceso en </w:t>
      </w:r>
      <w:r w:rsidR="00904F21">
        <w:rPr>
          <w:b/>
        </w:rPr>
        <w:t>2 </w:t>
      </w:r>
      <w:r w:rsidRPr="00984F70">
        <w:rPr>
          <w:b/>
        </w:rPr>
        <w:t>fases</w:t>
      </w:r>
      <w:r w:rsidRPr="00516D31">
        <w:t>:</w:t>
      </w:r>
    </w:p>
    <w:p w14:paraId="360FF7BC" w14:textId="57CD73E5" w:rsidR="00C875A0" w:rsidRDefault="00562894" w:rsidP="00562894">
      <w:pPr>
        <w:pStyle w:val="Nivel3SM"/>
        <w:keepNext/>
      </w:pPr>
      <w:r w:rsidRPr="00562894">
        <w:rPr>
          <w:i/>
          <w:iCs/>
          <w:u w:val="single"/>
        </w:rPr>
        <w:t>P</w:t>
      </w:r>
      <w:r w:rsidR="00C875A0" w:rsidRPr="00562894">
        <w:rPr>
          <w:i/>
          <w:iCs/>
          <w:u w:val="single"/>
        </w:rPr>
        <w:t>rimera</w:t>
      </w:r>
      <w:r w:rsidRPr="00562894">
        <w:rPr>
          <w:i/>
          <w:iCs/>
          <w:u w:val="single"/>
        </w:rPr>
        <w:t xml:space="preserve"> fase</w:t>
      </w:r>
      <w:r w:rsidR="00904F21">
        <w:t>:</w:t>
      </w:r>
    </w:p>
    <w:p w14:paraId="1D9FA976" w14:textId="77777777" w:rsidR="00C875A0" w:rsidRPr="00516D31" w:rsidRDefault="00C875A0" w:rsidP="00562894">
      <w:pPr>
        <w:pStyle w:val="Nivel4"/>
        <w:ind w:left="1474"/>
      </w:pPr>
      <w:r>
        <w:t xml:space="preserve">De </w:t>
      </w:r>
      <w:r w:rsidRPr="00516D31">
        <w:t xml:space="preserve">6 años de duración, consistía en un </w:t>
      </w:r>
      <w:r w:rsidRPr="00984F70">
        <w:rPr>
          <w:u w:val="single"/>
        </w:rPr>
        <w:t>acuerdo explícito</w:t>
      </w:r>
      <w:r w:rsidRPr="00516D31">
        <w:t xml:space="preserve"> de </w:t>
      </w:r>
      <w:r w:rsidRPr="00984F70">
        <w:rPr>
          <w:u w:val="single"/>
        </w:rPr>
        <w:t>concesiones comerciales</w:t>
      </w:r>
      <w:r w:rsidRPr="00516D31">
        <w:t>.</w:t>
      </w:r>
    </w:p>
    <w:p w14:paraId="1134D642" w14:textId="6154A6BC" w:rsidR="00C875A0" w:rsidRDefault="00562894" w:rsidP="00562894">
      <w:pPr>
        <w:pStyle w:val="Nivel3SM"/>
        <w:keepNext/>
      </w:pPr>
      <w:r w:rsidRPr="00562894">
        <w:rPr>
          <w:i/>
          <w:iCs/>
          <w:u w:val="single"/>
        </w:rPr>
        <w:t>S</w:t>
      </w:r>
      <w:r w:rsidR="00C875A0" w:rsidRPr="00562894">
        <w:rPr>
          <w:i/>
          <w:iCs/>
          <w:u w:val="single"/>
        </w:rPr>
        <w:t>egunda</w:t>
      </w:r>
      <w:r w:rsidRPr="00562894">
        <w:rPr>
          <w:i/>
          <w:iCs/>
          <w:u w:val="single"/>
        </w:rPr>
        <w:t xml:space="preserve"> fase</w:t>
      </w:r>
      <w:r>
        <w:t>:</w:t>
      </w:r>
    </w:p>
    <w:p w14:paraId="330C52E8" w14:textId="77777777" w:rsidR="00C875A0" w:rsidRPr="00516D31" w:rsidRDefault="00C875A0" w:rsidP="00562894">
      <w:pPr>
        <w:pStyle w:val="Nivel4"/>
        <w:ind w:left="1474"/>
      </w:pPr>
      <w:r>
        <w:t>S</w:t>
      </w:r>
      <w:r w:rsidRPr="00516D31">
        <w:t xml:space="preserve">in plazo establecido, se iniciaría de común acuerdo entre ambas partes. </w:t>
      </w:r>
    </w:p>
    <w:p w14:paraId="7AD55935" w14:textId="16B36B5E" w:rsidR="00C875A0" w:rsidRPr="00516D31" w:rsidRDefault="00C875A0" w:rsidP="00562894">
      <w:pPr>
        <w:pStyle w:val="Nivel4"/>
        <w:ind w:left="1474"/>
      </w:pPr>
      <w:r w:rsidRPr="00516D31">
        <w:t>A falta de acuerdo, se prorrogarían automáticamente las condiciones de la primera etapa.</w:t>
      </w:r>
    </w:p>
    <w:p w14:paraId="65CC38AB" w14:textId="77777777" w:rsidR="00C875A0" w:rsidRPr="00516D31" w:rsidRDefault="00C875A0" w:rsidP="00562894">
      <w:pPr>
        <w:pStyle w:val="Nivel4"/>
        <w:ind w:left="1474"/>
      </w:pPr>
      <w:r w:rsidRPr="00516D31">
        <w:t>El objetivo último era crear una zona de libre comercio o una unión aduanera, requisito fundamental para que el acuerdo respetara las normas del GATT en materia de no discriminación (cláusula de nación más favorecida o MFN).</w:t>
      </w:r>
    </w:p>
    <w:p w14:paraId="2AEE03BA" w14:textId="77777777" w:rsidR="00C875A0" w:rsidRPr="00516D31" w:rsidRDefault="00C875A0" w:rsidP="00006D4D">
      <w:pPr>
        <w:pStyle w:val="Ttulo6"/>
      </w:pPr>
      <w:bookmarkStart w:id="16" w:name="_Toc151227117"/>
      <w:r w:rsidRPr="00516D31">
        <w:t>Primera fase</w:t>
      </w:r>
      <w:bookmarkEnd w:id="16"/>
    </w:p>
    <w:p w14:paraId="2D446B87" w14:textId="77777777" w:rsidR="00C875A0" w:rsidRPr="00516D31" w:rsidRDefault="00562D10" w:rsidP="00562894">
      <w:pPr>
        <w:pStyle w:val="Nivel2SM"/>
        <w:keepNext/>
        <w:spacing w:after="0"/>
      </w:pPr>
      <w:r w:rsidRPr="00562894">
        <w:rPr>
          <w:i/>
          <w:iCs/>
          <w:u w:val="single"/>
        </w:rPr>
        <w:t>C</w:t>
      </w:r>
      <w:r w:rsidR="00C875A0" w:rsidRPr="00562894">
        <w:rPr>
          <w:i/>
          <w:iCs/>
          <w:u w:val="single"/>
        </w:rPr>
        <w:t xml:space="preserve">ompromisos de </w:t>
      </w:r>
      <w:r w:rsidR="00C875A0" w:rsidRPr="00562894">
        <w:rPr>
          <w:b/>
          <w:i/>
          <w:iCs/>
          <w:u w:val="single"/>
        </w:rPr>
        <w:t>España</w:t>
      </w:r>
      <w:r w:rsidR="00C875A0" w:rsidRPr="00516D31">
        <w:t>:</w:t>
      </w:r>
    </w:p>
    <w:p w14:paraId="34DDDBE8" w14:textId="77777777" w:rsidR="00C875A0" w:rsidRPr="00562894" w:rsidRDefault="00C875A0" w:rsidP="00562894">
      <w:pPr>
        <w:pStyle w:val="Nivel3SM"/>
        <w:keepNext/>
        <w:rPr>
          <w:i/>
          <w:iCs/>
        </w:rPr>
      </w:pPr>
      <w:r w:rsidRPr="00562894">
        <w:rPr>
          <w:i/>
          <w:iCs/>
        </w:rPr>
        <w:t xml:space="preserve">Reducción arancelaria en muchos productos. </w:t>
      </w:r>
    </w:p>
    <w:p w14:paraId="3E4A2028" w14:textId="1C860703" w:rsidR="00C875A0" w:rsidRPr="00516D31" w:rsidRDefault="00C875A0" w:rsidP="00562894">
      <w:pPr>
        <w:pStyle w:val="Nivel4"/>
        <w:ind w:left="1474"/>
      </w:pPr>
      <w:r w:rsidRPr="00516D31">
        <w:t xml:space="preserve">Se acuerdan </w:t>
      </w:r>
      <w:r w:rsidRPr="00984F70">
        <w:t>3 listas de productos</w:t>
      </w:r>
      <w:r w:rsidRPr="00516D31">
        <w:t xml:space="preserve"> para </w:t>
      </w:r>
      <w:r w:rsidRPr="00984F70">
        <w:t>productos agrícolas e industriales</w:t>
      </w:r>
      <w:r w:rsidRPr="00516D31">
        <w:t>. Para cada lista diferentes</w:t>
      </w:r>
      <w:r w:rsidR="00562894">
        <w:t xml:space="preserve"> porcentajes</w:t>
      </w:r>
      <w:r w:rsidRPr="00516D31">
        <w:t xml:space="preserve"> de rebaja (</w:t>
      </w:r>
      <w:r w:rsidR="00A41713">
        <w:t xml:space="preserve">comprendidos entre el </w:t>
      </w:r>
      <w:r w:rsidRPr="00984F70">
        <w:t>25</w:t>
      </w:r>
      <w:r w:rsidR="004A1CAE">
        <w:t> %</w:t>
      </w:r>
      <w:r w:rsidR="00A41713">
        <w:t xml:space="preserve"> y el </w:t>
      </w:r>
      <w:r w:rsidRPr="00984F70">
        <w:t>60</w:t>
      </w:r>
      <w:r w:rsidR="004A1CAE">
        <w:t> %</w:t>
      </w:r>
      <w:r w:rsidRPr="00516D31">
        <w:t>)</w:t>
      </w:r>
      <w:r w:rsidR="00A41713">
        <w:t>.</w:t>
      </w:r>
    </w:p>
    <w:p w14:paraId="3CC0864F" w14:textId="77777777" w:rsidR="00C875A0" w:rsidRPr="00516D31" w:rsidRDefault="00C875A0" w:rsidP="00562894">
      <w:pPr>
        <w:pStyle w:val="Nivel4"/>
        <w:keepNext/>
        <w:ind w:left="1474"/>
      </w:pPr>
      <w:r w:rsidRPr="00516D31">
        <w:t xml:space="preserve">Quedan </w:t>
      </w:r>
      <w:r w:rsidRPr="00984F70">
        <w:rPr>
          <w:b/>
        </w:rPr>
        <w:t>excluidos</w:t>
      </w:r>
      <w:r w:rsidRPr="00516D31">
        <w:t xml:space="preserve"> de rebaja:</w:t>
      </w:r>
    </w:p>
    <w:p w14:paraId="40ED4E21" w14:textId="77777777" w:rsidR="00C875A0" w:rsidRPr="00516D31" w:rsidRDefault="00C875A0" w:rsidP="00562894">
      <w:pPr>
        <w:pStyle w:val="Nivel5"/>
        <w:ind w:left="1871"/>
      </w:pPr>
      <w:r w:rsidRPr="00516D31">
        <w:t>Los productos comprendidos en el Tratado de la CECA (carbón y acero), cuyos aranceles no se reducen.</w:t>
      </w:r>
    </w:p>
    <w:p w14:paraId="6ADB2220" w14:textId="77777777" w:rsidR="00C875A0" w:rsidRPr="00516D31" w:rsidRDefault="00C875A0" w:rsidP="00562894">
      <w:pPr>
        <w:pStyle w:val="Nivel5"/>
        <w:ind w:left="1871"/>
      </w:pPr>
      <w:r w:rsidRPr="00516D31">
        <w:t xml:space="preserve">Otros productos concretos. </w:t>
      </w:r>
    </w:p>
    <w:p w14:paraId="73B9132B" w14:textId="409F5217" w:rsidR="00C875A0" w:rsidRPr="00516D31" w:rsidRDefault="00C875A0" w:rsidP="00562894">
      <w:pPr>
        <w:pStyle w:val="Nivel3SM"/>
        <w:keepNext/>
      </w:pPr>
      <w:r w:rsidRPr="00562894">
        <w:rPr>
          <w:i/>
          <w:iCs/>
        </w:rPr>
        <w:t>Ampliación de los contingentes de las cuotas</w:t>
      </w:r>
      <w:r w:rsidRPr="00516D31">
        <w:t>.</w:t>
      </w:r>
    </w:p>
    <w:p w14:paraId="1E21480B" w14:textId="77777777" w:rsidR="00C875A0" w:rsidRPr="00516D31" w:rsidRDefault="00C875A0" w:rsidP="00562894">
      <w:pPr>
        <w:pStyle w:val="Nivel4"/>
        <w:ind w:left="1474"/>
      </w:pPr>
      <w:r w:rsidRPr="00516D31">
        <w:t>También debe ampliar los contingentes para muchos productos (como por ejemplo los automóviles).</w:t>
      </w:r>
    </w:p>
    <w:p w14:paraId="7DD5855D" w14:textId="7CDF01A9" w:rsidR="00C875A0" w:rsidRPr="00516D31" w:rsidRDefault="00C875A0" w:rsidP="00562894">
      <w:pPr>
        <w:pStyle w:val="Nivel3SM"/>
        <w:keepNext/>
      </w:pPr>
      <w:r w:rsidRPr="00562894">
        <w:rPr>
          <w:i/>
          <w:iCs/>
        </w:rPr>
        <w:t>Concesiones en materia agrícola</w:t>
      </w:r>
      <w:r w:rsidRPr="00516D31">
        <w:t>.</w:t>
      </w:r>
    </w:p>
    <w:p w14:paraId="036A49E8" w14:textId="77777777" w:rsidR="00C875A0" w:rsidRPr="00516D31" w:rsidRDefault="00C875A0" w:rsidP="00562894">
      <w:pPr>
        <w:pStyle w:val="Nivel4"/>
        <w:ind w:left="1474"/>
      </w:pPr>
      <w:r w:rsidRPr="00516D31">
        <w:t xml:space="preserve">Concesiones escasas. </w:t>
      </w:r>
    </w:p>
    <w:p w14:paraId="1FA20C58" w14:textId="77777777" w:rsidR="00C875A0" w:rsidRPr="00516D31" w:rsidRDefault="00C875A0" w:rsidP="00562894">
      <w:pPr>
        <w:pStyle w:val="Nivel4"/>
        <w:ind w:left="1474"/>
      </w:pPr>
      <w:r w:rsidRPr="00516D31">
        <w:t xml:space="preserve">Se compromete a adquirir ciertas cantidades de algunos productos para los cuales la CEE estaba produciendo excedentes. </w:t>
      </w:r>
    </w:p>
    <w:p w14:paraId="3B934474" w14:textId="77777777" w:rsidR="00C875A0" w:rsidRPr="00516D31" w:rsidRDefault="00562D10" w:rsidP="00A41713">
      <w:pPr>
        <w:pStyle w:val="Nivel2SM"/>
        <w:keepNext/>
        <w:spacing w:after="0"/>
        <w:rPr>
          <w:b/>
        </w:rPr>
      </w:pPr>
      <w:r w:rsidRPr="00A41713">
        <w:rPr>
          <w:i/>
          <w:iCs/>
          <w:u w:val="single"/>
        </w:rPr>
        <w:t>C</w:t>
      </w:r>
      <w:r w:rsidR="00C875A0" w:rsidRPr="00A41713">
        <w:rPr>
          <w:i/>
          <w:iCs/>
          <w:u w:val="single"/>
        </w:rPr>
        <w:t xml:space="preserve">ompromisos de la </w:t>
      </w:r>
      <w:r w:rsidR="00C875A0" w:rsidRPr="00A41713">
        <w:rPr>
          <w:b/>
          <w:i/>
          <w:iCs/>
          <w:u w:val="single"/>
        </w:rPr>
        <w:t>CEE</w:t>
      </w:r>
      <w:r w:rsidR="00C875A0" w:rsidRPr="00516D31">
        <w:t>:</w:t>
      </w:r>
    </w:p>
    <w:p w14:paraId="1BB5E591" w14:textId="77777777" w:rsidR="00C875A0" w:rsidRPr="00516D31" w:rsidRDefault="00C875A0" w:rsidP="00A41713">
      <w:pPr>
        <w:pStyle w:val="Nivel3SM"/>
        <w:keepNext/>
        <w:rPr>
          <w:b/>
        </w:rPr>
      </w:pPr>
      <w:r w:rsidRPr="00A41713">
        <w:rPr>
          <w:i/>
          <w:iCs/>
        </w:rPr>
        <w:t>Reducción escalonada de aranceles</w:t>
      </w:r>
      <w:r w:rsidRPr="00516D31">
        <w:t>.</w:t>
      </w:r>
    </w:p>
    <w:p w14:paraId="2C34B3D5" w14:textId="192689BE" w:rsidR="00C875A0" w:rsidRPr="00516D31" w:rsidRDefault="00C875A0" w:rsidP="00A41713">
      <w:pPr>
        <w:pStyle w:val="Nivel4"/>
        <w:ind w:left="1474"/>
        <w:rPr>
          <w:b/>
        </w:rPr>
      </w:pPr>
      <w:r w:rsidRPr="00516D31">
        <w:t>Llega al 60</w:t>
      </w:r>
      <w:r w:rsidR="004A1CAE">
        <w:t> %</w:t>
      </w:r>
      <w:r w:rsidRPr="00516D31">
        <w:t xml:space="preserve"> en 1973.</w:t>
      </w:r>
    </w:p>
    <w:p w14:paraId="7CE3C924" w14:textId="0056BDEA" w:rsidR="00C875A0" w:rsidRPr="00516D31" w:rsidRDefault="00C875A0" w:rsidP="00A41713">
      <w:pPr>
        <w:pStyle w:val="Nivel4"/>
        <w:ind w:left="1474"/>
        <w:rPr>
          <w:b/>
        </w:rPr>
      </w:pPr>
      <w:r w:rsidRPr="00516D31">
        <w:t>Excepciones: Productos derivados del petróleo, textiles y otros productos donde España era especialmente competitiva, en los que la reducción se limitó al 40</w:t>
      </w:r>
      <w:r w:rsidR="004A1CAE">
        <w:t> %</w:t>
      </w:r>
      <w:r w:rsidRPr="00516D31">
        <w:t>.</w:t>
      </w:r>
    </w:p>
    <w:p w14:paraId="49A87751" w14:textId="788C5454" w:rsidR="00C875A0" w:rsidRPr="00984F70" w:rsidRDefault="00C875A0" w:rsidP="00A41713">
      <w:pPr>
        <w:pStyle w:val="Nivel3SM"/>
        <w:keepNext/>
        <w:rPr>
          <w:b/>
        </w:rPr>
      </w:pPr>
      <w:r w:rsidRPr="00A41713">
        <w:rPr>
          <w:i/>
          <w:iCs/>
        </w:rPr>
        <w:t>Productos agrícolas (interés especial de España)</w:t>
      </w:r>
      <w:r w:rsidR="00A41713">
        <w:t>.</w:t>
      </w:r>
    </w:p>
    <w:p w14:paraId="5EF64766" w14:textId="77777777" w:rsidR="00C875A0" w:rsidRPr="00516D31" w:rsidRDefault="00C875A0" w:rsidP="00A41713">
      <w:pPr>
        <w:pStyle w:val="Nivel4"/>
        <w:ind w:left="1474"/>
        <w:rPr>
          <w:b/>
        </w:rPr>
      </w:pPr>
      <w:r w:rsidRPr="00516D31">
        <w:t xml:space="preserve">Se equipararon los españoles a los de otros países mediterráneos con los que la CEE mantenía acuerdos preferenciales. </w:t>
      </w:r>
    </w:p>
    <w:p w14:paraId="7EFC7C2D" w14:textId="77777777" w:rsidR="00C875A0" w:rsidRPr="00AA3F3E" w:rsidRDefault="00C875A0" w:rsidP="00C875A0">
      <w:pPr>
        <w:numPr>
          <w:ilvl w:val="0"/>
          <w:numId w:val="3"/>
        </w:numPr>
        <w:tabs>
          <w:tab w:val="clear" w:pos="720"/>
        </w:tabs>
        <w:rPr>
          <w:b/>
          <w:highlight w:val="yellow"/>
          <w:u w:val="single"/>
        </w:rPr>
      </w:pPr>
      <w:r w:rsidRPr="00AA3F3E">
        <w:rPr>
          <w:highlight w:val="yellow"/>
          <w:u w:val="single"/>
        </w:rPr>
        <w:t>Las nuevas adhesiones a la CEE</w:t>
      </w:r>
    </w:p>
    <w:p w14:paraId="3734BDE3" w14:textId="77777777" w:rsidR="00C875A0" w:rsidRPr="00AA3F3E" w:rsidRDefault="00C875A0" w:rsidP="00C875A0">
      <w:pPr>
        <w:numPr>
          <w:ilvl w:val="1"/>
          <w:numId w:val="3"/>
        </w:numPr>
        <w:tabs>
          <w:tab w:val="clear" w:pos="1440"/>
        </w:tabs>
        <w:rPr>
          <w:b/>
          <w:highlight w:val="yellow"/>
        </w:rPr>
      </w:pPr>
      <w:r w:rsidRPr="00AA3F3E">
        <w:rPr>
          <w:highlight w:val="yellow"/>
          <w:u w:val="single"/>
        </w:rPr>
        <w:t>1973: Adhesión de Reino Unido, Irlanda y Dinamarca</w:t>
      </w:r>
      <w:r w:rsidRPr="00AA3F3E">
        <w:rPr>
          <w:highlight w:val="yellow"/>
        </w:rPr>
        <w:t>.</w:t>
      </w:r>
    </w:p>
    <w:p w14:paraId="7D658AE6" w14:textId="77777777" w:rsidR="00C875A0" w:rsidRPr="00AA3F3E" w:rsidRDefault="00C875A0" w:rsidP="00C875A0">
      <w:pPr>
        <w:numPr>
          <w:ilvl w:val="1"/>
          <w:numId w:val="3"/>
        </w:numPr>
        <w:tabs>
          <w:tab w:val="clear" w:pos="1440"/>
        </w:tabs>
        <w:rPr>
          <w:highlight w:val="yellow"/>
        </w:rPr>
      </w:pPr>
      <w:r w:rsidRPr="00AA3F3E">
        <w:rPr>
          <w:highlight w:val="yellow"/>
          <w:u w:val="single"/>
        </w:rPr>
        <w:t>Problema</w:t>
      </w:r>
      <w:r w:rsidRPr="00AA3F3E">
        <w:rPr>
          <w:highlight w:val="yellow"/>
        </w:rPr>
        <w:t>:</w:t>
      </w:r>
    </w:p>
    <w:p w14:paraId="3B8E86CD" w14:textId="47BB00D6" w:rsidR="00C875A0" w:rsidRPr="00AA3F3E" w:rsidRDefault="00C875A0" w:rsidP="00C875A0">
      <w:pPr>
        <w:numPr>
          <w:ilvl w:val="2"/>
          <w:numId w:val="3"/>
        </w:numPr>
        <w:tabs>
          <w:tab w:val="clear" w:pos="2160"/>
        </w:tabs>
        <w:rPr>
          <w:highlight w:val="yellow"/>
        </w:rPr>
      </w:pPr>
      <w:r w:rsidRPr="00AA3F3E">
        <w:rPr>
          <w:highlight w:val="yellow"/>
        </w:rPr>
        <w:t xml:space="preserve">Esta adhesión suponía para las exportaciones españolas un problema, dado que </w:t>
      </w:r>
      <w:r w:rsidR="00904F21">
        <w:rPr>
          <w:highlight w:val="yellow"/>
        </w:rPr>
        <w:t>Reino Unido</w:t>
      </w:r>
      <w:r w:rsidRPr="00AA3F3E">
        <w:rPr>
          <w:highlight w:val="yellow"/>
        </w:rPr>
        <w:t xml:space="preserve"> era uno de los principales importadores de productos agrícolas españoles. Posterior a la adhesión se vería obligado a adoptar la PAC y por ende a reducir sus importaciones de España.</w:t>
      </w:r>
    </w:p>
    <w:p w14:paraId="65D63A04" w14:textId="77777777" w:rsidR="00C875A0" w:rsidRPr="00AA3F3E" w:rsidRDefault="00C875A0" w:rsidP="00C875A0">
      <w:pPr>
        <w:numPr>
          <w:ilvl w:val="1"/>
          <w:numId w:val="3"/>
        </w:numPr>
        <w:tabs>
          <w:tab w:val="clear" w:pos="1440"/>
        </w:tabs>
        <w:rPr>
          <w:highlight w:val="yellow"/>
        </w:rPr>
      </w:pPr>
      <w:r w:rsidRPr="00AA3F3E">
        <w:rPr>
          <w:highlight w:val="yellow"/>
          <w:u w:val="single"/>
        </w:rPr>
        <w:lastRenderedPageBreak/>
        <w:t>Solución</w:t>
      </w:r>
      <w:r w:rsidRPr="00AA3F3E">
        <w:rPr>
          <w:highlight w:val="yellow"/>
        </w:rPr>
        <w:t>:</w:t>
      </w:r>
    </w:p>
    <w:p w14:paraId="551D5CDF" w14:textId="60DB98B7" w:rsidR="00C875A0" w:rsidRPr="004A1CAE" w:rsidRDefault="00C875A0" w:rsidP="00C875A0">
      <w:pPr>
        <w:numPr>
          <w:ilvl w:val="2"/>
          <w:numId w:val="3"/>
        </w:numPr>
        <w:tabs>
          <w:tab w:val="clear" w:pos="2160"/>
        </w:tabs>
      </w:pPr>
      <w:r w:rsidRPr="00AA3F3E">
        <w:rPr>
          <w:highlight w:val="yellow"/>
        </w:rPr>
        <w:t xml:space="preserve">Esto se solventó con un Protocolo Adicional en el que se establece que las ventajas del Acuerdo Preferencial no eran aplicables a los nuevos </w:t>
      </w:r>
      <w:r w:rsidR="004A1CAE">
        <w:rPr>
          <w:highlight w:val="yellow"/>
        </w:rPr>
        <w:t>Estados miembros</w:t>
      </w:r>
      <w:r w:rsidRPr="00AA3F3E">
        <w:rPr>
          <w:highlight w:val="yellow"/>
        </w:rPr>
        <w:t xml:space="preserve"> durante un año, periodo durante el cual se negociaría un nuevo acuerdo.</w:t>
      </w:r>
    </w:p>
    <w:p w14:paraId="6280AC21" w14:textId="0128B9EB" w:rsidR="00C875A0" w:rsidRPr="00516D31" w:rsidRDefault="00C875A0" w:rsidP="00A41713">
      <w:pPr>
        <w:pStyle w:val="Nivel2SM"/>
        <w:keepNext/>
        <w:spacing w:after="0"/>
      </w:pPr>
      <w:r w:rsidRPr="00A41713">
        <w:rPr>
          <w:i/>
          <w:iCs/>
          <w:u w:val="single"/>
        </w:rPr>
        <w:t>Balance de los efectos para España del Acuerdo Comercial Preferencial</w:t>
      </w:r>
      <w:r w:rsidR="00A41713">
        <w:t>:</w:t>
      </w:r>
    </w:p>
    <w:p w14:paraId="7D585503" w14:textId="637E8D01" w:rsidR="00C875A0" w:rsidRPr="00516D31" w:rsidRDefault="00C875A0" w:rsidP="00A41713">
      <w:pPr>
        <w:pStyle w:val="Nivel3SM"/>
        <w:keepNext/>
      </w:pPr>
      <w:r w:rsidRPr="00A41713">
        <w:rPr>
          <w:i/>
          <w:iCs/>
        </w:rPr>
        <w:t>Aspectos positivos</w:t>
      </w:r>
      <w:r w:rsidRPr="00516D31">
        <w:t>.</w:t>
      </w:r>
    </w:p>
    <w:p w14:paraId="40C24AED" w14:textId="77777777" w:rsidR="00C875A0" w:rsidRPr="00516D31" w:rsidRDefault="00C875A0" w:rsidP="00A41713">
      <w:pPr>
        <w:pStyle w:val="Nivel4"/>
        <w:ind w:left="1474"/>
      </w:pPr>
      <w:r w:rsidRPr="00516D31">
        <w:t xml:space="preserve">Las </w:t>
      </w:r>
      <w:r w:rsidRPr="00984F70">
        <w:rPr>
          <w:b/>
        </w:rPr>
        <w:t>concesiones</w:t>
      </w:r>
      <w:r w:rsidRPr="00516D31">
        <w:t xml:space="preserve"> realizadas por España fueron </w:t>
      </w:r>
      <w:r w:rsidRPr="00984F70">
        <w:rPr>
          <w:b/>
        </w:rPr>
        <w:t>limitadas</w:t>
      </w:r>
      <w:r w:rsidRPr="00516D31">
        <w:t xml:space="preserve">, y </w:t>
      </w:r>
      <w:r w:rsidRPr="00984F70">
        <w:rPr>
          <w:b/>
        </w:rPr>
        <w:t>afectaron poco</w:t>
      </w:r>
      <w:r w:rsidRPr="00516D31">
        <w:t xml:space="preserve"> a algunos productos importantes, como el automóvil.</w:t>
      </w:r>
    </w:p>
    <w:p w14:paraId="78C1433B" w14:textId="77777777" w:rsidR="00C875A0" w:rsidRPr="00516D31" w:rsidRDefault="00C875A0" w:rsidP="00A41713">
      <w:pPr>
        <w:pStyle w:val="Nivel4"/>
        <w:ind w:left="1474"/>
      </w:pPr>
      <w:r w:rsidRPr="00516D31">
        <w:t xml:space="preserve">Además el Acuerdo hace que </w:t>
      </w:r>
      <w:r w:rsidRPr="00984F70">
        <w:rPr>
          <w:b/>
        </w:rPr>
        <w:t>la CEE se consolide como un socio comercial</w:t>
      </w:r>
      <w:r w:rsidRPr="00516D31">
        <w:t xml:space="preserve"> crucial para España. </w:t>
      </w:r>
    </w:p>
    <w:p w14:paraId="293D262C" w14:textId="06F04BED" w:rsidR="00C875A0" w:rsidRDefault="00C875A0" w:rsidP="00A41713">
      <w:pPr>
        <w:pStyle w:val="Nivel4"/>
        <w:ind w:left="1474"/>
      </w:pPr>
      <w:r w:rsidRPr="00516D31">
        <w:t xml:space="preserve">Por otro lado, las </w:t>
      </w:r>
      <w:r w:rsidRPr="00984F70">
        <w:rPr>
          <w:b/>
        </w:rPr>
        <w:t>exportaciones aumentaron a fuerte ritmo</w:t>
      </w:r>
      <w:r w:rsidRPr="00516D31">
        <w:t xml:space="preserve">. De 1970 a 1984 crecimiento del </w:t>
      </w:r>
      <w:r w:rsidRPr="00984F70">
        <w:rPr>
          <w:b/>
        </w:rPr>
        <w:t>335</w:t>
      </w:r>
      <w:r w:rsidR="004A1CAE">
        <w:rPr>
          <w:b/>
        </w:rPr>
        <w:t> %</w:t>
      </w:r>
      <w:r w:rsidRPr="00516D31">
        <w:t>.</w:t>
      </w:r>
    </w:p>
    <w:p w14:paraId="29EE23A7" w14:textId="5CAA8126" w:rsidR="00C875A0" w:rsidRPr="00516D31" w:rsidRDefault="00C875A0" w:rsidP="00A41713">
      <w:pPr>
        <w:pStyle w:val="Nivel4"/>
        <w:ind w:left="1474"/>
      </w:pPr>
      <w:r>
        <w:t xml:space="preserve">El nivel de </w:t>
      </w:r>
      <w:r w:rsidRPr="00984F70">
        <w:rPr>
          <w:b/>
        </w:rPr>
        <w:t>importaciones</w:t>
      </w:r>
      <w:r>
        <w:t xml:space="preserve"> de la CEE se mantuvo </w:t>
      </w:r>
      <w:r w:rsidRPr="00984F70">
        <w:rPr>
          <w:b/>
        </w:rPr>
        <w:t>estable</w:t>
      </w:r>
      <w:r>
        <w:t>.</w:t>
      </w:r>
    </w:p>
    <w:p w14:paraId="2FDA83F4" w14:textId="6FC893AC" w:rsidR="00C875A0" w:rsidRPr="00516D31" w:rsidRDefault="00C875A0" w:rsidP="00A41713">
      <w:pPr>
        <w:pStyle w:val="Nivel3SM"/>
        <w:keepNext/>
      </w:pPr>
      <w:r w:rsidRPr="00A41713">
        <w:rPr>
          <w:i/>
          <w:iCs/>
        </w:rPr>
        <w:t>Matices</w:t>
      </w:r>
      <w:r w:rsidRPr="00516D31">
        <w:t>:</w:t>
      </w:r>
    </w:p>
    <w:p w14:paraId="6D04E9A6" w14:textId="1F60B91E" w:rsidR="00C875A0" w:rsidRPr="00516D31" w:rsidRDefault="00C875A0" w:rsidP="00A41713">
      <w:pPr>
        <w:pStyle w:val="Nivel4"/>
        <w:ind w:left="1474"/>
      </w:pPr>
      <w:r w:rsidRPr="00516D31">
        <w:t>No todo el efecto descrito puede atribuirse a las rebajas arancelarias pactadas en el Acuerdo dado que las exportaciones españolas también aumentaron a nivel global.</w:t>
      </w:r>
    </w:p>
    <w:p w14:paraId="7084867A" w14:textId="77777777" w:rsidR="00C875A0" w:rsidRPr="00516D31" w:rsidRDefault="00C875A0" w:rsidP="00A41713">
      <w:pPr>
        <w:pStyle w:val="Nivel4"/>
        <w:keepNext/>
        <w:ind w:left="1474"/>
      </w:pPr>
      <w:r w:rsidRPr="00516D31">
        <w:t>Otros factores que contribuyeron:</w:t>
      </w:r>
    </w:p>
    <w:p w14:paraId="2727FC38" w14:textId="77777777" w:rsidR="00C875A0" w:rsidRPr="00516D31" w:rsidRDefault="00C875A0" w:rsidP="00A41713">
      <w:pPr>
        <w:pStyle w:val="Nivel5"/>
        <w:ind w:left="1871"/>
      </w:pPr>
      <w:r w:rsidRPr="00516D31">
        <w:t xml:space="preserve">Las sucesivas </w:t>
      </w:r>
      <w:r w:rsidRPr="00984F70">
        <w:t>depreciaciones de la peseta</w:t>
      </w:r>
      <w:r w:rsidRPr="00516D31">
        <w:t>.</w:t>
      </w:r>
    </w:p>
    <w:p w14:paraId="4403BA99" w14:textId="77777777" w:rsidR="00C875A0" w:rsidRPr="00516D31" w:rsidRDefault="00C875A0" w:rsidP="00A41713">
      <w:pPr>
        <w:pStyle w:val="Nivel5"/>
        <w:ind w:left="1871"/>
      </w:pPr>
      <w:r w:rsidRPr="00516D31">
        <w:t xml:space="preserve">El aumento de la </w:t>
      </w:r>
      <w:r w:rsidRPr="00984F70">
        <w:rPr>
          <w:b/>
        </w:rPr>
        <w:t>IDE en España</w:t>
      </w:r>
      <w:r w:rsidRPr="00516D31">
        <w:t xml:space="preserve">, que fue utilizada por numerosas multinacionales como </w:t>
      </w:r>
      <w:r w:rsidRPr="00984F70">
        <w:rPr>
          <w:b/>
        </w:rPr>
        <w:t>plataforma para sus exportaciones (automóvil)</w:t>
      </w:r>
      <w:r w:rsidRPr="00516D31">
        <w:t>.</w:t>
      </w:r>
    </w:p>
    <w:p w14:paraId="33EDF585" w14:textId="3E80C760" w:rsidR="00C875A0" w:rsidRPr="004A1CAE" w:rsidRDefault="00C875A0" w:rsidP="00A41713">
      <w:pPr>
        <w:pStyle w:val="Nivel5"/>
        <w:ind w:left="1871"/>
      </w:pPr>
      <w:r w:rsidRPr="00516D31">
        <w:t xml:space="preserve">La </w:t>
      </w:r>
      <w:r w:rsidRPr="00984F70">
        <w:rPr>
          <w:b/>
        </w:rPr>
        <w:t>pérdida de peso del sector agrario</w:t>
      </w:r>
      <w:r w:rsidRPr="00516D31">
        <w:t>, que era el más restringido por el Acuerdo.</w:t>
      </w:r>
    </w:p>
    <w:p w14:paraId="10764B52" w14:textId="6D6D9101" w:rsidR="00C875A0" w:rsidRPr="004A1CAE" w:rsidRDefault="00C875A0" w:rsidP="00006D4D">
      <w:pPr>
        <w:pStyle w:val="Ttulo6"/>
      </w:pPr>
      <w:bookmarkStart w:id="17" w:name="_Toc151227118"/>
      <w:r>
        <w:t xml:space="preserve">3. </w:t>
      </w:r>
      <w:r w:rsidRPr="00516D31">
        <w:t>Las negociaciones no concluidas para un nuevo acuerdo</w:t>
      </w:r>
      <w:bookmarkEnd w:id="17"/>
    </w:p>
    <w:p w14:paraId="253449FB" w14:textId="77777777" w:rsidR="00C875A0" w:rsidRPr="00516D31" w:rsidRDefault="00C875A0" w:rsidP="00A41713">
      <w:pPr>
        <w:pStyle w:val="Nivel2SM"/>
        <w:keepNext/>
        <w:spacing w:after="0"/>
        <w:rPr>
          <w:b/>
        </w:rPr>
      </w:pPr>
      <w:r w:rsidRPr="00516D31">
        <w:t xml:space="preserve">Durante el año posterior al </w:t>
      </w:r>
      <w:r w:rsidRPr="00A41713">
        <w:rPr>
          <w:i/>
          <w:iCs/>
        </w:rPr>
        <w:t>Protocolo Adicional</w:t>
      </w:r>
      <w:r w:rsidRPr="00516D31">
        <w:t xml:space="preserve">, la </w:t>
      </w:r>
      <w:r w:rsidRPr="00984F70">
        <w:t>Comunidad comenzó así a elaborar su propuesta, que incluía</w:t>
      </w:r>
      <w:r w:rsidRPr="00516D31">
        <w:t>:</w:t>
      </w:r>
    </w:p>
    <w:p w14:paraId="6206D6B5" w14:textId="77777777" w:rsidR="00C875A0" w:rsidRPr="00516D31" w:rsidRDefault="00C875A0" w:rsidP="00A41713">
      <w:pPr>
        <w:pStyle w:val="Nivel3SM"/>
        <w:rPr>
          <w:b/>
        </w:rPr>
      </w:pPr>
      <w:r w:rsidRPr="00516D31">
        <w:t xml:space="preserve">La formación de una </w:t>
      </w:r>
      <w:r w:rsidRPr="00984F70">
        <w:t>zona de libre comercio</w:t>
      </w:r>
      <w:r w:rsidRPr="00516D31">
        <w:t xml:space="preserve"> para </w:t>
      </w:r>
      <w:r w:rsidRPr="00984F70">
        <w:t>productos industriales</w:t>
      </w:r>
      <w:r w:rsidRPr="00516D31">
        <w:t>.</w:t>
      </w:r>
    </w:p>
    <w:p w14:paraId="3B67C442" w14:textId="77777777" w:rsidR="00C875A0" w:rsidRPr="00516D31" w:rsidRDefault="00C875A0" w:rsidP="00A41713">
      <w:pPr>
        <w:pStyle w:val="Nivel3SM"/>
        <w:rPr>
          <w:b/>
        </w:rPr>
      </w:pPr>
      <w:r w:rsidRPr="00984F70">
        <w:t>Avances</w:t>
      </w:r>
      <w:r w:rsidRPr="00516D31">
        <w:t xml:space="preserve"> menos generosos para los </w:t>
      </w:r>
      <w:r w:rsidRPr="00984F70">
        <w:t>productos agrícolas</w:t>
      </w:r>
      <w:r w:rsidRPr="00516D31">
        <w:t>.</w:t>
      </w:r>
    </w:p>
    <w:p w14:paraId="4BB2D2BD" w14:textId="453755C1" w:rsidR="00C875A0" w:rsidRPr="004A1CAE" w:rsidRDefault="00C875A0" w:rsidP="00A41713">
      <w:pPr>
        <w:pStyle w:val="Nivel3SM"/>
        <w:rPr>
          <w:b/>
        </w:rPr>
      </w:pPr>
      <w:r w:rsidRPr="00516D31">
        <w:t xml:space="preserve">Perspectivas (vagas) para la </w:t>
      </w:r>
      <w:r w:rsidRPr="00984F70">
        <w:t>libre circulación de trabajadores españoles</w:t>
      </w:r>
      <w:r w:rsidRPr="00516D31">
        <w:t>.</w:t>
      </w:r>
    </w:p>
    <w:p w14:paraId="264B83D7" w14:textId="77777777" w:rsidR="00C875A0" w:rsidRPr="00516D31" w:rsidRDefault="00C875A0" w:rsidP="00A41713">
      <w:pPr>
        <w:pStyle w:val="Nivel2SM"/>
        <w:keepNext/>
        <w:spacing w:after="0"/>
        <w:rPr>
          <w:b/>
        </w:rPr>
      </w:pPr>
      <w:r w:rsidRPr="00984F70">
        <w:t>Sin embargo</w:t>
      </w:r>
      <w:r w:rsidRPr="00516D31">
        <w:t>:</w:t>
      </w:r>
    </w:p>
    <w:p w14:paraId="3A0D8727" w14:textId="77777777" w:rsidR="00C875A0" w:rsidRPr="00516D31" w:rsidRDefault="00C875A0" w:rsidP="00A41713">
      <w:pPr>
        <w:pStyle w:val="Nivel3SM"/>
        <w:keepNext/>
        <w:rPr>
          <w:b/>
        </w:rPr>
      </w:pPr>
      <w:r>
        <w:t>N</w:t>
      </w:r>
      <w:r w:rsidRPr="00516D31">
        <w:t xml:space="preserve">o satisfacía a España en los términos en que estaba redactado. </w:t>
      </w:r>
    </w:p>
    <w:p w14:paraId="3406B7EA" w14:textId="77777777" w:rsidR="00C875A0" w:rsidRPr="00516D31" w:rsidRDefault="00C875A0" w:rsidP="00A41713">
      <w:pPr>
        <w:pStyle w:val="Nivel4"/>
        <w:ind w:left="1474"/>
        <w:rPr>
          <w:b/>
        </w:rPr>
      </w:pPr>
      <w:r w:rsidRPr="00984F70">
        <w:rPr>
          <w:u w:val="single"/>
        </w:rPr>
        <w:t>ALC</w:t>
      </w:r>
      <w:r w:rsidRPr="00516D31">
        <w:t xml:space="preserve"> para productos industriales como los </w:t>
      </w:r>
      <w:r w:rsidRPr="00984F70">
        <w:rPr>
          <w:u w:val="single"/>
        </w:rPr>
        <w:t>agrarios</w:t>
      </w:r>
      <w:r w:rsidRPr="00516D31">
        <w:t xml:space="preserve">. </w:t>
      </w:r>
    </w:p>
    <w:p w14:paraId="00CA5032" w14:textId="77777777" w:rsidR="00C875A0" w:rsidRPr="00516D31" w:rsidRDefault="00C875A0" w:rsidP="00A41713">
      <w:pPr>
        <w:pStyle w:val="Nivel4"/>
        <w:ind w:left="1474"/>
        <w:rPr>
          <w:b/>
        </w:rPr>
      </w:pPr>
      <w:r w:rsidRPr="00984F70">
        <w:t>Desarme arancelario</w:t>
      </w:r>
      <w:r w:rsidRPr="00516D31">
        <w:t xml:space="preserve"> en productos industriales fuese </w:t>
      </w:r>
      <w:r w:rsidRPr="00984F70">
        <w:t>más rápido por parte comunitaria</w:t>
      </w:r>
      <w:r w:rsidRPr="00516D31">
        <w:t>.</w:t>
      </w:r>
    </w:p>
    <w:p w14:paraId="6C734CE0" w14:textId="77777777" w:rsidR="00C875A0" w:rsidRPr="00516D31" w:rsidRDefault="00C875A0" w:rsidP="00A41713">
      <w:pPr>
        <w:pStyle w:val="Nivel3SM"/>
        <w:keepNext/>
        <w:rPr>
          <w:b/>
        </w:rPr>
      </w:pPr>
      <w:r w:rsidRPr="00984F70">
        <w:t>Otros factores</w:t>
      </w:r>
      <w:r w:rsidRPr="00516D31">
        <w:t>:</w:t>
      </w:r>
    </w:p>
    <w:p w14:paraId="1E592EDB" w14:textId="77777777" w:rsidR="00C875A0" w:rsidRPr="00516D31" w:rsidRDefault="00C875A0" w:rsidP="00A41713">
      <w:pPr>
        <w:pStyle w:val="Nivel4"/>
        <w:ind w:left="1474"/>
        <w:rPr>
          <w:b/>
        </w:rPr>
      </w:pPr>
      <w:r w:rsidRPr="00516D31">
        <w:t>Crisis energética (1973).</w:t>
      </w:r>
    </w:p>
    <w:p w14:paraId="5E6741C7" w14:textId="77777777" w:rsidR="00C875A0" w:rsidRPr="00516D31" w:rsidRDefault="00C875A0" w:rsidP="00A41713">
      <w:pPr>
        <w:pStyle w:val="Nivel4"/>
        <w:ind w:left="1474"/>
        <w:rPr>
          <w:b/>
        </w:rPr>
      </w:pPr>
      <w:r w:rsidRPr="00516D31">
        <w:t>1973 la condena de cárcel a líderes de CCOO.</w:t>
      </w:r>
    </w:p>
    <w:p w14:paraId="28EFC61A" w14:textId="1CB02B21" w:rsidR="00C875A0" w:rsidRPr="004A1CAE" w:rsidRDefault="00C875A0" w:rsidP="00A41713">
      <w:pPr>
        <w:pStyle w:val="Nivel4"/>
        <w:ind w:left="1474"/>
        <w:rPr>
          <w:b/>
        </w:rPr>
      </w:pPr>
      <w:r w:rsidRPr="00516D31">
        <w:t>En 1975, algunos militantes de ETA y del FRAP son fusilados pese a los intentos de mediación de muchos países.</w:t>
      </w:r>
    </w:p>
    <w:p w14:paraId="4D87D741" w14:textId="19F9B22A" w:rsidR="00545304" w:rsidRDefault="00C875A0" w:rsidP="00A41713">
      <w:pPr>
        <w:pStyle w:val="Nivel2SM"/>
      </w:pPr>
      <w:r w:rsidRPr="00516D31">
        <w:t xml:space="preserve">La Comunidad decide finalmente que </w:t>
      </w:r>
      <w:r w:rsidRPr="00984F70">
        <w:t>no se dan las bases para seguir negociando</w:t>
      </w:r>
      <w:r w:rsidRPr="00516D31">
        <w:t>.</w:t>
      </w:r>
    </w:p>
    <w:p w14:paraId="60D7AA06" w14:textId="404ADA7F" w:rsidR="00CD5E7C" w:rsidRPr="004A1CAE" w:rsidRDefault="00545304" w:rsidP="004A1CAE">
      <w:pPr>
        <w:pStyle w:val="Ttulo1"/>
      </w:pPr>
      <w:bookmarkStart w:id="18" w:name="_Toc151227119"/>
      <w:r>
        <w:t>EL TRATADO DE ADHESIÓN</w:t>
      </w:r>
      <w:bookmarkEnd w:id="18"/>
    </w:p>
    <w:p w14:paraId="149326C3" w14:textId="7237F5CF" w:rsidR="00B67D8C" w:rsidRPr="004A1CAE" w:rsidRDefault="00CD5E7C" w:rsidP="0063378B">
      <w:pPr>
        <w:pStyle w:val="Ttulo2"/>
      </w:pPr>
      <w:bookmarkStart w:id="19" w:name="_Toc151227120"/>
      <w:r>
        <w:t>La negociación del Tratado de Adhesión</w:t>
      </w:r>
      <w:bookmarkEnd w:id="19"/>
    </w:p>
    <w:p w14:paraId="59B5A748" w14:textId="487DD3A2" w:rsidR="00997E67" w:rsidRPr="004A1CAE" w:rsidRDefault="00997E67" w:rsidP="00006D4D">
      <w:pPr>
        <w:pStyle w:val="Ttulo6"/>
        <w:spacing w:before="0"/>
      </w:pPr>
      <w:bookmarkStart w:id="20" w:name="_Toc151227121"/>
      <w:r w:rsidRPr="00997E67">
        <w:t>Cambio de tendencia</w:t>
      </w:r>
      <w:bookmarkEnd w:id="20"/>
    </w:p>
    <w:p w14:paraId="1D223911" w14:textId="6170C0B1" w:rsidR="00500F3A" w:rsidRPr="004A1CAE" w:rsidRDefault="0033296A" w:rsidP="00A41713">
      <w:pPr>
        <w:pStyle w:val="Nivel2SM"/>
        <w:rPr>
          <w:b/>
        </w:rPr>
      </w:pPr>
      <w:r>
        <w:t xml:space="preserve">En cambio, la muerte de </w:t>
      </w:r>
      <w:r w:rsidRPr="00C27782">
        <w:rPr>
          <w:smallCaps/>
        </w:rPr>
        <w:t>Franco</w:t>
      </w:r>
      <w:r>
        <w:t xml:space="preserve"> y la transición democrática dan lugar a un nuevo escenario</w:t>
      </w:r>
      <w:r w:rsidR="007066C3">
        <w:t xml:space="preserve"> más favorable a las negociaciones.</w:t>
      </w:r>
    </w:p>
    <w:p w14:paraId="5E4838FA" w14:textId="3D9D3D23" w:rsidR="00573BAE" w:rsidRPr="004A1CAE" w:rsidRDefault="00573BAE" w:rsidP="00006D4D">
      <w:pPr>
        <w:pStyle w:val="Ttulo6"/>
      </w:pPr>
      <w:bookmarkStart w:id="21" w:name="_Toc151227122"/>
      <w:r w:rsidRPr="00573BAE">
        <w:lastRenderedPageBreak/>
        <w:t>Solicitud formal</w:t>
      </w:r>
      <w:bookmarkEnd w:id="21"/>
    </w:p>
    <w:p w14:paraId="13BEB028" w14:textId="08ACAC05" w:rsidR="00997E67" w:rsidRDefault="007066C3" w:rsidP="00A41713">
      <w:pPr>
        <w:pStyle w:val="Nivel2SM"/>
        <w:keepNext/>
        <w:spacing w:after="0"/>
      </w:pPr>
      <w:r>
        <w:t>En julio</w:t>
      </w:r>
      <w:r w:rsidR="00C875A0">
        <w:t xml:space="preserve"> de 1977</w:t>
      </w:r>
      <w:r>
        <w:t xml:space="preserve">, el Gobierno de </w:t>
      </w:r>
      <w:r w:rsidRPr="00A41713">
        <w:rPr>
          <w:smallCaps/>
        </w:rPr>
        <w:t>Adolfo Su</w:t>
      </w:r>
      <w:r w:rsidR="00A41713">
        <w:rPr>
          <w:smallCaps/>
        </w:rPr>
        <w:t>á</w:t>
      </w:r>
      <w:r w:rsidRPr="00A41713">
        <w:rPr>
          <w:smallCaps/>
        </w:rPr>
        <w:t>rez</w:t>
      </w:r>
      <w:r>
        <w:t xml:space="preserve"> presenta su solicitud formal de adhesión a la CEE.</w:t>
      </w:r>
    </w:p>
    <w:p w14:paraId="4FA41BA2" w14:textId="5A599A93" w:rsidR="00997E67" w:rsidRDefault="007066C3" w:rsidP="00A41713">
      <w:pPr>
        <w:pStyle w:val="Nivel3SM"/>
      </w:pPr>
      <w:r>
        <w:t xml:space="preserve">Sólo </w:t>
      </w:r>
      <w:r w:rsidR="0046051A">
        <w:t>2 </w:t>
      </w:r>
      <w:r>
        <w:t xml:space="preserve">meses más tarde, el Consejo </w:t>
      </w:r>
      <w:r w:rsidR="00535FD8">
        <w:t>aprueba el inicio de</w:t>
      </w:r>
      <w:r>
        <w:t xml:space="preserve"> las negociaciones</w:t>
      </w:r>
      <w:r w:rsidR="00CD5E7C">
        <w:t>, en una muestra clara de los avances que se habían producido tras los cambios políticos</w:t>
      </w:r>
      <w:r>
        <w:t>.</w:t>
      </w:r>
    </w:p>
    <w:p w14:paraId="4D4C2092" w14:textId="3A8BF08A" w:rsidR="00500F3A" w:rsidRPr="00BD78A2" w:rsidRDefault="00997E67" w:rsidP="00006D4D">
      <w:pPr>
        <w:pStyle w:val="Ttulo6"/>
      </w:pPr>
      <w:bookmarkStart w:id="22" w:name="_Toc151227123"/>
      <w:r w:rsidRPr="00997E67">
        <w:t>Negoc</w:t>
      </w:r>
      <w:r>
        <w:t>i</w:t>
      </w:r>
      <w:r w:rsidRPr="00997E67">
        <w:t>ación</w:t>
      </w:r>
      <w:bookmarkEnd w:id="22"/>
    </w:p>
    <w:p w14:paraId="6262E032" w14:textId="2B274D46" w:rsidR="00C875A0" w:rsidRPr="00BD78A2" w:rsidRDefault="00C875A0" w:rsidP="00A41713">
      <w:pPr>
        <w:pStyle w:val="Ttulo7"/>
        <w:numPr>
          <w:ilvl w:val="3"/>
          <w:numId w:val="41"/>
        </w:numPr>
        <w:spacing w:before="0"/>
        <w:ind w:left="1135" w:hanging="284"/>
      </w:pPr>
      <w:bookmarkStart w:id="23" w:name="_Toc151227124"/>
      <w:r w:rsidRPr="00C875A0">
        <w:t>Situación de partida</w:t>
      </w:r>
      <w:bookmarkEnd w:id="23"/>
    </w:p>
    <w:p w14:paraId="063FB6A9" w14:textId="77777777" w:rsidR="00C875A0" w:rsidRDefault="00C875A0" w:rsidP="00A96EAC">
      <w:pPr>
        <w:pStyle w:val="Nivel2SM"/>
        <w:keepNext/>
        <w:spacing w:after="0"/>
      </w:pPr>
      <w:r w:rsidRPr="00A96EAC">
        <w:rPr>
          <w:u w:val="single"/>
        </w:rPr>
        <w:t>Intercambio de información hasta 1979</w:t>
      </w:r>
      <w:r>
        <w:t>.</w:t>
      </w:r>
    </w:p>
    <w:p w14:paraId="558050A0" w14:textId="7F89C06C" w:rsidR="00C875A0" w:rsidRPr="00C875A0" w:rsidRDefault="00C875A0" w:rsidP="00A96EAC">
      <w:pPr>
        <w:pStyle w:val="Nivel3SM"/>
      </w:pPr>
      <w:r>
        <w:t xml:space="preserve">Durante el </w:t>
      </w:r>
      <w:proofErr w:type="gramStart"/>
      <w:r>
        <w:t>lapso de tiempo</w:t>
      </w:r>
      <w:proofErr w:type="gramEnd"/>
      <w:r>
        <w:t xml:space="preserve"> entre septiembre de 1977 y febrero de 1979, se produce un intenso intercambio de información entre ambas partes que permita a la Comisión y al gobierno español decidir su posición negociadora punto por punto.</w:t>
      </w:r>
    </w:p>
    <w:p w14:paraId="36A1F7F9" w14:textId="77777777" w:rsidR="001C1744" w:rsidRDefault="00C875A0" w:rsidP="00A96EAC">
      <w:pPr>
        <w:pStyle w:val="Nivel2SM"/>
        <w:keepNext/>
        <w:spacing w:after="0"/>
      </w:pPr>
      <w:r w:rsidRPr="00A96EAC">
        <w:rPr>
          <w:u w:val="single"/>
        </w:rPr>
        <w:t>L</w:t>
      </w:r>
      <w:r w:rsidR="00F35877" w:rsidRPr="00A96EAC">
        <w:rPr>
          <w:u w:val="single"/>
        </w:rPr>
        <w:t xml:space="preserve">as negociaciones van a ser </w:t>
      </w:r>
      <w:r w:rsidR="001C1744" w:rsidRPr="00A96EAC">
        <w:rPr>
          <w:u w:val="single"/>
        </w:rPr>
        <w:t xml:space="preserve">largas y </w:t>
      </w:r>
      <w:r w:rsidR="00F35877" w:rsidRPr="00A96EAC">
        <w:rPr>
          <w:u w:val="single"/>
        </w:rPr>
        <w:t>complicadas</w:t>
      </w:r>
      <w:r w:rsidR="001C1744">
        <w:t>:</w:t>
      </w:r>
    </w:p>
    <w:p w14:paraId="7EB2C9DE" w14:textId="24D616D1" w:rsidR="00C875A0" w:rsidRPr="00A96EAC" w:rsidRDefault="00C875A0" w:rsidP="00A96EAC">
      <w:pPr>
        <w:pStyle w:val="Nivel3SM"/>
        <w:keepNext/>
        <w:rPr>
          <w:i/>
          <w:iCs/>
        </w:rPr>
      </w:pPr>
      <w:r w:rsidRPr="00A96EAC">
        <w:rPr>
          <w:i/>
          <w:iCs/>
        </w:rPr>
        <w:t>Economía competitiva</w:t>
      </w:r>
      <w:r w:rsidR="00A96EAC">
        <w:t>:</w:t>
      </w:r>
    </w:p>
    <w:p w14:paraId="2BF7559E" w14:textId="77777777" w:rsidR="00F35877" w:rsidRDefault="001C1744" w:rsidP="00A96EAC">
      <w:pPr>
        <w:pStyle w:val="Nivel4"/>
        <w:ind w:left="1474"/>
      </w:pPr>
      <w:r>
        <w:t>S</w:t>
      </w:r>
      <w:r w:rsidR="00F35877">
        <w:t>e ha</w:t>
      </w:r>
      <w:r>
        <w:t>bía</w:t>
      </w:r>
      <w:r w:rsidR="00F35877">
        <w:t xml:space="preserve"> comprobado que España </w:t>
      </w:r>
      <w:r>
        <w:t>tenía</w:t>
      </w:r>
      <w:r w:rsidR="00F35877">
        <w:t xml:space="preserve"> una economía competitiva a nivel comunitario</w:t>
      </w:r>
      <w:r w:rsidR="00500F3A">
        <w:t>.</w:t>
      </w:r>
      <w:r w:rsidR="00F35877">
        <w:t xml:space="preserve"> </w:t>
      </w:r>
      <w:r w:rsidR="00500F3A">
        <w:t>L</w:t>
      </w:r>
      <w:r w:rsidR="00F35877">
        <w:t>os resultados económicos del Acuerdo Preferencial así lo avalaban.</w:t>
      </w:r>
    </w:p>
    <w:p w14:paraId="4A9C4D90" w14:textId="210701A0" w:rsidR="00C875A0" w:rsidRPr="00C875A0" w:rsidRDefault="00C875A0" w:rsidP="00A96EAC">
      <w:pPr>
        <w:pStyle w:val="Nivel3SM"/>
        <w:keepNext/>
      </w:pPr>
      <w:r w:rsidRPr="00A96EAC">
        <w:rPr>
          <w:i/>
          <w:iCs/>
        </w:rPr>
        <w:t>Dificultades con el Reino Unido</w:t>
      </w:r>
      <w:r w:rsidR="00A96EAC">
        <w:t>:</w:t>
      </w:r>
    </w:p>
    <w:p w14:paraId="002F2CB2" w14:textId="59B16302" w:rsidR="00C875A0" w:rsidRDefault="001C1744" w:rsidP="00A96EAC">
      <w:pPr>
        <w:pStyle w:val="Nivel4"/>
        <w:ind w:left="1474"/>
      </w:pPr>
      <w:r>
        <w:t>Las dificultades experimentadas con el Reino Unido después de su adhesión, tras unas negociaciones muy breves, aconsejaban que esta vez se garantizara la ausencia de precipitación.</w:t>
      </w:r>
    </w:p>
    <w:p w14:paraId="1E6A7424" w14:textId="6B776C8D" w:rsidR="00C875A0" w:rsidRPr="00C875A0" w:rsidRDefault="00C875A0" w:rsidP="00A41713">
      <w:pPr>
        <w:pStyle w:val="Ttulo7"/>
        <w:numPr>
          <w:ilvl w:val="3"/>
          <w:numId w:val="41"/>
        </w:numPr>
        <w:ind w:left="1135" w:hanging="284"/>
      </w:pPr>
      <w:bookmarkStart w:id="24" w:name="_Toc151227125"/>
      <w:r w:rsidRPr="00C875A0">
        <w:t>Progreso de las negociaciones</w:t>
      </w:r>
      <w:bookmarkEnd w:id="24"/>
    </w:p>
    <w:p w14:paraId="74F6452B" w14:textId="5B786BB1" w:rsidR="00E93E5C" w:rsidRPr="00C875A0" w:rsidRDefault="00C875A0" w:rsidP="00A96EAC">
      <w:pPr>
        <w:pStyle w:val="Nivel2SM"/>
        <w:keepNext/>
        <w:spacing w:after="0"/>
      </w:pPr>
      <w:r w:rsidRPr="00A96EAC">
        <w:rPr>
          <w:u w:val="single"/>
        </w:rPr>
        <w:t>Planteamiento de España: Adhesión conjunta Portugal y España</w:t>
      </w:r>
      <w:r w:rsidR="00A96EAC">
        <w:t>:</w:t>
      </w:r>
    </w:p>
    <w:p w14:paraId="26C87663" w14:textId="77777777" w:rsidR="00997E67" w:rsidRDefault="00446E73" w:rsidP="00A96EAC">
      <w:pPr>
        <w:pStyle w:val="Nivel3SM"/>
        <w:keepNext/>
      </w:pPr>
      <w:r>
        <w:t>En 1980 s</w:t>
      </w:r>
      <w:r w:rsidR="00E93E5C">
        <w:t>e plantea la voluntad de que Portugal y España entren al mismo tiempo en la CEE</w:t>
      </w:r>
      <w:r w:rsidR="00500F3A">
        <w:t>.</w:t>
      </w:r>
      <w:r w:rsidR="00E93E5C">
        <w:t xml:space="preserve"> </w:t>
      </w:r>
    </w:p>
    <w:p w14:paraId="73727FDD" w14:textId="77777777" w:rsidR="00E93E5C" w:rsidRDefault="00500F3A" w:rsidP="00A96EAC">
      <w:pPr>
        <w:pStyle w:val="Nivel4"/>
        <w:ind w:left="1474"/>
      </w:pPr>
      <w:r>
        <w:t>L</w:t>
      </w:r>
      <w:r w:rsidR="00E93E5C">
        <w:t>as negociaciones con Portugal estaban mucho más avanzadas, pero España reclamaba que Portugal no entrara antes porque, si lo hacía, pasaría a negociar “desde la otra parte de la mesa” y temía que esto pudiera crear nuevos problemas para su adhesión.</w:t>
      </w:r>
    </w:p>
    <w:p w14:paraId="410009F4" w14:textId="2405DA76" w:rsidR="00C875A0" w:rsidRPr="00C875A0" w:rsidRDefault="00C875A0" w:rsidP="00A96EAC">
      <w:pPr>
        <w:pStyle w:val="Nivel2SM"/>
        <w:keepNext/>
        <w:spacing w:after="0"/>
      </w:pPr>
      <w:r w:rsidRPr="00A96EAC">
        <w:rPr>
          <w:u w:val="single"/>
        </w:rPr>
        <w:t>Cierre de diferentes capítulos</w:t>
      </w:r>
      <w:r w:rsidR="00A96EAC">
        <w:t>:</w:t>
      </w:r>
    </w:p>
    <w:p w14:paraId="398AAAE9" w14:textId="77777777" w:rsidR="00C875A0" w:rsidRDefault="00C875A0" w:rsidP="00A96EAC">
      <w:pPr>
        <w:pStyle w:val="Nivel3SM"/>
      </w:pPr>
      <w:r>
        <w:t>Se van cerrando progresivamente diferentes capítulos de los 16 en los que se habían dividido los temas de negociación.</w:t>
      </w:r>
    </w:p>
    <w:p w14:paraId="7443E81D" w14:textId="0825107F" w:rsidR="00C875A0" w:rsidRPr="00C875A0" w:rsidRDefault="00C875A0" w:rsidP="00A96EAC">
      <w:pPr>
        <w:pStyle w:val="Nivel2SM"/>
        <w:keepNext/>
        <w:spacing w:after="0"/>
      </w:pPr>
      <w:r w:rsidRPr="00A96EAC">
        <w:rPr>
          <w:u w:val="single"/>
        </w:rPr>
        <w:t>Agricultura</w:t>
      </w:r>
      <w:r w:rsidR="00A96EAC">
        <w:t>:</w:t>
      </w:r>
    </w:p>
    <w:p w14:paraId="6C2CA4A2" w14:textId="77777777" w:rsidR="00C875A0" w:rsidRDefault="00C875A0" w:rsidP="00A96EAC">
      <w:pPr>
        <w:pStyle w:val="Nivel3SM"/>
      </w:pPr>
      <w:r>
        <w:t xml:space="preserve">En 1984, quedaban algunos aspectos por cerrar, </w:t>
      </w:r>
      <w:r w:rsidRPr="00997E67">
        <w:rPr>
          <w:u w:val="single"/>
        </w:rPr>
        <w:t>pero el principal escollo era la agricultura</w:t>
      </w:r>
      <w:r>
        <w:t>.</w:t>
      </w:r>
    </w:p>
    <w:p w14:paraId="07B4BDB0" w14:textId="77777777" w:rsidR="00C875A0" w:rsidRDefault="00C875A0" w:rsidP="00A96EAC">
      <w:pPr>
        <w:pStyle w:val="Nivel3SM"/>
      </w:pPr>
      <w:r>
        <w:t xml:space="preserve">La mayor oposición provenía de Italia, Grecia y, sobre todo, Francia, por el temor a los daños sobre sus agriculturas. </w:t>
      </w:r>
    </w:p>
    <w:p w14:paraId="3BDDAC87" w14:textId="77777777" w:rsidR="00C875A0" w:rsidRDefault="00C875A0" w:rsidP="00A96EAC">
      <w:pPr>
        <w:pStyle w:val="Nivel3SM"/>
      </w:pPr>
      <w:r>
        <w:t>Para tratar de superar esta dificultad, se planteó la creación de un fondo especial, los “</w:t>
      </w:r>
      <w:r w:rsidRPr="00C875A0">
        <w:rPr>
          <w:u w:val="single"/>
        </w:rPr>
        <w:t>Programas Integrados Mediterráneos</w:t>
      </w:r>
      <w:r>
        <w:t>” (PIM), que consistían en ayudas específicas para la agricultura de estos tres países.</w:t>
      </w:r>
    </w:p>
    <w:p w14:paraId="5DCE0D47" w14:textId="48DDD7CE" w:rsidR="00C875A0" w:rsidRPr="00C875A0" w:rsidRDefault="00C875A0" w:rsidP="00541AFB">
      <w:pPr>
        <w:pStyle w:val="Ttulo7"/>
        <w:numPr>
          <w:ilvl w:val="3"/>
          <w:numId w:val="41"/>
        </w:numPr>
        <w:ind w:left="1135" w:hanging="284"/>
      </w:pPr>
      <w:bookmarkStart w:id="25" w:name="_Toc151227126"/>
      <w:r w:rsidRPr="00C875A0">
        <w:t>Fin de las negociaciones</w:t>
      </w:r>
      <w:bookmarkEnd w:id="25"/>
    </w:p>
    <w:p w14:paraId="6C376D02" w14:textId="77777777" w:rsidR="00E93E5C" w:rsidRDefault="007F4893" w:rsidP="00A96EAC">
      <w:pPr>
        <w:pStyle w:val="Nivel2SM"/>
        <w:keepNext/>
        <w:spacing w:after="0"/>
      </w:pPr>
      <w:r w:rsidRPr="00A96EAC">
        <w:rPr>
          <w:u w:val="single"/>
        </w:rPr>
        <w:t>El fin de las negociaciones</w:t>
      </w:r>
      <w:r>
        <w:t>:</w:t>
      </w:r>
    </w:p>
    <w:p w14:paraId="255DD2F9" w14:textId="77777777" w:rsidR="00F742EA" w:rsidRDefault="007F4893" w:rsidP="00A96EAC">
      <w:pPr>
        <w:pStyle w:val="Nivel3SM"/>
      </w:pPr>
      <w:r>
        <w:t>España quería cerrar de manera simultánea el capítulo agrícola y el industrial</w:t>
      </w:r>
      <w:r w:rsidR="00500F3A">
        <w:t>,</w:t>
      </w:r>
      <w:r>
        <w:t xml:space="preserve"> para obtener importantes concesiones en agricultura a cambio de las que aceptara realizar en bienes industriales, pero finalmente se vi</w:t>
      </w:r>
      <w:r w:rsidR="00997E67">
        <w:t>o</w:t>
      </w:r>
      <w:r>
        <w:t xml:space="preserve"> obligada</w:t>
      </w:r>
      <w:r w:rsidR="00500F3A">
        <w:t>,</w:t>
      </w:r>
      <w:r>
        <w:t xml:space="preserve"> por su posición de desventaja, a cerrar antes el capítulo de bienes industriales (1984). </w:t>
      </w:r>
    </w:p>
    <w:p w14:paraId="1B736E01" w14:textId="77777777" w:rsidR="007F4893" w:rsidRDefault="007F4893" w:rsidP="00A96EAC">
      <w:pPr>
        <w:pStyle w:val="Nivel3SM"/>
      </w:pPr>
      <w:r>
        <w:t>El capítulo de agricultura se acabaría cerrando en 1985.</w:t>
      </w:r>
    </w:p>
    <w:p w14:paraId="31F039BB" w14:textId="77777777" w:rsidR="007F4893" w:rsidRPr="007066C3" w:rsidRDefault="007F4893" w:rsidP="00541AFB">
      <w:pPr>
        <w:pStyle w:val="Nivel2SM"/>
      </w:pPr>
      <w:r w:rsidRPr="00997E67">
        <w:t>El 12 de junio de 1985 se firma el Tratado de Adhesión de España a la CEE, que entra en vigor el 1 de enero de 1986</w:t>
      </w:r>
      <w:r w:rsidR="0015523E">
        <w:t>.</w:t>
      </w:r>
    </w:p>
    <w:p w14:paraId="201A29C0" w14:textId="77777777" w:rsidR="006561DD" w:rsidRDefault="00545304" w:rsidP="000A5BBC">
      <w:pPr>
        <w:pStyle w:val="Ttulo2"/>
      </w:pPr>
      <w:bookmarkStart w:id="26" w:name="_Toc151227127"/>
      <w:r>
        <w:lastRenderedPageBreak/>
        <w:t>Contenido del Tratado de Adhesión</w:t>
      </w:r>
      <w:bookmarkEnd w:id="26"/>
    </w:p>
    <w:p w14:paraId="6C276E19" w14:textId="578847BA" w:rsidR="00201A0C" w:rsidRDefault="00BE19CA" w:rsidP="00006D4D">
      <w:pPr>
        <w:pStyle w:val="Ttulo6"/>
        <w:spacing w:before="0"/>
      </w:pPr>
      <w:bookmarkStart w:id="27" w:name="_Toc151227128"/>
      <w:r>
        <w:t>Acuerdos</w:t>
      </w:r>
      <w:r w:rsidR="00201A0C">
        <w:t xml:space="preserve"> económicos</w:t>
      </w:r>
      <w:bookmarkEnd w:id="27"/>
    </w:p>
    <w:p w14:paraId="3FB7A134" w14:textId="77777777" w:rsidR="00201A0C" w:rsidRDefault="00201A0C" w:rsidP="00541AFB">
      <w:pPr>
        <w:pStyle w:val="Nivel2SM"/>
      </w:pPr>
      <w:r>
        <w:t>Resulta imposible describir todas las implicaciones del Tratado de Adhesión en términos de contenidos económicos. En grandes líneas, basta señalar que España pasa a asumir de inmediato todo el acervo comunitario, con la excepción de los periodos transitorios acordados para ciertos aspectos.</w:t>
      </w:r>
    </w:p>
    <w:p w14:paraId="3AABCD5D" w14:textId="77777777" w:rsidR="00201A0C" w:rsidRPr="00500F3A" w:rsidRDefault="00201A0C" w:rsidP="00541AFB">
      <w:pPr>
        <w:pStyle w:val="Nivel2SM"/>
        <w:keepNext/>
        <w:spacing w:after="0"/>
      </w:pPr>
      <w:r>
        <w:t>A continuación se mencionan algunos de los aspectos más relevantes:</w:t>
      </w:r>
    </w:p>
    <w:p w14:paraId="6BF24193" w14:textId="77777777" w:rsidR="009B37ED" w:rsidRDefault="00712EEE" w:rsidP="00A96EAC">
      <w:pPr>
        <w:pStyle w:val="Nivel3SM"/>
        <w:keepNext/>
      </w:pPr>
      <w:r w:rsidRPr="00A96EAC">
        <w:rPr>
          <w:u w:val="single"/>
        </w:rPr>
        <w:t>Compromisos relativamente inmediatos</w:t>
      </w:r>
      <w:r>
        <w:t>:</w:t>
      </w:r>
    </w:p>
    <w:p w14:paraId="47CA9E9C" w14:textId="77777777" w:rsidR="00573BAE" w:rsidRDefault="00573BAE" w:rsidP="00A96EAC">
      <w:pPr>
        <w:pStyle w:val="Nivel4"/>
        <w:ind w:left="1474"/>
      </w:pPr>
      <w:r>
        <w:t xml:space="preserve">Pérdida de la </w:t>
      </w:r>
      <w:r w:rsidRPr="00F742EA">
        <w:rPr>
          <w:b/>
        </w:rPr>
        <w:t>política comercial</w:t>
      </w:r>
      <w:r>
        <w:t>, al adoptar España la Política Comercial Común.</w:t>
      </w:r>
    </w:p>
    <w:p w14:paraId="4333AA67" w14:textId="77777777" w:rsidR="00573BAE" w:rsidRDefault="00573BAE" w:rsidP="00A96EAC">
      <w:pPr>
        <w:pStyle w:val="Nivel4"/>
        <w:ind w:left="1474"/>
      </w:pPr>
      <w:r w:rsidRPr="00F742EA">
        <w:rPr>
          <w:b/>
        </w:rPr>
        <w:t>Abolición</w:t>
      </w:r>
      <w:r>
        <w:t xml:space="preserve"> de las </w:t>
      </w:r>
      <w:r w:rsidRPr="00F742EA">
        <w:rPr>
          <w:b/>
        </w:rPr>
        <w:t>ayudas a la industria</w:t>
      </w:r>
      <w:r>
        <w:t xml:space="preserve"> incompatibles con el Derecho comunitario (aunque se permitió la desaparición gradual para las ayudas a ciertos sectores en grave crisis, como la siderurgia o la construcción naval).</w:t>
      </w:r>
    </w:p>
    <w:p w14:paraId="301D0231" w14:textId="77777777" w:rsidR="00BE19CA" w:rsidRDefault="00573BAE" w:rsidP="00A96EAC">
      <w:pPr>
        <w:pStyle w:val="Nivel4"/>
        <w:ind w:left="1474"/>
      </w:pPr>
      <w:r>
        <w:t xml:space="preserve">Introducción del </w:t>
      </w:r>
      <w:r w:rsidRPr="00F742EA">
        <w:rPr>
          <w:b/>
        </w:rPr>
        <w:t>IVA</w:t>
      </w:r>
      <w:r>
        <w:t>.</w:t>
      </w:r>
    </w:p>
    <w:p w14:paraId="63E9E44C" w14:textId="77777777" w:rsidR="00712EEE" w:rsidRDefault="00712EEE" w:rsidP="00A96EAC">
      <w:pPr>
        <w:pStyle w:val="Nivel3SM"/>
        <w:keepNext/>
      </w:pPr>
      <w:r w:rsidRPr="00A96EAC">
        <w:rPr>
          <w:u w:val="single"/>
        </w:rPr>
        <w:t>Compromisos de implantación gradual</w:t>
      </w:r>
      <w:r>
        <w:t>:</w:t>
      </w:r>
    </w:p>
    <w:p w14:paraId="1EE810ED" w14:textId="77777777" w:rsidR="00573BAE" w:rsidRDefault="00573BAE" w:rsidP="00A96EAC">
      <w:pPr>
        <w:pStyle w:val="Nivel4"/>
        <w:ind w:left="1474"/>
      </w:pPr>
      <w:r w:rsidRPr="00F742EA">
        <w:rPr>
          <w:b/>
        </w:rPr>
        <w:t>Supresión de los aranceles</w:t>
      </w:r>
      <w:r>
        <w:t xml:space="preserve"> entre Estados miembros (período transitorio de 7 años, con excepciones).</w:t>
      </w:r>
    </w:p>
    <w:p w14:paraId="47DE1B5B" w14:textId="77777777" w:rsidR="00573BAE" w:rsidRDefault="00573BAE" w:rsidP="00A96EAC">
      <w:pPr>
        <w:pStyle w:val="Nivel4"/>
        <w:ind w:left="1474"/>
      </w:pPr>
      <w:r>
        <w:t xml:space="preserve">Adopción del </w:t>
      </w:r>
      <w:r w:rsidRPr="00F742EA">
        <w:t>arancel aduanero común</w:t>
      </w:r>
      <w:r>
        <w:t>.</w:t>
      </w:r>
    </w:p>
    <w:p w14:paraId="2ECC41EF" w14:textId="77777777" w:rsidR="00573BAE" w:rsidRDefault="00573BAE" w:rsidP="00A96EAC">
      <w:pPr>
        <w:pStyle w:val="Nivel4"/>
        <w:ind w:left="1474"/>
      </w:pPr>
      <w:r>
        <w:t xml:space="preserve">Adopción de la </w:t>
      </w:r>
      <w:r w:rsidRPr="00F742EA">
        <w:t>Política Agraria Común</w:t>
      </w:r>
      <w:r>
        <w:t>.</w:t>
      </w:r>
    </w:p>
    <w:p w14:paraId="6D0A396D" w14:textId="77777777" w:rsidR="00573BAE" w:rsidRDefault="00573BAE" w:rsidP="00A96EAC">
      <w:pPr>
        <w:pStyle w:val="Nivel4"/>
        <w:ind w:left="1474"/>
      </w:pPr>
      <w:r w:rsidRPr="00F742EA">
        <w:rPr>
          <w:b/>
        </w:rPr>
        <w:t>Política de competencia</w:t>
      </w:r>
      <w:r>
        <w:t xml:space="preserve"> que impone la liberalización de muchos sectores en los que el sector público tenía presencia a través del INI (energía, telecomunicaciones).</w:t>
      </w:r>
    </w:p>
    <w:p w14:paraId="7B62BC1F" w14:textId="77777777" w:rsidR="00BE19CA" w:rsidRDefault="00BE19CA" w:rsidP="00006D4D">
      <w:pPr>
        <w:pStyle w:val="Ttulo6"/>
      </w:pPr>
      <w:bookmarkStart w:id="28" w:name="_Toc151227129"/>
      <w:r w:rsidRPr="00006D4D">
        <w:t>Acuerdos</w:t>
      </w:r>
      <w:r>
        <w:t xml:space="preserve"> </w:t>
      </w:r>
      <w:r w:rsidR="002458B2">
        <w:t>institucionales</w:t>
      </w:r>
      <w:bookmarkEnd w:id="28"/>
    </w:p>
    <w:p w14:paraId="176E5E88" w14:textId="714CBD98" w:rsidR="00841D9B" w:rsidRDefault="00FB5710" w:rsidP="00541AFB">
      <w:pPr>
        <w:pStyle w:val="Nivel2SM"/>
        <w:keepNext/>
        <w:spacing w:after="0"/>
      </w:pPr>
      <w:r w:rsidRPr="00541AFB">
        <w:rPr>
          <w:i/>
          <w:iCs/>
          <w:u w:val="single"/>
        </w:rPr>
        <w:t>Comisión Europea</w:t>
      </w:r>
      <w:r>
        <w:t>:</w:t>
      </w:r>
    </w:p>
    <w:p w14:paraId="002D3CE9" w14:textId="606EFB90" w:rsidR="00B94A5B" w:rsidRDefault="00FB5710" w:rsidP="00541AFB">
      <w:pPr>
        <w:pStyle w:val="Nivel3SM"/>
      </w:pPr>
      <w:r>
        <w:t xml:space="preserve">España puede nombrar </w:t>
      </w:r>
      <w:r w:rsidR="00006D4D">
        <w:rPr>
          <w:b/>
        </w:rPr>
        <w:t>2 </w:t>
      </w:r>
      <w:r w:rsidRPr="00F742EA">
        <w:rPr>
          <w:b/>
        </w:rPr>
        <w:t>comisarios</w:t>
      </w:r>
      <w:r>
        <w:t>.</w:t>
      </w:r>
    </w:p>
    <w:p w14:paraId="57DBCD5E" w14:textId="22348490" w:rsidR="00841D9B" w:rsidRDefault="00FB5710" w:rsidP="00541AFB">
      <w:pPr>
        <w:pStyle w:val="Nivel2SM"/>
        <w:keepNext/>
        <w:spacing w:after="0"/>
      </w:pPr>
      <w:r w:rsidRPr="00541AFB">
        <w:rPr>
          <w:i/>
          <w:iCs/>
          <w:u w:val="single"/>
        </w:rPr>
        <w:t>Consejo</w:t>
      </w:r>
      <w:r>
        <w:t>:</w:t>
      </w:r>
    </w:p>
    <w:p w14:paraId="266275E1" w14:textId="6F9BEB04" w:rsidR="00FB5710" w:rsidRDefault="00FB5710" w:rsidP="00541AFB">
      <w:pPr>
        <w:pStyle w:val="Nivel3SM"/>
      </w:pPr>
      <w:r>
        <w:t xml:space="preserve">España cuenta con </w:t>
      </w:r>
      <w:r w:rsidRPr="00F742EA">
        <w:rPr>
          <w:b/>
        </w:rPr>
        <w:t>8</w:t>
      </w:r>
      <w:r w:rsidR="00DE22DE">
        <w:rPr>
          <w:b/>
        </w:rPr>
        <w:t> </w:t>
      </w:r>
      <w:r w:rsidRPr="00F742EA">
        <w:rPr>
          <w:b/>
        </w:rPr>
        <w:t>votos</w:t>
      </w:r>
      <w:r>
        <w:t xml:space="preserve"> para votar en los asuntos en los que se decide por mayoría cualificada (los “</w:t>
      </w:r>
      <w:r w:rsidR="002F3BD6">
        <w:t>Estados grandes</w:t>
      </w:r>
      <w:r>
        <w:t>” tenían 10</w:t>
      </w:r>
      <w:r w:rsidR="00DE22DE">
        <w:t> </w:t>
      </w:r>
      <w:r>
        <w:t>votos).</w:t>
      </w:r>
    </w:p>
    <w:p w14:paraId="7DADE9B5" w14:textId="1B3FC6D0" w:rsidR="00841D9B" w:rsidRDefault="001C3F7E" w:rsidP="00541AFB">
      <w:pPr>
        <w:pStyle w:val="Nivel3SM"/>
      </w:pPr>
      <w:r>
        <w:t xml:space="preserve">Se considera un </w:t>
      </w:r>
      <w:r w:rsidRPr="00F742EA">
        <w:rPr>
          <w:b/>
        </w:rPr>
        <w:t>número razonable</w:t>
      </w:r>
      <w:r>
        <w:t xml:space="preserve"> para poder formar, en muchos casos, una “</w:t>
      </w:r>
      <w:r w:rsidRPr="00F742EA">
        <w:rPr>
          <w:b/>
          <w:u w:val="single"/>
        </w:rPr>
        <w:t>minoría de bloqueo</w:t>
      </w:r>
      <w:r>
        <w:t>”.</w:t>
      </w:r>
    </w:p>
    <w:p w14:paraId="13EBD36C" w14:textId="78BACADD" w:rsidR="00841D9B" w:rsidRDefault="002F3BD6" w:rsidP="00541AFB">
      <w:pPr>
        <w:pStyle w:val="Nivel2SM"/>
        <w:keepNext/>
        <w:spacing w:after="0"/>
      </w:pPr>
      <w:r w:rsidRPr="00541AFB">
        <w:rPr>
          <w:i/>
          <w:iCs/>
          <w:u w:val="single"/>
        </w:rPr>
        <w:t>Parlamento</w:t>
      </w:r>
      <w:r>
        <w:t>:</w:t>
      </w:r>
    </w:p>
    <w:p w14:paraId="693BE722" w14:textId="5022411C" w:rsidR="00841D9B" w:rsidRDefault="002F3BD6" w:rsidP="00541AFB">
      <w:pPr>
        <w:pStyle w:val="Nivel3SM"/>
      </w:pPr>
      <w:r>
        <w:t xml:space="preserve">De nuevo, España recibe un </w:t>
      </w:r>
      <w:r w:rsidRPr="00541AFB">
        <w:rPr>
          <w:b/>
          <w:bCs/>
        </w:rPr>
        <w:t>número de miembros inferior al de los “Estados grandes”</w:t>
      </w:r>
      <w:r>
        <w:t xml:space="preserve"> (Alemania, Francia, Italia, Reino Unido), pero </w:t>
      </w:r>
      <w:r w:rsidRPr="00F742EA">
        <w:t>superior al del resto de miembros</w:t>
      </w:r>
      <w:r>
        <w:t>.</w:t>
      </w:r>
    </w:p>
    <w:p w14:paraId="3A1EF385" w14:textId="4D28C15D" w:rsidR="00841D9B" w:rsidRDefault="002F3BD6" w:rsidP="00541AFB">
      <w:pPr>
        <w:pStyle w:val="Nivel2SM"/>
        <w:keepNext/>
        <w:spacing w:after="0"/>
      </w:pPr>
      <w:r w:rsidRPr="00541AFB">
        <w:rPr>
          <w:i/>
          <w:iCs/>
          <w:u w:val="single"/>
        </w:rPr>
        <w:t>Tribunal de Justicia</w:t>
      </w:r>
      <w:r>
        <w:t>:</w:t>
      </w:r>
    </w:p>
    <w:p w14:paraId="50710BEF" w14:textId="5A4D851A" w:rsidR="00533D6C" w:rsidRPr="00841D9B" w:rsidRDefault="002F3BD6" w:rsidP="00541AFB">
      <w:pPr>
        <w:pStyle w:val="Nivel3SM"/>
      </w:pPr>
      <w:r>
        <w:t xml:space="preserve">España contaría con </w:t>
      </w:r>
      <w:r w:rsidR="00541AFB">
        <w:rPr>
          <w:b/>
        </w:rPr>
        <w:t>1 </w:t>
      </w:r>
      <w:r w:rsidRPr="00F742EA">
        <w:rPr>
          <w:b/>
        </w:rPr>
        <w:t>magistrado</w:t>
      </w:r>
      <w:r>
        <w:t>, como el resto de miembros.</w:t>
      </w:r>
    </w:p>
    <w:p w14:paraId="0C604EAA" w14:textId="4579B3F5" w:rsidR="00203BD1" w:rsidRDefault="00203BD1" w:rsidP="00AE7270">
      <w:pPr>
        <w:pStyle w:val="Ttulo2"/>
      </w:pPr>
      <w:bookmarkStart w:id="29" w:name="_Toc151227130"/>
      <w:r w:rsidRPr="00573BAE">
        <w:t>Efectos del Tratado de Adhesión</w:t>
      </w:r>
      <w:bookmarkEnd w:id="29"/>
    </w:p>
    <w:p w14:paraId="65B6997C" w14:textId="77777777" w:rsidR="00573BAE" w:rsidRDefault="00573BAE" w:rsidP="00DB0A9B">
      <w:pPr>
        <w:pStyle w:val="Nivel2SM"/>
        <w:keepNext/>
        <w:spacing w:after="0"/>
      </w:pPr>
      <w:r>
        <w:t>El Tratado de Adhesión, en sí mismo, fue un acuerdo mejorable.</w:t>
      </w:r>
    </w:p>
    <w:p w14:paraId="7679BC82" w14:textId="0687CE64" w:rsidR="00573BAE" w:rsidRDefault="00573BAE" w:rsidP="00DB0A9B">
      <w:pPr>
        <w:pStyle w:val="Nivel3SM"/>
      </w:pPr>
      <w:r>
        <w:t>En efecto, los términos aceptados en capítulos como la agricultura o la pesca no eran muy favorables.</w:t>
      </w:r>
    </w:p>
    <w:p w14:paraId="3741B7FF" w14:textId="2760B0B2" w:rsidR="00573BAE" w:rsidRDefault="00573BAE" w:rsidP="00DB0A9B">
      <w:pPr>
        <w:pStyle w:val="Nivel2SM"/>
        <w:keepNext/>
        <w:spacing w:after="0"/>
      </w:pPr>
      <w:r>
        <w:t>A pesar de ello, la adhesión de España a la UE contribuyó a la recuperación de la economía en la segunda mitad de los años</w:t>
      </w:r>
      <w:r w:rsidR="00AE7270">
        <w:t> </w:t>
      </w:r>
      <w:r>
        <w:t>80, a través de:</w:t>
      </w:r>
    </w:p>
    <w:p w14:paraId="6F3C7359" w14:textId="77777777" w:rsidR="00573BAE" w:rsidRDefault="00573BAE" w:rsidP="00DB0A9B">
      <w:pPr>
        <w:pStyle w:val="Nivel3SM"/>
      </w:pPr>
      <w:r>
        <w:t>Aumento espectacular de la IDE.</w:t>
      </w:r>
    </w:p>
    <w:p w14:paraId="7D2202A2" w14:textId="77777777" w:rsidR="00573BAE" w:rsidRDefault="00573BAE" w:rsidP="00DB0A9B">
      <w:pPr>
        <w:pStyle w:val="Nivel3SM"/>
      </w:pPr>
      <w:r>
        <w:t>Aumento del valor de activos españoles como las acciones y los inmuebles, lo que produjo un efecto riqueza positivo que impulsó la demanda interna.</w:t>
      </w:r>
    </w:p>
    <w:p w14:paraId="1CCBF0DF" w14:textId="77777777" w:rsidR="00573BAE" w:rsidRDefault="00573BAE" w:rsidP="00DB0A9B">
      <w:pPr>
        <w:pStyle w:val="Nivel3SM"/>
      </w:pPr>
      <w:r>
        <w:t>Aumento de la competencia y disminución del poder de mercado.</w:t>
      </w:r>
    </w:p>
    <w:p w14:paraId="56E463C4" w14:textId="2D89608C" w:rsidR="00573BAE" w:rsidRDefault="00573BAE" w:rsidP="00DB0A9B">
      <w:pPr>
        <w:pStyle w:val="Nivel3SM"/>
      </w:pPr>
      <w:r>
        <w:t>Aumento del grado de apertura (del 42</w:t>
      </w:r>
      <w:r w:rsidR="004A1CAE">
        <w:t> %</w:t>
      </w:r>
      <w:r>
        <w:t xml:space="preserve"> al 66</w:t>
      </w:r>
      <w:r w:rsidR="004A1CAE">
        <w:t> %</w:t>
      </w:r>
      <w:r>
        <w:t>).</w:t>
      </w:r>
    </w:p>
    <w:p w14:paraId="12D43E5B" w14:textId="77777777" w:rsidR="00573BAE" w:rsidRDefault="00573BAE" w:rsidP="00DB0A9B">
      <w:pPr>
        <w:pStyle w:val="Nivel3SM"/>
      </w:pPr>
      <w:r>
        <w:t>Aumento del nivel de intensidad tecnológica.</w:t>
      </w:r>
    </w:p>
    <w:p w14:paraId="1BA465A1" w14:textId="2D112914" w:rsidR="006561DD" w:rsidRPr="00CC1491" w:rsidRDefault="00573BAE" w:rsidP="00DB0A9B">
      <w:pPr>
        <w:pStyle w:val="Nivel3SM"/>
      </w:pPr>
      <w:r>
        <w:t>Acceso a los fondos estructurales.</w:t>
      </w:r>
    </w:p>
    <w:p w14:paraId="0E303EAD" w14:textId="09AF31EF" w:rsidR="00FA47E2" w:rsidRPr="00CC1491" w:rsidRDefault="00FA47E2" w:rsidP="00FA47E2">
      <w:pPr>
        <w:pStyle w:val="Ttulo1"/>
      </w:pPr>
      <w:bookmarkStart w:id="30" w:name="_Toc151227131"/>
      <w:r>
        <w:rPr>
          <w:caps w:val="0"/>
        </w:rPr>
        <w:lastRenderedPageBreak/>
        <w:t>EVOLUCIÓN DESDE LA ADHESIÓN HASTA LA ACTUALIDAD</w:t>
      </w:r>
      <w:bookmarkEnd w:id="30"/>
    </w:p>
    <w:p w14:paraId="5FC4A428" w14:textId="33F421C1" w:rsidR="0087237B" w:rsidRPr="00CC1491" w:rsidRDefault="00FA47E2" w:rsidP="00FA47E2">
      <w:pPr>
        <w:pStyle w:val="Ttulo2"/>
      </w:pPr>
      <w:bookmarkStart w:id="31" w:name="_Toc151227132"/>
      <w:r>
        <w:t>Evolución desde la adhesión hasta la crisis económica</w:t>
      </w:r>
      <w:bookmarkEnd w:id="31"/>
    </w:p>
    <w:p w14:paraId="77C706D1" w14:textId="4F8B668E" w:rsidR="00573BAE" w:rsidRPr="00CC1491" w:rsidRDefault="00573BAE" w:rsidP="00FA47E2">
      <w:pPr>
        <w:pStyle w:val="Ttulo3"/>
        <w:spacing w:before="0"/>
      </w:pPr>
      <w:bookmarkStart w:id="32" w:name="_Toc151227133"/>
      <w:r>
        <w:t>Introducción</w:t>
      </w:r>
      <w:bookmarkEnd w:id="32"/>
    </w:p>
    <w:p w14:paraId="0428B6CE" w14:textId="168DCE61" w:rsidR="00573BAE" w:rsidRDefault="00277C08" w:rsidP="00DB0A9B">
      <w:pPr>
        <w:pStyle w:val="Nivel2SM"/>
      </w:pPr>
      <w:r>
        <w:t xml:space="preserve">Desde la adhesión las relaciones de España con la UE con constantes y en aspectos muy amplios como para poder abarcarlos en su totalidad.  </w:t>
      </w:r>
      <w:r w:rsidR="006E559A">
        <w:t>Mencionamos los principales aspectos desde un punto de vista cronológico.</w:t>
      </w:r>
    </w:p>
    <w:p w14:paraId="1063426A" w14:textId="26E02B79" w:rsidR="00573BAE" w:rsidRPr="00CC1491" w:rsidRDefault="00573BAE" w:rsidP="00FA47E2">
      <w:pPr>
        <w:pStyle w:val="Ttulo3"/>
      </w:pPr>
      <w:bookmarkStart w:id="33" w:name="_Toc151227134"/>
      <w:r w:rsidRPr="00573BAE">
        <w:t>Sistema Monetario Europeo</w:t>
      </w:r>
      <w:bookmarkEnd w:id="33"/>
    </w:p>
    <w:p w14:paraId="1904C992" w14:textId="59332C1D" w:rsidR="00573BAE" w:rsidRPr="00CC1491" w:rsidRDefault="006E559A" w:rsidP="00006D4D">
      <w:pPr>
        <w:pStyle w:val="Ttulo6"/>
        <w:spacing w:before="0"/>
      </w:pPr>
      <w:bookmarkStart w:id="34" w:name="_Toc151227135"/>
      <w:r>
        <w:t>Definición</w:t>
      </w:r>
      <w:bookmarkEnd w:id="34"/>
    </w:p>
    <w:p w14:paraId="3FDA2B94" w14:textId="6A92007A" w:rsidR="00573BAE" w:rsidRDefault="00573BAE" w:rsidP="00DB0A9B">
      <w:pPr>
        <w:pStyle w:val="Nivel2SM"/>
      </w:pPr>
      <w:r>
        <w:t xml:space="preserve">El SME se creó en 1979 para garantizar la estabilidad cambiaria de los países de la CEE. Se trataba de un </w:t>
      </w:r>
      <w:r w:rsidRPr="00DD5690">
        <w:rPr>
          <w:u w:val="single"/>
        </w:rPr>
        <w:t>sistema de tipos de cambio fijos, pero ajustables</w:t>
      </w:r>
      <w:r>
        <w:t>.</w:t>
      </w:r>
    </w:p>
    <w:p w14:paraId="723D4220" w14:textId="7E292C59" w:rsidR="00573BAE" w:rsidRPr="00CC1491" w:rsidRDefault="006E559A" w:rsidP="00006D4D">
      <w:pPr>
        <w:pStyle w:val="Ttulo6"/>
      </w:pPr>
      <w:bookmarkStart w:id="35" w:name="_Toc151227136"/>
      <w:r>
        <w:t>Experiencia de España</w:t>
      </w:r>
      <w:bookmarkEnd w:id="35"/>
    </w:p>
    <w:p w14:paraId="331EBC76" w14:textId="2D5BFAF8" w:rsidR="00573BAE" w:rsidRDefault="00573BAE" w:rsidP="00DB0A9B">
      <w:pPr>
        <w:pStyle w:val="Nivel2SM"/>
        <w:keepNext/>
        <w:spacing w:after="0"/>
      </w:pPr>
      <w:r>
        <w:t xml:space="preserve">España se integra en el SME en 1989 con una banda de fluctuación del </w:t>
      </w:r>
      <w:r w:rsidR="00C7299C">
        <w:t>±</w:t>
      </w:r>
      <w:r>
        <w:t>6</w:t>
      </w:r>
      <w:r w:rsidR="004A1CAE">
        <w:t> %</w:t>
      </w:r>
      <w:r>
        <w:t>.</w:t>
      </w:r>
    </w:p>
    <w:p w14:paraId="15DB6FBD" w14:textId="0C0C08DD" w:rsidR="00573BAE" w:rsidRDefault="006E559A" w:rsidP="00DB0A9B">
      <w:pPr>
        <w:pStyle w:val="Nivel3SM"/>
      </w:pPr>
      <w:r w:rsidRPr="00C7299C">
        <w:rPr>
          <w:i/>
          <w:iCs/>
          <w:u w:val="single"/>
        </w:rPr>
        <w:t>Apreciación</w:t>
      </w:r>
      <w:r w:rsidR="00DB0A9B">
        <w:t xml:space="preserve">: </w:t>
      </w:r>
      <w:r>
        <w:t>No obstante</w:t>
      </w:r>
      <w:r w:rsidR="00C7299C">
        <w:t>,</w:t>
      </w:r>
      <w:r>
        <w:t xml:space="preserve"> l</w:t>
      </w:r>
      <w:r w:rsidR="00573BAE">
        <w:t>a combinación de déficits públicos sistemáticos y de una política monetaria restrictiva para luchar contra la inflación dio lugar a altos tipos de interés, lo que se tradujo en entradas de capitales que apreciaron la peseta (que tocará varias veces el límite inferior de la banda).</w:t>
      </w:r>
    </w:p>
    <w:p w14:paraId="478BCDB4" w14:textId="199F0373" w:rsidR="00573BAE" w:rsidRDefault="006E559A" w:rsidP="00DB0A9B">
      <w:pPr>
        <w:pStyle w:val="Nivel3SM"/>
      </w:pPr>
      <w:r w:rsidRPr="00C7299C">
        <w:rPr>
          <w:i/>
          <w:iCs/>
          <w:u w:val="single"/>
        </w:rPr>
        <w:t>Fin del sistema</w:t>
      </w:r>
      <w:r w:rsidR="00DB0A9B">
        <w:t xml:space="preserve">: </w:t>
      </w:r>
      <w:r>
        <w:t xml:space="preserve">La crisis económica aumentó las expectativas de devaluación, generando presiones especulativas que desembocaron en varias devaluaciones de la peseta y en la ampliación en 1993 de las bandas de fluctuación al </w:t>
      </w:r>
      <w:r w:rsidR="00C7299C">
        <w:t>±</w:t>
      </w:r>
      <w:r>
        <w:t>15</w:t>
      </w:r>
      <w:r w:rsidR="004A1CAE">
        <w:t> %</w:t>
      </w:r>
      <w:r>
        <w:t>, lo que supuso de facto la desaparición del sistema.</w:t>
      </w:r>
    </w:p>
    <w:p w14:paraId="3804E4B8" w14:textId="1D63E386" w:rsidR="006E559A" w:rsidRDefault="006E559A" w:rsidP="00A71EB8">
      <w:pPr>
        <w:pStyle w:val="Ttulo3"/>
      </w:pPr>
      <w:bookmarkStart w:id="36" w:name="_Toc151227137"/>
      <w:r>
        <w:t>El Acta Única Europea 1986</w:t>
      </w:r>
      <w:bookmarkEnd w:id="36"/>
    </w:p>
    <w:p w14:paraId="2B1DC15D" w14:textId="0333ED42" w:rsidR="006E559A" w:rsidRPr="00CC1491" w:rsidRDefault="006E559A" w:rsidP="00006D4D">
      <w:pPr>
        <w:pStyle w:val="Ttulo6"/>
        <w:spacing w:before="0"/>
      </w:pPr>
      <w:bookmarkStart w:id="37" w:name="_Toc151227138"/>
      <w:r w:rsidRPr="00077850">
        <w:t>Introducción</w:t>
      </w:r>
      <w:bookmarkEnd w:id="37"/>
    </w:p>
    <w:p w14:paraId="3ADDA458" w14:textId="3D48FFA1" w:rsidR="006E559A" w:rsidRDefault="006E559A" w:rsidP="00DB0A9B">
      <w:pPr>
        <w:pStyle w:val="Nivel2SM"/>
      </w:pPr>
      <w:r>
        <w:t xml:space="preserve">La entrada de España en la CEE coincide en el tiempo con el relanzamiento del proceso de integración europea. Así, ese mismo año se firma el </w:t>
      </w:r>
      <w:r w:rsidRPr="00077850">
        <w:rPr>
          <w:b/>
        </w:rPr>
        <w:t>Acta Única Europea</w:t>
      </w:r>
      <w:r>
        <w:t>, por la que se acuerda la</w:t>
      </w:r>
      <w:r w:rsidRPr="006E559A">
        <w:rPr>
          <w:b/>
        </w:rPr>
        <w:t xml:space="preserve"> creación del Mercado Único para 1993</w:t>
      </w:r>
      <w:r>
        <w:t xml:space="preserve"> para el cual los países deberán garantizar la libre circulación y movimiento de mercancías, servicios capitales y personas.</w:t>
      </w:r>
    </w:p>
    <w:p w14:paraId="08F6AA05" w14:textId="34839B01" w:rsidR="006E559A" w:rsidRPr="00CC1491" w:rsidRDefault="006E559A" w:rsidP="00006D4D">
      <w:pPr>
        <w:pStyle w:val="Ttulo6"/>
      </w:pPr>
      <w:bookmarkStart w:id="38" w:name="_Toc151227139"/>
      <w:r w:rsidRPr="006E559A">
        <w:t>Medidas implementadas por España</w:t>
      </w:r>
      <w:bookmarkEnd w:id="38"/>
    </w:p>
    <w:p w14:paraId="79E52EEC" w14:textId="37DE5533" w:rsidR="00DD5690" w:rsidRDefault="006E559A" w:rsidP="00A96EAC">
      <w:pPr>
        <w:pStyle w:val="Nivel2SM"/>
        <w:keepNext/>
        <w:spacing w:after="0"/>
      </w:pPr>
      <w:r w:rsidRPr="00A96EAC">
        <w:rPr>
          <w:i/>
          <w:iCs/>
          <w:u w:val="single"/>
        </w:rPr>
        <w:t>Libre circulación de capitales</w:t>
      </w:r>
      <w:r w:rsidRPr="00077850">
        <w:t>:</w:t>
      </w:r>
    </w:p>
    <w:p w14:paraId="6845FAE9" w14:textId="45C5A9BB" w:rsidR="006E559A" w:rsidRPr="0063378B" w:rsidRDefault="006E559A" w:rsidP="00A96EAC">
      <w:pPr>
        <w:pStyle w:val="Nivel3SM"/>
        <w:keepNext/>
      </w:pPr>
      <w:r w:rsidRPr="00A96EAC">
        <w:rPr>
          <w:i/>
          <w:iCs/>
        </w:rPr>
        <w:t>RDL Inversiones Extranjeras en España</w:t>
      </w:r>
      <w:r w:rsidR="00A96EAC">
        <w:t>:</w:t>
      </w:r>
    </w:p>
    <w:p w14:paraId="5FB79B21" w14:textId="77777777" w:rsidR="0063378B" w:rsidRDefault="0063378B" w:rsidP="00A96EAC">
      <w:pPr>
        <w:pStyle w:val="Nivel4"/>
        <w:ind w:left="1474"/>
      </w:pPr>
      <w:r>
        <w:t xml:space="preserve">Implica la plena </w:t>
      </w:r>
      <w:r w:rsidRPr="000B7CB7">
        <w:t>eliminación de las restricciones a la LCK, culminada en España.</w:t>
      </w:r>
    </w:p>
    <w:p w14:paraId="21C71CB4" w14:textId="77777777" w:rsidR="0063378B" w:rsidRDefault="0063378B" w:rsidP="00A96EAC">
      <w:pPr>
        <w:pStyle w:val="Nivel4"/>
        <w:ind w:left="1474"/>
      </w:pPr>
      <w:r w:rsidRPr="00162CD6">
        <w:t>La liberalización alcanzó, además, a las transacciones con todos los países, y no solo con los comunitarios, de forma que España fue más allá de sus compromisos adquiridos.</w:t>
      </w:r>
    </w:p>
    <w:p w14:paraId="47037898" w14:textId="77777777" w:rsidR="006E559A" w:rsidRDefault="006E559A" w:rsidP="00A96EAC">
      <w:pPr>
        <w:pStyle w:val="Nivel2SM"/>
        <w:keepNext/>
        <w:spacing w:after="0"/>
      </w:pPr>
      <w:r w:rsidRPr="00A96EAC">
        <w:rPr>
          <w:i/>
          <w:iCs/>
          <w:u w:val="single"/>
        </w:rPr>
        <w:t>Libre circulación de mercancías</w:t>
      </w:r>
      <w:r>
        <w:t>:</w:t>
      </w:r>
    </w:p>
    <w:p w14:paraId="6B3636F5" w14:textId="77777777" w:rsidR="006E559A" w:rsidRPr="0063378B" w:rsidRDefault="006E559A" w:rsidP="00A96EAC">
      <w:pPr>
        <w:pStyle w:val="Nivel3SM"/>
        <w:rPr>
          <w:u w:val="single"/>
        </w:rPr>
      </w:pPr>
      <w:r>
        <w:t xml:space="preserve">Del mismo modo, se eliminaron también todas las barreras físicas existentes a la libre circulación de mercancías. </w:t>
      </w:r>
    </w:p>
    <w:p w14:paraId="5904D7DC" w14:textId="77777777" w:rsidR="006E559A" w:rsidRDefault="006E559A" w:rsidP="00A96EAC">
      <w:pPr>
        <w:pStyle w:val="Nivel2SM"/>
        <w:keepNext/>
        <w:spacing w:after="0"/>
      </w:pPr>
      <w:r w:rsidRPr="00A96EAC">
        <w:rPr>
          <w:i/>
          <w:iCs/>
          <w:u w:val="single"/>
        </w:rPr>
        <w:t>Libre circulación de personas</w:t>
      </w:r>
      <w:r>
        <w:t>:</w:t>
      </w:r>
    </w:p>
    <w:p w14:paraId="29DA0AF5" w14:textId="77777777" w:rsidR="006E559A" w:rsidRDefault="006E559A" w:rsidP="00A96EAC">
      <w:pPr>
        <w:pStyle w:val="Nivel3SM"/>
      </w:pPr>
      <w:r>
        <w:t xml:space="preserve">En 1991, España se adhirió al </w:t>
      </w:r>
      <w:r w:rsidRPr="00077850">
        <w:rPr>
          <w:b/>
        </w:rPr>
        <w:t>Acuerdo Schengen</w:t>
      </w:r>
      <w:r>
        <w:t>, por el que se eliminan las restricciones a la LCP, si bien este no entraría en vigor hasta 1995.</w:t>
      </w:r>
    </w:p>
    <w:p w14:paraId="23111AEB" w14:textId="77777777" w:rsidR="0063378B" w:rsidRPr="0063378B" w:rsidRDefault="0063378B" w:rsidP="00006D4D">
      <w:pPr>
        <w:pStyle w:val="Ttulo6"/>
      </w:pPr>
      <w:bookmarkStart w:id="39" w:name="_Toc151227140"/>
      <w:r>
        <w:t xml:space="preserve">Políticas de </w:t>
      </w:r>
      <w:r w:rsidRPr="0063378B">
        <w:t>Cohesión Social</w:t>
      </w:r>
      <w:bookmarkEnd w:id="39"/>
    </w:p>
    <w:p w14:paraId="2A94189B" w14:textId="77777777" w:rsidR="006E559A" w:rsidRPr="0063378B" w:rsidRDefault="006E559A" w:rsidP="0076559B">
      <w:pPr>
        <w:pStyle w:val="Nivel2SM"/>
        <w:keepNext/>
        <w:spacing w:after="0"/>
        <w:rPr>
          <w:u w:val="single"/>
        </w:rPr>
      </w:pPr>
      <w:r>
        <w:t xml:space="preserve">Pero quizás, la principal ventaja para España derivada del AUE fue la prioridad otorgada al objetivo de </w:t>
      </w:r>
      <w:r w:rsidRPr="00077850">
        <w:rPr>
          <w:b/>
        </w:rPr>
        <w:t>cohesión económica y social</w:t>
      </w:r>
      <w:r>
        <w:t xml:space="preserve">, considerado fundamental para el buen funcionamiento del Mercado Único. </w:t>
      </w:r>
    </w:p>
    <w:p w14:paraId="0E80ACD5" w14:textId="77777777" w:rsidR="0063378B" w:rsidRPr="006E559A" w:rsidRDefault="0063378B" w:rsidP="00DB0A9B">
      <w:pPr>
        <w:pStyle w:val="Nivel3SM"/>
        <w:rPr>
          <w:u w:val="single"/>
        </w:rPr>
      </w:pPr>
      <w:r>
        <w:t>España pasó a ser uno de los principales beneficiarios de los fondos estructurales de la UE.</w:t>
      </w:r>
    </w:p>
    <w:p w14:paraId="4F0DFE69" w14:textId="77777777" w:rsidR="0087237B" w:rsidRDefault="00573BAE" w:rsidP="00A71EB8">
      <w:pPr>
        <w:pStyle w:val="Ttulo3"/>
      </w:pPr>
      <w:bookmarkStart w:id="40" w:name="_Toc151227141"/>
      <w:r>
        <w:lastRenderedPageBreak/>
        <w:t>TUE: Unión Económica y Monetaria</w:t>
      </w:r>
      <w:bookmarkEnd w:id="40"/>
    </w:p>
    <w:p w14:paraId="7FA6072E" w14:textId="14C3BD18" w:rsidR="00337312" w:rsidRPr="00CC1491" w:rsidRDefault="00337312" w:rsidP="00006D4D">
      <w:pPr>
        <w:pStyle w:val="Ttulo6"/>
        <w:spacing w:before="0"/>
      </w:pPr>
      <w:bookmarkStart w:id="41" w:name="_Toc151227142"/>
      <w:r w:rsidRPr="00520EDA">
        <w:t>Introducción</w:t>
      </w:r>
      <w:bookmarkEnd w:id="41"/>
    </w:p>
    <w:p w14:paraId="1F6E6799" w14:textId="2DDF5814" w:rsidR="00337312" w:rsidRDefault="00337312" w:rsidP="00E13444">
      <w:pPr>
        <w:pStyle w:val="Nivel2SM"/>
        <w:keepNext/>
        <w:spacing w:after="0"/>
      </w:pPr>
      <w:r>
        <w:t>El Tratado de Maastricht de 1992 es el primer tratado que España negocia “desde dentro”. El Tratado estableció 3</w:t>
      </w:r>
      <w:r w:rsidR="00CC1491">
        <w:t> </w:t>
      </w:r>
      <w:r>
        <w:t>fases para la consecución de la UEM</w:t>
      </w:r>
      <w:r w:rsidR="0063378B">
        <w:t xml:space="preserve"> que implicará extensas medidas en áreas como por ejemplo</w:t>
      </w:r>
      <w:r>
        <w:t>.</w:t>
      </w:r>
    </w:p>
    <w:p w14:paraId="69892408" w14:textId="77777777" w:rsidR="0063378B" w:rsidRDefault="0063378B" w:rsidP="00E13444">
      <w:pPr>
        <w:pStyle w:val="Nivel3SM"/>
      </w:pPr>
      <w:r>
        <w:t xml:space="preserve">Independencia de los BC nacionales y establecimiento del BCE. </w:t>
      </w:r>
    </w:p>
    <w:p w14:paraId="4D3843BC" w14:textId="1308BD04" w:rsidR="0063378B" w:rsidRPr="003221AB" w:rsidRDefault="0063378B" w:rsidP="00E13444">
      <w:pPr>
        <w:pStyle w:val="Nivel3SM"/>
        <w:keepNext/>
      </w:pPr>
      <w:r>
        <w:t>Convergencia nominal (déficit (3</w:t>
      </w:r>
      <w:r w:rsidR="004A1CAE">
        <w:t> %</w:t>
      </w:r>
      <w:r>
        <w:t>), deuda (60</w:t>
      </w:r>
      <w:r w:rsidR="004A1CAE">
        <w:t> %</w:t>
      </w:r>
      <w:r>
        <w:t xml:space="preserve">), implementación del PDE, inflación, TC, tipos de interés…).  </w:t>
      </w:r>
    </w:p>
    <w:p w14:paraId="028B74AB" w14:textId="77777777" w:rsidR="0063378B" w:rsidRDefault="0063378B" w:rsidP="00E13444">
      <w:pPr>
        <w:pStyle w:val="Nivel4"/>
        <w:ind w:left="1474"/>
      </w:pPr>
      <w:r w:rsidRPr="003221AB">
        <w:t xml:space="preserve">El objetivo de la convergencia nominal era </w:t>
      </w:r>
      <w:r w:rsidRPr="003221AB">
        <w:rPr>
          <w:i/>
        </w:rPr>
        <w:t>sincronizar los ciclos</w:t>
      </w:r>
      <w:r w:rsidRPr="003221AB">
        <w:t xml:space="preserve"> para que la política monetaria común de </w:t>
      </w:r>
      <w:r w:rsidRPr="003221AB">
        <w:rPr>
          <w:i/>
        </w:rPr>
        <w:t>“</w:t>
      </w:r>
      <w:proofErr w:type="spellStart"/>
      <w:r w:rsidRPr="003221AB">
        <w:rPr>
          <w:i/>
        </w:rPr>
        <w:t>one</w:t>
      </w:r>
      <w:proofErr w:type="spellEnd"/>
      <w:r w:rsidRPr="003221AB">
        <w:rPr>
          <w:i/>
        </w:rPr>
        <w:t xml:space="preserve"> </w:t>
      </w:r>
      <w:proofErr w:type="spellStart"/>
      <w:r w:rsidRPr="003221AB">
        <w:rPr>
          <w:i/>
        </w:rPr>
        <w:t>size</w:t>
      </w:r>
      <w:proofErr w:type="spellEnd"/>
      <w:r w:rsidRPr="003221AB">
        <w:rPr>
          <w:i/>
        </w:rPr>
        <w:t xml:space="preserve"> </w:t>
      </w:r>
      <w:proofErr w:type="spellStart"/>
      <w:r w:rsidRPr="003221AB">
        <w:rPr>
          <w:i/>
        </w:rPr>
        <w:t>fits</w:t>
      </w:r>
      <w:proofErr w:type="spellEnd"/>
      <w:r w:rsidRPr="003221AB">
        <w:rPr>
          <w:i/>
        </w:rPr>
        <w:t xml:space="preserve"> </w:t>
      </w:r>
      <w:proofErr w:type="spellStart"/>
      <w:r w:rsidRPr="003221AB">
        <w:rPr>
          <w:i/>
        </w:rPr>
        <w:t>all</w:t>
      </w:r>
      <w:proofErr w:type="spellEnd"/>
      <w:r w:rsidRPr="003221AB">
        <w:rPr>
          <w:i/>
        </w:rPr>
        <w:t>”</w:t>
      </w:r>
      <w:r w:rsidRPr="003221AB">
        <w:t xml:space="preserve"> beneficiara a todos.</w:t>
      </w:r>
    </w:p>
    <w:p w14:paraId="277E6607" w14:textId="77777777" w:rsidR="0063378B" w:rsidRDefault="0063378B" w:rsidP="00E13444">
      <w:pPr>
        <w:pStyle w:val="Nivel2SM"/>
      </w:pPr>
      <w:r w:rsidRPr="00CC09DB">
        <w:t xml:space="preserve">Esto llevó a la obligación por parte de los países a reflejar sus compromisos de ajuste </w:t>
      </w:r>
      <w:r>
        <w:t>vía los Planes de Convergencia.</w:t>
      </w:r>
      <w:r w:rsidRPr="00CC09DB">
        <w:t xml:space="preserve"> </w:t>
      </w:r>
      <w:r>
        <w:t>España comenzó así un importante proceso de ajuste y reformas.</w:t>
      </w:r>
    </w:p>
    <w:p w14:paraId="692F0F6E" w14:textId="77777777" w:rsidR="0063378B" w:rsidRDefault="0063378B" w:rsidP="00006D4D">
      <w:pPr>
        <w:pStyle w:val="Ttulo6"/>
      </w:pPr>
      <w:bookmarkStart w:id="42" w:name="_Toc151227143"/>
      <w:r>
        <w:t>Convergencia nominal: Consolidación</w:t>
      </w:r>
      <w:bookmarkEnd w:id="42"/>
    </w:p>
    <w:p w14:paraId="5A426F69" w14:textId="2DFF732B" w:rsidR="0063378B" w:rsidRPr="0063378B" w:rsidRDefault="0063378B" w:rsidP="00E575E8">
      <w:pPr>
        <w:pStyle w:val="Ttulo7"/>
        <w:numPr>
          <w:ilvl w:val="3"/>
          <w:numId w:val="39"/>
        </w:numPr>
        <w:spacing w:before="0"/>
        <w:ind w:left="1135" w:hanging="284"/>
      </w:pPr>
      <w:bookmarkStart w:id="43" w:name="_Toc151227144"/>
      <w:r w:rsidRPr="0063378B">
        <w:t>Medidas de consolidación fiscal</w:t>
      </w:r>
      <w:r>
        <w:t xml:space="preserve"> hasta 1995</w:t>
      </w:r>
      <w:bookmarkEnd w:id="43"/>
    </w:p>
    <w:p w14:paraId="7104F83B" w14:textId="77777777" w:rsidR="0063378B" w:rsidRPr="00CC09DB" w:rsidRDefault="0063378B" w:rsidP="0063378B">
      <w:pPr>
        <w:numPr>
          <w:ilvl w:val="1"/>
          <w:numId w:val="3"/>
        </w:numPr>
        <w:tabs>
          <w:tab w:val="clear" w:pos="1440"/>
        </w:tabs>
      </w:pPr>
      <w:r w:rsidRPr="00CC09DB">
        <w:t xml:space="preserve">El Programa establecía como </w:t>
      </w:r>
      <w:r w:rsidRPr="00CC09DB">
        <w:rPr>
          <w:u w:val="single"/>
        </w:rPr>
        <w:t>objetivos básicos</w:t>
      </w:r>
      <w:r w:rsidRPr="00CC09DB">
        <w:t xml:space="preserve"> precisamente los criterios de convergencia que se habían definido para el </w:t>
      </w:r>
      <w:r w:rsidRPr="00CC09DB">
        <w:rPr>
          <w:u w:val="single"/>
        </w:rPr>
        <w:t>ingreso en la UEM</w:t>
      </w:r>
      <w:r w:rsidRPr="00CC09DB">
        <w:t>.</w:t>
      </w:r>
    </w:p>
    <w:p w14:paraId="66B3D376" w14:textId="6CA4EA8D" w:rsidR="0063378B" w:rsidRPr="00CC09DB" w:rsidRDefault="0063378B" w:rsidP="0063378B">
      <w:pPr>
        <w:numPr>
          <w:ilvl w:val="1"/>
          <w:numId w:val="3"/>
        </w:numPr>
        <w:tabs>
          <w:tab w:val="clear" w:pos="1440"/>
        </w:tabs>
      </w:pPr>
      <w:r w:rsidRPr="00CC09DB">
        <w:t xml:space="preserve">Sin embargo, fue un programa </w:t>
      </w:r>
      <w:r w:rsidRPr="00CC09DB">
        <w:rPr>
          <w:u w:val="single"/>
        </w:rPr>
        <w:t>poco efectivo</w:t>
      </w:r>
      <w:r w:rsidRPr="00CC09DB">
        <w:t xml:space="preserve"> ya que: </w:t>
      </w:r>
      <w:r w:rsidRPr="0091622C">
        <w:rPr>
          <w:i/>
          <w:iCs/>
        </w:rPr>
        <w:t>i)</w:t>
      </w:r>
      <w:r w:rsidR="0091622C">
        <w:t> </w:t>
      </w:r>
      <w:r w:rsidRPr="00CC09DB">
        <w:t xml:space="preserve">se basaba en </w:t>
      </w:r>
      <w:r w:rsidRPr="00CC09DB">
        <w:rPr>
          <w:u w:val="single"/>
        </w:rPr>
        <w:t>previsiones demasiado optimistas</w:t>
      </w:r>
      <w:r w:rsidRPr="00CC09DB">
        <w:t xml:space="preserve">; y </w:t>
      </w:r>
      <w:proofErr w:type="spellStart"/>
      <w:r w:rsidRPr="00431613">
        <w:rPr>
          <w:i/>
          <w:iCs/>
        </w:rPr>
        <w:t>ii</w:t>
      </w:r>
      <w:proofErr w:type="spellEnd"/>
      <w:r w:rsidRPr="00431613">
        <w:rPr>
          <w:i/>
          <w:iCs/>
        </w:rPr>
        <w:t>)</w:t>
      </w:r>
      <w:r w:rsidR="00431613">
        <w:t> </w:t>
      </w:r>
      <w:r w:rsidRPr="00CC09DB">
        <w:t>no afrontaba algunas de las principales necesidades de la economía española.</w:t>
      </w:r>
    </w:p>
    <w:p w14:paraId="533B63D6" w14:textId="77777777" w:rsidR="0063378B" w:rsidRPr="00CC09DB" w:rsidRDefault="0063378B" w:rsidP="0063378B">
      <w:pPr>
        <w:numPr>
          <w:ilvl w:val="0"/>
          <w:numId w:val="3"/>
        </w:numPr>
        <w:tabs>
          <w:tab w:val="clear" w:pos="720"/>
        </w:tabs>
      </w:pPr>
      <w:r w:rsidRPr="00CC09DB">
        <w:rPr>
          <w:u w:val="single"/>
        </w:rPr>
        <w:t>Decreto-Ley de julio de 1992</w:t>
      </w:r>
    </w:p>
    <w:p w14:paraId="2871DF70" w14:textId="77777777" w:rsidR="0063378B" w:rsidRPr="00CC09DB" w:rsidRDefault="0063378B" w:rsidP="0063378B">
      <w:pPr>
        <w:numPr>
          <w:ilvl w:val="1"/>
          <w:numId w:val="3"/>
        </w:numPr>
        <w:tabs>
          <w:tab w:val="clear" w:pos="1440"/>
        </w:tabs>
      </w:pPr>
      <w:r w:rsidRPr="00CC09DB">
        <w:t>Ante el empeoramiento de la situación económica, se hace necesario tomar medidas. Así, en plena crisis económica, el Gobierno aprueba un Decreto-Ley que contempla, entre otras medidas:</w:t>
      </w:r>
    </w:p>
    <w:p w14:paraId="3395853C" w14:textId="1C610759" w:rsidR="0063378B" w:rsidRPr="00CC09DB" w:rsidRDefault="0063378B" w:rsidP="0063378B">
      <w:pPr>
        <w:numPr>
          <w:ilvl w:val="2"/>
          <w:numId w:val="3"/>
        </w:numPr>
        <w:tabs>
          <w:tab w:val="clear" w:pos="2160"/>
        </w:tabs>
      </w:pPr>
      <w:r w:rsidRPr="00CC09DB">
        <w:rPr>
          <w:u w:val="single"/>
        </w:rPr>
        <w:t>Reducción del gasto público en 200.000</w:t>
      </w:r>
      <w:r w:rsidR="007C3C68">
        <w:rPr>
          <w:u w:val="single"/>
        </w:rPr>
        <w:t> </w:t>
      </w:r>
      <w:r w:rsidRPr="00CC09DB">
        <w:rPr>
          <w:u w:val="single"/>
        </w:rPr>
        <w:t>millones de pesetas</w:t>
      </w:r>
      <w:r w:rsidRPr="00CC09DB">
        <w:t>.</w:t>
      </w:r>
    </w:p>
    <w:p w14:paraId="0A251575" w14:textId="77777777" w:rsidR="0063378B" w:rsidRPr="00CC09DB" w:rsidRDefault="0063378B" w:rsidP="0063378B">
      <w:pPr>
        <w:numPr>
          <w:ilvl w:val="3"/>
          <w:numId w:val="3"/>
        </w:numPr>
        <w:tabs>
          <w:tab w:val="clear" w:pos="2880"/>
        </w:tabs>
      </w:pPr>
      <w:r w:rsidRPr="00CC09DB">
        <w:t>Sin embargo, la reducción se llevó a cabo sin ninguna selectividad, simplemente por un procedimiento de reducción proporcional para todos los organismos.</w:t>
      </w:r>
    </w:p>
    <w:p w14:paraId="4BB4E7FE" w14:textId="77777777" w:rsidR="0063378B" w:rsidRPr="00CC09DB" w:rsidRDefault="0063378B" w:rsidP="0063378B">
      <w:pPr>
        <w:numPr>
          <w:ilvl w:val="2"/>
          <w:numId w:val="3"/>
        </w:numPr>
        <w:tabs>
          <w:tab w:val="clear" w:pos="2160"/>
        </w:tabs>
      </w:pPr>
      <w:r w:rsidRPr="00CC09DB">
        <w:rPr>
          <w:u w:val="single"/>
        </w:rPr>
        <w:t>Aumento de la presión fiscal</w:t>
      </w:r>
      <w:r w:rsidRPr="00CC09DB">
        <w:t xml:space="preserve"> </w:t>
      </w:r>
    </w:p>
    <w:p w14:paraId="7634E7D7" w14:textId="0D9E8258" w:rsidR="0063378B" w:rsidRPr="00CC09DB" w:rsidRDefault="0063378B" w:rsidP="0063378B">
      <w:pPr>
        <w:numPr>
          <w:ilvl w:val="3"/>
          <w:numId w:val="3"/>
        </w:numPr>
        <w:tabs>
          <w:tab w:val="clear" w:pos="2880"/>
        </w:tabs>
      </w:pPr>
      <w:r w:rsidRPr="00CC09DB">
        <w:t>Tipo medio del IVA del 13</w:t>
      </w:r>
      <w:r w:rsidR="007C3C68">
        <w:t> %</w:t>
      </w:r>
      <w:r w:rsidRPr="00CC09DB">
        <w:t xml:space="preserve"> al 15</w:t>
      </w:r>
      <w:r w:rsidR="004A1CAE">
        <w:t> %</w:t>
      </w:r>
      <w:r w:rsidRPr="00CC09DB">
        <w:t>, y tipo marginal máximo del IRPF del 53</w:t>
      </w:r>
      <w:r w:rsidR="007C3C68">
        <w:t> %</w:t>
      </w:r>
      <w:r w:rsidRPr="00CC09DB">
        <w:t xml:space="preserve"> al 56</w:t>
      </w:r>
      <w:r w:rsidR="004A1CAE">
        <w:t> %</w:t>
      </w:r>
      <w:r w:rsidRPr="00CC09DB">
        <w:t>).</w:t>
      </w:r>
    </w:p>
    <w:p w14:paraId="66AF2AE0" w14:textId="77777777" w:rsidR="0063378B" w:rsidRPr="00CC09DB" w:rsidRDefault="0063378B" w:rsidP="0063378B">
      <w:pPr>
        <w:numPr>
          <w:ilvl w:val="1"/>
          <w:numId w:val="3"/>
        </w:numPr>
        <w:tabs>
          <w:tab w:val="clear" w:pos="1440"/>
        </w:tabs>
      </w:pPr>
      <w:r w:rsidRPr="00CC09DB">
        <w:rPr>
          <w:u w:val="single"/>
        </w:rPr>
        <w:t>Resultados</w:t>
      </w:r>
      <w:r w:rsidRPr="00CC09DB">
        <w:t xml:space="preserve">: </w:t>
      </w:r>
    </w:p>
    <w:p w14:paraId="690CB24F" w14:textId="41A45D8C" w:rsidR="0063378B" w:rsidRPr="00CC09DB" w:rsidRDefault="0063378B" w:rsidP="0063378B">
      <w:pPr>
        <w:numPr>
          <w:ilvl w:val="2"/>
          <w:numId w:val="3"/>
        </w:numPr>
      </w:pPr>
      <w:r w:rsidRPr="00CC09DB">
        <w:t xml:space="preserve">No se logra el control del déficit público (de hecho, éste alcanzará su máximo en </w:t>
      </w:r>
      <w:r w:rsidRPr="00CC09DB">
        <w:rPr>
          <w:b/>
        </w:rPr>
        <w:t>1993</w:t>
      </w:r>
      <w:r w:rsidRPr="00CC09DB">
        <w:t xml:space="preserve">: </w:t>
      </w:r>
      <w:r w:rsidRPr="00CC09DB">
        <w:rPr>
          <w:b/>
        </w:rPr>
        <w:t>7</w:t>
      </w:r>
      <w:r w:rsidR="00265DB9">
        <w:rPr>
          <w:b/>
        </w:rPr>
        <w:t>,</w:t>
      </w:r>
      <w:r w:rsidRPr="00CC09DB">
        <w:rPr>
          <w:b/>
        </w:rPr>
        <w:t>3</w:t>
      </w:r>
      <w:r w:rsidR="004A1CAE">
        <w:rPr>
          <w:b/>
        </w:rPr>
        <w:t> %</w:t>
      </w:r>
      <w:r w:rsidRPr="00CC09DB">
        <w:rPr>
          <w:b/>
        </w:rPr>
        <w:t>. La deuda pública por su parte alcanza niveles del 63</w:t>
      </w:r>
      <w:r w:rsidR="004A1CAE">
        <w:rPr>
          <w:b/>
        </w:rPr>
        <w:t> %</w:t>
      </w:r>
      <w:r w:rsidRPr="00CC09DB">
        <w:t>.</w:t>
      </w:r>
    </w:p>
    <w:p w14:paraId="4667489F" w14:textId="77777777" w:rsidR="0063378B" w:rsidRDefault="0063378B" w:rsidP="0063378B">
      <w:pPr>
        <w:numPr>
          <w:ilvl w:val="0"/>
          <w:numId w:val="3"/>
        </w:numPr>
      </w:pPr>
      <w:r w:rsidRPr="00CC09DB">
        <w:t>Esto hizo que a partir de 1995 se comenzase con un</w:t>
      </w:r>
      <w:r>
        <w:t xml:space="preserve"> </w:t>
      </w:r>
      <w:r w:rsidRPr="00CD576F">
        <w:rPr>
          <w:b/>
        </w:rPr>
        <w:t>nuevo periodo de fuerte consolidación fiscal</w:t>
      </w:r>
      <w:r w:rsidRPr="00CC09DB">
        <w:t xml:space="preserve"> que duró hasta la crisis de 2007.</w:t>
      </w:r>
    </w:p>
    <w:p w14:paraId="2A780EB2" w14:textId="2ADE5247" w:rsidR="00B1535E" w:rsidRPr="00F61432" w:rsidRDefault="00B1535E" w:rsidP="00E575E8">
      <w:pPr>
        <w:pStyle w:val="Ttulo7"/>
        <w:numPr>
          <w:ilvl w:val="3"/>
          <w:numId w:val="39"/>
        </w:numPr>
        <w:ind w:left="1135" w:hanging="284"/>
      </w:pPr>
      <w:bookmarkStart w:id="44" w:name="_Toc151227145"/>
      <w:r>
        <w:t>Medidas de consolidación fiscal hasta la cumbre del Euro</w:t>
      </w:r>
      <w:bookmarkEnd w:id="44"/>
      <w:r>
        <w:t xml:space="preserve"> </w:t>
      </w:r>
    </w:p>
    <w:p w14:paraId="3DE2AD1F" w14:textId="77777777" w:rsidR="00B1535E" w:rsidRDefault="00B1535E" w:rsidP="00B1535E">
      <w:pPr>
        <w:numPr>
          <w:ilvl w:val="0"/>
          <w:numId w:val="3"/>
        </w:numPr>
        <w:tabs>
          <w:tab w:val="clear" w:pos="720"/>
        </w:tabs>
      </w:pPr>
      <w:r>
        <w:t xml:space="preserve">El compromiso de participar en la UEM desde el principio hizo que los problemas de las finanzas públicas españolas fueran abordados de manera más decidida desde 1995, iniciándose así un </w:t>
      </w:r>
      <w:r w:rsidRPr="00EB54AD">
        <w:rPr>
          <w:u w:val="single"/>
        </w:rPr>
        <w:t>proceso de consolidación fiscal</w:t>
      </w:r>
      <w:r>
        <w:t xml:space="preserve">. </w:t>
      </w:r>
    </w:p>
    <w:p w14:paraId="3C184AB0" w14:textId="77777777" w:rsidR="00B1535E" w:rsidRDefault="00B1535E" w:rsidP="00B1535E">
      <w:pPr>
        <w:numPr>
          <w:ilvl w:val="1"/>
          <w:numId w:val="3"/>
        </w:numPr>
        <w:tabs>
          <w:tab w:val="clear" w:pos="1440"/>
        </w:tabs>
      </w:pPr>
      <w:r w:rsidRPr="00F61432">
        <w:rPr>
          <w:u w:val="single"/>
        </w:rPr>
        <w:t>Actualización en 1994 del Programa de Convergencia</w:t>
      </w:r>
      <w:r>
        <w:t xml:space="preserve"> </w:t>
      </w:r>
    </w:p>
    <w:p w14:paraId="0AF62645" w14:textId="77777777" w:rsidR="00B1535E" w:rsidRDefault="00B1535E" w:rsidP="00B1535E">
      <w:pPr>
        <w:numPr>
          <w:ilvl w:val="2"/>
          <w:numId w:val="3"/>
        </w:numPr>
        <w:tabs>
          <w:tab w:val="clear" w:pos="2160"/>
        </w:tabs>
      </w:pPr>
      <w:r>
        <w:t xml:space="preserve">Que introdujo un </w:t>
      </w:r>
      <w:r w:rsidRPr="00D74000">
        <w:rPr>
          <w:b/>
        </w:rPr>
        <w:t>mayor rigor en la política fiscal</w:t>
      </w:r>
      <w:r>
        <w:t xml:space="preserve">, fijando además unos </w:t>
      </w:r>
      <w:r w:rsidRPr="00D74000">
        <w:rPr>
          <w:b/>
        </w:rPr>
        <w:t>objetivos de déficit más realistas</w:t>
      </w:r>
      <w:r>
        <w:t>.</w:t>
      </w:r>
    </w:p>
    <w:p w14:paraId="2026E0DD" w14:textId="77777777" w:rsidR="00B1535E" w:rsidRDefault="00B1535E" w:rsidP="00B1535E">
      <w:pPr>
        <w:numPr>
          <w:ilvl w:val="1"/>
          <w:numId w:val="3"/>
        </w:numPr>
        <w:tabs>
          <w:tab w:val="clear" w:pos="1440"/>
        </w:tabs>
      </w:pPr>
      <w:r w:rsidRPr="00F61432">
        <w:rPr>
          <w:u w:val="single"/>
        </w:rPr>
        <w:lastRenderedPageBreak/>
        <w:t>Primera legislatura del Gobierno de AZNAR (1996)</w:t>
      </w:r>
      <w:r>
        <w:t>:</w:t>
      </w:r>
    </w:p>
    <w:p w14:paraId="0E8D2FD1" w14:textId="77777777" w:rsidR="00B1535E" w:rsidRDefault="00B1535E" w:rsidP="00B1535E">
      <w:pPr>
        <w:numPr>
          <w:ilvl w:val="2"/>
          <w:numId w:val="3"/>
        </w:numPr>
        <w:tabs>
          <w:tab w:val="clear" w:pos="2160"/>
        </w:tabs>
      </w:pPr>
      <w:r w:rsidRPr="00332D82">
        <w:rPr>
          <w:u w:val="single"/>
        </w:rPr>
        <w:t>Credibilidad</w:t>
      </w:r>
      <w:r>
        <w:t xml:space="preserve"> </w:t>
      </w:r>
    </w:p>
    <w:p w14:paraId="59701ADF" w14:textId="77777777" w:rsidR="00B1535E" w:rsidRDefault="00B1535E" w:rsidP="00B1535E">
      <w:pPr>
        <w:numPr>
          <w:ilvl w:val="3"/>
          <w:numId w:val="3"/>
        </w:numPr>
        <w:tabs>
          <w:tab w:val="clear" w:pos="2880"/>
        </w:tabs>
      </w:pPr>
      <w:r>
        <w:t>Del compromiso del Gobierno de tener como objetivo prioritario de política económica el cumplimiento de los criterios de convergencia.</w:t>
      </w:r>
    </w:p>
    <w:p w14:paraId="3CC3D4D3" w14:textId="77777777" w:rsidR="00B1535E" w:rsidRPr="00332D82" w:rsidRDefault="00B1535E" w:rsidP="00B1535E">
      <w:pPr>
        <w:numPr>
          <w:ilvl w:val="2"/>
          <w:numId w:val="3"/>
        </w:numPr>
        <w:tabs>
          <w:tab w:val="clear" w:pos="2160"/>
        </w:tabs>
        <w:rPr>
          <w:u w:val="single"/>
        </w:rPr>
      </w:pPr>
      <w:r w:rsidRPr="00332D82">
        <w:rPr>
          <w:u w:val="single"/>
        </w:rPr>
        <w:t>Disciplina presupuestaria</w:t>
      </w:r>
    </w:p>
    <w:p w14:paraId="3FC86723" w14:textId="77777777" w:rsidR="00B1535E" w:rsidRDefault="00B1535E" w:rsidP="00B1535E">
      <w:pPr>
        <w:numPr>
          <w:ilvl w:val="3"/>
          <w:numId w:val="3"/>
        </w:numPr>
        <w:tabs>
          <w:tab w:val="clear" w:pos="2880"/>
        </w:tabs>
      </w:pPr>
      <w:r w:rsidRPr="00D74000">
        <w:rPr>
          <w:b/>
        </w:rPr>
        <w:t>Ley de Medidas de Disciplina Presupuestaria de 1996</w:t>
      </w:r>
      <w:r>
        <w:t>, que imponía medidas muy restrictivas para las modificaciones presupuestarias.</w:t>
      </w:r>
    </w:p>
    <w:p w14:paraId="0629844F" w14:textId="77777777" w:rsidR="00B1535E" w:rsidRDefault="00B1535E" w:rsidP="00B1535E">
      <w:pPr>
        <w:numPr>
          <w:ilvl w:val="3"/>
          <w:numId w:val="3"/>
        </w:numPr>
        <w:tabs>
          <w:tab w:val="clear" w:pos="2880"/>
        </w:tabs>
      </w:pPr>
      <w:r w:rsidRPr="00D74000">
        <w:rPr>
          <w:b/>
        </w:rPr>
        <w:t>Primeros presupuestos de AZNAR</w:t>
      </w:r>
      <w:r>
        <w:t xml:space="preserve"> (1997), muy restrictivos en todas sus partidas (p.ej. </w:t>
      </w:r>
      <w:r w:rsidRPr="00D74000">
        <w:rPr>
          <w:b/>
        </w:rPr>
        <w:t>congelación del sueldo de los funcionarios</w:t>
      </w:r>
      <w:r>
        <w:t>, la 2ª en la historia de la democracia.</w:t>
      </w:r>
    </w:p>
    <w:p w14:paraId="01C56EF8" w14:textId="77777777" w:rsidR="00B1535E" w:rsidRDefault="00B1535E" w:rsidP="00B1535E">
      <w:pPr>
        <w:numPr>
          <w:ilvl w:val="3"/>
          <w:numId w:val="3"/>
        </w:numPr>
        <w:tabs>
          <w:tab w:val="clear" w:pos="2880"/>
        </w:tabs>
      </w:pPr>
      <w:r w:rsidRPr="00D74000">
        <w:rPr>
          <w:b/>
        </w:rPr>
        <w:t>Programa de Convergencia 1997-2000</w:t>
      </w:r>
      <w:r>
        <w:t>: continúa la consolidación fiscal.</w:t>
      </w:r>
    </w:p>
    <w:p w14:paraId="0E3ED047" w14:textId="77777777" w:rsidR="00B1535E" w:rsidRPr="00332D82" w:rsidRDefault="00B1535E" w:rsidP="00B1535E">
      <w:pPr>
        <w:numPr>
          <w:ilvl w:val="2"/>
          <w:numId w:val="3"/>
        </w:numPr>
        <w:tabs>
          <w:tab w:val="clear" w:pos="2160"/>
        </w:tabs>
        <w:rPr>
          <w:u w:val="single"/>
        </w:rPr>
      </w:pPr>
      <w:r w:rsidRPr="00332D82">
        <w:rPr>
          <w:u w:val="single"/>
        </w:rPr>
        <w:t>Privatizaciones</w:t>
      </w:r>
    </w:p>
    <w:p w14:paraId="272F5853" w14:textId="0A1BAD0F" w:rsidR="00B1535E" w:rsidRPr="00F36916" w:rsidRDefault="00B1535E" w:rsidP="00F36916">
      <w:pPr>
        <w:numPr>
          <w:ilvl w:val="3"/>
          <w:numId w:val="3"/>
        </w:numPr>
        <w:tabs>
          <w:tab w:val="clear" w:pos="2880"/>
        </w:tabs>
      </w:pPr>
      <w:r>
        <w:t>Política de privatizaciones, que aumentó los ingresos y disminuyó el gasto. Además, los ingresos se utilizaron para amortizar la deuda.</w:t>
      </w:r>
    </w:p>
    <w:p w14:paraId="0ECABF18" w14:textId="3E087778" w:rsidR="00B1535E" w:rsidRPr="00F36916" w:rsidRDefault="00B1535E" w:rsidP="00006D4D">
      <w:pPr>
        <w:pStyle w:val="Ttulo6"/>
      </w:pPr>
      <w:bookmarkStart w:id="45" w:name="_Toc151227146"/>
      <w:r w:rsidRPr="00F61432">
        <w:t>Cumbre del Euro de 1998</w:t>
      </w:r>
      <w:bookmarkEnd w:id="45"/>
    </w:p>
    <w:p w14:paraId="1311B98A" w14:textId="2F420277" w:rsidR="00B1535E" w:rsidRDefault="00B1535E" w:rsidP="00DB0A9B">
      <w:pPr>
        <w:pStyle w:val="Nivel2SM"/>
      </w:pPr>
      <w:r>
        <w:t>En marzo de 1998, la Comisión y el Instituto Monetario Europeo examinaron qué países estaban preparados para entrar en la UEM y, en base a su trabajo, el Consejo Europeo aprobó en la “Cumbre del euro” de mayo de 1998 en Bruselas que 11 países podían entrar en la fase</w:t>
      </w:r>
      <w:r w:rsidR="00F36916">
        <w:t> </w:t>
      </w:r>
      <w:r>
        <w:t>3, entre ellos España.</w:t>
      </w:r>
    </w:p>
    <w:p w14:paraId="7F521A0A" w14:textId="4FD6FE89" w:rsidR="00B1535E" w:rsidRDefault="00B1535E" w:rsidP="00DB0A9B">
      <w:pPr>
        <w:pStyle w:val="Nivel3SM"/>
      </w:pPr>
      <w:r>
        <w:t>Para tomar esta decisión, las instituciones comunitarias se basaron en la versión laxa del criterio de sostenibilidad de las finanzas públicas (si no, sólo Francia, Luxemburgo y Finlandia habrían entrado en el euro).</w:t>
      </w:r>
    </w:p>
    <w:p w14:paraId="0BBDF390" w14:textId="58428338" w:rsidR="00B1535E" w:rsidRDefault="00B1535E" w:rsidP="00DB0A9B">
      <w:pPr>
        <w:pStyle w:val="Nivel2SM"/>
      </w:pPr>
      <w:r>
        <w:t>Otros factores que contribuyeron a conseguir el objetivo fueron:</w:t>
      </w:r>
    </w:p>
    <w:p w14:paraId="4E85AF20" w14:textId="4FB09AAA" w:rsidR="00F742EA" w:rsidRDefault="00B1535E" w:rsidP="00DB0A9B">
      <w:pPr>
        <w:pStyle w:val="Nivel3SM"/>
      </w:pPr>
      <w:r>
        <w:t>Recepción de fondos del FCH.</w:t>
      </w:r>
    </w:p>
    <w:p w14:paraId="777FD24C" w14:textId="452A3D0E" w:rsidR="00F742EA" w:rsidRPr="00F36916" w:rsidRDefault="00F742EA" w:rsidP="00006D4D">
      <w:pPr>
        <w:pStyle w:val="Ttulo6"/>
        <w:rPr>
          <w:highlight w:val="yellow"/>
        </w:rPr>
      </w:pPr>
      <w:bookmarkStart w:id="46" w:name="_Toc151227147"/>
      <w:r w:rsidRPr="00FB23CE">
        <w:rPr>
          <w:highlight w:val="yellow"/>
        </w:rPr>
        <w:t>Política monetaria</w:t>
      </w:r>
      <w:bookmarkEnd w:id="46"/>
    </w:p>
    <w:p w14:paraId="71B54F95" w14:textId="4328A402" w:rsidR="00F742EA" w:rsidRDefault="00F742EA" w:rsidP="00F36916">
      <w:pPr>
        <w:numPr>
          <w:ilvl w:val="0"/>
          <w:numId w:val="3"/>
        </w:numPr>
      </w:pPr>
      <w:r w:rsidRPr="00F742EA">
        <w:rPr>
          <w:highlight w:val="yellow"/>
          <w:u w:val="single"/>
        </w:rPr>
        <w:t>Ley de autonomía del Banco de España</w:t>
      </w:r>
      <w:r w:rsidRPr="00F742EA">
        <w:rPr>
          <w:highlight w:val="yellow"/>
        </w:rPr>
        <w:t xml:space="preserve"> de 1994 (que además establece como objetivo prioritario la estabilidad de precios).</w:t>
      </w:r>
    </w:p>
    <w:p w14:paraId="46B3B50B" w14:textId="36CE9E4B" w:rsidR="006069DD" w:rsidRDefault="00A80BD8" w:rsidP="00DB0A9B">
      <w:pPr>
        <w:pStyle w:val="Nivel2SM"/>
      </w:pPr>
      <w:r>
        <w:t xml:space="preserve">Desde el 2002, </w:t>
      </w:r>
      <w:r w:rsidR="00F742EA">
        <w:t xml:space="preserve">la </w:t>
      </w:r>
      <w:r w:rsidR="00F742EA" w:rsidRPr="00A80BD8">
        <w:rPr>
          <w:u w:val="single"/>
        </w:rPr>
        <w:t>política monetaria vendrá implementada desde el BCE</w:t>
      </w:r>
      <w:r w:rsidR="00F742EA">
        <w:t xml:space="preserve"> en cuyo consejo de gobierno estará presente el BdE pero donde el diseño de la PM será decidido a nivel UE. </w:t>
      </w:r>
    </w:p>
    <w:p w14:paraId="50B1C72A" w14:textId="2F9B7C69" w:rsidR="002D0AC1" w:rsidRDefault="002D0AC1" w:rsidP="00A71EB8">
      <w:pPr>
        <w:pStyle w:val="Ttulo3"/>
      </w:pPr>
      <w:bookmarkStart w:id="47" w:name="_Toc151227148"/>
      <w:r>
        <w:t>Las nuevas adhesiones a la UE</w:t>
      </w:r>
      <w:bookmarkEnd w:id="47"/>
    </w:p>
    <w:p w14:paraId="5D9E79C5" w14:textId="3C6B2556" w:rsidR="00E1235C" w:rsidRPr="00F36916" w:rsidRDefault="000C7038" w:rsidP="00006D4D">
      <w:pPr>
        <w:pStyle w:val="Ttulo6"/>
        <w:spacing w:before="0"/>
      </w:pPr>
      <w:bookmarkStart w:id="48" w:name="_Toc151227149"/>
      <w:r>
        <w:t xml:space="preserve">Finlandia, Suecia y Austria </w:t>
      </w:r>
      <w:r w:rsidR="00E575E8">
        <w:t>(</w:t>
      </w:r>
      <w:r>
        <w:t>1995</w:t>
      </w:r>
      <w:r w:rsidR="00E575E8">
        <w:t>)</w:t>
      </w:r>
      <w:bookmarkEnd w:id="48"/>
    </w:p>
    <w:p w14:paraId="23B25B9A" w14:textId="77777777" w:rsidR="002D0AC1" w:rsidRDefault="003B4445" w:rsidP="00E13444">
      <w:pPr>
        <w:pStyle w:val="Nivel2SM"/>
        <w:keepNext/>
        <w:spacing w:after="0"/>
      </w:pPr>
      <w:r>
        <w:t>En 1995, se unen a la UE tres países: Finlandia, Suecia y Austria.</w:t>
      </w:r>
    </w:p>
    <w:p w14:paraId="0C70DF0B" w14:textId="77777777" w:rsidR="003B4445" w:rsidRDefault="003B4445" w:rsidP="00E13444">
      <w:pPr>
        <w:pStyle w:val="Nivel3SM"/>
      </w:pPr>
      <w:r>
        <w:t>Las negociaciones no son especialmente problemáticas, dado que se trata de países con buenos indicadores económicos y que ya habían aproximado buena parte de su legislación al acervo comunitario.</w:t>
      </w:r>
    </w:p>
    <w:p w14:paraId="61295008" w14:textId="77777777" w:rsidR="00E1235C" w:rsidRDefault="004667E2" w:rsidP="00E13444">
      <w:pPr>
        <w:pStyle w:val="Nivel3SM"/>
      </w:pPr>
      <w:r>
        <w:t>Aun</w:t>
      </w:r>
      <w:r w:rsidR="00BA13D4">
        <w:t xml:space="preserve"> así, España las aprovecha para conseguir alguna ventaja, como que el periodo transitorio establecido en el Tratado de Adhesión para su acceso general a los caladeros</w:t>
      </w:r>
      <w:r w:rsidR="006069DD">
        <w:t xml:space="preserve"> (para la pesca)</w:t>
      </w:r>
      <w:r w:rsidR="00BA13D4">
        <w:t xml:space="preserve"> comunitarios se rebaje de 17 a 10 años.</w:t>
      </w:r>
    </w:p>
    <w:p w14:paraId="4C79904E" w14:textId="5C780D57" w:rsidR="00E1235C" w:rsidRPr="00F36916" w:rsidRDefault="00E575E8" w:rsidP="00006D4D">
      <w:pPr>
        <w:pStyle w:val="Ttulo6"/>
      </w:pPr>
      <w:bookmarkStart w:id="49" w:name="_Toc151227150"/>
      <w:r>
        <w:lastRenderedPageBreak/>
        <w:t>P</w:t>
      </w:r>
      <w:r w:rsidR="00F36916">
        <w:t>aíses de Europa central y orienta</w:t>
      </w:r>
      <w:r>
        <w:t>l</w:t>
      </w:r>
      <w:r w:rsidR="000C7038">
        <w:t xml:space="preserve"> (2004)</w:t>
      </w:r>
      <w:r>
        <w:t xml:space="preserve"> +</w:t>
      </w:r>
      <w:r w:rsidR="000C7038">
        <w:t xml:space="preserve"> Bulgaria y Rumanía (2007)</w:t>
      </w:r>
      <w:r>
        <w:t xml:space="preserve"> + Croacia (2013)</w:t>
      </w:r>
      <w:bookmarkEnd w:id="49"/>
    </w:p>
    <w:p w14:paraId="6EA1D53B" w14:textId="5E4482A3" w:rsidR="00EE7E5C" w:rsidRDefault="0078651B" w:rsidP="00E13444">
      <w:pPr>
        <w:pStyle w:val="Nivel2SM"/>
        <w:keepNext/>
        <w:spacing w:after="0"/>
      </w:pPr>
      <w:r>
        <w:t>En cambio, poco después comienza la adhesión de otro grupo numeroso de países, que finalmente se incorporarán a la UE en dos tandas: el 1 de enero de 2004, 10</w:t>
      </w:r>
      <w:r w:rsidR="00F36916">
        <w:t> </w:t>
      </w:r>
      <w:r>
        <w:t xml:space="preserve">nuevos países </w:t>
      </w:r>
      <w:r w:rsidR="00337312">
        <w:t>pasan a formar parte de la UE,</w:t>
      </w:r>
      <w:r>
        <w:t xml:space="preserve"> el 1 de enero de 2007 lo hacen Rumanía y Bulgaria.</w:t>
      </w:r>
    </w:p>
    <w:p w14:paraId="517E218F" w14:textId="099D70A5" w:rsidR="00825DF1" w:rsidRDefault="00825DF1" w:rsidP="00E13444">
      <w:pPr>
        <w:pStyle w:val="Nivel3SM"/>
        <w:keepNext/>
      </w:pPr>
      <w:r>
        <w:t xml:space="preserve">Este segundo procesión de ampliación de la UE resulta más problemático para España por </w:t>
      </w:r>
      <w:r w:rsidR="00F36916">
        <w:t>2 </w:t>
      </w:r>
      <w:r>
        <w:t>motivos:</w:t>
      </w:r>
    </w:p>
    <w:p w14:paraId="6EDA3ECB" w14:textId="77777777" w:rsidR="00825DF1" w:rsidRDefault="00825DF1" w:rsidP="00E13444">
      <w:pPr>
        <w:pStyle w:val="Nivel4"/>
        <w:ind w:left="1474"/>
      </w:pPr>
      <w:r>
        <w:t>Supone una pérdida de peso político</w:t>
      </w:r>
      <w:r w:rsidR="006069DD">
        <w:t>.</w:t>
      </w:r>
      <w:r>
        <w:t xml:space="preserve"> España tendrá menos poder de voto relativo y más dificultades para establecer minorías de bloqueo.</w:t>
      </w:r>
    </w:p>
    <w:p w14:paraId="45A7D567" w14:textId="77777777" w:rsidR="00825DF1" w:rsidRDefault="00825DF1" w:rsidP="00E13444">
      <w:pPr>
        <w:pStyle w:val="Nivel4"/>
        <w:ind w:left="1474"/>
      </w:pPr>
      <w:r>
        <w:t>Amenaza con suponer la pérdida de fondos que se venían percibiendo desde la entrada de España en la UE.</w:t>
      </w:r>
    </w:p>
    <w:p w14:paraId="28D91311" w14:textId="77777777" w:rsidR="003F6113" w:rsidRDefault="003F6113" w:rsidP="00E13444">
      <w:pPr>
        <w:pStyle w:val="Nivel2SM"/>
        <w:keepNext/>
        <w:spacing w:after="0"/>
      </w:pPr>
      <w:r>
        <w:t>Resultados de las negociaciones:</w:t>
      </w:r>
    </w:p>
    <w:p w14:paraId="2ABD43E0" w14:textId="77777777" w:rsidR="003F6113" w:rsidRDefault="003F6113" w:rsidP="00E13444">
      <w:pPr>
        <w:pStyle w:val="Nivel3SM"/>
      </w:pPr>
      <w:r>
        <w:t>España “pierde” un miembro en la Comisión</w:t>
      </w:r>
      <w:r w:rsidR="0039438C">
        <w:t>.</w:t>
      </w:r>
      <w:r>
        <w:t xml:space="preserve"> </w:t>
      </w:r>
      <w:r w:rsidR="0039438C">
        <w:t>A</w:t>
      </w:r>
      <w:r>
        <w:t>hora cada país tendrá un Comisario</w:t>
      </w:r>
      <w:r w:rsidR="0039438C">
        <w:t>.</w:t>
      </w:r>
      <w:r>
        <w:t xml:space="preserve"> </w:t>
      </w:r>
    </w:p>
    <w:p w14:paraId="39E1B3E7" w14:textId="77777777" w:rsidR="003F6113" w:rsidRDefault="003F6113" w:rsidP="00E13444">
      <w:pPr>
        <w:pStyle w:val="Nivel3SM"/>
      </w:pPr>
      <w:r>
        <w:t>A cambio, se produce una nueva distribución de los votos en el Consejo que acerca más a España a la situación de los “Estados grandes”.</w:t>
      </w:r>
    </w:p>
    <w:p w14:paraId="22BF825B" w14:textId="77777777" w:rsidR="005319B6" w:rsidRDefault="005319B6" w:rsidP="00E13444">
      <w:pPr>
        <w:pStyle w:val="Nivel3SM"/>
        <w:keepNext/>
      </w:pPr>
      <w:r>
        <w:t>Efectos económicos:</w:t>
      </w:r>
    </w:p>
    <w:p w14:paraId="27F8A3F1" w14:textId="77777777" w:rsidR="00E861EC" w:rsidRDefault="00405A87" w:rsidP="00E13444">
      <w:pPr>
        <w:pStyle w:val="Nivel4"/>
        <w:ind w:left="1474"/>
      </w:pPr>
      <w:r>
        <w:t>España puede contar con un nuevo mercado de exportación.</w:t>
      </w:r>
    </w:p>
    <w:p w14:paraId="08B627F3" w14:textId="77777777" w:rsidR="00CA4D78" w:rsidRDefault="00CA4D78" w:rsidP="00E13444">
      <w:pPr>
        <w:pStyle w:val="Nivel4"/>
        <w:ind w:left="1474"/>
      </w:pPr>
      <w:r>
        <w:t>Los nuevos miembros, con costes laborales más bajos, pasan a ser un importante competidor en la captación de inversión directa extranjera. Se producen fenómenos de deslocalización.</w:t>
      </w:r>
    </w:p>
    <w:p w14:paraId="32133ACB" w14:textId="414BEEF4" w:rsidR="00337312" w:rsidRDefault="007F33B3" w:rsidP="00E13444">
      <w:pPr>
        <w:pStyle w:val="Nivel4"/>
        <w:ind w:left="1474"/>
      </w:pPr>
      <w:r>
        <w:t>Pérdida de fondos estructurales, que se matiza mediante los fondos recibidos por regiones “</w:t>
      </w:r>
      <w:proofErr w:type="spellStart"/>
      <w:r>
        <w:rPr>
          <w:i/>
        </w:rPr>
        <w:t>phasing</w:t>
      </w:r>
      <w:proofErr w:type="spellEnd"/>
      <w:r>
        <w:rPr>
          <w:i/>
        </w:rPr>
        <w:t>-in</w:t>
      </w:r>
      <w:r>
        <w:t>” y “</w:t>
      </w:r>
      <w:proofErr w:type="spellStart"/>
      <w:r>
        <w:rPr>
          <w:i/>
        </w:rPr>
        <w:t>phasing-out</w:t>
      </w:r>
      <w:proofErr w:type="spellEnd"/>
      <w:r>
        <w:t>”.</w:t>
      </w:r>
    </w:p>
    <w:p w14:paraId="2E32109B" w14:textId="66C449C1" w:rsidR="000C7038" w:rsidRPr="00297D85" w:rsidRDefault="00A71EB8" w:rsidP="00A71EB8">
      <w:pPr>
        <w:pStyle w:val="Ttulo2"/>
      </w:pPr>
      <w:bookmarkStart w:id="50" w:name="_Toc151227151"/>
      <w:r>
        <w:t>Evolución desde la crisis económica hasta la actualidad</w:t>
      </w:r>
      <w:bookmarkEnd w:id="50"/>
    </w:p>
    <w:p w14:paraId="7C4A42B9" w14:textId="191ADB9D" w:rsidR="00F742EA" w:rsidRDefault="00F742EA" w:rsidP="00A71EB8">
      <w:pPr>
        <w:pStyle w:val="Ttulo3"/>
        <w:spacing w:before="0"/>
      </w:pPr>
      <w:bookmarkStart w:id="51" w:name="_Toc151227152"/>
      <w:r>
        <w:t>Reforma de la Unión Europea</w:t>
      </w:r>
      <w:bookmarkEnd w:id="51"/>
    </w:p>
    <w:p w14:paraId="2D511EDA" w14:textId="0E57495D" w:rsidR="000C7038" w:rsidRPr="00297D85" w:rsidRDefault="000C7038" w:rsidP="00006D4D">
      <w:pPr>
        <w:pStyle w:val="Ttulo6"/>
        <w:spacing w:before="0"/>
      </w:pPr>
      <w:bookmarkStart w:id="52" w:name="_Toc151227153"/>
      <w:r w:rsidRPr="00F742EA">
        <w:t>Introducción</w:t>
      </w:r>
      <w:bookmarkEnd w:id="52"/>
    </w:p>
    <w:p w14:paraId="16122B1C" w14:textId="3FDADC67" w:rsidR="000C7038" w:rsidRPr="00297D85" w:rsidRDefault="00F742EA" w:rsidP="00DB0A9B">
      <w:pPr>
        <w:pStyle w:val="Nivel2SM"/>
      </w:pPr>
      <w:r>
        <w:t>Desde la crisis la UE y sobre todo la eurozona ha experimentado una importante reforma estructural que ha influido profundamente en las relaciones económicas de España con la UE. Comentamos a continuación las principales</w:t>
      </w:r>
      <w:r w:rsidR="00297D85">
        <w:t>.</w:t>
      </w:r>
    </w:p>
    <w:p w14:paraId="450788F3" w14:textId="4A461FC1" w:rsidR="000C7038" w:rsidRPr="00297D85" w:rsidRDefault="000C7038" w:rsidP="00006D4D">
      <w:pPr>
        <w:pStyle w:val="Ttulo6"/>
      </w:pPr>
      <w:bookmarkStart w:id="53" w:name="_Toc151227154"/>
      <w:r w:rsidRPr="00F742EA">
        <w:t>Reforma de la gobernanza europea: Pilares de la reforma</w:t>
      </w:r>
      <w:bookmarkEnd w:id="53"/>
    </w:p>
    <w:p w14:paraId="4D1DBDB9" w14:textId="77777777" w:rsidR="000C7038" w:rsidRDefault="000C7038" w:rsidP="00DB0A9B">
      <w:pPr>
        <w:pStyle w:val="Nivel2SM"/>
      </w:pPr>
      <w:r w:rsidRPr="00DC37CA">
        <w:t>La crisis puso de manifiesto los importantes desequilibrios entre países de la unión</w:t>
      </w:r>
      <w:r>
        <w:t>,</w:t>
      </w:r>
      <w:r w:rsidRPr="00DC37CA">
        <w:t xml:space="preserve"> la inefectividad de los mecanismos comunitarios de coordinación económica</w:t>
      </w:r>
      <w:r>
        <w:t xml:space="preserve"> previamente establecidos y la ausencia de mecanismos de financiación permanente.</w:t>
      </w:r>
    </w:p>
    <w:p w14:paraId="05380ABD" w14:textId="4FA0A903" w:rsidR="000C7038" w:rsidRDefault="000C7038" w:rsidP="00E13444">
      <w:pPr>
        <w:pStyle w:val="Nivel2SM"/>
        <w:keepNext/>
        <w:spacing w:after="0"/>
      </w:pPr>
      <w:r>
        <w:t>Todos estos acontecimientos llevaron a una profunda reforma de la gobernanza de la UE que incluye</w:t>
      </w:r>
      <w:r w:rsidR="00E13444">
        <w:t>:</w:t>
      </w:r>
    </w:p>
    <w:p w14:paraId="5200A7D6" w14:textId="77777777" w:rsidR="000C7038" w:rsidRDefault="000C7038" w:rsidP="00E13444">
      <w:pPr>
        <w:pStyle w:val="Nivel3SM"/>
      </w:pPr>
      <w:r>
        <w:t xml:space="preserve">Control presupuestario: PEC 2011 </w:t>
      </w:r>
    </w:p>
    <w:p w14:paraId="7E3398E7" w14:textId="77777777" w:rsidR="000C7038" w:rsidRDefault="000C7038" w:rsidP="00E13444">
      <w:pPr>
        <w:pStyle w:val="Nivel3SM"/>
      </w:pPr>
      <w:r>
        <w:t xml:space="preserve">Control de desequilibrios macroeconómicos: PDM. </w:t>
      </w:r>
    </w:p>
    <w:p w14:paraId="1C7DBFCB" w14:textId="77777777" w:rsidR="000C7038" w:rsidRDefault="000C7038" w:rsidP="00E13444">
      <w:pPr>
        <w:pStyle w:val="Nivel3SM"/>
      </w:pPr>
      <w:r>
        <w:t xml:space="preserve">Coordinación temporal de las políticas: Semestre Europeo. </w:t>
      </w:r>
    </w:p>
    <w:p w14:paraId="1F339B8D" w14:textId="77777777" w:rsidR="000C7038" w:rsidRDefault="000C7038" w:rsidP="00E13444">
      <w:pPr>
        <w:pStyle w:val="Nivel3SM"/>
      </w:pPr>
      <w:r>
        <w:t xml:space="preserve">Coordinación temática de las políticas: Estrategia 2020. </w:t>
      </w:r>
    </w:p>
    <w:p w14:paraId="0BA83341" w14:textId="294465E3" w:rsidR="00F742EA" w:rsidRPr="00BA47B9" w:rsidRDefault="00F742EA" w:rsidP="00006D4D">
      <w:pPr>
        <w:pStyle w:val="Ttulo6"/>
      </w:pPr>
      <w:bookmarkStart w:id="54" w:name="_Toc151227155"/>
      <w:r w:rsidRPr="00F742EA">
        <w:t>Otros cambios</w:t>
      </w:r>
      <w:bookmarkEnd w:id="54"/>
    </w:p>
    <w:p w14:paraId="4EC2E8F4" w14:textId="10DDDC0D" w:rsidR="00F742EA" w:rsidRDefault="00F742EA" w:rsidP="00E13444">
      <w:pPr>
        <w:pStyle w:val="Nivel2SM"/>
        <w:keepNext/>
        <w:spacing w:after="0"/>
      </w:pPr>
      <w:r>
        <w:t>Otros cambios importantes incluyen:</w:t>
      </w:r>
    </w:p>
    <w:p w14:paraId="266FB627" w14:textId="0F05DA73" w:rsidR="00F742EA" w:rsidRDefault="00F742EA" w:rsidP="00E13444">
      <w:pPr>
        <w:pStyle w:val="Nivel3SM"/>
      </w:pPr>
      <w:r>
        <w:t xml:space="preserve">Implementación de una </w:t>
      </w:r>
      <w:r w:rsidR="00DB0A9B">
        <w:t>política monetaria</w:t>
      </w:r>
      <w:r>
        <w:t xml:space="preserve"> no</w:t>
      </w:r>
      <w:r w:rsidR="00DB0A9B">
        <w:t> </w:t>
      </w:r>
      <w:r>
        <w:t>convencional.</w:t>
      </w:r>
    </w:p>
    <w:p w14:paraId="26ABC405" w14:textId="6E9A2812" w:rsidR="00F742EA" w:rsidRDefault="00F742EA" w:rsidP="00E13444">
      <w:pPr>
        <w:pStyle w:val="Nivel3SM"/>
      </w:pPr>
      <w:r>
        <w:t>Establecimiento de una Unión Bancaria.</w:t>
      </w:r>
    </w:p>
    <w:p w14:paraId="5AC829F0" w14:textId="77777777" w:rsidR="000C7038" w:rsidRDefault="000C7038" w:rsidP="00DB0A9B">
      <w:pPr>
        <w:pStyle w:val="Nivel2SM"/>
      </w:pPr>
      <w:r>
        <w:t xml:space="preserve">Comentamos a continuación los efectos que han tenido estos sobre la política económica española y con ello sobre las relaciones de España con la UE. </w:t>
      </w:r>
    </w:p>
    <w:p w14:paraId="7A9F2DD3" w14:textId="4C1E03E0" w:rsidR="00B35EC5" w:rsidRPr="00CF5C4A" w:rsidRDefault="002B3947" w:rsidP="00A71EB8">
      <w:pPr>
        <w:pStyle w:val="Ttulo3"/>
      </w:pPr>
      <w:bookmarkStart w:id="55" w:name="_Toc151227156"/>
      <w:r>
        <w:lastRenderedPageBreak/>
        <w:t>Política económica</w:t>
      </w:r>
      <w:r w:rsidR="00F742EA" w:rsidRPr="00F742EA">
        <w:t xml:space="preserve">: </w:t>
      </w:r>
      <w:r>
        <w:t>P</w:t>
      </w:r>
      <w:r w:rsidR="00B35EC5" w:rsidRPr="00F742EA">
        <w:t>roceso de consolidación fiscal</w:t>
      </w:r>
      <w:bookmarkEnd w:id="55"/>
    </w:p>
    <w:p w14:paraId="746CC7F2" w14:textId="330D5471" w:rsidR="00B35EC5" w:rsidRPr="002E26E0" w:rsidRDefault="00B35EC5" w:rsidP="00006D4D">
      <w:pPr>
        <w:pStyle w:val="Ttulo6"/>
        <w:spacing w:before="0"/>
      </w:pPr>
      <w:bookmarkStart w:id="56" w:name="_Toc151227157"/>
      <w:r w:rsidRPr="002E26E0">
        <w:t>Reforma del artículo</w:t>
      </w:r>
      <w:r w:rsidR="00CF5C4A">
        <w:t> </w:t>
      </w:r>
      <w:r w:rsidRPr="002E26E0">
        <w:t>135 de la Constitución</w:t>
      </w:r>
      <w:bookmarkEnd w:id="56"/>
    </w:p>
    <w:p w14:paraId="0C3F85E7" w14:textId="77777777" w:rsidR="00B35EC5" w:rsidRPr="002E26E0" w:rsidRDefault="00B35EC5" w:rsidP="00347E43">
      <w:pPr>
        <w:pStyle w:val="Nivel2SM"/>
        <w:keepNext/>
        <w:spacing w:after="0"/>
        <w:rPr>
          <w:u w:val="single"/>
          <w:shd w:val="clear" w:color="auto" w:fill="FFFFFF"/>
        </w:rPr>
      </w:pPr>
      <w:r w:rsidRPr="002E26E0">
        <w:rPr>
          <w:shd w:val="clear" w:color="auto" w:fill="FFFFFF"/>
        </w:rPr>
        <w:t xml:space="preserve">Con motivo del Fiscal Compact, se incorporó la regla de oro (constitución fiscal) en la Constitución Española. Tras la reforma, el artículo hace hincapié en cuatro aspectos: </w:t>
      </w:r>
    </w:p>
    <w:p w14:paraId="7C00B379" w14:textId="1A8BB650" w:rsidR="00B35EC5" w:rsidRPr="002E26E0" w:rsidRDefault="00B35EC5" w:rsidP="00347E43">
      <w:pPr>
        <w:pStyle w:val="Nivel3SM"/>
        <w:keepNext/>
      </w:pPr>
      <w:r w:rsidRPr="00347E43">
        <w:rPr>
          <w:u w:val="single"/>
        </w:rPr>
        <w:t>Límite de déficit</w:t>
      </w:r>
      <w:r w:rsidRPr="002E26E0">
        <w:t>.</w:t>
      </w:r>
    </w:p>
    <w:p w14:paraId="41F230E1" w14:textId="77777777" w:rsidR="00B35EC5" w:rsidRPr="002E26E0" w:rsidRDefault="00B35EC5" w:rsidP="00347E43">
      <w:pPr>
        <w:pStyle w:val="Nivel4"/>
        <w:ind w:left="1474"/>
      </w:pPr>
      <w:r w:rsidRPr="002E26E0">
        <w:t xml:space="preserve">El Estado y las Comunidades Autónomas no podrán incurrir en un déficit estructural que supere los límites establecidos por la UE, siendo una Ley Orgánica (que luego veremos) la que fije el déficit estructural máximo permitido. </w:t>
      </w:r>
    </w:p>
    <w:p w14:paraId="0349EE66" w14:textId="77777777" w:rsidR="00B35EC5" w:rsidRPr="002E26E0" w:rsidRDefault="00B35EC5" w:rsidP="00347E43">
      <w:pPr>
        <w:pStyle w:val="Nivel4"/>
        <w:ind w:left="1474"/>
      </w:pPr>
      <w:r w:rsidRPr="002E26E0">
        <w:t>Las Corporaciones Locales deberán presentar equilibrio presupuestario.</w:t>
      </w:r>
    </w:p>
    <w:p w14:paraId="464B7D8B" w14:textId="7CDDCB8A" w:rsidR="00B35EC5" w:rsidRPr="002E26E0" w:rsidRDefault="00B35EC5" w:rsidP="00347E43">
      <w:pPr>
        <w:pStyle w:val="Nivel3SM"/>
        <w:keepNext/>
      </w:pPr>
      <w:r w:rsidRPr="00347E43">
        <w:rPr>
          <w:u w:val="single"/>
        </w:rPr>
        <w:t>Límite de deuda</w:t>
      </w:r>
      <w:r w:rsidRPr="002E26E0">
        <w:t>.</w:t>
      </w:r>
    </w:p>
    <w:p w14:paraId="591C2A11" w14:textId="77777777" w:rsidR="00B35EC5" w:rsidRPr="002E26E0" w:rsidRDefault="00B35EC5" w:rsidP="00347E43">
      <w:pPr>
        <w:pStyle w:val="Nivel4"/>
        <w:ind w:left="1474"/>
      </w:pPr>
      <w:r w:rsidRPr="002E26E0">
        <w:t>Las Administraciones Públicas no podrán incurrir en una deuda que supere los límites establecidos por la UE.</w:t>
      </w:r>
    </w:p>
    <w:p w14:paraId="2886C696" w14:textId="63AA0744" w:rsidR="00B35EC5" w:rsidRPr="002E26E0" w:rsidRDefault="00B35EC5" w:rsidP="00347E43">
      <w:pPr>
        <w:pStyle w:val="Nivel3SM"/>
        <w:keepNext/>
      </w:pPr>
      <w:r w:rsidRPr="00347E43">
        <w:rPr>
          <w:u w:val="single"/>
        </w:rPr>
        <w:t>Autorización para emitir de deuda y contraer crédito</w:t>
      </w:r>
      <w:r w:rsidRPr="002E26E0">
        <w:t>.</w:t>
      </w:r>
    </w:p>
    <w:p w14:paraId="557D3E5C" w14:textId="77777777" w:rsidR="00B35EC5" w:rsidRPr="002E26E0" w:rsidRDefault="00B35EC5" w:rsidP="00347E43">
      <w:pPr>
        <w:pStyle w:val="Nivel4"/>
        <w:ind w:left="1474"/>
      </w:pPr>
      <w:r w:rsidRPr="002E26E0">
        <w:t>El Estado y las CCAA deberán estar autorizados por ley para emitir deuda pública o contraer crédito.</w:t>
      </w:r>
    </w:p>
    <w:p w14:paraId="40CE2F68" w14:textId="77777777" w:rsidR="00B35EC5" w:rsidRPr="002E26E0" w:rsidRDefault="00B35EC5" w:rsidP="00347E43">
      <w:pPr>
        <w:pStyle w:val="Nivel3SM"/>
        <w:keepNext/>
      </w:pPr>
      <w:r w:rsidRPr="00347E43">
        <w:rPr>
          <w:u w:val="single"/>
        </w:rPr>
        <w:t>Prioridad absoluta del servicio de la deuda</w:t>
      </w:r>
      <w:r w:rsidRPr="002E26E0">
        <w:t xml:space="preserve">. </w:t>
      </w:r>
    </w:p>
    <w:p w14:paraId="40FD7668" w14:textId="77777777" w:rsidR="00B35EC5" w:rsidRPr="002E26E0" w:rsidRDefault="00B35EC5" w:rsidP="00347E43">
      <w:pPr>
        <w:pStyle w:val="Nivel4"/>
        <w:ind w:left="1474"/>
        <w:rPr>
          <w:u w:val="single"/>
          <w:shd w:val="clear" w:color="auto" w:fill="FFFFFF"/>
        </w:rPr>
      </w:pPr>
      <w:r w:rsidRPr="002E26E0">
        <w:t>El pago de capital y de intereses gozará de prioridad absoluta.</w:t>
      </w:r>
    </w:p>
    <w:p w14:paraId="5F1B1289" w14:textId="77777777" w:rsidR="00B35EC5" w:rsidRPr="002E26E0" w:rsidRDefault="00B35EC5" w:rsidP="00006D4D">
      <w:pPr>
        <w:pStyle w:val="Ttulo6"/>
      </w:pPr>
      <w:bookmarkStart w:id="57" w:name="_Toc151227158"/>
      <w:r w:rsidRPr="002E26E0">
        <w:t>Ley Orgánica de Estabilidad Presupuestaria y Sostenibilidad Financiera (LOEPYSF) (2012)</w:t>
      </w:r>
      <w:bookmarkEnd w:id="57"/>
    </w:p>
    <w:p w14:paraId="01D0CA5D" w14:textId="77777777" w:rsidR="00B35EC5" w:rsidRPr="002E26E0" w:rsidRDefault="00B35EC5" w:rsidP="00DB0A9B">
      <w:pPr>
        <w:pStyle w:val="Nivel2SM"/>
      </w:pPr>
      <w:r w:rsidRPr="002E26E0">
        <w:t xml:space="preserve">Como veíamos, la nueva redacción del art. 135 CE recoge el mandato de desarrollar su contenido a través de una Ley Orgánica. Así, el 27 de abril de 2012 se aprobó la Ley Orgánica 2/2012, de Estabilidad Presupuestaria y Sostenibilidad Financiera. </w:t>
      </w:r>
    </w:p>
    <w:p w14:paraId="311AA09A" w14:textId="083A5EAB" w:rsidR="00B35EC5" w:rsidRPr="002E26E0" w:rsidRDefault="00B35EC5" w:rsidP="00D31E78">
      <w:pPr>
        <w:pStyle w:val="Nivel2SM"/>
        <w:keepNext/>
        <w:spacing w:after="0"/>
      </w:pPr>
      <w:r w:rsidRPr="002E26E0">
        <w:t xml:space="preserve">Esta Ley establece limitaciones en </w:t>
      </w:r>
      <w:r w:rsidRPr="00D31E78">
        <w:rPr>
          <w:b/>
          <w:bCs/>
        </w:rPr>
        <w:t>3</w:t>
      </w:r>
      <w:r w:rsidR="00D31E78" w:rsidRPr="00D31E78">
        <w:rPr>
          <w:b/>
          <w:bCs/>
        </w:rPr>
        <w:t> </w:t>
      </w:r>
      <w:r w:rsidRPr="00D31E78">
        <w:rPr>
          <w:b/>
          <w:bCs/>
        </w:rPr>
        <w:t>ámbitos</w:t>
      </w:r>
      <w:r w:rsidRPr="002E26E0">
        <w:t>:</w:t>
      </w:r>
    </w:p>
    <w:p w14:paraId="658FF1FC" w14:textId="547DF447" w:rsidR="00B35EC5" w:rsidRPr="002E26E0" w:rsidRDefault="00B35EC5" w:rsidP="00D31E78">
      <w:pPr>
        <w:pStyle w:val="Nivel3SM"/>
        <w:keepNext/>
      </w:pPr>
      <w:r w:rsidRPr="00D31E78">
        <w:rPr>
          <w:i/>
          <w:iCs/>
          <w:u w:val="single"/>
        </w:rPr>
        <w:t>Déficit público (art.</w:t>
      </w:r>
      <w:r w:rsidR="00CF5C4A" w:rsidRPr="00D31E78">
        <w:rPr>
          <w:i/>
          <w:iCs/>
          <w:u w:val="single"/>
        </w:rPr>
        <w:t> </w:t>
      </w:r>
      <w:r w:rsidRPr="00D31E78">
        <w:rPr>
          <w:i/>
          <w:iCs/>
          <w:u w:val="single"/>
        </w:rPr>
        <w:t>11)</w:t>
      </w:r>
      <w:r w:rsidRPr="002E26E0">
        <w:t>:</w:t>
      </w:r>
    </w:p>
    <w:p w14:paraId="5E4339AB" w14:textId="77777777" w:rsidR="00B35EC5" w:rsidRPr="002E26E0" w:rsidRDefault="00B35EC5" w:rsidP="00D31E78">
      <w:pPr>
        <w:pStyle w:val="Nivel4"/>
        <w:ind w:left="1474"/>
      </w:pPr>
      <w:r w:rsidRPr="002E26E0">
        <w:t>Ninguna Administración pública podrá incurrir en déficit estructural.</w:t>
      </w:r>
    </w:p>
    <w:p w14:paraId="54084F41" w14:textId="77777777" w:rsidR="00B35EC5" w:rsidRPr="002E26E0" w:rsidRDefault="00B35EC5" w:rsidP="00D31E78">
      <w:pPr>
        <w:pStyle w:val="Nivel4"/>
        <w:keepNext/>
        <w:ind w:left="1474"/>
      </w:pPr>
      <w:r w:rsidRPr="002E26E0">
        <w:t>Excepciones al mandato de déficit estructural nulo:</w:t>
      </w:r>
    </w:p>
    <w:p w14:paraId="5B0350E6" w14:textId="66698AB2" w:rsidR="00B35EC5" w:rsidRPr="002E26E0" w:rsidRDefault="00B35EC5" w:rsidP="00D31E78">
      <w:pPr>
        <w:pStyle w:val="Nivel5"/>
        <w:ind w:left="1871"/>
      </w:pPr>
      <w:r w:rsidRPr="002E26E0">
        <w:t xml:space="preserve">Si se llevan a cabo reformas estructurales con efectos presupuestarios a largo plazo, podrá alcanzarse en el conjunto de las Administraciones Públicas un </w:t>
      </w:r>
      <w:r w:rsidRPr="002E26E0">
        <w:rPr>
          <w:b/>
        </w:rPr>
        <w:t>déficit estructural del 0,4</w:t>
      </w:r>
      <w:r w:rsidR="004A1CAE">
        <w:rPr>
          <w:b/>
        </w:rPr>
        <w:t> %</w:t>
      </w:r>
      <w:r w:rsidRPr="002E26E0">
        <w:t xml:space="preserve"> del PIB nominal.</w:t>
      </w:r>
    </w:p>
    <w:p w14:paraId="18723793" w14:textId="0D653473" w:rsidR="00B35EC5" w:rsidRPr="002E26E0" w:rsidRDefault="00B35EC5" w:rsidP="00D31E78">
      <w:pPr>
        <w:pStyle w:val="Nivel5"/>
        <w:ind w:left="1871"/>
      </w:pPr>
      <w:r w:rsidRPr="002E26E0">
        <w:t>En caso</w:t>
      </w:r>
      <w:r w:rsidR="00D31E78">
        <w:t xml:space="preserve"> de r</w:t>
      </w:r>
      <w:r w:rsidR="00D31E78" w:rsidRPr="002E26E0">
        <w:t>ecesión económica</w:t>
      </w:r>
      <w:r w:rsidR="00D31E78">
        <w:t xml:space="preserve"> grave</w:t>
      </w:r>
      <w:r w:rsidRPr="002E26E0">
        <w:t>, se podrá incurrir en déficit estructural si se aprueba por mayoría absoluta del Congreso de los Diputados.</w:t>
      </w:r>
    </w:p>
    <w:p w14:paraId="70CABB6C" w14:textId="7E2CC716" w:rsidR="00B35EC5" w:rsidRPr="002E26E0" w:rsidRDefault="00B35EC5" w:rsidP="00D31E78">
      <w:pPr>
        <w:pStyle w:val="Nivel3SM"/>
        <w:keepNext/>
      </w:pPr>
      <w:r w:rsidRPr="00D31E78">
        <w:rPr>
          <w:i/>
          <w:iCs/>
          <w:u w:val="single"/>
        </w:rPr>
        <w:t>Regla de gasto (art.</w:t>
      </w:r>
      <w:r w:rsidR="00CF5C4A" w:rsidRPr="00D31E78">
        <w:rPr>
          <w:i/>
          <w:iCs/>
          <w:u w:val="single"/>
        </w:rPr>
        <w:t> </w:t>
      </w:r>
      <w:r w:rsidRPr="00D31E78">
        <w:rPr>
          <w:i/>
          <w:iCs/>
          <w:u w:val="single"/>
        </w:rPr>
        <w:t>12)</w:t>
      </w:r>
      <w:r w:rsidRPr="002E26E0">
        <w:t>:</w:t>
      </w:r>
    </w:p>
    <w:p w14:paraId="2C8500D7" w14:textId="77777777" w:rsidR="00B35EC5" w:rsidRPr="002E26E0" w:rsidRDefault="00B35EC5" w:rsidP="00D31E78">
      <w:pPr>
        <w:pStyle w:val="Nivel4"/>
        <w:ind w:left="1474"/>
      </w:pPr>
      <w:r w:rsidRPr="002E26E0">
        <w:t>La tasa de crecimiento del gasto público del conjunto de las Administraciones Públicas no podrá superar la tasa de crecimiento del PIB de medio plazo.</w:t>
      </w:r>
    </w:p>
    <w:p w14:paraId="057E1372" w14:textId="77777777" w:rsidR="00B35EC5" w:rsidRPr="002E26E0" w:rsidRDefault="00B35EC5" w:rsidP="00D31E78">
      <w:pPr>
        <w:pStyle w:val="Nivel4"/>
        <w:ind w:left="1474"/>
      </w:pPr>
      <w:r w:rsidRPr="002E26E0">
        <w:t>Corresponde al Ministerio de Economía calcular la tasa de referencia de crecimiento del Producto Interior Bruto de medio plazo de la economía española.</w:t>
      </w:r>
    </w:p>
    <w:p w14:paraId="50BCC000" w14:textId="3CE29EDD" w:rsidR="00B35EC5" w:rsidRPr="002E26E0" w:rsidRDefault="00B35EC5" w:rsidP="00D31E78">
      <w:pPr>
        <w:pStyle w:val="Nivel3SM"/>
        <w:keepNext/>
      </w:pPr>
      <w:r w:rsidRPr="00D31E78">
        <w:rPr>
          <w:i/>
          <w:iCs/>
          <w:u w:val="single"/>
        </w:rPr>
        <w:t>Deuda pública (art.</w:t>
      </w:r>
      <w:r w:rsidR="00CF5C4A" w:rsidRPr="00D31E78">
        <w:rPr>
          <w:i/>
          <w:iCs/>
          <w:u w:val="single"/>
        </w:rPr>
        <w:t> </w:t>
      </w:r>
      <w:r w:rsidRPr="00D31E78">
        <w:rPr>
          <w:i/>
          <w:iCs/>
          <w:u w:val="single"/>
        </w:rPr>
        <w:t>13)</w:t>
      </w:r>
      <w:r w:rsidRPr="002E26E0">
        <w:t>:</w:t>
      </w:r>
    </w:p>
    <w:p w14:paraId="741E93B1" w14:textId="214A2116" w:rsidR="00B35EC5" w:rsidRPr="002E26E0" w:rsidRDefault="00B35EC5" w:rsidP="00D31E78">
      <w:pPr>
        <w:pStyle w:val="Nivel4"/>
        <w:ind w:left="1474"/>
      </w:pPr>
      <w:r w:rsidRPr="002E26E0">
        <w:t>La deuda pública del conjunto de las Administraciones Públicas no podrá superar el 60</w:t>
      </w:r>
      <w:r w:rsidR="004A1CAE">
        <w:t> %</w:t>
      </w:r>
      <w:r w:rsidRPr="002E26E0">
        <w:t xml:space="preserve"> del PIB nominal.</w:t>
      </w:r>
    </w:p>
    <w:p w14:paraId="5414E962" w14:textId="77777777" w:rsidR="00B35EC5" w:rsidRPr="002E26E0" w:rsidRDefault="00B35EC5" w:rsidP="00D31E78">
      <w:pPr>
        <w:pStyle w:val="Nivel4"/>
        <w:keepNext/>
        <w:ind w:left="1474"/>
      </w:pPr>
      <w:r w:rsidRPr="002E26E0">
        <w:t>Este límite se distribuye de acuerdo a los siguientes porcentajes:</w:t>
      </w:r>
    </w:p>
    <w:p w14:paraId="414A26A6" w14:textId="5BBB13D4" w:rsidR="00B35EC5" w:rsidRPr="002E26E0" w:rsidRDefault="00B35EC5" w:rsidP="00D31E78">
      <w:pPr>
        <w:pStyle w:val="Nivel5"/>
        <w:ind w:left="1871"/>
      </w:pPr>
      <w:r w:rsidRPr="002E26E0">
        <w:t>Administración central: 44</w:t>
      </w:r>
      <w:r w:rsidR="00D171CB">
        <w:t> </w:t>
      </w:r>
      <w:r w:rsidRPr="002E26E0">
        <w:t>puntos porcentuales.</w:t>
      </w:r>
    </w:p>
    <w:p w14:paraId="54B9842C" w14:textId="6BBCBD56" w:rsidR="00B35EC5" w:rsidRPr="002E26E0" w:rsidRDefault="00B35EC5" w:rsidP="00D31E78">
      <w:pPr>
        <w:pStyle w:val="Nivel5"/>
        <w:ind w:left="1871"/>
      </w:pPr>
      <w:r w:rsidRPr="002E26E0">
        <w:t>Comunidades Autónomas: 13</w:t>
      </w:r>
      <w:r w:rsidR="00D171CB">
        <w:t> </w:t>
      </w:r>
      <w:r w:rsidRPr="002E26E0">
        <w:t>puntos porcentuales.</w:t>
      </w:r>
    </w:p>
    <w:p w14:paraId="4D0AD6B8" w14:textId="3CCB64EB" w:rsidR="00B35EC5" w:rsidRPr="002E26E0" w:rsidRDefault="00B35EC5" w:rsidP="00D31E78">
      <w:pPr>
        <w:pStyle w:val="Nivel5"/>
        <w:ind w:left="1871"/>
      </w:pPr>
      <w:r w:rsidRPr="002E26E0">
        <w:t>Corporaciones Locales: 3</w:t>
      </w:r>
      <w:r w:rsidR="00D171CB">
        <w:t> </w:t>
      </w:r>
      <w:r w:rsidRPr="002E26E0">
        <w:t>puntos porcentuales.</w:t>
      </w:r>
    </w:p>
    <w:p w14:paraId="33DC3194" w14:textId="59E7C5DD" w:rsidR="00B35EC5" w:rsidRPr="002E26E0" w:rsidRDefault="00B35EC5" w:rsidP="00D31E78">
      <w:pPr>
        <w:pStyle w:val="Nivel2SM"/>
        <w:keepNext/>
        <w:spacing w:after="0"/>
      </w:pPr>
      <w:r w:rsidRPr="00D31E78">
        <w:rPr>
          <w:u w:val="single"/>
        </w:rPr>
        <w:t>Mecanismos correctivos para las CCAA</w:t>
      </w:r>
      <w:r w:rsidRPr="002E26E0">
        <w:t>.</w:t>
      </w:r>
    </w:p>
    <w:p w14:paraId="2166C15A" w14:textId="77777777" w:rsidR="00B35EC5" w:rsidRPr="002E26E0" w:rsidRDefault="00B35EC5" w:rsidP="00D31E78">
      <w:pPr>
        <w:pStyle w:val="Nivel3SM"/>
        <w:keepNext/>
      </w:pPr>
      <w:r w:rsidRPr="002E26E0">
        <w:t xml:space="preserve">La Ley imita para las CCAA los mecanismos correctivos comunitarios: </w:t>
      </w:r>
    </w:p>
    <w:p w14:paraId="7E145137" w14:textId="5110A2F3" w:rsidR="00B35EC5" w:rsidRPr="002E26E0" w:rsidRDefault="00B35EC5" w:rsidP="00D31E78">
      <w:pPr>
        <w:pStyle w:val="Nivel4"/>
        <w:ind w:left="1474"/>
      </w:pPr>
      <w:r w:rsidRPr="002E26E0">
        <w:t xml:space="preserve">En caso de incumplimiento de los objetivos de déficit, deuda pública y regla de gasto, la CCAA deberá elaborar un plan de ajuste, y en caso de incumplimiento reiterado, </w:t>
      </w:r>
      <w:r w:rsidRPr="002E26E0">
        <w:lastRenderedPageBreak/>
        <w:t>se le podrá exigir un depósito de hasta el 0,2</w:t>
      </w:r>
      <w:r w:rsidR="004A1CAE">
        <w:t> %</w:t>
      </w:r>
      <w:r w:rsidRPr="002E26E0">
        <w:t xml:space="preserve"> del PIB autonómico, que podría acabar convirtiéndose en multa.</w:t>
      </w:r>
    </w:p>
    <w:p w14:paraId="036CF685" w14:textId="779DDADB" w:rsidR="00B35EC5" w:rsidRPr="00DD36A3" w:rsidRDefault="00B35EC5" w:rsidP="00D31E78">
      <w:pPr>
        <w:pStyle w:val="Nivel3SM"/>
      </w:pPr>
      <w:r w:rsidRPr="002E26E0">
        <w:t>El Gobierno ha utilizado este esquema coercitivo para condicionar la financiación del Fondo de Liquidez Autonómica a la contención del gasto por parte de las Comunidades Autónomas.</w:t>
      </w:r>
    </w:p>
    <w:p w14:paraId="7B64516A" w14:textId="7DE1ED0E" w:rsidR="00B35EC5" w:rsidRPr="002E26E0" w:rsidRDefault="00B35EC5" w:rsidP="00006D4D">
      <w:pPr>
        <w:pStyle w:val="Ttulo6"/>
      </w:pPr>
      <w:bookmarkStart w:id="58" w:name="_Toc151227159"/>
      <w:r w:rsidRPr="002E26E0">
        <w:t>Autoridad Independiente de Responsabilidad Fiscal (2014)</w:t>
      </w:r>
      <w:bookmarkEnd w:id="58"/>
    </w:p>
    <w:p w14:paraId="52943D94" w14:textId="77777777" w:rsidR="00B35EC5" w:rsidRPr="002E26E0" w:rsidRDefault="00B35EC5" w:rsidP="0092023B">
      <w:pPr>
        <w:pStyle w:val="Nivel2SM"/>
        <w:keepNext/>
        <w:spacing w:after="0"/>
      </w:pPr>
      <w:r w:rsidRPr="002E26E0">
        <w:t xml:space="preserve">Tiene su origen en una directiva de la UE de 2011 que señalaba que: “el seguimiento de los objetivos presupuestarios debe basarse en análisis fiables e independientes realizados por órganos independientes respecto de las autoridades presupuestarias de los EM ”: </w:t>
      </w:r>
    </w:p>
    <w:p w14:paraId="1C0B2A2A" w14:textId="77777777" w:rsidR="00B35EC5" w:rsidRPr="002E26E0" w:rsidRDefault="00B35EC5" w:rsidP="0092023B">
      <w:pPr>
        <w:pStyle w:val="Nivel3SM"/>
      </w:pPr>
      <w:r w:rsidRPr="002E26E0">
        <w:t xml:space="preserve">Vela por el cumplimiento efectivo de estabilidad presupuestaria también en consonancia con lo previsto en el artículo 135. </w:t>
      </w:r>
    </w:p>
    <w:p w14:paraId="735D471A" w14:textId="77777777" w:rsidR="00B35EC5" w:rsidRPr="002E26E0" w:rsidRDefault="00B35EC5" w:rsidP="0092023B">
      <w:pPr>
        <w:pStyle w:val="Nivel3SM"/>
      </w:pPr>
      <w:r w:rsidRPr="002E26E0">
        <w:t>Medios:</w:t>
      </w:r>
    </w:p>
    <w:p w14:paraId="5C7D92FA" w14:textId="77777777" w:rsidR="00B35EC5" w:rsidRDefault="00B35EC5" w:rsidP="00B35EC5">
      <w:pPr>
        <w:numPr>
          <w:ilvl w:val="2"/>
          <w:numId w:val="3"/>
        </w:numPr>
        <w:tabs>
          <w:tab w:val="clear" w:pos="2160"/>
        </w:tabs>
      </w:pPr>
      <w:r w:rsidRPr="002E26E0">
        <w:t>Informes: (previsiones macroeconómicas, metodología de cálculo de I y G, planes económico-financieros, etc.).</w:t>
      </w:r>
    </w:p>
    <w:p w14:paraId="34DFE061" w14:textId="4B543EDB" w:rsidR="00B35EC5" w:rsidRDefault="00B35EC5" w:rsidP="00B35EC5">
      <w:pPr>
        <w:numPr>
          <w:ilvl w:val="2"/>
          <w:numId w:val="3"/>
        </w:numPr>
        <w:tabs>
          <w:tab w:val="clear" w:pos="2160"/>
        </w:tabs>
      </w:pPr>
      <w:r w:rsidRPr="002E26E0">
        <w:t>Opiniones sobre la sostenibilidad de las finanzas públicas, seguimiento de la ejecución presupuestaria, etc.</w:t>
      </w:r>
    </w:p>
    <w:p w14:paraId="6F437A4D" w14:textId="5D476D79" w:rsidR="000C7038" w:rsidRPr="00DD36A3" w:rsidRDefault="00B35EC5" w:rsidP="00006D4D">
      <w:pPr>
        <w:pStyle w:val="Ttulo6"/>
      </w:pPr>
      <w:bookmarkStart w:id="59" w:name="_Toc151227160"/>
      <w:r w:rsidRPr="00B35EC5">
        <w:t>Reflejo en la</w:t>
      </w:r>
      <w:r>
        <w:t>s políticas de consolidación</w:t>
      </w:r>
      <w:bookmarkEnd w:id="59"/>
    </w:p>
    <w:p w14:paraId="0AB7BF1B" w14:textId="09506EFC" w:rsidR="00B35EC5" w:rsidRPr="00B35EC5" w:rsidRDefault="00B35EC5" w:rsidP="0092023B">
      <w:pPr>
        <w:pStyle w:val="Nivel2SM"/>
        <w:keepNext/>
        <w:spacing w:after="0"/>
      </w:pPr>
      <w:r>
        <w:t>España ha llevado un importante proceso de consolidación fiscal desde el 2012 hasta la actualidad reduciendo el déficit público desde el 11</w:t>
      </w:r>
      <w:r w:rsidR="004A1CAE">
        <w:t> %</w:t>
      </w:r>
      <w:r>
        <w:t xml:space="preserve"> en 2012 hasta el 2</w:t>
      </w:r>
      <w:r w:rsidR="009E3157">
        <w:t>,</w:t>
      </w:r>
      <w:r>
        <w:t>5</w:t>
      </w:r>
      <w:r w:rsidR="004A1CAE">
        <w:t> %</w:t>
      </w:r>
      <w:r>
        <w:t xml:space="preserve"> actual abandonando así el PDE. No obstante, el nivel de deuda sigue en niveles muy superiores a lo establecido por el PEC:</w:t>
      </w:r>
    </w:p>
    <w:p w14:paraId="462B2E46" w14:textId="771C0DD0" w:rsidR="00B35EC5" w:rsidRDefault="00B35EC5" w:rsidP="00B35EC5">
      <w:pPr>
        <w:numPr>
          <w:ilvl w:val="1"/>
          <w:numId w:val="3"/>
        </w:numPr>
        <w:tabs>
          <w:tab w:val="clear" w:pos="1440"/>
        </w:tabs>
      </w:pPr>
      <w:r>
        <w:rPr>
          <w:u w:val="single"/>
        </w:rPr>
        <w:t>Déficit de las AAPP</w:t>
      </w:r>
      <w:r w:rsidRPr="00A5283D">
        <w:rPr>
          <w:u w:val="single"/>
        </w:rPr>
        <w:t xml:space="preserve"> 2018</w:t>
      </w:r>
      <w:r>
        <w:rPr>
          <w:u w:val="single"/>
        </w:rPr>
        <w:t>: 2</w:t>
      </w:r>
      <w:r w:rsidR="007C540C">
        <w:rPr>
          <w:u w:val="single"/>
        </w:rPr>
        <w:t>,</w:t>
      </w:r>
      <w:r>
        <w:rPr>
          <w:u w:val="single"/>
        </w:rPr>
        <w:t>5</w:t>
      </w:r>
      <w:r w:rsidR="007C540C">
        <w:rPr>
          <w:u w:val="single"/>
        </w:rPr>
        <w:t> %</w:t>
      </w:r>
    </w:p>
    <w:p w14:paraId="019B0781" w14:textId="6E7BAC49" w:rsidR="00B35EC5" w:rsidRDefault="00B35EC5" w:rsidP="00B35EC5">
      <w:pPr>
        <w:numPr>
          <w:ilvl w:val="2"/>
          <w:numId w:val="3"/>
        </w:numPr>
        <w:tabs>
          <w:tab w:val="clear" w:pos="2160"/>
        </w:tabs>
      </w:pPr>
      <w:r>
        <w:t xml:space="preserve">Administración Central: </w:t>
      </w:r>
      <w:r w:rsidR="00006D4D">
        <w:t>−</w:t>
      </w:r>
      <w:r>
        <w:t>1</w:t>
      </w:r>
      <w:r w:rsidR="007C540C">
        <w:t>,</w:t>
      </w:r>
      <w:r>
        <w:t>4</w:t>
      </w:r>
      <w:r w:rsidR="004A1CAE">
        <w:t> %</w:t>
      </w:r>
    </w:p>
    <w:p w14:paraId="337B8BB3" w14:textId="611DCC20" w:rsidR="00B35EC5" w:rsidRDefault="00B35EC5" w:rsidP="00B35EC5">
      <w:pPr>
        <w:numPr>
          <w:ilvl w:val="2"/>
          <w:numId w:val="3"/>
        </w:numPr>
        <w:tabs>
          <w:tab w:val="clear" w:pos="2160"/>
        </w:tabs>
      </w:pPr>
      <w:r>
        <w:t xml:space="preserve">CCAA: </w:t>
      </w:r>
      <w:r w:rsidR="00006D4D">
        <w:t>−</w:t>
      </w:r>
      <w:r>
        <w:t>0</w:t>
      </w:r>
      <w:r w:rsidR="007C540C">
        <w:t>,</w:t>
      </w:r>
      <w:r>
        <w:t>2</w:t>
      </w:r>
      <w:r w:rsidR="004A1CAE">
        <w:t> %</w:t>
      </w:r>
    </w:p>
    <w:p w14:paraId="25AB0F79" w14:textId="36F2C450" w:rsidR="00B35EC5" w:rsidRDefault="00B35EC5" w:rsidP="00B35EC5">
      <w:pPr>
        <w:numPr>
          <w:ilvl w:val="2"/>
          <w:numId w:val="3"/>
        </w:numPr>
        <w:tabs>
          <w:tab w:val="clear" w:pos="2160"/>
        </w:tabs>
      </w:pPr>
      <w:r>
        <w:t>CCLL: +0</w:t>
      </w:r>
      <w:r w:rsidR="007C540C">
        <w:t>,</w:t>
      </w:r>
      <w:r>
        <w:t>5</w:t>
      </w:r>
      <w:r w:rsidR="007C540C">
        <w:t> %</w:t>
      </w:r>
    </w:p>
    <w:p w14:paraId="2E7D51D6" w14:textId="05B5C4FF" w:rsidR="00B35EC5" w:rsidRDefault="00B35EC5" w:rsidP="00B35EC5">
      <w:pPr>
        <w:numPr>
          <w:ilvl w:val="2"/>
          <w:numId w:val="3"/>
        </w:numPr>
        <w:tabs>
          <w:tab w:val="clear" w:pos="2160"/>
        </w:tabs>
      </w:pPr>
      <w:r>
        <w:t xml:space="preserve">SS: </w:t>
      </w:r>
      <w:r w:rsidR="00006D4D">
        <w:t>−</w:t>
      </w:r>
      <w:r>
        <w:t>1</w:t>
      </w:r>
      <w:r w:rsidR="007C540C">
        <w:t>,</w:t>
      </w:r>
      <w:r>
        <w:t>4</w:t>
      </w:r>
      <w:r w:rsidR="004A1CAE">
        <w:t> %</w:t>
      </w:r>
      <w:r>
        <w:t>.</w:t>
      </w:r>
    </w:p>
    <w:p w14:paraId="1A02484F" w14:textId="59FC30F9" w:rsidR="00B35EC5" w:rsidRDefault="00B35EC5" w:rsidP="00DD36A3">
      <w:pPr>
        <w:numPr>
          <w:ilvl w:val="1"/>
          <w:numId w:val="3"/>
        </w:numPr>
      </w:pPr>
      <w:r w:rsidRPr="00F701E2">
        <w:rPr>
          <w:u w:val="single"/>
        </w:rPr>
        <w:t>Deuda de las AAPP 2018</w:t>
      </w:r>
      <w:r>
        <w:rPr>
          <w:u w:val="single"/>
        </w:rPr>
        <w:t>: 97</w:t>
      </w:r>
      <w:r w:rsidR="00DD36A3">
        <w:rPr>
          <w:u w:val="single"/>
        </w:rPr>
        <w:t>,</w:t>
      </w:r>
      <w:r>
        <w:rPr>
          <w:u w:val="single"/>
        </w:rPr>
        <w:t>1</w:t>
      </w:r>
      <w:r w:rsidR="004A1CAE">
        <w:rPr>
          <w:u w:val="single"/>
        </w:rPr>
        <w:t> %</w:t>
      </w:r>
    </w:p>
    <w:p w14:paraId="649CAF37" w14:textId="1B8DAC3E" w:rsidR="00B35EC5" w:rsidRDefault="00B35EC5" w:rsidP="00CD3698">
      <w:pPr>
        <w:pStyle w:val="Nivel2SM"/>
        <w:keepNext/>
        <w:spacing w:after="0"/>
      </w:pPr>
      <w:r>
        <w:t>Esta reducción de déficit y deuda se espera que continúe a lo largo de los siguientes años. De acuerdo con el Programa de Estabilidad 2019</w:t>
      </w:r>
      <w:r w:rsidR="009E3E56">
        <w:t>-</w:t>
      </w:r>
      <w:r>
        <w:t>2022 la senda vendría dada por:</w:t>
      </w:r>
    </w:p>
    <w:tbl>
      <w:tblPr>
        <w:tblW w:w="8660" w:type="dxa"/>
        <w:jc w:val="center"/>
        <w:tblLook w:val="04A0" w:firstRow="1" w:lastRow="0" w:firstColumn="1" w:lastColumn="0" w:noHBand="0" w:noVBand="1"/>
      </w:tblPr>
      <w:tblGrid>
        <w:gridCol w:w="2660"/>
        <w:gridCol w:w="1200"/>
        <w:gridCol w:w="1200"/>
        <w:gridCol w:w="1200"/>
        <w:gridCol w:w="1200"/>
        <w:gridCol w:w="1200"/>
      </w:tblGrid>
      <w:tr w:rsidR="00B35EC5" w:rsidRPr="00AF3C99" w14:paraId="4AC6B5CA" w14:textId="77777777" w:rsidTr="00AF3C99">
        <w:trPr>
          <w:trHeight w:val="300"/>
          <w:jc w:val="center"/>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D5490" w14:textId="77777777" w:rsidR="00B35EC5" w:rsidRPr="00AF3C99" w:rsidRDefault="00B35EC5" w:rsidP="00AF3C99">
            <w:pPr>
              <w:spacing w:after="0"/>
              <w:rPr>
                <w:rFonts w:cs="Calibri"/>
                <w:color w:val="000000"/>
              </w:rPr>
            </w:pPr>
            <w:r w:rsidRPr="00AF3C99">
              <w:rPr>
                <w:rFonts w:cs="Calibri"/>
                <w:color w:val="000000"/>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D41EE67" w14:textId="77777777" w:rsidR="00B35EC5" w:rsidRPr="00AF3C99" w:rsidRDefault="00B35EC5" w:rsidP="00AF3C99">
            <w:pPr>
              <w:spacing w:after="0"/>
              <w:jc w:val="right"/>
              <w:rPr>
                <w:rFonts w:cs="Calibri"/>
                <w:color w:val="000000"/>
              </w:rPr>
            </w:pPr>
            <w:r w:rsidRPr="00AF3C99">
              <w:rPr>
                <w:rFonts w:cs="Calibri"/>
                <w:color w:val="000000"/>
              </w:rPr>
              <w:t>2018</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1563DA4F" w14:textId="77777777" w:rsidR="00B35EC5" w:rsidRPr="00AF3C99" w:rsidRDefault="00B35EC5" w:rsidP="00AF3C99">
            <w:pPr>
              <w:spacing w:after="0"/>
              <w:jc w:val="right"/>
              <w:rPr>
                <w:rFonts w:cs="Calibri"/>
                <w:color w:val="000000"/>
              </w:rPr>
            </w:pPr>
            <w:r w:rsidRPr="00AF3C99">
              <w:rPr>
                <w:rFonts w:cs="Calibri"/>
                <w:color w:val="000000"/>
              </w:rPr>
              <w:t>2019</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32BAC9F7" w14:textId="77777777" w:rsidR="00B35EC5" w:rsidRPr="00AF3C99" w:rsidRDefault="00B35EC5" w:rsidP="00AF3C99">
            <w:pPr>
              <w:spacing w:after="0"/>
              <w:jc w:val="right"/>
              <w:rPr>
                <w:rFonts w:cs="Calibri"/>
                <w:color w:val="000000"/>
              </w:rPr>
            </w:pPr>
            <w:r w:rsidRPr="00AF3C99">
              <w:rPr>
                <w:rFonts w:cs="Calibri"/>
                <w:color w:val="000000"/>
              </w:rPr>
              <w:t>2020</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42E2C439" w14:textId="77777777" w:rsidR="00B35EC5" w:rsidRPr="00AF3C99" w:rsidRDefault="00B35EC5" w:rsidP="00AF3C99">
            <w:pPr>
              <w:spacing w:after="0"/>
              <w:jc w:val="right"/>
              <w:rPr>
                <w:rFonts w:cs="Calibri"/>
                <w:color w:val="000000"/>
              </w:rPr>
            </w:pPr>
            <w:r w:rsidRPr="00AF3C99">
              <w:rPr>
                <w:rFonts w:cs="Calibri"/>
                <w:color w:val="000000"/>
              </w:rPr>
              <w:t>2021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108EA117" w14:textId="77777777" w:rsidR="00B35EC5" w:rsidRPr="00AF3C99" w:rsidRDefault="00B35EC5" w:rsidP="00AF3C99">
            <w:pPr>
              <w:spacing w:after="0"/>
              <w:jc w:val="right"/>
              <w:rPr>
                <w:rFonts w:cs="Calibri"/>
                <w:color w:val="000000"/>
              </w:rPr>
            </w:pPr>
            <w:r w:rsidRPr="00AF3C99">
              <w:rPr>
                <w:rFonts w:cs="Calibri"/>
                <w:color w:val="000000"/>
              </w:rPr>
              <w:t>2022</w:t>
            </w:r>
          </w:p>
        </w:tc>
      </w:tr>
      <w:tr w:rsidR="00B35EC5" w:rsidRPr="00AF3C99" w14:paraId="7E79296C" w14:textId="77777777" w:rsidTr="00AF3C99">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438D655" w14:textId="1D03DE8C" w:rsidR="00B35EC5" w:rsidRPr="00AF3C99" w:rsidRDefault="00B35EC5" w:rsidP="00AF3C99">
            <w:pPr>
              <w:spacing w:after="0"/>
              <w:rPr>
                <w:rFonts w:cs="Calibri"/>
                <w:color w:val="000000"/>
                <w:spacing w:val="-2"/>
              </w:rPr>
            </w:pPr>
            <w:r w:rsidRPr="00AF3C99">
              <w:rPr>
                <w:rFonts w:cs="Calibri"/>
                <w:color w:val="000000"/>
                <w:spacing w:val="-2"/>
              </w:rPr>
              <w:t>Cap./</w:t>
            </w:r>
            <w:proofErr w:type="spellStart"/>
            <w:r w:rsidRPr="00AF3C99">
              <w:rPr>
                <w:rFonts w:cs="Calibri"/>
                <w:color w:val="000000"/>
                <w:spacing w:val="-2"/>
              </w:rPr>
              <w:t>Nec</w:t>
            </w:r>
            <w:proofErr w:type="spellEnd"/>
            <w:r w:rsidRPr="00AF3C99">
              <w:rPr>
                <w:rFonts w:cs="Calibri"/>
                <w:color w:val="000000"/>
                <w:spacing w:val="-2"/>
              </w:rPr>
              <w:t>.</w:t>
            </w:r>
            <w:r w:rsidR="00AF3C99" w:rsidRPr="00AF3C99">
              <w:rPr>
                <w:rFonts w:cs="Calibri"/>
                <w:color w:val="000000"/>
                <w:spacing w:val="-2"/>
              </w:rPr>
              <w:t xml:space="preserve"> d</w:t>
            </w:r>
            <w:r w:rsidRPr="00AF3C99">
              <w:rPr>
                <w:rFonts w:cs="Calibri"/>
                <w:color w:val="000000"/>
                <w:spacing w:val="-2"/>
              </w:rPr>
              <w:t>e financiación</w:t>
            </w:r>
          </w:p>
        </w:tc>
        <w:tc>
          <w:tcPr>
            <w:tcW w:w="1200" w:type="dxa"/>
            <w:tcBorders>
              <w:top w:val="nil"/>
              <w:left w:val="nil"/>
              <w:bottom w:val="single" w:sz="4" w:space="0" w:color="auto"/>
              <w:right w:val="single" w:sz="4" w:space="0" w:color="auto"/>
            </w:tcBorders>
            <w:shd w:val="clear" w:color="auto" w:fill="auto"/>
            <w:noWrap/>
            <w:vAlign w:val="bottom"/>
            <w:hideMark/>
          </w:tcPr>
          <w:p w14:paraId="53834D73" w14:textId="580A71E8" w:rsidR="00B35EC5" w:rsidRPr="00AF3C99" w:rsidRDefault="00CD3698" w:rsidP="00AF3C99">
            <w:pPr>
              <w:spacing w:after="0"/>
              <w:jc w:val="right"/>
              <w:rPr>
                <w:rFonts w:cs="Calibri"/>
                <w:color w:val="000000"/>
              </w:rPr>
            </w:pPr>
            <w:r>
              <w:rPr>
                <w:rFonts w:cs="Calibri"/>
                <w:color w:val="000000"/>
              </w:rPr>
              <w:t>−</w:t>
            </w:r>
            <w:r w:rsidR="00B35EC5" w:rsidRPr="00AF3C99">
              <w:rPr>
                <w:rFonts w:cs="Calibri"/>
                <w:color w:val="000000"/>
              </w:rPr>
              <w:t>2</w:t>
            </w:r>
            <w:r>
              <w:rPr>
                <w:rFonts w:cs="Calibri"/>
                <w:color w:val="000000"/>
              </w:rPr>
              <w:t>,</w:t>
            </w:r>
            <w:r w:rsidR="00B35EC5" w:rsidRPr="00AF3C99">
              <w:rPr>
                <w:rFonts w:cs="Calibri"/>
                <w:color w:val="000000"/>
              </w:rPr>
              <w:t>5</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6F3F150F" w14:textId="244DB880" w:rsidR="00B35EC5" w:rsidRPr="00AF3C99" w:rsidRDefault="00CD3698" w:rsidP="00AF3C99">
            <w:pPr>
              <w:spacing w:after="0"/>
              <w:jc w:val="right"/>
              <w:rPr>
                <w:rFonts w:cs="Calibri"/>
                <w:color w:val="000000"/>
              </w:rPr>
            </w:pPr>
            <w:r>
              <w:rPr>
                <w:rFonts w:cs="Calibri"/>
                <w:color w:val="000000"/>
              </w:rPr>
              <w:t>−</w:t>
            </w:r>
            <w:r w:rsidR="00B35EC5" w:rsidRPr="00AF3C99">
              <w:rPr>
                <w:rFonts w:cs="Calibri"/>
                <w:color w:val="000000"/>
              </w:rPr>
              <w:t>2</w:t>
            </w:r>
            <w:r>
              <w:rPr>
                <w:rFonts w:cs="Calibri"/>
                <w:color w:val="000000"/>
              </w:rPr>
              <w:t>,</w:t>
            </w:r>
            <w:r w:rsidR="00B35EC5" w:rsidRPr="00AF3C99">
              <w:rPr>
                <w:rFonts w:cs="Calibri"/>
                <w:color w:val="000000"/>
              </w:rPr>
              <w:t>0</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6217C9F2" w14:textId="01FD421A" w:rsidR="00B35EC5" w:rsidRPr="00AF3C99" w:rsidRDefault="00CD3698" w:rsidP="00AF3C99">
            <w:pPr>
              <w:spacing w:after="0"/>
              <w:jc w:val="right"/>
              <w:rPr>
                <w:rFonts w:cs="Calibri"/>
                <w:color w:val="000000"/>
              </w:rPr>
            </w:pPr>
            <w:r>
              <w:rPr>
                <w:rFonts w:cs="Calibri"/>
                <w:color w:val="000000"/>
              </w:rPr>
              <w:t>−</w:t>
            </w:r>
            <w:r w:rsidR="00B35EC5" w:rsidRPr="00AF3C99">
              <w:rPr>
                <w:rFonts w:cs="Calibri"/>
                <w:color w:val="000000"/>
              </w:rPr>
              <w:t>1</w:t>
            </w:r>
            <w:r>
              <w:rPr>
                <w:rFonts w:cs="Calibri"/>
                <w:color w:val="000000"/>
              </w:rPr>
              <w:t>,</w:t>
            </w:r>
            <w:r w:rsidR="00B35EC5" w:rsidRPr="00AF3C99">
              <w:rPr>
                <w:rFonts w:cs="Calibri"/>
                <w:color w:val="000000"/>
              </w:rPr>
              <w:t>1</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45AB3F87" w14:textId="4E4A6229" w:rsidR="00B35EC5" w:rsidRPr="00AF3C99" w:rsidRDefault="00CD3698" w:rsidP="00AF3C99">
            <w:pPr>
              <w:spacing w:after="0"/>
              <w:jc w:val="right"/>
              <w:rPr>
                <w:rFonts w:cs="Calibri"/>
                <w:color w:val="000000"/>
              </w:rPr>
            </w:pPr>
            <w:r>
              <w:rPr>
                <w:rFonts w:cs="Calibri"/>
                <w:color w:val="000000"/>
              </w:rPr>
              <w:t>−</w:t>
            </w:r>
            <w:r w:rsidR="00B35EC5" w:rsidRPr="00AF3C99">
              <w:rPr>
                <w:rFonts w:cs="Calibri"/>
                <w:color w:val="000000"/>
              </w:rPr>
              <w:t>0</w:t>
            </w:r>
            <w:r>
              <w:rPr>
                <w:rFonts w:cs="Calibri"/>
                <w:color w:val="000000"/>
              </w:rPr>
              <w:t>,</w:t>
            </w:r>
            <w:r w:rsidR="00B35EC5" w:rsidRPr="00AF3C99">
              <w:rPr>
                <w:rFonts w:cs="Calibri"/>
                <w:color w:val="000000"/>
              </w:rPr>
              <w:t>4</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55B0E61F" w14:textId="44087005" w:rsidR="00B35EC5" w:rsidRPr="00AF3C99" w:rsidRDefault="00B35EC5" w:rsidP="00AF3C99">
            <w:pPr>
              <w:spacing w:after="0"/>
              <w:jc w:val="right"/>
              <w:rPr>
                <w:rFonts w:cs="Calibri"/>
                <w:color w:val="000000"/>
              </w:rPr>
            </w:pPr>
            <w:r w:rsidRPr="00AF3C99">
              <w:rPr>
                <w:rFonts w:cs="Calibri"/>
                <w:color w:val="000000"/>
              </w:rPr>
              <w:t>0</w:t>
            </w:r>
            <w:r w:rsidR="00CD3698">
              <w:rPr>
                <w:rFonts w:cs="Calibri"/>
                <w:color w:val="000000"/>
              </w:rPr>
              <w:t>,</w:t>
            </w:r>
            <w:r w:rsidRPr="00AF3C99">
              <w:rPr>
                <w:rFonts w:cs="Calibri"/>
                <w:color w:val="000000"/>
              </w:rPr>
              <w:t>0</w:t>
            </w:r>
            <w:r w:rsidR="004A1CAE" w:rsidRPr="00AF3C99">
              <w:rPr>
                <w:rFonts w:cs="Calibri"/>
                <w:color w:val="000000"/>
              </w:rPr>
              <w:t> %</w:t>
            </w:r>
          </w:p>
        </w:tc>
      </w:tr>
      <w:tr w:rsidR="00B35EC5" w:rsidRPr="00AF3C99" w14:paraId="210E9B79" w14:textId="77777777" w:rsidTr="00AF3C99">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936FF3C" w14:textId="77777777" w:rsidR="00B35EC5" w:rsidRPr="00AF3C99" w:rsidRDefault="00B35EC5" w:rsidP="00AF3C99">
            <w:pPr>
              <w:spacing w:after="0"/>
              <w:rPr>
                <w:rFonts w:cs="Calibri"/>
                <w:color w:val="000000"/>
              </w:rPr>
            </w:pPr>
            <w:r w:rsidRPr="00AF3C99">
              <w:rPr>
                <w:rFonts w:cs="Calibri"/>
                <w:color w:val="000000"/>
              </w:rPr>
              <w:t>Deuda Pública</w:t>
            </w:r>
          </w:p>
        </w:tc>
        <w:tc>
          <w:tcPr>
            <w:tcW w:w="1200" w:type="dxa"/>
            <w:tcBorders>
              <w:top w:val="nil"/>
              <w:left w:val="nil"/>
              <w:bottom w:val="single" w:sz="4" w:space="0" w:color="auto"/>
              <w:right w:val="single" w:sz="4" w:space="0" w:color="auto"/>
            </w:tcBorders>
            <w:shd w:val="clear" w:color="auto" w:fill="auto"/>
            <w:noWrap/>
            <w:vAlign w:val="bottom"/>
            <w:hideMark/>
          </w:tcPr>
          <w:p w14:paraId="1DEA62F6" w14:textId="2B7A027D" w:rsidR="00B35EC5" w:rsidRPr="00AF3C99" w:rsidRDefault="00B35EC5" w:rsidP="00AF3C99">
            <w:pPr>
              <w:spacing w:after="0"/>
              <w:jc w:val="right"/>
              <w:rPr>
                <w:rFonts w:cs="Calibri"/>
                <w:color w:val="000000"/>
              </w:rPr>
            </w:pPr>
            <w:r w:rsidRPr="00AF3C99">
              <w:rPr>
                <w:rFonts w:cs="Calibri"/>
                <w:color w:val="000000"/>
              </w:rPr>
              <w:t>97</w:t>
            </w:r>
            <w:r w:rsidR="00CD3698">
              <w:rPr>
                <w:rFonts w:cs="Calibri"/>
                <w:color w:val="000000"/>
              </w:rPr>
              <w:t>,</w:t>
            </w:r>
            <w:r w:rsidRPr="00AF3C99">
              <w:rPr>
                <w:rFonts w:cs="Calibri"/>
                <w:color w:val="000000"/>
              </w:rPr>
              <w:t>1</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43E339C1" w14:textId="3076A119" w:rsidR="00B35EC5" w:rsidRPr="00AF3C99" w:rsidRDefault="00B35EC5" w:rsidP="00AF3C99">
            <w:pPr>
              <w:spacing w:after="0"/>
              <w:jc w:val="right"/>
              <w:rPr>
                <w:rFonts w:cs="Calibri"/>
                <w:color w:val="000000"/>
              </w:rPr>
            </w:pPr>
            <w:r w:rsidRPr="00AF3C99">
              <w:rPr>
                <w:rFonts w:cs="Calibri"/>
                <w:color w:val="000000"/>
              </w:rPr>
              <w:t>95</w:t>
            </w:r>
            <w:r w:rsidR="00CD3698">
              <w:rPr>
                <w:rFonts w:cs="Calibri"/>
                <w:color w:val="000000"/>
              </w:rPr>
              <w:t>,</w:t>
            </w:r>
            <w:r w:rsidRPr="00AF3C99">
              <w:rPr>
                <w:rFonts w:cs="Calibri"/>
                <w:color w:val="000000"/>
              </w:rPr>
              <w:t>8</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7F2B7867" w14:textId="4A7ABD5C" w:rsidR="00B35EC5" w:rsidRPr="00AF3C99" w:rsidRDefault="00B35EC5" w:rsidP="00AF3C99">
            <w:pPr>
              <w:spacing w:after="0"/>
              <w:jc w:val="right"/>
              <w:rPr>
                <w:rFonts w:cs="Calibri"/>
                <w:color w:val="000000"/>
              </w:rPr>
            </w:pPr>
            <w:r w:rsidRPr="00AF3C99">
              <w:rPr>
                <w:rFonts w:cs="Calibri"/>
                <w:color w:val="000000"/>
              </w:rPr>
              <w:t>94</w:t>
            </w:r>
            <w:r w:rsidR="00CD3698">
              <w:rPr>
                <w:rFonts w:cs="Calibri"/>
                <w:color w:val="000000"/>
              </w:rPr>
              <w:t>,</w:t>
            </w:r>
            <w:r w:rsidRPr="00AF3C99">
              <w:rPr>
                <w:rFonts w:cs="Calibri"/>
                <w:color w:val="000000"/>
              </w:rPr>
              <w:t>0</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41B6F8B6" w14:textId="420F70BF" w:rsidR="00B35EC5" w:rsidRPr="00AF3C99" w:rsidRDefault="00B35EC5" w:rsidP="00AF3C99">
            <w:pPr>
              <w:spacing w:after="0"/>
              <w:jc w:val="right"/>
              <w:rPr>
                <w:rFonts w:cs="Calibri"/>
                <w:color w:val="000000"/>
              </w:rPr>
            </w:pPr>
            <w:r w:rsidRPr="00AF3C99">
              <w:rPr>
                <w:rFonts w:cs="Calibri"/>
                <w:color w:val="000000"/>
              </w:rPr>
              <w:t>91</w:t>
            </w:r>
            <w:r w:rsidR="00CD3698">
              <w:rPr>
                <w:rFonts w:cs="Calibri"/>
                <w:color w:val="000000"/>
              </w:rPr>
              <w:t>,</w:t>
            </w:r>
            <w:r w:rsidRPr="00AF3C99">
              <w:rPr>
                <w:rFonts w:cs="Calibri"/>
                <w:color w:val="000000"/>
              </w:rPr>
              <w:t>4</w:t>
            </w:r>
            <w:r w:rsidR="004A1CAE" w:rsidRPr="00AF3C99">
              <w:rPr>
                <w:rFonts w:cs="Calibri"/>
                <w:color w:val="000000"/>
              </w:rPr>
              <w:t> %</w:t>
            </w:r>
          </w:p>
        </w:tc>
        <w:tc>
          <w:tcPr>
            <w:tcW w:w="1200" w:type="dxa"/>
            <w:tcBorders>
              <w:top w:val="nil"/>
              <w:left w:val="nil"/>
              <w:bottom w:val="single" w:sz="4" w:space="0" w:color="auto"/>
              <w:right w:val="single" w:sz="4" w:space="0" w:color="auto"/>
            </w:tcBorders>
            <w:shd w:val="clear" w:color="auto" w:fill="auto"/>
            <w:noWrap/>
            <w:vAlign w:val="bottom"/>
            <w:hideMark/>
          </w:tcPr>
          <w:p w14:paraId="23702A2C" w14:textId="2961809A" w:rsidR="00B35EC5" w:rsidRPr="00AF3C99" w:rsidRDefault="00B35EC5" w:rsidP="00AF3C99">
            <w:pPr>
              <w:spacing w:after="0"/>
              <w:jc w:val="right"/>
              <w:rPr>
                <w:rFonts w:cs="Calibri"/>
                <w:color w:val="000000"/>
              </w:rPr>
            </w:pPr>
            <w:r w:rsidRPr="00AF3C99">
              <w:rPr>
                <w:rFonts w:cs="Calibri"/>
                <w:color w:val="000000"/>
              </w:rPr>
              <w:t>88</w:t>
            </w:r>
            <w:r w:rsidR="00CD3698">
              <w:rPr>
                <w:rFonts w:cs="Calibri"/>
                <w:color w:val="000000"/>
              </w:rPr>
              <w:t>,</w:t>
            </w:r>
            <w:r w:rsidRPr="00AF3C99">
              <w:rPr>
                <w:rFonts w:cs="Calibri"/>
                <w:color w:val="000000"/>
              </w:rPr>
              <w:t>7</w:t>
            </w:r>
            <w:r w:rsidR="004A1CAE" w:rsidRPr="00AF3C99">
              <w:rPr>
                <w:rFonts w:cs="Calibri"/>
                <w:color w:val="000000"/>
              </w:rPr>
              <w:t> %</w:t>
            </w:r>
          </w:p>
        </w:tc>
      </w:tr>
    </w:tbl>
    <w:p w14:paraId="6F2B1613" w14:textId="656539B5" w:rsidR="00B35EC5" w:rsidRDefault="00B35EC5" w:rsidP="009E3E56">
      <w:pPr>
        <w:pStyle w:val="Nivel2SM"/>
        <w:keepNext/>
        <w:spacing w:after="0"/>
      </w:pPr>
      <w:r>
        <w:t>En términos de ingresos y gastos el gobierno prevé para el marco 2019 – 2022:</w:t>
      </w:r>
    </w:p>
    <w:p w14:paraId="62FAC4D2" w14:textId="2880E4F3" w:rsidR="00B35EC5" w:rsidRDefault="00B35EC5" w:rsidP="009E3E56">
      <w:pPr>
        <w:pStyle w:val="Nivel3SM"/>
        <w:keepNext/>
      </w:pPr>
      <w:r w:rsidRPr="009E3E56">
        <w:rPr>
          <w:i/>
          <w:iCs/>
        </w:rPr>
        <w:t>Ingresos</w:t>
      </w:r>
      <w:r>
        <w:t>:</w:t>
      </w:r>
    </w:p>
    <w:p w14:paraId="495D981C" w14:textId="228C8A34" w:rsidR="00B35EC5" w:rsidRDefault="00B35EC5" w:rsidP="009E3E56">
      <w:pPr>
        <w:pStyle w:val="Nivel4"/>
        <w:ind w:left="1474"/>
      </w:pPr>
      <w:r>
        <w:t>Aumento desde el 39</w:t>
      </w:r>
      <w:r w:rsidR="004A1CAE">
        <w:t> %</w:t>
      </w:r>
      <w:r>
        <w:t xml:space="preserve"> hasta un </w:t>
      </w:r>
      <w:r w:rsidRPr="00EF4D2E">
        <w:rPr>
          <w:highlight w:val="yellow"/>
        </w:rPr>
        <w:t>40</w:t>
      </w:r>
      <w:r w:rsidR="00AF3C99">
        <w:rPr>
          <w:highlight w:val="yellow"/>
        </w:rPr>
        <w:t>,</w:t>
      </w:r>
      <w:r w:rsidRPr="00EF4D2E">
        <w:rPr>
          <w:highlight w:val="yellow"/>
        </w:rPr>
        <w:t>7</w:t>
      </w:r>
      <w:r w:rsidR="004A1CAE">
        <w:rPr>
          <w:highlight w:val="yellow"/>
        </w:rPr>
        <w:t> %</w:t>
      </w:r>
      <w:r>
        <w:t xml:space="preserve"> en 2022.</w:t>
      </w:r>
    </w:p>
    <w:p w14:paraId="26A152A0" w14:textId="049EBA25" w:rsidR="00B35EC5" w:rsidRDefault="00B35EC5" w:rsidP="009E3E56">
      <w:pPr>
        <w:pStyle w:val="Nivel4"/>
        <w:ind w:left="1474"/>
      </w:pPr>
      <w:r>
        <w:t>Aumento de la presión fiscal desde un 35</w:t>
      </w:r>
      <w:r w:rsidR="004A1CAE">
        <w:t> %</w:t>
      </w:r>
      <w:r>
        <w:t xml:space="preserve"> hasta un </w:t>
      </w:r>
      <w:r w:rsidRPr="00EF4D2E">
        <w:rPr>
          <w:highlight w:val="yellow"/>
        </w:rPr>
        <w:t>37</w:t>
      </w:r>
      <w:r w:rsidR="004A1CAE">
        <w:rPr>
          <w:highlight w:val="yellow"/>
        </w:rPr>
        <w:t> %</w:t>
      </w:r>
      <w:r>
        <w:t>.</w:t>
      </w:r>
    </w:p>
    <w:p w14:paraId="15EB7F8C" w14:textId="3014D057" w:rsidR="00B35EC5" w:rsidRDefault="00B35EC5" w:rsidP="009E3E56">
      <w:pPr>
        <w:pStyle w:val="Nivel4"/>
        <w:keepNext/>
        <w:ind w:left="1474"/>
      </w:pPr>
      <w:r>
        <w:t>Esta mayor recaudación provendrá principalmente de:</w:t>
      </w:r>
    </w:p>
    <w:p w14:paraId="0688D2EA" w14:textId="49495BD8" w:rsidR="00B35EC5" w:rsidRDefault="00B35EC5" w:rsidP="009E3E56">
      <w:pPr>
        <w:pStyle w:val="Nivel5"/>
        <w:ind w:left="1871"/>
      </w:pPr>
      <w:r>
        <w:t xml:space="preserve">Aumento </w:t>
      </w:r>
      <w:r w:rsidRPr="00605EDC">
        <w:t>del Impuesto sobre Sociedades</w:t>
      </w:r>
      <w:r>
        <w:t xml:space="preserve"> para las grandes empresas (reducciones para </w:t>
      </w:r>
      <w:r w:rsidR="00AF3C99">
        <w:t>pyme</w:t>
      </w:r>
      <w:r>
        <w:t>s).</w:t>
      </w:r>
    </w:p>
    <w:p w14:paraId="4A0FFF33" w14:textId="3973F1EC" w:rsidR="00B35EC5" w:rsidRDefault="00B35EC5" w:rsidP="009E3E56">
      <w:pPr>
        <w:pStyle w:val="Nivel5"/>
        <w:ind w:left="1871"/>
      </w:pPr>
      <w:r>
        <w:t>A</w:t>
      </w:r>
      <w:r w:rsidRPr="00605EDC">
        <w:t>umento selectivo del IRPF</w:t>
      </w:r>
      <w:r>
        <w:t xml:space="preserve"> para las rentas más altas.</w:t>
      </w:r>
    </w:p>
    <w:p w14:paraId="62BE1719" w14:textId="4C024688" w:rsidR="00B35EC5" w:rsidRDefault="00B35EC5" w:rsidP="009E3E56">
      <w:pPr>
        <w:pStyle w:val="Nivel5"/>
        <w:ind w:left="1871"/>
      </w:pPr>
      <w:r>
        <w:t>Aumento en el Impuesto sobre el Patrimonio.</w:t>
      </w:r>
    </w:p>
    <w:p w14:paraId="3189168A" w14:textId="77777777" w:rsidR="00B35EC5" w:rsidRDefault="00B35EC5" w:rsidP="009E3E56">
      <w:pPr>
        <w:pStyle w:val="Nivel5"/>
        <w:ind w:left="1871"/>
      </w:pPr>
      <w:r>
        <w:t>Introducción de nuevos impuestos: Ecotasa (fiscalidad verde), tasa Google, tasa Tobin.</w:t>
      </w:r>
    </w:p>
    <w:p w14:paraId="73327AA8" w14:textId="0B340582" w:rsidR="00B35EC5" w:rsidRDefault="00B35EC5" w:rsidP="009E3E56">
      <w:pPr>
        <w:pStyle w:val="Nivel5"/>
        <w:ind w:left="1871"/>
      </w:pPr>
      <w:r>
        <w:t>Lucha contra el fraude.</w:t>
      </w:r>
    </w:p>
    <w:p w14:paraId="729866A8" w14:textId="77777777" w:rsidR="00B35EC5" w:rsidRDefault="00B35EC5" w:rsidP="009E3E56">
      <w:pPr>
        <w:pStyle w:val="Nivel3SM"/>
        <w:keepNext/>
      </w:pPr>
      <w:r w:rsidRPr="009E3E56">
        <w:rPr>
          <w:i/>
          <w:iCs/>
        </w:rPr>
        <w:lastRenderedPageBreak/>
        <w:t>Gastos</w:t>
      </w:r>
      <w:r>
        <w:t>:</w:t>
      </w:r>
    </w:p>
    <w:p w14:paraId="5BA71CF6" w14:textId="78B3A4E4" w:rsidR="00B35EC5" w:rsidRDefault="00B35EC5" w:rsidP="009E3E56">
      <w:pPr>
        <w:pStyle w:val="Nivel4"/>
        <w:ind w:left="1474"/>
      </w:pPr>
      <w:r>
        <w:t xml:space="preserve">Reducción de gastos desde el </w:t>
      </w:r>
      <w:r w:rsidRPr="00EF4D2E">
        <w:rPr>
          <w:highlight w:val="yellow"/>
        </w:rPr>
        <w:t>41</w:t>
      </w:r>
      <w:r w:rsidR="009E3E56">
        <w:rPr>
          <w:highlight w:val="yellow"/>
        </w:rPr>
        <w:t>,</w:t>
      </w:r>
      <w:r w:rsidRPr="00A6734D">
        <w:rPr>
          <w:highlight w:val="yellow"/>
        </w:rPr>
        <w:t>3</w:t>
      </w:r>
      <w:r w:rsidR="00A6734D" w:rsidRPr="00A6734D">
        <w:rPr>
          <w:highlight w:val="yellow"/>
        </w:rPr>
        <w:t> %</w:t>
      </w:r>
      <w:r>
        <w:t xml:space="preserve"> hasta un </w:t>
      </w:r>
      <w:r w:rsidRPr="00EF4D2E">
        <w:rPr>
          <w:highlight w:val="yellow"/>
        </w:rPr>
        <w:t>40</w:t>
      </w:r>
      <w:r w:rsidR="009E3E56">
        <w:rPr>
          <w:highlight w:val="yellow"/>
        </w:rPr>
        <w:t>,</w:t>
      </w:r>
      <w:r w:rsidRPr="00EF4D2E">
        <w:rPr>
          <w:highlight w:val="yellow"/>
        </w:rPr>
        <w:t>7</w:t>
      </w:r>
      <w:r w:rsidR="004A1CAE">
        <w:rPr>
          <w:highlight w:val="yellow"/>
        </w:rPr>
        <w:t> %</w:t>
      </w:r>
      <w:r>
        <w:t>.</w:t>
      </w:r>
    </w:p>
    <w:p w14:paraId="350EF2CB" w14:textId="2C0FE43C" w:rsidR="00B35EC5" w:rsidRDefault="00B35EC5" w:rsidP="009E3E56">
      <w:pPr>
        <w:pStyle w:val="Nivel4"/>
        <w:keepNext/>
        <w:ind w:left="1474"/>
      </w:pPr>
      <w:r>
        <w:t>Esta disminución del gasto provendrá principalmente de:</w:t>
      </w:r>
    </w:p>
    <w:p w14:paraId="19851F07" w14:textId="77777777" w:rsidR="00B35EC5" w:rsidRDefault="00B35EC5" w:rsidP="009E3E56">
      <w:pPr>
        <w:pStyle w:val="Nivel5"/>
        <w:ind w:left="1871"/>
      </w:pPr>
      <w:r>
        <w:t>Reducción del gasto de intereses.</w:t>
      </w:r>
    </w:p>
    <w:p w14:paraId="23041BBF" w14:textId="65C40565" w:rsidR="00B35EC5" w:rsidRDefault="00B35EC5" w:rsidP="009E3E56">
      <w:pPr>
        <w:pStyle w:val="Nivel5"/>
        <w:ind w:left="1871"/>
      </w:pPr>
      <w:r>
        <w:t>Reducción de las transferencias de capital.</w:t>
      </w:r>
    </w:p>
    <w:p w14:paraId="6FA93DCF" w14:textId="77777777" w:rsidR="00B35EC5" w:rsidRDefault="00B35EC5" w:rsidP="009E3E56">
      <w:pPr>
        <w:pStyle w:val="Nivel4"/>
        <w:ind w:left="1474"/>
      </w:pPr>
      <w:r>
        <w:t>Las partidas de FBKF junto con las prestaciones sociales permanecerán constantes y aumentarán respectivamente.</w:t>
      </w:r>
    </w:p>
    <w:p w14:paraId="3A4A486B" w14:textId="0FC00803" w:rsidR="00337312" w:rsidRPr="00A6734D" w:rsidRDefault="002B3947" w:rsidP="00A71EB8">
      <w:pPr>
        <w:pStyle w:val="Ttulo3"/>
      </w:pPr>
      <w:bookmarkStart w:id="60" w:name="_Toc151227161"/>
      <w:r>
        <w:t>Política económica</w:t>
      </w:r>
      <w:r w:rsidR="00B35EC5">
        <w:t xml:space="preserve">: </w:t>
      </w:r>
      <w:r w:rsidR="00B35EC5" w:rsidRPr="003C5A40">
        <w:t>Temática de la política económica</w:t>
      </w:r>
      <w:bookmarkEnd w:id="60"/>
    </w:p>
    <w:p w14:paraId="135066E9" w14:textId="01328036" w:rsidR="00B35EC5" w:rsidRPr="00A6734D" w:rsidRDefault="00B35EC5" w:rsidP="00006D4D">
      <w:pPr>
        <w:pStyle w:val="Ttulo6"/>
        <w:spacing w:before="0"/>
      </w:pPr>
      <w:bookmarkStart w:id="61" w:name="_Toc151227162"/>
      <w:r w:rsidRPr="00B35EC5">
        <w:t>Introducción</w:t>
      </w:r>
      <w:bookmarkEnd w:id="61"/>
    </w:p>
    <w:p w14:paraId="0E88B7D0" w14:textId="2D55CF03" w:rsidR="007432CA" w:rsidRPr="007432CA" w:rsidRDefault="007432CA" w:rsidP="009D7F86">
      <w:pPr>
        <w:pStyle w:val="Nivel2SM"/>
        <w:keepNext/>
        <w:spacing w:after="0"/>
      </w:pPr>
      <w:r w:rsidRPr="007432CA">
        <w:t xml:space="preserve">La Estrategia Europa 2020, tienen </w:t>
      </w:r>
      <w:r w:rsidR="00000847">
        <w:t>5 </w:t>
      </w:r>
      <w:r w:rsidRPr="007432CA">
        <w:t>objetivos principales:</w:t>
      </w:r>
    </w:p>
    <w:p w14:paraId="2E005EC3" w14:textId="1FEFC26B" w:rsidR="007432CA" w:rsidRPr="007432CA" w:rsidRDefault="007432CA" w:rsidP="009D7F86">
      <w:pPr>
        <w:pStyle w:val="Nivel3SM"/>
        <w:keepNext/>
      </w:pPr>
      <w:r w:rsidRPr="009D7F86">
        <w:rPr>
          <w:i/>
          <w:iCs/>
        </w:rPr>
        <w:t>Empleo</w:t>
      </w:r>
      <w:r w:rsidRPr="007432CA">
        <w:t>:</w:t>
      </w:r>
    </w:p>
    <w:p w14:paraId="5F401B28" w14:textId="46615B13" w:rsidR="007432CA" w:rsidRPr="007432CA" w:rsidRDefault="007432CA" w:rsidP="009D7F86">
      <w:pPr>
        <w:pStyle w:val="Nivel4"/>
        <w:ind w:left="1474"/>
      </w:pPr>
      <w:r w:rsidRPr="007432CA">
        <w:t>Empleo para el 75</w:t>
      </w:r>
      <w:r w:rsidR="004A1CAE">
        <w:t> %</w:t>
      </w:r>
      <w:r w:rsidRPr="007432CA">
        <w:t xml:space="preserve"> de las personas de 20 a 64</w:t>
      </w:r>
      <w:r w:rsidR="00CD3698">
        <w:t> </w:t>
      </w:r>
      <w:r w:rsidRPr="007432CA">
        <w:t>años.</w:t>
      </w:r>
    </w:p>
    <w:p w14:paraId="395EAFD7" w14:textId="7E51232E" w:rsidR="007432CA" w:rsidRPr="007432CA" w:rsidRDefault="007432CA" w:rsidP="009D7F86">
      <w:pPr>
        <w:pStyle w:val="Nivel3SM"/>
        <w:keepNext/>
      </w:pPr>
      <w:r w:rsidRPr="009D7F86">
        <w:rPr>
          <w:i/>
          <w:iCs/>
        </w:rPr>
        <w:t>I+D</w:t>
      </w:r>
      <w:r w:rsidRPr="007432CA">
        <w:t>:</w:t>
      </w:r>
    </w:p>
    <w:p w14:paraId="008C8A93" w14:textId="48778570" w:rsidR="007432CA" w:rsidRPr="007432CA" w:rsidRDefault="007432CA" w:rsidP="009D7F86">
      <w:pPr>
        <w:pStyle w:val="Nivel4"/>
        <w:ind w:left="1474"/>
      </w:pPr>
      <w:r w:rsidRPr="007432CA">
        <w:t xml:space="preserve">Inversión del </w:t>
      </w:r>
      <w:r w:rsidRPr="007432CA">
        <w:rPr>
          <w:u w:val="single"/>
        </w:rPr>
        <w:t>3</w:t>
      </w:r>
      <w:r w:rsidR="004A1CAE">
        <w:rPr>
          <w:u w:val="single"/>
        </w:rPr>
        <w:t> %</w:t>
      </w:r>
      <w:r w:rsidRPr="007432CA">
        <w:rPr>
          <w:u w:val="single"/>
        </w:rPr>
        <w:t xml:space="preserve"> del PIB</w:t>
      </w:r>
      <w:r w:rsidRPr="007432CA">
        <w:t xml:space="preserve"> de la UE en I+D.</w:t>
      </w:r>
    </w:p>
    <w:p w14:paraId="2AACD71C" w14:textId="77777777" w:rsidR="007432CA" w:rsidRPr="007432CA" w:rsidRDefault="007432CA" w:rsidP="009D7F86">
      <w:pPr>
        <w:pStyle w:val="Nivel3SM"/>
        <w:keepNext/>
      </w:pPr>
      <w:r w:rsidRPr="009D7F86">
        <w:rPr>
          <w:i/>
          <w:iCs/>
        </w:rPr>
        <w:t>Cambio climático y sostenibilidad energética</w:t>
      </w:r>
      <w:r w:rsidRPr="007432CA">
        <w:t xml:space="preserve">: </w:t>
      </w:r>
      <w:r w:rsidRPr="007432CA">
        <w:rPr>
          <w:b/>
        </w:rPr>
        <w:t>20/20/20</w:t>
      </w:r>
    </w:p>
    <w:p w14:paraId="43C51F5F" w14:textId="53B67619" w:rsidR="007432CA" w:rsidRPr="007432CA" w:rsidRDefault="007432CA" w:rsidP="009D7F86">
      <w:pPr>
        <w:pStyle w:val="Nivel4"/>
        <w:ind w:left="1474"/>
      </w:pPr>
      <w:r w:rsidRPr="007432CA">
        <w:t xml:space="preserve">Emisiones de gases efecto invernadero: </w:t>
      </w:r>
      <w:r w:rsidRPr="007432CA">
        <w:rPr>
          <w:u w:val="single"/>
        </w:rPr>
        <w:t>-20</w:t>
      </w:r>
      <w:r w:rsidR="004A1CAE">
        <w:rPr>
          <w:u w:val="single"/>
        </w:rPr>
        <w:t> %</w:t>
      </w:r>
      <w:r w:rsidRPr="007432CA">
        <w:t xml:space="preserve"> </w:t>
      </w:r>
      <w:r w:rsidR="00000847">
        <w:t>con respecto a</w:t>
      </w:r>
      <w:r w:rsidRPr="007432CA">
        <w:t xml:space="preserve"> 1990.</w:t>
      </w:r>
    </w:p>
    <w:p w14:paraId="7C514873" w14:textId="68D3E0FA" w:rsidR="007432CA" w:rsidRPr="007432CA" w:rsidRDefault="007432CA" w:rsidP="009D7F86">
      <w:pPr>
        <w:pStyle w:val="Nivel4"/>
        <w:ind w:left="1474"/>
      </w:pPr>
      <w:r w:rsidRPr="007432CA">
        <w:rPr>
          <w:u w:val="single"/>
        </w:rPr>
        <w:t>20</w:t>
      </w:r>
      <w:r w:rsidR="004A1CAE">
        <w:rPr>
          <w:u w:val="single"/>
        </w:rPr>
        <w:t> %</w:t>
      </w:r>
      <w:r w:rsidRPr="007432CA">
        <w:t xml:space="preserve"> de energías renovables.</w:t>
      </w:r>
    </w:p>
    <w:p w14:paraId="5555707E" w14:textId="52410FF3" w:rsidR="007432CA" w:rsidRPr="007432CA" w:rsidRDefault="007432CA" w:rsidP="009D7F86">
      <w:pPr>
        <w:pStyle w:val="Nivel4"/>
        <w:ind w:left="1474"/>
      </w:pPr>
      <w:r w:rsidRPr="007432CA">
        <w:t xml:space="preserve">Aumento del </w:t>
      </w:r>
      <w:r w:rsidRPr="007432CA">
        <w:rPr>
          <w:u w:val="single"/>
        </w:rPr>
        <w:t>20</w:t>
      </w:r>
      <w:r w:rsidR="004A1CAE">
        <w:rPr>
          <w:u w:val="single"/>
        </w:rPr>
        <w:t> %</w:t>
      </w:r>
      <w:r w:rsidRPr="007432CA">
        <w:t xml:space="preserve"> de la eficiencia energética.</w:t>
      </w:r>
    </w:p>
    <w:p w14:paraId="49C97068" w14:textId="77777777" w:rsidR="007432CA" w:rsidRPr="007432CA" w:rsidRDefault="007432CA" w:rsidP="009D7F86">
      <w:pPr>
        <w:pStyle w:val="Nivel3SM"/>
        <w:keepNext/>
      </w:pPr>
      <w:r w:rsidRPr="009D7F86">
        <w:rPr>
          <w:i/>
          <w:iCs/>
        </w:rPr>
        <w:t>Educación</w:t>
      </w:r>
      <w:r w:rsidRPr="007432CA">
        <w:t>:</w:t>
      </w:r>
    </w:p>
    <w:p w14:paraId="4FEA2F6E" w14:textId="1B1FA119" w:rsidR="007432CA" w:rsidRPr="007432CA" w:rsidRDefault="007432CA" w:rsidP="009D7F86">
      <w:pPr>
        <w:pStyle w:val="Nivel4"/>
        <w:ind w:left="1474"/>
      </w:pPr>
      <w:r w:rsidRPr="007432CA">
        <w:t>Tasas de abandono escolar prematuro menores al 10</w:t>
      </w:r>
      <w:r w:rsidR="004A1CAE">
        <w:t> %</w:t>
      </w:r>
      <w:r w:rsidRPr="007432CA">
        <w:t>.</w:t>
      </w:r>
    </w:p>
    <w:p w14:paraId="662A6D25" w14:textId="27609F9D" w:rsidR="007432CA" w:rsidRPr="007432CA" w:rsidRDefault="007432CA" w:rsidP="009D7F86">
      <w:pPr>
        <w:pStyle w:val="Nivel4"/>
        <w:ind w:left="1474"/>
      </w:pPr>
      <w:r w:rsidRPr="007432CA">
        <w:t xml:space="preserve">Al menos un </w:t>
      </w:r>
      <w:r w:rsidRPr="007432CA">
        <w:rPr>
          <w:u w:val="single"/>
        </w:rPr>
        <w:t>40</w:t>
      </w:r>
      <w:r w:rsidR="004A1CAE">
        <w:rPr>
          <w:u w:val="single"/>
        </w:rPr>
        <w:t> %</w:t>
      </w:r>
      <w:r w:rsidRPr="007432CA">
        <w:t xml:space="preserve"> de las personas de </w:t>
      </w:r>
      <w:r w:rsidRPr="007432CA">
        <w:rPr>
          <w:u w:val="single"/>
        </w:rPr>
        <w:t xml:space="preserve">30 a 34 </w:t>
      </w:r>
      <w:proofErr w:type="gramStart"/>
      <w:r w:rsidRPr="007432CA">
        <w:rPr>
          <w:u w:val="single"/>
        </w:rPr>
        <w:t>años de edad</w:t>
      </w:r>
      <w:proofErr w:type="gramEnd"/>
      <w:r w:rsidRPr="007432CA">
        <w:t xml:space="preserve"> deberán completar estudios de nivel terciario.</w:t>
      </w:r>
    </w:p>
    <w:p w14:paraId="04AA0AA6" w14:textId="77777777" w:rsidR="007432CA" w:rsidRPr="007432CA" w:rsidRDefault="007432CA" w:rsidP="009D7F86">
      <w:pPr>
        <w:pStyle w:val="Nivel3SM"/>
        <w:keepNext/>
      </w:pPr>
      <w:r w:rsidRPr="009D7F86">
        <w:rPr>
          <w:i/>
          <w:iCs/>
        </w:rPr>
        <w:t>Lucha contra la pobreza y la exclusión social</w:t>
      </w:r>
      <w:r w:rsidRPr="007432CA">
        <w:t>:</w:t>
      </w:r>
    </w:p>
    <w:p w14:paraId="0A672C7E" w14:textId="4CC5F9D2" w:rsidR="007432CA" w:rsidRDefault="007432CA" w:rsidP="009D7F86">
      <w:pPr>
        <w:pStyle w:val="Nivel4"/>
        <w:ind w:left="1474"/>
      </w:pPr>
      <w:r w:rsidRPr="007432CA">
        <w:t>Reducir al menos en 20</w:t>
      </w:r>
      <w:r w:rsidR="00000847">
        <w:t> </w:t>
      </w:r>
      <w:r w:rsidRPr="007432CA">
        <w:t>millones el número de personas en situación o riesgo de pobreza y exclusión social.</w:t>
      </w:r>
    </w:p>
    <w:p w14:paraId="51AF2476" w14:textId="18E57685" w:rsidR="007432CA" w:rsidRDefault="007432CA" w:rsidP="00000847">
      <w:pPr>
        <w:pStyle w:val="Nivel2SM"/>
      </w:pPr>
      <w:r>
        <w:t xml:space="preserve">Las políticas de los </w:t>
      </w:r>
      <w:r w:rsidR="00000847">
        <w:t>Estados miembros</w:t>
      </w:r>
      <w:r>
        <w:t xml:space="preserve"> deberán de ir dirigidas al cumplimiento de dichos objetivos. Nos basaremos en el último Plan Nacional de Reformas para ver algunas de las políticas está implementando España para contribuir a los diferentes objetivos. </w:t>
      </w:r>
    </w:p>
    <w:p w14:paraId="4C525D39" w14:textId="0CEF3E11" w:rsidR="00B35EC5" w:rsidRPr="00B35EC5" w:rsidRDefault="00B35EC5" w:rsidP="00006D4D">
      <w:pPr>
        <w:pStyle w:val="Ttulo6"/>
      </w:pPr>
      <w:bookmarkStart w:id="62" w:name="_Toc151227163"/>
      <w:r w:rsidRPr="00B35EC5">
        <w:t>Inversión en I+D+</w:t>
      </w:r>
      <w:r w:rsidR="00006D4D">
        <w:t>i</w:t>
      </w:r>
      <w:bookmarkEnd w:id="62"/>
    </w:p>
    <w:p w14:paraId="3E74B5A0" w14:textId="77777777" w:rsidR="002B3947" w:rsidRPr="002B3947" w:rsidRDefault="002B3947" w:rsidP="00000847">
      <w:pPr>
        <w:pStyle w:val="Nivel2SM"/>
        <w:keepNext/>
        <w:spacing w:after="0"/>
      </w:pPr>
      <w:r>
        <w:t xml:space="preserve">Las principales medidas se incluyen en: </w:t>
      </w:r>
    </w:p>
    <w:p w14:paraId="2BDD0847" w14:textId="56523623" w:rsidR="007432CA" w:rsidRDefault="00666DC5" w:rsidP="00000847">
      <w:pPr>
        <w:pStyle w:val="Nivel3SM"/>
      </w:pPr>
      <w:r w:rsidRPr="00000847">
        <w:rPr>
          <w:i/>
          <w:iCs/>
          <w:u w:val="single"/>
          <w:lang w:val="es-ES_tradnl"/>
        </w:rPr>
        <w:t>Plan de Infraestructuras digitales</w:t>
      </w:r>
      <w:r w:rsidR="00A6734D" w:rsidRPr="00A6734D">
        <w:rPr>
          <w:lang w:val="es-ES_tradnl"/>
        </w:rPr>
        <w:t>:</w:t>
      </w:r>
      <w:r w:rsidR="00A6734D">
        <w:rPr>
          <w:lang w:val="es-ES_tradnl"/>
        </w:rPr>
        <w:t xml:space="preserve"> </w:t>
      </w:r>
      <w:r>
        <w:t>T</w:t>
      </w:r>
      <w:r w:rsidRPr="009C4D0C">
        <w:t xml:space="preserve">endrá como objetivos completar el despliegue de redes de </w:t>
      </w:r>
      <w:r w:rsidRPr="00A6734D">
        <w:rPr>
          <w:b/>
        </w:rPr>
        <w:t>banda ancha ultra rápida</w:t>
      </w:r>
      <w:r w:rsidRPr="009C4D0C">
        <w:t xml:space="preserve"> fijas y liderar la implantación de la </w:t>
      </w:r>
      <w:r w:rsidRPr="00A6734D">
        <w:rPr>
          <w:b/>
        </w:rPr>
        <w:t>tecnología móvil 5G</w:t>
      </w:r>
      <w:r>
        <w:t>.</w:t>
      </w:r>
    </w:p>
    <w:p w14:paraId="02E6151C" w14:textId="40C3E0C2" w:rsidR="00666DC5" w:rsidRDefault="00666DC5" w:rsidP="00000847">
      <w:pPr>
        <w:pStyle w:val="Nivel3SM"/>
      </w:pPr>
      <w:r w:rsidRPr="00000847">
        <w:rPr>
          <w:i/>
          <w:iCs/>
          <w:u w:val="single"/>
        </w:rPr>
        <w:t>Estrategia Española para la Inteligencia Artificial en I+D+i</w:t>
      </w:r>
      <w:r w:rsidR="00A6734D">
        <w:t xml:space="preserve">: </w:t>
      </w:r>
      <w:r>
        <w:t xml:space="preserve">Implementación de </w:t>
      </w:r>
      <w:r w:rsidRPr="009C4D0C">
        <w:t xml:space="preserve">medidas para crear una estructura organizativa que permita desarrollar un sistema de </w:t>
      </w:r>
      <w:r w:rsidRPr="00A6734D">
        <w:rPr>
          <w:b/>
        </w:rPr>
        <w:t>Inteligencia Artificial</w:t>
      </w:r>
      <w:r>
        <w:t>.</w:t>
      </w:r>
    </w:p>
    <w:p w14:paraId="4285336F" w14:textId="336D9117" w:rsidR="00666DC5" w:rsidRPr="00666DC5" w:rsidRDefault="00666DC5" w:rsidP="00000847">
      <w:pPr>
        <w:pStyle w:val="Nivel3SM"/>
      </w:pPr>
      <w:r w:rsidRPr="00000847">
        <w:rPr>
          <w:i/>
          <w:iCs/>
          <w:u w:val="single"/>
        </w:rPr>
        <w:t>Plan Cervera</w:t>
      </w:r>
      <w:r w:rsidR="00A6734D" w:rsidRPr="00A6734D">
        <w:t xml:space="preserve">: </w:t>
      </w:r>
      <w:r w:rsidRPr="00A6734D">
        <w:rPr>
          <w:lang w:val="es-ES_tradnl"/>
        </w:rPr>
        <w:t xml:space="preserve">Destinado a </w:t>
      </w:r>
      <w:r w:rsidRPr="00A6734D">
        <w:rPr>
          <w:b/>
          <w:lang w:val="es-ES_tradnl"/>
        </w:rPr>
        <w:t>financiar la innovación de pequeñas y medianas empresas</w:t>
      </w:r>
      <w:r w:rsidRPr="00A6734D">
        <w:rPr>
          <w:lang w:val="es-ES_tradnl"/>
        </w:rPr>
        <w:t xml:space="preserve"> y centros tecnológicos, e incentivar la transferencia de conocimiento.</w:t>
      </w:r>
    </w:p>
    <w:p w14:paraId="746468CE" w14:textId="77777777" w:rsidR="00666DC5" w:rsidRPr="00666DC5" w:rsidRDefault="00666DC5" w:rsidP="00006D4D">
      <w:pPr>
        <w:pStyle w:val="Ttulo6"/>
      </w:pPr>
      <w:bookmarkStart w:id="63" w:name="_Toc151227164"/>
      <w:r>
        <w:rPr>
          <w:lang w:val="es-ES_tradnl"/>
        </w:rPr>
        <w:t>Cambio Climático</w:t>
      </w:r>
      <w:r w:rsidRPr="00666DC5">
        <w:rPr>
          <w:lang w:val="es-ES_tradnl"/>
        </w:rPr>
        <w:t xml:space="preserve"> 20/20/20</w:t>
      </w:r>
      <w:bookmarkEnd w:id="63"/>
    </w:p>
    <w:p w14:paraId="17460CF0" w14:textId="77777777" w:rsidR="007432CA" w:rsidRDefault="00666DC5" w:rsidP="009D7F86">
      <w:pPr>
        <w:pStyle w:val="Nivel2SM"/>
        <w:keepNext/>
        <w:spacing w:after="0"/>
      </w:pPr>
      <w:r>
        <w:t>España ha implementado diferentes programas de cara a conseguir dichos objetivos destacando entre ellos el RDL de Cambio Climático y Transición Energética de 2018</w:t>
      </w:r>
      <w:r w:rsidR="007432CA">
        <w:t xml:space="preserve">: </w:t>
      </w:r>
    </w:p>
    <w:p w14:paraId="756B0397" w14:textId="77777777" w:rsidR="007432CA" w:rsidRPr="009D7F86" w:rsidRDefault="007432CA" w:rsidP="009D7F86">
      <w:pPr>
        <w:pStyle w:val="Nivel3SM"/>
        <w:keepNext/>
        <w:rPr>
          <w:i/>
          <w:iCs/>
        </w:rPr>
      </w:pPr>
      <w:r w:rsidRPr="009D7F86">
        <w:rPr>
          <w:i/>
          <w:iCs/>
        </w:rPr>
        <w:t>Emisiones de CO</w:t>
      </w:r>
      <w:r w:rsidRPr="009D7F86">
        <w:rPr>
          <w:i/>
          <w:iCs/>
          <w:vertAlign w:val="subscript"/>
        </w:rPr>
        <w:t>2</w:t>
      </w:r>
    </w:p>
    <w:p w14:paraId="25759EBC" w14:textId="3A47AF33" w:rsidR="007432CA" w:rsidRDefault="007432CA" w:rsidP="007432CA">
      <w:pPr>
        <w:numPr>
          <w:ilvl w:val="2"/>
          <w:numId w:val="3"/>
        </w:numPr>
      </w:pPr>
      <w:r>
        <w:t>R</w:t>
      </w:r>
      <w:r w:rsidRPr="00FC6894">
        <w:t>educción de</w:t>
      </w:r>
      <w:r>
        <w:t>l</w:t>
      </w:r>
      <w:r w:rsidRPr="00FC6894">
        <w:t xml:space="preserve"> </w:t>
      </w:r>
      <w:r w:rsidRPr="001E11D2">
        <w:rPr>
          <w:b/>
        </w:rPr>
        <w:t>20</w:t>
      </w:r>
      <w:r w:rsidR="004A1CAE">
        <w:rPr>
          <w:b/>
        </w:rPr>
        <w:t> %</w:t>
      </w:r>
      <w:r w:rsidRPr="00FC6894">
        <w:t xml:space="preserve"> en </w:t>
      </w:r>
      <w:r w:rsidRPr="005E44F6">
        <w:rPr>
          <w:b/>
        </w:rPr>
        <w:t>2030</w:t>
      </w:r>
      <w:r w:rsidRPr="005E44F6">
        <w:t>.</w:t>
      </w:r>
    </w:p>
    <w:p w14:paraId="2C5754E9" w14:textId="3C882BA4" w:rsidR="007432CA" w:rsidRDefault="007432CA" w:rsidP="007432CA">
      <w:pPr>
        <w:numPr>
          <w:ilvl w:val="2"/>
          <w:numId w:val="3"/>
        </w:numPr>
      </w:pPr>
      <w:r>
        <w:t>R</w:t>
      </w:r>
      <w:r w:rsidRPr="00FC6894">
        <w:t xml:space="preserve">educción del </w:t>
      </w:r>
      <w:r w:rsidRPr="001E11D2">
        <w:rPr>
          <w:b/>
        </w:rPr>
        <w:t>90</w:t>
      </w:r>
      <w:r w:rsidR="004A1CAE">
        <w:rPr>
          <w:b/>
        </w:rPr>
        <w:t> %</w:t>
      </w:r>
      <w:r w:rsidRPr="00FC6894">
        <w:t xml:space="preserve"> en </w:t>
      </w:r>
      <w:r w:rsidRPr="00D4206C">
        <w:rPr>
          <w:b/>
        </w:rPr>
        <w:t>2050</w:t>
      </w:r>
      <w:r>
        <w:t>.</w:t>
      </w:r>
    </w:p>
    <w:p w14:paraId="2D61347B" w14:textId="77777777" w:rsidR="007432CA" w:rsidRPr="00007D6D" w:rsidRDefault="007432CA" w:rsidP="007432CA">
      <w:pPr>
        <w:numPr>
          <w:ilvl w:val="3"/>
          <w:numId w:val="3"/>
        </w:numPr>
      </w:pPr>
      <w:r w:rsidRPr="00007D6D">
        <w:rPr>
          <w:u w:val="single"/>
        </w:rPr>
        <w:t>Estrategia de descarbonización a largo plazo</w:t>
      </w:r>
    </w:p>
    <w:p w14:paraId="05271141" w14:textId="77777777" w:rsidR="007432CA" w:rsidRDefault="007432CA" w:rsidP="007432CA">
      <w:pPr>
        <w:numPr>
          <w:ilvl w:val="4"/>
          <w:numId w:val="3"/>
        </w:numPr>
      </w:pPr>
      <w:r>
        <w:lastRenderedPageBreak/>
        <w:t xml:space="preserve">En el trascurso de 2019 España deberá elaborar y remitir a la Comisión Europea la Estrategia de descarbonización a largo plazo, 2050. </w:t>
      </w:r>
    </w:p>
    <w:p w14:paraId="46CD916D" w14:textId="77777777" w:rsidR="007432CA" w:rsidRDefault="007432CA" w:rsidP="007432CA">
      <w:pPr>
        <w:numPr>
          <w:ilvl w:val="4"/>
          <w:numId w:val="3"/>
        </w:numPr>
      </w:pPr>
      <w:r>
        <w:t>Como primer hito se abrió trámite de consulta previa hasta el 26 de abril de 2019.</w:t>
      </w:r>
    </w:p>
    <w:p w14:paraId="5750DFE2" w14:textId="77777777" w:rsidR="007432CA" w:rsidRPr="009D7F86" w:rsidRDefault="007432CA" w:rsidP="009D7F86">
      <w:pPr>
        <w:pStyle w:val="Nivel3SM"/>
        <w:keepNext/>
        <w:rPr>
          <w:i/>
          <w:iCs/>
        </w:rPr>
      </w:pPr>
      <w:r w:rsidRPr="009D7F86">
        <w:rPr>
          <w:i/>
          <w:iCs/>
        </w:rPr>
        <w:t>Energías renovables</w:t>
      </w:r>
    </w:p>
    <w:p w14:paraId="54A9C069" w14:textId="25E320B5" w:rsidR="007432CA" w:rsidRDefault="007432CA" w:rsidP="007432CA">
      <w:pPr>
        <w:numPr>
          <w:ilvl w:val="2"/>
          <w:numId w:val="3"/>
        </w:numPr>
      </w:pPr>
      <w:r>
        <w:t>Consumo de energía final bruta: A</w:t>
      </w:r>
      <w:r w:rsidRPr="00FC6894">
        <w:t xml:space="preserve">l menos un </w:t>
      </w:r>
      <w:r w:rsidRPr="001E11D2">
        <w:rPr>
          <w:b/>
        </w:rPr>
        <w:t>35</w:t>
      </w:r>
      <w:r w:rsidR="004A1CAE">
        <w:rPr>
          <w:b/>
        </w:rPr>
        <w:t> %</w:t>
      </w:r>
      <w:r w:rsidRPr="00FC6894">
        <w:t xml:space="preserve"> en </w:t>
      </w:r>
      <w:r w:rsidRPr="005E44F6">
        <w:rPr>
          <w:b/>
        </w:rPr>
        <w:t>2030</w:t>
      </w:r>
      <w:r>
        <w:t>.</w:t>
      </w:r>
    </w:p>
    <w:p w14:paraId="0F4757C9" w14:textId="77777777" w:rsidR="007432CA" w:rsidRDefault="007432CA" w:rsidP="007432CA">
      <w:pPr>
        <w:numPr>
          <w:ilvl w:val="2"/>
          <w:numId w:val="3"/>
        </w:numPr>
      </w:pPr>
      <w:r>
        <w:t xml:space="preserve">De la cual consumo primario: </w:t>
      </w:r>
    </w:p>
    <w:p w14:paraId="3EFF731E" w14:textId="2FDEEF97" w:rsidR="007432CA" w:rsidRDefault="007432CA" w:rsidP="007432CA">
      <w:pPr>
        <w:numPr>
          <w:ilvl w:val="3"/>
          <w:numId w:val="3"/>
        </w:numPr>
      </w:pPr>
      <w:r w:rsidRPr="001E11D2">
        <w:rPr>
          <w:b/>
        </w:rPr>
        <w:t>70</w:t>
      </w:r>
      <w:r w:rsidR="004A1CAE">
        <w:rPr>
          <w:b/>
        </w:rPr>
        <w:t> %</w:t>
      </w:r>
      <w:r>
        <w:t xml:space="preserve"> en </w:t>
      </w:r>
      <w:r w:rsidRPr="005E44F6">
        <w:rPr>
          <w:b/>
        </w:rPr>
        <w:t>2030</w:t>
      </w:r>
    </w:p>
    <w:p w14:paraId="68F0091B" w14:textId="3619D491" w:rsidR="007432CA" w:rsidRDefault="007432CA" w:rsidP="007432CA">
      <w:pPr>
        <w:numPr>
          <w:ilvl w:val="3"/>
          <w:numId w:val="3"/>
        </w:numPr>
      </w:pPr>
      <w:r w:rsidRPr="001E11D2">
        <w:rPr>
          <w:b/>
        </w:rPr>
        <w:t>100</w:t>
      </w:r>
      <w:r w:rsidR="004A1CAE">
        <w:rPr>
          <w:b/>
        </w:rPr>
        <w:t> %</w:t>
      </w:r>
      <w:r>
        <w:t xml:space="preserve"> en </w:t>
      </w:r>
      <w:r w:rsidRPr="00D4206C">
        <w:rPr>
          <w:b/>
        </w:rPr>
        <w:t>2050</w:t>
      </w:r>
      <w:r>
        <w:t>.</w:t>
      </w:r>
    </w:p>
    <w:p w14:paraId="5B9A4E63" w14:textId="77777777" w:rsidR="007432CA" w:rsidRPr="009D7F86" w:rsidRDefault="007432CA" w:rsidP="009D7F86">
      <w:pPr>
        <w:pStyle w:val="Nivel3SM"/>
        <w:keepNext/>
        <w:rPr>
          <w:i/>
          <w:iCs/>
        </w:rPr>
      </w:pPr>
      <w:r w:rsidRPr="009D7F86">
        <w:rPr>
          <w:i/>
          <w:iCs/>
        </w:rPr>
        <w:t>Eficiencia energética</w:t>
      </w:r>
    </w:p>
    <w:p w14:paraId="49BE164A" w14:textId="4C3B0240" w:rsidR="007432CA" w:rsidRDefault="007432CA" w:rsidP="007432CA">
      <w:pPr>
        <w:pStyle w:val="NormalWeb"/>
        <w:numPr>
          <w:ilvl w:val="2"/>
          <w:numId w:val="3"/>
        </w:numPr>
        <w:spacing w:before="0" w:beforeAutospacing="0" w:after="0" w:afterAutospacing="0"/>
      </w:pPr>
      <w:r>
        <w:t xml:space="preserve">Mejora </w:t>
      </w:r>
      <w:r w:rsidRPr="00FC6894">
        <w:t xml:space="preserve">de la eficiencia energética disminuyendo el consumo de energía primaria en al menos un </w:t>
      </w:r>
      <w:r w:rsidRPr="001E11D2">
        <w:rPr>
          <w:b/>
        </w:rPr>
        <w:t>35</w:t>
      </w:r>
      <w:r w:rsidR="004A1CAE">
        <w:rPr>
          <w:b/>
        </w:rPr>
        <w:t> %</w:t>
      </w:r>
      <w:r w:rsidRPr="00FC6894">
        <w:t xml:space="preserve"> con respecto a línea de base.</w:t>
      </w:r>
    </w:p>
    <w:p w14:paraId="25853190" w14:textId="5559DAC9" w:rsidR="00666DC5" w:rsidRDefault="007432CA" w:rsidP="009D7F86">
      <w:pPr>
        <w:pStyle w:val="Nivel2SM"/>
      </w:pPr>
      <w:r>
        <w:t>Además ha implementado</w:t>
      </w:r>
      <w:r w:rsidR="00666DC5">
        <w:t xml:space="preserve"> el Plan Nacional </w:t>
      </w:r>
      <w:r>
        <w:t>de Energía y Clima que aumenta la ambición de dichos objetivos.</w:t>
      </w:r>
    </w:p>
    <w:p w14:paraId="6BC6030E" w14:textId="77777777" w:rsidR="00666DC5" w:rsidRPr="00666DC5" w:rsidRDefault="00666DC5" w:rsidP="00006D4D">
      <w:pPr>
        <w:pStyle w:val="Ttulo6"/>
      </w:pPr>
      <w:bookmarkStart w:id="64" w:name="_Toc151227165"/>
      <w:r w:rsidRPr="00666DC5">
        <w:t>Empleo</w:t>
      </w:r>
      <w:bookmarkEnd w:id="64"/>
    </w:p>
    <w:p w14:paraId="35F4326C" w14:textId="45DB6539" w:rsidR="007432CA" w:rsidRDefault="00666DC5" w:rsidP="009D7F86">
      <w:pPr>
        <w:pStyle w:val="Nivel2SM"/>
        <w:keepNext/>
        <w:spacing w:after="0"/>
      </w:pPr>
      <w:r>
        <w:t xml:space="preserve">Son múltiples las medidas implementadas por España desde la Reforma Laboral de 2012. </w:t>
      </w:r>
      <w:r w:rsidR="007432CA">
        <w:t>Entre las principales destacan:</w:t>
      </w:r>
    </w:p>
    <w:p w14:paraId="743F2C8D" w14:textId="0BAEA422" w:rsidR="00666DC5" w:rsidRDefault="007432CA" w:rsidP="007432CA">
      <w:pPr>
        <w:pStyle w:val="NormalWeb"/>
        <w:numPr>
          <w:ilvl w:val="1"/>
          <w:numId w:val="3"/>
        </w:numPr>
        <w:spacing w:before="0" w:beforeAutospacing="0" w:after="0" w:afterAutospacing="0"/>
        <w:rPr>
          <w:u w:val="single"/>
        </w:rPr>
      </w:pPr>
      <w:r w:rsidRPr="007432CA">
        <w:rPr>
          <w:u w:val="single"/>
        </w:rPr>
        <w:t>Formación Profesional</w:t>
      </w:r>
    </w:p>
    <w:p w14:paraId="369D1CD4" w14:textId="77777777" w:rsidR="007432CA" w:rsidRPr="007432CA" w:rsidRDefault="007432CA" w:rsidP="007432CA">
      <w:pPr>
        <w:numPr>
          <w:ilvl w:val="2"/>
          <w:numId w:val="3"/>
        </w:numPr>
        <w:rPr>
          <w:u w:val="single"/>
        </w:rPr>
      </w:pPr>
      <w:r w:rsidRPr="007432CA">
        <w:rPr>
          <w:u w:val="single"/>
        </w:rPr>
        <w:t xml:space="preserve">Plan Estratégico de Formación Profesional </w:t>
      </w:r>
    </w:p>
    <w:p w14:paraId="4467B161" w14:textId="77777777" w:rsidR="007432CA" w:rsidRPr="007432CA" w:rsidRDefault="007432CA" w:rsidP="007432CA">
      <w:pPr>
        <w:numPr>
          <w:ilvl w:val="3"/>
          <w:numId w:val="3"/>
        </w:numPr>
      </w:pPr>
      <w:r>
        <w:t xml:space="preserve">Tiene como uno de los principales objetivos reforzar la FP Dual, considerada clave tanto por Bruselas como por los OOII para aumentar la productividad laboral y reducir la asimetría entre demanda y oferta en el mercado laboral nacional. </w:t>
      </w:r>
    </w:p>
    <w:p w14:paraId="590CB133" w14:textId="6BB37125" w:rsidR="007432CA" w:rsidRDefault="007432CA" w:rsidP="00BE49A7">
      <w:pPr>
        <w:numPr>
          <w:ilvl w:val="3"/>
          <w:numId w:val="3"/>
        </w:numPr>
        <w:ind w:left="2874" w:hanging="357"/>
        <w:rPr>
          <w:rFonts w:eastAsia="Batang"/>
          <w:lang w:eastAsia="ko-KR"/>
        </w:rPr>
      </w:pPr>
      <w:r w:rsidRPr="007432CA">
        <w:rPr>
          <w:rFonts w:eastAsia="Batang"/>
          <w:lang w:eastAsia="ko-KR"/>
        </w:rPr>
        <w:t>Solo el 12</w:t>
      </w:r>
      <w:r w:rsidR="004A1CAE">
        <w:rPr>
          <w:rFonts w:eastAsia="Batang"/>
          <w:lang w:eastAsia="ko-KR"/>
        </w:rPr>
        <w:t> %</w:t>
      </w:r>
      <w:r w:rsidRPr="007432CA">
        <w:rPr>
          <w:rFonts w:eastAsia="Batang"/>
          <w:lang w:eastAsia="ko-KR"/>
        </w:rPr>
        <w:t xml:space="preserve"> de los alumnos españoles están matriculados en FP, lo que supone menos de la mitad de la media europea (26</w:t>
      </w:r>
      <w:r w:rsidR="004A1CAE">
        <w:rPr>
          <w:rFonts w:eastAsia="Batang"/>
          <w:lang w:eastAsia="ko-KR"/>
        </w:rPr>
        <w:t> %</w:t>
      </w:r>
      <w:r w:rsidRPr="007432CA">
        <w:rPr>
          <w:rFonts w:eastAsia="Batang"/>
          <w:lang w:eastAsia="ko-KR"/>
        </w:rPr>
        <w:t xml:space="preserve">), pero además </w:t>
      </w:r>
      <w:r w:rsidRPr="007432CA">
        <w:rPr>
          <w:rFonts w:eastAsia="Batang"/>
          <w:u w:val="single"/>
          <w:lang w:eastAsia="ko-KR"/>
        </w:rPr>
        <w:t>solo un 0,4</w:t>
      </w:r>
      <w:r w:rsidR="004A1CAE">
        <w:rPr>
          <w:rFonts w:eastAsia="Batang"/>
          <w:u w:val="single"/>
          <w:lang w:eastAsia="ko-KR"/>
        </w:rPr>
        <w:t> %</w:t>
      </w:r>
      <w:r w:rsidRPr="007432CA">
        <w:rPr>
          <w:rFonts w:eastAsia="Batang"/>
          <w:u w:val="single"/>
          <w:lang w:eastAsia="ko-KR"/>
        </w:rPr>
        <w:t xml:space="preserve"> de ellos reciben el modelo dual, que combina enseñanza y trabajo</w:t>
      </w:r>
      <w:r w:rsidRPr="007432CA">
        <w:rPr>
          <w:rFonts w:eastAsia="Batang"/>
          <w:lang w:eastAsia="ko-KR"/>
        </w:rPr>
        <w:t>.</w:t>
      </w:r>
    </w:p>
    <w:p w14:paraId="56F6DEFF" w14:textId="77777777" w:rsidR="007432CA" w:rsidRDefault="007432CA" w:rsidP="007432CA">
      <w:pPr>
        <w:numPr>
          <w:ilvl w:val="1"/>
          <w:numId w:val="3"/>
        </w:numPr>
        <w:rPr>
          <w:u w:val="single"/>
        </w:rPr>
      </w:pPr>
      <w:r>
        <w:rPr>
          <w:u w:val="single"/>
        </w:rPr>
        <w:t>Desempleo juvenil</w:t>
      </w:r>
    </w:p>
    <w:p w14:paraId="57D5C4F0" w14:textId="77777777" w:rsidR="007432CA" w:rsidRPr="007432CA" w:rsidRDefault="007432CA" w:rsidP="007432CA">
      <w:pPr>
        <w:numPr>
          <w:ilvl w:val="2"/>
          <w:numId w:val="3"/>
        </w:numPr>
      </w:pPr>
      <w:r w:rsidRPr="007432CA">
        <w:rPr>
          <w:u w:val="single"/>
        </w:rPr>
        <w:t>Estrategia de emprendimiento y empleo joven</w:t>
      </w:r>
    </w:p>
    <w:p w14:paraId="3EF0FF08" w14:textId="77777777" w:rsidR="007432CA" w:rsidRPr="007432CA" w:rsidRDefault="007432CA" w:rsidP="007432CA">
      <w:pPr>
        <w:numPr>
          <w:ilvl w:val="3"/>
          <w:numId w:val="3"/>
        </w:numPr>
      </w:pPr>
      <w:r w:rsidRPr="007432CA">
        <w:t xml:space="preserve">La Estrategia contiene </w:t>
      </w:r>
      <w:r w:rsidRPr="007432CA">
        <w:rPr>
          <w:b/>
        </w:rPr>
        <w:t>100 medidas</w:t>
      </w:r>
      <w:r w:rsidRPr="007432CA">
        <w:t xml:space="preserve"> encaminadas a </w:t>
      </w:r>
      <w:r w:rsidRPr="007432CA">
        <w:rPr>
          <w:b/>
        </w:rPr>
        <w:t>favorecer la inserción laboral de los jóvenes</w:t>
      </w:r>
      <w:r w:rsidRPr="007432CA">
        <w:t xml:space="preserve">, ya sea por cuenta ajena o a través del emprendimiento. Incluye el plan nacional para la Garantía Juvenil. </w:t>
      </w:r>
    </w:p>
    <w:p w14:paraId="3E74B990" w14:textId="77777777" w:rsidR="007432CA" w:rsidRPr="007432CA" w:rsidRDefault="007432CA" w:rsidP="007432CA">
      <w:pPr>
        <w:numPr>
          <w:ilvl w:val="2"/>
          <w:numId w:val="3"/>
        </w:numPr>
      </w:pPr>
      <w:r w:rsidRPr="007432CA">
        <w:rPr>
          <w:u w:val="single"/>
        </w:rPr>
        <w:t>Plan Nacional de Implantación de Garantía Juvenil</w:t>
      </w:r>
      <w:r w:rsidRPr="007432CA">
        <w:t xml:space="preserve">. </w:t>
      </w:r>
    </w:p>
    <w:p w14:paraId="1EFF931F" w14:textId="77777777" w:rsidR="007432CA" w:rsidRPr="007432CA" w:rsidRDefault="007432CA" w:rsidP="007432CA">
      <w:pPr>
        <w:numPr>
          <w:ilvl w:val="3"/>
          <w:numId w:val="3"/>
        </w:numPr>
      </w:pPr>
      <w:r w:rsidRPr="007432CA">
        <w:t>Aplicación de la Garantía Juvenil en España.</w:t>
      </w:r>
    </w:p>
    <w:p w14:paraId="4DBBBC84" w14:textId="77777777" w:rsidR="007432CA" w:rsidRPr="007432CA" w:rsidRDefault="007432CA" w:rsidP="007432CA">
      <w:pPr>
        <w:numPr>
          <w:ilvl w:val="2"/>
          <w:numId w:val="3"/>
        </w:numPr>
      </w:pPr>
      <w:r w:rsidRPr="007432CA">
        <w:rPr>
          <w:u w:val="single"/>
        </w:rPr>
        <w:t xml:space="preserve">Plan de Choque para el Empleo Joven (2019 – 2021) </w:t>
      </w:r>
    </w:p>
    <w:p w14:paraId="363BECE5" w14:textId="77777777" w:rsidR="007432CA" w:rsidRPr="007432CA" w:rsidRDefault="007432CA" w:rsidP="007432CA">
      <w:pPr>
        <w:numPr>
          <w:ilvl w:val="3"/>
          <w:numId w:val="3"/>
        </w:numPr>
      </w:pPr>
      <w:r w:rsidRPr="007432CA">
        <w:t xml:space="preserve">De nuevo con el objetivo de fomentar el empleo joven. Este Plan cuenta con un presupuesto de </w:t>
      </w:r>
      <w:r w:rsidRPr="002B3947">
        <w:rPr>
          <w:b/>
        </w:rPr>
        <w:t>2000 millones de euros</w:t>
      </w:r>
      <w:r w:rsidRPr="007432CA">
        <w:t xml:space="preserve"> y se orienta a mejorar la empleabilidad de los jóvenes.</w:t>
      </w:r>
    </w:p>
    <w:p w14:paraId="33FBD7F9" w14:textId="77777777" w:rsidR="007432CA" w:rsidRPr="007432CA" w:rsidRDefault="007432CA" w:rsidP="007432CA">
      <w:pPr>
        <w:numPr>
          <w:ilvl w:val="1"/>
          <w:numId w:val="3"/>
        </w:numPr>
        <w:rPr>
          <w:u w:val="single"/>
        </w:rPr>
      </w:pPr>
      <w:r w:rsidRPr="007432CA">
        <w:rPr>
          <w:u w:val="single"/>
        </w:rPr>
        <w:t>Medidas contra el paro de larga duración</w:t>
      </w:r>
    </w:p>
    <w:p w14:paraId="5F992992" w14:textId="77777777" w:rsidR="007432CA" w:rsidRPr="007432CA" w:rsidRDefault="007432CA" w:rsidP="007432CA">
      <w:pPr>
        <w:numPr>
          <w:ilvl w:val="2"/>
          <w:numId w:val="3"/>
        </w:numPr>
        <w:rPr>
          <w:u w:val="single"/>
        </w:rPr>
      </w:pPr>
      <w:r w:rsidRPr="007432CA">
        <w:rPr>
          <w:u w:val="single"/>
        </w:rPr>
        <w:t>Plan PREPARA</w:t>
      </w:r>
    </w:p>
    <w:p w14:paraId="11DCB623" w14:textId="161F4851" w:rsidR="007432CA" w:rsidRPr="007432CA" w:rsidRDefault="007432CA" w:rsidP="007432CA">
      <w:pPr>
        <w:numPr>
          <w:ilvl w:val="3"/>
          <w:numId w:val="3"/>
        </w:numPr>
      </w:pPr>
      <w:r w:rsidRPr="007432CA">
        <w:lastRenderedPageBreak/>
        <w:t>El Plan PREPARA conocida como “ayuda de los 400</w:t>
      </w:r>
      <w:r w:rsidR="004A1CAE">
        <w:t> €</w:t>
      </w:r>
      <w:r w:rsidRPr="007432CA">
        <w:t>”, y consiste en una ayuda de hasta 450</w:t>
      </w:r>
      <w:r w:rsidR="004A1CAE">
        <w:t> €</w:t>
      </w:r>
      <w:r w:rsidRPr="007432CA">
        <w:t xml:space="preserve"> para los desempleados de larga duración que: </w:t>
      </w:r>
    </w:p>
    <w:p w14:paraId="5B440600" w14:textId="77777777" w:rsidR="007432CA" w:rsidRPr="007432CA" w:rsidRDefault="007432CA" w:rsidP="007432CA">
      <w:pPr>
        <w:numPr>
          <w:ilvl w:val="2"/>
          <w:numId w:val="3"/>
        </w:numPr>
      </w:pPr>
      <w:r w:rsidRPr="007432CA">
        <w:rPr>
          <w:u w:val="single"/>
        </w:rPr>
        <w:t>Subsidio por desempleo</w:t>
      </w:r>
    </w:p>
    <w:p w14:paraId="5BA70B0F" w14:textId="77777777" w:rsidR="007432CA" w:rsidRPr="007432CA" w:rsidRDefault="007432CA" w:rsidP="007432CA">
      <w:pPr>
        <w:numPr>
          <w:ilvl w:val="3"/>
          <w:numId w:val="3"/>
        </w:numPr>
        <w:autoSpaceDE w:val="0"/>
        <w:autoSpaceDN w:val="0"/>
        <w:adjustRightInd w:val="0"/>
      </w:pPr>
      <w:r w:rsidRPr="007432CA">
        <w:t xml:space="preserve">Rebaja a 52 años la edad mínima para acceder al subsidio.  </w:t>
      </w:r>
    </w:p>
    <w:p w14:paraId="32602F38" w14:textId="77777777" w:rsidR="007432CA" w:rsidRPr="007432CA" w:rsidRDefault="007432CA" w:rsidP="007432CA">
      <w:pPr>
        <w:numPr>
          <w:ilvl w:val="2"/>
          <w:numId w:val="3"/>
        </w:numPr>
        <w:autoSpaceDE w:val="0"/>
        <w:autoSpaceDN w:val="0"/>
        <w:adjustRightInd w:val="0"/>
      </w:pPr>
      <w:r w:rsidRPr="007432CA">
        <w:rPr>
          <w:u w:val="single"/>
        </w:rPr>
        <w:t>Plan Reincorpora-T</w:t>
      </w:r>
    </w:p>
    <w:p w14:paraId="3696D385" w14:textId="6EF7448A" w:rsidR="007432CA" w:rsidRDefault="007432CA" w:rsidP="007432CA">
      <w:pPr>
        <w:numPr>
          <w:ilvl w:val="3"/>
          <w:numId w:val="3"/>
        </w:numPr>
      </w:pPr>
      <w:r w:rsidRPr="007432CA">
        <w:t>Aprobado por el Consejo de Ministros el 5 de abril de 2019, es un plan trienal 2019-2021 que trata de prevenir y reducir</w:t>
      </w:r>
      <w:r>
        <w:t xml:space="preserve"> el desempleo de larga duración.</w:t>
      </w:r>
    </w:p>
    <w:p w14:paraId="750F5806" w14:textId="226F5322" w:rsidR="007432CA" w:rsidRPr="00FF395F" w:rsidRDefault="007432CA" w:rsidP="00006D4D">
      <w:pPr>
        <w:pStyle w:val="Ttulo6"/>
      </w:pPr>
      <w:bookmarkStart w:id="65" w:name="_Toc151227166"/>
      <w:r w:rsidRPr="007432CA">
        <w:t>Medidas contra la pobreza y exclusión social</w:t>
      </w:r>
      <w:bookmarkEnd w:id="65"/>
    </w:p>
    <w:p w14:paraId="603136BC" w14:textId="76BE9ECA" w:rsidR="007432CA" w:rsidRDefault="007432CA" w:rsidP="009D7F86">
      <w:pPr>
        <w:pStyle w:val="Nivel1SM"/>
        <w:keepNext/>
        <w:spacing w:before="0" w:after="0"/>
      </w:pPr>
      <w:r>
        <w:t xml:space="preserve">De nuevo son múltiples las medidas implementadas por el gobierno. Comentamos las principales en </w:t>
      </w:r>
      <w:r w:rsidR="009D7F86">
        <w:t>3 </w:t>
      </w:r>
      <w:r>
        <w:t>ámbitos diferentes:</w:t>
      </w:r>
    </w:p>
    <w:p w14:paraId="5B0DB3F2" w14:textId="77777777" w:rsidR="007432CA" w:rsidRDefault="007432CA" w:rsidP="007432CA">
      <w:pPr>
        <w:numPr>
          <w:ilvl w:val="0"/>
          <w:numId w:val="3"/>
        </w:numPr>
      </w:pPr>
      <w:r w:rsidRPr="007432CA">
        <w:rPr>
          <w:u w:val="single"/>
        </w:rPr>
        <w:t>Reto demográfico</w:t>
      </w:r>
      <w:r>
        <w:rPr>
          <w:u w:val="single"/>
        </w:rPr>
        <w:t xml:space="preserve"> (despoblación)</w:t>
      </w:r>
      <w:r>
        <w:t xml:space="preserve">: </w:t>
      </w:r>
    </w:p>
    <w:p w14:paraId="37BD291A" w14:textId="77777777" w:rsidR="007432CA" w:rsidRPr="008C0390" w:rsidRDefault="007432CA" w:rsidP="007432CA">
      <w:pPr>
        <w:numPr>
          <w:ilvl w:val="1"/>
          <w:numId w:val="3"/>
        </w:numPr>
        <w:tabs>
          <w:tab w:val="clear" w:pos="1440"/>
        </w:tabs>
        <w:rPr>
          <w:u w:val="single"/>
        </w:rPr>
      </w:pPr>
      <w:r w:rsidRPr="008C0390">
        <w:rPr>
          <w:u w:val="single"/>
        </w:rPr>
        <w:t>Estrategia nacional frente al reto demográfico</w:t>
      </w:r>
    </w:p>
    <w:p w14:paraId="6EDE8A48" w14:textId="77777777" w:rsidR="007432CA" w:rsidRDefault="007432CA" w:rsidP="007432CA">
      <w:pPr>
        <w:numPr>
          <w:ilvl w:val="2"/>
          <w:numId w:val="3"/>
        </w:numPr>
      </w:pPr>
      <w:r>
        <w:t>M</w:t>
      </w:r>
      <w:r w:rsidRPr="008C0390">
        <w:t>ejora de la conectividad</w:t>
      </w:r>
      <w:r>
        <w:t xml:space="preserve"> digital (despliegue de redes ultrarrápidas).</w:t>
      </w:r>
    </w:p>
    <w:p w14:paraId="6A6BE311" w14:textId="77777777" w:rsidR="007432CA" w:rsidRDefault="007432CA" w:rsidP="007432CA">
      <w:pPr>
        <w:numPr>
          <w:ilvl w:val="2"/>
          <w:numId w:val="3"/>
        </w:numPr>
      </w:pPr>
      <w:r>
        <w:t xml:space="preserve">Apoyo a la población joven y las mujeres. </w:t>
      </w:r>
      <w:r w:rsidRPr="008C0390">
        <w:t xml:space="preserve"> </w:t>
      </w:r>
    </w:p>
    <w:p w14:paraId="47F2E734" w14:textId="77777777" w:rsidR="007432CA" w:rsidRDefault="007432CA" w:rsidP="007432CA">
      <w:pPr>
        <w:numPr>
          <w:ilvl w:val="1"/>
          <w:numId w:val="3"/>
        </w:numPr>
        <w:tabs>
          <w:tab w:val="clear" w:pos="1440"/>
        </w:tabs>
        <w:rPr>
          <w:u w:val="single"/>
        </w:rPr>
      </w:pPr>
      <w:r w:rsidRPr="008C0390">
        <w:rPr>
          <w:u w:val="single"/>
        </w:rPr>
        <w:t>Oficinas de despoblación</w:t>
      </w:r>
    </w:p>
    <w:p w14:paraId="4C9CA289" w14:textId="3C3554B4" w:rsidR="007432CA" w:rsidRDefault="007432CA" w:rsidP="007432CA">
      <w:pPr>
        <w:numPr>
          <w:ilvl w:val="2"/>
          <w:numId w:val="3"/>
        </w:numPr>
        <w:tabs>
          <w:tab w:val="clear" w:pos="2160"/>
        </w:tabs>
      </w:pPr>
      <w:r>
        <w:t>E</w:t>
      </w:r>
      <w:r w:rsidRPr="008C0390">
        <w:t>n al menos 20</w:t>
      </w:r>
      <w:r w:rsidR="004826F1">
        <w:t> </w:t>
      </w:r>
      <w:r w:rsidRPr="008C0390">
        <w:t>comarcas que requieran una intervención urgente, cuya función será acompañar a las personas o empresas que quieran instalarse en la zona</w:t>
      </w:r>
      <w:r>
        <w:t>.</w:t>
      </w:r>
    </w:p>
    <w:p w14:paraId="156D4842" w14:textId="77777777" w:rsidR="007432CA" w:rsidRPr="007432CA" w:rsidRDefault="007432CA" w:rsidP="007432CA">
      <w:pPr>
        <w:numPr>
          <w:ilvl w:val="0"/>
          <w:numId w:val="3"/>
        </w:numPr>
      </w:pPr>
      <w:r w:rsidRPr="007432CA">
        <w:rPr>
          <w:u w:val="single"/>
        </w:rPr>
        <w:t>Lucha contra la pobreza energética</w:t>
      </w:r>
    </w:p>
    <w:p w14:paraId="1C79C526" w14:textId="77777777" w:rsidR="007432CA" w:rsidRPr="002B3947" w:rsidRDefault="007432CA" w:rsidP="007432CA">
      <w:pPr>
        <w:numPr>
          <w:ilvl w:val="1"/>
          <w:numId w:val="3"/>
        </w:numPr>
        <w:rPr>
          <w:u w:val="single"/>
        </w:rPr>
      </w:pPr>
      <w:r w:rsidRPr="002B3947">
        <w:rPr>
          <w:u w:val="single"/>
        </w:rPr>
        <w:t>RDL 2018 de Medidas urgentes para la transición y protección de los consumidores</w:t>
      </w:r>
    </w:p>
    <w:p w14:paraId="068D0CFD" w14:textId="77777777" w:rsidR="007432CA" w:rsidRPr="006108B1" w:rsidRDefault="007432CA" w:rsidP="007432CA">
      <w:pPr>
        <w:numPr>
          <w:ilvl w:val="2"/>
          <w:numId w:val="3"/>
        </w:numPr>
        <w:rPr>
          <w:u w:val="single"/>
        </w:rPr>
      </w:pPr>
      <w:r>
        <w:rPr>
          <w:u w:val="single"/>
        </w:rPr>
        <w:t>A</w:t>
      </w:r>
      <w:r w:rsidRPr="006108B1">
        <w:rPr>
          <w:u w:val="single"/>
        </w:rPr>
        <w:t>utoconsumo de energías renovables</w:t>
      </w:r>
    </w:p>
    <w:p w14:paraId="6C37F2A4" w14:textId="77777777" w:rsidR="007432CA" w:rsidRDefault="007432CA" w:rsidP="007432CA">
      <w:pPr>
        <w:numPr>
          <w:ilvl w:val="3"/>
          <w:numId w:val="3"/>
        </w:numPr>
      </w:pPr>
      <w:r>
        <w:t>R</w:t>
      </w:r>
      <w:r w:rsidRPr="006108B1">
        <w:t>econocimiento del derecho a auto consumir energía sin cargos al eliminar al denominado "</w:t>
      </w:r>
      <w:r w:rsidRPr="00D4206C">
        <w:rPr>
          <w:b/>
        </w:rPr>
        <w:t>impuesto al sol</w:t>
      </w:r>
      <w:r w:rsidRPr="006108B1">
        <w:t>"</w:t>
      </w:r>
      <w:r>
        <w:t>.</w:t>
      </w:r>
    </w:p>
    <w:p w14:paraId="39646847" w14:textId="77777777" w:rsidR="007432CA" w:rsidRDefault="007432CA" w:rsidP="007432CA">
      <w:pPr>
        <w:numPr>
          <w:ilvl w:val="2"/>
          <w:numId w:val="3"/>
        </w:numPr>
        <w:rPr>
          <w:u w:val="single"/>
        </w:rPr>
      </w:pPr>
      <w:r w:rsidRPr="006108B1">
        <w:rPr>
          <w:u w:val="single"/>
        </w:rPr>
        <w:t>Protección del consumidor de energía eléctrica</w:t>
      </w:r>
    </w:p>
    <w:p w14:paraId="5C013871" w14:textId="77777777" w:rsidR="007432CA" w:rsidRPr="006108B1" w:rsidRDefault="007432CA" w:rsidP="007432CA">
      <w:pPr>
        <w:numPr>
          <w:ilvl w:val="3"/>
          <w:numId w:val="3"/>
        </w:numPr>
        <w:rPr>
          <w:u w:val="single"/>
        </w:rPr>
      </w:pPr>
      <w:r>
        <w:t xml:space="preserve">Incluye una batería de medidas específicas para su protección. </w:t>
      </w:r>
    </w:p>
    <w:p w14:paraId="35DF4049" w14:textId="77777777" w:rsidR="007432CA" w:rsidRDefault="007432CA" w:rsidP="007432CA">
      <w:pPr>
        <w:numPr>
          <w:ilvl w:val="2"/>
          <w:numId w:val="3"/>
        </w:numPr>
        <w:rPr>
          <w:u w:val="single"/>
        </w:rPr>
      </w:pPr>
      <w:r>
        <w:rPr>
          <w:u w:val="single"/>
        </w:rPr>
        <w:t>C</w:t>
      </w:r>
      <w:r w:rsidRPr="006108B1">
        <w:rPr>
          <w:u w:val="single"/>
        </w:rPr>
        <w:t>onsumidores más vulnerables</w:t>
      </w:r>
    </w:p>
    <w:p w14:paraId="58A90413" w14:textId="11CE9C19" w:rsidR="007432CA" w:rsidRPr="00050768" w:rsidRDefault="007432CA" w:rsidP="00050768">
      <w:pPr>
        <w:numPr>
          <w:ilvl w:val="3"/>
          <w:numId w:val="3"/>
        </w:numPr>
        <w:rPr>
          <w:u w:val="single"/>
        </w:rPr>
      </w:pPr>
      <w:r>
        <w:t xml:space="preserve">Mediante la elaboración de una </w:t>
      </w:r>
      <w:r w:rsidRPr="00D4206C">
        <w:rPr>
          <w:b/>
        </w:rPr>
        <w:t>Estrategia Nacional contra la Pobreza energética</w:t>
      </w:r>
      <w:r>
        <w:t xml:space="preserve"> (aprobada en abril de 2019).</w:t>
      </w:r>
    </w:p>
    <w:p w14:paraId="670E4503" w14:textId="66047740" w:rsidR="007432CA" w:rsidRPr="007432CA" w:rsidRDefault="007432CA" w:rsidP="007432CA">
      <w:pPr>
        <w:numPr>
          <w:ilvl w:val="0"/>
          <w:numId w:val="3"/>
        </w:numPr>
        <w:rPr>
          <w:u w:val="single"/>
        </w:rPr>
      </w:pPr>
      <w:r w:rsidRPr="007432CA">
        <w:rPr>
          <w:u w:val="single"/>
        </w:rPr>
        <w:t>Política de vivienda</w:t>
      </w:r>
      <w:r>
        <w:rPr>
          <w:u w:val="single"/>
        </w:rPr>
        <w:t>: PITVI 2018</w:t>
      </w:r>
      <w:r w:rsidR="004826F1">
        <w:rPr>
          <w:u w:val="single"/>
        </w:rPr>
        <w:t>-</w:t>
      </w:r>
      <w:r>
        <w:rPr>
          <w:u w:val="single"/>
        </w:rPr>
        <w:t>2021</w:t>
      </w:r>
      <w:r w:rsidR="004826F1" w:rsidRPr="004826F1">
        <w:t>:</w:t>
      </w:r>
    </w:p>
    <w:p w14:paraId="297A6473" w14:textId="49C96E8C" w:rsidR="002B3947" w:rsidRDefault="002B3947" w:rsidP="007432CA">
      <w:pPr>
        <w:numPr>
          <w:ilvl w:val="1"/>
          <w:numId w:val="3"/>
        </w:numPr>
        <w:tabs>
          <w:tab w:val="clear" w:pos="1440"/>
        </w:tabs>
        <w:rPr>
          <w:u w:val="single"/>
        </w:rPr>
      </w:pPr>
      <w:r>
        <w:rPr>
          <w:u w:val="single"/>
        </w:rPr>
        <w:t>PITVI 2018</w:t>
      </w:r>
      <w:r w:rsidR="004826F1">
        <w:rPr>
          <w:u w:val="single"/>
        </w:rPr>
        <w:t>-</w:t>
      </w:r>
      <w:r>
        <w:rPr>
          <w:u w:val="single"/>
        </w:rPr>
        <w:t>2021</w:t>
      </w:r>
    </w:p>
    <w:p w14:paraId="576C59E1" w14:textId="77777777" w:rsidR="002B3947" w:rsidRDefault="002B3947" w:rsidP="002B3947">
      <w:pPr>
        <w:numPr>
          <w:ilvl w:val="2"/>
          <w:numId w:val="3"/>
        </w:numPr>
        <w:rPr>
          <w:u w:val="single"/>
        </w:rPr>
      </w:pPr>
      <w:r>
        <w:t xml:space="preserve">Se introducen ayudas directas tanto para el alquiler como para la compra a colectivos más desfavorecidos. </w:t>
      </w:r>
    </w:p>
    <w:p w14:paraId="72C0FF3A" w14:textId="77777777" w:rsidR="003C5A40" w:rsidRDefault="003C5A40" w:rsidP="003C5A40">
      <w:pPr>
        <w:numPr>
          <w:ilvl w:val="1"/>
          <w:numId w:val="3"/>
        </w:numPr>
        <w:rPr>
          <w:u w:val="single"/>
        </w:rPr>
      </w:pPr>
      <w:r w:rsidRPr="003C5A40">
        <w:rPr>
          <w:u w:val="single"/>
        </w:rPr>
        <w:t>Nueva Ley de Crédito inmobiliario</w:t>
      </w:r>
    </w:p>
    <w:p w14:paraId="7E6EF12D" w14:textId="475AE245" w:rsidR="007432CA" w:rsidRPr="007432CA" w:rsidRDefault="002B3947" w:rsidP="00050768">
      <w:pPr>
        <w:numPr>
          <w:ilvl w:val="2"/>
          <w:numId w:val="3"/>
        </w:numPr>
      </w:pPr>
      <w:r>
        <w:t>Incrementa la dificultad de embargo y de desahucio al mismo tiempo que implementa medidas para evitar un riesgo moral.</w:t>
      </w:r>
    </w:p>
    <w:p w14:paraId="01274F27" w14:textId="076260F3" w:rsidR="007432CA" w:rsidRPr="007432CA" w:rsidRDefault="002D5B0A" w:rsidP="007432CA">
      <w:pPr>
        <w:numPr>
          <w:ilvl w:val="0"/>
          <w:numId w:val="3"/>
        </w:numPr>
        <w:tabs>
          <w:tab w:val="clear" w:pos="720"/>
        </w:tabs>
      </w:pPr>
      <w:r w:rsidRPr="002D5B0A">
        <w:rPr>
          <w:u w:val="single"/>
        </w:rPr>
        <w:t>Medidas contra la precariedad laboral</w:t>
      </w:r>
      <w:r w:rsidR="007432CA" w:rsidRPr="007432CA">
        <w:t>:</w:t>
      </w:r>
    </w:p>
    <w:p w14:paraId="5C142BC3" w14:textId="39BC8ECD" w:rsidR="007432CA" w:rsidRPr="007432CA" w:rsidRDefault="007432CA" w:rsidP="007432CA">
      <w:pPr>
        <w:numPr>
          <w:ilvl w:val="1"/>
          <w:numId w:val="3"/>
        </w:numPr>
        <w:tabs>
          <w:tab w:val="clear" w:pos="1440"/>
        </w:tabs>
      </w:pPr>
      <w:r w:rsidRPr="007432CA">
        <w:t>Aumento del SMI interprofesional hasta los 900</w:t>
      </w:r>
      <w:r w:rsidR="00050768">
        <w:t> </w:t>
      </w:r>
      <w:r w:rsidRPr="007432CA">
        <w:t>euros.</w:t>
      </w:r>
    </w:p>
    <w:p w14:paraId="7CC45C70" w14:textId="6B32F8C5" w:rsidR="002D5B0A" w:rsidRPr="00050768" w:rsidRDefault="007432CA" w:rsidP="002D5B0A">
      <w:pPr>
        <w:pStyle w:val="NormalWeb"/>
        <w:numPr>
          <w:ilvl w:val="1"/>
          <w:numId w:val="3"/>
        </w:numPr>
        <w:spacing w:before="0" w:beforeAutospacing="0" w:after="0" w:afterAutospacing="0"/>
      </w:pPr>
      <w:r w:rsidRPr="007432CA">
        <w:rPr>
          <w:rFonts w:eastAsia="Times New Roman"/>
          <w:lang w:eastAsia="es-ES"/>
        </w:rPr>
        <w:lastRenderedPageBreak/>
        <w:t>Implementación gradual del Ingreso Mínimo Vital (PGE 2019).</w:t>
      </w:r>
    </w:p>
    <w:p w14:paraId="72F11EC3" w14:textId="1D7E7EE7" w:rsidR="00666DC5" w:rsidRDefault="002D5B0A" w:rsidP="00006D4D">
      <w:pPr>
        <w:pStyle w:val="Ttulo6"/>
      </w:pPr>
      <w:bookmarkStart w:id="66" w:name="_Toc151227167"/>
      <w:r w:rsidRPr="002D5B0A">
        <w:rPr>
          <w:rFonts w:eastAsia="Times New Roman"/>
          <w:lang w:eastAsia="es-ES"/>
        </w:rPr>
        <w:t>Educación</w:t>
      </w:r>
      <w:bookmarkEnd w:id="66"/>
    </w:p>
    <w:p w14:paraId="2736123B" w14:textId="77777777" w:rsidR="002D5B0A" w:rsidRDefault="002D5B0A" w:rsidP="004826F1">
      <w:pPr>
        <w:pStyle w:val="Nivel2SM"/>
        <w:keepNext/>
        <w:spacing w:after="0"/>
      </w:pPr>
      <w:r>
        <w:t xml:space="preserve">El gobierno intentará abordar los objetivos de educación en parte mediante las políticas de FP introducidas anteriormente pero también mediante otras como: </w:t>
      </w:r>
    </w:p>
    <w:p w14:paraId="606630C8" w14:textId="356A7202" w:rsidR="002D5B0A" w:rsidRDefault="002D5B0A" w:rsidP="004826F1">
      <w:pPr>
        <w:pStyle w:val="Nivel3SM"/>
      </w:pPr>
      <w:r>
        <w:t>La universalización del acceso a la educación infantil.</w:t>
      </w:r>
    </w:p>
    <w:p w14:paraId="4B6A5035" w14:textId="4FA48434" w:rsidR="002D5B0A" w:rsidRDefault="002D5B0A" w:rsidP="004826F1">
      <w:pPr>
        <w:pStyle w:val="Nivel3SM"/>
      </w:pPr>
      <w:r>
        <w:t>Nueva Ley Orgánica de Universidades.</w:t>
      </w:r>
    </w:p>
    <w:p w14:paraId="6B713794" w14:textId="3E8301EB" w:rsidR="003C5A40" w:rsidRDefault="002D5B0A" w:rsidP="004826F1">
      <w:pPr>
        <w:pStyle w:val="Nivel3SM"/>
      </w:pPr>
      <w:r>
        <w:t>Nueva política de becas y ayudas para estudios públicos universitarios.</w:t>
      </w:r>
    </w:p>
    <w:p w14:paraId="272FA5FC" w14:textId="1CA51E74" w:rsidR="003C5A40" w:rsidRPr="00CD10F4" w:rsidRDefault="003C5A40" w:rsidP="00A71EB8">
      <w:pPr>
        <w:pStyle w:val="Ttulo3"/>
      </w:pPr>
      <w:bookmarkStart w:id="67" w:name="_Toc151227168"/>
      <w:r w:rsidRPr="003C5A40">
        <w:t>Sector Financiero</w:t>
      </w:r>
      <w:bookmarkEnd w:id="67"/>
    </w:p>
    <w:p w14:paraId="09545CAE" w14:textId="058E0BE1" w:rsidR="003C5A40" w:rsidRPr="00CD10F4" w:rsidRDefault="003C5A40" w:rsidP="00006D4D">
      <w:pPr>
        <w:pStyle w:val="Ttulo6"/>
        <w:spacing w:before="0"/>
      </w:pPr>
      <w:bookmarkStart w:id="68" w:name="_Toc151227169"/>
      <w:r w:rsidRPr="003C5A40">
        <w:t>Rescate y Reestructuración</w:t>
      </w:r>
      <w:bookmarkEnd w:id="68"/>
    </w:p>
    <w:p w14:paraId="047429D9" w14:textId="6918CBBB" w:rsidR="003C5A40" w:rsidRPr="003C5A40" w:rsidRDefault="003C5A40" w:rsidP="004826F1">
      <w:pPr>
        <w:pStyle w:val="Nivel2SM"/>
        <w:keepNext/>
        <w:spacing w:after="0"/>
      </w:pPr>
      <w:r w:rsidRPr="003C5A40">
        <w:t>El impacto directo de la crisis financiera tras la quiebra de Lehman Brothers y las hipotecas subprime fue relativamente reducido debido al modelo de originar para mantener (tradicional) de la banca nacional.</w:t>
      </w:r>
    </w:p>
    <w:p w14:paraId="77762ADE" w14:textId="1193AB21" w:rsidR="003C5A40" w:rsidRPr="003C5A40" w:rsidRDefault="003C5A40" w:rsidP="006C34F3">
      <w:pPr>
        <w:pStyle w:val="Nivel3SM"/>
      </w:pPr>
      <w:r w:rsidRPr="003C5A40">
        <w:t>No obstante el racionamiento de crédito en los mercados internacionales tuvo un impacto sobre el sector financiero y sobre el crédito otorgado a la construcción y promotores inmobiliarios.</w:t>
      </w:r>
    </w:p>
    <w:p w14:paraId="35EEC130" w14:textId="41B78CA3" w:rsidR="003C5A40" w:rsidRPr="003C5A40" w:rsidRDefault="003C5A40" w:rsidP="006C34F3">
      <w:pPr>
        <w:pStyle w:val="Nivel3SM"/>
      </w:pPr>
      <w:r w:rsidRPr="003C5A40">
        <w:t>Esta reducción del crédito junto con las dudas sobre el precio de la vivienda hicieron que explotase la burbuja inmobiliaria en España con graves consecuencias sobre la economía real y sobre el balance de numerosos bancos requiriendo éstos ayuda financiera.</w:t>
      </w:r>
    </w:p>
    <w:p w14:paraId="23761AB7" w14:textId="774CAE5B" w:rsidR="003C5A40" w:rsidRPr="003C5A40" w:rsidRDefault="003C5A40" w:rsidP="006C34F3">
      <w:pPr>
        <w:pStyle w:val="Nivel2SM"/>
        <w:keepNext/>
        <w:spacing w:after="0"/>
      </w:pPr>
      <w:r w:rsidRPr="003C5A40">
        <w:t>Las medidas que se implementaron en el sector financiero fueron numerosas. Comentamos las más importantes.</w:t>
      </w:r>
    </w:p>
    <w:p w14:paraId="04EBB4E0" w14:textId="77777777" w:rsidR="003C5A40" w:rsidRPr="003C5A40" w:rsidRDefault="003C5A40" w:rsidP="006C34F3">
      <w:pPr>
        <w:pStyle w:val="Nivel3SM"/>
      </w:pPr>
      <w:r w:rsidRPr="003C5A40">
        <w:t>Creación del FAAF.</w:t>
      </w:r>
    </w:p>
    <w:p w14:paraId="6186B968" w14:textId="53C9C8B3" w:rsidR="003C5A40" w:rsidRPr="003C5A40" w:rsidRDefault="003C5A40" w:rsidP="006C34F3">
      <w:pPr>
        <w:pStyle w:val="Nivel3SM"/>
      </w:pPr>
      <w:r w:rsidRPr="003C5A40">
        <w:t>Creación del FROB.</w:t>
      </w:r>
    </w:p>
    <w:p w14:paraId="0883C84A" w14:textId="77777777" w:rsidR="003C5A40" w:rsidRPr="003C5A40" w:rsidRDefault="003C5A40" w:rsidP="006C34F3">
      <w:pPr>
        <w:pStyle w:val="Nivel3SM"/>
      </w:pPr>
      <w:r w:rsidRPr="003C5A40">
        <w:t>Bancarización de las cajas de ahorro.</w:t>
      </w:r>
    </w:p>
    <w:p w14:paraId="2E4814AC" w14:textId="438F1192" w:rsidR="003C5A40" w:rsidRPr="003C5A40" w:rsidRDefault="003C5A40" w:rsidP="006C34F3">
      <w:pPr>
        <w:pStyle w:val="Nivel3SM"/>
      </w:pPr>
      <w:r w:rsidRPr="003C5A40">
        <w:t xml:space="preserve">Test de </w:t>
      </w:r>
      <w:r w:rsidR="008300E5">
        <w:t>estré</w:t>
      </w:r>
      <w:r w:rsidRPr="003C5A40">
        <w:t>s y aumentos de ratios de capital.</w:t>
      </w:r>
    </w:p>
    <w:p w14:paraId="1E4DCB3A" w14:textId="54A36CE0" w:rsidR="003C5A40" w:rsidRPr="003C5A40" w:rsidRDefault="003C5A40" w:rsidP="006C34F3">
      <w:pPr>
        <w:pStyle w:val="Nivel2SM"/>
        <w:keepNext/>
        <w:spacing w:after="0"/>
      </w:pPr>
      <w:r w:rsidRPr="003C5A40">
        <w:t>No obstante</w:t>
      </w:r>
      <w:r w:rsidR="00261A9B">
        <w:t>,</w:t>
      </w:r>
      <w:r w:rsidRPr="003C5A40">
        <w:t xml:space="preserve"> las medidas anteriores no son suficientes y la crisis agravó provocó: </w:t>
      </w:r>
    </w:p>
    <w:p w14:paraId="297A2126" w14:textId="6B517EFB" w:rsidR="003C5A40" w:rsidRPr="003C5A40" w:rsidRDefault="003C5A40" w:rsidP="006C34F3">
      <w:pPr>
        <w:pStyle w:val="Nivel3SM"/>
        <w:keepNext/>
      </w:pPr>
      <w:r w:rsidRPr="006C34F3">
        <w:rPr>
          <w:i/>
          <w:iCs/>
        </w:rPr>
        <w:t>Circulo vicioso</w:t>
      </w:r>
      <w:r w:rsidR="006C34F3">
        <w:t>:</w:t>
      </w:r>
    </w:p>
    <w:p w14:paraId="4D5687AB" w14:textId="39C4186F" w:rsidR="003C5A40" w:rsidRPr="003C5A40" w:rsidRDefault="003C5A40" w:rsidP="006C34F3">
      <w:pPr>
        <w:pStyle w:val="Nivel4"/>
        <w:ind w:left="1474"/>
      </w:pPr>
      <w:r w:rsidRPr="003C5A40">
        <w:t xml:space="preserve">Intensificación del problema del círculo vicioso de la deuda bancaria y del </w:t>
      </w:r>
      <w:r w:rsidR="00D55C1E">
        <w:t>E</w:t>
      </w:r>
      <w:r w:rsidRPr="003C5A40">
        <w:t>stado.</w:t>
      </w:r>
    </w:p>
    <w:p w14:paraId="0B9F954C" w14:textId="6222D15C" w:rsidR="003C5A40" w:rsidRPr="003C5A40" w:rsidRDefault="003C5A40" w:rsidP="006C34F3">
      <w:pPr>
        <w:pStyle w:val="Nivel3SM"/>
        <w:keepNext/>
      </w:pPr>
      <w:r w:rsidRPr="006C34F3">
        <w:rPr>
          <w:i/>
          <w:iCs/>
        </w:rPr>
        <w:t>De nuevo problema de hojas de balance</w:t>
      </w:r>
      <w:r w:rsidRPr="003C5A40">
        <w:t>:</w:t>
      </w:r>
    </w:p>
    <w:p w14:paraId="042F46DA" w14:textId="69CE9DF6" w:rsidR="003C5A40" w:rsidRPr="003C5A40" w:rsidRDefault="003C5A40" w:rsidP="006C34F3">
      <w:pPr>
        <w:pStyle w:val="Nivel4"/>
        <w:ind w:left="1474"/>
      </w:pPr>
      <w:r w:rsidRPr="003C5A40">
        <w:t xml:space="preserve">Reflejo: Solicitud de Bankia de </w:t>
      </w:r>
      <w:r w:rsidRPr="003C5A40">
        <w:rPr>
          <w:b/>
        </w:rPr>
        <w:t>convertir en capital los</w:t>
      </w:r>
      <w:r w:rsidR="004A1CAE">
        <w:rPr>
          <w:b/>
        </w:rPr>
        <w:t> €</w:t>
      </w:r>
      <w:r w:rsidRPr="003C5A40">
        <w:rPr>
          <w:b/>
        </w:rPr>
        <w:t xml:space="preserve">4,465 MM de euros en participaciones preferentes </w:t>
      </w:r>
      <w:r w:rsidRPr="003C5A40">
        <w:t>y pedir en los mercados financieros</w:t>
      </w:r>
      <w:r w:rsidR="004A1CAE">
        <w:t> €</w:t>
      </w:r>
      <w:r w:rsidRPr="003C5A40">
        <w:rPr>
          <w:b/>
        </w:rPr>
        <w:t>19,000 millones adicionales</w:t>
      </w:r>
      <w:r w:rsidRPr="003C5A40">
        <w:t xml:space="preserve"> para completar su recapitalización. </w:t>
      </w:r>
    </w:p>
    <w:p w14:paraId="1DE9509C" w14:textId="782A2889" w:rsidR="003C5A40" w:rsidRPr="003C5A40" w:rsidRDefault="003C5A40" w:rsidP="00261A9B">
      <w:pPr>
        <w:pStyle w:val="Nivel2SM"/>
      </w:pPr>
      <w:r w:rsidRPr="003C5A40">
        <w:t xml:space="preserve">Consumidos la mayor parte de los recursos tanto de FROB como del Fondo de Garantía de Depósitos, el 20 de julio de 2012, el Gobierno español solicitó a las autoridades comunitarias asistencia financiera para llevar a cabo el proceso de reestructuración y recapitalización del sector bancario. </w:t>
      </w:r>
      <w:r w:rsidRPr="003C5A40">
        <w:rPr>
          <w:b/>
        </w:rPr>
        <w:t>En total, se concedieron a España ~40.000</w:t>
      </w:r>
      <w:r w:rsidR="00261A9B">
        <w:rPr>
          <w:b/>
        </w:rPr>
        <w:t> millones de euros</w:t>
      </w:r>
      <w:r w:rsidRPr="003C5A40">
        <w:t xml:space="preserve">. </w:t>
      </w:r>
    </w:p>
    <w:p w14:paraId="41F7AE5A" w14:textId="77777777" w:rsidR="003C5A40" w:rsidRPr="003C5A40" w:rsidRDefault="003C5A40" w:rsidP="006C34F3">
      <w:pPr>
        <w:pStyle w:val="Nivel2SM"/>
        <w:keepNext/>
        <w:spacing w:after="0"/>
      </w:pPr>
      <w:r w:rsidRPr="003C5A40">
        <w:t xml:space="preserve">Este programa implementó una estricta condicionalidad basada en: </w:t>
      </w:r>
    </w:p>
    <w:p w14:paraId="55E885F1" w14:textId="072E9E59" w:rsidR="003C5A40" w:rsidRPr="002B3947" w:rsidRDefault="003C5A40" w:rsidP="006C34F3">
      <w:pPr>
        <w:pStyle w:val="Nivel3SM"/>
      </w:pPr>
      <w:r w:rsidRPr="002B3947">
        <w:t>Implementación de un mecanismo de segregación de activos conocido como un banco malo (SAREB).</w:t>
      </w:r>
    </w:p>
    <w:p w14:paraId="546740D2" w14:textId="227D79B3" w:rsidR="003C5A40" w:rsidRPr="002B3947" w:rsidRDefault="003C5A40" w:rsidP="006C34F3">
      <w:pPr>
        <w:pStyle w:val="Nivel3SM"/>
        <w:keepNext/>
      </w:pPr>
      <w:r w:rsidRPr="002B3947">
        <w:t>Memorando de Entendimiento.</w:t>
      </w:r>
    </w:p>
    <w:p w14:paraId="182EA311" w14:textId="77777777" w:rsidR="003C5A40" w:rsidRPr="002B3947" w:rsidRDefault="003C5A40" w:rsidP="006C34F3">
      <w:pPr>
        <w:pStyle w:val="Nivel4"/>
        <w:ind w:left="1474"/>
      </w:pPr>
      <w:r w:rsidRPr="002B3947">
        <w:t>Condicionalidad en el sector financiero</w:t>
      </w:r>
    </w:p>
    <w:p w14:paraId="5032706F" w14:textId="77777777" w:rsidR="003C5A40" w:rsidRPr="002B3947" w:rsidRDefault="003C5A40" w:rsidP="006C34F3">
      <w:pPr>
        <w:pStyle w:val="Nivel4"/>
        <w:ind w:left="1474"/>
      </w:pPr>
      <w:r w:rsidRPr="002B3947">
        <w:t xml:space="preserve">Condicionalidad a nivel macroeconómico </w:t>
      </w:r>
    </w:p>
    <w:p w14:paraId="17D1AC13" w14:textId="77777777" w:rsidR="003C5A40" w:rsidRPr="00D917E9" w:rsidRDefault="003C5A40" w:rsidP="008300E5">
      <w:pPr>
        <w:pStyle w:val="Ttulo6"/>
      </w:pPr>
      <w:bookmarkStart w:id="69" w:name="_Toc151227170"/>
      <w:r>
        <w:t>Reforma de la Ley del Mercado de Valores</w:t>
      </w:r>
      <w:bookmarkEnd w:id="69"/>
    </w:p>
    <w:p w14:paraId="117E8A6A" w14:textId="77777777" w:rsidR="003C5A40" w:rsidRPr="003C5A40" w:rsidRDefault="003C5A40" w:rsidP="006C34F3">
      <w:pPr>
        <w:pStyle w:val="Nivel2SM"/>
        <w:keepNext/>
        <w:spacing w:after="0"/>
        <w:rPr>
          <w:u w:val="single"/>
        </w:rPr>
      </w:pPr>
      <w:r>
        <w:t xml:space="preserve">La Ley del Mercado de Valores de 1988 permaneció vigente hasta el 2007 donde se sustituyó por la </w:t>
      </w:r>
      <w:r w:rsidRPr="00D53A0F">
        <w:rPr>
          <w:u w:val="single"/>
        </w:rPr>
        <w:t>Ley de 2007</w:t>
      </w:r>
      <w:r>
        <w:t xml:space="preserve"> que incorporó diversas Directivas europeas y en particular la Directiva 2004 </w:t>
      </w:r>
      <w:r>
        <w:lastRenderedPageBreak/>
        <w:t xml:space="preserve">también conocida como MiFID I, la cual supuso una </w:t>
      </w:r>
      <w:r w:rsidRPr="00D53A0F">
        <w:rPr>
          <w:u w:val="single"/>
        </w:rPr>
        <w:t>verdadera revolución en términos de armonización de los mercados de valores europeos</w:t>
      </w:r>
      <w:r>
        <w:t>.</w:t>
      </w:r>
    </w:p>
    <w:p w14:paraId="3E90C060" w14:textId="2AFF203F" w:rsidR="003C5A40" w:rsidRPr="002B3947" w:rsidRDefault="003C5A40" w:rsidP="003A4F99">
      <w:pPr>
        <w:pStyle w:val="Nivel3SM"/>
        <w:rPr>
          <w:u w:val="single"/>
        </w:rPr>
      </w:pPr>
      <w:r>
        <w:t xml:space="preserve">En septiembre 2018 se reforma la Ley de 2007 y se adapta a la nueva directiva </w:t>
      </w:r>
      <w:proofErr w:type="spellStart"/>
      <w:r>
        <w:t>MiFID</w:t>
      </w:r>
      <w:proofErr w:type="spellEnd"/>
      <w:r w:rsidR="003A4F99">
        <w:t> </w:t>
      </w:r>
      <w:r>
        <w:t>II del 2014, los cuales refuerzan la armonización de los mercados de valores europeos y aumentan aún más la producción del inversor.</w:t>
      </w:r>
    </w:p>
    <w:p w14:paraId="04D4CA3C" w14:textId="60715725" w:rsidR="002B3947" w:rsidRDefault="002B3947" w:rsidP="00A71EB8">
      <w:pPr>
        <w:pStyle w:val="Ttulo3"/>
      </w:pPr>
      <w:bookmarkStart w:id="70" w:name="_Toc151227171"/>
      <w:r w:rsidRPr="00AE1A39">
        <w:t>Política monetaria</w:t>
      </w:r>
      <w:r>
        <w:t xml:space="preserve">: Introducción de una </w:t>
      </w:r>
      <w:r w:rsidR="008300E5">
        <w:t>política monetaria</w:t>
      </w:r>
      <w:r>
        <w:t xml:space="preserve"> no</w:t>
      </w:r>
      <w:r w:rsidR="008300E5">
        <w:t> </w:t>
      </w:r>
      <w:r>
        <w:t>convencional</w:t>
      </w:r>
      <w:bookmarkEnd w:id="70"/>
    </w:p>
    <w:p w14:paraId="725F20C2" w14:textId="0BD8C77B" w:rsidR="002B3947" w:rsidRDefault="002B3947" w:rsidP="006C34F3">
      <w:pPr>
        <w:pStyle w:val="Nivel2SM"/>
        <w:keepNext/>
        <w:spacing w:after="0"/>
      </w:pPr>
      <w:r>
        <w:t>Prácticamente desde el inicio de la crisis el BCE redujo los tipos de interés a su nivel mínimo. No obstante esto fue claramente insuficiente teniendo que implementar las denominadas medidas de política monetaria no convencional debido a los siguientes factores</w:t>
      </w:r>
      <w:r w:rsidR="008300E5">
        <w:t>:</w:t>
      </w:r>
    </w:p>
    <w:p w14:paraId="46789ED3" w14:textId="16695FC0" w:rsidR="002B3947" w:rsidRPr="000050E1" w:rsidRDefault="002B3947" w:rsidP="006C34F3">
      <w:pPr>
        <w:pStyle w:val="Nivel3SM"/>
      </w:pPr>
      <w:r w:rsidRPr="000050E1">
        <w:t>Aumento de la prima de riesgo de países periféricos y posible contagio.</w:t>
      </w:r>
    </w:p>
    <w:p w14:paraId="1C71D14E" w14:textId="05EA9493" w:rsidR="002B3947" w:rsidRPr="000050E1" w:rsidRDefault="002B3947" w:rsidP="006C34F3">
      <w:pPr>
        <w:pStyle w:val="Nivel3SM"/>
      </w:pPr>
      <w:r w:rsidRPr="000050E1">
        <w:t xml:space="preserve">Ruptura del canal de transmisión entre la </w:t>
      </w:r>
      <w:bookmarkStart w:id="71" w:name="_Hlk148115039"/>
      <w:r w:rsidR="008300E5">
        <w:t>política monetaria</w:t>
      </w:r>
      <w:bookmarkEnd w:id="71"/>
      <w:r w:rsidRPr="000050E1">
        <w:t xml:space="preserve"> y la economía real</w:t>
      </w:r>
      <w:r w:rsidR="008300E5">
        <w:t>.</w:t>
      </w:r>
    </w:p>
    <w:p w14:paraId="6218770C" w14:textId="374E02D0" w:rsidR="002B3947" w:rsidRDefault="002B3947" w:rsidP="006C34F3">
      <w:pPr>
        <w:pStyle w:val="Nivel3SM"/>
      </w:pPr>
      <w:r w:rsidRPr="000050E1">
        <w:t>Trampa de la liquidez.</w:t>
      </w:r>
    </w:p>
    <w:p w14:paraId="5F9BE05F" w14:textId="58395CEB" w:rsidR="002B3947" w:rsidRDefault="002B3947" w:rsidP="006C34F3">
      <w:pPr>
        <w:pStyle w:val="Nivel2SM"/>
        <w:keepNext/>
        <w:spacing w:after="0"/>
      </w:pPr>
      <w:r>
        <w:t xml:space="preserve">La </w:t>
      </w:r>
      <w:r w:rsidR="008E197F" w:rsidRPr="008E197F">
        <w:t>política monetaria</w:t>
      </w:r>
      <w:r>
        <w:t xml:space="preserve"> no convencional podría dividirse en dos grandes periodos 2009 – 2014 y 2015 – diciembre 2018, aunque como veremos aún siguen existiendo a día de hoy medidas en cierta medida no</w:t>
      </w:r>
      <w:r w:rsidR="008E197F">
        <w:t> </w:t>
      </w:r>
      <w:r>
        <w:t>convencionales.</w:t>
      </w:r>
    </w:p>
    <w:p w14:paraId="4381781F" w14:textId="049FD4FA" w:rsidR="002B3947" w:rsidRDefault="002B3947" w:rsidP="006C34F3">
      <w:pPr>
        <w:pStyle w:val="Nivel3SM"/>
      </w:pPr>
      <w:r>
        <w:t xml:space="preserve">La </w:t>
      </w:r>
      <w:r w:rsidR="008E197F">
        <w:t>política monetaria</w:t>
      </w:r>
      <w:r>
        <w:t xml:space="preserve"> consistía a grandes rasgos en la implementación de programas de compra de activos manteniendo éstos hasta vencimiento, y en segundo lugar masivas inyecciones de liquidez.</w:t>
      </w:r>
    </w:p>
    <w:p w14:paraId="252F2D05" w14:textId="0872CAFF" w:rsidR="002B3947" w:rsidRPr="008E197F" w:rsidRDefault="002B3947" w:rsidP="003A4F99">
      <w:pPr>
        <w:pStyle w:val="Nivel2SM"/>
        <w:rPr>
          <w:u w:val="single"/>
        </w:rPr>
      </w:pPr>
      <w:r>
        <w:t xml:space="preserve">De los </w:t>
      </w:r>
      <w:r w:rsidRPr="00613A8D">
        <w:rPr>
          <w:b/>
        </w:rPr>
        <w:t>2,5</w:t>
      </w:r>
      <w:r w:rsidR="008E197F">
        <w:rPr>
          <w:b/>
        </w:rPr>
        <w:t> </w:t>
      </w:r>
      <w:r w:rsidRPr="00613A8D">
        <w:rPr>
          <w:b/>
        </w:rPr>
        <w:t>billones de euros</w:t>
      </w:r>
      <w:r>
        <w:t>, 250.000</w:t>
      </w:r>
      <w:r w:rsidR="003A4F99">
        <w:t> </w:t>
      </w:r>
      <w:r>
        <w:t>millones de euros fue a parar a la compra de deuda española.</w:t>
      </w:r>
    </w:p>
    <w:p w14:paraId="0938D4F0" w14:textId="40DD7235" w:rsidR="002B4EA4" w:rsidRPr="008E197F" w:rsidRDefault="002B4EA4" w:rsidP="00A71EB8">
      <w:pPr>
        <w:pStyle w:val="Ttulo3"/>
      </w:pPr>
      <w:bookmarkStart w:id="72" w:name="_Toc151227172"/>
      <w:r>
        <w:t>Brexit</w:t>
      </w:r>
      <w:bookmarkEnd w:id="72"/>
    </w:p>
    <w:p w14:paraId="11A0138A" w14:textId="0332AF97" w:rsidR="002B4EA4" w:rsidRPr="008E197F" w:rsidRDefault="002B4EA4" w:rsidP="003A4F99">
      <w:pPr>
        <w:pStyle w:val="Ttulo6"/>
        <w:spacing w:before="0" w:line="240" w:lineRule="auto"/>
      </w:pPr>
      <w:bookmarkStart w:id="73" w:name="_Toc151227173"/>
      <w:r w:rsidRPr="00AA37F7">
        <w:t>Importancia</w:t>
      </w:r>
      <w:bookmarkEnd w:id="73"/>
    </w:p>
    <w:p w14:paraId="451A49A8" w14:textId="77777777" w:rsidR="002B4EA4" w:rsidRDefault="002B4EA4" w:rsidP="00BE2C87">
      <w:pPr>
        <w:pStyle w:val="Nivel2SM"/>
      </w:pPr>
      <w:r>
        <w:t xml:space="preserve">Otro gran desafío es el Brexit, que va a influir sobre la economía española, dado que el Reino Unido es uno de los principales socios económicos españoles. </w:t>
      </w:r>
    </w:p>
    <w:p w14:paraId="1C889889" w14:textId="3B4B980C" w:rsidR="002B4EA4" w:rsidRDefault="002B4EA4" w:rsidP="002B4EA4">
      <w:pPr>
        <w:numPr>
          <w:ilvl w:val="1"/>
          <w:numId w:val="3"/>
        </w:numPr>
        <w:tabs>
          <w:tab w:val="clear" w:pos="1440"/>
        </w:tabs>
      </w:pPr>
      <w:r w:rsidRPr="00337312">
        <w:rPr>
          <w:u w:val="single"/>
        </w:rPr>
        <w:t>IDE española</w:t>
      </w:r>
      <w:r>
        <w:t>.</w:t>
      </w:r>
    </w:p>
    <w:p w14:paraId="3F5085D4" w14:textId="08DADA74" w:rsidR="002B4EA4" w:rsidRDefault="002B4EA4" w:rsidP="002B4EA4">
      <w:pPr>
        <w:numPr>
          <w:ilvl w:val="2"/>
          <w:numId w:val="3"/>
        </w:numPr>
        <w:tabs>
          <w:tab w:val="clear" w:pos="2160"/>
        </w:tabs>
      </w:pPr>
      <w:r>
        <w:t xml:space="preserve">Reino Unido es el </w:t>
      </w:r>
      <w:r w:rsidRPr="001D079B">
        <w:rPr>
          <w:b/>
        </w:rPr>
        <w:t>destino principal de la IDE española</w:t>
      </w:r>
      <w:r>
        <w:t xml:space="preserve"> (38</w:t>
      </w:r>
      <w:r w:rsidR="004A1CAE">
        <w:t> %</w:t>
      </w:r>
      <w:r>
        <w:t xml:space="preserve"> del total de IDE española en 2016). Sólo Alemania y Francia invierten en Reino Unido más que España.</w:t>
      </w:r>
    </w:p>
    <w:p w14:paraId="0F2AE97D" w14:textId="5E14CDDD" w:rsidR="002B4EA4" w:rsidRDefault="002B4EA4" w:rsidP="002B4EA4">
      <w:pPr>
        <w:numPr>
          <w:ilvl w:val="1"/>
          <w:numId w:val="3"/>
        </w:numPr>
        <w:tabs>
          <w:tab w:val="clear" w:pos="1440"/>
        </w:tabs>
      </w:pPr>
      <w:r w:rsidRPr="00337312">
        <w:rPr>
          <w:u w:val="single"/>
        </w:rPr>
        <w:t>Exportaciones de bienes</w:t>
      </w:r>
      <w:r>
        <w:t>.</w:t>
      </w:r>
    </w:p>
    <w:p w14:paraId="7C4C2138" w14:textId="091CC430" w:rsidR="002B4EA4" w:rsidRDefault="002B4EA4" w:rsidP="002B4EA4">
      <w:pPr>
        <w:numPr>
          <w:ilvl w:val="2"/>
          <w:numId w:val="3"/>
        </w:numPr>
      </w:pPr>
      <w:r>
        <w:t xml:space="preserve">Las exportaciones españolas de bienes a Reino Unido superaron el </w:t>
      </w:r>
      <w:r w:rsidRPr="001D079B">
        <w:rPr>
          <w:b/>
        </w:rPr>
        <w:t>8</w:t>
      </w:r>
      <w:r w:rsidR="004A1CAE">
        <w:rPr>
          <w:b/>
        </w:rPr>
        <w:t> %</w:t>
      </w:r>
      <w:r w:rsidRPr="001D079B">
        <w:rPr>
          <w:b/>
        </w:rPr>
        <w:t xml:space="preserve"> del total</w:t>
      </w:r>
      <w:r>
        <w:t xml:space="preserve">. Son más de </w:t>
      </w:r>
      <w:r w:rsidRPr="001D079B">
        <w:rPr>
          <w:b/>
        </w:rPr>
        <w:t>10</w:t>
      </w:r>
      <w:r w:rsidR="002E2644">
        <w:rPr>
          <w:b/>
        </w:rPr>
        <w:t> </w:t>
      </w:r>
      <w:r w:rsidRPr="001D079B">
        <w:rPr>
          <w:b/>
        </w:rPr>
        <w:t>años de superávit comercial español</w:t>
      </w:r>
      <w:r>
        <w:t>, de 8.000</w:t>
      </w:r>
      <w:r w:rsidR="002E2644">
        <w:t> millones de euros</w:t>
      </w:r>
      <w:r>
        <w:t xml:space="preserve"> el año pasado, con sectores como el material de transporte o el alimentario muy dependientes de las ventas en los mercados británicos. </w:t>
      </w:r>
    </w:p>
    <w:p w14:paraId="0FA3661F" w14:textId="333A1E65" w:rsidR="001D079B" w:rsidRDefault="001D079B" w:rsidP="001D079B">
      <w:pPr>
        <w:numPr>
          <w:ilvl w:val="1"/>
          <w:numId w:val="3"/>
        </w:numPr>
        <w:tabs>
          <w:tab w:val="clear" w:pos="1440"/>
        </w:tabs>
      </w:pPr>
      <w:r w:rsidRPr="00337312">
        <w:rPr>
          <w:u w:val="single"/>
        </w:rPr>
        <w:t>Inmigración británica</w:t>
      </w:r>
      <w:r>
        <w:t>.</w:t>
      </w:r>
    </w:p>
    <w:p w14:paraId="0A9161A5" w14:textId="7B597DC0" w:rsidR="001D079B" w:rsidRDefault="001D079B" w:rsidP="001D079B">
      <w:pPr>
        <w:numPr>
          <w:ilvl w:val="2"/>
          <w:numId w:val="3"/>
        </w:numPr>
        <w:tabs>
          <w:tab w:val="clear" w:pos="2160"/>
        </w:tabs>
      </w:pPr>
      <w:r>
        <w:t xml:space="preserve">Casi </w:t>
      </w:r>
      <w:r w:rsidRPr="001D079B">
        <w:rPr>
          <w:b/>
        </w:rPr>
        <w:t>1</w:t>
      </w:r>
      <w:r w:rsidR="002E2644">
        <w:rPr>
          <w:b/>
        </w:rPr>
        <w:t> </w:t>
      </w:r>
      <w:r w:rsidRPr="001D079B">
        <w:rPr>
          <w:b/>
        </w:rPr>
        <w:t>millón de británicos poseen viviendas en España</w:t>
      </w:r>
      <w:r>
        <w:t>, de los que aproximadamente la mitad residen permanentemente en nuestro país.</w:t>
      </w:r>
    </w:p>
    <w:p w14:paraId="065BBB21" w14:textId="57ACD50B" w:rsidR="001D079B" w:rsidRDefault="001D079B" w:rsidP="001D079B">
      <w:pPr>
        <w:numPr>
          <w:ilvl w:val="1"/>
          <w:numId w:val="3"/>
        </w:numPr>
        <w:tabs>
          <w:tab w:val="clear" w:pos="1440"/>
        </w:tabs>
      </w:pPr>
      <w:r w:rsidRPr="00337312">
        <w:rPr>
          <w:u w:val="single"/>
        </w:rPr>
        <w:t>Emigración española</w:t>
      </w:r>
      <w:r>
        <w:t>.</w:t>
      </w:r>
    </w:p>
    <w:p w14:paraId="4CC99781" w14:textId="3001F303" w:rsidR="002B4EA4" w:rsidRDefault="001D079B" w:rsidP="002B4EA4">
      <w:pPr>
        <w:numPr>
          <w:ilvl w:val="2"/>
          <w:numId w:val="3"/>
        </w:numPr>
        <w:tabs>
          <w:tab w:val="clear" w:pos="2160"/>
        </w:tabs>
      </w:pPr>
      <w:r>
        <w:t xml:space="preserve">Reino Unido es el </w:t>
      </w:r>
      <w:r w:rsidRPr="001D079B">
        <w:rPr>
          <w:b/>
        </w:rPr>
        <w:t>principal destino de la emigración española, con más de 300.000</w:t>
      </w:r>
      <w:r w:rsidR="00AD3255">
        <w:rPr>
          <w:b/>
        </w:rPr>
        <w:t> </w:t>
      </w:r>
      <w:r w:rsidRPr="001D079B">
        <w:rPr>
          <w:b/>
        </w:rPr>
        <w:t>españoles allí residentes</w:t>
      </w:r>
      <w:r>
        <w:t>.</w:t>
      </w:r>
    </w:p>
    <w:p w14:paraId="03B71858" w14:textId="33C760AB" w:rsidR="002B4EA4" w:rsidRPr="008E197F" w:rsidRDefault="002B4EA4" w:rsidP="002E2644">
      <w:pPr>
        <w:pStyle w:val="Ttulo6"/>
      </w:pPr>
      <w:bookmarkStart w:id="74" w:name="_Toc151227174"/>
      <w:r>
        <w:t>Efectos</w:t>
      </w:r>
      <w:bookmarkEnd w:id="74"/>
    </w:p>
    <w:p w14:paraId="222D965A" w14:textId="77777777" w:rsidR="002B4EA4" w:rsidRPr="00AA37F7" w:rsidRDefault="002B4EA4" w:rsidP="002B4EA4">
      <w:pPr>
        <w:numPr>
          <w:ilvl w:val="0"/>
          <w:numId w:val="3"/>
        </w:numPr>
        <w:rPr>
          <w:u w:val="single"/>
        </w:rPr>
      </w:pPr>
      <w:r w:rsidRPr="00AA37F7">
        <w:rPr>
          <w:u w:val="single"/>
        </w:rPr>
        <w:t>Sector turístico</w:t>
      </w:r>
    </w:p>
    <w:p w14:paraId="49EDBEE1" w14:textId="15D0D7AA" w:rsidR="002B4EA4" w:rsidRPr="00AA37F7" w:rsidRDefault="002B4EA4" w:rsidP="002B4EA4">
      <w:pPr>
        <w:numPr>
          <w:ilvl w:val="1"/>
          <w:numId w:val="3"/>
        </w:numPr>
      </w:pPr>
      <w:r w:rsidRPr="00AA37F7">
        <w:rPr>
          <w:u w:val="single"/>
        </w:rPr>
        <w:t xml:space="preserve">Importancia </w:t>
      </w:r>
      <w:r w:rsidR="008E197F">
        <w:rPr>
          <w:u w:val="single"/>
        </w:rPr>
        <w:t>Reino Unido</w:t>
      </w:r>
      <w:r>
        <w:t>:</w:t>
      </w:r>
    </w:p>
    <w:p w14:paraId="40C0A2D1" w14:textId="6F7F146F" w:rsidR="002B4EA4" w:rsidRDefault="002B4EA4" w:rsidP="002B4EA4">
      <w:pPr>
        <w:numPr>
          <w:ilvl w:val="2"/>
          <w:numId w:val="3"/>
        </w:numPr>
      </w:pPr>
      <w:r>
        <w:rPr>
          <w:smallCaps/>
        </w:rPr>
        <w:lastRenderedPageBreak/>
        <w:t>L</w:t>
      </w:r>
      <w:r w:rsidRPr="00AA37F7">
        <w:t>os viajeros británicos sufragan más del 20</w:t>
      </w:r>
      <w:r w:rsidR="004A1CAE">
        <w:t> %</w:t>
      </w:r>
      <w:r w:rsidRPr="00AA37F7">
        <w:t xml:space="preserve"> de los ingresos turísticos que registra España al año.</w:t>
      </w:r>
    </w:p>
    <w:p w14:paraId="3933070A" w14:textId="77777777" w:rsidR="002B4EA4" w:rsidRDefault="002B4EA4" w:rsidP="002B4EA4">
      <w:pPr>
        <w:numPr>
          <w:ilvl w:val="1"/>
          <w:numId w:val="3"/>
        </w:numPr>
      </w:pPr>
      <w:r w:rsidRPr="00AA37F7">
        <w:rPr>
          <w:u w:val="single"/>
        </w:rPr>
        <w:t>Efectos de un Brexit duro</w:t>
      </w:r>
      <w:r>
        <w:t>:</w:t>
      </w:r>
    </w:p>
    <w:p w14:paraId="75A1DFAC" w14:textId="7716B13D" w:rsidR="002B4EA4" w:rsidRDefault="002B4EA4" w:rsidP="002B4EA4">
      <w:pPr>
        <w:numPr>
          <w:ilvl w:val="2"/>
          <w:numId w:val="3"/>
        </w:numPr>
      </w:pPr>
      <w:r>
        <w:t>Barreras al movimiento de viajeros (visado electrónico).</w:t>
      </w:r>
    </w:p>
    <w:p w14:paraId="5E0ECFE7" w14:textId="3C9A6A9F" w:rsidR="002B4EA4" w:rsidRDefault="002B4EA4" w:rsidP="002B4EA4">
      <w:pPr>
        <w:numPr>
          <w:ilvl w:val="2"/>
          <w:numId w:val="3"/>
        </w:numPr>
      </w:pPr>
      <w:r>
        <w:t>Cancelación del actual acuerdo de cielos abiertos (efecto sobre un 15</w:t>
      </w:r>
      <w:r w:rsidR="004A1CAE">
        <w:t> %</w:t>
      </w:r>
      <w:r>
        <w:t xml:space="preserve"> del tráfico de aeropuertos españoles).</w:t>
      </w:r>
    </w:p>
    <w:p w14:paraId="794ACC06" w14:textId="77777777" w:rsidR="002B4EA4" w:rsidRPr="00AA37F7" w:rsidRDefault="002B4EA4" w:rsidP="002B4EA4">
      <w:pPr>
        <w:numPr>
          <w:ilvl w:val="1"/>
          <w:numId w:val="3"/>
        </w:numPr>
        <w:rPr>
          <w:u w:val="single"/>
        </w:rPr>
      </w:pPr>
      <w:r w:rsidRPr="00AA37F7">
        <w:rPr>
          <w:u w:val="single"/>
        </w:rPr>
        <w:t>Acuerdo bilateral</w:t>
      </w:r>
      <w:r>
        <w:t>:</w:t>
      </w:r>
    </w:p>
    <w:p w14:paraId="246380CD" w14:textId="176F5F69" w:rsidR="002B4EA4" w:rsidRDefault="002B4EA4" w:rsidP="009C6702">
      <w:pPr>
        <w:numPr>
          <w:ilvl w:val="2"/>
          <w:numId w:val="3"/>
        </w:numPr>
      </w:pPr>
      <w:r>
        <w:t>E</w:t>
      </w:r>
      <w:r w:rsidRPr="00AA37F7">
        <w:t xml:space="preserve">l Ministerio de Industria, Comercio y Turismo anunció que está elaborando un </w:t>
      </w:r>
      <w:r w:rsidRPr="00503463">
        <w:rPr>
          <w:b/>
        </w:rPr>
        <w:t>plan de contingencia</w:t>
      </w:r>
      <w:r w:rsidRPr="00AA37F7">
        <w:t xml:space="preserve"> que otorgue al Ejecutivo la potestad para </w:t>
      </w:r>
      <w:r w:rsidRPr="001027C1">
        <w:rPr>
          <w:b/>
        </w:rPr>
        <w:t>mantener abierta la frontera española</w:t>
      </w:r>
      <w:r w:rsidRPr="00AA37F7">
        <w:t xml:space="preserve"> a los viajeros británicos </w:t>
      </w:r>
      <w:r w:rsidRPr="001027C1">
        <w:rPr>
          <w:b/>
        </w:rPr>
        <w:t>sin necesidad de visado</w:t>
      </w:r>
      <w:r w:rsidRPr="00AA37F7">
        <w:t xml:space="preserve"> y </w:t>
      </w:r>
      <w:r w:rsidRPr="001027C1">
        <w:rPr>
          <w:b/>
        </w:rPr>
        <w:t>autorizar los vuelos entre los dos países</w:t>
      </w:r>
      <w:r w:rsidRPr="00AA37F7">
        <w:t>.</w:t>
      </w:r>
    </w:p>
    <w:p w14:paraId="1850FB29" w14:textId="77777777" w:rsidR="002B4EA4" w:rsidRDefault="002B4EA4" w:rsidP="002B4EA4">
      <w:pPr>
        <w:numPr>
          <w:ilvl w:val="0"/>
          <w:numId w:val="3"/>
        </w:numPr>
        <w:rPr>
          <w:u w:val="single"/>
        </w:rPr>
      </w:pPr>
      <w:r w:rsidRPr="001027C1">
        <w:rPr>
          <w:u w:val="single"/>
        </w:rPr>
        <w:t>Comercio</w:t>
      </w:r>
    </w:p>
    <w:p w14:paraId="75C020B1" w14:textId="0208D223" w:rsidR="002B4EA4" w:rsidRDefault="002B4EA4" w:rsidP="002B4EA4">
      <w:pPr>
        <w:numPr>
          <w:ilvl w:val="1"/>
          <w:numId w:val="3"/>
        </w:numPr>
        <w:rPr>
          <w:u w:val="single"/>
        </w:rPr>
      </w:pPr>
      <w:r>
        <w:rPr>
          <w:u w:val="single"/>
        </w:rPr>
        <w:t xml:space="preserve">Importancia </w:t>
      </w:r>
      <w:r w:rsidR="009C6702">
        <w:rPr>
          <w:u w:val="single"/>
        </w:rPr>
        <w:t>Reino Unido</w:t>
      </w:r>
    </w:p>
    <w:p w14:paraId="66B32D78" w14:textId="70CB7D3D" w:rsidR="002B4EA4" w:rsidRPr="001027C1" w:rsidRDefault="002B4EA4" w:rsidP="002B4EA4">
      <w:pPr>
        <w:numPr>
          <w:ilvl w:val="2"/>
          <w:numId w:val="3"/>
        </w:numPr>
        <w:rPr>
          <w:u w:val="single"/>
        </w:rPr>
      </w:pPr>
      <w:r>
        <w:t>6</w:t>
      </w:r>
      <w:r w:rsidR="009C6702">
        <w:t>,</w:t>
      </w:r>
      <w:r>
        <w:t>5</w:t>
      </w:r>
      <w:r w:rsidR="004A1CAE">
        <w:t> %</w:t>
      </w:r>
      <w:r>
        <w:t xml:space="preserve"> del total de las exportaciones.</w:t>
      </w:r>
    </w:p>
    <w:p w14:paraId="02E44883" w14:textId="77777777" w:rsidR="002B4EA4" w:rsidRDefault="002B4EA4" w:rsidP="002B4EA4">
      <w:pPr>
        <w:numPr>
          <w:ilvl w:val="1"/>
          <w:numId w:val="3"/>
        </w:numPr>
        <w:rPr>
          <w:u w:val="single"/>
        </w:rPr>
      </w:pPr>
      <w:r w:rsidRPr="001027C1">
        <w:rPr>
          <w:u w:val="single"/>
        </w:rPr>
        <w:t>Efectos</w:t>
      </w:r>
    </w:p>
    <w:p w14:paraId="0ABE7CFF" w14:textId="77777777" w:rsidR="002B4EA4" w:rsidRPr="001027C1" w:rsidRDefault="002B4EA4" w:rsidP="002B4EA4">
      <w:pPr>
        <w:numPr>
          <w:ilvl w:val="2"/>
          <w:numId w:val="3"/>
        </w:numPr>
        <w:rPr>
          <w:u w:val="single"/>
        </w:rPr>
      </w:pPr>
      <w:r>
        <w:rPr>
          <w:u w:val="single"/>
        </w:rPr>
        <w:t>General</w:t>
      </w:r>
    </w:p>
    <w:p w14:paraId="48CDE6FB" w14:textId="4990790E" w:rsidR="002B4EA4" w:rsidRPr="001027C1" w:rsidRDefault="002B4EA4" w:rsidP="002B4EA4">
      <w:pPr>
        <w:numPr>
          <w:ilvl w:val="3"/>
          <w:numId w:val="3"/>
        </w:numPr>
        <w:rPr>
          <w:u w:val="single"/>
        </w:rPr>
      </w:pPr>
      <w:r>
        <w:t>Caída del consumo británico y caída de la libra que junto a medidas de protección comercial afectaría considerablemente al comercio entre ambos países.</w:t>
      </w:r>
    </w:p>
    <w:p w14:paraId="1E22F954" w14:textId="77777777" w:rsidR="002B4EA4" w:rsidRPr="001027C1" w:rsidRDefault="002B4EA4" w:rsidP="002B4EA4">
      <w:pPr>
        <w:numPr>
          <w:ilvl w:val="2"/>
          <w:numId w:val="3"/>
        </w:numPr>
        <w:rPr>
          <w:u w:val="single"/>
        </w:rPr>
      </w:pPr>
      <w:r w:rsidRPr="001027C1">
        <w:rPr>
          <w:u w:val="single"/>
        </w:rPr>
        <w:t>Automoción</w:t>
      </w:r>
      <w:r>
        <w:t>:</w:t>
      </w:r>
    </w:p>
    <w:p w14:paraId="3EC3C104" w14:textId="4680FD81" w:rsidR="002B4EA4" w:rsidRPr="001027C1" w:rsidRDefault="002B4EA4" w:rsidP="002B4EA4">
      <w:pPr>
        <w:numPr>
          <w:ilvl w:val="3"/>
          <w:numId w:val="3"/>
        </w:numPr>
        <w:rPr>
          <w:u w:val="single"/>
        </w:rPr>
      </w:pPr>
      <w:r w:rsidRPr="001027C1">
        <w:t xml:space="preserve">En el caso de la automoción, </w:t>
      </w:r>
      <w:r>
        <w:t xml:space="preserve">donde </w:t>
      </w:r>
      <w:r w:rsidRPr="001027C1">
        <w:t xml:space="preserve">el </w:t>
      </w:r>
      <w:r w:rsidRPr="00503463">
        <w:rPr>
          <w:b/>
        </w:rPr>
        <w:t>30</w:t>
      </w:r>
      <w:r w:rsidR="004A1CAE">
        <w:rPr>
          <w:b/>
        </w:rPr>
        <w:t> %</w:t>
      </w:r>
      <w:r w:rsidRPr="00503463">
        <w:rPr>
          <w:b/>
        </w:rPr>
        <w:t xml:space="preserve"> de las exportaciones españolas</w:t>
      </w:r>
      <w:r w:rsidRPr="001027C1">
        <w:t xml:space="preserve"> </w:t>
      </w:r>
      <w:r>
        <w:t xml:space="preserve">se dirigen </w:t>
      </w:r>
      <w:r w:rsidRPr="001027C1">
        <w:t xml:space="preserve">a Reino Unido, el sector se enfrenta a </w:t>
      </w:r>
      <w:r w:rsidRPr="00503463">
        <w:rPr>
          <w:b/>
        </w:rPr>
        <w:t>cambios</w:t>
      </w:r>
      <w:r w:rsidRPr="001027C1">
        <w:t xml:space="preserve"> </w:t>
      </w:r>
      <w:r>
        <w:t>regulatorios y comerciales</w:t>
      </w:r>
      <w:r w:rsidRPr="001027C1">
        <w:t xml:space="preserve">. El Ministerio de Industria estima que los aranceles a los automóviles podrían </w:t>
      </w:r>
      <w:r w:rsidRPr="00503463">
        <w:rPr>
          <w:b/>
        </w:rPr>
        <w:t>alcanzar incluso el 22</w:t>
      </w:r>
      <w:r w:rsidR="004A1CAE">
        <w:rPr>
          <w:b/>
        </w:rPr>
        <w:t> %</w:t>
      </w:r>
      <w:r w:rsidRPr="001027C1">
        <w:t>.</w:t>
      </w:r>
    </w:p>
    <w:p w14:paraId="76D08473" w14:textId="6BF6DB32" w:rsidR="002B4EA4" w:rsidRPr="001027C1" w:rsidRDefault="002B4EA4" w:rsidP="002B4EA4">
      <w:pPr>
        <w:numPr>
          <w:ilvl w:val="1"/>
          <w:numId w:val="3"/>
        </w:numPr>
        <w:rPr>
          <w:u w:val="single"/>
        </w:rPr>
      </w:pPr>
      <w:r w:rsidRPr="001027C1">
        <w:rPr>
          <w:u w:val="single"/>
        </w:rPr>
        <w:t>Medidas</w:t>
      </w:r>
      <w:r>
        <w:t>:</w:t>
      </w:r>
    </w:p>
    <w:p w14:paraId="299CDC0A" w14:textId="4737E0B3" w:rsidR="002B4EA4" w:rsidRPr="009C6702" w:rsidRDefault="002B4EA4" w:rsidP="009C6702">
      <w:pPr>
        <w:numPr>
          <w:ilvl w:val="2"/>
          <w:numId w:val="3"/>
        </w:numPr>
        <w:rPr>
          <w:u w:val="single"/>
        </w:rPr>
      </w:pPr>
      <w:r>
        <w:t xml:space="preserve">El </w:t>
      </w:r>
      <w:r w:rsidRPr="00503463">
        <w:rPr>
          <w:b/>
        </w:rPr>
        <w:t>plan de contingencia</w:t>
      </w:r>
      <w:r>
        <w:t xml:space="preserve"> que está siendo elaborado por el Ministerio de Industria, Comercio y Turismo también intentará salvar las relaciones comerciales.</w:t>
      </w:r>
    </w:p>
    <w:p w14:paraId="01B22508" w14:textId="77777777" w:rsidR="002B4EA4" w:rsidRDefault="002B4EA4" w:rsidP="002B4EA4">
      <w:pPr>
        <w:numPr>
          <w:ilvl w:val="0"/>
          <w:numId w:val="3"/>
        </w:numPr>
        <w:rPr>
          <w:u w:val="single"/>
        </w:rPr>
      </w:pPr>
      <w:r>
        <w:rPr>
          <w:u w:val="single"/>
        </w:rPr>
        <w:t>Empresas</w:t>
      </w:r>
    </w:p>
    <w:p w14:paraId="2A435CA1" w14:textId="5067DBC4" w:rsidR="002B4EA4" w:rsidRPr="001027C1" w:rsidRDefault="00AD3255" w:rsidP="002B4EA4">
      <w:pPr>
        <w:numPr>
          <w:ilvl w:val="1"/>
          <w:numId w:val="3"/>
        </w:numPr>
        <w:rPr>
          <w:u w:val="single"/>
        </w:rPr>
      </w:pPr>
      <w:r>
        <w:rPr>
          <w:u w:val="single"/>
        </w:rPr>
        <w:t>Pymes</w:t>
      </w:r>
    </w:p>
    <w:p w14:paraId="75455338" w14:textId="3929E49E" w:rsidR="002B4EA4" w:rsidRDefault="002B4EA4" w:rsidP="002B4EA4">
      <w:pPr>
        <w:numPr>
          <w:ilvl w:val="2"/>
          <w:numId w:val="3"/>
        </w:numPr>
      </w:pPr>
      <w:r w:rsidRPr="001027C1">
        <w:t>Las más castigadas, será</w:t>
      </w:r>
      <w:r>
        <w:t>n</w:t>
      </w:r>
      <w:r w:rsidRPr="001027C1">
        <w:t xml:space="preserve"> la</w:t>
      </w:r>
      <w:r>
        <w:t>s</w:t>
      </w:r>
      <w:r w:rsidRPr="001027C1">
        <w:t xml:space="preserve"> </w:t>
      </w:r>
      <w:r w:rsidR="00E31552">
        <w:t>pyme</w:t>
      </w:r>
      <w:r>
        <w:t>s</w:t>
      </w:r>
      <w:r w:rsidRPr="001027C1">
        <w:t xml:space="preserve">. </w:t>
      </w:r>
      <w:r>
        <w:t xml:space="preserve">Éstas </w:t>
      </w:r>
      <w:r w:rsidRPr="001027C1">
        <w:t>tendrán que empezar a tratar a Reino Unido,</w:t>
      </w:r>
      <w:r>
        <w:t xml:space="preserve"> como si fuera un país tercero surgiendo así numerosas barreras físicas, técnicas, fiscales y burocráticas que les hará más difícil aprovechar las economías de escala</w:t>
      </w:r>
      <w:r w:rsidRPr="001027C1">
        <w:t xml:space="preserve">. </w:t>
      </w:r>
    </w:p>
    <w:p w14:paraId="7F968E2A" w14:textId="77777777" w:rsidR="002B4EA4" w:rsidRDefault="002B4EA4" w:rsidP="002B4EA4">
      <w:pPr>
        <w:numPr>
          <w:ilvl w:val="1"/>
          <w:numId w:val="3"/>
        </w:numPr>
        <w:rPr>
          <w:u w:val="single"/>
        </w:rPr>
      </w:pPr>
      <w:r w:rsidRPr="00EC10A7">
        <w:rPr>
          <w:u w:val="single"/>
        </w:rPr>
        <w:t>Grandes empresas</w:t>
      </w:r>
    </w:p>
    <w:p w14:paraId="4DD8E727" w14:textId="5C8FD5E4" w:rsidR="002B4EA4" w:rsidRDefault="002B4EA4" w:rsidP="002B4EA4">
      <w:pPr>
        <w:numPr>
          <w:ilvl w:val="2"/>
          <w:numId w:val="3"/>
        </w:numPr>
      </w:pPr>
      <w:r w:rsidRPr="00EC10A7">
        <w:t xml:space="preserve">Actualmente hay </w:t>
      </w:r>
      <w:r w:rsidRPr="00503463">
        <w:rPr>
          <w:b/>
        </w:rPr>
        <w:t>47</w:t>
      </w:r>
      <w:r w:rsidR="00E31552">
        <w:rPr>
          <w:b/>
        </w:rPr>
        <w:t> </w:t>
      </w:r>
      <w:r w:rsidRPr="00503463">
        <w:rPr>
          <w:b/>
        </w:rPr>
        <w:t>empresas españolas</w:t>
      </w:r>
      <w:r w:rsidRPr="00EC10A7">
        <w:t xml:space="preserve"> con matriz en Reino Unido. Se estima que esos grupos tienen unos </w:t>
      </w:r>
      <w:r w:rsidRPr="00503463">
        <w:rPr>
          <w:b/>
        </w:rPr>
        <w:t>50.000</w:t>
      </w:r>
      <w:r w:rsidR="00E31552">
        <w:rPr>
          <w:b/>
        </w:rPr>
        <w:t> </w:t>
      </w:r>
      <w:r w:rsidRPr="00503463">
        <w:rPr>
          <w:b/>
        </w:rPr>
        <w:t>millones invertidos en el mercado británico</w:t>
      </w:r>
      <w:r w:rsidRPr="00EC10A7">
        <w:t>.</w:t>
      </w:r>
    </w:p>
    <w:p w14:paraId="1528B3CA" w14:textId="0CFE1194" w:rsidR="002B4EA4" w:rsidRDefault="002B4EA4" w:rsidP="002B4EA4">
      <w:pPr>
        <w:numPr>
          <w:ilvl w:val="2"/>
          <w:numId w:val="3"/>
        </w:numPr>
      </w:pPr>
      <w:r w:rsidRPr="00503463">
        <w:rPr>
          <w:b/>
        </w:rPr>
        <w:t>Sabadell o Santander</w:t>
      </w:r>
      <w:r w:rsidRPr="00EC10A7">
        <w:t xml:space="preserve">, tienen más del </w:t>
      </w:r>
      <w:r w:rsidRPr="00503463">
        <w:rPr>
          <w:b/>
        </w:rPr>
        <w:t>20</w:t>
      </w:r>
      <w:r w:rsidR="004A1CAE">
        <w:rPr>
          <w:b/>
        </w:rPr>
        <w:t> %</w:t>
      </w:r>
      <w:r w:rsidRPr="00503463">
        <w:rPr>
          <w:b/>
        </w:rPr>
        <w:t xml:space="preserve"> de su beneficio neto</w:t>
      </w:r>
      <w:r w:rsidRPr="00EC10A7">
        <w:t xml:space="preserve"> en el mercado británico</w:t>
      </w:r>
      <w:r>
        <w:t>.</w:t>
      </w:r>
    </w:p>
    <w:p w14:paraId="55860015" w14:textId="77777777" w:rsidR="002B4EA4" w:rsidRDefault="002B4EA4" w:rsidP="002B4EA4">
      <w:pPr>
        <w:numPr>
          <w:ilvl w:val="1"/>
          <w:numId w:val="3"/>
        </w:numPr>
        <w:rPr>
          <w:u w:val="single"/>
        </w:rPr>
      </w:pPr>
      <w:r w:rsidRPr="001027C1">
        <w:rPr>
          <w:u w:val="single"/>
        </w:rPr>
        <w:lastRenderedPageBreak/>
        <w:t>Morosidad</w:t>
      </w:r>
    </w:p>
    <w:p w14:paraId="65E71A47" w14:textId="0D61429F" w:rsidR="002B4EA4" w:rsidRPr="001027C1" w:rsidRDefault="002B4EA4" w:rsidP="00E31552">
      <w:pPr>
        <w:numPr>
          <w:ilvl w:val="2"/>
          <w:numId w:val="3"/>
        </w:numPr>
      </w:pPr>
      <w:r w:rsidRPr="001027C1">
        <w:t xml:space="preserve">Las empresas también tendrán que enfrentarse a un </w:t>
      </w:r>
      <w:r w:rsidRPr="00503463">
        <w:rPr>
          <w:b/>
        </w:rPr>
        <w:t>aumento de la morosidad de compañías británicas</w:t>
      </w:r>
      <w:r w:rsidRPr="001027C1">
        <w:t xml:space="preserve">. Crédito y Caución estima que el aumento de la insolvencia aumentará un </w:t>
      </w:r>
      <w:r w:rsidRPr="00503463">
        <w:rPr>
          <w:b/>
        </w:rPr>
        <w:t>14</w:t>
      </w:r>
      <w:r w:rsidR="004A1CAE">
        <w:rPr>
          <w:b/>
        </w:rPr>
        <w:t> %</w:t>
      </w:r>
      <w:r w:rsidRPr="001027C1">
        <w:t xml:space="preserve"> en un escenario de no acuerdo, lo que afectará a </w:t>
      </w:r>
      <w:r w:rsidRPr="00503463">
        <w:rPr>
          <w:b/>
        </w:rPr>
        <w:t>2.300</w:t>
      </w:r>
      <w:r w:rsidR="00E31552">
        <w:rPr>
          <w:b/>
        </w:rPr>
        <w:t> </w:t>
      </w:r>
      <w:r w:rsidRPr="00503463">
        <w:rPr>
          <w:b/>
        </w:rPr>
        <w:t>empresas</w:t>
      </w:r>
      <w:r w:rsidRPr="001027C1">
        <w:t>.</w:t>
      </w:r>
    </w:p>
    <w:p w14:paraId="7A0E3B69" w14:textId="67458DDD" w:rsidR="002B4EA4" w:rsidRPr="00E31552" w:rsidRDefault="002B4EA4" w:rsidP="00B60258">
      <w:pPr>
        <w:pStyle w:val="Ttulo6"/>
      </w:pPr>
      <w:bookmarkStart w:id="75" w:name="_Toc151227175"/>
      <w:r w:rsidRPr="00AA37F7">
        <w:t>Real Decreto Ley 2019</w:t>
      </w:r>
      <w:r>
        <w:t xml:space="preserve">: </w:t>
      </w:r>
      <w:r w:rsidRPr="00D73C3A">
        <w:t>Planes de Contingencia</w:t>
      </w:r>
      <w:bookmarkEnd w:id="75"/>
    </w:p>
    <w:p w14:paraId="0F0A2C8D" w14:textId="77777777" w:rsidR="002B4EA4" w:rsidRDefault="002B4EA4" w:rsidP="006C34F3">
      <w:pPr>
        <w:pStyle w:val="Nivel2SM"/>
        <w:keepNext/>
        <w:spacing w:after="0"/>
      </w:pPr>
      <w:r>
        <w:t xml:space="preserve">Por todo ello en el primer trimestre de 2019, el gobierno ha aprobado un </w:t>
      </w:r>
      <w:r w:rsidRPr="00D73C3A">
        <w:rPr>
          <w:b/>
        </w:rPr>
        <w:t>RDL para tratar de paliar las posibles consecuencias</w:t>
      </w:r>
      <w:r>
        <w:t xml:space="preserve"> de una eventual salida. </w:t>
      </w:r>
    </w:p>
    <w:p w14:paraId="145BC503" w14:textId="77777777" w:rsidR="002B4EA4" w:rsidRPr="00AA37F7" w:rsidRDefault="002B4EA4" w:rsidP="002B4EA4">
      <w:pPr>
        <w:numPr>
          <w:ilvl w:val="1"/>
          <w:numId w:val="3"/>
        </w:numPr>
        <w:rPr>
          <w:u w:val="single"/>
        </w:rPr>
      </w:pPr>
      <w:r>
        <w:rPr>
          <w:u w:val="single"/>
        </w:rPr>
        <w:t>Jornadas de información</w:t>
      </w:r>
    </w:p>
    <w:p w14:paraId="1FA1C8E0" w14:textId="77777777" w:rsidR="002B4EA4" w:rsidRDefault="002B4EA4" w:rsidP="002B4EA4">
      <w:pPr>
        <w:numPr>
          <w:ilvl w:val="2"/>
          <w:numId w:val="3"/>
        </w:numPr>
      </w:pPr>
      <w:r>
        <w:t xml:space="preserve">Los diferentes ministerios vienen organizando jornadas divulgativas para informar a las empresas sobre </w:t>
      </w:r>
      <w:r w:rsidRPr="00AA37F7">
        <w:rPr>
          <w:b/>
        </w:rPr>
        <w:t>cómo deben prepararse</w:t>
      </w:r>
      <w:r>
        <w:t xml:space="preserve"> y qué planes de contingencia deben poner en marcha. </w:t>
      </w:r>
    </w:p>
    <w:p w14:paraId="1CA4097A" w14:textId="77777777" w:rsidR="002B4EA4" w:rsidRPr="00AA37F7" w:rsidRDefault="002B4EA4" w:rsidP="002B4EA4">
      <w:pPr>
        <w:numPr>
          <w:ilvl w:val="1"/>
          <w:numId w:val="3"/>
        </w:numPr>
        <w:rPr>
          <w:u w:val="single"/>
        </w:rPr>
      </w:pPr>
      <w:r w:rsidRPr="00AA37F7">
        <w:rPr>
          <w:u w:val="single"/>
        </w:rPr>
        <w:t>Ayudas</w:t>
      </w:r>
      <w:r>
        <w:rPr>
          <w:u w:val="single"/>
        </w:rPr>
        <w:t xml:space="preserve"> y descuentos</w:t>
      </w:r>
    </w:p>
    <w:p w14:paraId="5C0C4777" w14:textId="77777777" w:rsidR="002B4EA4" w:rsidRDefault="002B4EA4" w:rsidP="002B4EA4">
      <w:pPr>
        <w:numPr>
          <w:ilvl w:val="2"/>
          <w:numId w:val="3"/>
        </w:numPr>
      </w:pPr>
      <w:r>
        <w:t xml:space="preserve">Van a aumentarse las ayudas a las asociaciones y federaciones de exportadores. </w:t>
      </w:r>
    </w:p>
    <w:p w14:paraId="5E1E7845" w14:textId="77777777" w:rsidR="002B4EA4" w:rsidRPr="006A79CD" w:rsidRDefault="002B4EA4" w:rsidP="002B4EA4">
      <w:pPr>
        <w:numPr>
          <w:ilvl w:val="2"/>
          <w:numId w:val="3"/>
        </w:numPr>
      </w:pPr>
      <w:r>
        <w:t xml:space="preserve">Se ha creado un descuento en el precio a pagar por la prestación de servicios personalizados por parte de las Oficinas Comerciales de España en el exterior, el denominado </w:t>
      </w:r>
      <w:r w:rsidRPr="00D73C3A">
        <w:rPr>
          <w:b/>
        </w:rPr>
        <w:t>cheque Brexit</w:t>
      </w:r>
      <w:r>
        <w:t>.</w:t>
      </w:r>
    </w:p>
    <w:p w14:paraId="51F8D950" w14:textId="77777777" w:rsidR="002B4EA4" w:rsidRPr="00AA37F7" w:rsidRDefault="002B4EA4" w:rsidP="002B4EA4">
      <w:pPr>
        <w:numPr>
          <w:ilvl w:val="1"/>
          <w:numId w:val="3"/>
        </w:numPr>
        <w:rPr>
          <w:u w:val="single"/>
        </w:rPr>
      </w:pPr>
      <w:r w:rsidRPr="00AA37F7">
        <w:rPr>
          <w:u w:val="single"/>
        </w:rPr>
        <w:t>Refuerzo de recursos humanos</w:t>
      </w:r>
    </w:p>
    <w:p w14:paraId="21D22916" w14:textId="3C0FEBDD" w:rsidR="00E3164E" w:rsidRPr="00E31552" w:rsidRDefault="002B4EA4" w:rsidP="003C5A40">
      <w:pPr>
        <w:numPr>
          <w:ilvl w:val="2"/>
          <w:numId w:val="3"/>
        </w:numPr>
      </w:pPr>
      <w:r>
        <w:t>Se trabaja para reforzar los recursos humanos y materiales en los puntos aduaneros.</w:t>
      </w:r>
    </w:p>
    <w:p w14:paraId="21DDE9EB" w14:textId="774DDE08" w:rsidR="003035B1" w:rsidRDefault="00A71EB8" w:rsidP="00A71EB8">
      <w:pPr>
        <w:pStyle w:val="Ttulo2"/>
      </w:pPr>
      <w:bookmarkStart w:id="76" w:name="_Toc151227176"/>
      <w:r>
        <w:t>Conclusión: Balance</w:t>
      </w:r>
      <w:bookmarkEnd w:id="76"/>
    </w:p>
    <w:p w14:paraId="5BA388BA" w14:textId="09966F31" w:rsidR="00DD48F8" w:rsidRPr="00E31552" w:rsidRDefault="00E3164E" w:rsidP="00A71EB8">
      <w:pPr>
        <w:pStyle w:val="Ttulo3"/>
        <w:spacing w:before="0"/>
      </w:pPr>
      <w:bookmarkStart w:id="77" w:name="_Toc151227177"/>
      <w:r>
        <w:t xml:space="preserve">Balance </w:t>
      </w:r>
      <w:r w:rsidR="005F23B2">
        <w:t>de la pertenencia a la UE</w:t>
      </w:r>
      <w:bookmarkEnd w:id="77"/>
    </w:p>
    <w:p w14:paraId="2D25740E" w14:textId="0A6E2190" w:rsidR="00E3164E" w:rsidRPr="00E31552" w:rsidRDefault="00E3164E" w:rsidP="00B60258">
      <w:pPr>
        <w:pStyle w:val="Ttulo6"/>
        <w:spacing w:before="0"/>
      </w:pPr>
      <w:bookmarkStart w:id="78" w:name="_Toc151227178"/>
      <w:r w:rsidRPr="00E3164E">
        <w:t>Aspectos positivos</w:t>
      </w:r>
      <w:bookmarkEnd w:id="78"/>
    </w:p>
    <w:p w14:paraId="10E21A13" w14:textId="77777777" w:rsidR="00E3164E" w:rsidRPr="00E3164E" w:rsidRDefault="00E3164E" w:rsidP="006C34F3">
      <w:pPr>
        <w:pStyle w:val="Nivel2SM"/>
        <w:keepNext/>
        <w:spacing w:after="0"/>
      </w:pPr>
      <w:r w:rsidRPr="00E3164E">
        <w:t>Entre los principales se incluyen:</w:t>
      </w:r>
    </w:p>
    <w:p w14:paraId="4D0F0E56" w14:textId="77777777" w:rsidR="00E3164E" w:rsidRPr="00E3164E" w:rsidRDefault="00E3164E" w:rsidP="0063378B">
      <w:pPr>
        <w:numPr>
          <w:ilvl w:val="1"/>
          <w:numId w:val="3"/>
        </w:numPr>
        <w:tabs>
          <w:tab w:val="clear" w:pos="1440"/>
        </w:tabs>
        <w:rPr>
          <w:u w:val="single"/>
        </w:rPr>
      </w:pPr>
      <w:r w:rsidRPr="00E3164E">
        <w:rPr>
          <w:u w:val="single"/>
        </w:rPr>
        <w:t xml:space="preserve">Fin del aislamiento de España </w:t>
      </w:r>
    </w:p>
    <w:p w14:paraId="55A5E55D" w14:textId="77777777" w:rsidR="00E3164E" w:rsidRPr="00E3164E" w:rsidRDefault="00E3164E" w:rsidP="0063378B">
      <w:pPr>
        <w:numPr>
          <w:ilvl w:val="2"/>
          <w:numId w:val="3"/>
        </w:numPr>
        <w:tabs>
          <w:tab w:val="clear" w:pos="2160"/>
        </w:tabs>
      </w:pPr>
      <w:r>
        <w:t>C</w:t>
      </w:r>
      <w:r w:rsidRPr="00E3164E">
        <w:t>on el Acuerdo Preferencial España-CEE de 1970.</w:t>
      </w:r>
    </w:p>
    <w:p w14:paraId="585CFEBE" w14:textId="77777777" w:rsidR="00E3164E" w:rsidRPr="00E3164E" w:rsidRDefault="00E3164E" w:rsidP="0063378B">
      <w:pPr>
        <w:numPr>
          <w:ilvl w:val="1"/>
          <w:numId w:val="3"/>
        </w:numPr>
        <w:tabs>
          <w:tab w:val="clear" w:pos="1440"/>
        </w:tabs>
        <w:rPr>
          <w:u w:val="single"/>
        </w:rPr>
      </w:pPr>
      <w:r w:rsidRPr="00E3164E">
        <w:rPr>
          <w:u w:val="single"/>
        </w:rPr>
        <w:t>Convergencia real con la UE</w:t>
      </w:r>
    </w:p>
    <w:p w14:paraId="02A5B6B0" w14:textId="5B64FECC" w:rsidR="00E3164E" w:rsidRDefault="00E3164E" w:rsidP="00A80BD8">
      <w:pPr>
        <w:numPr>
          <w:ilvl w:val="2"/>
          <w:numId w:val="3"/>
        </w:numPr>
        <w:tabs>
          <w:tab w:val="clear" w:pos="2160"/>
        </w:tabs>
      </w:pPr>
      <w:r w:rsidRPr="00E3164E">
        <w:t>España creció a una tasa superior a la media comunitaria durante los años previos a la crisis económica, lo que permitió cerrar el diferencial de renta per cápita: del 66</w:t>
      </w:r>
      <w:r w:rsidR="004A1CAE">
        <w:t> %</w:t>
      </w:r>
      <w:r w:rsidRPr="00E3164E">
        <w:t xml:space="preserve"> en 1985 al 90</w:t>
      </w:r>
      <w:r w:rsidR="004A1CAE">
        <w:t> %</w:t>
      </w:r>
      <w:r w:rsidRPr="00E3164E">
        <w:t xml:space="preserve"> de la UE-15 en la actualidad (100</w:t>
      </w:r>
      <w:r w:rsidR="004A1CAE">
        <w:t> %</w:t>
      </w:r>
      <w:r w:rsidRPr="00E3164E">
        <w:t xml:space="preserve"> de la UE-28).</w:t>
      </w:r>
      <w:r w:rsidR="00A80BD8">
        <w:t xml:space="preserve"> </w:t>
      </w:r>
      <w:r w:rsidRPr="00E3164E">
        <w:t>Además, esta convergencia también se ha producido a nivel regional.</w:t>
      </w:r>
    </w:p>
    <w:p w14:paraId="2A5E347D" w14:textId="77777777" w:rsidR="00A80BD8" w:rsidRPr="00E3164E" w:rsidRDefault="00A80BD8" w:rsidP="00A80BD8">
      <w:pPr>
        <w:numPr>
          <w:ilvl w:val="2"/>
          <w:numId w:val="3"/>
        </w:numPr>
        <w:tabs>
          <w:tab w:val="clear" w:pos="2160"/>
        </w:tabs>
      </w:pPr>
      <w:r>
        <w:t>No obstante con la crisis esta convergencia ha disminuido.</w:t>
      </w:r>
    </w:p>
    <w:p w14:paraId="7B105BE0" w14:textId="77777777" w:rsidR="00E3164E" w:rsidRDefault="00E3164E" w:rsidP="0063378B">
      <w:pPr>
        <w:numPr>
          <w:ilvl w:val="1"/>
          <w:numId w:val="3"/>
        </w:numPr>
        <w:tabs>
          <w:tab w:val="clear" w:pos="1440"/>
        </w:tabs>
      </w:pPr>
      <w:r w:rsidRPr="00E3164E">
        <w:rPr>
          <w:u w:val="single"/>
        </w:rPr>
        <w:t>Recepción neta de fondos estructurales</w:t>
      </w:r>
      <w:r w:rsidRPr="00E3164E">
        <w:t xml:space="preserve"> </w:t>
      </w:r>
    </w:p>
    <w:p w14:paraId="3DA1A79F" w14:textId="77777777" w:rsidR="00E3164E" w:rsidRPr="00E3164E" w:rsidRDefault="00E3164E" w:rsidP="0063378B">
      <w:pPr>
        <w:numPr>
          <w:ilvl w:val="2"/>
          <w:numId w:val="3"/>
        </w:numPr>
        <w:tabs>
          <w:tab w:val="clear" w:pos="2160"/>
        </w:tabs>
      </w:pPr>
      <w:r w:rsidRPr="00E3164E">
        <w:t>España ha sido siempre beneficiaria neta de fondos estructurales desde su adhesión.</w:t>
      </w:r>
    </w:p>
    <w:p w14:paraId="7DA8535A" w14:textId="77777777" w:rsidR="00E3164E" w:rsidRPr="00E3164E" w:rsidRDefault="00E3164E" w:rsidP="0063378B">
      <w:pPr>
        <w:numPr>
          <w:ilvl w:val="1"/>
          <w:numId w:val="3"/>
        </w:numPr>
        <w:tabs>
          <w:tab w:val="clear" w:pos="1440"/>
        </w:tabs>
        <w:rPr>
          <w:u w:val="single"/>
        </w:rPr>
      </w:pPr>
      <w:r w:rsidRPr="00E3164E">
        <w:rPr>
          <w:u w:val="single"/>
        </w:rPr>
        <w:t>Aumento de la IDE</w:t>
      </w:r>
    </w:p>
    <w:p w14:paraId="3D92A6AC" w14:textId="77777777" w:rsidR="00E3164E" w:rsidRPr="00E3164E" w:rsidRDefault="00E3164E" w:rsidP="0063378B">
      <w:pPr>
        <w:numPr>
          <w:ilvl w:val="2"/>
          <w:numId w:val="3"/>
        </w:numPr>
        <w:tabs>
          <w:tab w:val="clear" w:pos="2160"/>
        </w:tabs>
      </w:pPr>
      <w:r>
        <w:t>T</w:t>
      </w:r>
      <w:r w:rsidRPr="00E3164E">
        <w:t>anto de los países comunitarios en España como de España en el resto de la UE.</w:t>
      </w:r>
    </w:p>
    <w:p w14:paraId="3E10DB71" w14:textId="77777777" w:rsidR="00E3164E" w:rsidRDefault="00E3164E" w:rsidP="0063378B">
      <w:pPr>
        <w:numPr>
          <w:ilvl w:val="1"/>
          <w:numId w:val="3"/>
        </w:numPr>
        <w:tabs>
          <w:tab w:val="clear" w:pos="1440"/>
        </w:tabs>
      </w:pPr>
      <w:r w:rsidRPr="00E3164E">
        <w:rPr>
          <w:u w:val="single"/>
        </w:rPr>
        <w:t>Aumento de la apertura comercial</w:t>
      </w:r>
      <w:r w:rsidRPr="00E3164E">
        <w:t xml:space="preserve"> </w:t>
      </w:r>
    </w:p>
    <w:p w14:paraId="27BF586B" w14:textId="77777777" w:rsidR="00E3164E" w:rsidRPr="00E3164E" w:rsidRDefault="00E3164E" w:rsidP="0063378B">
      <w:pPr>
        <w:numPr>
          <w:ilvl w:val="2"/>
          <w:numId w:val="3"/>
        </w:numPr>
        <w:tabs>
          <w:tab w:val="clear" w:pos="2160"/>
        </w:tabs>
      </w:pPr>
      <w:r>
        <w:lastRenderedPageBreak/>
        <w:t>C</w:t>
      </w:r>
      <w:r w:rsidRPr="00E3164E">
        <w:t xml:space="preserve">on los efectos positivos asociados de mayor difusión tecnológica, </w:t>
      </w:r>
      <w:proofErr w:type="gramStart"/>
      <w:r w:rsidRPr="00E3164E">
        <w:t>mayor variedad y mayor competencia</w:t>
      </w:r>
      <w:proofErr w:type="gramEnd"/>
      <w:r w:rsidRPr="00E3164E">
        <w:t xml:space="preserve"> (lo que, a su vez, ha permitido una reordenación de sectores hasta entonces sobredimensionados –textil, siderurgia, naval, etc.–, una reducción de los precios y un aumento de la calidad).</w:t>
      </w:r>
    </w:p>
    <w:p w14:paraId="72AFB698" w14:textId="77777777" w:rsidR="00E3164E" w:rsidRDefault="00E3164E" w:rsidP="0063378B">
      <w:pPr>
        <w:numPr>
          <w:ilvl w:val="1"/>
          <w:numId w:val="3"/>
        </w:numPr>
        <w:tabs>
          <w:tab w:val="clear" w:pos="1440"/>
        </w:tabs>
      </w:pPr>
      <w:r w:rsidRPr="00E3164E">
        <w:rPr>
          <w:u w:val="single"/>
        </w:rPr>
        <w:t>Reorientación hacia una política económica más ortodoxa</w:t>
      </w:r>
      <w:r w:rsidRPr="00E3164E">
        <w:t xml:space="preserve">: </w:t>
      </w:r>
    </w:p>
    <w:p w14:paraId="51964479" w14:textId="4397D874" w:rsidR="00E3164E" w:rsidRDefault="00E3164E" w:rsidP="0063378B">
      <w:pPr>
        <w:numPr>
          <w:ilvl w:val="2"/>
          <w:numId w:val="3"/>
        </w:numPr>
        <w:tabs>
          <w:tab w:val="clear" w:pos="2160"/>
        </w:tabs>
      </w:pPr>
      <w:r>
        <w:t>L</w:t>
      </w:r>
      <w:r w:rsidRPr="00E3164E">
        <w:t>iberalización, privatización, disciplina presupuestaria en el marco del Pacto de Estabilidad y Crecimiento y del Semestre Europeo, etc.</w:t>
      </w:r>
    </w:p>
    <w:p w14:paraId="49CF976D" w14:textId="6109A7FE" w:rsidR="009024B7" w:rsidRPr="00E31552" w:rsidRDefault="00E3164E" w:rsidP="00B60258">
      <w:pPr>
        <w:pStyle w:val="Ttulo6"/>
      </w:pPr>
      <w:bookmarkStart w:id="79" w:name="_Toc151227179"/>
      <w:r w:rsidRPr="00E3164E">
        <w:t>Aspectos negativos</w:t>
      </w:r>
      <w:bookmarkEnd w:id="79"/>
    </w:p>
    <w:p w14:paraId="3BF11E98" w14:textId="384596B4" w:rsidR="00E3164E" w:rsidRPr="00E3164E" w:rsidRDefault="00E3164E" w:rsidP="00B60258">
      <w:pPr>
        <w:pStyle w:val="Nivel2SM"/>
        <w:keepNext/>
        <w:spacing w:after="0"/>
        <w:rPr>
          <w:u w:val="single"/>
        </w:rPr>
      </w:pPr>
      <w:r w:rsidRPr="00FA47E2">
        <w:t>Entre los principales se incluyen</w:t>
      </w:r>
      <w:r w:rsidR="00B60258" w:rsidRPr="00B60258">
        <w:t>:</w:t>
      </w:r>
    </w:p>
    <w:p w14:paraId="3457B367" w14:textId="61E7A524" w:rsidR="00E3164E" w:rsidRDefault="00E3164E" w:rsidP="00B60258">
      <w:pPr>
        <w:pStyle w:val="Nivel3SM"/>
      </w:pPr>
      <w:r w:rsidRPr="00B60258">
        <w:rPr>
          <w:i/>
          <w:iCs/>
          <w:u w:val="single"/>
        </w:rPr>
        <w:t>Costes de ajuste</w:t>
      </w:r>
      <w:r w:rsidR="00B60258">
        <w:t xml:space="preserve">: </w:t>
      </w:r>
      <w:r>
        <w:t>Por la mayor competencia comunitaria, que dio lugar a importantes reconversiones.</w:t>
      </w:r>
    </w:p>
    <w:p w14:paraId="08533266" w14:textId="506384B6" w:rsidR="00E3164E" w:rsidRDefault="00E3164E" w:rsidP="00B60258">
      <w:pPr>
        <w:pStyle w:val="Nivel3SM"/>
      </w:pPr>
      <w:r w:rsidRPr="00B60258">
        <w:rPr>
          <w:i/>
          <w:iCs/>
          <w:u w:val="single"/>
        </w:rPr>
        <w:t>Cesión de competencias</w:t>
      </w:r>
      <w:r w:rsidR="00B60258">
        <w:t xml:space="preserve">: </w:t>
      </w:r>
      <w:r>
        <w:t>Con posibilidad de que se adopten políticas por mayoría cualificada contrarias a las preferencias nacionales (p.ej. agricultura, pesca, etc.).</w:t>
      </w:r>
    </w:p>
    <w:p w14:paraId="7AC12C85" w14:textId="312DA69E" w:rsidR="00E3164E" w:rsidRDefault="00E3164E" w:rsidP="00B60258">
      <w:pPr>
        <w:pStyle w:val="Nivel3SM"/>
        <w:keepNext/>
      </w:pPr>
      <w:r w:rsidRPr="00B60258">
        <w:rPr>
          <w:i/>
          <w:iCs/>
          <w:u w:val="single"/>
        </w:rPr>
        <w:t>Distribución desigual de la carga de la crisis</w:t>
      </w:r>
      <w:r>
        <w:t>.</w:t>
      </w:r>
    </w:p>
    <w:p w14:paraId="5FD5F6BB" w14:textId="77777777" w:rsidR="00E3164E" w:rsidRDefault="00E3164E" w:rsidP="00B60258">
      <w:pPr>
        <w:pStyle w:val="Nivel4"/>
        <w:ind w:left="1474"/>
      </w:pPr>
      <w:r>
        <w:t xml:space="preserve">Las exigencias de ajuste a los países del Sur de Europa han sido calificadas a menudo como excesivas por organismos internacionales (p.ej. FMI). </w:t>
      </w:r>
    </w:p>
    <w:p w14:paraId="2E674D0F" w14:textId="0325B585" w:rsidR="00E3164E" w:rsidRDefault="00E3164E" w:rsidP="00B60258">
      <w:pPr>
        <w:pStyle w:val="Nivel4"/>
        <w:keepNext/>
        <w:ind w:left="1474"/>
      </w:pPr>
      <w:r>
        <w:t>De hecho, los países comunitarios del Mediterráneo han pasado de representar el 40</w:t>
      </w:r>
      <w:r w:rsidR="004A1CAE">
        <w:t> %</w:t>
      </w:r>
      <w:r>
        <w:t xml:space="preserve"> del PIB de la UE en 2008 al 36</w:t>
      </w:r>
      <w:r w:rsidR="004A1CAE">
        <w:t> %</w:t>
      </w:r>
      <w:r>
        <w:t xml:space="preserve"> en 2016, siendo Italia y España los que más peso relativo han perdido, y Alemania y Reino Unido, los que más han ganado.</w:t>
      </w:r>
    </w:p>
    <w:p w14:paraId="52559D07" w14:textId="4B4CBE5F" w:rsidR="00E3164E" w:rsidRDefault="00E3164E" w:rsidP="00B60258">
      <w:pPr>
        <w:pStyle w:val="Nivel5"/>
        <w:ind w:left="1871"/>
      </w:pPr>
      <w:r>
        <w:t>España perdió en ese período 1,1</w:t>
      </w:r>
      <w:r w:rsidR="00B60258">
        <w:t> </w:t>
      </w:r>
      <w:r>
        <w:t xml:space="preserve">puntos porcentuales, representando en 2016 el </w:t>
      </w:r>
      <w:r w:rsidRPr="00A80BD8">
        <w:rPr>
          <w:b/>
        </w:rPr>
        <w:t>7,5</w:t>
      </w:r>
      <w:r w:rsidR="004A1CAE">
        <w:rPr>
          <w:b/>
        </w:rPr>
        <w:t> %</w:t>
      </w:r>
      <w:r w:rsidRPr="00A80BD8">
        <w:rPr>
          <w:b/>
        </w:rPr>
        <w:t xml:space="preserve"> del PIB</w:t>
      </w:r>
      <w:r>
        <w:t xml:space="preserve"> comunitario (incluyendo a Reino Unido).</w:t>
      </w:r>
    </w:p>
    <w:p w14:paraId="006406A0" w14:textId="3357BE2C" w:rsidR="00E3164E" w:rsidRDefault="00E3164E" w:rsidP="00A71EB8">
      <w:pPr>
        <w:pStyle w:val="Ttulo3"/>
      </w:pPr>
      <w:bookmarkStart w:id="80" w:name="_Toc151227180"/>
      <w:r w:rsidRPr="00E3164E">
        <w:t>Balance de la pertenencia a la Eurozona</w:t>
      </w:r>
      <w:bookmarkEnd w:id="80"/>
    </w:p>
    <w:p w14:paraId="0A801019" w14:textId="54A2C328" w:rsidR="00E3164E" w:rsidRDefault="00E3164E" w:rsidP="00B60258">
      <w:pPr>
        <w:pStyle w:val="Ttulo6"/>
        <w:spacing w:before="0"/>
      </w:pPr>
      <w:bookmarkStart w:id="81" w:name="_Toc151227181"/>
      <w:r w:rsidRPr="00E3164E">
        <w:t>Aspectos positivos</w:t>
      </w:r>
      <w:bookmarkEnd w:id="81"/>
    </w:p>
    <w:p w14:paraId="6DF63353" w14:textId="77777777" w:rsidR="00E3164E" w:rsidRPr="00E3164E" w:rsidRDefault="00E3164E" w:rsidP="00B60258">
      <w:pPr>
        <w:pStyle w:val="Nivel2SM"/>
        <w:keepNext/>
        <w:spacing w:after="0"/>
      </w:pPr>
      <w:r w:rsidRPr="00E3164E">
        <w:t>Entre los principales se incluyen:</w:t>
      </w:r>
    </w:p>
    <w:p w14:paraId="191BFBE9" w14:textId="705998BE" w:rsidR="00E3164E" w:rsidRDefault="00E3164E" w:rsidP="00B60258">
      <w:pPr>
        <w:pStyle w:val="Nivel3SM"/>
        <w:keepNext/>
      </w:pPr>
      <w:r w:rsidRPr="00B60258">
        <w:rPr>
          <w:i/>
          <w:iCs/>
          <w:u w:val="single"/>
        </w:rPr>
        <w:t>Reducción de los diferenciales de inflación</w:t>
      </w:r>
      <w:r w:rsidRPr="00E3164E">
        <w:t xml:space="preserve"> como resultado de:</w:t>
      </w:r>
    </w:p>
    <w:p w14:paraId="619BCFF7" w14:textId="3E056752" w:rsidR="00E3164E" w:rsidRDefault="00E3164E" w:rsidP="00B60258">
      <w:pPr>
        <w:pStyle w:val="Nivel4"/>
        <w:ind w:left="1474"/>
      </w:pPr>
      <w:r>
        <w:t>P</w:t>
      </w:r>
      <w:r w:rsidRPr="00E3164E">
        <w:t>rimero, los esfuerzos por lograr la convergencia nominal para entrar en la UEM</w:t>
      </w:r>
      <w:r>
        <w:t>.</w:t>
      </w:r>
    </w:p>
    <w:p w14:paraId="31862B05" w14:textId="77777777" w:rsidR="00E3164E" w:rsidRPr="00E3164E" w:rsidRDefault="00E3164E" w:rsidP="00B60258">
      <w:pPr>
        <w:pStyle w:val="Nivel4"/>
        <w:ind w:left="1474"/>
      </w:pPr>
      <w:r>
        <w:t>C</w:t>
      </w:r>
      <w:r w:rsidRPr="00E3164E">
        <w:t>redibilidad anti-inflacionista del BCE.</w:t>
      </w:r>
    </w:p>
    <w:p w14:paraId="032D3510" w14:textId="77777777" w:rsidR="00E3164E" w:rsidRPr="00E3164E" w:rsidRDefault="00E3164E" w:rsidP="00B60258">
      <w:pPr>
        <w:pStyle w:val="Nivel4"/>
        <w:ind w:left="1474"/>
      </w:pPr>
      <w:r w:rsidRPr="00E3164E">
        <w:t>Aunque se trate de una institución joven, el BCE ha sido capaz de labrarse una reputación de estabilidad de precios, lo que resulta especialmente positivo para algunos países que, como España, solían tener elevados sesgos inflacionistas.</w:t>
      </w:r>
    </w:p>
    <w:p w14:paraId="78595CE8" w14:textId="4817397E" w:rsidR="00E3164E" w:rsidRDefault="00E3164E" w:rsidP="00B60258">
      <w:pPr>
        <w:pStyle w:val="Nivel3SM"/>
        <w:keepNext/>
      </w:pPr>
      <w:r w:rsidRPr="00B60258">
        <w:rPr>
          <w:i/>
          <w:iCs/>
          <w:u w:val="single"/>
        </w:rPr>
        <w:t>Reducción del déficit público</w:t>
      </w:r>
      <w:r w:rsidRPr="00E3164E">
        <w:t xml:space="preserve"> persistente y crónico como resultado de:</w:t>
      </w:r>
    </w:p>
    <w:p w14:paraId="174E3609" w14:textId="77777777" w:rsidR="00E3164E" w:rsidRDefault="00E3164E" w:rsidP="00B60258">
      <w:pPr>
        <w:pStyle w:val="Nivel4"/>
        <w:ind w:left="1474"/>
      </w:pPr>
      <w:r>
        <w:t>P</w:t>
      </w:r>
      <w:r w:rsidRPr="00E3164E">
        <w:t>rimero, los esfuerzos por lograr la convergencia nominal para entrar en la UEM</w:t>
      </w:r>
      <w:r>
        <w:t>.</w:t>
      </w:r>
    </w:p>
    <w:p w14:paraId="2E7BA427" w14:textId="77777777" w:rsidR="00E3164E" w:rsidRPr="00E3164E" w:rsidRDefault="00E3164E" w:rsidP="00B60258">
      <w:pPr>
        <w:pStyle w:val="Nivel4"/>
        <w:ind w:left="1474"/>
      </w:pPr>
      <w:r>
        <w:t>C</w:t>
      </w:r>
      <w:r w:rsidRPr="00E3164E">
        <w:t>umplimiento del Pacto de Estabilidad y Crecimiento.</w:t>
      </w:r>
    </w:p>
    <w:p w14:paraId="59493976" w14:textId="3E8B3F9F" w:rsidR="00E3164E" w:rsidRPr="00E3164E" w:rsidRDefault="00E3164E" w:rsidP="00B60258">
      <w:pPr>
        <w:pStyle w:val="Nivel3SM"/>
      </w:pPr>
      <w:r w:rsidRPr="00B60258">
        <w:rPr>
          <w:i/>
          <w:iCs/>
          <w:u w:val="single"/>
        </w:rPr>
        <w:t>Reducción de los tipos de interés</w:t>
      </w:r>
      <w:r w:rsidR="00B60258">
        <w:t xml:space="preserve">: </w:t>
      </w:r>
      <w:r>
        <w:t>L</w:t>
      </w:r>
      <w:r w:rsidRPr="00E3164E">
        <w:t>o que ha reducido el coste de financiación de la economía española y ha estimulado la inversión.</w:t>
      </w:r>
    </w:p>
    <w:p w14:paraId="2D138529" w14:textId="26943852" w:rsidR="00E3164E" w:rsidRPr="00E3164E" w:rsidRDefault="00E3164E" w:rsidP="00B60258">
      <w:pPr>
        <w:pStyle w:val="Nivel3SM"/>
      </w:pPr>
      <w:r w:rsidRPr="00B60258">
        <w:rPr>
          <w:i/>
          <w:iCs/>
          <w:u w:val="single"/>
        </w:rPr>
        <w:t>Eliminación de costes de transacción</w:t>
      </w:r>
      <w:r w:rsidRPr="00E3164E">
        <w:t xml:space="preserve">: </w:t>
      </w:r>
      <w:r>
        <w:t>S</w:t>
      </w:r>
      <w:r w:rsidRPr="00E3164E">
        <w:t>e eliminan los costes asociados al cambio de moneda (i.e. comisiones, tiempo, etc.), que para el caso de la zona euro se estimaron entre el 0,25</w:t>
      </w:r>
      <w:r w:rsidR="00B60258">
        <w:t> %</w:t>
      </w:r>
      <w:r w:rsidRPr="00E3164E">
        <w:t xml:space="preserve"> y el 0,5</w:t>
      </w:r>
      <w:r w:rsidR="004A1CAE">
        <w:t> %</w:t>
      </w:r>
      <w:r w:rsidRPr="00E3164E">
        <w:t xml:space="preserve"> del PIB. Al mismo tiempo, se reduce la segmentación de los mercados, favoreciendo la integración y el cumplimiento de la ley del precio único.</w:t>
      </w:r>
    </w:p>
    <w:p w14:paraId="7CE2AED6" w14:textId="4F133AE4" w:rsidR="00E3164E" w:rsidRDefault="00E3164E" w:rsidP="00B60258">
      <w:pPr>
        <w:pStyle w:val="Nivel3SM"/>
      </w:pPr>
      <w:r w:rsidRPr="00B60258">
        <w:rPr>
          <w:i/>
          <w:iCs/>
          <w:u w:val="single"/>
        </w:rPr>
        <w:t>Eliminación del riesgo cambiario</w:t>
      </w:r>
      <w:r w:rsidR="00B60258">
        <w:t xml:space="preserve">: </w:t>
      </w:r>
      <w:r>
        <w:t>A</w:t>
      </w:r>
      <w:r w:rsidRPr="00E3164E">
        <w:t>umentando el comercio internacional, mejorando la asignación de recursos y reduciendo la necesidad de las operaciones de cobertura por riesgo cambiario.</w:t>
      </w:r>
    </w:p>
    <w:p w14:paraId="66C8D22D" w14:textId="6B3C3E49" w:rsidR="00E3164E" w:rsidRPr="00E31552" w:rsidRDefault="00E3164E" w:rsidP="00B60258">
      <w:pPr>
        <w:pStyle w:val="Ttulo6"/>
      </w:pPr>
      <w:bookmarkStart w:id="82" w:name="_Toc151227182"/>
      <w:r w:rsidRPr="00E3164E">
        <w:lastRenderedPageBreak/>
        <w:t>Aspectos negativos</w:t>
      </w:r>
      <w:bookmarkEnd w:id="82"/>
    </w:p>
    <w:p w14:paraId="4133E782" w14:textId="0DE07000" w:rsidR="00E3164E" w:rsidRPr="00E3164E" w:rsidRDefault="00E3164E" w:rsidP="00B60258">
      <w:pPr>
        <w:pStyle w:val="Nivel2SM"/>
        <w:keepNext/>
        <w:spacing w:after="0"/>
      </w:pPr>
      <w:r w:rsidRPr="00E3164E">
        <w:t>Entre los principales se incluyen</w:t>
      </w:r>
      <w:r w:rsidR="00B60258">
        <w:t>:</w:t>
      </w:r>
    </w:p>
    <w:p w14:paraId="1CE5F2CD" w14:textId="3FBB6147" w:rsidR="00E3164E" w:rsidRPr="00E3164E" w:rsidRDefault="00E3164E" w:rsidP="00B60258">
      <w:pPr>
        <w:pStyle w:val="Nivel3SM"/>
      </w:pPr>
      <w:r w:rsidRPr="00B60258">
        <w:rPr>
          <w:i/>
          <w:iCs/>
          <w:u w:val="single"/>
        </w:rPr>
        <w:t>Pérdida de la política monetaria</w:t>
      </w:r>
      <w:r w:rsidR="00B60258">
        <w:t xml:space="preserve">: </w:t>
      </w:r>
      <w:r>
        <w:t>P</w:t>
      </w:r>
      <w:r w:rsidRPr="00E3164E">
        <w:t>or lo que España sólo dispone de la política fiscal como instrumento de estabilización económica, y de las medidas estructurales para potenciar el crecimiento económico a largo plazo.</w:t>
      </w:r>
    </w:p>
    <w:p w14:paraId="704D0315" w14:textId="286B6FD8" w:rsidR="00E3164E" w:rsidRPr="00E3164E" w:rsidRDefault="00E3164E" w:rsidP="00B60258">
      <w:pPr>
        <w:pStyle w:val="Nivel3SM"/>
      </w:pPr>
      <w:r w:rsidRPr="00B60258">
        <w:rPr>
          <w:i/>
          <w:iCs/>
          <w:u w:val="single"/>
        </w:rPr>
        <w:t>Pérdida de la política cambiaria</w:t>
      </w:r>
      <w:r w:rsidR="00B60258">
        <w:t xml:space="preserve">: </w:t>
      </w:r>
      <w:r>
        <w:t>P</w:t>
      </w:r>
      <w:r w:rsidRPr="00E3164E">
        <w:t>or lo que España no puede recurrir a devaluaciones del tipo de cambio para ganar competitividad (como hizo en numerables ocasiones en los 80 y a principios de los 90). Por lo tanto, en la actualidad la única posibilidad para ganar competitividad en el corto plazo es a través de la contención salarial (que ha sido precisamente la estrategia española en la reciente crisis: “yo te lo hago más barato”, en lugar de “yo te lo hago mejor”).</w:t>
      </w:r>
    </w:p>
    <w:p w14:paraId="175C69FA" w14:textId="38C42085" w:rsidR="00E3164E" w:rsidRPr="00E3164E" w:rsidRDefault="00E3164E" w:rsidP="00B60258">
      <w:pPr>
        <w:pStyle w:val="Nivel3SM"/>
      </w:pPr>
      <w:r w:rsidRPr="00B60258">
        <w:rPr>
          <w:i/>
          <w:iCs/>
          <w:u w:val="single"/>
        </w:rPr>
        <w:t>Posible asincronía de ciclos</w:t>
      </w:r>
      <w:r w:rsidR="00B60258">
        <w:t xml:space="preserve">: </w:t>
      </w:r>
      <w:r>
        <w:t>P</w:t>
      </w:r>
      <w:r w:rsidRPr="00E3164E">
        <w:t>ues resulta complicado diseñar la política monetaria de manera acorde a la posición cíclica de todas las economías de la zona euro. Así, la política monetaria única ha podido resultar perjudicial para España (años pre-crisis) o beneficiosa (actualidad).</w:t>
      </w:r>
    </w:p>
    <w:p w14:paraId="54124C12" w14:textId="5BC690EB" w:rsidR="006561DD" w:rsidRPr="00E31552" w:rsidRDefault="00E3164E" w:rsidP="00B60258">
      <w:pPr>
        <w:pStyle w:val="Nivel3SM"/>
      </w:pPr>
      <w:r w:rsidRPr="00B60258">
        <w:rPr>
          <w:u w:val="single"/>
        </w:rPr>
        <w:t>Efecto contagio</w:t>
      </w:r>
      <w:r w:rsidR="00B60258">
        <w:t xml:space="preserve">: </w:t>
      </w:r>
      <w:r w:rsidRPr="00E3164E">
        <w:t>Al disponer de una moneda común, parte del riesgo-país de los socios de la Eurozona se traslada al resto. Así, la inestabilidad financiera en Grecia se ha traducido a menudo en tensiones financieras para España y para el resto de países del Sur.</w:t>
      </w:r>
    </w:p>
    <w:p w14:paraId="76DAA4B8" w14:textId="1CC17E38" w:rsidR="003605F7" w:rsidRDefault="009C1C46" w:rsidP="00E31552">
      <w:pPr>
        <w:pStyle w:val="Introduccinyconclusin"/>
      </w:pPr>
      <w:r>
        <w:t>CONCLUSION</w:t>
      </w:r>
    </w:p>
    <w:p w14:paraId="3BFF17CF" w14:textId="77777777" w:rsidR="00E31552" w:rsidRDefault="00E31552" w:rsidP="00E31552">
      <w:pPr>
        <w:pStyle w:val="Nivel1"/>
        <w:keepNext/>
        <w:spacing w:before="0" w:after="0"/>
      </w:pPr>
      <w:bookmarkStart w:id="83" w:name="_Hlk148111198"/>
      <w:r>
        <w:rPr>
          <w:b/>
          <w:bCs/>
          <w:i/>
          <w:iCs/>
        </w:rPr>
        <w:t>Recapitulación (Ideas clave)</w:t>
      </w:r>
      <w:r>
        <w:t>:</w:t>
      </w:r>
    </w:p>
    <w:p w14:paraId="44414248" w14:textId="48187D79" w:rsidR="00E31552" w:rsidRDefault="004F59E8" w:rsidP="00E31552">
      <w:pPr>
        <w:pStyle w:val="Nivel2"/>
      </w:pPr>
      <w:r>
        <w:t>La Adhesión de España a la CEE en 1986 ha resultado clave a la hora de integrarse no sólo en el continente europeo sino en la economía mundial.</w:t>
      </w:r>
    </w:p>
    <w:p w14:paraId="03709DEC" w14:textId="52ACDE77" w:rsidR="004F59E8" w:rsidRDefault="004F59E8" w:rsidP="004F59E8">
      <w:pPr>
        <w:pStyle w:val="Nivel2"/>
        <w:keepNext/>
        <w:spacing w:after="0"/>
      </w:pPr>
      <w:r>
        <w:t>En general, la mayor integración con nuestros socios europeos ha favorecido a España:</w:t>
      </w:r>
    </w:p>
    <w:p w14:paraId="3019F657" w14:textId="4906EC64" w:rsidR="004F59E8" w:rsidRDefault="004F59E8" w:rsidP="004F59E8">
      <w:pPr>
        <w:pStyle w:val="Nivel3"/>
      </w:pPr>
      <w:r>
        <w:t>Acceso a fondos de política regional (lo que ha estimulado la convergencia).</w:t>
      </w:r>
    </w:p>
    <w:p w14:paraId="1FAD2A1E" w14:textId="479CD79B" w:rsidR="004F59E8" w:rsidRDefault="004F59E8" w:rsidP="004F59E8">
      <w:pPr>
        <w:pStyle w:val="Nivel3"/>
      </w:pPr>
      <w:r>
        <w:t>Acceso a los préstamos del Banco Europeo de Inversiones (BEI) para el desarrollo de infraestructuras.</w:t>
      </w:r>
    </w:p>
    <w:p w14:paraId="3F6A5D76" w14:textId="75385F0E" w:rsidR="004F59E8" w:rsidRDefault="004F59E8" w:rsidP="004F59E8">
      <w:pPr>
        <w:pStyle w:val="Nivel3"/>
      </w:pPr>
      <w:r>
        <w:t>Profundización del comercio y las inversiones con nuestros socios europeos.</w:t>
      </w:r>
    </w:p>
    <w:p w14:paraId="1363BFE8" w14:textId="0C356851" w:rsidR="004F59E8" w:rsidRDefault="004F59E8" w:rsidP="00E31552">
      <w:pPr>
        <w:pStyle w:val="Nivel2"/>
      </w:pPr>
      <w:r>
        <w:t>Quizás una señal de que los efectos positivos han primado, ha sido la poca relevancia política del euroescepticismo en nuestro país en comparación con la de otros países europeos.</w:t>
      </w:r>
    </w:p>
    <w:p w14:paraId="36860629" w14:textId="4D3A8C13" w:rsidR="004F59E8" w:rsidRPr="00DA1AD6" w:rsidRDefault="004F59E8" w:rsidP="00E31552">
      <w:pPr>
        <w:pStyle w:val="Nivel2"/>
      </w:pPr>
      <w:r>
        <w:t>Sin embargo, han existido sombran en este proceso. Por ejemplo, el diseño de la UEM produjo un ajuste interno muy duro para España y la paralización de las reformas estructurales.</w:t>
      </w:r>
    </w:p>
    <w:p w14:paraId="16989515" w14:textId="77777777" w:rsidR="00E31552" w:rsidRPr="00747F0A" w:rsidRDefault="00E31552" w:rsidP="00E31552">
      <w:pPr>
        <w:pStyle w:val="Nivel1"/>
        <w:keepNext/>
        <w:spacing w:after="0"/>
      </w:pPr>
      <w:r>
        <w:rPr>
          <w:b/>
          <w:bCs/>
          <w:i/>
          <w:iCs/>
        </w:rPr>
        <w:t>Relevancia</w:t>
      </w:r>
      <w:r>
        <w:t>:</w:t>
      </w:r>
    </w:p>
    <w:p w14:paraId="769C00B2" w14:textId="77777777" w:rsidR="00E31552" w:rsidRPr="00747F0A" w:rsidRDefault="00E31552" w:rsidP="00E31552">
      <w:pPr>
        <w:pStyle w:val="Nivel2"/>
      </w:pPr>
    </w:p>
    <w:p w14:paraId="59D3A419" w14:textId="77777777" w:rsidR="00E31552" w:rsidRDefault="00E31552" w:rsidP="00E31552">
      <w:pPr>
        <w:pStyle w:val="Nivel1"/>
        <w:keepNext/>
        <w:spacing w:after="0"/>
      </w:pPr>
      <w:r>
        <w:rPr>
          <w:b/>
          <w:bCs/>
          <w:i/>
          <w:iCs/>
        </w:rPr>
        <w:t>Extensiones y relación con otras partes del temario</w:t>
      </w:r>
      <w:r>
        <w:t>:</w:t>
      </w:r>
    </w:p>
    <w:p w14:paraId="274B419A" w14:textId="77777777" w:rsidR="00E31552" w:rsidRDefault="00E31552" w:rsidP="00E31552">
      <w:pPr>
        <w:pStyle w:val="Nivel2"/>
      </w:pPr>
    </w:p>
    <w:p w14:paraId="0D2087B7" w14:textId="77777777" w:rsidR="00E31552" w:rsidRDefault="00E31552" w:rsidP="00E31552">
      <w:pPr>
        <w:pStyle w:val="Nivel1"/>
        <w:keepNext/>
        <w:spacing w:after="0"/>
      </w:pPr>
      <w:r>
        <w:rPr>
          <w:b/>
          <w:bCs/>
          <w:i/>
          <w:iCs/>
        </w:rPr>
        <w:t>Opinión</w:t>
      </w:r>
      <w:r>
        <w:t>:</w:t>
      </w:r>
    </w:p>
    <w:p w14:paraId="340337FF" w14:textId="77777777" w:rsidR="00E31552" w:rsidRPr="00747F0A" w:rsidRDefault="00E31552" w:rsidP="00E31552">
      <w:pPr>
        <w:pStyle w:val="Nivel2"/>
      </w:pPr>
    </w:p>
    <w:p w14:paraId="7A87F42B" w14:textId="77777777" w:rsidR="00E31552" w:rsidRDefault="00E31552" w:rsidP="00E31552">
      <w:pPr>
        <w:pStyle w:val="Nivel1"/>
        <w:keepNext/>
        <w:spacing w:after="0"/>
      </w:pPr>
      <w:r>
        <w:rPr>
          <w:b/>
          <w:bCs/>
          <w:i/>
          <w:iCs/>
        </w:rPr>
        <w:t>Idea final (Salida o cierre)</w:t>
      </w:r>
      <w:r>
        <w:t>:</w:t>
      </w:r>
    </w:p>
    <w:p w14:paraId="4CAF2136" w14:textId="045E6502" w:rsidR="00E31552" w:rsidRPr="00DB3BF6" w:rsidRDefault="004F59E8" w:rsidP="00E31552">
      <w:pPr>
        <w:pStyle w:val="Nivel2"/>
      </w:pPr>
      <w:r>
        <w:t>Sin embargo, en la crisis de la pandemia existe consenso de que las medidas tomadas a nivel europeo han sido más rápidas y más contundente. España va a disponer de una gran cantidad de dinero, no solo para hacer frente a la pandemia a corto plazo, sino para sentar las bases de nuestra economía a largo plazo. Es una oportunidad histórica que debemos aprovechar.</w:t>
      </w:r>
    </w:p>
    <w:p w14:paraId="7599FDBD" w14:textId="77777777" w:rsidR="00E31552" w:rsidRPr="00517DF0" w:rsidRDefault="00E31552" w:rsidP="00E31552">
      <w:pPr>
        <w:spacing w:after="0" w:line="240" w:lineRule="auto"/>
        <w:jc w:val="left"/>
        <w:rPr>
          <w:sz w:val="2"/>
          <w:szCs w:val="2"/>
        </w:rPr>
      </w:pPr>
      <w:r w:rsidRPr="00517DF0">
        <w:rPr>
          <w:sz w:val="2"/>
          <w:szCs w:val="2"/>
        </w:rPr>
        <w:br w:type="page"/>
      </w:r>
    </w:p>
    <w:p w14:paraId="2FA835CB" w14:textId="77777777" w:rsidR="00E31552" w:rsidRDefault="00E31552" w:rsidP="00E31552">
      <w:pPr>
        <w:pStyle w:val="Ttulo4"/>
      </w:pPr>
      <w:r>
        <w:lastRenderedPageBreak/>
        <w:t>Bibliografía</w:t>
      </w:r>
    </w:p>
    <w:p w14:paraId="63248995" w14:textId="77777777" w:rsidR="00E31552" w:rsidRDefault="00E31552" w:rsidP="00E31552">
      <w:r>
        <w:t xml:space="preserve">Tema María Palacios </w:t>
      </w:r>
      <w:proofErr w:type="spellStart"/>
      <w:r>
        <w:t>Carrere</w:t>
      </w:r>
      <w:proofErr w:type="spellEnd"/>
    </w:p>
    <w:p w14:paraId="0D6A0C4C" w14:textId="2F05D35A" w:rsidR="008A380B" w:rsidRDefault="008A380B" w:rsidP="00E31552">
      <w:r>
        <w:t>Tema Juan Luis Cordero Tarifa</w:t>
      </w:r>
    </w:p>
    <w:p w14:paraId="0BBEF4FF" w14:textId="77777777" w:rsidR="00E31552" w:rsidRDefault="00E31552" w:rsidP="00E31552">
      <w:pPr>
        <w:pStyle w:val="Ttulo4"/>
      </w:pPr>
      <w:r>
        <w:t>Preguntas de otros exámenes</w:t>
      </w:r>
    </w:p>
    <w:p w14:paraId="37C98246" w14:textId="77777777" w:rsidR="00E31552" w:rsidRPr="002908B3" w:rsidRDefault="00E31552" w:rsidP="00E31552">
      <w:pPr>
        <w:pStyle w:val="Nivel2SM"/>
      </w:pPr>
    </w:p>
    <w:p w14:paraId="489794A4" w14:textId="77777777" w:rsidR="00E31552" w:rsidRDefault="00E31552" w:rsidP="00E31552">
      <w:pPr>
        <w:pStyle w:val="Ttulo4"/>
      </w:pPr>
      <w:r w:rsidRPr="00342648">
        <w:t>Anexos</w:t>
      </w:r>
    </w:p>
    <w:p w14:paraId="5DBC2B3D" w14:textId="77777777" w:rsidR="007904D4" w:rsidRDefault="00E31552" w:rsidP="00E31552">
      <w:pPr>
        <w:pStyle w:val="Ttulo5"/>
        <w:rPr>
          <w:u w:val="none"/>
        </w:rPr>
      </w:pPr>
      <w:r w:rsidRPr="0002549F">
        <w:t>Anexo</w:t>
      </w:r>
      <w:r>
        <w:t> </w:t>
      </w:r>
      <w:r w:rsidRPr="0002549F">
        <w:t>1</w:t>
      </w:r>
      <w:r w:rsidRPr="00AF1FE6">
        <w:rPr>
          <w:u w:val="none"/>
        </w:rPr>
        <w:t>:</w:t>
      </w:r>
      <w:r>
        <w:rPr>
          <w:u w:val="none"/>
        </w:rPr>
        <w:t xml:space="preserve"> </w:t>
      </w:r>
      <w:bookmarkEnd w:id="83"/>
      <w:r w:rsidR="007904D4">
        <w:rPr>
          <w:u w:val="none"/>
        </w:rPr>
        <w:t>La singularidad de Ceuta, Melilla y las Canarias</w:t>
      </w:r>
    </w:p>
    <w:p w14:paraId="7FED863B" w14:textId="38638DDE" w:rsidR="007904D4" w:rsidRDefault="007904D4" w:rsidP="007904D4">
      <w:pPr>
        <w:pStyle w:val="Nivel1SM"/>
        <w:keepNext/>
        <w:spacing w:before="0" w:after="0"/>
      </w:pPr>
      <w:r>
        <w:t>Algunas singularidades debido a su situación geográfica ultraperiférica:</w:t>
      </w:r>
    </w:p>
    <w:p w14:paraId="497AC065" w14:textId="6BD12968" w:rsidR="007904D4" w:rsidRDefault="007904D4" w:rsidP="007904D4">
      <w:pPr>
        <w:pStyle w:val="Nivel2SM"/>
      </w:pPr>
      <w:r>
        <w:t>Los 3 territorios se mantuvieron en un primer momento al margen del territorio aduanero comunitario. Canarias, no obstante, acabaría incorporándose al mismo tras la revisión de las condiciones del Tratado de Adhesión relativas a dicho territorio mediante un Reglamento del Consejo de 1991.</w:t>
      </w:r>
    </w:p>
    <w:p w14:paraId="2728E115" w14:textId="5CB64726" w:rsidR="007904D4" w:rsidRDefault="007904D4" w:rsidP="007904D4">
      <w:pPr>
        <w:pStyle w:val="Nivel2SM"/>
      </w:pPr>
      <w:r>
        <w:t>Estos 3 territorios tampoco quedaron sometidos a la armonización en materia de IVA e IIEE y siguen manteniendo a día de hoy un régimen fiscal particular en los impuestos armonizados respecto al resto de territorios comunitarios.</w:t>
      </w:r>
    </w:p>
    <w:p w14:paraId="7D7FEB78" w14:textId="3868B4F0" w:rsidR="007904D4" w:rsidRDefault="007904D4" w:rsidP="007904D4">
      <w:pPr>
        <w:pStyle w:val="Nivel1SM"/>
        <w:keepNext/>
        <w:spacing w:after="0"/>
      </w:pPr>
      <w:r>
        <w:t>Régimen fiscal de Ceuta y Melilla:</w:t>
      </w:r>
    </w:p>
    <w:p w14:paraId="19DE4DC6" w14:textId="3FE83D4C" w:rsidR="007904D4" w:rsidRPr="007904D4" w:rsidRDefault="007904D4" w:rsidP="007904D4">
      <w:pPr>
        <w:pStyle w:val="Nivel2SM"/>
      </w:pPr>
      <w:r>
        <w:rPr>
          <w:i/>
          <w:iCs/>
        </w:rPr>
        <w:t>Imposición indirecta</w:t>
      </w:r>
    </w:p>
    <w:p w14:paraId="2EAC1A5C" w14:textId="282140B4" w:rsidR="007904D4" w:rsidRDefault="007904D4" w:rsidP="007904D4">
      <w:pPr>
        <w:pStyle w:val="Nivel2SM"/>
      </w:pPr>
      <w:r>
        <w:rPr>
          <w:i/>
          <w:iCs/>
        </w:rPr>
        <w:t>Imposición directa</w:t>
      </w:r>
      <w:r>
        <w:t>: Bonificación del 50 % de la cuota correspondiente a los rendimientos generados en Ceuta y Melilla.</w:t>
      </w:r>
    </w:p>
    <w:p w14:paraId="6BE6777D" w14:textId="60D86D0A" w:rsidR="007904D4" w:rsidRDefault="007904D4" w:rsidP="007904D4">
      <w:pPr>
        <w:pStyle w:val="Nivel1SM"/>
        <w:keepNext/>
        <w:spacing w:after="0"/>
      </w:pPr>
      <w:r>
        <w:t>Régimen fiscal de las Islas Canarias:</w:t>
      </w:r>
    </w:p>
    <w:p w14:paraId="25246565" w14:textId="29A1C9A4" w:rsidR="007904D4" w:rsidRPr="007904D4" w:rsidRDefault="007904D4" w:rsidP="007904D4">
      <w:pPr>
        <w:pStyle w:val="Nivel2SM"/>
      </w:pPr>
      <w:r>
        <w:t>En el territorio de la CCAA de Canarias en el ámbito de la imposición indirecta no se aplica el IVA n algunos IIEE (</w:t>
      </w:r>
      <w:r w:rsidR="00E0585C">
        <w:t>Por ejemplo</w:t>
      </w:r>
      <w:r>
        <w:t xml:space="preserve"> el Impuesto Especial sobre Hidrocarburos y el Impuesto Especial sobre las Labores del Tabaco. No obstante, Canarias tiene establecidos 2 impuestos propios que gravan estos productos: Impuesto sobre Combustibles Derivados del Petróleo y el Impuesto sobre las Labores del Tabaco).</w:t>
      </w:r>
    </w:p>
    <w:p w14:paraId="7A2E2FEA" w14:textId="11EA5C2A" w:rsidR="00E31552" w:rsidRPr="00E13348" w:rsidRDefault="007904D4" w:rsidP="00E31552">
      <w:pPr>
        <w:pStyle w:val="Ttulo5"/>
        <w:rPr>
          <w:bCs/>
        </w:rPr>
      </w:pPr>
      <w:r>
        <w:t>Anexo </w:t>
      </w:r>
      <w:r w:rsidRPr="007904D4">
        <w:rPr>
          <w:u w:val="none"/>
        </w:rPr>
        <w:t>2</w:t>
      </w:r>
      <w:r>
        <w:rPr>
          <w:u w:val="none"/>
        </w:rPr>
        <w:t xml:space="preserve">: </w:t>
      </w:r>
    </w:p>
    <w:p w14:paraId="1B2D82C9" w14:textId="77777777" w:rsidR="00E31552" w:rsidRPr="00E31552" w:rsidRDefault="00E31552" w:rsidP="00E31552"/>
    <w:sectPr w:rsidR="00E31552" w:rsidRPr="00E31552" w:rsidSect="005E3CC5">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DACDD" w14:textId="77777777" w:rsidR="00841E8A" w:rsidRDefault="00841E8A">
      <w:r>
        <w:separator/>
      </w:r>
    </w:p>
  </w:endnote>
  <w:endnote w:type="continuationSeparator" w:id="0">
    <w:p w14:paraId="5FCF8102" w14:textId="77777777" w:rsidR="00841E8A" w:rsidRDefault="00841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E3CC5" w:rsidRPr="009B5FC2" w14:paraId="3963DABF" w14:textId="77777777" w:rsidTr="00B777D0">
      <w:trPr>
        <w:trHeight w:val="138"/>
        <w:jc w:val="center"/>
      </w:trPr>
      <w:tc>
        <w:tcPr>
          <w:tcW w:w="1134" w:type="dxa"/>
        </w:tcPr>
        <w:p w14:paraId="6A7DAAD1" w14:textId="77777777" w:rsidR="005E3CC5" w:rsidRPr="009B5FC2" w:rsidRDefault="005E3CC5"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720F0464" w14:textId="77777777" w:rsidR="005E3CC5" w:rsidRPr="009B5FC2" w:rsidRDefault="005E3CC5" w:rsidP="009B5FC2">
          <w:pPr>
            <w:pStyle w:val="Encabezado"/>
            <w:spacing w:after="0"/>
            <w:ind w:right="-110"/>
            <w:contextualSpacing/>
            <w:jc w:val="center"/>
            <w:rPr>
              <w:i/>
              <w:iCs/>
              <w:color w:val="5F2987"/>
              <w:sz w:val="18"/>
              <w:szCs w:val="18"/>
            </w:rPr>
          </w:pPr>
        </w:p>
      </w:tc>
      <w:tc>
        <w:tcPr>
          <w:tcW w:w="2551" w:type="dxa"/>
          <w:vAlign w:val="center"/>
        </w:tcPr>
        <w:p w14:paraId="452862D2" w14:textId="77777777" w:rsidR="005E3CC5" w:rsidRPr="009B5FC2" w:rsidRDefault="005E3CC5" w:rsidP="009B5FC2">
          <w:pPr>
            <w:pStyle w:val="Encabezado"/>
            <w:spacing w:after="0"/>
            <w:contextualSpacing/>
            <w:jc w:val="right"/>
            <w:rPr>
              <w:b/>
              <w:bCs/>
              <w:i/>
              <w:iCs/>
              <w:color w:val="5F2987"/>
              <w:spacing w:val="-6"/>
              <w:sz w:val="18"/>
              <w:szCs w:val="18"/>
            </w:rPr>
          </w:pPr>
        </w:p>
      </w:tc>
    </w:tr>
  </w:tbl>
  <w:p w14:paraId="46CB9DAA" w14:textId="77777777" w:rsidR="005E3CC5" w:rsidRPr="009C61AF" w:rsidRDefault="005E3CC5"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E3CC5" w:rsidRPr="00C44422" w14:paraId="26C9C34D" w14:textId="77777777" w:rsidTr="0078055F">
      <w:trPr>
        <w:trHeight w:val="138"/>
        <w:jc w:val="center"/>
      </w:trPr>
      <w:tc>
        <w:tcPr>
          <w:tcW w:w="1134" w:type="dxa"/>
          <w:vAlign w:val="center"/>
        </w:tcPr>
        <w:p w14:paraId="3BD9C6FB" w14:textId="77777777" w:rsidR="005E3CC5" w:rsidRPr="006B5D4B" w:rsidRDefault="005E3CC5"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CB35DAE" w14:textId="77777777" w:rsidR="005E3CC5" w:rsidRPr="006B5D4B" w:rsidRDefault="005E3CC5" w:rsidP="009B5FC2">
          <w:pPr>
            <w:pStyle w:val="Encabezado"/>
            <w:spacing w:after="0"/>
            <w:ind w:right="-110"/>
            <w:contextualSpacing/>
            <w:jc w:val="center"/>
            <w:rPr>
              <w:i/>
              <w:iCs/>
              <w:color w:val="5F2987"/>
              <w:sz w:val="18"/>
              <w:szCs w:val="18"/>
            </w:rPr>
          </w:pPr>
        </w:p>
      </w:tc>
      <w:tc>
        <w:tcPr>
          <w:tcW w:w="2551" w:type="dxa"/>
          <w:vAlign w:val="center"/>
        </w:tcPr>
        <w:p w14:paraId="781DB586" w14:textId="77777777" w:rsidR="005E3CC5" w:rsidRPr="006B5D4B" w:rsidRDefault="005E3CC5"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55630EC" w14:textId="77777777" w:rsidR="005E3CC5" w:rsidRPr="00BE1B62" w:rsidRDefault="005E3CC5"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E3CC5" w:rsidRPr="00C44422" w14:paraId="78732751" w14:textId="77777777" w:rsidTr="0078055F">
      <w:trPr>
        <w:trHeight w:val="138"/>
        <w:jc w:val="center"/>
      </w:trPr>
      <w:tc>
        <w:tcPr>
          <w:tcW w:w="1134" w:type="dxa"/>
          <w:vAlign w:val="center"/>
        </w:tcPr>
        <w:p w14:paraId="22CD9280" w14:textId="77777777" w:rsidR="005E3CC5" w:rsidRPr="006B5D4B" w:rsidRDefault="005E3CC5"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379EDED" w14:textId="77777777" w:rsidR="005E3CC5" w:rsidRPr="006B5D4B" w:rsidRDefault="005E3CC5" w:rsidP="009B5FC2">
          <w:pPr>
            <w:pStyle w:val="Encabezado"/>
            <w:spacing w:after="0"/>
            <w:ind w:right="-110"/>
            <w:contextualSpacing/>
            <w:jc w:val="center"/>
            <w:rPr>
              <w:i/>
              <w:iCs/>
              <w:color w:val="5F2987"/>
              <w:sz w:val="18"/>
              <w:szCs w:val="18"/>
            </w:rPr>
          </w:pPr>
        </w:p>
      </w:tc>
      <w:tc>
        <w:tcPr>
          <w:tcW w:w="2551" w:type="dxa"/>
          <w:vAlign w:val="center"/>
        </w:tcPr>
        <w:p w14:paraId="37A96421" w14:textId="77777777" w:rsidR="005E3CC5" w:rsidRPr="006B5D4B" w:rsidRDefault="005E3CC5"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4B84CC1" w14:textId="77777777" w:rsidR="005E3CC5" w:rsidRPr="00BE1B62" w:rsidRDefault="005E3CC5"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0B575" w14:textId="77777777" w:rsidR="00841E8A" w:rsidRPr="00D26AC8" w:rsidRDefault="00841E8A" w:rsidP="00D26AC8">
      <w:pPr>
        <w:spacing w:after="0" w:line="240" w:lineRule="auto"/>
        <w:rPr>
          <w:sz w:val="16"/>
          <w:szCs w:val="16"/>
        </w:rPr>
      </w:pPr>
      <w:r w:rsidRPr="00D26AC8">
        <w:rPr>
          <w:sz w:val="16"/>
          <w:szCs w:val="16"/>
        </w:rPr>
        <w:separator/>
      </w:r>
    </w:p>
  </w:footnote>
  <w:footnote w:type="continuationSeparator" w:id="0">
    <w:p w14:paraId="3876BAC4" w14:textId="77777777" w:rsidR="00841E8A" w:rsidRPr="00D26AC8" w:rsidRDefault="00841E8A" w:rsidP="00D26AC8">
      <w:pPr>
        <w:spacing w:after="0" w:line="240" w:lineRule="auto"/>
        <w:rPr>
          <w:sz w:val="16"/>
          <w:szCs w:val="16"/>
        </w:rPr>
      </w:pPr>
      <w:r w:rsidRPr="00D26AC8">
        <w:rPr>
          <w:sz w:val="16"/>
          <w:szCs w:val="16"/>
        </w:rPr>
        <w:continuationSeparator/>
      </w:r>
    </w:p>
  </w:footnote>
  <w:footnote w:type="continuationNotice" w:id="1">
    <w:p w14:paraId="01650B29" w14:textId="77777777" w:rsidR="00841E8A" w:rsidRPr="00DD138A" w:rsidRDefault="00841E8A" w:rsidP="00D26AC8">
      <w:pPr>
        <w:spacing w:after="0" w:line="192" w:lineRule="auto"/>
        <w:jc w:val="right"/>
        <w:rPr>
          <w:rFonts w:ascii="Arial" w:eastAsia="Times New Roman" w:hAnsi="Arial" w:cs="Arial"/>
          <w:color w:val="202122"/>
          <w:sz w:val="16"/>
          <w:szCs w:val="16"/>
          <w:lang w:eastAsia="es-ES"/>
        </w:rPr>
      </w:pPr>
      <w:r w:rsidRPr="00DD138A">
        <w:rPr>
          <w:rFonts w:ascii="Cambria Math" w:eastAsia="Times New Roman" w:hAnsi="Cambria Math" w:cs="Cambria Math"/>
          <w:color w:val="202122"/>
          <w:sz w:val="16"/>
          <w:szCs w:val="16"/>
          <w:lang w:eastAsia="es-ES"/>
        </w:rPr>
        <w:t>↪</w:t>
      </w:r>
    </w:p>
  </w:footnote>
  <w:footnote w:id="2">
    <w:p w14:paraId="7DAAA443" w14:textId="77777777" w:rsidR="000922E3" w:rsidRDefault="000922E3" w:rsidP="000922E3">
      <w:pPr>
        <w:pStyle w:val="Textonotapie"/>
      </w:pPr>
      <w:r>
        <w:rPr>
          <w:rStyle w:val="Refdenotaalpie"/>
        </w:rPr>
        <w:footnoteRef/>
      </w:r>
      <w:r>
        <w:t xml:space="preserve"> </w:t>
      </w:r>
      <w:hyperlink r:id="rId1" w:history="1">
        <w:r w:rsidRPr="00E34969">
          <w:rPr>
            <w:rStyle w:val="Hipervnculo"/>
          </w:rPr>
          <w:t>https://www.funcas.es/wp-content/uploads/2022/10/Capitulo-8_El-sector-servicios.pdf</w:t>
        </w:r>
      </w:hyperlink>
    </w:p>
  </w:footnote>
  <w:footnote w:id="3">
    <w:p w14:paraId="1C26624C" w14:textId="77777777" w:rsidR="00EF055E" w:rsidRDefault="00EF055E" w:rsidP="00EF055E">
      <w:pPr>
        <w:pStyle w:val="Textonotapie"/>
      </w:pPr>
      <w:r>
        <w:rPr>
          <w:rStyle w:val="Refdenotaalpie"/>
        </w:rPr>
        <w:footnoteRef/>
      </w:r>
      <w:r>
        <w:t xml:space="preserve"> </w:t>
      </w:r>
      <w:hyperlink r:id="rId2" w:history="1">
        <w:r w:rsidRPr="00515B8A">
          <w:rPr>
            <w:rStyle w:val="Hipervnculo"/>
          </w:rPr>
          <w:t>https://elpais.com/ideas/2023-10-18/por-que-churchill-apoyo-el-franquismo.html</w:t>
        </w:r>
      </w:hyperlink>
    </w:p>
  </w:footnote>
  <w:footnote w:id="4">
    <w:p w14:paraId="4929414C" w14:textId="77777777" w:rsidR="00A37A9D" w:rsidRDefault="00A37A9D" w:rsidP="00A37A9D">
      <w:pPr>
        <w:pStyle w:val="Textonotapie"/>
      </w:pPr>
      <w:r>
        <w:rPr>
          <w:rStyle w:val="Refdenotaalpie"/>
        </w:rPr>
        <w:footnoteRef/>
      </w:r>
      <w:r>
        <w:t xml:space="preserve"> Llamado así p</w:t>
      </w:r>
      <w:r w:rsidRPr="00B32A56">
        <w:t>or constituir una época intermedia entre el estancamiento de los «autárquicos» años 1940 y la «desarrollista» de los años 1960, y que también ha sido caracterizada como la época del «esplendor del nacional-catolicismo».</w:t>
      </w:r>
    </w:p>
  </w:footnote>
  <w:footnote w:id="5">
    <w:p w14:paraId="6C2E1870" w14:textId="223F4165" w:rsidR="00CE7C9F" w:rsidRPr="00CE7C9F" w:rsidRDefault="00CE7C9F">
      <w:pPr>
        <w:pStyle w:val="Textonotapie"/>
        <w:rPr>
          <w:spacing w:val="-2"/>
        </w:rPr>
      </w:pPr>
      <w:r w:rsidRPr="00CE7C9F">
        <w:rPr>
          <w:rStyle w:val="Refdenotaalpie"/>
          <w:spacing w:val="-2"/>
        </w:rPr>
        <w:footnoteRef/>
      </w:r>
      <w:r w:rsidRPr="00CE7C9F">
        <w:rPr>
          <w:spacing w:val="-2"/>
        </w:rPr>
        <w:t xml:space="preserve"> Según los </w:t>
      </w:r>
      <w:r w:rsidRPr="00CE7C9F">
        <w:rPr>
          <w:i/>
          <w:iCs/>
          <w:spacing w:val="-2"/>
        </w:rPr>
        <w:t>Pactos de Madrid</w:t>
      </w:r>
      <w:r w:rsidRPr="00CE7C9F">
        <w:rPr>
          <w:spacing w:val="-2"/>
        </w:rPr>
        <w:t xml:space="preserve"> se instalarían en territorio español cuatro bases militares estadounidenses a cambio de ayuda económica y militar.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E3CC5" w:rsidRPr="00C44422" w14:paraId="231CF54F"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EndPr/>
        <w:sdtContent>
          <w:tc>
            <w:tcPr>
              <w:tcW w:w="1134" w:type="dxa"/>
              <w:vAlign w:val="center"/>
            </w:tcPr>
            <w:p w14:paraId="6BC20203" w14:textId="27D8EEC6" w:rsidR="005E3CC5" w:rsidRPr="005E3CC5" w:rsidRDefault="005E3CC5"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4.A.30</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EndPr/>
          <w:sdtContent>
            <w:p w14:paraId="0CD41638" w14:textId="07150B48" w:rsidR="005E3CC5" w:rsidRPr="005E3CC5" w:rsidRDefault="005E3CC5" w:rsidP="00C80BBD">
              <w:pPr>
                <w:pStyle w:val="Encabezado"/>
                <w:spacing w:after="0"/>
                <w:ind w:right="-110"/>
                <w:contextualSpacing/>
                <w:jc w:val="center"/>
                <w:rPr>
                  <w:i/>
                  <w:iCs/>
                  <w:color w:val="5F2987"/>
                  <w:sz w:val="18"/>
                  <w:szCs w:val="18"/>
                  <w:lang w:val="es-ES"/>
                </w:rPr>
              </w:pPr>
              <w:r w:rsidRPr="005E3CC5">
                <w:rPr>
                  <w:i/>
                  <w:iCs/>
                  <w:color w:val="5F2987"/>
                  <w:sz w:val="18"/>
                  <w:szCs w:val="18"/>
                  <w:lang w:val="es-ES"/>
                </w:rPr>
                <w:t xml:space="preserve">Las relaciones de </w:t>
              </w:r>
              <w:r>
                <w:rPr>
                  <w:i/>
                  <w:iCs/>
                  <w:color w:val="5F2987"/>
                  <w:sz w:val="18"/>
                  <w:szCs w:val="18"/>
                  <w:lang w:val="es-ES"/>
                </w:rPr>
                <w:t>E</w:t>
              </w:r>
              <w:r w:rsidRPr="005E3CC5">
                <w:rPr>
                  <w:i/>
                  <w:iCs/>
                  <w:color w:val="5F2987"/>
                  <w:sz w:val="18"/>
                  <w:szCs w:val="18"/>
                  <w:lang w:val="es-ES"/>
                </w:rPr>
                <w:t xml:space="preserve">spaña con las </w:t>
              </w:r>
              <w:r>
                <w:rPr>
                  <w:i/>
                  <w:iCs/>
                  <w:color w:val="5F2987"/>
                  <w:sz w:val="18"/>
                  <w:szCs w:val="18"/>
                  <w:lang w:val="es-ES"/>
                </w:rPr>
                <w:t>C</w:t>
              </w:r>
              <w:r w:rsidRPr="005E3CC5">
                <w:rPr>
                  <w:i/>
                  <w:iCs/>
                  <w:color w:val="5F2987"/>
                  <w:sz w:val="18"/>
                  <w:szCs w:val="18"/>
                  <w:lang w:val="es-ES"/>
                </w:rPr>
                <w:t xml:space="preserve">omunidades </w:t>
              </w:r>
              <w:r>
                <w:rPr>
                  <w:i/>
                  <w:iCs/>
                  <w:color w:val="5F2987"/>
                  <w:sz w:val="18"/>
                  <w:szCs w:val="18"/>
                  <w:lang w:val="es-ES"/>
                </w:rPr>
                <w:t>E</w:t>
              </w:r>
              <w:r w:rsidRPr="005E3CC5">
                <w:rPr>
                  <w:i/>
                  <w:iCs/>
                  <w:color w:val="5F2987"/>
                  <w:sz w:val="18"/>
                  <w:szCs w:val="18"/>
                  <w:lang w:val="es-ES"/>
                </w:rPr>
                <w:t xml:space="preserve">uropeas: antecedentes, el </w:t>
              </w:r>
              <w:r>
                <w:rPr>
                  <w:i/>
                  <w:iCs/>
                  <w:color w:val="5F2987"/>
                  <w:sz w:val="18"/>
                  <w:szCs w:val="18"/>
                  <w:lang w:val="es-ES"/>
                </w:rPr>
                <w:t>T</w:t>
              </w:r>
              <w:r w:rsidRPr="005E3CC5">
                <w:rPr>
                  <w:i/>
                  <w:iCs/>
                  <w:color w:val="5F2987"/>
                  <w:sz w:val="18"/>
                  <w:szCs w:val="18"/>
                  <w:lang w:val="es-ES"/>
                </w:rPr>
                <w:t xml:space="preserve">ratado de </w:t>
              </w:r>
              <w:r>
                <w:rPr>
                  <w:i/>
                  <w:iCs/>
                  <w:color w:val="5F2987"/>
                  <w:sz w:val="18"/>
                  <w:szCs w:val="18"/>
                  <w:lang w:val="es-ES"/>
                </w:rPr>
                <w:t>A</w:t>
              </w:r>
              <w:r w:rsidRPr="005E3CC5">
                <w:rPr>
                  <w:i/>
                  <w:iCs/>
                  <w:color w:val="5F2987"/>
                  <w:sz w:val="18"/>
                  <w:szCs w:val="18"/>
                  <w:lang w:val="es-ES"/>
                </w:rPr>
                <w:t>dhesión y evolución hasta la actualidad</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EndPr/>
        <w:sdtContent>
          <w:tc>
            <w:tcPr>
              <w:tcW w:w="2551" w:type="dxa"/>
              <w:vAlign w:val="center"/>
            </w:tcPr>
            <w:p w14:paraId="3F650FD3" w14:textId="31E866E1" w:rsidR="005E3CC5" w:rsidRPr="00C44422" w:rsidRDefault="00E51F62"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E3CC5" w:rsidRPr="00C44422" w14:paraId="53889E19" w14:textId="77777777" w:rsidTr="0078055F">
      <w:trPr>
        <w:trHeight w:val="136"/>
        <w:jc w:val="center"/>
      </w:trPr>
      <w:bookmarkStart w:id="84" w:name="_Hlk72149218" w:displacedByCustomXml="next"/>
      <w:sdt>
        <w:sdtPr>
          <w:rPr>
            <w:b/>
            <w:bCs/>
            <w:i/>
            <w:iCs/>
            <w:caps/>
            <w:color w:val="5F2987"/>
            <w:sz w:val="18"/>
            <w:szCs w:val="18"/>
          </w:rPr>
          <w:alias w:val="Title"/>
          <w:tag w:val=""/>
          <w:id w:val="869187038"/>
          <w:dataBinding w:prefixMappings="xmlns:ns0='http://purl.org/dc/elements/1.1/' xmlns:ns1='http://schemas.openxmlformats.org/package/2006/metadata/core-properties' " w:xpath="/ns1:coreProperties[1]/ns0:title[1]" w:storeItemID="{6C3C8BC8-F283-45AE-878A-BAB7291924A1}"/>
          <w:text/>
        </w:sdtPr>
        <w:sdtEndPr/>
        <w:sdtContent>
          <w:tc>
            <w:tcPr>
              <w:tcW w:w="1134" w:type="dxa"/>
              <w:vAlign w:val="center"/>
            </w:tcPr>
            <w:p w14:paraId="78C34199" w14:textId="24C84D5D" w:rsidR="005E3CC5" w:rsidRPr="005E3CC5" w:rsidRDefault="005E3CC5"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4.A.30</w:t>
              </w:r>
            </w:p>
          </w:tc>
        </w:sdtContent>
      </w:sdt>
      <w:tc>
        <w:tcPr>
          <w:tcW w:w="7088" w:type="dxa"/>
          <w:vAlign w:val="center"/>
        </w:tcPr>
        <w:sdt>
          <w:sdtPr>
            <w:rPr>
              <w:i/>
              <w:iCs/>
              <w:color w:val="5F2987"/>
              <w:sz w:val="18"/>
              <w:szCs w:val="18"/>
            </w:rPr>
            <w:alias w:val="Subject"/>
            <w:tag w:val=""/>
            <w:id w:val="1456609729"/>
            <w:dataBinding w:prefixMappings="xmlns:ns0='http://purl.org/dc/elements/1.1/' xmlns:ns1='http://schemas.openxmlformats.org/package/2006/metadata/core-properties' " w:xpath="/ns1:coreProperties[1]/ns0:subject[1]" w:storeItemID="{6C3C8BC8-F283-45AE-878A-BAB7291924A1}"/>
            <w:text/>
          </w:sdtPr>
          <w:sdtEndPr/>
          <w:sdtContent>
            <w:p w14:paraId="75B89426" w14:textId="5664E409" w:rsidR="005E3CC5" w:rsidRPr="005E3CC5" w:rsidRDefault="005E3CC5" w:rsidP="00C80BBD">
              <w:pPr>
                <w:pStyle w:val="Encabezado"/>
                <w:spacing w:after="0"/>
                <w:ind w:right="-110"/>
                <w:contextualSpacing/>
                <w:jc w:val="center"/>
                <w:rPr>
                  <w:i/>
                  <w:iCs/>
                  <w:color w:val="5F2987"/>
                  <w:sz w:val="18"/>
                  <w:szCs w:val="18"/>
                  <w:lang w:val="es-ES"/>
                </w:rPr>
              </w:pPr>
              <w:r>
                <w:rPr>
                  <w:i/>
                  <w:iCs/>
                  <w:color w:val="5F2987"/>
                  <w:sz w:val="18"/>
                  <w:szCs w:val="18"/>
                  <w:lang w:val="es-ES"/>
                </w:rPr>
                <w:t>Las relaciones de España con las Comunidades Europeas: antecedentes, el Tratado de Adhesión y evolución hasta la actualidad.</w:t>
              </w:r>
            </w:p>
          </w:sdtContent>
        </w:sdt>
      </w:tc>
      <w:sdt>
        <w:sdtPr>
          <w:rPr>
            <w:b/>
            <w:bCs/>
            <w:i/>
            <w:iCs/>
            <w:color w:val="5F2987"/>
            <w:spacing w:val="-6"/>
            <w:sz w:val="18"/>
            <w:szCs w:val="18"/>
          </w:rPr>
          <w:alias w:val="Author"/>
          <w:tag w:val=""/>
          <w:id w:val="1584033211"/>
          <w:dataBinding w:prefixMappings="xmlns:ns0='http://purl.org/dc/elements/1.1/' xmlns:ns1='http://schemas.openxmlformats.org/package/2006/metadata/core-properties' " w:xpath="/ns1:coreProperties[1]/ns0:creator[1]" w:storeItemID="{6C3C8BC8-F283-45AE-878A-BAB7291924A1}"/>
          <w:text/>
        </w:sdtPr>
        <w:sdtEndPr/>
        <w:sdtContent>
          <w:tc>
            <w:tcPr>
              <w:tcW w:w="2551" w:type="dxa"/>
              <w:vAlign w:val="center"/>
            </w:tcPr>
            <w:p w14:paraId="45186287" w14:textId="3827F55A" w:rsidR="005E3CC5" w:rsidRPr="00C44422" w:rsidRDefault="00E51F62"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4"/>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E3CC5" w:rsidRPr="00BE1B62" w14:paraId="4770EA52" w14:textId="77777777" w:rsidTr="005E3CC5">
      <w:tc>
        <w:tcPr>
          <w:tcW w:w="3261" w:type="dxa"/>
          <w:tcBorders>
            <w:bottom w:val="thickThinSmallGap" w:sz="12" w:space="0" w:color="5F2987"/>
          </w:tcBorders>
        </w:tcPr>
        <w:p w14:paraId="786C315F" w14:textId="5041E529" w:rsidR="005E3CC5" w:rsidRPr="005E3CC5" w:rsidRDefault="005E3CC5" w:rsidP="00382937">
          <w:pPr>
            <w:pStyle w:val="Encabezado"/>
            <w:spacing w:after="0"/>
            <w:jc w:val="left"/>
            <w:rPr>
              <w:i/>
              <w:iCs/>
              <w:color w:val="5F2987"/>
              <w:spacing w:val="-6"/>
              <w:sz w:val="18"/>
              <w:szCs w:val="18"/>
              <w:lang w:val="es-ES"/>
            </w:rPr>
          </w:pPr>
          <w:r w:rsidRPr="005E3CC5">
            <w:rPr>
              <w:i/>
              <w:iCs/>
              <w:color w:val="5F2987"/>
              <w:spacing w:val="-6"/>
              <w:sz w:val="14"/>
              <w:szCs w:val="14"/>
              <w:lang w:val="es-ES"/>
            </w:rPr>
            <w:t>Fecha de la última actualización:</w:t>
          </w:r>
          <w:r w:rsidRPr="005E3CC5">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06144">
            <w:rPr>
              <w:i/>
              <w:iCs/>
              <w:noProof/>
              <w:color w:val="5F2987"/>
              <w:spacing w:val="-6"/>
              <w:sz w:val="18"/>
              <w:szCs w:val="18"/>
            </w:rPr>
            <w:t>01/10/2024</w:t>
          </w:r>
          <w:r>
            <w:rPr>
              <w:i/>
              <w:iCs/>
              <w:color w:val="5F2987"/>
              <w:spacing w:val="-6"/>
              <w:sz w:val="18"/>
              <w:szCs w:val="18"/>
            </w:rPr>
            <w:fldChar w:fldCharType="end"/>
          </w:r>
        </w:p>
      </w:tc>
      <w:tc>
        <w:tcPr>
          <w:tcW w:w="4819" w:type="dxa"/>
          <w:tcBorders>
            <w:bottom w:val="thickThinSmallGap" w:sz="12" w:space="0" w:color="5F2987"/>
          </w:tcBorders>
        </w:tcPr>
        <w:p w14:paraId="69AF0464" w14:textId="77777777" w:rsidR="005E3CC5" w:rsidRPr="005E3CC5" w:rsidRDefault="005E3CC5" w:rsidP="00382937">
          <w:pPr>
            <w:pStyle w:val="Encabezado"/>
            <w:spacing w:after="0"/>
            <w:jc w:val="center"/>
            <w:rPr>
              <w:i/>
              <w:iCs/>
              <w:color w:val="5F2987"/>
              <w:spacing w:val="-6"/>
              <w:sz w:val="18"/>
              <w:szCs w:val="18"/>
              <w:lang w:val="es-ES"/>
            </w:rPr>
          </w:pPr>
          <w:r w:rsidRPr="005E3CC5">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D2D2838F182343BD877358F5537CBB93"/>
          </w:placeholder>
          <w:dataBinding w:prefixMappings="xmlns:ns0='http://purl.org/dc/elements/1.1/' xmlns:ns1='http://schemas.openxmlformats.org/package/2006/metadata/core-properties' " w:xpath="/ns1:coreProperties[1]/ns0:title[1]" w:storeItemID="{6C3C8BC8-F283-45AE-878A-BAB7291924A1}"/>
          <w:text/>
        </w:sdtPr>
        <w:sdtEndPr/>
        <w:sdtContent>
          <w:tc>
            <w:tcPr>
              <w:tcW w:w="3544" w:type="dxa"/>
              <w:tcBorders>
                <w:bottom w:val="thickThinSmallGap" w:sz="12" w:space="0" w:color="5F2987"/>
              </w:tcBorders>
            </w:tcPr>
            <w:p w14:paraId="7A486C55" w14:textId="4DA1F0D1" w:rsidR="005E3CC5" w:rsidRPr="005E3CC5" w:rsidRDefault="005E3CC5" w:rsidP="00382937">
              <w:pPr>
                <w:pStyle w:val="Encabezado"/>
                <w:spacing w:after="0"/>
                <w:jc w:val="right"/>
                <w:rPr>
                  <w:i/>
                  <w:iCs/>
                  <w:color w:val="5F2987"/>
                  <w:spacing w:val="-6"/>
                  <w:sz w:val="18"/>
                  <w:szCs w:val="18"/>
                  <w:lang w:val="es-ES"/>
                </w:rPr>
              </w:pPr>
              <w:r>
                <w:rPr>
                  <w:i/>
                  <w:iCs/>
                  <w:color w:val="5F2987"/>
                  <w:spacing w:val="-6"/>
                  <w:sz w:val="20"/>
                  <w:szCs w:val="20"/>
                  <w:lang w:val="es-ES"/>
                </w:rPr>
                <w:t>4.A.30</w:t>
              </w:r>
            </w:p>
          </w:tc>
        </w:sdtContent>
      </w:sdt>
    </w:tr>
  </w:tbl>
  <w:p w14:paraId="51DA25ED" w14:textId="77777777" w:rsidR="005E3CC5" w:rsidRPr="00C80BBD" w:rsidRDefault="005E3CC5"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8161EEC"/>
    <w:multiLevelType w:val="hybridMultilevel"/>
    <w:tmpl w:val="0C7C5256"/>
    <w:lvl w:ilvl="0" w:tplc="7F74EE5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4A0F4B"/>
    <w:multiLevelType w:val="hybridMultilevel"/>
    <w:tmpl w:val="FEB05EA6"/>
    <w:lvl w:ilvl="0" w:tplc="A432B59E">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A7C2F6C"/>
    <w:multiLevelType w:val="hybridMultilevel"/>
    <w:tmpl w:val="E4984DA6"/>
    <w:lvl w:ilvl="0" w:tplc="7F0449A0">
      <w:start w:val="1"/>
      <w:numFmt w:val="decimal"/>
      <w:lvlText w:val="%1)"/>
      <w:lvlJc w:val="righ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0FB7C1A"/>
    <w:multiLevelType w:val="multilevel"/>
    <w:tmpl w:val="0809001D"/>
    <w:numStyleLink w:val="Lista1"/>
  </w:abstractNum>
  <w:abstractNum w:abstractNumId="2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21342F"/>
    <w:multiLevelType w:val="hybridMultilevel"/>
    <w:tmpl w:val="E3829DD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781076588">
    <w:abstractNumId w:val="17"/>
  </w:num>
  <w:num w:numId="2" w16cid:durableId="758410844">
    <w:abstractNumId w:val="22"/>
  </w:num>
  <w:num w:numId="3" w16cid:durableId="523637734">
    <w:abstractNumId w:val="15"/>
  </w:num>
  <w:num w:numId="4" w16cid:durableId="2145347213">
    <w:abstractNumId w:val="12"/>
  </w:num>
  <w:num w:numId="5" w16cid:durableId="208685337">
    <w:abstractNumId w:val="33"/>
  </w:num>
  <w:num w:numId="6" w16cid:durableId="274290188">
    <w:abstractNumId w:val="10"/>
  </w:num>
  <w:num w:numId="7" w16cid:durableId="1668904053">
    <w:abstractNumId w:val="29"/>
  </w:num>
  <w:num w:numId="8" w16cid:durableId="82384804">
    <w:abstractNumId w:val="16"/>
  </w:num>
  <w:num w:numId="9" w16cid:durableId="359430346">
    <w:abstractNumId w:val="34"/>
  </w:num>
  <w:num w:numId="10" w16cid:durableId="181676059">
    <w:abstractNumId w:val="35"/>
  </w:num>
  <w:num w:numId="11" w16cid:durableId="808330377">
    <w:abstractNumId w:val="13"/>
  </w:num>
  <w:num w:numId="12" w16cid:durableId="1281767471">
    <w:abstractNumId w:val="36"/>
  </w:num>
  <w:num w:numId="13" w16cid:durableId="259066400">
    <w:abstractNumId w:val="39"/>
  </w:num>
  <w:num w:numId="14" w16cid:durableId="1544440492">
    <w:abstractNumId w:val="38"/>
  </w:num>
  <w:num w:numId="15" w16cid:durableId="373384582">
    <w:abstractNumId w:val="18"/>
  </w:num>
  <w:num w:numId="16" w16cid:durableId="829365101">
    <w:abstractNumId w:val="30"/>
  </w:num>
  <w:num w:numId="17" w16cid:durableId="618148413">
    <w:abstractNumId w:val="19"/>
  </w:num>
  <w:num w:numId="18" w16cid:durableId="25372873">
    <w:abstractNumId w:val="27"/>
  </w:num>
  <w:num w:numId="19" w16cid:durableId="489558726">
    <w:abstractNumId w:val="32"/>
  </w:num>
  <w:num w:numId="20" w16cid:durableId="658315752">
    <w:abstractNumId w:val="20"/>
  </w:num>
  <w:num w:numId="21" w16cid:durableId="159583792">
    <w:abstractNumId w:val="9"/>
  </w:num>
  <w:num w:numId="22" w16cid:durableId="1412461012">
    <w:abstractNumId w:val="7"/>
  </w:num>
  <w:num w:numId="23" w16cid:durableId="1049498149">
    <w:abstractNumId w:val="6"/>
  </w:num>
  <w:num w:numId="24" w16cid:durableId="480776684">
    <w:abstractNumId w:val="5"/>
  </w:num>
  <w:num w:numId="25" w16cid:durableId="1221096349">
    <w:abstractNumId w:val="4"/>
  </w:num>
  <w:num w:numId="26" w16cid:durableId="1127814330">
    <w:abstractNumId w:val="8"/>
  </w:num>
  <w:num w:numId="27" w16cid:durableId="953441926">
    <w:abstractNumId w:val="3"/>
  </w:num>
  <w:num w:numId="28" w16cid:durableId="1642999023">
    <w:abstractNumId w:val="2"/>
  </w:num>
  <w:num w:numId="29" w16cid:durableId="327173804">
    <w:abstractNumId w:val="1"/>
  </w:num>
  <w:num w:numId="30" w16cid:durableId="434401366">
    <w:abstractNumId w:val="0"/>
  </w:num>
  <w:num w:numId="31" w16cid:durableId="1051079801">
    <w:abstractNumId w:val="37"/>
  </w:num>
  <w:num w:numId="32" w16cid:durableId="623118318">
    <w:abstractNumId w:val="23"/>
  </w:num>
  <w:num w:numId="33" w16cid:durableId="1920939578">
    <w:abstractNumId w:val="24"/>
  </w:num>
  <w:num w:numId="34"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9938890">
    <w:abstractNumId w:val="28"/>
  </w:num>
  <w:num w:numId="36" w16cid:durableId="494882035">
    <w:abstractNumId w:val="11"/>
  </w:num>
  <w:num w:numId="37" w16cid:durableId="1109275043">
    <w:abstractNumId w:val="14"/>
  </w:num>
  <w:num w:numId="38" w16cid:durableId="307520786">
    <w:abstractNumId w:val="31"/>
  </w:num>
  <w:num w:numId="39" w16cid:durableId="193427001">
    <w:abstractNumId w:val="26"/>
  </w:num>
  <w:num w:numId="40" w16cid:durableId="972174881">
    <w:abstractNumId w:val="25"/>
  </w:num>
  <w:num w:numId="41" w16cid:durableId="9489717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847"/>
    <w:rsid w:val="0000108F"/>
    <w:rsid w:val="00001448"/>
    <w:rsid w:val="0000166E"/>
    <w:rsid w:val="000016E3"/>
    <w:rsid w:val="00001C0E"/>
    <w:rsid w:val="00001E3D"/>
    <w:rsid w:val="00002041"/>
    <w:rsid w:val="000023C4"/>
    <w:rsid w:val="00002A09"/>
    <w:rsid w:val="00002B76"/>
    <w:rsid w:val="00002E3A"/>
    <w:rsid w:val="00002EB6"/>
    <w:rsid w:val="000032B1"/>
    <w:rsid w:val="00003A25"/>
    <w:rsid w:val="00003D7D"/>
    <w:rsid w:val="000040EA"/>
    <w:rsid w:val="00004264"/>
    <w:rsid w:val="000051EF"/>
    <w:rsid w:val="000053F9"/>
    <w:rsid w:val="00005501"/>
    <w:rsid w:val="00005F38"/>
    <w:rsid w:val="00005F55"/>
    <w:rsid w:val="0000603F"/>
    <w:rsid w:val="00006470"/>
    <w:rsid w:val="0000663D"/>
    <w:rsid w:val="000066BD"/>
    <w:rsid w:val="000066C0"/>
    <w:rsid w:val="0000675F"/>
    <w:rsid w:val="0000696D"/>
    <w:rsid w:val="00006D4D"/>
    <w:rsid w:val="00006E30"/>
    <w:rsid w:val="00007218"/>
    <w:rsid w:val="000072C5"/>
    <w:rsid w:val="000073AA"/>
    <w:rsid w:val="000076BF"/>
    <w:rsid w:val="000077E2"/>
    <w:rsid w:val="00007F0E"/>
    <w:rsid w:val="00010D0C"/>
    <w:rsid w:val="00011097"/>
    <w:rsid w:val="000110EF"/>
    <w:rsid w:val="00011356"/>
    <w:rsid w:val="000115D9"/>
    <w:rsid w:val="00011D0B"/>
    <w:rsid w:val="00012701"/>
    <w:rsid w:val="00012CD0"/>
    <w:rsid w:val="00013A71"/>
    <w:rsid w:val="00013BF9"/>
    <w:rsid w:val="00013C1A"/>
    <w:rsid w:val="0001470D"/>
    <w:rsid w:val="0001497C"/>
    <w:rsid w:val="0001569A"/>
    <w:rsid w:val="000157F5"/>
    <w:rsid w:val="00015997"/>
    <w:rsid w:val="00015A5F"/>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6B3"/>
    <w:rsid w:val="00021872"/>
    <w:rsid w:val="000219B4"/>
    <w:rsid w:val="00021C20"/>
    <w:rsid w:val="00021E32"/>
    <w:rsid w:val="00021FAC"/>
    <w:rsid w:val="00022463"/>
    <w:rsid w:val="00022491"/>
    <w:rsid w:val="000224F3"/>
    <w:rsid w:val="000230C3"/>
    <w:rsid w:val="000233DD"/>
    <w:rsid w:val="0002361F"/>
    <w:rsid w:val="0002386C"/>
    <w:rsid w:val="000238EA"/>
    <w:rsid w:val="0002394F"/>
    <w:rsid w:val="0002399C"/>
    <w:rsid w:val="00023BE5"/>
    <w:rsid w:val="00023D7A"/>
    <w:rsid w:val="00024095"/>
    <w:rsid w:val="00024146"/>
    <w:rsid w:val="00024A80"/>
    <w:rsid w:val="00024CD1"/>
    <w:rsid w:val="000254B1"/>
    <w:rsid w:val="00025A5C"/>
    <w:rsid w:val="00025C78"/>
    <w:rsid w:val="0002613E"/>
    <w:rsid w:val="000264EC"/>
    <w:rsid w:val="00026E2C"/>
    <w:rsid w:val="000272EA"/>
    <w:rsid w:val="00027B20"/>
    <w:rsid w:val="00027DD5"/>
    <w:rsid w:val="00027DF3"/>
    <w:rsid w:val="00030BE9"/>
    <w:rsid w:val="0003115D"/>
    <w:rsid w:val="0003122B"/>
    <w:rsid w:val="000317B6"/>
    <w:rsid w:val="000319FC"/>
    <w:rsid w:val="00031D49"/>
    <w:rsid w:val="000322BC"/>
    <w:rsid w:val="000329E8"/>
    <w:rsid w:val="00032AA1"/>
    <w:rsid w:val="00032AEA"/>
    <w:rsid w:val="00032E0F"/>
    <w:rsid w:val="00032EA1"/>
    <w:rsid w:val="00032EC1"/>
    <w:rsid w:val="00032ECC"/>
    <w:rsid w:val="0003313A"/>
    <w:rsid w:val="000335BC"/>
    <w:rsid w:val="000346B5"/>
    <w:rsid w:val="000354BC"/>
    <w:rsid w:val="00036EAA"/>
    <w:rsid w:val="00037286"/>
    <w:rsid w:val="0003746A"/>
    <w:rsid w:val="000379B1"/>
    <w:rsid w:val="00037BA7"/>
    <w:rsid w:val="00040C13"/>
    <w:rsid w:val="000411AD"/>
    <w:rsid w:val="0004175F"/>
    <w:rsid w:val="000419AD"/>
    <w:rsid w:val="00041BFD"/>
    <w:rsid w:val="000421C1"/>
    <w:rsid w:val="000423AB"/>
    <w:rsid w:val="00042696"/>
    <w:rsid w:val="000426DC"/>
    <w:rsid w:val="000427C3"/>
    <w:rsid w:val="00042973"/>
    <w:rsid w:val="00042DAB"/>
    <w:rsid w:val="000432DA"/>
    <w:rsid w:val="00043363"/>
    <w:rsid w:val="00043790"/>
    <w:rsid w:val="000439C9"/>
    <w:rsid w:val="00043A35"/>
    <w:rsid w:val="00043AF6"/>
    <w:rsid w:val="00043B1C"/>
    <w:rsid w:val="00043E46"/>
    <w:rsid w:val="00043FA0"/>
    <w:rsid w:val="00043FE3"/>
    <w:rsid w:val="00044994"/>
    <w:rsid w:val="00044C0B"/>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F74"/>
    <w:rsid w:val="0005073C"/>
    <w:rsid w:val="00050768"/>
    <w:rsid w:val="000508D3"/>
    <w:rsid w:val="00050922"/>
    <w:rsid w:val="00051268"/>
    <w:rsid w:val="000515EB"/>
    <w:rsid w:val="00052224"/>
    <w:rsid w:val="00052AD8"/>
    <w:rsid w:val="00052E5A"/>
    <w:rsid w:val="0005333B"/>
    <w:rsid w:val="00053393"/>
    <w:rsid w:val="00053B06"/>
    <w:rsid w:val="00053C38"/>
    <w:rsid w:val="00053C54"/>
    <w:rsid w:val="00053CEF"/>
    <w:rsid w:val="000545A3"/>
    <w:rsid w:val="000549AD"/>
    <w:rsid w:val="00054AE2"/>
    <w:rsid w:val="00054CB3"/>
    <w:rsid w:val="0005513E"/>
    <w:rsid w:val="0005534A"/>
    <w:rsid w:val="00056419"/>
    <w:rsid w:val="000567DF"/>
    <w:rsid w:val="0005681F"/>
    <w:rsid w:val="00056F79"/>
    <w:rsid w:val="000570D0"/>
    <w:rsid w:val="0005753C"/>
    <w:rsid w:val="0005794D"/>
    <w:rsid w:val="00057D9C"/>
    <w:rsid w:val="000601B9"/>
    <w:rsid w:val="00060242"/>
    <w:rsid w:val="000603B8"/>
    <w:rsid w:val="00060B47"/>
    <w:rsid w:val="000612D3"/>
    <w:rsid w:val="00061379"/>
    <w:rsid w:val="00061865"/>
    <w:rsid w:val="0006187D"/>
    <w:rsid w:val="000621FB"/>
    <w:rsid w:val="00062584"/>
    <w:rsid w:val="00062667"/>
    <w:rsid w:val="00062B55"/>
    <w:rsid w:val="00063066"/>
    <w:rsid w:val="0006321F"/>
    <w:rsid w:val="00063852"/>
    <w:rsid w:val="00064273"/>
    <w:rsid w:val="00064985"/>
    <w:rsid w:val="000649BE"/>
    <w:rsid w:val="00064AA9"/>
    <w:rsid w:val="00065961"/>
    <w:rsid w:val="00065B51"/>
    <w:rsid w:val="00065D5E"/>
    <w:rsid w:val="00065F29"/>
    <w:rsid w:val="000666EC"/>
    <w:rsid w:val="00066999"/>
    <w:rsid w:val="00066AD2"/>
    <w:rsid w:val="00066C08"/>
    <w:rsid w:val="00066DB4"/>
    <w:rsid w:val="00066EA5"/>
    <w:rsid w:val="000675E4"/>
    <w:rsid w:val="00067986"/>
    <w:rsid w:val="0007015B"/>
    <w:rsid w:val="00070191"/>
    <w:rsid w:val="000705E3"/>
    <w:rsid w:val="00070AB1"/>
    <w:rsid w:val="00070C1B"/>
    <w:rsid w:val="0007141A"/>
    <w:rsid w:val="00071619"/>
    <w:rsid w:val="0007194A"/>
    <w:rsid w:val="00072504"/>
    <w:rsid w:val="0007259E"/>
    <w:rsid w:val="000725F5"/>
    <w:rsid w:val="00072905"/>
    <w:rsid w:val="000745FB"/>
    <w:rsid w:val="0007480F"/>
    <w:rsid w:val="00074AAF"/>
    <w:rsid w:val="0007508F"/>
    <w:rsid w:val="00076382"/>
    <w:rsid w:val="000764AD"/>
    <w:rsid w:val="00076B08"/>
    <w:rsid w:val="00076BA3"/>
    <w:rsid w:val="0007702B"/>
    <w:rsid w:val="0007729D"/>
    <w:rsid w:val="00077DFE"/>
    <w:rsid w:val="0008033D"/>
    <w:rsid w:val="00081B23"/>
    <w:rsid w:val="00081F5B"/>
    <w:rsid w:val="00082C9E"/>
    <w:rsid w:val="0008375E"/>
    <w:rsid w:val="00084408"/>
    <w:rsid w:val="00085177"/>
    <w:rsid w:val="00085FC9"/>
    <w:rsid w:val="0008688A"/>
    <w:rsid w:val="00086893"/>
    <w:rsid w:val="00086A82"/>
    <w:rsid w:val="000874DC"/>
    <w:rsid w:val="00087BA9"/>
    <w:rsid w:val="00090006"/>
    <w:rsid w:val="0009025A"/>
    <w:rsid w:val="000904B7"/>
    <w:rsid w:val="00090C80"/>
    <w:rsid w:val="00091307"/>
    <w:rsid w:val="00091B7D"/>
    <w:rsid w:val="00091BDA"/>
    <w:rsid w:val="00091DC2"/>
    <w:rsid w:val="000922E3"/>
    <w:rsid w:val="000927C7"/>
    <w:rsid w:val="00092F9C"/>
    <w:rsid w:val="00093C52"/>
    <w:rsid w:val="00094FE7"/>
    <w:rsid w:val="000952F1"/>
    <w:rsid w:val="000954D2"/>
    <w:rsid w:val="00095A7A"/>
    <w:rsid w:val="00095F6E"/>
    <w:rsid w:val="00096069"/>
    <w:rsid w:val="00096521"/>
    <w:rsid w:val="000968C5"/>
    <w:rsid w:val="00096C51"/>
    <w:rsid w:val="00096DFA"/>
    <w:rsid w:val="0009707D"/>
    <w:rsid w:val="000974BE"/>
    <w:rsid w:val="00097953"/>
    <w:rsid w:val="000979F7"/>
    <w:rsid w:val="000A00F4"/>
    <w:rsid w:val="000A0126"/>
    <w:rsid w:val="000A0643"/>
    <w:rsid w:val="000A11D2"/>
    <w:rsid w:val="000A12DC"/>
    <w:rsid w:val="000A156B"/>
    <w:rsid w:val="000A16CE"/>
    <w:rsid w:val="000A1D85"/>
    <w:rsid w:val="000A27FB"/>
    <w:rsid w:val="000A280C"/>
    <w:rsid w:val="000A2927"/>
    <w:rsid w:val="000A312B"/>
    <w:rsid w:val="000A3861"/>
    <w:rsid w:val="000A38A0"/>
    <w:rsid w:val="000A39AE"/>
    <w:rsid w:val="000A3EEA"/>
    <w:rsid w:val="000A442B"/>
    <w:rsid w:val="000A454A"/>
    <w:rsid w:val="000A5531"/>
    <w:rsid w:val="000A554E"/>
    <w:rsid w:val="000A5BBC"/>
    <w:rsid w:val="000A6519"/>
    <w:rsid w:val="000A6528"/>
    <w:rsid w:val="000A6770"/>
    <w:rsid w:val="000A6D52"/>
    <w:rsid w:val="000A6DE8"/>
    <w:rsid w:val="000A6F27"/>
    <w:rsid w:val="000A6FA7"/>
    <w:rsid w:val="000A73E3"/>
    <w:rsid w:val="000A7DBE"/>
    <w:rsid w:val="000A7E52"/>
    <w:rsid w:val="000B0054"/>
    <w:rsid w:val="000B0096"/>
    <w:rsid w:val="000B0BAE"/>
    <w:rsid w:val="000B11F8"/>
    <w:rsid w:val="000B133D"/>
    <w:rsid w:val="000B15D8"/>
    <w:rsid w:val="000B15DB"/>
    <w:rsid w:val="000B19FF"/>
    <w:rsid w:val="000B1C3E"/>
    <w:rsid w:val="000B1D8F"/>
    <w:rsid w:val="000B1E8A"/>
    <w:rsid w:val="000B2526"/>
    <w:rsid w:val="000B30E2"/>
    <w:rsid w:val="000B3B89"/>
    <w:rsid w:val="000B3C7C"/>
    <w:rsid w:val="000B41CD"/>
    <w:rsid w:val="000B4B3B"/>
    <w:rsid w:val="000B5B11"/>
    <w:rsid w:val="000B6476"/>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FD1"/>
    <w:rsid w:val="000C56EF"/>
    <w:rsid w:val="000C6373"/>
    <w:rsid w:val="000C675D"/>
    <w:rsid w:val="000C7038"/>
    <w:rsid w:val="000C703F"/>
    <w:rsid w:val="000C762E"/>
    <w:rsid w:val="000C76CF"/>
    <w:rsid w:val="000C7AB9"/>
    <w:rsid w:val="000D010B"/>
    <w:rsid w:val="000D0CE7"/>
    <w:rsid w:val="000D0FDC"/>
    <w:rsid w:val="000D1552"/>
    <w:rsid w:val="000D18D7"/>
    <w:rsid w:val="000D19CF"/>
    <w:rsid w:val="000D22F9"/>
    <w:rsid w:val="000D2489"/>
    <w:rsid w:val="000D2E97"/>
    <w:rsid w:val="000D324F"/>
    <w:rsid w:val="000D329E"/>
    <w:rsid w:val="000D3789"/>
    <w:rsid w:val="000D4047"/>
    <w:rsid w:val="000D4E26"/>
    <w:rsid w:val="000D5122"/>
    <w:rsid w:val="000D530C"/>
    <w:rsid w:val="000D5388"/>
    <w:rsid w:val="000D54A9"/>
    <w:rsid w:val="000D5511"/>
    <w:rsid w:val="000D5658"/>
    <w:rsid w:val="000D64C0"/>
    <w:rsid w:val="000D6D4E"/>
    <w:rsid w:val="000D79D9"/>
    <w:rsid w:val="000D7B09"/>
    <w:rsid w:val="000D7FAC"/>
    <w:rsid w:val="000E0D36"/>
    <w:rsid w:val="000E1061"/>
    <w:rsid w:val="000E112F"/>
    <w:rsid w:val="000E1335"/>
    <w:rsid w:val="000E140A"/>
    <w:rsid w:val="000E144E"/>
    <w:rsid w:val="000E1949"/>
    <w:rsid w:val="000E1A81"/>
    <w:rsid w:val="000E23AA"/>
    <w:rsid w:val="000E23EA"/>
    <w:rsid w:val="000E39AF"/>
    <w:rsid w:val="000E3E9D"/>
    <w:rsid w:val="000E42F6"/>
    <w:rsid w:val="000E47C9"/>
    <w:rsid w:val="000E48DC"/>
    <w:rsid w:val="000E49B1"/>
    <w:rsid w:val="000E537D"/>
    <w:rsid w:val="000E599F"/>
    <w:rsid w:val="000E5A0A"/>
    <w:rsid w:val="000E5A42"/>
    <w:rsid w:val="000E65E9"/>
    <w:rsid w:val="000E6621"/>
    <w:rsid w:val="000E6F33"/>
    <w:rsid w:val="000E6FA0"/>
    <w:rsid w:val="000E7029"/>
    <w:rsid w:val="000E70A6"/>
    <w:rsid w:val="000E7B38"/>
    <w:rsid w:val="000F0271"/>
    <w:rsid w:val="000F05E1"/>
    <w:rsid w:val="000F0914"/>
    <w:rsid w:val="000F0B43"/>
    <w:rsid w:val="000F12C9"/>
    <w:rsid w:val="000F12FD"/>
    <w:rsid w:val="000F1641"/>
    <w:rsid w:val="000F3E8C"/>
    <w:rsid w:val="000F41A6"/>
    <w:rsid w:val="000F430C"/>
    <w:rsid w:val="000F51DA"/>
    <w:rsid w:val="000F5222"/>
    <w:rsid w:val="000F57A9"/>
    <w:rsid w:val="000F57CE"/>
    <w:rsid w:val="000F58E0"/>
    <w:rsid w:val="000F591C"/>
    <w:rsid w:val="000F595B"/>
    <w:rsid w:val="000F5E3F"/>
    <w:rsid w:val="000F6025"/>
    <w:rsid w:val="000F6140"/>
    <w:rsid w:val="000F6E15"/>
    <w:rsid w:val="000F7357"/>
    <w:rsid w:val="000F75ED"/>
    <w:rsid w:val="000F79E6"/>
    <w:rsid w:val="000F7F30"/>
    <w:rsid w:val="001002DD"/>
    <w:rsid w:val="00100DE1"/>
    <w:rsid w:val="00101138"/>
    <w:rsid w:val="00101768"/>
    <w:rsid w:val="00101A75"/>
    <w:rsid w:val="00101CA5"/>
    <w:rsid w:val="001025D7"/>
    <w:rsid w:val="001033DC"/>
    <w:rsid w:val="00103552"/>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634"/>
    <w:rsid w:val="00110A50"/>
    <w:rsid w:val="00110C5E"/>
    <w:rsid w:val="00110FE6"/>
    <w:rsid w:val="0011118B"/>
    <w:rsid w:val="001111EE"/>
    <w:rsid w:val="001112E8"/>
    <w:rsid w:val="00111F70"/>
    <w:rsid w:val="001123A7"/>
    <w:rsid w:val="00112A64"/>
    <w:rsid w:val="00113181"/>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474"/>
    <w:rsid w:val="001164CB"/>
    <w:rsid w:val="001168B8"/>
    <w:rsid w:val="00116B7B"/>
    <w:rsid w:val="001170B7"/>
    <w:rsid w:val="00117210"/>
    <w:rsid w:val="00117B8A"/>
    <w:rsid w:val="001204C9"/>
    <w:rsid w:val="001205E1"/>
    <w:rsid w:val="0012126B"/>
    <w:rsid w:val="00121369"/>
    <w:rsid w:val="001221B5"/>
    <w:rsid w:val="00122278"/>
    <w:rsid w:val="00122371"/>
    <w:rsid w:val="0012239B"/>
    <w:rsid w:val="00122900"/>
    <w:rsid w:val="00122936"/>
    <w:rsid w:val="00123AF0"/>
    <w:rsid w:val="001244FF"/>
    <w:rsid w:val="001247FA"/>
    <w:rsid w:val="001249B3"/>
    <w:rsid w:val="001249BE"/>
    <w:rsid w:val="00124C7D"/>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1138"/>
    <w:rsid w:val="001313B0"/>
    <w:rsid w:val="001314C5"/>
    <w:rsid w:val="0013168E"/>
    <w:rsid w:val="00131782"/>
    <w:rsid w:val="00131CA1"/>
    <w:rsid w:val="00131D37"/>
    <w:rsid w:val="00131DCF"/>
    <w:rsid w:val="001320C8"/>
    <w:rsid w:val="001324E7"/>
    <w:rsid w:val="00132CA4"/>
    <w:rsid w:val="00133991"/>
    <w:rsid w:val="00133B56"/>
    <w:rsid w:val="00133D52"/>
    <w:rsid w:val="00133F37"/>
    <w:rsid w:val="001346F6"/>
    <w:rsid w:val="00134704"/>
    <w:rsid w:val="00134944"/>
    <w:rsid w:val="00134A8E"/>
    <w:rsid w:val="00134E18"/>
    <w:rsid w:val="001354B7"/>
    <w:rsid w:val="00135570"/>
    <w:rsid w:val="00135622"/>
    <w:rsid w:val="001356E5"/>
    <w:rsid w:val="0013573A"/>
    <w:rsid w:val="0013632D"/>
    <w:rsid w:val="00136690"/>
    <w:rsid w:val="00136C70"/>
    <w:rsid w:val="001373DE"/>
    <w:rsid w:val="00137705"/>
    <w:rsid w:val="00137C0D"/>
    <w:rsid w:val="00140185"/>
    <w:rsid w:val="00141AE8"/>
    <w:rsid w:val="00142095"/>
    <w:rsid w:val="00142BF8"/>
    <w:rsid w:val="0014336D"/>
    <w:rsid w:val="00143B41"/>
    <w:rsid w:val="00143F4A"/>
    <w:rsid w:val="00144545"/>
    <w:rsid w:val="00144606"/>
    <w:rsid w:val="0014462B"/>
    <w:rsid w:val="00144DAA"/>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2780"/>
    <w:rsid w:val="00152F00"/>
    <w:rsid w:val="00153316"/>
    <w:rsid w:val="00153B5D"/>
    <w:rsid w:val="0015419A"/>
    <w:rsid w:val="0015430F"/>
    <w:rsid w:val="001545D6"/>
    <w:rsid w:val="00154E47"/>
    <w:rsid w:val="00154EE3"/>
    <w:rsid w:val="00155127"/>
    <w:rsid w:val="00155144"/>
    <w:rsid w:val="0015523E"/>
    <w:rsid w:val="00155472"/>
    <w:rsid w:val="001555E0"/>
    <w:rsid w:val="001558F1"/>
    <w:rsid w:val="00155A55"/>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CF7"/>
    <w:rsid w:val="00161146"/>
    <w:rsid w:val="00161F76"/>
    <w:rsid w:val="001633DA"/>
    <w:rsid w:val="001637CC"/>
    <w:rsid w:val="001639C2"/>
    <w:rsid w:val="00163B87"/>
    <w:rsid w:val="00163DDF"/>
    <w:rsid w:val="00163E43"/>
    <w:rsid w:val="00164590"/>
    <w:rsid w:val="00164977"/>
    <w:rsid w:val="00164C6B"/>
    <w:rsid w:val="00164D68"/>
    <w:rsid w:val="00164E25"/>
    <w:rsid w:val="00164F52"/>
    <w:rsid w:val="001650FE"/>
    <w:rsid w:val="00165EAD"/>
    <w:rsid w:val="00166877"/>
    <w:rsid w:val="001679F5"/>
    <w:rsid w:val="00167DC8"/>
    <w:rsid w:val="00170321"/>
    <w:rsid w:val="001705BE"/>
    <w:rsid w:val="00171335"/>
    <w:rsid w:val="001714B6"/>
    <w:rsid w:val="00171FA8"/>
    <w:rsid w:val="00172068"/>
    <w:rsid w:val="001727E7"/>
    <w:rsid w:val="00172DB9"/>
    <w:rsid w:val="00173386"/>
    <w:rsid w:val="0017386A"/>
    <w:rsid w:val="001738A9"/>
    <w:rsid w:val="00173968"/>
    <w:rsid w:val="00173D3A"/>
    <w:rsid w:val="0017427D"/>
    <w:rsid w:val="0017486E"/>
    <w:rsid w:val="001748E5"/>
    <w:rsid w:val="00174A9E"/>
    <w:rsid w:val="001751AD"/>
    <w:rsid w:val="001757B8"/>
    <w:rsid w:val="00176A0F"/>
    <w:rsid w:val="0017709E"/>
    <w:rsid w:val="0017722C"/>
    <w:rsid w:val="00177664"/>
    <w:rsid w:val="0017771E"/>
    <w:rsid w:val="00177836"/>
    <w:rsid w:val="001778CD"/>
    <w:rsid w:val="00177A61"/>
    <w:rsid w:val="00177D42"/>
    <w:rsid w:val="0018013F"/>
    <w:rsid w:val="00180335"/>
    <w:rsid w:val="00180E6D"/>
    <w:rsid w:val="001817E7"/>
    <w:rsid w:val="00181C36"/>
    <w:rsid w:val="00182034"/>
    <w:rsid w:val="00182310"/>
    <w:rsid w:val="00182462"/>
    <w:rsid w:val="00182AFD"/>
    <w:rsid w:val="00182CAE"/>
    <w:rsid w:val="00182F6F"/>
    <w:rsid w:val="00183427"/>
    <w:rsid w:val="00183A1F"/>
    <w:rsid w:val="00184D75"/>
    <w:rsid w:val="0018589E"/>
    <w:rsid w:val="00185B9F"/>
    <w:rsid w:val="0018673F"/>
    <w:rsid w:val="0018728D"/>
    <w:rsid w:val="001878DE"/>
    <w:rsid w:val="00190397"/>
    <w:rsid w:val="00190D02"/>
    <w:rsid w:val="00190F33"/>
    <w:rsid w:val="0019127C"/>
    <w:rsid w:val="00191285"/>
    <w:rsid w:val="00191311"/>
    <w:rsid w:val="001913DF"/>
    <w:rsid w:val="00191492"/>
    <w:rsid w:val="00192870"/>
    <w:rsid w:val="0019287E"/>
    <w:rsid w:val="0019297C"/>
    <w:rsid w:val="001930F3"/>
    <w:rsid w:val="00193CB3"/>
    <w:rsid w:val="00193F15"/>
    <w:rsid w:val="00194EAD"/>
    <w:rsid w:val="001953E5"/>
    <w:rsid w:val="00195400"/>
    <w:rsid w:val="001958A6"/>
    <w:rsid w:val="00195F6D"/>
    <w:rsid w:val="00196044"/>
    <w:rsid w:val="00196147"/>
    <w:rsid w:val="00196972"/>
    <w:rsid w:val="00196B4B"/>
    <w:rsid w:val="00196C5B"/>
    <w:rsid w:val="00197282"/>
    <w:rsid w:val="001A03F7"/>
    <w:rsid w:val="001A0631"/>
    <w:rsid w:val="001A06D9"/>
    <w:rsid w:val="001A09E4"/>
    <w:rsid w:val="001A0CAC"/>
    <w:rsid w:val="001A0FD0"/>
    <w:rsid w:val="001A112F"/>
    <w:rsid w:val="001A1ABF"/>
    <w:rsid w:val="001A25CD"/>
    <w:rsid w:val="001A2639"/>
    <w:rsid w:val="001A2719"/>
    <w:rsid w:val="001A2890"/>
    <w:rsid w:val="001A37B6"/>
    <w:rsid w:val="001A388D"/>
    <w:rsid w:val="001A45AD"/>
    <w:rsid w:val="001A4BB3"/>
    <w:rsid w:val="001A5B6C"/>
    <w:rsid w:val="001A5E4B"/>
    <w:rsid w:val="001A6380"/>
    <w:rsid w:val="001A67F5"/>
    <w:rsid w:val="001A6C6C"/>
    <w:rsid w:val="001A6FAD"/>
    <w:rsid w:val="001A729F"/>
    <w:rsid w:val="001A7844"/>
    <w:rsid w:val="001A7895"/>
    <w:rsid w:val="001A7B4D"/>
    <w:rsid w:val="001B074F"/>
    <w:rsid w:val="001B111A"/>
    <w:rsid w:val="001B155B"/>
    <w:rsid w:val="001B15CC"/>
    <w:rsid w:val="001B1E01"/>
    <w:rsid w:val="001B1FF4"/>
    <w:rsid w:val="001B22E1"/>
    <w:rsid w:val="001B23B4"/>
    <w:rsid w:val="001B26CF"/>
    <w:rsid w:val="001B2BA5"/>
    <w:rsid w:val="001B3038"/>
    <w:rsid w:val="001B3172"/>
    <w:rsid w:val="001B34E9"/>
    <w:rsid w:val="001B416B"/>
    <w:rsid w:val="001B41AB"/>
    <w:rsid w:val="001B4D08"/>
    <w:rsid w:val="001B4E25"/>
    <w:rsid w:val="001B5466"/>
    <w:rsid w:val="001B5793"/>
    <w:rsid w:val="001B57F6"/>
    <w:rsid w:val="001B581A"/>
    <w:rsid w:val="001B5CA5"/>
    <w:rsid w:val="001B5DDE"/>
    <w:rsid w:val="001B606A"/>
    <w:rsid w:val="001B62D0"/>
    <w:rsid w:val="001B65B0"/>
    <w:rsid w:val="001B687A"/>
    <w:rsid w:val="001B6BFD"/>
    <w:rsid w:val="001B6D48"/>
    <w:rsid w:val="001B742E"/>
    <w:rsid w:val="001B748C"/>
    <w:rsid w:val="001B7677"/>
    <w:rsid w:val="001B7C2F"/>
    <w:rsid w:val="001B7C46"/>
    <w:rsid w:val="001B7DF0"/>
    <w:rsid w:val="001B7E94"/>
    <w:rsid w:val="001C031B"/>
    <w:rsid w:val="001C0940"/>
    <w:rsid w:val="001C113C"/>
    <w:rsid w:val="001C148A"/>
    <w:rsid w:val="001C1744"/>
    <w:rsid w:val="001C17E9"/>
    <w:rsid w:val="001C18BE"/>
    <w:rsid w:val="001C1DC8"/>
    <w:rsid w:val="001C1F92"/>
    <w:rsid w:val="001C2236"/>
    <w:rsid w:val="001C2A5B"/>
    <w:rsid w:val="001C2A82"/>
    <w:rsid w:val="001C2CAD"/>
    <w:rsid w:val="001C2EE4"/>
    <w:rsid w:val="001C3046"/>
    <w:rsid w:val="001C3ACE"/>
    <w:rsid w:val="001C3D0B"/>
    <w:rsid w:val="001C3DB7"/>
    <w:rsid w:val="001C3E1C"/>
    <w:rsid w:val="001C3F7E"/>
    <w:rsid w:val="001C4500"/>
    <w:rsid w:val="001C4953"/>
    <w:rsid w:val="001C4C26"/>
    <w:rsid w:val="001C4EA1"/>
    <w:rsid w:val="001C535E"/>
    <w:rsid w:val="001C574D"/>
    <w:rsid w:val="001C6141"/>
    <w:rsid w:val="001C6729"/>
    <w:rsid w:val="001C6951"/>
    <w:rsid w:val="001C7721"/>
    <w:rsid w:val="001C7E0C"/>
    <w:rsid w:val="001D079B"/>
    <w:rsid w:val="001D22E5"/>
    <w:rsid w:val="001D2AD9"/>
    <w:rsid w:val="001D2E0E"/>
    <w:rsid w:val="001D2EA1"/>
    <w:rsid w:val="001D309D"/>
    <w:rsid w:val="001D391F"/>
    <w:rsid w:val="001D3C3D"/>
    <w:rsid w:val="001D3DEB"/>
    <w:rsid w:val="001D4096"/>
    <w:rsid w:val="001D4865"/>
    <w:rsid w:val="001D49DC"/>
    <w:rsid w:val="001D4E9B"/>
    <w:rsid w:val="001D559C"/>
    <w:rsid w:val="001D6930"/>
    <w:rsid w:val="001D6A97"/>
    <w:rsid w:val="001D6C3D"/>
    <w:rsid w:val="001D6EA3"/>
    <w:rsid w:val="001D73D5"/>
    <w:rsid w:val="001E014D"/>
    <w:rsid w:val="001E0154"/>
    <w:rsid w:val="001E0354"/>
    <w:rsid w:val="001E03FE"/>
    <w:rsid w:val="001E0479"/>
    <w:rsid w:val="001E065A"/>
    <w:rsid w:val="001E0910"/>
    <w:rsid w:val="001E0D4E"/>
    <w:rsid w:val="001E11BE"/>
    <w:rsid w:val="001E12E2"/>
    <w:rsid w:val="001E14A2"/>
    <w:rsid w:val="001E1A52"/>
    <w:rsid w:val="001E1DA3"/>
    <w:rsid w:val="001E2164"/>
    <w:rsid w:val="001E3D44"/>
    <w:rsid w:val="001E3ED4"/>
    <w:rsid w:val="001E5634"/>
    <w:rsid w:val="001E57CA"/>
    <w:rsid w:val="001E5BBB"/>
    <w:rsid w:val="001E603D"/>
    <w:rsid w:val="001E6095"/>
    <w:rsid w:val="001E65E6"/>
    <w:rsid w:val="001E68C5"/>
    <w:rsid w:val="001E6E7B"/>
    <w:rsid w:val="001E7465"/>
    <w:rsid w:val="001E7791"/>
    <w:rsid w:val="001E798B"/>
    <w:rsid w:val="001E7BDD"/>
    <w:rsid w:val="001E7C03"/>
    <w:rsid w:val="001F00AD"/>
    <w:rsid w:val="001F0432"/>
    <w:rsid w:val="001F05EC"/>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6830"/>
    <w:rsid w:val="001F737C"/>
    <w:rsid w:val="001F73CB"/>
    <w:rsid w:val="001F7856"/>
    <w:rsid w:val="001F7896"/>
    <w:rsid w:val="001F7B14"/>
    <w:rsid w:val="001F7BAA"/>
    <w:rsid w:val="0020044B"/>
    <w:rsid w:val="002004F7"/>
    <w:rsid w:val="00200B0E"/>
    <w:rsid w:val="00200C78"/>
    <w:rsid w:val="00200DE2"/>
    <w:rsid w:val="00200E22"/>
    <w:rsid w:val="00200EF6"/>
    <w:rsid w:val="00200EFE"/>
    <w:rsid w:val="002011D7"/>
    <w:rsid w:val="002015C1"/>
    <w:rsid w:val="002015F2"/>
    <w:rsid w:val="002017A6"/>
    <w:rsid w:val="0020182E"/>
    <w:rsid w:val="0020186A"/>
    <w:rsid w:val="00201A0C"/>
    <w:rsid w:val="00201E27"/>
    <w:rsid w:val="002022B2"/>
    <w:rsid w:val="00202384"/>
    <w:rsid w:val="00202B5D"/>
    <w:rsid w:val="00202FE3"/>
    <w:rsid w:val="0020322D"/>
    <w:rsid w:val="002032BD"/>
    <w:rsid w:val="002035BB"/>
    <w:rsid w:val="00203AAD"/>
    <w:rsid w:val="00203BD1"/>
    <w:rsid w:val="00203E2F"/>
    <w:rsid w:val="00203F2D"/>
    <w:rsid w:val="00203F81"/>
    <w:rsid w:val="002042F4"/>
    <w:rsid w:val="00204948"/>
    <w:rsid w:val="00204BCA"/>
    <w:rsid w:val="00204E5D"/>
    <w:rsid w:val="00205150"/>
    <w:rsid w:val="00205221"/>
    <w:rsid w:val="00205552"/>
    <w:rsid w:val="0020598B"/>
    <w:rsid w:val="00206144"/>
    <w:rsid w:val="00206587"/>
    <w:rsid w:val="00206A8B"/>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CAF"/>
    <w:rsid w:val="00215DD8"/>
    <w:rsid w:val="00215F76"/>
    <w:rsid w:val="0021631D"/>
    <w:rsid w:val="002165E0"/>
    <w:rsid w:val="00216792"/>
    <w:rsid w:val="0021696D"/>
    <w:rsid w:val="00217336"/>
    <w:rsid w:val="0021737E"/>
    <w:rsid w:val="00217C4A"/>
    <w:rsid w:val="00217DFD"/>
    <w:rsid w:val="002202ED"/>
    <w:rsid w:val="002204FC"/>
    <w:rsid w:val="00220558"/>
    <w:rsid w:val="0022093F"/>
    <w:rsid w:val="002209B7"/>
    <w:rsid w:val="00221390"/>
    <w:rsid w:val="0022185E"/>
    <w:rsid w:val="00221E5A"/>
    <w:rsid w:val="00222140"/>
    <w:rsid w:val="002221E3"/>
    <w:rsid w:val="002226D7"/>
    <w:rsid w:val="00222879"/>
    <w:rsid w:val="00223852"/>
    <w:rsid w:val="00223940"/>
    <w:rsid w:val="00224451"/>
    <w:rsid w:val="00225A4A"/>
    <w:rsid w:val="00226A1A"/>
    <w:rsid w:val="00226D92"/>
    <w:rsid w:val="0022753A"/>
    <w:rsid w:val="0022784E"/>
    <w:rsid w:val="00227A67"/>
    <w:rsid w:val="00227CEB"/>
    <w:rsid w:val="00227F49"/>
    <w:rsid w:val="00230229"/>
    <w:rsid w:val="0023047B"/>
    <w:rsid w:val="0023064E"/>
    <w:rsid w:val="0023072F"/>
    <w:rsid w:val="0023073A"/>
    <w:rsid w:val="00230A96"/>
    <w:rsid w:val="002310E7"/>
    <w:rsid w:val="00231F63"/>
    <w:rsid w:val="00232273"/>
    <w:rsid w:val="002325D0"/>
    <w:rsid w:val="00232643"/>
    <w:rsid w:val="00232977"/>
    <w:rsid w:val="0023328C"/>
    <w:rsid w:val="002334F9"/>
    <w:rsid w:val="00233538"/>
    <w:rsid w:val="00233CC7"/>
    <w:rsid w:val="00233FF0"/>
    <w:rsid w:val="00234361"/>
    <w:rsid w:val="00234569"/>
    <w:rsid w:val="00235884"/>
    <w:rsid w:val="00236081"/>
    <w:rsid w:val="002366E4"/>
    <w:rsid w:val="00236CB0"/>
    <w:rsid w:val="00236D8B"/>
    <w:rsid w:val="00236ED0"/>
    <w:rsid w:val="00237369"/>
    <w:rsid w:val="002373A2"/>
    <w:rsid w:val="00237599"/>
    <w:rsid w:val="0023792E"/>
    <w:rsid w:val="00237A1C"/>
    <w:rsid w:val="002401C4"/>
    <w:rsid w:val="00240471"/>
    <w:rsid w:val="00241157"/>
    <w:rsid w:val="00242152"/>
    <w:rsid w:val="0024217B"/>
    <w:rsid w:val="002422A9"/>
    <w:rsid w:val="00242F49"/>
    <w:rsid w:val="00242F80"/>
    <w:rsid w:val="002430DE"/>
    <w:rsid w:val="0024324F"/>
    <w:rsid w:val="002436C1"/>
    <w:rsid w:val="002437DE"/>
    <w:rsid w:val="00243B69"/>
    <w:rsid w:val="0024415A"/>
    <w:rsid w:val="00244E8E"/>
    <w:rsid w:val="002450CD"/>
    <w:rsid w:val="002455EA"/>
    <w:rsid w:val="00245669"/>
    <w:rsid w:val="002458B2"/>
    <w:rsid w:val="00245BE4"/>
    <w:rsid w:val="002460FB"/>
    <w:rsid w:val="002464DA"/>
    <w:rsid w:val="00247220"/>
    <w:rsid w:val="0024728D"/>
    <w:rsid w:val="00247C23"/>
    <w:rsid w:val="00250B87"/>
    <w:rsid w:val="00250EF6"/>
    <w:rsid w:val="00251315"/>
    <w:rsid w:val="0025135D"/>
    <w:rsid w:val="002513D1"/>
    <w:rsid w:val="0025205A"/>
    <w:rsid w:val="0025207F"/>
    <w:rsid w:val="00252362"/>
    <w:rsid w:val="00253F2E"/>
    <w:rsid w:val="0025411D"/>
    <w:rsid w:val="002542B0"/>
    <w:rsid w:val="00254A2E"/>
    <w:rsid w:val="00255325"/>
    <w:rsid w:val="00255AD9"/>
    <w:rsid w:val="00255BDA"/>
    <w:rsid w:val="002562DB"/>
    <w:rsid w:val="00256D5F"/>
    <w:rsid w:val="00256E4B"/>
    <w:rsid w:val="00257085"/>
    <w:rsid w:val="00257F09"/>
    <w:rsid w:val="00260022"/>
    <w:rsid w:val="002600A5"/>
    <w:rsid w:val="002606E7"/>
    <w:rsid w:val="0026094A"/>
    <w:rsid w:val="0026124E"/>
    <w:rsid w:val="00261870"/>
    <w:rsid w:val="00261919"/>
    <w:rsid w:val="00261A24"/>
    <w:rsid w:val="00261A9B"/>
    <w:rsid w:val="00261DF2"/>
    <w:rsid w:val="00262BD9"/>
    <w:rsid w:val="0026300C"/>
    <w:rsid w:val="002635F6"/>
    <w:rsid w:val="00264633"/>
    <w:rsid w:val="00264CB8"/>
    <w:rsid w:val="00264D6D"/>
    <w:rsid w:val="00264E0E"/>
    <w:rsid w:val="00264F4B"/>
    <w:rsid w:val="00265DB9"/>
    <w:rsid w:val="00265E3F"/>
    <w:rsid w:val="0026611F"/>
    <w:rsid w:val="002666DB"/>
    <w:rsid w:val="00266A7E"/>
    <w:rsid w:val="00266C46"/>
    <w:rsid w:val="002671E8"/>
    <w:rsid w:val="00267369"/>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D5E"/>
    <w:rsid w:val="0027735D"/>
    <w:rsid w:val="00277B20"/>
    <w:rsid w:val="00277BC3"/>
    <w:rsid w:val="00277C08"/>
    <w:rsid w:val="0028039A"/>
    <w:rsid w:val="00281016"/>
    <w:rsid w:val="002813C7"/>
    <w:rsid w:val="00281589"/>
    <w:rsid w:val="00281DBD"/>
    <w:rsid w:val="002820A0"/>
    <w:rsid w:val="00282575"/>
    <w:rsid w:val="002829DB"/>
    <w:rsid w:val="00282B33"/>
    <w:rsid w:val="00282F5B"/>
    <w:rsid w:val="00283035"/>
    <w:rsid w:val="00283057"/>
    <w:rsid w:val="00283388"/>
    <w:rsid w:val="00283B9C"/>
    <w:rsid w:val="00283EAB"/>
    <w:rsid w:val="002840B4"/>
    <w:rsid w:val="002845C9"/>
    <w:rsid w:val="00284CA2"/>
    <w:rsid w:val="00284D9F"/>
    <w:rsid w:val="00284F63"/>
    <w:rsid w:val="002850CA"/>
    <w:rsid w:val="002851AA"/>
    <w:rsid w:val="002855C3"/>
    <w:rsid w:val="002855CF"/>
    <w:rsid w:val="00285B27"/>
    <w:rsid w:val="002900F8"/>
    <w:rsid w:val="002905D7"/>
    <w:rsid w:val="00290CF4"/>
    <w:rsid w:val="00291208"/>
    <w:rsid w:val="00291B4B"/>
    <w:rsid w:val="00291DD0"/>
    <w:rsid w:val="00291E53"/>
    <w:rsid w:val="00291EE3"/>
    <w:rsid w:val="00292021"/>
    <w:rsid w:val="002921C7"/>
    <w:rsid w:val="002927FF"/>
    <w:rsid w:val="00292802"/>
    <w:rsid w:val="0029284A"/>
    <w:rsid w:val="0029285F"/>
    <w:rsid w:val="00292C24"/>
    <w:rsid w:val="00293D85"/>
    <w:rsid w:val="00294738"/>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39B"/>
    <w:rsid w:val="00296483"/>
    <w:rsid w:val="00296872"/>
    <w:rsid w:val="00296C31"/>
    <w:rsid w:val="00296C66"/>
    <w:rsid w:val="00296DC0"/>
    <w:rsid w:val="00297D4B"/>
    <w:rsid w:val="00297D85"/>
    <w:rsid w:val="00297F55"/>
    <w:rsid w:val="002A0153"/>
    <w:rsid w:val="002A0346"/>
    <w:rsid w:val="002A0515"/>
    <w:rsid w:val="002A0F3C"/>
    <w:rsid w:val="002A1427"/>
    <w:rsid w:val="002A1A48"/>
    <w:rsid w:val="002A1C11"/>
    <w:rsid w:val="002A1C56"/>
    <w:rsid w:val="002A2250"/>
    <w:rsid w:val="002A229C"/>
    <w:rsid w:val="002A23EB"/>
    <w:rsid w:val="002A291C"/>
    <w:rsid w:val="002A29B7"/>
    <w:rsid w:val="002A2CD8"/>
    <w:rsid w:val="002A2EB1"/>
    <w:rsid w:val="002A3240"/>
    <w:rsid w:val="002A3A6D"/>
    <w:rsid w:val="002A3F66"/>
    <w:rsid w:val="002A409D"/>
    <w:rsid w:val="002A4195"/>
    <w:rsid w:val="002A4383"/>
    <w:rsid w:val="002A44D1"/>
    <w:rsid w:val="002A4CD3"/>
    <w:rsid w:val="002A590B"/>
    <w:rsid w:val="002A5D72"/>
    <w:rsid w:val="002A5FC3"/>
    <w:rsid w:val="002A5FEA"/>
    <w:rsid w:val="002A62DE"/>
    <w:rsid w:val="002A6354"/>
    <w:rsid w:val="002A6641"/>
    <w:rsid w:val="002A71EE"/>
    <w:rsid w:val="002A730E"/>
    <w:rsid w:val="002A7C26"/>
    <w:rsid w:val="002A7C30"/>
    <w:rsid w:val="002B0122"/>
    <w:rsid w:val="002B0276"/>
    <w:rsid w:val="002B0819"/>
    <w:rsid w:val="002B08AA"/>
    <w:rsid w:val="002B093F"/>
    <w:rsid w:val="002B0C52"/>
    <w:rsid w:val="002B0E44"/>
    <w:rsid w:val="002B0EF7"/>
    <w:rsid w:val="002B1226"/>
    <w:rsid w:val="002B1465"/>
    <w:rsid w:val="002B154B"/>
    <w:rsid w:val="002B1D31"/>
    <w:rsid w:val="002B2072"/>
    <w:rsid w:val="002B2111"/>
    <w:rsid w:val="002B3947"/>
    <w:rsid w:val="002B404A"/>
    <w:rsid w:val="002B40C3"/>
    <w:rsid w:val="002B435A"/>
    <w:rsid w:val="002B46EF"/>
    <w:rsid w:val="002B4EA4"/>
    <w:rsid w:val="002B50AE"/>
    <w:rsid w:val="002B55F6"/>
    <w:rsid w:val="002B601D"/>
    <w:rsid w:val="002B6275"/>
    <w:rsid w:val="002B652F"/>
    <w:rsid w:val="002B668A"/>
    <w:rsid w:val="002B6878"/>
    <w:rsid w:val="002B6BE4"/>
    <w:rsid w:val="002B6EBC"/>
    <w:rsid w:val="002B6F45"/>
    <w:rsid w:val="002B74B5"/>
    <w:rsid w:val="002B7700"/>
    <w:rsid w:val="002B79A4"/>
    <w:rsid w:val="002C04D4"/>
    <w:rsid w:val="002C1334"/>
    <w:rsid w:val="002C151D"/>
    <w:rsid w:val="002C1559"/>
    <w:rsid w:val="002C159B"/>
    <w:rsid w:val="002C1AE3"/>
    <w:rsid w:val="002C22D0"/>
    <w:rsid w:val="002C250B"/>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60D1"/>
    <w:rsid w:val="002C6DD9"/>
    <w:rsid w:val="002C6E92"/>
    <w:rsid w:val="002C77C3"/>
    <w:rsid w:val="002C79BB"/>
    <w:rsid w:val="002D012B"/>
    <w:rsid w:val="002D04C1"/>
    <w:rsid w:val="002D074D"/>
    <w:rsid w:val="002D0AC1"/>
    <w:rsid w:val="002D0D0E"/>
    <w:rsid w:val="002D0F55"/>
    <w:rsid w:val="002D0F97"/>
    <w:rsid w:val="002D1943"/>
    <w:rsid w:val="002D1A73"/>
    <w:rsid w:val="002D1B88"/>
    <w:rsid w:val="002D2871"/>
    <w:rsid w:val="002D2937"/>
    <w:rsid w:val="002D2F39"/>
    <w:rsid w:val="002D3151"/>
    <w:rsid w:val="002D35FE"/>
    <w:rsid w:val="002D3700"/>
    <w:rsid w:val="002D3C97"/>
    <w:rsid w:val="002D3F74"/>
    <w:rsid w:val="002D403D"/>
    <w:rsid w:val="002D41CF"/>
    <w:rsid w:val="002D4347"/>
    <w:rsid w:val="002D4F5E"/>
    <w:rsid w:val="002D517D"/>
    <w:rsid w:val="002D5B0A"/>
    <w:rsid w:val="002D6445"/>
    <w:rsid w:val="002D65ED"/>
    <w:rsid w:val="002D67F9"/>
    <w:rsid w:val="002D694D"/>
    <w:rsid w:val="002D6FBA"/>
    <w:rsid w:val="002D704B"/>
    <w:rsid w:val="002D7650"/>
    <w:rsid w:val="002D7DB7"/>
    <w:rsid w:val="002D7DEC"/>
    <w:rsid w:val="002E02FF"/>
    <w:rsid w:val="002E0509"/>
    <w:rsid w:val="002E0C5D"/>
    <w:rsid w:val="002E10B2"/>
    <w:rsid w:val="002E1545"/>
    <w:rsid w:val="002E1CEF"/>
    <w:rsid w:val="002E1E46"/>
    <w:rsid w:val="002E2644"/>
    <w:rsid w:val="002E28A5"/>
    <w:rsid w:val="002E2BA7"/>
    <w:rsid w:val="002E35A7"/>
    <w:rsid w:val="002E3857"/>
    <w:rsid w:val="002E3B09"/>
    <w:rsid w:val="002E3F29"/>
    <w:rsid w:val="002E4952"/>
    <w:rsid w:val="002E4AE6"/>
    <w:rsid w:val="002E51A2"/>
    <w:rsid w:val="002E5CDA"/>
    <w:rsid w:val="002E60C7"/>
    <w:rsid w:val="002E622D"/>
    <w:rsid w:val="002E6641"/>
    <w:rsid w:val="002E66A6"/>
    <w:rsid w:val="002E6A02"/>
    <w:rsid w:val="002E6B49"/>
    <w:rsid w:val="002E7189"/>
    <w:rsid w:val="002E7600"/>
    <w:rsid w:val="002E7815"/>
    <w:rsid w:val="002F0DC1"/>
    <w:rsid w:val="002F13B1"/>
    <w:rsid w:val="002F1556"/>
    <w:rsid w:val="002F1700"/>
    <w:rsid w:val="002F184D"/>
    <w:rsid w:val="002F1CA7"/>
    <w:rsid w:val="002F22D6"/>
    <w:rsid w:val="002F2459"/>
    <w:rsid w:val="002F2B9A"/>
    <w:rsid w:val="002F2F23"/>
    <w:rsid w:val="002F2F49"/>
    <w:rsid w:val="002F3188"/>
    <w:rsid w:val="002F3B14"/>
    <w:rsid w:val="002F3BD6"/>
    <w:rsid w:val="002F404C"/>
    <w:rsid w:val="002F414F"/>
    <w:rsid w:val="002F4AD0"/>
    <w:rsid w:val="002F4C9D"/>
    <w:rsid w:val="002F4F33"/>
    <w:rsid w:val="002F594E"/>
    <w:rsid w:val="002F59F8"/>
    <w:rsid w:val="002F5F22"/>
    <w:rsid w:val="002F6BB4"/>
    <w:rsid w:val="002F6F47"/>
    <w:rsid w:val="002F728D"/>
    <w:rsid w:val="002F7305"/>
    <w:rsid w:val="002F7760"/>
    <w:rsid w:val="002F7C05"/>
    <w:rsid w:val="00300EF3"/>
    <w:rsid w:val="00301345"/>
    <w:rsid w:val="00301677"/>
    <w:rsid w:val="003017D1"/>
    <w:rsid w:val="003019C7"/>
    <w:rsid w:val="00301C50"/>
    <w:rsid w:val="00301C76"/>
    <w:rsid w:val="0030204F"/>
    <w:rsid w:val="003024A3"/>
    <w:rsid w:val="003026D6"/>
    <w:rsid w:val="00302B1A"/>
    <w:rsid w:val="003033DF"/>
    <w:rsid w:val="003035B1"/>
    <w:rsid w:val="0030370C"/>
    <w:rsid w:val="00303714"/>
    <w:rsid w:val="00303A91"/>
    <w:rsid w:val="00303B26"/>
    <w:rsid w:val="003045D2"/>
    <w:rsid w:val="00305451"/>
    <w:rsid w:val="003056BC"/>
    <w:rsid w:val="00305D84"/>
    <w:rsid w:val="00306111"/>
    <w:rsid w:val="00306413"/>
    <w:rsid w:val="003068C2"/>
    <w:rsid w:val="0030690C"/>
    <w:rsid w:val="00306B9C"/>
    <w:rsid w:val="00306D9E"/>
    <w:rsid w:val="00306DD4"/>
    <w:rsid w:val="00306E78"/>
    <w:rsid w:val="00306ED4"/>
    <w:rsid w:val="003071A5"/>
    <w:rsid w:val="00307FCB"/>
    <w:rsid w:val="0031028A"/>
    <w:rsid w:val="003103CD"/>
    <w:rsid w:val="003104F3"/>
    <w:rsid w:val="00310B41"/>
    <w:rsid w:val="00311181"/>
    <w:rsid w:val="0031202A"/>
    <w:rsid w:val="00312034"/>
    <w:rsid w:val="00312401"/>
    <w:rsid w:val="00312778"/>
    <w:rsid w:val="00312B1A"/>
    <w:rsid w:val="00312C58"/>
    <w:rsid w:val="00312FA3"/>
    <w:rsid w:val="00313643"/>
    <w:rsid w:val="00313C0B"/>
    <w:rsid w:val="00313C48"/>
    <w:rsid w:val="00314096"/>
    <w:rsid w:val="003143FB"/>
    <w:rsid w:val="0031476B"/>
    <w:rsid w:val="0031483F"/>
    <w:rsid w:val="0031491B"/>
    <w:rsid w:val="00315CA4"/>
    <w:rsid w:val="0031626A"/>
    <w:rsid w:val="003164EA"/>
    <w:rsid w:val="00317447"/>
    <w:rsid w:val="00317C80"/>
    <w:rsid w:val="00320AB2"/>
    <w:rsid w:val="00320E74"/>
    <w:rsid w:val="00321147"/>
    <w:rsid w:val="00321EEF"/>
    <w:rsid w:val="00321F9C"/>
    <w:rsid w:val="003221B7"/>
    <w:rsid w:val="003226F9"/>
    <w:rsid w:val="00322815"/>
    <w:rsid w:val="003231EF"/>
    <w:rsid w:val="003238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296A"/>
    <w:rsid w:val="00333273"/>
    <w:rsid w:val="00333628"/>
    <w:rsid w:val="00333E87"/>
    <w:rsid w:val="00333F01"/>
    <w:rsid w:val="0033421E"/>
    <w:rsid w:val="00334465"/>
    <w:rsid w:val="003348E4"/>
    <w:rsid w:val="00334E73"/>
    <w:rsid w:val="00334F3D"/>
    <w:rsid w:val="0033519B"/>
    <w:rsid w:val="00335261"/>
    <w:rsid w:val="003355AF"/>
    <w:rsid w:val="00335640"/>
    <w:rsid w:val="003357F5"/>
    <w:rsid w:val="00336993"/>
    <w:rsid w:val="003369F5"/>
    <w:rsid w:val="00336C24"/>
    <w:rsid w:val="00336E6C"/>
    <w:rsid w:val="003371DB"/>
    <w:rsid w:val="00337312"/>
    <w:rsid w:val="00337A39"/>
    <w:rsid w:val="00337C00"/>
    <w:rsid w:val="00337C66"/>
    <w:rsid w:val="003405F0"/>
    <w:rsid w:val="00340F2B"/>
    <w:rsid w:val="00341177"/>
    <w:rsid w:val="00341C4D"/>
    <w:rsid w:val="00341D86"/>
    <w:rsid w:val="00341D94"/>
    <w:rsid w:val="0034223E"/>
    <w:rsid w:val="003422B6"/>
    <w:rsid w:val="00342675"/>
    <w:rsid w:val="00342B0D"/>
    <w:rsid w:val="00342D34"/>
    <w:rsid w:val="00343C24"/>
    <w:rsid w:val="00343F79"/>
    <w:rsid w:val="003447CC"/>
    <w:rsid w:val="00344BFC"/>
    <w:rsid w:val="00344F32"/>
    <w:rsid w:val="003454FB"/>
    <w:rsid w:val="003455BF"/>
    <w:rsid w:val="00345BC0"/>
    <w:rsid w:val="003463AD"/>
    <w:rsid w:val="0034657E"/>
    <w:rsid w:val="00346632"/>
    <w:rsid w:val="00346BD7"/>
    <w:rsid w:val="0034741C"/>
    <w:rsid w:val="003479C3"/>
    <w:rsid w:val="00347E43"/>
    <w:rsid w:val="003500E4"/>
    <w:rsid w:val="0035016E"/>
    <w:rsid w:val="0035068E"/>
    <w:rsid w:val="003506BE"/>
    <w:rsid w:val="003507D7"/>
    <w:rsid w:val="003507EA"/>
    <w:rsid w:val="00350B7F"/>
    <w:rsid w:val="00350CB7"/>
    <w:rsid w:val="00350DF3"/>
    <w:rsid w:val="00350EB9"/>
    <w:rsid w:val="0035129A"/>
    <w:rsid w:val="0035195B"/>
    <w:rsid w:val="00351BF1"/>
    <w:rsid w:val="00352301"/>
    <w:rsid w:val="0035232C"/>
    <w:rsid w:val="00352451"/>
    <w:rsid w:val="00352776"/>
    <w:rsid w:val="00352A43"/>
    <w:rsid w:val="00352A88"/>
    <w:rsid w:val="00352D60"/>
    <w:rsid w:val="003533A1"/>
    <w:rsid w:val="00353478"/>
    <w:rsid w:val="003535DB"/>
    <w:rsid w:val="00353B44"/>
    <w:rsid w:val="00353CB5"/>
    <w:rsid w:val="00353E1E"/>
    <w:rsid w:val="0035487A"/>
    <w:rsid w:val="00355F82"/>
    <w:rsid w:val="00356242"/>
    <w:rsid w:val="003566D2"/>
    <w:rsid w:val="00356AB7"/>
    <w:rsid w:val="003573E0"/>
    <w:rsid w:val="00357782"/>
    <w:rsid w:val="003578DC"/>
    <w:rsid w:val="00357F3A"/>
    <w:rsid w:val="0036036B"/>
    <w:rsid w:val="003605F7"/>
    <w:rsid w:val="0036060F"/>
    <w:rsid w:val="00360A57"/>
    <w:rsid w:val="00360BCC"/>
    <w:rsid w:val="00360F63"/>
    <w:rsid w:val="003611AC"/>
    <w:rsid w:val="003613E3"/>
    <w:rsid w:val="003617C6"/>
    <w:rsid w:val="003618D6"/>
    <w:rsid w:val="00361E5B"/>
    <w:rsid w:val="00361EA2"/>
    <w:rsid w:val="003620B4"/>
    <w:rsid w:val="003626B5"/>
    <w:rsid w:val="00362C5A"/>
    <w:rsid w:val="003630F0"/>
    <w:rsid w:val="003633DE"/>
    <w:rsid w:val="003635AA"/>
    <w:rsid w:val="003637D8"/>
    <w:rsid w:val="00363C16"/>
    <w:rsid w:val="003649C8"/>
    <w:rsid w:val="0036513B"/>
    <w:rsid w:val="00365541"/>
    <w:rsid w:val="003655E4"/>
    <w:rsid w:val="003656EB"/>
    <w:rsid w:val="00365731"/>
    <w:rsid w:val="00365A29"/>
    <w:rsid w:val="00366668"/>
    <w:rsid w:val="00366C0A"/>
    <w:rsid w:val="00367103"/>
    <w:rsid w:val="00367568"/>
    <w:rsid w:val="00367AAD"/>
    <w:rsid w:val="00367CDD"/>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6E3"/>
    <w:rsid w:val="0037774A"/>
    <w:rsid w:val="003777BA"/>
    <w:rsid w:val="00380620"/>
    <w:rsid w:val="00380826"/>
    <w:rsid w:val="0038090E"/>
    <w:rsid w:val="00380BF7"/>
    <w:rsid w:val="00380C05"/>
    <w:rsid w:val="00380DCC"/>
    <w:rsid w:val="00380FC5"/>
    <w:rsid w:val="0038139C"/>
    <w:rsid w:val="0038141E"/>
    <w:rsid w:val="00381649"/>
    <w:rsid w:val="00381912"/>
    <w:rsid w:val="00381EA7"/>
    <w:rsid w:val="003824BC"/>
    <w:rsid w:val="00382555"/>
    <w:rsid w:val="003825BE"/>
    <w:rsid w:val="003826D9"/>
    <w:rsid w:val="00382CAD"/>
    <w:rsid w:val="003836E0"/>
    <w:rsid w:val="00383BD1"/>
    <w:rsid w:val="00384D86"/>
    <w:rsid w:val="00385564"/>
    <w:rsid w:val="00386540"/>
    <w:rsid w:val="003874D1"/>
    <w:rsid w:val="00387B4B"/>
    <w:rsid w:val="00387FBD"/>
    <w:rsid w:val="003901DE"/>
    <w:rsid w:val="00390454"/>
    <w:rsid w:val="0039086F"/>
    <w:rsid w:val="003915DA"/>
    <w:rsid w:val="00391B48"/>
    <w:rsid w:val="00391F49"/>
    <w:rsid w:val="00391F4C"/>
    <w:rsid w:val="00392B47"/>
    <w:rsid w:val="00392C51"/>
    <w:rsid w:val="00392C90"/>
    <w:rsid w:val="00392CF9"/>
    <w:rsid w:val="00392D6F"/>
    <w:rsid w:val="00392DEE"/>
    <w:rsid w:val="003931F7"/>
    <w:rsid w:val="00393207"/>
    <w:rsid w:val="0039341D"/>
    <w:rsid w:val="00393BA1"/>
    <w:rsid w:val="003941DC"/>
    <w:rsid w:val="0039430A"/>
    <w:rsid w:val="0039438C"/>
    <w:rsid w:val="00394818"/>
    <w:rsid w:val="00394945"/>
    <w:rsid w:val="00394A46"/>
    <w:rsid w:val="00395198"/>
    <w:rsid w:val="0039614D"/>
    <w:rsid w:val="003962A8"/>
    <w:rsid w:val="003967EC"/>
    <w:rsid w:val="00396C98"/>
    <w:rsid w:val="00397665"/>
    <w:rsid w:val="003A006F"/>
    <w:rsid w:val="003A0680"/>
    <w:rsid w:val="003A13AE"/>
    <w:rsid w:val="003A2BCB"/>
    <w:rsid w:val="003A2F4D"/>
    <w:rsid w:val="003A3050"/>
    <w:rsid w:val="003A3151"/>
    <w:rsid w:val="003A34F1"/>
    <w:rsid w:val="003A3605"/>
    <w:rsid w:val="003A3B99"/>
    <w:rsid w:val="003A3EBB"/>
    <w:rsid w:val="003A3EF3"/>
    <w:rsid w:val="003A4827"/>
    <w:rsid w:val="003A499F"/>
    <w:rsid w:val="003A4F99"/>
    <w:rsid w:val="003A4FBA"/>
    <w:rsid w:val="003A5040"/>
    <w:rsid w:val="003A51CF"/>
    <w:rsid w:val="003A6238"/>
    <w:rsid w:val="003A6826"/>
    <w:rsid w:val="003A68FD"/>
    <w:rsid w:val="003A6942"/>
    <w:rsid w:val="003A6C85"/>
    <w:rsid w:val="003A6EBA"/>
    <w:rsid w:val="003A6F93"/>
    <w:rsid w:val="003A721F"/>
    <w:rsid w:val="003A7F37"/>
    <w:rsid w:val="003B014C"/>
    <w:rsid w:val="003B07AD"/>
    <w:rsid w:val="003B0914"/>
    <w:rsid w:val="003B1416"/>
    <w:rsid w:val="003B17F7"/>
    <w:rsid w:val="003B2F26"/>
    <w:rsid w:val="003B3490"/>
    <w:rsid w:val="003B3D0E"/>
    <w:rsid w:val="003B42A8"/>
    <w:rsid w:val="003B439F"/>
    <w:rsid w:val="003B4445"/>
    <w:rsid w:val="003B46BE"/>
    <w:rsid w:val="003B507D"/>
    <w:rsid w:val="003B52E9"/>
    <w:rsid w:val="003B5A30"/>
    <w:rsid w:val="003B5D81"/>
    <w:rsid w:val="003B5E14"/>
    <w:rsid w:val="003B6F84"/>
    <w:rsid w:val="003B77FB"/>
    <w:rsid w:val="003B7CF2"/>
    <w:rsid w:val="003C0322"/>
    <w:rsid w:val="003C0BA9"/>
    <w:rsid w:val="003C135D"/>
    <w:rsid w:val="003C1D9F"/>
    <w:rsid w:val="003C26C1"/>
    <w:rsid w:val="003C2A95"/>
    <w:rsid w:val="003C33B1"/>
    <w:rsid w:val="003C3BB4"/>
    <w:rsid w:val="003C4218"/>
    <w:rsid w:val="003C42DC"/>
    <w:rsid w:val="003C4426"/>
    <w:rsid w:val="003C4573"/>
    <w:rsid w:val="003C4ADA"/>
    <w:rsid w:val="003C4D01"/>
    <w:rsid w:val="003C4DA2"/>
    <w:rsid w:val="003C5060"/>
    <w:rsid w:val="003C52F8"/>
    <w:rsid w:val="003C5A40"/>
    <w:rsid w:val="003C5C2B"/>
    <w:rsid w:val="003C5DA0"/>
    <w:rsid w:val="003C5E17"/>
    <w:rsid w:val="003C6EC8"/>
    <w:rsid w:val="003D079A"/>
    <w:rsid w:val="003D0963"/>
    <w:rsid w:val="003D18E6"/>
    <w:rsid w:val="003D1A11"/>
    <w:rsid w:val="003D1D6F"/>
    <w:rsid w:val="003D2529"/>
    <w:rsid w:val="003D25C9"/>
    <w:rsid w:val="003D2DEE"/>
    <w:rsid w:val="003D2EBE"/>
    <w:rsid w:val="003D3178"/>
    <w:rsid w:val="003D3860"/>
    <w:rsid w:val="003D4159"/>
    <w:rsid w:val="003D433B"/>
    <w:rsid w:val="003D4F68"/>
    <w:rsid w:val="003D5374"/>
    <w:rsid w:val="003D5DC8"/>
    <w:rsid w:val="003D616A"/>
    <w:rsid w:val="003D6A1A"/>
    <w:rsid w:val="003D6CAC"/>
    <w:rsid w:val="003D716D"/>
    <w:rsid w:val="003D7C32"/>
    <w:rsid w:val="003D7D46"/>
    <w:rsid w:val="003E05E7"/>
    <w:rsid w:val="003E081B"/>
    <w:rsid w:val="003E09B9"/>
    <w:rsid w:val="003E1129"/>
    <w:rsid w:val="003E13F9"/>
    <w:rsid w:val="003E20B2"/>
    <w:rsid w:val="003E20D6"/>
    <w:rsid w:val="003E2205"/>
    <w:rsid w:val="003E2858"/>
    <w:rsid w:val="003E29D4"/>
    <w:rsid w:val="003E336E"/>
    <w:rsid w:val="003E34B2"/>
    <w:rsid w:val="003E3BD5"/>
    <w:rsid w:val="003E3C54"/>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71C"/>
    <w:rsid w:val="003F07FB"/>
    <w:rsid w:val="003F0CF5"/>
    <w:rsid w:val="003F0E27"/>
    <w:rsid w:val="003F12DB"/>
    <w:rsid w:val="003F150C"/>
    <w:rsid w:val="003F2202"/>
    <w:rsid w:val="003F25EF"/>
    <w:rsid w:val="003F273D"/>
    <w:rsid w:val="003F2A76"/>
    <w:rsid w:val="003F3803"/>
    <w:rsid w:val="003F39E4"/>
    <w:rsid w:val="003F3A8D"/>
    <w:rsid w:val="003F3AB8"/>
    <w:rsid w:val="003F3D95"/>
    <w:rsid w:val="003F3DD4"/>
    <w:rsid w:val="003F4724"/>
    <w:rsid w:val="003F5430"/>
    <w:rsid w:val="003F55F4"/>
    <w:rsid w:val="003F566B"/>
    <w:rsid w:val="003F589A"/>
    <w:rsid w:val="003F5DED"/>
    <w:rsid w:val="003F5F0F"/>
    <w:rsid w:val="003F6113"/>
    <w:rsid w:val="003F6221"/>
    <w:rsid w:val="003F66C2"/>
    <w:rsid w:val="003F6925"/>
    <w:rsid w:val="003F6FBA"/>
    <w:rsid w:val="003F7672"/>
    <w:rsid w:val="003F7889"/>
    <w:rsid w:val="003F7CE5"/>
    <w:rsid w:val="003F7FE4"/>
    <w:rsid w:val="00400736"/>
    <w:rsid w:val="0040089B"/>
    <w:rsid w:val="00400A1E"/>
    <w:rsid w:val="00400B7A"/>
    <w:rsid w:val="004013CD"/>
    <w:rsid w:val="0040185F"/>
    <w:rsid w:val="004018D1"/>
    <w:rsid w:val="00401AD8"/>
    <w:rsid w:val="00401B94"/>
    <w:rsid w:val="004022CE"/>
    <w:rsid w:val="004028BA"/>
    <w:rsid w:val="004035A7"/>
    <w:rsid w:val="00403844"/>
    <w:rsid w:val="004039C5"/>
    <w:rsid w:val="00403B22"/>
    <w:rsid w:val="00403D3E"/>
    <w:rsid w:val="00403DEA"/>
    <w:rsid w:val="00403E5A"/>
    <w:rsid w:val="00404177"/>
    <w:rsid w:val="004044BE"/>
    <w:rsid w:val="004044F1"/>
    <w:rsid w:val="004045C3"/>
    <w:rsid w:val="00404EE3"/>
    <w:rsid w:val="00405007"/>
    <w:rsid w:val="00405520"/>
    <w:rsid w:val="0040572B"/>
    <w:rsid w:val="00405882"/>
    <w:rsid w:val="00405A87"/>
    <w:rsid w:val="00405C9D"/>
    <w:rsid w:val="00405D03"/>
    <w:rsid w:val="004060B3"/>
    <w:rsid w:val="00406201"/>
    <w:rsid w:val="00406AA6"/>
    <w:rsid w:val="004074B9"/>
    <w:rsid w:val="004104FC"/>
    <w:rsid w:val="004107C1"/>
    <w:rsid w:val="004107D8"/>
    <w:rsid w:val="0041127B"/>
    <w:rsid w:val="004114D2"/>
    <w:rsid w:val="0041158D"/>
    <w:rsid w:val="00411AB2"/>
    <w:rsid w:val="00411EF1"/>
    <w:rsid w:val="00411F1F"/>
    <w:rsid w:val="004122E3"/>
    <w:rsid w:val="00413451"/>
    <w:rsid w:val="00413ECE"/>
    <w:rsid w:val="00414481"/>
    <w:rsid w:val="004149CB"/>
    <w:rsid w:val="00414CEB"/>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87D"/>
    <w:rsid w:val="00421A31"/>
    <w:rsid w:val="004224B4"/>
    <w:rsid w:val="00422787"/>
    <w:rsid w:val="00422F93"/>
    <w:rsid w:val="004232ED"/>
    <w:rsid w:val="004237C9"/>
    <w:rsid w:val="0042424E"/>
    <w:rsid w:val="0042538D"/>
    <w:rsid w:val="00425A1A"/>
    <w:rsid w:val="00425BCF"/>
    <w:rsid w:val="004262AA"/>
    <w:rsid w:val="00426747"/>
    <w:rsid w:val="004268AE"/>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07BF"/>
    <w:rsid w:val="00431613"/>
    <w:rsid w:val="004316D1"/>
    <w:rsid w:val="00431744"/>
    <w:rsid w:val="00431A67"/>
    <w:rsid w:val="00431AD6"/>
    <w:rsid w:val="00431B48"/>
    <w:rsid w:val="00431D0E"/>
    <w:rsid w:val="0043265C"/>
    <w:rsid w:val="00432F99"/>
    <w:rsid w:val="0043326C"/>
    <w:rsid w:val="004337C9"/>
    <w:rsid w:val="00433A0E"/>
    <w:rsid w:val="00433A3E"/>
    <w:rsid w:val="00433DEB"/>
    <w:rsid w:val="004340A3"/>
    <w:rsid w:val="0043413D"/>
    <w:rsid w:val="0043442C"/>
    <w:rsid w:val="0043486A"/>
    <w:rsid w:val="00434DE9"/>
    <w:rsid w:val="0043511C"/>
    <w:rsid w:val="00435495"/>
    <w:rsid w:val="0043595A"/>
    <w:rsid w:val="00435C91"/>
    <w:rsid w:val="004362A2"/>
    <w:rsid w:val="0043677C"/>
    <w:rsid w:val="004368AA"/>
    <w:rsid w:val="004371DE"/>
    <w:rsid w:val="00437528"/>
    <w:rsid w:val="00437581"/>
    <w:rsid w:val="00437B06"/>
    <w:rsid w:val="0044015A"/>
    <w:rsid w:val="00440380"/>
    <w:rsid w:val="004403AA"/>
    <w:rsid w:val="00441C8B"/>
    <w:rsid w:val="004420DF"/>
    <w:rsid w:val="004427DB"/>
    <w:rsid w:val="00442809"/>
    <w:rsid w:val="00442BE4"/>
    <w:rsid w:val="00442CEF"/>
    <w:rsid w:val="00442D3C"/>
    <w:rsid w:val="004430FA"/>
    <w:rsid w:val="00443159"/>
    <w:rsid w:val="004433BD"/>
    <w:rsid w:val="0044355D"/>
    <w:rsid w:val="00443802"/>
    <w:rsid w:val="00443C87"/>
    <w:rsid w:val="00443FB2"/>
    <w:rsid w:val="004447B5"/>
    <w:rsid w:val="00445381"/>
    <w:rsid w:val="004456C3"/>
    <w:rsid w:val="004460EA"/>
    <w:rsid w:val="004465D0"/>
    <w:rsid w:val="00446769"/>
    <w:rsid w:val="00446790"/>
    <w:rsid w:val="00446B03"/>
    <w:rsid w:val="00446E73"/>
    <w:rsid w:val="00447963"/>
    <w:rsid w:val="00447F1D"/>
    <w:rsid w:val="00447F5F"/>
    <w:rsid w:val="004502B2"/>
    <w:rsid w:val="0045068C"/>
    <w:rsid w:val="00450CAB"/>
    <w:rsid w:val="00450F85"/>
    <w:rsid w:val="00451438"/>
    <w:rsid w:val="004517AF"/>
    <w:rsid w:val="00451FF2"/>
    <w:rsid w:val="00453B76"/>
    <w:rsid w:val="00453F07"/>
    <w:rsid w:val="00454181"/>
    <w:rsid w:val="0045434F"/>
    <w:rsid w:val="0045438C"/>
    <w:rsid w:val="00454477"/>
    <w:rsid w:val="00454C5A"/>
    <w:rsid w:val="00455701"/>
    <w:rsid w:val="004559F9"/>
    <w:rsid w:val="00455C80"/>
    <w:rsid w:val="0045611C"/>
    <w:rsid w:val="004563DD"/>
    <w:rsid w:val="00456CDF"/>
    <w:rsid w:val="00456F6D"/>
    <w:rsid w:val="00457458"/>
    <w:rsid w:val="00457741"/>
    <w:rsid w:val="00457F73"/>
    <w:rsid w:val="0046051A"/>
    <w:rsid w:val="00460B9F"/>
    <w:rsid w:val="00460DE4"/>
    <w:rsid w:val="0046107F"/>
    <w:rsid w:val="0046115B"/>
    <w:rsid w:val="00461274"/>
    <w:rsid w:val="004614B2"/>
    <w:rsid w:val="004614B4"/>
    <w:rsid w:val="0046193D"/>
    <w:rsid w:val="00462F93"/>
    <w:rsid w:val="00463603"/>
    <w:rsid w:val="004654B1"/>
    <w:rsid w:val="0046557B"/>
    <w:rsid w:val="0046557C"/>
    <w:rsid w:val="00465B3C"/>
    <w:rsid w:val="00465E83"/>
    <w:rsid w:val="00465EAF"/>
    <w:rsid w:val="00466114"/>
    <w:rsid w:val="004666EB"/>
    <w:rsid w:val="004667E2"/>
    <w:rsid w:val="00466845"/>
    <w:rsid w:val="0046684E"/>
    <w:rsid w:val="0046692F"/>
    <w:rsid w:val="004672CF"/>
    <w:rsid w:val="0046757E"/>
    <w:rsid w:val="00467BAF"/>
    <w:rsid w:val="00470338"/>
    <w:rsid w:val="0047033E"/>
    <w:rsid w:val="00470C0E"/>
    <w:rsid w:val="00470EFE"/>
    <w:rsid w:val="0047136E"/>
    <w:rsid w:val="00471F10"/>
    <w:rsid w:val="004723A7"/>
    <w:rsid w:val="00472568"/>
    <w:rsid w:val="004725FD"/>
    <w:rsid w:val="00472C70"/>
    <w:rsid w:val="004730EF"/>
    <w:rsid w:val="004734FC"/>
    <w:rsid w:val="004736B1"/>
    <w:rsid w:val="004738F5"/>
    <w:rsid w:val="004740F2"/>
    <w:rsid w:val="0047417D"/>
    <w:rsid w:val="00474E77"/>
    <w:rsid w:val="004751AA"/>
    <w:rsid w:val="00475708"/>
    <w:rsid w:val="0047581F"/>
    <w:rsid w:val="004766B7"/>
    <w:rsid w:val="004767F5"/>
    <w:rsid w:val="00476C8F"/>
    <w:rsid w:val="00477416"/>
    <w:rsid w:val="0047776C"/>
    <w:rsid w:val="0047782B"/>
    <w:rsid w:val="00477FAB"/>
    <w:rsid w:val="00480D1E"/>
    <w:rsid w:val="00480D52"/>
    <w:rsid w:val="004818A2"/>
    <w:rsid w:val="00481D33"/>
    <w:rsid w:val="00482295"/>
    <w:rsid w:val="004822A0"/>
    <w:rsid w:val="004822E9"/>
    <w:rsid w:val="0048269D"/>
    <w:rsid w:val="004826F1"/>
    <w:rsid w:val="00482AD0"/>
    <w:rsid w:val="00482D74"/>
    <w:rsid w:val="00484659"/>
    <w:rsid w:val="00484678"/>
    <w:rsid w:val="004848D8"/>
    <w:rsid w:val="00484E04"/>
    <w:rsid w:val="00485201"/>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87C45"/>
    <w:rsid w:val="004902B4"/>
    <w:rsid w:val="004905F3"/>
    <w:rsid w:val="00490985"/>
    <w:rsid w:val="00490B10"/>
    <w:rsid w:val="00490B67"/>
    <w:rsid w:val="00490E53"/>
    <w:rsid w:val="00491305"/>
    <w:rsid w:val="0049147B"/>
    <w:rsid w:val="00491668"/>
    <w:rsid w:val="00491C14"/>
    <w:rsid w:val="0049261B"/>
    <w:rsid w:val="004929E8"/>
    <w:rsid w:val="00492F2D"/>
    <w:rsid w:val="00492FD6"/>
    <w:rsid w:val="004936E8"/>
    <w:rsid w:val="00493B80"/>
    <w:rsid w:val="0049401A"/>
    <w:rsid w:val="00494332"/>
    <w:rsid w:val="00494BE0"/>
    <w:rsid w:val="004958F6"/>
    <w:rsid w:val="00495AB3"/>
    <w:rsid w:val="00495EE8"/>
    <w:rsid w:val="004968C1"/>
    <w:rsid w:val="00496A8D"/>
    <w:rsid w:val="00497246"/>
    <w:rsid w:val="004974D9"/>
    <w:rsid w:val="004977C3"/>
    <w:rsid w:val="004A09C8"/>
    <w:rsid w:val="004A119C"/>
    <w:rsid w:val="004A11F0"/>
    <w:rsid w:val="004A1251"/>
    <w:rsid w:val="004A17BB"/>
    <w:rsid w:val="004A1AD7"/>
    <w:rsid w:val="004A1B5F"/>
    <w:rsid w:val="004A1CAE"/>
    <w:rsid w:val="004A1FB2"/>
    <w:rsid w:val="004A2FA9"/>
    <w:rsid w:val="004A341F"/>
    <w:rsid w:val="004A3531"/>
    <w:rsid w:val="004A36CE"/>
    <w:rsid w:val="004A3CFE"/>
    <w:rsid w:val="004A4068"/>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AA1"/>
    <w:rsid w:val="004B0ABB"/>
    <w:rsid w:val="004B0C11"/>
    <w:rsid w:val="004B0EF8"/>
    <w:rsid w:val="004B19BE"/>
    <w:rsid w:val="004B1A72"/>
    <w:rsid w:val="004B1A7A"/>
    <w:rsid w:val="004B1C77"/>
    <w:rsid w:val="004B20FA"/>
    <w:rsid w:val="004B2D91"/>
    <w:rsid w:val="004B3053"/>
    <w:rsid w:val="004B3247"/>
    <w:rsid w:val="004B32E0"/>
    <w:rsid w:val="004B3BDB"/>
    <w:rsid w:val="004B40BF"/>
    <w:rsid w:val="004B4569"/>
    <w:rsid w:val="004B4863"/>
    <w:rsid w:val="004B4D7D"/>
    <w:rsid w:val="004B603D"/>
    <w:rsid w:val="004B685E"/>
    <w:rsid w:val="004B69F5"/>
    <w:rsid w:val="004B6A26"/>
    <w:rsid w:val="004B6E5D"/>
    <w:rsid w:val="004B70AB"/>
    <w:rsid w:val="004B7264"/>
    <w:rsid w:val="004B7330"/>
    <w:rsid w:val="004B7474"/>
    <w:rsid w:val="004B74D9"/>
    <w:rsid w:val="004B7E94"/>
    <w:rsid w:val="004B7FAD"/>
    <w:rsid w:val="004C00E1"/>
    <w:rsid w:val="004C0AA7"/>
    <w:rsid w:val="004C0BC5"/>
    <w:rsid w:val="004C0D96"/>
    <w:rsid w:val="004C1234"/>
    <w:rsid w:val="004C13CF"/>
    <w:rsid w:val="004C16CC"/>
    <w:rsid w:val="004C18E3"/>
    <w:rsid w:val="004C236A"/>
    <w:rsid w:val="004C2598"/>
    <w:rsid w:val="004C2DD9"/>
    <w:rsid w:val="004C2F45"/>
    <w:rsid w:val="004C354F"/>
    <w:rsid w:val="004C3E60"/>
    <w:rsid w:val="004C42BE"/>
    <w:rsid w:val="004C4AF6"/>
    <w:rsid w:val="004C528A"/>
    <w:rsid w:val="004C6075"/>
    <w:rsid w:val="004C62F5"/>
    <w:rsid w:val="004C6742"/>
    <w:rsid w:val="004C67ED"/>
    <w:rsid w:val="004C6A4A"/>
    <w:rsid w:val="004C6BCC"/>
    <w:rsid w:val="004C702A"/>
    <w:rsid w:val="004C7147"/>
    <w:rsid w:val="004C770B"/>
    <w:rsid w:val="004C7817"/>
    <w:rsid w:val="004C7C30"/>
    <w:rsid w:val="004D02FB"/>
    <w:rsid w:val="004D07D9"/>
    <w:rsid w:val="004D0A75"/>
    <w:rsid w:val="004D135D"/>
    <w:rsid w:val="004D246B"/>
    <w:rsid w:val="004D248F"/>
    <w:rsid w:val="004D2C1A"/>
    <w:rsid w:val="004D2C5E"/>
    <w:rsid w:val="004D2CB6"/>
    <w:rsid w:val="004D3DFA"/>
    <w:rsid w:val="004D4293"/>
    <w:rsid w:val="004D5719"/>
    <w:rsid w:val="004D5B24"/>
    <w:rsid w:val="004D6739"/>
    <w:rsid w:val="004D6CF9"/>
    <w:rsid w:val="004D6EC1"/>
    <w:rsid w:val="004D7370"/>
    <w:rsid w:val="004D7479"/>
    <w:rsid w:val="004D7BAF"/>
    <w:rsid w:val="004D7D6E"/>
    <w:rsid w:val="004D7D80"/>
    <w:rsid w:val="004D7E8D"/>
    <w:rsid w:val="004E0480"/>
    <w:rsid w:val="004E0FBE"/>
    <w:rsid w:val="004E16EE"/>
    <w:rsid w:val="004E1948"/>
    <w:rsid w:val="004E1A3B"/>
    <w:rsid w:val="004E1AE9"/>
    <w:rsid w:val="004E1D13"/>
    <w:rsid w:val="004E1E85"/>
    <w:rsid w:val="004E217E"/>
    <w:rsid w:val="004E219E"/>
    <w:rsid w:val="004E22CD"/>
    <w:rsid w:val="004E238F"/>
    <w:rsid w:val="004E2929"/>
    <w:rsid w:val="004E2DDF"/>
    <w:rsid w:val="004E3223"/>
    <w:rsid w:val="004E3274"/>
    <w:rsid w:val="004E3916"/>
    <w:rsid w:val="004E41A4"/>
    <w:rsid w:val="004E4538"/>
    <w:rsid w:val="004E4F1F"/>
    <w:rsid w:val="004E56E0"/>
    <w:rsid w:val="004E5A20"/>
    <w:rsid w:val="004E5D42"/>
    <w:rsid w:val="004E5EBD"/>
    <w:rsid w:val="004E6399"/>
    <w:rsid w:val="004E6A41"/>
    <w:rsid w:val="004E6EAF"/>
    <w:rsid w:val="004E73E0"/>
    <w:rsid w:val="004E7444"/>
    <w:rsid w:val="004E7741"/>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9E8"/>
    <w:rsid w:val="004F5AF0"/>
    <w:rsid w:val="004F5E8D"/>
    <w:rsid w:val="004F66BD"/>
    <w:rsid w:val="004F6C91"/>
    <w:rsid w:val="00500238"/>
    <w:rsid w:val="005007A6"/>
    <w:rsid w:val="0050086D"/>
    <w:rsid w:val="00500A69"/>
    <w:rsid w:val="00500D78"/>
    <w:rsid w:val="00500D8C"/>
    <w:rsid w:val="00500EF3"/>
    <w:rsid w:val="00500F3A"/>
    <w:rsid w:val="0050130D"/>
    <w:rsid w:val="005015CC"/>
    <w:rsid w:val="00501CDC"/>
    <w:rsid w:val="00502307"/>
    <w:rsid w:val="005024D3"/>
    <w:rsid w:val="005027AC"/>
    <w:rsid w:val="00502C69"/>
    <w:rsid w:val="00502CFA"/>
    <w:rsid w:val="00502E3E"/>
    <w:rsid w:val="00502F7A"/>
    <w:rsid w:val="00502F8D"/>
    <w:rsid w:val="005031B4"/>
    <w:rsid w:val="0050335D"/>
    <w:rsid w:val="00504865"/>
    <w:rsid w:val="00504F24"/>
    <w:rsid w:val="005058C6"/>
    <w:rsid w:val="00505F8A"/>
    <w:rsid w:val="005060D9"/>
    <w:rsid w:val="00506A30"/>
    <w:rsid w:val="00506EE2"/>
    <w:rsid w:val="00507067"/>
    <w:rsid w:val="005078A5"/>
    <w:rsid w:val="00510464"/>
    <w:rsid w:val="00510EC1"/>
    <w:rsid w:val="00511213"/>
    <w:rsid w:val="005119F8"/>
    <w:rsid w:val="00511BD1"/>
    <w:rsid w:val="005121B5"/>
    <w:rsid w:val="00512384"/>
    <w:rsid w:val="005123B0"/>
    <w:rsid w:val="00512B5A"/>
    <w:rsid w:val="00513439"/>
    <w:rsid w:val="005135A3"/>
    <w:rsid w:val="00513630"/>
    <w:rsid w:val="00513707"/>
    <w:rsid w:val="0051375A"/>
    <w:rsid w:val="00513AA0"/>
    <w:rsid w:val="00513B8E"/>
    <w:rsid w:val="00513C25"/>
    <w:rsid w:val="005147AA"/>
    <w:rsid w:val="00514AAE"/>
    <w:rsid w:val="00514AFA"/>
    <w:rsid w:val="00514FED"/>
    <w:rsid w:val="00515427"/>
    <w:rsid w:val="00515606"/>
    <w:rsid w:val="00515711"/>
    <w:rsid w:val="00515B3B"/>
    <w:rsid w:val="00515B67"/>
    <w:rsid w:val="005160C0"/>
    <w:rsid w:val="00516149"/>
    <w:rsid w:val="0051656F"/>
    <w:rsid w:val="00516DAF"/>
    <w:rsid w:val="00517084"/>
    <w:rsid w:val="00517DF0"/>
    <w:rsid w:val="00517FF0"/>
    <w:rsid w:val="0052028A"/>
    <w:rsid w:val="00520AED"/>
    <w:rsid w:val="00520D6D"/>
    <w:rsid w:val="00520E11"/>
    <w:rsid w:val="005216D7"/>
    <w:rsid w:val="00521AB1"/>
    <w:rsid w:val="00521BD6"/>
    <w:rsid w:val="00521C17"/>
    <w:rsid w:val="00521D24"/>
    <w:rsid w:val="005221A1"/>
    <w:rsid w:val="0052252E"/>
    <w:rsid w:val="00522829"/>
    <w:rsid w:val="005228B5"/>
    <w:rsid w:val="00523150"/>
    <w:rsid w:val="00523C53"/>
    <w:rsid w:val="005241D0"/>
    <w:rsid w:val="00524534"/>
    <w:rsid w:val="00524EDB"/>
    <w:rsid w:val="005250CD"/>
    <w:rsid w:val="0052529A"/>
    <w:rsid w:val="00525677"/>
    <w:rsid w:val="00525DAE"/>
    <w:rsid w:val="00525F63"/>
    <w:rsid w:val="00525FE1"/>
    <w:rsid w:val="0052623F"/>
    <w:rsid w:val="0052653C"/>
    <w:rsid w:val="005269AC"/>
    <w:rsid w:val="00526FB5"/>
    <w:rsid w:val="005273BA"/>
    <w:rsid w:val="005276FF"/>
    <w:rsid w:val="005305FC"/>
    <w:rsid w:val="00530B64"/>
    <w:rsid w:val="00531581"/>
    <w:rsid w:val="005319B6"/>
    <w:rsid w:val="00531ECB"/>
    <w:rsid w:val="00532555"/>
    <w:rsid w:val="00532590"/>
    <w:rsid w:val="00532DBA"/>
    <w:rsid w:val="005336F5"/>
    <w:rsid w:val="005338F5"/>
    <w:rsid w:val="0053396B"/>
    <w:rsid w:val="00533B19"/>
    <w:rsid w:val="00533D6C"/>
    <w:rsid w:val="005343DC"/>
    <w:rsid w:val="00534469"/>
    <w:rsid w:val="00534A74"/>
    <w:rsid w:val="00534B1A"/>
    <w:rsid w:val="00535237"/>
    <w:rsid w:val="005359FD"/>
    <w:rsid w:val="00535FAB"/>
    <w:rsid w:val="00535FD8"/>
    <w:rsid w:val="00536170"/>
    <w:rsid w:val="005368C8"/>
    <w:rsid w:val="00536CAC"/>
    <w:rsid w:val="00536CD5"/>
    <w:rsid w:val="00536E4B"/>
    <w:rsid w:val="00536E4D"/>
    <w:rsid w:val="005372E4"/>
    <w:rsid w:val="0053796C"/>
    <w:rsid w:val="00537CC0"/>
    <w:rsid w:val="00540CA3"/>
    <w:rsid w:val="00541283"/>
    <w:rsid w:val="0054167B"/>
    <w:rsid w:val="00541743"/>
    <w:rsid w:val="00541AC4"/>
    <w:rsid w:val="00541AFB"/>
    <w:rsid w:val="00541C62"/>
    <w:rsid w:val="00542509"/>
    <w:rsid w:val="005427B7"/>
    <w:rsid w:val="00543132"/>
    <w:rsid w:val="00544538"/>
    <w:rsid w:val="005449A9"/>
    <w:rsid w:val="005449C6"/>
    <w:rsid w:val="00544A1F"/>
    <w:rsid w:val="00544FBD"/>
    <w:rsid w:val="00545049"/>
    <w:rsid w:val="00545304"/>
    <w:rsid w:val="005456D9"/>
    <w:rsid w:val="00545713"/>
    <w:rsid w:val="00545E9D"/>
    <w:rsid w:val="005464F3"/>
    <w:rsid w:val="00546A89"/>
    <w:rsid w:val="00546FED"/>
    <w:rsid w:val="005470AA"/>
    <w:rsid w:val="00550004"/>
    <w:rsid w:val="00550329"/>
    <w:rsid w:val="0055034A"/>
    <w:rsid w:val="00550467"/>
    <w:rsid w:val="005505B7"/>
    <w:rsid w:val="0055086E"/>
    <w:rsid w:val="00550D05"/>
    <w:rsid w:val="00551098"/>
    <w:rsid w:val="00551560"/>
    <w:rsid w:val="00551653"/>
    <w:rsid w:val="0055178B"/>
    <w:rsid w:val="00551A2E"/>
    <w:rsid w:val="0055204C"/>
    <w:rsid w:val="0055232B"/>
    <w:rsid w:val="00552B9C"/>
    <w:rsid w:val="00552BF9"/>
    <w:rsid w:val="00553D8D"/>
    <w:rsid w:val="005541FF"/>
    <w:rsid w:val="00554353"/>
    <w:rsid w:val="005545B2"/>
    <w:rsid w:val="0055460C"/>
    <w:rsid w:val="00554747"/>
    <w:rsid w:val="00554D73"/>
    <w:rsid w:val="005557E3"/>
    <w:rsid w:val="00555BEA"/>
    <w:rsid w:val="005560C7"/>
    <w:rsid w:val="00556318"/>
    <w:rsid w:val="00556A0E"/>
    <w:rsid w:val="0055702D"/>
    <w:rsid w:val="00557487"/>
    <w:rsid w:val="005577B3"/>
    <w:rsid w:val="005577CD"/>
    <w:rsid w:val="005579EC"/>
    <w:rsid w:val="0056013E"/>
    <w:rsid w:val="00561E7E"/>
    <w:rsid w:val="005623D5"/>
    <w:rsid w:val="00562481"/>
    <w:rsid w:val="005627AE"/>
    <w:rsid w:val="00562894"/>
    <w:rsid w:val="00562D10"/>
    <w:rsid w:val="00562E6A"/>
    <w:rsid w:val="0056323F"/>
    <w:rsid w:val="00563498"/>
    <w:rsid w:val="0056389D"/>
    <w:rsid w:val="00563DAD"/>
    <w:rsid w:val="00563DE8"/>
    <w:rsid w:val="00563F57"/>
    <w:rsid w:val="005646E1"/>
    <w:rsid w:val="005648D9"/>
    <w:rsid w:val="00564A23"/>
    <w:rsid w:val="0056508D"/>
    <w:rsid w:val="005655EB"/>
    <w:rsid w:val="00565971"/>
    <w:rsid w:val="00565B86"/>
    <w:rsid w:val="00565D61"/>
    <w:rsid w:val="00566232"/>
    <w:rsid w:val="0056686F"/>
    <w:rsid w:val="00566C34"/>
    <w:rsid w:val="00566C6B"/>
    <w:rsid w:val="00566F5A"/>
    <w:rsid w:val="005671C2"/>
    <w:rsid w:val="005673AA"/>
    <w:rsid w:val="00567C9F"/>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50B"/>
    <w:rsid w:val="005726F5"/>
    <w:rsid w:val="005728AC"/>
    <w:rsid w:val="005729A1"/>
    <w:rsid w:val="00572D88"/>
    <w:rsid w:val="00572FE5"/>
    <w:rsid w:val="00573067"/>
    <w:rsid w:val="00573225"/>
    <w:rsid w:val="0057383E"/>
    <w:rsid w:val="0057394E"/>
    <w:rsid w:val="00573BAE"/>
    <w:rsid w:val="00573CE0"/>
    <w:rsid w:val="0057447D"/>
    <w:rsid w:val="0057475D"/>
    <w:rsid w:val="00574D9E"/>
    <w:rsid w:val="00575484"/>
    <w:rsid w:val="00575CFA"/>
    <w:rsid w:val="00576111"/>
    <w:rsid w:val="00576B33"/>
    <w:rsid w:val="00576E44"/>
    <w:rsid w:val="005770AB"/>
    <w:rsid w:val="005772B4"/>
    <w:rsid w:val="0057752D"/>
    <w:rsid w:val="005777FB"/>
    <w:rsid w:val="005778E0"/>
    <w:rsid w:val="00577EC4"/>
    <w:rsid w:val="00577F6A"/>
    <w:rsid w:val="00580170"/>
    <w:rsid w:val="0058023D"/>
    <w:rsid w:val="00580A48"/>
    <w:rsid w:val="00580D7F"/>
    <w:rsid w:val="00580E4E"/>
    <w:rsid w:val="00581212"/>
    <w:rsid w:val="00581530"/>
    <w:rsid w:val="00581C01"/>
    <w:rsid w:val="00581FE4"/>
    <w:rsid w:val="005822F6"/>
    <w:rsid w:val="0058263F"/>
    <w:rsid w:val="005829F3"/>
    <w:rsid w:val="00582AD5"/>
    <w:rsid w:val="00582D9A"/>
    <w:rsid w:val="005833C6"/>
    <w:rsid w:val="005834B5"/>
    <w:rsid w:val="005836EC"/>
    <w:rsid w:val="00583AF2"/>
    <w:rsid w:val="00583BA8"/>
    <w:rsid w:val="0058408C"/>
    <w:rsid w:val="00584485"/>
    <w:rsid w:val="00584CB9"/>
    <w:rsid w:val="00584F4C"/>
    <w:rsid w:val="0058504C"/>
    <w:rsid w:val="00585AA0"/>
    <w:rsid w:val="005861B6"/>
    <w:rsid w:val="00586250"/>
    <w:rsid w:val="005865CE"/>
    <w:rsid w:val="005873BB"/>
    <w:rsid w:val="005878B2"/>
    <w:rsid w:val="00587A29"/>
    <w:rsid w:val="00587D87"/>
    <w:rsid w:val="005903CD"/>
    <w:rsid w:val="00590BE2"/>
    <w:rsid w:val="005917B6"/>
    <w:rsid w:val="005917D0"/>
    <w:rsid w:val="00591ADB"/>
    <w:rsid w:val="00592732"/>
    <w:rsid w:val="00592A05"/>
    <w:rsid w:val="00592A60"/>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A34"/>
    <w:rsid w:val="005A1D50"/>
    <w:rsid w:val="005A21AC"/>
    <w:rsid w:val="005A21EE"/>
    <w:rsid w:val="005A2F41"/>
    <w:rsid w:val="005A33CB"/>
    <w:rsid w:val="005A350C"/>
    <w:rsid w:val="005A3693"/>
    <w:rsid w:val="005A3A97"/>
    <w:rsid w:val="005A3D43"/>
    <w:rsid w:val="005A3D56"/>
    <w:rsid w:val="005A3DD0"/>
    <w:rsid w:val="005A450D"/>
    <w:rsid w:val="005A47D5"/>
    <w:rsid w:val="005A52E6"/>
    <w:rsid w:val="005A546B"/>
    <w:rsid w:val="005A5783"/>
    <w:rsid w:val="005A5EE3"/>
    <w:rsid w:val="005A6108"/>
    <w:rsid w:val="005A7376"/>
    <w:rsid w:val="005A7820"/>
    <w:rsid w:val="005A7879"/>
    <w:rsid w:val="005A788F"/>
    <w:rsid w:val="005A7E7F"/>
    <w:rsid w:val="005B02DF"/>
    <w:rsid w:val="005B0437"/>
    <w:rsid w:val="005B04BB"/>
    <w:rsid w:val="005B05B3"/>
    <w:rsid w:val="005B05F5"/>
    <w:rsid w:val="005B0677"/>
    <w:rsid w:val="005B0F39"/>
    <w:rsid w:val="005B1AB9"/>
    <w:rsid w:val="005B1BEA"/>
    <w:rsid w:val="005B1CC5"/>
    <w:rsid w:val="005B1DA5"/>
    <w:rsid w:val="005B202F"/>
    <w:rsid w:val="005B21DA"/>
    <w:rsid w:val="005B260E"/>
    <w:rsid w:val="005B2BC4"/>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C65"/>
    <w:rsid w:val="005B7F43"/>
    <w:rsid w:val="005C02D9"/>
    <w:rsid w:val="005C0D70"/>
    <w:rsid w:val="005C1182"/>
    <w:rsid w:val="005C11E1"/>
    <w:rsid w:val="005C1467"/>
    <w:rsid w:val="005C1502"/>
    <w:rsid w:val="005C1746"/>
    <w:rsid w:val="005C1F6A"/>
    <w:rsid w:val="005C29D2"/>
    <w:rsid w:val="005C2F03"/>
    <w:rsid w:val="005C2F77"/>
    <w:rsid w:val="005C3717"/>
    <w:rsid w:val="005C38A2"/>
    <w:rsid w:val="005C4361"/>
    <w:rsid w:val="005C45E4"/>
    <w:rsid w:val="005C4B7F"/>
    <w:rsid w:val="005C4FBE"/>
    <w:rsid w:val="005C50FA"/>
    <w:rsid w:val="005C52C4"/>
    <w:rsid w:val="005C5A2E"/>
    <w:rsid w:val="005C6045"/>
    <w:rsid w:val="005C63FF"/>
    <w:rsid w:val="005C6499"/>
    <w:rsid w:val="005C661A"/>
    <w:rsid w:val="005C6CD1"/>
    <w:rsid w:val="005C6E7D"/>
    <w:rsid w:val="005C74C0"/>
    <w:rsid w:val="005C7E2E"/>
    <w:rsid w:val="005D00E2"/>
    <w:rsid w:val="005D0170"/>
    <w:rsid w:val="005D0566"/>
    <w:rsid w:val="005D0B0A"/>
    <w:rsid w:val="005D0D63"/>
    <w:rsid w:val="005D187A"/>
    <w:rsid w:val="005D1ACA"/>
    <w:rsid w:val="005D2272"/>
    <w:rsid w:val="005D2456"/>
    <w:rsid w:val="005D27AE"/>
    <w:rsid w:val="005D33E5"/>
    <w:rsid w:val="005D3557"/>
    <w:rsid w:val="005D3C95"/>
    <w:rsid w:val="005D451F"/>
    <w:rsid w:val="005D4AF6"/>
    <w:rsid w:val="005D4D9E"/>
    <w:rsid w:val="005D5072"/>
    <w:rsid w:val="005D516B"/>
    <w:rsid w:val="005D58C3"/>
    <w:rsid w:val="005D7151"/>
    <w:rsid w:val="005D7678"/>
    <w:rsid w:val="005D76C8"/>
    <w:rsid w:val="005D76E3"/>
    <w:rsid w:val="005D7BAA"/>
    <w:rsid w:val="005E1B51"/>
    <w:rsid w:val="005E25A6"/>
    <w:rsid w:val="005E270C"/>
    <w:rsid w:val="005E276A"/>
    <w:rsid w:val="005E2BE7"/>
    <w:rsid w:val="005E3036"/>
    <w:rsid w:val="005E334F"/>
    <w:rsid w:val="005E3557"/>
    <w:rsid w:val="005E3630"/>
    <w:rsid w:val="005E39FE"/>
    <w:rsid w:val="005E3B74"/>
    <w:rsid w:val="005E3BFB"/>
    <w:rsid w:val="005E3CC5"/>
    <w:rsid w:val="005E41B1"/>
    <w:rsid w:val="005E435B"/>
    <w:rsid w:val="005E47DD"/>
    <w:rsid w:val="005E4942"/>
    <w:rsid w:val="005E4948"/>
    <w:rsid w:val="005E5DE3"/>
    <w:rsid w:val="005E5F36"/>
    <w:rsid w:val="005E6744"/>
    <w:rsid w:val="005E6815"/>
    <w:rsid w:val="005E6F6E"/>
    <w:rsid w:val="005E7604"/>
    <w:rsid w:val="005F0324"/>
    <w:rsid w:val="005F0747"/>
    <w:rsid w:val="005F07F5"/>
    <w:rsid w:val="005F0C58"/>
    <w:rsid w:val="005F0F49"/>
    <w:rsid w:val="005F1651"/>
    <w:rsid w:val="005F1B67"/>
    <w:rsid w:val="005F23B2"/>
    <w:rsid w:val="005F23DE"/>
    <w:rsid w:val="005F2CBA"/>
    <w:rsid w:val="005F2E83"/>
    <w:rsid w:val="005F302C"/>
    <w:rsid w:val="005F33FB"/>
    <w:rsid w:val="005F3E68"/>
    <w:rsid w:val="005F431A"/>
    <w:rsid w:val="005F4458"/>
    <w:rsid w:val="005F4532"/>
    <w:rsid w:val="005F472D"/>
    <w:rsid w:val="005F4815"/>
    <w:rsid w:val="005F4DAF"/>
    <w:rsid w:val="005F5141"/>
    <w:rsid w:val="005F51C4"/>
    <w:rsid w:val="005F51F2"/>
    <w:rsid w:val="005F5F0B"/>
    <w:rsid w:val="005F6230"/>
    <w:rsid w:val="005F668D"/>
    <w:rsid w:val="005F676F"/>
    <w:rsid w:val="005F6BE6"/>
    <w:rsid w:val="005F70AD"/>
    <w:rsid w:val="005F730C"/>
    <w:rsid w:val="005F7584"/>
    <w:rsid w:val="005F77A1"/>
    <w:rsid w:val="005F77E4"/>
    <w:rsid w:val="005F784F"/>
    <w:rsid w:val="005F78BA"/>
    <w:rsid w:val="005F791D"/>
    <w:rsid w:val="00600146"/>
    <w:rsid w:val="00600379"/>
    <w:rsid w:val="006003DE"/>
    <w:rsid w:val="00600DCB"/>
    <w:rsid w:val="00600EC1"/>
    <w:rsid w:val="006015FF"/>
    <w:rsid w:val="00602183"/>
    <w:rsid w:val="006023EB"/>
    <w:rsid w:val="00602528"/>
    <w:rsid w:val="00603A3B"/>
    <w:rsid w:val="00603B58"/>
    <w:rsid w:val="00604544"/>
    <w:rsid w:val="00604BFB"/>
    <w:rsid w:val="00604C74"/>
    <w:rsid w:val="00605191"/>
    <w:rsid w:val="00605227"/>
    <w:rsid w:val="0060562E"/>
    <w:rsid w:val="00605A82"/>
    <w:rsid w:val="006064D4"/>
    <w:rsid w:val="006066EE"/>
    <w:rsid w:val="0060673E"/>
    <w:rsid w:val="006069DD"/>
    <w:rsid w:val="00606B28"/>
    <w:rsid w:val="00606EFA"/>
    <w:rsid w:val="006072E6"/>
    <w:rsid w:val="00607679"/>
    <w:rsid w:val="006077E8"/>
    <w:rsid w:val="006079C8"/>
    <w:rsid w:val="00607A44"/>
    <w:rsid w:val="00607A7B"/>
    <w:rsid w:val="00607A85"/>
    <w:rsid w:val="00607CE3"/>
    <w:rsid w:val="006107D3"/>
    <w:rsid w:val="00610E58"/>
    <w:rsid w:val="006119DA"/>
    <w:rsid w:val="00611D0D"/>
    <w:rsid w:val="006125BB"/>
    <w:rsid w:val="00612725"/>
    <w:rsid w:val="00612F11"/>
    <w:rsid w:val="0061308B"/>
    <w:rsid w:val="00613AE5"/>
    <w:rsid w:val="00614B3A"/>
    <w:rsid w:val="00614D70"/>
    <w:rsid w:val="00614DD4"/>
    <w:rsid w:val="00614E2C"/>
    <w:rsid w:val="00615320"/>
    <w:rsid w:val="006161D7"/>
    <w:rsid w:val="006165DE"/>
    <w:rsid w:val="00616DC1"/>
    <w:rsid w:val="00616E2B"/>
    <w:rsid w:val="0061700A"/>
    <w:rsid w:val="0061718B"/>
    <w:rsid w:val="006175A0"/>
    <w:rsid w:val="00617828"/>
    <w:rsid w:val="00617A55"/>
    <w:rsid w:val="006201C7"/>
    <w:rsid w:val="006204DC"/>
    <w:rsid w:val="0062089A"/>
    <w:rsid w:val="00620B47"/>
    <w:rsid w:val="0062163E"/>
    <w:rsid w:val="0062180A"/>
    <w:rsid w:val="00621CE8"/>
    <w:rsid w:val="00621EA9"/>
    <w:rsid w:val="00622415"/>
    <w:rsid w:val="0062246F"/>
    <w:rsid w:val="00622567"/>
    <w:rsid w:val="00622D25"/>
    <w:rsid w:val="00622D41"/>
    <w:rsid w:val="00622E72"/>
    <w:rsid w:val="006230E8"/>
    <w:rsid w:val="00623287"/>
    <w:rsid w:val="00623845"/>
    <w:rsid w:val="00623852"/>
    <w:rsid w:val="006248B4"/>
    <w:rsid w:val="006249DA"/>
    <w:rsid w:val="00624C8E"/>
    <w:rsid w:val="006256F9"/>
    <w:rsid w:val="00625A22"/>
    <w:rsid w:val="00625DDF"/>
    <w:rsid w:val="00626072"/>
    <w:rsid w:val="006267A6"/>
    <w:rsid w:val="00626D9F"/>
    <w:rsid w:val="00626E9E"/>
    <w:rsid w:val="00626F26"/>
    <w:rsid w:val="00627011"/>
    <w:rsid w:val="00627130"/>
    <w:rsid w:val="00627181"/>
    <w:rsid w:val="00627392"/>
    <w:rsid w:val="006273F6"/>
    <w:rsid w:val="00627579"/>
    <w:rsid w:val="00627CD7"/>
    <w:rsid w:val="006300AD"/>
    <w:rsid w:val="00630421"/>
    <w:rsid w:val="00630E28"/>
    <w:rsid w:val="00631076"/>
    <w:rsid w:val="00631DE8"/>
    <w:rsid w:val="006324AB"/>
    <w:rsid w:val="00632644"/>
    <w:rsid w:val="0063378B"/>
    <w:rsid w:val="00633C56"/>
    <w:rsid w:val="00634BCB"/>
    <w:rsid w:val="00635096"/>
    <w:rsid w:val="00635303"/>
    <w:rsid w:val="00635505"/>
    <w:rsid w:val="0063561F"/>
    <w:rsid w:val="0063583F"/>
    <w:rsid w:val="006360DE"/>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640"/>
    <w:rsid w:val="00641B26"/>
    <w:rsid w:val="006421B4"/>
    <w:rsid w:val="006424FE"/>
    <w:rsid w:val="00642BD7"/>
    <w:rsid w:val="0064337B"/>
    <w:rsid w:val="006433F4"/>
    <w:rsid w:val="006434FC"/>
    <w:rsid w:val="00643804"/>
    <w:rsid w:val="006438CB"/>
    <w:rsid w:val="00643B67"/>
    <w:rsid w:val="00644734"/>
    <w:rsid w:val="00644906"/>
    <w:rsid w:val="00644C72"/>
    <w:rsid w:val="0064519E"/>
    <w:rsid w:val="006451CF"/>
    <w:rsid w:val="00645B88"/>
    <w:rsid w:val="006463C9"/>
    <w:rsid w:val="00646BFE"/>
    <w:rsid w:val="006500CC"/>
    <w:rsid w:val="00650A67"/>
    <w:rsid w:val="00650DF8"/>
    <w:rsid w:val="00650FE0"/>
    <w:rsid w:val="0065130B"/>
    <w:rsid w:val="00651566"/>
    <w:rsid w:val="006517B7"/>
    <w:rsid w:val="006518C6"/>
    <w:rsid w:val="00651E4F"/>
    <w:rsid w:val="006522C6"/>
    <w:rsid w:val="00652A4C"/>
    <w:rsid w:val="00653722"/>
    <w:rsid w:val="00653A3A"/>
    <w:rsid w:val="00653FBB"/>
    <w:rsid w:val="006541D5"/>
    <w:rsid w:val="006543F3"/>
    <w:rsid w:val="00654892"/>
    <w:rsid w:val="00654B83"/>
    <w:rsid w:val="00654CFA"/>
    <w:rsid w:val="00654E44"/>
    <w:rsid w:val="00655505"/>
    <w:rsid w:val="00655849"/>
    <w:rsid w:val="00655CAE"/>
    <w:rsid w:val="00655CC6"/>
    <w:rsid w:val="00656041"/>
    <w:rsid w:val="006560AD"/>
    <w:rsid w:val="006561DD"/>
    <w:rsid w:val="006576BB"/>
    <w:rsid w:val="006576CB"/>
    <w:rsid w:val="0065778E"/>
    <w:rsid w:val="0065788A"/>
    <w:rsid w:val="006579D0"/>
    <w:rsid w:val="00657B85"/>
    <w:rsid w:val="00657B8A"/>
    <w:rsid w:val="00657E3E"/>
    <w:rsid w:val="00660854"/>
    <w:rsid w:val="0066092A"/>
    <w:rsid w:val="00661026"/>
    <w:rsid w:val="006614DF"/>
    <w:rsid w:val="00661D2B"/>
    <w:rsid w:val="006624C6"/>
    <w:rsid w:val="00662888"/>
    <w:rsid w:val="00662C78"/>
    <w:rsid w:val="00662D70"/>
    <w:rsid w:val="00662E12"/>
    <w:rsid w:val="00662FB4"/>
    <w:rsid w:val="00663491"/>
    <w:rsid w:val="00663578"/>
    <w:rsid w:val="00663C1B"/>
    <w:rsid w:val="00663E18"/>
    <w:rsid w:val="006645C2"/>
    <w:rsid w:val="00664839"/>
    <w:rsid w:val="0066507D"/>
    <w:rsid w:val="006652D0"/>
    <w:rsid w:val="006659D5"/>
    <w:rsid w:val="00665FC9"/>
    <w:rsid w:val="00666236"/>
    <w:rsid w:val="0066653E"/>
    <w:rsid w:val="00666DC5"/>
    <w:rsid w:val="00667153"/>
    <w:rsid w:val="0066738D"/>
    <w:rsid w:val="006679D7"/>
    <w:rsid w:val="00667A07"/>
    <w:rsid w:val="0067004D"/>
    <w:rsid w:val="006702DC"/>
    <w:rsid w:val="00670507"/>
    <w:rsid w:val="00670604"/>
    <w:rsid w:val="00670E79"/>
    <w:rsid w:val="0067128E"/>
    <w:rsid w:val="00671B1E"/>
    <w:rsid w:val="00671B73"/>
    <w:rsid w:val="00672034"/>
    <w:rsid w:val="006735C3"/>
    <w:rsid w:val="00673A9D"/>
    <w:rsid w:val="00673FF8"/>
    <w:rsid w:val="00674B54"/>
    <w:rsid w:val="00674CD3"/>
    <w:rsid w:val="00674D6B"/>
    <w:rsid w:val="00674FD4"/>
    <w:rsid w:val="00675184"/>
    <w:rsid w:val="006751F1"/>
    <w:rsid w:val="0067524A"/>
    <w:rsid w:val="006759D6"/>
    <w:rsid w:val="00675E6D"/>
    <w:rsid w:val="00676048"/>
    <w:rsid w:val="00676890"/>
    <w:rsid w:val="00676C3C"/>
    <w:rsid w:val="006775D8"/>
    <w:rsid w:val="00677775"/>
    <w:rsid w:val="00677B72"/>
    <w:rsid w:val="00677BA6"/>
    <w:rsid w:val="00677FD1"/>
    <w:rsid w:val="00680C4B"/>
    <w:rsid w:val="00680FD9"/>
    <w:rsid w:val="00681ACA"/>
    <w:rsid w:val="0068207D"/>
    <w:rsid w:val="00682761"/>
    <w:rsid w:val="00683134"/>
    <w:rsid w:val="0068324E"/>
    <w:rsid w:val="00683262"/>
    <w:rsid w:val="00683B25"/>
    <w:rsid w:val="00683DF7"/>
    <w:rsid w:val="0068487E"/>
    <w:rsid w:val="00684BD7"/>
    <w:rsid w:val="00685A30"/>
    <w:rsid w:val="00686041"/>
    <w:rsid w:val="0068666A"/>
    <w:rsid w:val="006869E6"/>
    <w:rsid w:val="00686B5C"/>
    <w:rsid w:val="00686DE3"/>
    <w:rsid w:val="00686F9D"/>
    <w:rsid w:val="00687372"/>
    <w:rsid w:val="006873C0"/>
    <w:rsid w:val="006877D5"/>
    <w:rsid w:val="00687BEE"/>
    <w:rsid w:val="00687C7C"/>
    <w:rsid w:val="0069106B"/>
    <w:rsid w:val="00691282"/>
    <w:rsid w:val="00691730"/>
    <w:rsid w:val="00692295"/>
    <w:rsid w:val="00692415"/>
    <w:rsid w:val="006929CC"/>
    <w:rsid w:val="00692B17"/>
    <w:rsid w:val="00693903"/>
    <w:rsid w:val="00693A68"/>
    <w:rsid w:val="00693C79"/>
    <w:rsid w:val="00693E3D"/>
    <w:rsid w:val="0069494F"/>
    <w:rsid w:val="0069509F"/>
    <w:rsid w:val="00695C15"/>
    <w:rsid w:val="0069657D"/>
    <w:rsid w:val="00696B3D"/>
    <w:rsid w:val="00696DA1"/>
    <w:rsid w:val="00697042"/>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47CC"/>
    <w:rsid w:val="006A54C7"/>
    <w:rsid w:val="006A582D"/>
    <w:rsid w:val="006A582E"/>
    <w:rsid w:val="006A5E28"/>
    <w:rsid w:val="006A5F6A"/>
    <w:rsid w:val="006A6367"/>
    <w:rsid w:val="006A655B"/>
    <w:rsid w:val="006A67B9"/>
    <w:rsid w:val="006A6812"/>
    <w:rsid w:val="006A6959"/>
    <w:rsid w:val="006A6C70"/>
    <w:rsid w:val="006A6D2C"/>
    <w:rsid w:val="006A70C8"/>
    <w:rsid w:val="006A7250"/>
    <w:rsid w:val="006A7FFC"/>
    <w:rsid w:val="006B05F5"/>
    <w:rsid w:val="006B0708"/>
    <w:rsid w:val="006B077A"/>
    <w:rsid w:val="006B0D03"/>
    <w:rsid w:val="006B105C"/>
    <w:rsid w:val="006B10A3"/>
    <w:rsid w:val="006B10C3"/>
    <w:rsid w:val="006B1502"/>
    <w:rsid w:val="006B1559"/>
    <w:rsid w:val="006B174F"/>
    <w:rsid w:val="006B18A5"/>
    <w:rsid w:val="006B19D9"/>
    <w:rsid w:val="006B1AB6"/>
    <w:rsid w:val="006B1BFE"/>
    <w:rsid w:val="006B1F09"/>
    <w:rsid w:val="006B2C7B"/>
    <w:rsid w:val="006B2D6C"/>
    <w:rsid w:val="006B339F"/>
    <w:rsid w:val="006B3891"/>
    <w:rsid w:val="006B3CBF"/>
    <w:rsid w:val="006B43AA"/>
    <w:rsid w:val="006B4BB6"/>
    <w:rsid w:val="006B506A"/>
    <w:rsid w:val="006B51A5"/>
    <w:rsid w:val="006B5FA6"/>
    <w:rsid w:val="006B6278"/>
    <w:rsid w:val="006B65FB"/>
    <w:rsid w:val="006B662D"/>
    <w:rsid w:val="006B6842"/>
    <w:rsid w:val="006B6BF0"/>
    <w:rsid w:val="006B70DD"/>
    <w:rsid w:val="006B71B6"/>
    <w:rsid w:val="006B7865"/>
    <w:rsid w:val="006B7DEE"/>
    <w:rsid w:val="006B7F9B"/>
    <w:rsid w:val="006C056E"/>
    <w:rsid w:val="006C05BA"/>
    <w:rsid w:val="006C09C6"/>
    <w:rsid w:val="006C0C3C"/>
    <w:rsid w:val="006C0FCE"/>
    <w:rsid w:val="006C1183"/>
    <w:rsid w:val="006C11F9"/>
    <w:rsid w:val="006C2200"/>
    <w:rsid w:val="006C2203"/>
    <w:rsid w:val="006C25D4"/>
    <w:rsid w:val="006C26AE"/>
    <w:rsid w:val="006C329C"/>
    <w:rsid w:val="006C3446"/>
    <w:rsid w:val="006C349C"/>
    <w:rsid w:val="006C34F3"/>
    <w:rsid w:val="006C3960"/>
    <w:rsid w:val="006C3D25"/>
    <w:rsid w:val="006C4061"/>
    <w:rsid w:val="006C42E6"/>
    <w:rsid w:val="006C4A8C"/>
    <w:rsid w:val="006C4B22"/>
    <w:rsid w:val="006C4F6A"/>
    <w:rsid w:val="006C5150"/>
    <w:rsid w:val="006C69D0"/>
    <w:rsid w:val="006C6AA9"/>
    <w:rsid w:val="006C73A0"/>
    <w:rsid w:val="006C7739"/>
    <w:rsid w:val="006C7955"/>
    <w:rsid w:val="006C7B62"/>
    <w:rsid w:val="006C7DAC"/>
    <w:rsid w:val="006D0008"/>
    <w:rsid w:val="006D026B"/>
    <w:rsid w:val="006D03A5"/>
    <w:rsid w:val="006D091C"/>
    <w:rsid w:val="006D12D7"/>
    <w:rsid w:val="006D1859"/>
    <w:rsid w:val="006D1E25"/>
    <w:rsid w:val="006D1F98"/>
    <w:rsid w:val="006D238A"/>
    <w:rsid w:val="006D2500"/>
    <w:rsid w:val="006D3214"/>
    <w:rsid w:val="006D3501"/>
    <w:rsid w:val="006D40A4"/>
    <w:rsid w:val="006D4EEA"/>
    <w:rsid w:val="006D547E"/>
    <w:rsid w:val="006D55DD"/>
    <w:rsid w:val="006D581A"/>
    <w:rsid w:val="006D5E35"/>
    <w:rsid w:val="006D60C5"/>
    <w:rsid w:val="006D61C8"/>
    <w:rsid w:val="006D6259"/>
    <w:rsid w:val="006D6367"/>
    <w:rsid w:val="006D64E0"/>
    <w:rsid w:val="006D768B"/>
    <w:rsid w:val="006D7A29"/>
    <w:rsid w:val="006D7CB9"/>
    <w:rsid w:val="006D7F74"/>
    <w:rsid w:val="006E0791"/>
    <w:rsid w:val="006E10AA"/>
    <w:rsid w:val="006E1157"/>
    <w:rsid w:val="006E16DE"/>
    <w:rsid w:val="006E1DD9"/>
    <w:rsid w:val="006E2206"/>
    <w:rsid w:val="006E260F"/>
    <w:rsid w:val="006E2AAF"/>
    <w:rsid w:val="006E2C7B"/>
    <w:rsid w:val="006E3F6F"/>
    <w:rsid w:val="006E403F"/>
    <w:rsid w:val="006E559A"/>
    <w:rsid w:val="006E5629"/>
    <w:rsid w:val="006E566B"/>
    <w:rsid w:val="006E5B5A"/>
    <w:rsid w:val="006E5BA3"/>
    <w:rsid w:val="006E5FB3"/>
    <w:rsid w:val="006E61A6"/>
    <w:rsid w:val="006E6573"/>
    <w:rsid w:val="006E735F"/>
    <w:rsid w:val="006E78EE"/>
    <w:rsid w:val="006E7E8D"/>
    <w:rsid w:val="006F032D"/>
    <w:rsid w:val="006F06A1"/>
    <w:rsid w:val="006F0CE7"/>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3CC1"/>
    <w:rsid w:val="006F4E52"/>
    <w:rsid w:val="006F4F4C"/>
    <w:rsid w:val="006F4FE1"/>
    <w:rsid w:val="006F5550"/>
    <w:rsid w:val="006F6A2B"/>
    <w:rsid w:val="006F6F76"/>
    <w:rsid w:val="006F7250"/>
    <w:rsid w:val="006F7410"/>
    <w:rsid w:val="006F7C63"/>
    <w:rsid w:val="00700663"/>
    <w:rsid w:val="0070071F"/>
    <w:rsid w:val="00700790"/>
    <w:rsid w:val="007007BD"/>
    <w:rsid w:val="00700ABD"/>
    <w:rsid w:val="00701524"/>
    <w:rsid w:val="00702801"/>
    <w:rsid w:val="00702AF7"/>
    <w:rsid w:val="0070304E"/>
    <w:rsid w:val="00703395"/>
    <w:rsid w:val="00703501"/>
    <w:rsid w:val="00703574"/>
    <w:rsid w:val="0070430D"/>
    <w:rsid w:val="0070469F"/>
    <w:rsid w:val="007051A4"/>
    <w:rsid w:val="00706096"/>
    <w:rsid w:val="00706159"/>
    <w:rsid w:val="007064A8"/>
    <w:rsid w:val="007064B2"/>
    <w:rsid w:val="007066C3"/>
    <w:rsid w:val="007068AB"/>
    <w:rsid w:val="007074FD"/>
    <w:rsid w:val="0070755C"/>
    <w:rsid w:val="007076BB"/>
    <w:rsid w:val="00710038"/>
    <w:rsid w:val="00710041"/>
    <w:rsid w:val="00710652"/>
    <w:rsid w:val="00710718"/>
    <w:rsid w:val="007109D0"/>
    <w:rsid w:val="0071114A"/>
    <w:rsid w:val="007116E6"/>
    <w:rsid w:val="00711733"/>
    <w:rsid w:val="00711E46"/>
    <w:rsid w:val="007127DF"/>
    <w:rsid w:val="00712814"/>
    <w:rsid w:val="00712ABE"/>
    <w:rsid w:val="00712EEE"/>
    <w:rsid w:val="00712FC1"/>
    <w:rsid w:val="0071301B"/>
    <w:rsid w:val="007136F0"/>
    <w:rsid w:val="00713839"/>
    <w:rsid w:val="007141E6"/>
    <w:rsid w:val="007143E6"/>
    <w:rsid w:val="007147B0"/>
    <w:rsid w:val="00714BF7"/>
    <w:rsid w:val="00714DC1"/>
    <w:rsid w:val="00714FFB"/>
    <w:rsid w:val="007152E8"/>
    <w:rsid w:val="007155A9"/>
    <w:rsid w:val="00715B83"/>
    <w:rsid w:val="007163B9"/>
    <w:rsid w:val="00716447"/>
    <w:rsid w:val="007165AC"/>
    <w:rsid w:val="0071675B"/>
    <w:rsid w:val="00716B63"/>
    <w:rsid w:val="00716C35"/>
    <w:rsid w:val="00716DBF"/>
    <w:rsid w:val="00716EA5"/>
    <w:rsid w:val="007171A3"/>
    <w:rsid w:val="0071736D"/>
    <w:rsid w:val="00717481"/>
    <w:rsid w:val="00717A04"/>
    <w:rsid w:val="00717BC0"/>
    <w:rsid w:val="007200C7"/>
    <w:rsid w:val="0072015D"/>
    <w:rsid w:val="00720494"/>
    <w:rsid w:val="00720E60"/>
    <w:rsid w:val="00720F7B"/>
    <w:rsid w:val="00721747"/>
    <w:rsid w:val="00722486"/>
    <w:rsid w:val="00722AC1"/>
    <w:rsid w:val="00724300"/>
    <w:rsid w:val="00724407"/>
    <w:rsid w:val="007248EE"/>
    <w:rsid w:val="00724A6F"/>
    <w:rsid w:val="00724AE9"/>
    <w:rsid w:val="0072518F"/>
    <w:rsid w:val="007257E0"/>
    <w:rsid w:val="00725B73"/>
    <w:rsid w:val="00725D94"/>
    <w:rsid w:val="007261E6"/>
    <w:rsid w:val="0072652F"/>
    <w:rsid w:val="0072715D"/>
    <w:rsid w:val="00727A37"/>
    <w:rsid w:val="00727A59"/>
    <w:rsid w:val="00727A74"/>
    <w:rsid w:val="00727BB9"/>
    <w:rsid w:val="00727BF9"/>
    <w:rsid w:val="00727D78"/>
    <w:rsid w:val="00730438"/>
    <w:rsid w:val="00730491"/>
    <w:rsid w:val="00730832"/>
    <w:rsid w:val="007308EE"/>
    <w:rsid w:val="00730B4F"/>
    <w:rsid w:val="00730DB7"/>
    <w:rsid w:val="00730F03"/>
    <w:rsid w:val="00731007"/>
    <w:rsid w:val="007319BC"/>
    <w:rsid w:val="00731A2F"/>
    <w:rsid w:val="00731F42"/>
    <w:rsid w:val="0073303D"/>
    <w:rsid w:val="00733307"/>
    <w:rsid w:val="00733745"/>
    <w:rsid w:val="007346AA"/>
    <w:rsid w:val="00734801"/>
    <w:rsid w:val="00734E00"/>
    <w:rsid w:val="007351AB"/>
    <w:rsid w:val="00735378"/>
    <w:rsid w:val="00735726"/>
    <w:rsid w:val="007359B3"/>
    <w:rsid w:val="00735CB8"/>
    <w:rsid w:val="00735F1C"/>
    <w:rsid w:val="00736116"/>
    <w:rsid w:val="007368ED"/>
    <w:rsid w:val="00736BD8"/>
    <w:rsid w:val="00740025"/>
    <w:rsid w:val="007403E5"/>
    <w:rsid w:val="00740C09"/>
    <w:rsid w:val="007413D1"/>
    <w:rsid w:val="00741830"/>
    <w:rsid w:val="007419A5"/>
    <w:rsid w:val="00742331"/>
    <w:rsid w:val="00742668"/>
    <w:rsid w:val="00742C4B"/>
    <w:rsid w:val="00742CC1"/>
    <w:rsid w:val="00742DE2"/>
    <w:rsid w:val="007432CA"/>
    <w:rsid w:val="00743375"/>
    <w:rsid w:val="00743BE2"/>
    <w:rsid w:val="00744210"/>
    <w:rsid w:val="00744687"/>
    <w:rsid w:val="0074477F"/>
    <w:rsid w:val="00744989"/>
    <w:rsid w:val="00744E34"/>
    <w:rsid w:val="00744F17"/>
    <w:rsid w:val="00745888"/>
    <w:rsid w:val="00745B23"/>
    <w:rsid w:val="0074601D"/>
    <w:rsid w:val="00747528"/>
    <w:rsid w:val="00747738"/>
    <w:rsid w:val="00747AE8"/>
    <w:rsid w:val="00747EB9"/>
    <w:rsid w:val="007501BA"/>
    <w:rsid w:val="0075025C"/>
    <w:rsid w:val="00750391"/>
    <w:rsid w:val="007506A7"/>
    <w:rsid w:val="00750AD6"/>
    <w:rsid w:val="00750ED6"/>
    <w:rsid w:val="007521DE"/>
    <w:rsid w:val="00752CB8"/>
    <w:rsid w:val="007538BD"/>
    <w:rsid w:val="00753907"/>
    <w:rsid w:val="00753A3E"/>
    <w:rsid w:val="007543C4"/>
    <w:rsid w:val="0075473A"/>
    <w:rsid w:val="00754E08"/>
    <w:rsid w:val="00755668"/>
    <w:rsid w:val="00755801"/>
    <w:rsid w:val="00755B1F"/>
    <w:rsid w:val="00755F9C"/>
    <w:rsid w:val="00757B82"/>
    <w:rsid w:val="00757CCA"/>
    <w:rsid w:val="00757ECD"/>
    <w:rsid w:val="007602A1"/>
    <w:rsid w:val="007606F9"/>
    <w:rsid w:val="00760CC4"/>
    <w:rsid w:val="00760D45"/>
    <w:rsid w:val="0076147E"/>
    <w:rsid w:val="007614F6"/>
    <w:rsid w:val="0076159C"/>
    <w:rsid w:val="007618DB"/>
    <w:rsid w:val="00761997"/>
    <w:rsid w:val="00761B4A"/>
    <w:rsid w:val="00761F26"/>
    <w:rsid w:val="007626C2"/>
    <w:rsid w:val="007629E5"/>
    <w:rsid w:val="00763A8E"/>
    <w:rsid w:val="00763E10"/>
    <w:rsid w:val="00764642"/>
    <w:rsid w:val="00764B37"/>
    <w:rsid w:val="00764C22"/>
    <w:rsid w:val="007652A6"/>
    <w:rsid w:val="0076535B"/>
    <w:rsid w:val="0076559B"/>
    <w:rsid w:val="00765847"/>
    <w:rsid w:val="0076592B"/>
    <w:rsid w:val="007659FE"/>
    <w:rsid w:val="00765D13"/>
    <w:rsid w:val="00766280"/>
    <w:rsid w:val="00766318"/>
    <w:rsid w:val="007664A8"/>
    <w:rsid w:val="00766FED"/>
    <w:rsid w:val="00770C02"/>
    <w:rsid w:val="0077101D"/>
    <w:rsid w:val="007714C1"/>
    <w:rsid w:val="00771832"/>
    <w:rsid w:val="00771F2E"/>
    <w:rsid w:val="007721F4"/>
    <w:rsid w:val="007732FA"/>
    <w:rsid w:val="00774252"/>
    <w:rsid w:val="00774E52"/>
    <w:rsid w:val="007750D3"/>
    <w:rsid w:val="00775127"/>
    <w:rsid w:val="007759A5"/>
    <w:rsid w:val="00776179"/>
    <w:rsid w:val="007763A0"/>
    <w:rsid w:val="007767CE"/>
    <w:rsid w:val="00777364"/>
    <w:rsid w:val="007777C4"/>
    <w:rsid w:val="00777B0A"/>
    <w:rsid w:val="00780BD0"/>
    <w:rsid w:val="00781FDF"/>
    <w:rsid w:val="0078201A"/>
    <w:rsid w:val="00782082"/>
    <w:rsid w:val="00782A60"/>
    <w:rsid w:val="00782BA7"/>
    <w:rsid w:val="00783491"/>
    <w:rsid w:val="00783ADB"/>
    <w:rsid w:val="00783B02"/>
    <w:rsid w:val="00784397"/>
    <w:rsid w:val="00784586"/>
    <w:rsid w:val="00784CBC"/>
    <w:rsid w:val="00784E83"/>
    <w:rsid w:val="00785095"/>
    <w:rsid w:val="0078534A"/>
    <w:rsid w:val="00785585"/>
    <w:rsid w:val="00785604"/>
    <w:rsid w:val="0078651B"/>
    <w:rsid w:val="007867AE"/>
    <w:rsid w:val="00787A23"/>
    <w:rsid w:val="00787BFF"/>
    <w:rsid w:val="0079006F"/>
    <w:rsid w:val="007903C6"/>
    <w:rsid w:val="007904D4"/>
    <w:rsid w:val="00791628"/>
    <w:rsid w:val="00791DB6"/>
    <w:rsid w:val="00792912"/>
    <w:rsid w:val="00792A3D"/>
    <w:rsid w:val="007931DE"/>
    <w:rsid w:val="00793414"/>
    <w:rsid w:val="007936CE"/>
    <w:rsid w:val="00793EE4"/>
    <w:rsid w:val="0079403F"/>
    <w:rsid w:val="00794216"/>
    <w:rsid w:val="007944AD"/>
    <w:rsid w:val="00794817"/>
    <w:rsid w:val="00794B66"/>
    <w:rsid w:val="00794E4B"/>
    <w:rsid w:val="00795410"/>
    <w:rsid w:val="00795434"/>
    <w:rsid w:val="007956D8"/>
    <w:rsid w:val="00795838"/>
    <w:rsid w:val="00795B30"/>
    <w:rsid w:val="00795C4D"/>
    <w:rsid w:val="00795FD8"/>
    <w:rsid w:val="00796222"/>
    <w:rsid w:val="0079626F"/>
    <w:rsid w:val="00796374"/>
    <w:rsid w:val="00796A9F"/>
    <w:rsid w:val="00796B93"/>
    <w:rsid w:val="00796D3C"/>
    <w:rsid w:val="00797044"/>
    <w:rsid w:val="007974DC"/>
    <w:rsid w:val="007976FC"/>
    <w:rsid w:val="00797986"/>
    <w:rsid w:val="00797D15"/>
    <w:rsid w:val="007A0203"/>
    <w:rsid w:val="007A080E"/>
    <w:rsid w:val="007A1F4B"/>
    <w:rsid w:val="007A20BE"/>
    <w:rsid w:val="007A226C"/>
    <w:rsid w:val="007A23C4"/>
    <w:rsid w:val="007A240E"/>
    <w:rsid w:val="007A2998"/>
    <w:rsid w:val="007A2BB2"/>
    <w:rsid w:val="007A3A38"/>
    <w:rsid w:val="007A3A94"/>
    <w:rsid w:val="007A433A"/>
    <w:rsid w:val="007A4FFC"/>
    <w:rsid w:val="007A510C"/>
    <w:rsid w:val="007A58D8"/>
    <w:rsid w:val="007A5AEE"/>
    <w:rsid w:val="007A5F17"/>
    <w:rsid w:val="007A607B"/>
    <w:rsid w:val="007A6516"/>
    <w:rsid w:val="007A65DF"/>
    <w:rsid w:val="007A66F6"/>
    <w:rsid w:val="007A687C"/>
    <w:rsid w:val="007A6D88"/>
    <w:rsid w:val="007A724F"/>
    <w:rsid w:val="007A7679"/>
    <w:rsid w:val="007A7E3E"/>
    <w:rsid w:val="007B0889"/>
    <w:rsid w:val="007B0ABB"/>
    <w:rsid w:val="007B0B01"/>
    <w:rsid w:val="007B0DE0"/>
    <w:rsid w:val="007B1376"/>
    <w:rsid w:val="007B1558"/>
    <w:rsid w:val="007B1B06"/>
    <w:rsid w:val="007B227F"/>
    <w:rsid w:val="007B2534"/>
    <w:rsid w:val="007B3BFF"/>
    <w:rsid w:val="007B3DF1"/>
    <w:rsid w:val="007B44B8"/>
    <w:rsid w:val="007B44F9"/>
    <w:rsid w:val="007B45C1"/>
    <w:rsid w:val="007B4664"/>
    <w:rsid w:val="007B4831"/>
    <w:rsid w:val="007B4990"/>
    <w:rsid w:val="007B5376"/>
    <w:rsid w:val="007B5447"/>
    <w:rsid w:val="007B5587"/>
    <w:rsid w:val="007B55B9"/>
    <w:rsid w:val="007B585A"/>
    <w:rsid w:val="007B5A6D"/>
    <w:rsid w:val="007B5C7D"/>
    <w:rsid w:val="007B63FF"/>
    <w:rsid w:val="007B6786"/>
    <w:rsid w:val="007B6821"/>
    <w:rsid w:val="007B6A27"/>
    <w:rsid w:val="007B7529"/>
    <w:rsid w:val="007B76E7"/>
    <w:rsid w:val="007B779B"/>
    <w:rsid w:val="007C013F"/>
    <w:rsid w:val="007C015D"/>
    <w:rsid w:val="007C0726"/>
    <w:rsid w:val="007C0FE3"/>
    <w:rsid w:val="007C1831"/>
    <w:rsid w:val="007C1B87"/>
    <w:rsid w:val="007C1C44"/>
    <w:rsid w:val="007C1D6F"/>
    <w:rsid w:val="007C2126"/>
    <w:rsid w:val="007C238E"/>
    <w:rsid w:val="007C2646"/>
    <w:rsid w:val="007C27D7"/>
    <w:rsid w:val="007C2EC3"/>
    <w:rsid w:val="007C3384"/>
    <w:rsid w:val="007C3A16"/>
    <w:rsid w:val="007C3A9E"/>
    <w:rsid w:val="007C3C1D"/>
    <w:rsid w:val="007C3C68"/>
    <w:rsid w:val="007C4065"/>
    <w:rsid w:val="007C448C"/>
    <w:rsid w:val="007C4639"/>
    <w:rsid w:val="007C4BBE"/>
    <w:rsid w:val="007C540C"/>
    <w:rsid w:val="007C59C2"/>
    <w:rsid w:val="007C5AF2"/>
    <w:rsid w:val="007C5D77"/>
    <w:rsid w:val="007C62BE"/>
    <w:rsid w:val="007C63DA"/>
    <w:rsid w:val="007C66B7"/>
    <w:rsid w:val="007C6EE5"/>
    <w:rsid w:val="007C6F5A"/>
    <w:rsid w:val="007C6FF4"/>
    <w:rsid w:val="007C71B9"/>
    <w:rsid w:val="007C78C8"/>
    <w:rsid w:val="007C7FA7"/>
    <w:rsid w:val="007C7FE9"/>
    <w:rsid w:val="007D06D3"/>
    <w:rsid w:val="007D0811"/>
    <w:rsid w:val="007D115A"/>
    <w:rsid w:val="007D1257"/>
    <w:rsid w:val="007D283F"/>
    <w:rsid w:val="007D2DBA"/>
    <w:rsid w:val="007D31E4"/>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5F09"/>
    <w:rsid w:val="007D610B"/>
    <w:rsid w:val="007D621F"/>
    <w:rsid w:val="007D6248"/>
    <w:rsid w:val="007D69A0"/>
    <w:rsid w:val="007D73B0"/>
    <w:rsid w:val="007D7952"/>
    <w:rsid w:val="007D7D13"/>
    <w:rsid w:val="007E0835"/>
    <w:rsid w:val="007E0B89"/>
    <w:rsid w:val="007E1454"/>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A4F"/>
    <w:rsid w:val="007E784B"/>
    <w:rsid w:val="007E793C"/>
    <w:rsid w:val="007E7CC4"/>
    <w:rsid w:val="007E7D7A"/>
    <w:rsid w:val="007E7E66"/>
    <w:rsid w:val="007F00A1"/>
    <w:rsid w:val="007F0903"/>
    <w:rsid w:val="007F0E6A"/>
    <w:rsid w:val="007F22A7"/>
    <w:rsid w:val="007F2434"/>
    <w:rsid w:val="007F2B53"/>
    <w:rsid w:val="007F2B91"/>
    <w:rsid w:val="007F2F3D"/>
    <w:rsid w:val="007F2F5A"/>
    <w:rsid w:val="007F33B3"/>
    <w:rsid w:val="007F40B7"/>
    <w:rsid w:val="007F4893"/>
    <w:rsid w:val="007F4EA3"/>
    <w:rsid w:val="007F4EFB"/>
    <w:rsid w:val="007F5590"/>
    <w:rsid w:val="007F55CB"/>
    <w:rsid w:val="007F5632"/>
    <w:rsid w:val="007F5806"/>
    <w:rsid w:val="007F5D34"/>
    <w:rsid w:val="007F5EDD"/>
    <w:rsid w:val="007F5F90"/>
    <w:rsid w:val="007F61D0"/>
    <w:rsid w:val="007F6E4E"/>
    <w:rsid w:val="007F75E9"/>
    <w:rsid w:val="007F7BDA"/>
    <w:rsid w:val="00800747"/>
    <w:rsid w:val="0080083D"/>
    <w:rsid w:val="00800B29"/>
    <w:rsid w:val="0080116C"/>
    <w:rsid w:val="00801416"/>
    <w:rsid w:val="00801AEC"/>
    <w:rsid w:val="00801F1E"/>
    <w:rsid w:val="008023E5"/>
    <w:rsid w:val="008023F2"/>
    <w:rsid w:val="00802401"/>
    <w:rsid w:val="00802BF5"/>
    <w:rsid w:val="00802D01"/>
    <w:rsid w:val="00803082"/>
    <w:rsid w:val="0080323A"/>
    <w:rsid w:val="008034DC"/>
    <w:rsid w:val="00803C0C"/>
    <w:rsid w:val="008042E8"/>
    <w:rsid w:val="00805087"/>
    <w:rsid w:val="00805A45"/>
    <w:rsid w:val="008061DC"/>
    <w:rsid w:val="00806226"/>
    <w:rsid w:val="0080646F"/>
    <w:rsid w:val="008067BC"/>
    <w:rsid w:val="00807049"/>
    <w:rsid w:val="008072FA"/>
    <w:rsid w:val="00807444"/>
    <w:rsid w:val="00807470"/>
    <w:rsid w:val="00807B06"/>
    <w:rsid w:val="00807D59"/>
    <w:rsid w:val="0081009F"/>
    <w:rsid w:val="00810279"/>
    <w:rsid w:val="0081028B"/>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0B2"/>
    <w:rsid w:val="00815357"/>
    <w:rsid w:val="008154E0"/>
    <w:rsid w:val="0081674A"/>
    <w:rsid w:val="008168E7"/>
    <w:rsid w:val="00816E01"/>
    <w:rsid w:val="008171D5"/>
    <w:rsid w:val="008172A8"/>
    <w:rsid w:val="00817551"/>
    <w:rsid w:val="008201B4"/>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30D5"/>
    <w:rsid w:val="00823295"/>
    <w:rsid w:val="008242CB"/>
    <w:rsid w:val="00824608"/>
    <w:rsid w:val="00824CD4"/>
    <w:rsid w:val="00825167"/>
    <w:rsid w:val="00825314"/>
    <w:rsid w:val="00825567"/>
    <w:rsid w:val="008259B2"/>
    <w:rsid w:val="00825A69"/>
    <w:rsid w:val="00825DF1"/>
    <w:rsid w:val="0082611C"/>
    <w:rsid w:val="00826404"/>
    <w:rsid w:val="00826440"/>
    <w:rsid w:val="00826744"/>
    <w:rsid w:val="008267C1"/>
    <w:rsid w:val="00826BC5"/>
    <w:rsid w:val="008275C4"/>
    <w:rsid w:val="00827FCD"/>
    <w:rsid w:val="0083008C"/>
    <w:rsid w:val="008300E5"/>
    <w:rsid w:val="00830421"/>
    <w:rsid w:val="008309E7"/>
    <w:rsid w:val="00830C99"/>
    <w:rsid w:val="00830D22"/>
    <w:rsid w:val="00830D98"/>
    <w:rsid w:val="0083118C"/>
    <w:rsid w:val="008319B3"/>
    <w:rsid w:val="008322D9"/>
    <w:rsid w:val="0083234A"/>
    <w:rsid w:val="00832835"/>
    <w:rsid w:val="00832AED"/>
    <w:rsid w:val="00832C8E"/>
    <w:rsid w:val="00833118"/>
    <w:rsid w:val="00833193"/>
    <w:rsid w:val="00833256"/>
    <w:rsid w:val="00833ABA"/>
    <w:rsid w:val="008341F0"/>
    <w:rsid w:val="00834A2D"/>
    <w:rsid w:val="00834AEF"/>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1D9B"/>
    <w:rsid w:val="00841E8A"/>
    <w:rsid w:val="008421B0"/>
    <w:rsid w:val="00842934"/>
    <w:rsid w:val="00842D55"/>
    <w:rsid w:val="00843109"/>
    <w:rsid w:val="00843206"/>
    <w:rsid w:val="008432C8"/>
    <w:rsid w:val="008435D4"/>
    <w:rsid w:val="0084362D"/>
    <w:rsid w:val="00843788"/>
    <w:rsid w:val="00843918"/>
    <w:rsid w:val="00843FD3"/>
    <w:rsid w:val="00843FD7"/>
    <w:rsid w:val="008446E6"/>
    <w:rsid w:val="00844943"/>
    <w:rsid w:val="008449D9"/>
    <w:rsid w:val="00844E8B"/>
    <w:rsid w:val="008459E2"/>
    <w:rsid w:val="00845E2F"/>
    <w:rsid w:val="00846950"/>
    <w:rsid w:val="00846AB3"/>
    <w:rsid w:val="00847335"/>
    <w:rsid w:val="0084737B"/>
    <w:rsid w:val="0084755C"/>
    <w:rsid w:val="00847588"/>
    <w:rsid w:val="00847601"/>
    <w:rsid w:val="00847EEE"/>
    <w:rsid w:val="008504AB"/>
    <w:rsid w:val="0085056C"/>
    <w:rsid w:val="008508F1"/>
    <w:rsid w:val="00851936"/>
    <w:rsid w:val="00851A3F"/>
    <w:rsid w:val="00852070"/>
    <w:rsid w:val="00852651"/>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7BFA"/>
    <w:rsid w:val="00857C66"/>
    <w:rsid w:val="00857FCD"/>
    <w:rsid w:val="00860742"/>
    <w:rsid w:val="008607BE"/>
    <w:rsid w:val="00860B93"/>
    <w:rsid w:val="00860DEB"/>
    <w:rsid w:val="00860EF6"/>
    <w:rsid w:val="00860EFA"/>
    <w:rsid w:val="0086141C"/>
    <w:rsid w:val="00861BCC"/>
    <w:rsid w:val="008624BA"/>
    <w:rsid w:val="00863230"/>
    <w:rsid w:val="0086494E"/>
    <w:rsid w:val="00864E2F"/>
    <w:rsid w:val="008651A3"/>
    <w:rsid w:val="00865886"/>
    <w:rsid w:val="00865978"/>
    <w:rsid w:val="00865981"/>
    <w:rsid w:val="00865A84"/>
    <w:rsid w:val="00865ED9"/>
    <w:rsid w:val="008664DA"/>
    <w:rsid w:val="008669A4"/>
    <w:rsid w:val="00866B3C"/>
    <w:rsid w:val="008672AC"/>
    <w:rsid w:val="00867423"/>
    <w:rsid w:val="00867ACD"/>
    <w:rsid w:val="00870067"/>
    <w:rsid w:val="008708C8"/>
    <w:rsid w:val="00870A00"/>
    <w:rsid w:val="00870FB5"/>
    <w:rsid w:val="008712C6"/>
    <w:rsid w:val="0087153F"/>
    <w:rsid w:val="008715EF"/>
    <w:rsid w:val="00871763"/>
    <w:rsid w:val="008719FB"/>
    <w:rsid w:val="00871A31"/>
    <w:rsid w:val="0087237B"/>
    <w:rsid w:val="008725D4"/>
    <w:rsid w:val="00872AB8"/>
    <w:rsid w:val="00872B73"/>
    <w:rsid w:val="00872B9C"/>
    <w:rsid w:val="00872EF5"/>
    <w:rsid w:val="00873716"/>
    <w:rsid w:val="008738E5"/>
    <w:rsid w:val="00873DC0"/>
    <w:rsid w:val="00873F37"/>
    <w:rsid w:val="0087423F"/>
    <w:rsid w:val="0087479E"/>
    <w:rsid w:val="0087536B"/>
    <w:rsid w:val="00876684"/>
    <w:rsid w:val="00876AEE"/>
    <w:rsid w:val="008772A6"/>
    <w:rsid w:val="00877A9E"/>
    <w:rsid w:val="00877D0D"/>
    <w:rsid w:val="00877E1B"/>
    <w:rsid w:val="00880D38"/>
    <w:rsid w:val="00881199"/>
    <w:rsid w:val="008814C7"/>
    <w:rsid w:val="00881EE4"/>
    <w:rsid w:val="008824E7"/>
    <w:rsid w:val="00882B16"/>
    <w:rsid w:val="00882CAB"/>
    <w:rsid w:val="00882DF9"/>
    <w:rsid w:val="008837A4"/>
    <w:rsid w:val="008837A8"/>
    <w:rsid w:val="008838FA"/>
    <w:rsid w:val="00883E43"/>
    <w:rsid w:val="008842CF"/>
    <w:rsid w:val="0088492E"/>
    <w:rsid w:val="008849F3"/>
    <w:rsid w:val="00884E3A"/>
    <w:rsid w:val="00885187"/>
    <w:rsid w:val="008856FD"/>
    <w:rsid w:val="00885919"/>
    <w:rsid w:val="008859D2"/>
    <w:rsid w:val="00885D3A"/>
    <w:rsid w:val="00886581"/>
    <w:rsid w:val="00886AD9"/>
    <w:rsid w:val="0088715F"/>
    <w:rsid w:val="008876D1"/>
    <w:rsid w:val="008877EA"/>
    <w:rsid w:val="00887ADF"/>
    <w:rsid w:val="00887AF2"/>
    <w:rsid w:val="00887F45"/>
    <w:rsid w:val="00890864"/>
    <w:rsid w:val="00890FB9"/>
    <w:rsid w:val="00891376"/>
    <w:rsid w:val="008915E6"/>
    <w:rsid w:val="00891B1F"/>
    <w:rsid w:val="00891BB5"/>
    <w:rsid w:val="0089253E"/>
    <w:rsid w:val="00892A1F"/>
    <w:rsid w:val="00892C1E"/>
    <w:rsid w:val="00892F7D"/>
    <w:rsid w:val="008935A3"/>
    <w:rsid w:val="00893613"/>
    <w:rsid w:val="00893AB4"/>
    <w:rsid w:val="00893B38"/>
    <w:rsid w:val="00893C34"/>
    <w:rsid w:val="00894534"/>
    <w:rsid w:val="00895559"/>
    <w:rsid w:val="008957BE"/>
    <w:rsid w:val="008957D4"/>
    <w:rsid w:val="00895AB3"/>
    <w:rsid w:val="00895F31"/>
    <w:rsid w:val="008963F5"/>
    <w:rsid w:val="008966E7"/>
    <w:rsid w:val="00896A63"/>
    <w:rsid w:val="00897CD0"/>
    <w:rsid w:val="00897E55"/>
    <w:rsid w:val="008A0071"/>
    <w:rsid w:val="008A0089"/>
    <w:rsid w:val="008A0620"/>
    <w:rsid w:val="008A09F6"/>
    <w:rsid w:val="008A0EFA"/>
    <w:rsid w:val="008A1194"/>
    <w:rsid w:val="008A1204"/>
    <w:rsid w:val="008A14F6"/>
    <w:rsid w:val="008A1924"/>
    <w:rsid w:val="008A26B9"/>
    <w:rsid w:val="008A2970"/>
    <w:rsid w:val="008A2BA9"/>
    <w:rsid w:val="008A2E1F"/>
    <w:rsid w:val="008A3331"/>
    <w:rsid w:val="008A3406"/>
    <w:rsid w:val="008A360A"/>
    <w:rsid w:val="008A380B"/>
    <w:rsid w:val="008A3A85"/>
    <w:rsid w:val="008A3B3D"/>
    <w:rsid w:val="008A3BEC"/>
    <w:rsid w:val="008A3C4A"/>
    <w:rsid w:val="008A3FE7"/>
    <w:rsid w:val="008A420D"/>
    <w:rsid w:val="008A481B"/>
    <w:rsid w:val="008A4E03"/>
    <w:rsid w:val="008A541D"/>
    <w:rsid w:val="008A5544"/>
    <w:rsid w:val="008A5CB1"/>
    <w:rsid w:val="008A5DCB"/>
    <w:rsid w:val="008A6027"/>
    <w:rsid w:val="008A6936"/>
    <w:rsid w:val="008A77AB"/>
    <w:rsid w:val="008A7C3C"/>
    <w:rsid w:val="008A7C7C"/>
    <w:rsid w:val="008B0A84"/>
    <w:rsid w:val="008B0EFC"/>
    <w:rsid w:val="008B1447"/>
    <w:rsid w:val="008B161A"/>
    <w:rsid w:val="008B29F1"/>
    <w:rsid w:val="008B2D9C"/>
    <w:rsid w:val="008B2E14"/>
    <w:rsid w:val="008B2EEB"/>
    <w:rsid w:val="008B2F1E"/>
    <w:rsid w:val="008B3070"/>
    <w:rsid w:val="008B3124"/>
    <w:rsid w:val="008B3DEB"/>
    <w:rsid w:val="008B3E2D"/>
    <w:rsid w:val="008B469A"/>
    <w:rsid w:val="008B4C55"/>
    <w:rsid w:val="008B4F47"/>
    <w:rsid w:val="008B57C1"/>
    <w:rsid w:val="008B59E0"/>
    <w:rsid w:val="008B5AE4"/>
    <w:rsid w:val="008B5D62"/>
    <w:rsid w:val="008B5E00"/>
    <w:rsid w:val="008B5FD0"/>
    <w:rsid w:val="008B6F62"/>
    <w:rsid w:val="008B712F"/>
    <w:rsid w:val="008B782B"/>
    <w:rsid w:val="008B78E0"/>
    <w:rsid w:val="008C0238"/>
    <w:rsid w:val="008C0417"/>
    <w:rsid w:val="008C0CAC"/>
    <w:rsid w:val="008C0EAD"/>
    <w:rsid w:val="008C1538"/>
    <w:rsid w:val="008C1ACF"/>
    <w:rsid w:val="008C1DDC"/>
    <w:rsid w:val="008C29EA"/>
    <w:rsid w:val="008C3245"/>
    <w:rsid w:val="008C352E"/>
    <w:rsid w:val="008C3673"/>
    <w:rsid w:val="008C3A60"/>
    <w:rsid w:val="008C3B37"/>
    <w:rsid w:val="008C3C1F"/>
    <w:rsid w:val="008C4230"/>
    <w:rsid w:val="008C43F8"/>
    <w:rsid w:val="008C4670"/>
    <w:rsid w:val="008C4A09"/>
    <w:rsid w:val="008C4D5D"/>
    <w:rsid w:val="008C5982"/>
    <w:rsid w:val="008C5A79"/>
    <w:rsid w:val="008C5F17"/>
    <w:rsid w:val="008C5FAB"/>
    <w:rsid w:val="008C6030"/>
    <w:rsid w:val="008C7549"/>
    <w:rsid w:val="008C790B"/>
    <w:rsid w:val="008C791D"/>
    <w:rsid w:val="008D0BB5"/>
    <w:rsid w:val="008D16C2"/>
    <w:rsid w:val="008D17B2"/>
    <w:rsid w:val="008D1A4D"/>
    <w:rsid w:val="008D22EA"/>
    <w:rsid w:val="008D24EF"/>
    <w:rsid w:val="008D2734"/>
    <w:rsid w:val="008D2F1C"/>
    <w:rsid w:val="008D3191"/>
    <w:rsid w:val="008D3818"/>
    <w:rsid w:val="008D4017"/>
    <w:rsid w:val="008D4285"/>
    <w:rsid w:val="008D4540"/>
    <w:rsid w:val="008D49C3"/>
    <w:rsid w:val="008D4EA1"/>
    <w:rsid w:val="008D5082"/>
    <w:rsid w:val="008D59D4"/>
    <w:rsid w:val="008D5F0D"/>
    <w:rsid w:val="008D5FB0"/>
    <w:rsid w:val="008D67F2"/>
    <w:rsid w:val="008D6A49"/>
    <w:rsid w:val="008D6ABE"/>
    <w:rsid w:val="008D6CE5"/>
    <w:rsid w:val="008D76BB"/>
    <w:rsid w:val="008D77FB"/>
    <w:rsid w:val="008D7D9D"/>
    <w:rsid w:val="008E0783"/>
    <w:rsid w:val="008E0A83"/>
    <w:rsid w:val="008E0E36"/>
    <w:rsid w:val="008E1222"/>
    <w:rsid w:val="008E18E6"/>
    <w:rsid w:val="008E197F"/>
    <w:rsid w:val="008E1A9D"/>
    <w:rsid w:val="008E1ABE"/>
    <w:rsid w:val="008E2048"/>
    <w:rsid w:val="008E2173"/>
    <w:rsid w:val="008E26E6"/>
    <w:rsid w:val="008E27A4"/>
    <w:rsid w:val="008E295D"/>
    <w:rsid w:val="008E2C90"/>
    <w:rsid w:val="008E2D58"/>
    <w:rsid w:val="008E301E"/>
    <w:rsid w:val="008E35CD"/>
    <w:rsid w:val="008E3FD5"/>
    <w:rsid w:val="008E40FE"/>
    <w:rsid w:val="008E4244"/>
    <w:rsid w:val="008E43A3"/>
    <w:rsid w:val="008E442C"/>
    <w:rsid w:val="008E4445"/>
    <w:rsid w:val="008E46AB"/>
    <w:rsid w:val="008E4A38"/>
    <w:rsid w:val="008E4C22"/>
    <w:rsid w:val="008E4F57"/>
    <w:rsid w:val="008E5033"/>
    <w:rsid w:val="008E549D"/>
    <w:rsid w:val="008E550A"/>
    <w:rsid w:val="008E666F"/>
    <w:rsid w:val="008E68EF"/>
    <w:rsid w:val="008E69CB"/>
    <w:rsid w:val="008E6C4E"/>
    <w:rsid w:val="008E772F"/>
    <w:rsid w:val="008E77D4"/>
    <w:rsid w:val="008E7861"/>
    <w:rsid w:val="008E7DA1"/>
    <w:rsid w:val="008F025A"/>
    <w:rsid w:val="008F0291"/>
    <w:rsid w:val="008F031D"/>
    <w:rsid w:val="008F06F5"/>
    <w:rsid w:val="008F0ADA"/>
    <w:rsid w:val="008F0E73"/>
    <w:rsid w:val="008F11F9"/>
    <w:rsid w:val="008F1645"/>
    <w:rsid w:val="008F1C4B"/>
    <w:rsid w:val="008F1E35"/>
    <w:rsid w:val="008F2127"/>
    <w:rsid w:val="008F2219"/>
    <w:rsid w:val="008F2ADC"/>
    <w:rsid w:val="008F2DC7"/>
    <w:rsid w:val="008F2DD7"/>
    <w:rsid w:val="008F31BE"/>
    <w:rsid w:val="008F3866"/>
    <w:rsid w:val="008F3E69"/>
    <w:rsid w:val="008F3FA7"/>
    <w:rsid w:val="008F41EB"/>
    <w:rsid w:val="008F4264"/>
    <w:rsid w:val="008F44EA"/>
    <w:rsid w:val="008F4581"/>
    <w:rsid w:val="008F4D2F"/>
    <w:rsid w:val="008F573A"/>
    <w:rsid w:val="008F59DD"/>
    <w:rsid w:val="008F5B70"/>
    <w:rsid w:val="008F6034"/>
    <w:rsid w:val="008F62C6"/>
    <w:rsid w:val="008F6449"/>
    <w:rsid w:val="008F6591"/>
    <w:rsid w:val="008F65F8"/>
    <w:rsid w:val="008F6EF1"/>
    <w:rsid w:val="008F72F7"/>
    <w:rsid w:val="008F749F"/>
    <w:rsid w:val="00900384"/>
    <w:rsid w:val="009004A4"/>
    <w:rsid w:val="00900BA7"/>
    <w:rsid w:val="00900C0E"/>
    <w:rsid w:val="00900D77"/>
    <w:rsid w:val="00901BE2"/>
    <w:rsid w:val="00902396"/>
    <w:rsid w:val="009024B7"/>
    <w:rsid w:val="0090295D"/>
    <w:rsid w:val="00902D47"/>
    <w:rsid w:val="00902F49"/>
    <w:rsid w:val="00903257"/>
    <w:rsid w:val="00903695"/>
    <w:rsid w:val="009038E5"/>
    <w:rsid w:val="00903C4F"/>
    <w:rsid w:val="00903E78"/>
    <w:rsid w:val="00903FA4"/>
    <w:rsid w:val="00904036"/>
    <w:rsid w:val="00904860"/>
    <w:rsid w:val="009049E3"/>
    <w:rsid w:val="00904F21"/>
    <w:rsid w:val="0090510A"/>
    <w:rsid w:val="0090526F"/>
    <w:rsid w:val="009058ED"/>
    <w:rsid w:val="00905B43"/>
    <w:rsid w:val="00906A01"/>
    <w:rsid w:val="00906C18"/>
    <w:rsid w:val="00907163"/>
    <w:rsid w:val="009072C7"/>
    <w:rsid w:val="0090740C"/>
    <w:rsid w:val="0090759A"/>
    <w:rsid w:val="0090788C"/>
    <w:rsid w:val="00907A06"/>
    <w:rsid w:val="009105EB"/>
    <w:rsid w:val="009105FD"/>
    <w:rsid w:val="00910C1B"/>
    <w:rsid w:val="00910C34"/>
    <w:rsid w:val="0091100B"/>
    <w:rsid w:val="0091178E"/>
    <w:rsid w:val="00911790"/>
    <w:rsid w:val="00911BE7"/>
    <w:rsid w:val="00912145"/>
    <w:rsid w:val="00912723"/>
    <w:rsid w:val="009128D6"/>
    <w:rsid w:val="00912FBA"/>
    <w:rsid w:val="00913284"/>
    <w:rsid w:val="00913C94"/>
    <w:rsid w:val="0091462B"/>
    <w:rsid w:val="00914727"/>
    <w:rsid w:val="0091477B"/>
    <w:rsid w:val="0091487C"/>
    <w:rsid w:val="00914893"/>
    <w:rsid w:val="00915030"/>
    <w:rsid w:val="009150A5"/>
    <w:rsid w:val="0091510C"/>
    <w:rsid w:val="00915251"/>
    <w:rsid w:val="009153FC"/>
    <w:rsid w:val="00915640"/>
    <w:rsid w:val="0091567C"/>
    <w:rsid w:val="00915BE3"/>
    <w:rsid w:val="00915D6B"/>
    <w:rsid w:val="0091622C"/>
    <w:rsid w:val="00916AC0"/>
    <w:rsid w:val="00916B92"/>
    <w:rsid w:val="00916BA3"/>
    <w:rsid w:val="00916D1F"/>
    <w:rsid w:val="00916FB7"/>
    <w:rsid w:val="00917067"/>
    <w:rsid w:val="009175C7"/>
    <w:rsid w:val="00917E86"/>
    <w:rsid w:val="00917EF2"/>
    <w:rsid w:val="00917F58"/>
    <w:rsid w:val="0092023B"/>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A16"/>
    <w:rsid w:val="009271FC"/>
    <w:rsid w:val="00927375"/>
    <w:rsid w:val="009278AF"/>
    <w:rsid w:val="00927919"/>
    <w:rsid w:val="009312EF"/>
    <w:rsid w:val="009313B1"/>
    <w:rsid w:val="009313FE"/>
    <w:rsid w:val="00932944"/>
    <w:rsid w:val="00932BA7"/>
    <w:rsid w:val="009333AA"/>
    <w:rsid w:val="009339A4"/>
    <w:rsid w:val="00933B2E"/>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286"/>
    <w:rsid w:val="0093749C"/>
    <w:rsid w:val="00937C8D"/>
    <w:rsid w:val="009403DB"/>
    <w:rsid w:val="009404A4"/>
    <w:rsid w:val="0094062A"/>
    <w:rsid w:val="00940A1B"/>
    <w:rsid w:val="00940C72"/>
    <w:rsid w:val="00940EAA"/>
    <w:rsid w:val="00941197"/>
    <w:rsid w:val="00941252"/>
    <w:rsid w:val="00941631"/>
    <w:rsid w:val="0094172C"/>
    <w:rsid w:val="009420D1"/>
    <w:rsid w:val="00942A19"/>
    <w:rsid w:val="00942C0E"/>
    <w:rsid w:val="00942F38"/>
    <w:rsid w:val="00943071"/>
    <w:rsid w:val="00944B0A"/>
    <w:rsid w:val="00945045"/>
    <w:rsid w:val="009454BB"/>
    <w:rsid w:val="00945699"/>
    <w:rsid w:val="009456A4"/>
    <w:rsid w:val="00945F30"/>
    <w:rsid w:val="009463C6"/>
    <w:rsid w:val="00946480"/>
    <w:rsid w:val="009464FC"/>
    <w:rsid w:val="009469F4"/>
    <w:rsid w:val="00946A77"/>
    <w:rsid w:val="00946E7A"/>
    <w:rsid w:val="00947391"/>
    <w:rsid w:val="00947950"/>
    <w:rsid w:val="009501BA"/>
    <w:rsid w:val="00950AE4"/>
    <w:rsid w:val="00950E73"/>
    <w:rsid w:val="00950EB1"/>
    <w:rsid w:val="00951192"/>
    <w:rsid w:val="0095127F"/>
    <w:rsid w:val="00951537"/>
    <w:rsid w:val="00951ACA"/>
    <w:rsid w:val="00952285"/>
    <w:rsid w:val="00952C41"/>
    <w:rsid w:val="00953614"/>
    <w:rsid w:val="0095425E"/>
    <w:rsid w:val="009543DE"/>
    <w:rsid w:val="00954441"/>
    <w:rsid w:val="00954EA7"/>
    <w:rsid w:val="009557AA"/>
    <w:rsid w:val="00955807"/>
    <w:rsid w:val="009562EA"/>
    <w:rsid w:val="009568B4"/>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201C"/>
    <w:rsid w:val="009625DA"/>
    <w:rsid w:val="00962D9C"/>
    <w:rsid w:val="00962E26"/>
    <w:rsid w:val="009631B1"/>
    <w:rsid w:val="00963688"/>
    <w:rsid w:val="00963C62"/>
    <w:rsid w:val="00963D4F"/>
    <w:rsid w:val="0096407D"/>
    <w:rsid w:val="00965016"/>
    <w:rsid w:val="009651CF"/>
    <w:rsid w:val="0096630C"/>
    <w:rsid w:val="00966312"/>
    <w:rsid w:val="00966482"/>
    <w:rsid w:val="00966650"/>
    <w:rsid w:val="00966CF5"/>
    <w:rsid w:val="0096746F"/>
    <w:rsid w:val="009678C4"/>
    <w:rsid w:val="00967CB0"/>
    <w:rsid w:val="0097064A"/>
    <w:rsid w:val="00970C3C"/>
    <w:rsid w:val="009718D7"/>
    <w:rsid w:val="00971AA9"/>
    <w:rsid w:val="00971F25"/>
    <w:rsid w:val="0097222A"/>
    <w:rsid w:val="00972CA1"/>
    <w:rsid w:val="00973028"/>
    <w:rsid w:val="009733FC"/>
    <w:rsid w:val="00973444"/>
    <w:rsid w:val="009740A5"/>
    <w:rsid w:val="0097464F"/>
    <w:rsid w:val="00974758"/>
    <w:rsid w:val="0097522B"/>
    <w:rsid w:val="009758D1"/>
    <w:rsid w:val="009762A9"/>
    <w:rsid w:val="0097638D"/>
    <w:rsid w:val="00976DE4"/>
    <w:rsid w:val="00977162"/>
    <w:rsid w:val="009773DE"/>
    <w:rsid w:val="009776D1"/>
    <w:rsid w:val="0097773E"/>
    <w:rsid w:val="009779EF"/>
    <w:rsid w:val="00977F18"/>
    <w:rsid w:val="0098026E"/>
    <w:rsid w:val="009805C6"/>
    <w:rsid w:val="00981433"/>
    <w:rsid w:val="00982479"/>
    <w:rsid w:val="009829A4"/>
    <w:rsid w:val="00982B6E"/>
    <w:rsid w:val="00982BE5"/>
    <w:rsid w:val="00982D59"/>
    <w:rsid w:val="0098352A"/>
    <w:rsid w:val="00983545"/>
    <w:rsid w:val="00984143"/>
    <w:rsid w:val="00984243"/>
    <w:rsid w:val="009843AB"/>
    <w:rsid w:val="00985428"/>
    <w:rsid w:val="00985611"/>
    <w:rsid w:val="00985750"/>
    <w:rsid w:val="00985821"/>
    <w:rsid w:val="00985BD9"/>
    <w:rsid w:val="00985D0F"/>
    <w:rsid w:val="009863D9"/>
    <w:rsid w:val="00986A58"/>
    <w:rsid w:val="00986A6B"/>
    <w:rsid w:val="00986C9B"/>
    <w:rsid w:val="0098727F"/>
    <w:rsid w:val="009874B9"/>
    <w:rsid w:val="00987626"/>
    <w:rsid w:val="009876D6"/>
    <w:rsid w:val="00987843"/>
    <w:rsid w:val="009879DC"/>
    <w:rsid w:val="009904F2"/>
    <w:rsid w:val="009907F1"/>
    <w:rsid w:val="00990E52"/>
    <w:rsid w:val="00991114"/>
    <w:rsid w:val="0099130F"/>
    <w:rsid w:val="0099177F"/>
    <w:rsid w:val="009917D9"/>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7122"/>
    <w:rsid w:val="0099739B"/>
    <w:rsid w:val="00997E67"/>
    <w:rsid w:val="009A01A1"/>
    <w:rsid w:val="009A01BD"/>
    <w:rsid w:val="009A0C05"/>
    <w:rsid w:val="009A10D0"/>
    <w:rsid w:val="009A1122"/>
    <w:rsid w:val="009A1243"/>
    <w:rsid w:val="009A1DF0"/>
    <w:rsid w:val="009A1E1C"/>
    <w:rsid w:val="009A2328"/>
    <w:rsid w:val="009A2F20"/>
    <w:rsid w:val="009A30EB"/>
    <w:rsid w:val="009A3790"/>
    <w:rsid w:val="009A3C99"/>
    <w:rsid w:val="009A48AD"/>
    <w:rsid w:val="009A4B16"/>
    <w:rsid w:val="009A4D68"/>
    <w:rsid w:val="009A52DC"/>
    <w:rsid w:val="009A53B3"/>
    <w:rsid w:val="009A54D4"/>
    <w:rsid w:val="009A5A00"/>
    <w:rsid w:val="009A5AAE"/>
    <w:rsid w:val="009A62DB"/>
    <w:rsid w:val="009A6414"/>
    <w:rsid w:val="009A66A9"/>
    <w:rsid w:val="009A6CC1"/>
    <w:rsid w:val="009A70DE"/>
    <w:rsid w:val="009A7834"/>
    <w:rsid w:val="009A7854"/>
    <w:rsid w:val="009A78FB"/>
    <w:rsid w:val="009B00CD"/>
    <w:rsid w:val="009B015B"/>
    <w:rsid w:val="009B0B1B"/>
    <w:rsid w:val="009B0C40"/>
    <w:rsid w:val="009B0FB0"/>
    <w:rsid w:val="009B1029"/>
    <w:rsid w:val="009B1176"/>
    <w:rsid w:val="009B166A"/>
    <w:rsid w:val="009B1A15"/>
    <w:rsid w:val="009B1DF5"/>
    <w:rsid w:val="009B24D5"/>
    <w:rsid w:val="009B2554"/>
    <w:rsid w:val="009B26FB"/>
    <w:rsid w:val="009B2B0D"/>
    <w:rsid w:val="009B2F6E"/>
    <w:rsid w:val="009B32AD"/>
    <w:rsid w:val="009B33EC"/>
    <w:rsid w:val="009B3516"/>
    <w:rsid w:val="009B3720"/>
    <w:rsid w:val="009B37ED"/>
    <w:rsid w:val="009B3934"/>
    <w:rsid w:val="009B3A4B"/>
    <w:rsid w:val="009B3B9C"/>
    <w:rsid w:val="009B3E56"/>
    <w:rsid w:val="009B3FD1"/>
    <w:rsid w:val="009B44B5"/>
    <w:rsid w:val="009B484B"/>
    <w:rsid w:val="009B4C78"/>
    <w:rsid w:val="009B5DC9"/>
    <w:rsid w:val="009B60B6"/>
    <w:rsid w:val="009B690E"/>
    <w:rsid w:val="009B6E1C"/>
    <w:rsid w:val="009B7452"/>
    <w:rsid w:val="009B7F9D"/>
    <w:rsid w:val="009C029C"/>
    <w:rsid w:val="009C0C88"/>
    <w:rsid w:val="009C0CE8"/>
    <w:rsid w:val="009C0DDC"/>
    <w:rsid w:val="009C11CB"/>
    <w:rsid w:val="009C1390"/>
    <w:rsid w:val="009C1882"/>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4EAF"/>
    <w:rsid w:val="009C6402"/>
    <w:rsid w:val="009C6702"/>
    <w:rsid w:val="009C6E63"/>
    <w:rsid w:val="009C6F2D"/>
    <w:rsid w:val="009C7620"/>
    <w:rsid w:val="009C7B34"/>
    <w:rsid w:val="009C7F9B"/>
    <w:rsid w:val="009C7FD8"/>
    <w:rsid w:val="009D00C5"/>
    <w:rsid w:val="009D00F7"/>
    <w:rsid w:val="009D0198"/>
    <w:rsid w:val="009D1315"/>
    <w:rsid w:val="009D142C"/>
    <w:rsid w:val="009D1F46"/>
    <w:rsid w:val="009D2192"/>
    <w:rsid w:val="009D2843"/>
    <w:rsid w:val="009D323A"/>
    <w:rsid w:val="009D3722"/>
    <w:rsid w:val="009D382C"/>
    <w:rsid w:val="009D43CE"/>
    <w:rsid w:val="009D43EF"/>
    <w:rsid w:val="009D4833"/>
    <w:rsid w:val="009D48C5"/>
    <w:rsid w:val="009D537E"/>
    <w:rsid w:val="009D5782"/>
    <w:rsid w:val="009D5C56"/>
    <w:rsid w:val="009D5F2C"/>
    <w:rsid w:val="009D5FFA"/>
    <w:rsid w:val="009D64EA"/>
    <w:rsid w:val="009D66C7"/>
    <w:rsid w:val="009D67E5"/>
    <w:rsid w:val="009D687C"/>
    <w:rsid w:val="009D69E4"/>
    <w:rsid w:val="009D6A81"/>
    <w:rsid w:val="009D6E9E"/>
    <w:rsid w:val="009D7214"/>
    <w:rsid w:val="009D7D69"/>
    <w:rsid w:val="009D7F4E"/>
    <w:rsid w:val="009D7F86"/>
    <w:rsid w:val="009E0453"/>
    <w:rsid w:val="009E04C6"/>
    <w:rsid w:val="009E19F7"/>
    <w:rsid w:val="009E1CC4"/>
    <w:rsid w:val="009E1D13"/>
    <w:rsid w:val="009E1D6D"/>
    <w:rsid w:val="009E2025"/>
    <w:rsid w:val="009E2544"/>
    <w:rsid w:val="009E298C"/>
    <w:rsid w:val="009E3157"/>
    <w:rsid w:val="009E33C4"/>
    <w:rsid w:val="009E3AF4"/>
    <w:rsid w:val="009E3CFA"/>
    <w:rsid w:val="009E3E56"/>
    <w:rsid w:val="009E3FDE"/>
    <w:rsid w:val="009E40B9"/>
    <w:rsid w:val="009E535E"/>
    <w:rsid w:val="009E56D7"/>
    <w:rsid w:val="009E57FD"/>
    <w:rsid w:val="009E5A5C"/>
    <w:rsid w:val="009E5BAB"/>
    <w:rsid w:val="009E5D0D"/>
    <w:rsid w:val="009E5DC6"/>
    <w:rsid w:val="009E5E8A"/>
    <w:rsid w:val="009E634A"/>
    <w:rsid w:val="009E6C56"/>
    <w:rsid w:val="009E6D63"/>
    <w:rsid w:val="009E7025"/>
    <w:rsid w:val="009E728C"/>
    <w:rsid w:val="009E7AFF"/>
    <w:rsid w:val="009E7C82"/>
    <w:rsid w:val="009E7EA6"/>
    <w:rsid w:val="009F02F7"/>
    <w:rsid w:val="009F06C9"/>
    <w:rsid w:val="009F0F2A"/>
    <w:rsid w:val="009F10A1"/>
    <w:rsid w:val="009F18E0"/>
    <w:rsid w:val="009F1A41"/>
    <w:rsid w:val="009F1D0B"/>
    <w:rsid w:val="009F268B"/>
    <w:rsid w:val="009F2B33"/>
    <w:rsid w:val="009F2D05"/>
    <w:rsid w:val="009F2F4E"/>
    <w:rsid w:val="009F3072"/>
    <w:rsid w:val="009F3199"/>
    <w:rsid w:val="009F3A31"/>
    <w:rsid w:val="009F3A47"/>
    <w:rsid w:val="009F3C99"/>
    <w:rsid w:val="009F3D94"/>
    <w:rsid w:val="009F3DB2"/>
    <w:rsid w:val="009F4895"/>
    <w:rsid w:val="009F491C"/>
    <w:rsid w:val="009F4B0B"/>
    <w:rsid w:val="009F4D1E"/>
    <w:rsid w:val="009F4EDD"/>
    <w:rsid w:val="009F57AB"/>
    <w:rsid w:val="009F5CBB"/>
    <w:rsid w:val="009F5FDA"/>
    <w:rsid w:val="009F6B4C"/>
    <w:rsid w:val="009F6D21"/>
    <w:rsid w:val="009F6FD2"/>
    <w:rsid w:val="009F7224"/>
    <w:rsid w:val="009F7A1A"/>
    <w:rsid w:val="009F7EA2"/>
    <w:rsid w:val="00A00546"/>
    <w:rsid w:val="00A006E0"/>
    <w:rsid w:val="00A007C4"/>
    <w:rsid w:val="00A009A9"/>
    <w:rsid w:val="00A00F74"/>
    <w:rsid w:val="00A011B4"/>
    <w:rsid w:val="00A012AF"/>
    <w:rsid w:val="00A013A2"/>
    <w:rsid w:val="00A01E64"/>
    <w:rsid w:val="00A02A8B"/>
    <w:rsid w:val="00A03433"/>
    <w:rsid w:val="00A034EA"/>
    <w:rsid w:val="00A03F47"/>
    <w:rsid w:val="00A0465F"/>
    <w:rsid w:val="00A0488C"/>
    <w:rsid w:val="00A04E82"/>
    <w:rsid w:val="00A0504D"/>
    <w:rsid w:val="00A05433"/>
    <w:rsid w:val="00A05B36"/>
    <w:rsid w:val="00A05E44"/>
    <w:rsid w:val="00A06282"/>
    <w:rsid w:val="00A062A0"/>
    <w:rsid w:val="00A06577"/>
    <w:rsid w:val="00A06750"/>
    <w:rsid w:val="00A068FB"/>
    <w:rsid w:val="00A06EF3"/>
    <w:rsid w:val="00A0704D"/>
    <w:rsid w:val="00A07221"/>
    <w:rsid w:val="00A0732F"/>
    <w:rsid w:val="00A0780B"/>
    <w:rsid w:val="00A07D4A"/>
    <w:rsid w:val="00A1021B"/>
    <w:rsid w:val="00A10599"/>
    <w:rsid w:val="00A10F47"/>
    <w:rsid w:val="00A112F1"/>
    <w:rsid w:val="00A11530"/>
    <w:rsid w:val="00A12268"/>
    <w:rsid w:val="00A1258F"/>
    <w:rsid w:val="00A126D7"/>
    <w:rsid w:val="00A129BB"/>
    <w:rsid w:val="00A12D58"/>
    <w:rsid w:val="00A138DC"/>
    <w:rsid w:val="00A13EEC"/>
    <w:rsid w:val="00A13F3B"/>
    <w:rsid w:val="00A13F97"/>
    <w:rsid w:val="00A14379"/>
    <w:rsid w:val="00A1438A"/>
    <w:rsid w:val="00A1498E"/>
    <w:rsid w:val="00A149CA"/>
    <w:rsid w:val="00A14C81"/>
    <w:rsid w:val="00A15016"/>
    <w:rsid w:val="00A15CB0"/>
    <w:rsid w:val="00A16D32"/>
    <w:rsid w:val="00A16E7A"/>
    <w:rsid w:val="00A171C4"/>
    <w:rsid w:val="00A173F8"/>
    <w:rsid w:val="00A17634"/>
    <w:rsid w:val="00A17CBE"/>
    <w:rsid w:val="00A20152"/>
    <w:rsid w:val="00A20F41"/>
    <w:rsid w:val="00A21FA8"/>
    <w:rsid w:val="00A22162"/>
    <w:rsid w:val="00A22418"/>
    <w:rsid w:val="00A226D2"/>
    <w:rsid w:val="00A22886"/>
    <w:rsid w:val="00A231C2"/>
    <w:rsid w:val="00A24204"/>
    <w:rsid w:val="00A24354"/>
    <w:rsid w:val="00A245F5"/>
    <w:rsid w:val="00A24C51"/>
    <w:rsid w:val="00A251E2"/>
    <w:rsid w:val="00A25B82"/>
    <w:rsid w:val="00A25C1E"/>
    <w:rsid w:val="00A25DFB"/>
    <w:rsid w:val="00A26063"/>
    <w:rsid w:val="00A2647D"/>
    <w:rsid w:val="00A2670B"/>
    <w:rsid w:val="00A26ADF"/>
    <w:rsid w:val="00A279D1"/>
    <w:rsid w:val="00A279EC"/>
    <w:rsid w:val="00A30010"/>
    <w:rsid w:val="00A3027A"/>
    <w:rsid w:val="00A3033C"/>
    <w:rsid w:val="00A304F1"/>
    <w:rsid w:val="00A307E4"/>
    <w:rsid w:val="00A30F4C"/>
    <w:rsid w:val="00A31A23"/>
    <w:rsid w:val="00A31A8E"/>
    <w:rsid w:val="00A31D9F"/>
    <w:rsid w:val="00A31FF8"/>
    <w:rsid w:val="00A31FFB"/>
    <w:rsid w:val="00A325D0"/>
    <w:rsid w:val="00A32977"/>
    <w:rsid w:val="00A32C00"/>
    <w:rsid w:val="00A32CBA"/>
    <w:rsid w:val="00A32E70"/>
    <w:rsid w:val="00A33726"/>
    <w:rsid w:val="00A337BE"/>
    <w:rsid w:val="00A33CA3"/>
    <w:rsid w:val="00A33E94"/>
    <w:rsid w:val="00A347FA"/>
    <w:rsid w:val="00A34831"/>
    <w:rsid w:val="00A34B4D"/>
    <w:rsid w:val="00A35380"/>
    <w:rsid w:val="00A35644"/>
    <w:rsid w:val="00A35B44"/>
    <w:rsid w:val="00A361BD"/>
    <w:rsid w:val="00A3648B"/>
    <w:rsid w:val="00A366EA"/>
    <w:rsid w:val="00A36832"/>
    <w:rsid w:val="00A36938"/>
    <w:rsid w:val="00A3699B"/>
    <w:rsid w:val="00A36C52"/>
    <w:rsid w:val="00A36E31"/>
    <w:rsid w:val="00A36FAF"/>
    <w:rsid w:val="00A370B9"/>
    <w:rsid w:val="00A3722E"/>
    <w:rsid w:val="00A3754F"/>
    <w:rsid w:val="00A37897"/>
    <w:rsid w:val="00A37A9D"/>
    <w:rsid w:val="00A4046C"/>
    <w:rsid w:val="00A4083E"/>
    <w:rsid w:val="00A40ADB"/>
    <w:rsid w:val="00A40C63"/>
    <w:rsid w:val="00A41713"/>
    <w:rsid w:val="00A417A6"/>
    <w:rsid w:val="00A41C63"/>
    <w:rsid w:val="00A41D40"/>
    <w:rsid w:val="00A420BA"/>
    <w:rsid w:val="00A420F9"/>
    <w:rsid w:val="00A42214"/>
    <w:rsid w:val="00A42A0F"/>
    <w:rsid w:val="00A42EB4"/>
    <w:rsid w:val="00A43362"/>
    <w:rsid w:val="00A43650"/>
    <w:rsid w:val="00A437A7"/>
    <w:rsid w:val="00A43F7B"/>
    <w:rsid w:val="00A44393"/>
    <w:rsid w:val="00A4454F"/>
    <w:rsid w:val="00A446F7"/>
    <w:rsid w:val="00A44AEB"/>
    <w:rsid w:val="00A4557C"/>
    <w:rsid w:val="00A45739"/>
    <w:rsid w:val="00A45907"/>
    <w:rsid w:val="00A45FC4"/>
    <w:rsid w:val="00A46106"/>
    <w:rsid w:val="00A4686B"/>
    <w:rsid w:val="00A46895"/>
    <w:rsid w:val="00A47795"/>
    <w:rsid w:val="00A47D1A"/>
    <w:rsid w:val="00A47D5E"/>
    <w:rsid w:val="00A50328"/>
    <w:rsid w:val="00A503C6"/>
    <w:rsid w:val="00A50621"/>
    <w:rsid w:val="00A50D76"/>
    <w:rsid w:val="00A51487"/>
    <w:rsid w:val="00A51513"/>
    <w:rsid w:val="00A519CD"/>
    <w:rsid w:val="00A52BC5"/>
    <w:rsid w:val="00A52ED9"/>
    <w:rsid w:val="00A52F78"/>
    <w:rsid w:val="00A53339"/>
    <w:rsid w:val="00A533C1"/>
    <w:rsid w:val="00A5349A"/>
    <w:rsid w:val="00A53C18"/>
    <w:rsid w:val="00A5401C"/>
    <w:rsid w:val="00A54AB8"/>
    <w:rsid w:val="00A54AFE"/>
    <w:rsid w:val="00A54B85"/>
    <w:rsid w:val="00A55330"/>
    <w:rsid w:val="00A555E6"/>
    <w:rsid w:val="00A55977"/>
    <w:rsid w:val="00A55DB6"/>
    <w:rsid w:val="00A56B5A"/>
    <w:rsid w:val="00A56C45"/>
    <w:rsid w:val="00A56DBB"/>
    <w:rsid w:val="00A56FA9"/>
    <w:rsid w:val="00A570BA"/>
    <w:rsid w:val="00A57398"/>
    <w:rsid w:val="00A57DBD"/>
    <w:rsid w:val="00A57E39"/>
    <w:rsid w:val="00A60366"/>
    <w:rsid w:val="00A6079C"/>
    <w:rsid w:val="00A6088D"/>
    <w:rsid w:val="00A60B3E"/>
    <w:rsid w:val="00A60B88"/>
    <w:rsid w:val="00A60BC9"/>
    <w:rsid w:val="00A60CE6"/>
    <w:rsid w:val="00A60CEF"/>
    <w:rsid w:val="00A61671"/>
    <w:rsid w:val="00A618C7"/>
    <w:rsid w:val="00A619C9"/>
    <w:rsid w:val="00A61AEC"/>
    <w:rsid w:val="00A62E55"/>
    <w:rsid w:val="00A63C13"/>
    <w:rsid w:val="00A63E5A"/>
    <w:rsid w:val="00A64A30"/>
    <w:rsid w:val="00A64EBE"/>
    <w:rsid w:val="00A64FC5"/>
    <w:rsid w:val="00A6515D"/>
    <w:rsid w:val="00A6653B"/>
    <w:rsid w:val="00A6685C"/>
    <w:rsid w:val="00A66914"/>
    <w:rsid w:val="00A66977"/>
    <w:rsid w:val="00A66ADF"/>
    <w:rsid w:val="00A6734D"/>
    <w:rsid w:val="00A6765F"/>
    <w:rsid w:val="00A70918"/>
    <w:rsid w:val="00A70984"/>
    <w:rsid w:val="00A70B30"/>
    <w:rsid w:val="00A71135"/>
    <w:rsid w:val="00A71AF4"/>
    <w:rsid w:val="00A71EB8"/>
    <w:rsid w:val="00A72602"/>
    <w:rsid w:val="00A72EDC"/>
    <w:rsid w:val="00A73216"/>
    <w:rsid w:val="00A739E6"/>
    <w:rsid w:val="00A73BDE"/>
    <w:rsid w:val="00A73CB9"/>
    <w:rsid w:val="00A73FC5"/>
    <w:rsid w:val="00A74399"/>
    <w:rsid w:val="00A746AF"/>
    <w:rsid w:val="00A74B7A"/>
    <w:rsid w:val="00A74E0F"/>
    <w:rsid w:val="00A75B77"/>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0BD8"/>
    <w:rsid w:val="00A817C9"/>
    <w:rsid w:val="00A817FD"/>
    <w:rsid w:val="00A8185E"/>
    <w:rsid w:val="00A81961"/>
    <w:rsid w:val="00A82657"/>
    <w:rsid w:val="00A82836"/>
    <w:rsid w:val="00A82955"/>
    <w:rsid w:val="00A82D45"/>
    <w:rsid w:val="00A82F61"/>
    <w:rsid w:val="00A838D3"/>
    <w:rsid w:val="00A83E6F"/>
    <w:rsid w:val="00A843EA"/>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48C"/>
    <w:rsid w:val="00A87D7E"/>
    <w:rsid w:val="00A90058"/>
    <w:rsid w:val="00A9009B"/>
    <w:rsid w:val="00A904F1"/>
    <w:rsid w:val="00A90BE1"/>
    <w:rsid w:val="00A9110D"/>
    <w:rsid w:val="00A911C4"/>
    <w:rsid w:val="00A9124E"/>
    <w:rsid w:val="00A912A8"/>
    <w:rsid w:val="00A912F3"/>
    <w:rsid w:val="00A914DE"/>
    <w:rsid w:val="00A91A2D"/>
    <w:rsid w:val="00A920B2"/>
    <w:rsid w:val="00A9298B"/>
    <w:rsid w:val="00A92A99"/>
    <w:rsid w:val="00A92C11"/>
    <w:rsid w:val="00A93561"/>
    <w:rsid w:val="00A93C12"/>
    <w:rsid w:val="00A94017"/>
    <w:rsid w:val="00A94563"/>
    <w:rsid w:val="00A94A22"/>
    <w:rsid w:val="00A94FC8"/>
    <w:rsid w:val="00A954E4"/>
    <w:rsid w:val="00A95A14"/>
    <w:rsid w:val="00A95A5B"/>
    <w:rsid w:val="00A9615B"/>
    <w:rsid w:val="00A96189"/>
    <w:rsid w:val="00A965F9"/>
    <w:rsid w:val="00A966C0"/>
    <w:rsid w:val="00A96B05"/>
    <w:rsid w:val="00A96C0E"/>
    <w:rsid w:val="00A96EAC"/>
    <w:rsid w:val="00A97603"/>
    <w:rsid w:val="00A97DB8"/>
    <w:rsid w:val="00AA0CD9"/>
    <w:rsid w:val="00AA1327"/>
    <w:rsid w:val="00AA14D6"/>
    <w:rsid w:val="00AA155C"/>
    <w:rsid w:val="00AA17E3"/>
    <w:rsid w:val="00AA1A24"/>
    <w:rsid w:val="00AA1A8B"/>
    <w:rsid w:val="00AA1BB4"/>
    <w:rsid w:val="00AA2491"/>
    <w:rsid w:val="00AA2617"/>
    <w:rsid w:val="00AA2C70"/>
    <w:rsid w:val="00AA2F9F"/>
    <w:rsid w:val="00AA30B6"/>
    <w:rsid w:val="00AA341A"/>
    <w:rsid w:val="00AA3423"/>
    <w:rsid w:val="00AA372C"/>
    <w:rsid w:val="00AA4468"/>
    <w:rsid w:val="00AA49DB"/>
    <w:rsid w:val="00AA4BFD"/>
    <w:rsid w:val="00AA559E"/>
    <w:rsid w:val="00AA5CAB"/>
    <w:rsid w:val="00AA5D36"/>
    <w:rsid w:val="00AA641A"/>
    <w:rsid w:val="00AA7249"/>
    <w:rsid w:val="00AA74AA"/>
    <w:rsid w:val="00AA74B0"/>
    <w:rsid w:val="00AA7C4E"/>
    <w:rsid w:val="00AA7CCD"/>
    <w:rsid w:val="00AB028E"/>
    <w:rsid w:val="00AB047A"/>
    <w:rsid w:val="00AB055F"/>
    <w:rsid w:val="00AB062C"/>
    <w:rsid w:val="00AB06B2"/>
    <w:rsid w:val="00AB0D6F"/>
    <w:rsid w:val="00AB13F5"/>
    <w:rsid w:val="00AB16D8"/>
    <w:rsid w:val="00AB187B"/>
    <w:rsid w:val="00AB1F37"/>
    <w:rsid w:val="00AB2188"/>
    <w:rsid w:val="00AB2388"/>
    <w:rsid w:val="00AB29A7"/>
    <w:rsid w:val="00AB2B6A"/>
    <w:rsid w:val="00AB2F76"/>
    <w:rsid w:val="00AB3493"/>
    <w:rsid w:val="00AB38CA"/>
    <w:rsid w:val="00AB3B2A"/>
    <w:rsid w:val="00AB46BC"/>
    <w:rsid w:val="00AB491F"/>
    <w:rsid w:val="00AB4BDF"/>
    <w:rsid w:val="00AB5196"/>
    <w:rsid w:val="00AB5430"/>
    <w:rsid w:val="00AB543E"/>
    <w:rsid w:val="00AB5C0F"/>
    <w:rsid w:val="00AB5F86"/>
    <w:rsid w:val="00AB62FE"/>
    <w:rsid w:val="00AB64F9"/>
    <w:rsid w:val="00AB6F0F"/>
    <w:rsid w:val="00AB725B"/>
    <w:rsid w:val="00AB7514"/>
    <w:rsid w:val="00AB75DE"/>
    <w:rsid w:val="00AB799B"/>
    <w:rsid w:val="00AB7E41"/>
    <w:rsid w:val="00AC040D"/>
    <w:rsid w:val="00AC0492"/>
    <w:rsid w:val="00AC0610"/>
    <w:rsid w:val="00AC099F"/>
    <w:rsid w:val="00AC17A3"/>
    <w:rsid w:val="00AC17C0"/>
    <w:rsid w:val="00AC1964"/>
    <w:rsid w:val="00AC3983"/>
    <w:rsid w:val="00AC4494"/>
    <w:rsid w:val="00AC4DF0"/>
    <w:rsid w:val="00AC50E7"/>
    <w:rsid w:val="00AC5FAA"/>
    <w:rsid w:val="00AC67BE"/>
    <w:rsid w:val="00AC68C0"/>
    <w:rsid w:val="00AC7084"/>
    <w:rsid w:val="00AC7399"/>
    <w:rsid w:val="00AC7841"/>
    <w:rsid w:val="00AD0A9B"/>
    <w:rsid w:val="00AD0D35"/>
    <w:rsid w:val="00AD0D7E"/>
    <w:rsid w:val="00AD139C"/>
    <w:rsid w:val="00AD15B3"/>
    <w:rsid w:val="00AD1C1B"/>
    <w:rsid w:val="00AD1C6B"/>
    <w:rsid w:val="00AD1D90"/>
    <w:rsid w:val="00AD23B2"/>
    <w:rsid w:val="00AD2BE3"/>
    <w:rsid w:val="00AD3255"/>
    <w:rsid w:val="00AD35A8"/>
    <w:rsid w:val="00AD3840"/>
    <w:rsid w:val="00AD3879"/>
    <w:rsid w:val="00AD3B5F"/>
    <w:rsid w:val="00AD40D7"/>
    <w:rsid w:val="00AD56B8"/>
    <w:rsid w:val="00AD632D"/>
    <w:rsid w:val="00AD656A"/>
    <w:rsid w:val="00AD6A7D"/>
    <w:rsid w:val="00AD7511"/>
    <w:rsid w:val="00AD7B90"/>
    <w:rsid w:val="00AD7FC7"/>
    <w:rsid w:val="00AE022A"/>
    <w:rsid w:val="00AE03FE"/>
    <w:rsid w:val="00AE0639"/>
    <w:rsid w:val="00AE0C64"/>
    <w:rsid w:val="00AE16C8"/>
    <w:rsid w:val="00AE1CAE"/>
    <w:rsid w:val="00AE1DC4"/>
    <w:rsid w:val="00AE1E1D"/>
    <w:rsid w:val="00AE1EDF"/>
    <w:rsid w:val="00AE1F90"/>
    <w:rsid w:val="00AE2BBE"/>
    <w:rsid w:val="00AE2D1C"/>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270"/>
    <w:rsid w:val="00AE74E9"/>
    <w:rsid w:val="00AE7CAF"/>
    <w:rsid w:val="00AE7E2E"/>
    <w:rsid w:val="00AF077A"/>
    <w:rsid w:val="00AF087D"/>
    <w:rsid w:val="00AF0967"/>
    <w:rsid w:val="00AF0AFA"/>
    <w:rsid w:val="00AF0E2E"/>
    <w:rsid w:val="00AF0F66"/>
    <w:rsid w:val="00AF12CC"/>
    <w:rsid w:val="00AF193B"/>
    <w:rsid w:val="00AF1DF6"/>
    <w:rsid w:val="00AF247F"/>
    <w:rsid w:val="00AF27DA"/>
    <w:rsid w:val="00AF2849"/>
    <w:rsid w:val="00AF2DCF"/>
    <w:rsid w:val="00AF3348"/>
    <w:rsid w:val="00AF342B"/>
    <w:rsid w:val="00AF3443"/>
    <w:rsid w:val="00AF3C99"/>
    <w:rsid w:val="00AF3D6E"/>
    <w:rsid w:val="00AF40EA"/>
    <w:rsid w:val="00AF426C"/>
    <w:rsid w:val="00AF43AA"/>
    <w:rsid w:val="00AF460F"/>
    <w:rsid w:val="00AF4868"/>
    <w:rsid w:val="00AF4CC8"/>
    <w:rsid w:val="00AF558B"/>
    <w:rsid w:val="00AF5891"/>
    <w:rsid w:val="00AF5895"/>
    <w:rsid w:val="00AF5909"/>
    <w:rsid w:val="00AF5CB8"/>
    <w:rsid w:val="00AF6231"/>
    <w:rsid w:val="00AF6429"/>
    <w:rsid w:val="00AF65AE"/>
    <w:rsid w:val="00AF6863"/>
    <w:rsid w:val="00AF695A"/>
    <w:rsid w:val="00AF77F8"/>
    <w:rsid w:val="00AF79F8"/>
    <w:rsid w:val="00AF7BE5"/>
    <w:rsid w:val="00AF7E84"/>
    <w:rsid w:val="00B0058A"/>
    <w:rsid w:val="00B00AFB"/>
    <w:rsid w:val="00B013BA"/>
    <w:rsid w:val="00B017F5"/>
    <w:rsid w:val="00B02015"/>
    <w:rsid w:val="00B0234C"/>
    <w:rsid w:val="00B02355"/>
    <w:rsid w:val="00B0331D"/>
    <w:rsid w:val="00B0338D"/>
    <w:rsid w:val="00B0350F"/>
    <w:rsid w:val="00B035A8"/>
    <w:rsid w:val="00B037FE"/>
    <w:rsid w:val="00B038B0"/>
    <w:rsid w:val="00B03900"/>
    <w:rsid w:val="00B0436E"/>
    <w:rsid w:val="00B045FE"/>
    <w:rsid w:val="00B051F9"/>
    <w:rsid w:val="00B05792"/>
    <w:rsid w:val="00B061A9"/>
    <w:rsid w:val="00B062CD"/>
    <w:rsid w:val="00B076F3"/>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5E"/>
    <w:rsid w:val="00B153F4"/>
    <w:rsid w:val="00B15DE0"/>
    <w:rsid w:val="00B15FC8"/>
    <w:rsid w:val="00B16AF9"/>
    <w:rsid w:val="00B16CE0"/>
    <w:rsid w:val="00B17598"/>
    <w:rsid w:val="00B17683"/>
    <w:rsid w:val="00B177D7"/>
    <w:rsid w:val="00B20043"/>
    <w:rsid w:val="00B2180F"/>
    <w:rsid w:val="00B21DA6"/>
    <w:rsid w:val="00B2230D"/>
    <w:rsid w:val="00B223BB"/>
    <w:rsid w:val="00B22ED2"/>
    <w:rsid w:val="00B23AD0"/>
    <w:rsid w:val="00B23EDF"/>
    <w:rsid w:val="00B24335"/>
    <w:rsid w:val="00B243D5"/>
    <w:rsid w:val="00B2450C"/>
    <w:rsid w:val="00B25463"/>
    <w:rsid w:val="00B254C4"/>
    <w:rsid w:val="00B25918"/>
    <w:rsid w:val="00B25BEB"/>
    <w:rsid w:val="00B25EE7"/>
    <w:rsid w:val="00B26024"/>
    <w:rsid w:val="00B2620C"/>
    <w:rsid w:val="00B26EC4"/>
    <w:rsid w:val="00B2705C"/>
    <w:rsid w:val="00B27962"/>
    <w:rsid w:val="00B279FC"/>
    <w:rsid w:val="00B30207"/>
    <w:rsid w:val="00B303C8"/>
    <w:rsid w:val="00B30825"/>
    <w:rsid w:val="00B312F6"/>
    <w:rsid w:val="00B3135E"/>
    <w:rsid w:val="00B3147B"/>
    <w:rsid w:val="00B32710"/>
    <w:rsid w:val="00B32DB3"/>
    <w:rsid w:val="00B32E3B"/>
    <w:rsid w:val="00B32EAA"/>
    <w:rsid w:val="00B33D05"/>
    <w:rsid w:val="00B33DDD"/>
    <w:rsid w:val="00B3527C"/>
    <w:rsid w:val="00B35A30"/>
    <w:rsid w:val="00B35CD3"/>
    <w:rsid w:val="00B35CFB"/>
    <w:rsid w:val="00B35DE5"/>
    <w:rsid w:val="00B35E18"/>
    <w:rsid w:val="00B35E74"/>
    <w:rsid w:val="00B35EC5"/>
    <w:rsid w:val="00B3675F"/>
    <w:rsid w:val="00B367F3"/>
    <w:rsid w:val="00B36B6F"/>
    <w:rsid w:val="00B36D8B"/>
    <w:rsid w:val="00B378D2"/>
    <w:rsid w:val="00B40571"/>
    <w:rsid w:val="00B40891"/>
    <w:rsid w:val="00B40ADF"/>
    <w:rsid w:val="00B40F4B"/>
    <w:rsid w:val="00B4112C"/>
    <w:rsid w:val="00B4130A"/>
    <w:rsid w:val="00B41522"/>
    <w:rsid w:val="00B416B3"/>
    <w:rsid w:val="00B41700"/>
    <w:rsid w:val="00B41D93"/>
    <w:rsid w:val="00B42331"/>
    <w:rsid w:val="00B42CBD"/>
    <w:rsid w:val="00B42E1D"/>
    <w:rsid w:val="00B43299"/>
    <w:rsid w:val="00B4330E"/>
    <w:rsid w:val="00B4369E"/>
    <w:rsid w:val="00B43FE6"/>
    <w:rsid w:val="00B44D14"/>
    <w:rsid w:val="00B44E28"/>
    <w:rsid w:val="00B44FF1"/>
    <w:rsid w:val="00B45090"/>
    <w:rsid w:val="00B453D7"/>
    <w:rsid w:val="00B46160"/>
    <w:rsid w:val="00B4694C"/>
    <w:rsid w:val="00B47E1D"/>
    <w:rsid w:val="00B50176"/>
    <w:rsid w:val="00B50413"/>
    <w:rsid w:val="00B506D7"/>
    <w:rsid w:val="00B50A43"/>
    <w:rsid w:val="00B50E35"/>
    <w:rsid w:val="00B511AC"/>
    <w:rsid w:val="00B51C87"/>
    <w:rsid w:val="00B5233E"/>
    <w:rsid w:val="00B523D7"/>
    <w:rsid w:val="00B52874"/>
    <w:rsid w:val="00B52A8F"/>
    <w:rsid w:val="00B52DC1"/>
    <w:rsid w:val="00B53071"/>
    <w:rsid w:val="00B531CA"/>
    <w:rsid w:val="00B5325C"/>
    <w:rsid w:val="00B5391A"/>
    <w:rsid w:val="00B53DF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A78"/>
    <w:rsid w:val="00B56B69"/>
    <w:rsid w:val="00B572E8"/>
    <w:rsid w:val="00B57483"/>
    <w:rsid w:val="00B579A6"/>
    <w:rsid w:val="00B57D90"/>
    <w:rsid w:val="00B6016A"/>
    <w:rsid w:val="00B60240"/>
    <w:rsid w:val="00B60258"/>
    <w:rsid w:val="00B60410"/>
    <w:rsid w:val="00B60ABC"/>
    <w:rsid w:val="00B60DE6"/>
    <w:rsid w:val="00B61143"/>
    <w:rsid w:val="00B61323"/>
    <w:rsid w:val="00B61446"/>
    <w:rsid w:val="00B615D5"/>
    <w:rsid w:val="00B6185F"/>
    <w:rsid w:val="00B619F8"/>
    <w:rsid w:val="00B62136"/>
    <w:rsid w:val="00B62C1C"/>
    <w:rsid w:val="00B62D9E"/>
    <w:rsid w:val="00B63BB8"/>
    <w:rsid w:val="00B63EA6"/>
    <w:rsid w:val="00B64229"/>
    <w:rsid w:val="00B64672"/>
    <w:rsid w:val="00B6472A"/>
    <w:rsid w:val="00B65021"/>
    <w:rsid w:val="00B654C2"/>
    <w:rsid w:val="00B65CAD"/>
    <w:rsid w:val="00B65D5D"/>
    <w:rsid w:val="00B6641C"/>
    <w:rsid w:val="00B66A0D"/>
    <w:rsid w:val="00B66D72"/>
    <w:rsid w:val="00B67478"/>
    <w:rsid w:val="00B67890"/>
    <w:rsid w:val="00B678AC"/>
    <w:rsid w:val="00B67B81"/>
    <w:rsid w:val="00B67D8C"/>
    <w:rsid w:val="00B701DC"/>
    <w:rsid w:val="00B70544"/>
    <w:rsid w:val="00B70B1F"/>
    <w:rsid w:val="00B71045"/>
    <w:rsid w:val="00B718D1"/>
    <w:rsid w:val="00B71F5D"/>
    <w:rsid w:val="00B721A1"/>
    <w:rsid w:val="00B722A1"/>
    <w:rsid w:val="00B72535"/>
    <w:rsid w:val="00B72561"/>
    <w:rsid w:val="00B72637"/>
    <w:rsid w:val="00B72750"/>
    <w:rsid w:val="00B727A3"/>
    <w:rsid w:val="00B72C4B"/>
    <w:rsid w:val="00B7317A"/>
    <w:rsid w:val="00B73BFD"/>
    <w:rsid w:val="00B74E5C"/>
    <w:rsid w:val="00B7550F"/>
    <w:rsid w:val="00B758D2"/>
    <w:rsid w:val="00B75C59"/>
    <w:rsid w:val="00B7697D"/>
    <w:rsid w:val="00B76A2E"/>
    <w:rsid w:val="00B76ECD"/>
    <w:rsid w:val="00B77226"/>
    <w:rsid w:val="00B775CE"/>
    <w:rsid w:val="00B77775"/>
    <w:rsid w:val="00B77932"/>
    <w:rsid w:val="00B803DB"/>
    <w:rsid w:val="00B80617"/>
    <w:rsid w:val="00B80643"/>
    <w:rsid w:val="00B80656"/>
    <w:rsid w:val="00B80A49"/>
    <w:rsid w:val="00B81CE1"/>
    <w:rsid w:val="00B822F5"/>
    <w:rsid w:val="00B827A4"/>
    <w:rsid w:val="00B827A7"/>
    <w:rsid w:val="00B82808"/>
    <w:rsid w:val="00B8358C"/>
    <w:rsid w:val="00B83764"/>
    <w:rsid w:val="00B83782"/>
    <w:rsid w:val="00B83964"/>
    <w:rsid w:val="00B83A84"/>
    <w:rsid w:val="00B83DD1"/>
    <w:rsid w:val="00B83F04"/>
    <w:rsid w:val="00B84373"/>
    <w:rsid w:val="00B8469E"/>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87FEE"/>
    <w:rsid w:val="00B90324"/>
    <w:rsid w:val="00B90DB4"/>
    <w:rsid w:val="00B90E39"/>
    <w:rsid w:val="00B917C1"/>
    <w:rsid w:val="00B9195F"/>
    <w:rsid w:val="00B91BF4"/>
    <w:rsid w:val="00B921CF"/>
    <w:rsid w:val="00B923E9"/>
    <w:rsid w:val="00B924EA"/>
    <w:rsid w:val="00B92691"/>
    <w:rsid w:val="00B9347B"/>
    <w:rsid w:val="00B9415C"/>
    <w:rsid w:val="00B941BA"/>
    <w:rsid w:val="00B94387"/>
    <w:rsid w:val="00B9480B"/>
    <w:rsid w:val="00B94A5B"/>
    <w:rsid w:val="00B94AFE"/>
    <w:rsid w:val="00B94BC8"/>
    <w:rsid w:val="00B94D3A"/>
    <w:rsid w:val="00B95634"/>
    <w:rsid w:val="00B9582A"/>
    <w:rsid w:val="00B958B1"/>
    <w:rsid w:val="00B95B8C"/>
    <w:rsid w:val="00B95C32"/>
    <w:rsid w:val="00B95D49"/>
    <w:rsid w:val="00B963EB"/>
    <w:rsid w:val="00B97A92"/>
    <w:rsid w:val="00B97C1F"/>
    <w:rsid w:val="00B97E48"/>
    <w:rsid w:val="00BA0229"/>
    <w:rsid w:val="00BA04AA"/>
    <w:rsid w:val="00BA0BAD"/>
    <w:rsid w:val="00BA0E9C"/>
    <w:rsid w:val="00BA125E"/>
    <w:rsid w:val="00BA13D4"/>
    <w:rsid w:val="00BA1711"/>
    <w:rsid w:val="00BA1765"/>
    <w:rsid w:val="00BA17FE"/>
    <w:rsid w:val="00BA1DD3"/>
    <w:rsid w:val="00BA21A4"/>
    <w:rsid w:val="00BA21B0"/>
    <w:rsid w:val="00BA2679"/>
    <w:rsid w:val="00BA2FF7"/>
    <w:rsid w:val="00BA31F1"/>
    <w:rsid w:val="00BA32E3"/>
    <w:rsid w:val="00BA34D4"/>
    <w:rsid w:val="00BA3700"/>
    <w:rsid w:val="00BA41AA"/>
    <w:rsid w:val="00BA47B9"/>
    <w:rsid w:val="00BA4D29"/>
    <w:rsid w:val="00BA500C"/>
    <w:rsid w:val="00BA54B7"/>
    <w:rsid w:val="00BA5915"/>
    <w:rsid w:val="00BA5D15"/>
    <w:rsid w:val="00BA5DFB"/>
    <w:rsid w:val="00BA609F"/>
    <w:rsid w:val="00BA6E28"/>
    <w:rsid w:val="00BA711F"/>
    <w:rsid w:val="00BA719B"/>
    <w:rsid w:val="00BA7954"/>
    <w:rsid w:val="00BA7A10"/>
    <w:rsid w:val="00BA7E0C"/>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902"/>
    <w:rsid w:val="00BB5D88"/>
    <w:rsid w:val="00BB5E06"/>
    <w:rsid w:val="00BB608B"/>
    <w:rsid w:val="00BB639F"/>
    <w:rsid w:val="00BB6B51"/>
    <w:rsid w:val="00BB6E31"/>
    <w:rsid w:val="00BB7A08"/>
    <w:rsid w:val="00BB7BC9"/>
    <w:rsid w:val="00BB7F68"/>
    <w:rsid w:val="00BC08F5"/>
    <w:rsid w:val="00BC0D27"/>
    <w:rsid w:val="00BC0F44"/>
    <w:rsid w:val="00BC1835"/>
    <w:rsid w:val="00BC1A54"/>
    <w:rsid w:val="00BC24E2"/>
    <w:rsid w:val="00BC26E8"/>
    <w:rsid w:val="00BC29BA"/>
    <w:rsid w:val="00BC29CE"/>
    <w:rsid w:val="00BC2FD6"/>
    <w:rsid w:val="00BC310B"/>
    <w:rsid w:val="00BC3192"/>
    <w:rsid w:val="00BC3242"/>
    <w:rsid w:val="00BC38DC"/>
    <w:rsid w:val="00BC3B6B"/>
    <w:rsid w:val="00BC5A2D"/>
    <w:rsid w:val="00BC5D85"/>
    <w:rsid w:val="00BC607E"/>
    <w:rsid w:val="00BC60C9"/>
    <w:rsid w:val="00BC62D8"/>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164"/>
    <w:rsid w:val="00BD299C"/>
    <w:rsid w:val="00BD2E93"/>
    <w:rsid w:val="00BD2F6F"/>
    <w:rsid w:val="00BD3A40"/>
    <w:rsid w:val="00BD3CC6"/>
    <w:rsid w:val="00BD53A7"/>
    <w:rsid w:val="00BD5439"/>
    <w:rsid w:val="00BD5756"/>
    <w:rsid w:val="00BD57A5"/>
    <w:rsid w:val="00BD693B"/>
    <w:rsid w:val="00BD6A23"/>
    <w:rsid w:val="00BD702F"/>
    <w:rsid w:val="00BD742C"/>
    <w:rsid w:val="00BD778F"/>
    <w:rsid w:val="00BD786C"/>
    <w:rsid w:val="00BD78A2"/>
    <w:rsid w:val="00BD7D46"/>
    <w:rsid w:val="00BD7FC9"/>
    <w:rsid w:val="00BE06C9"/>
    <w:rsid w:val="00BE0EC2"/>
    <w:rsid w:val="00BE13BF"/>
    <w:rsid w:val="00BE1849"/>
    <w:rsid w:val="00BE1918"/>
    <w:rsid w:val="00BE19CA"/>
    <w:rsid w:val="00BE1CB1"/>
    <w:rsid w:val="00BE1EA9"/>
    <w:rsid w:val="00BE237B"/>
    <w:rsid w:val="00BE2A43"/>
    <w:rsid w:val="00BE2C32"/>
    <w:rsid w:val="00BE2C87"/>
    <w:rsid w:val="00BE4914"/>
    <w:rsid w:val="00BE4928"/>
    <w:rsid w:val="00BE49A7"/>
    <w:rsid w:val="00BE4B43"/>
    <w:rsid w:val="00BE59F2"/>
    <w:rsid w:val="00BE5D52"/>
    <w:rsid w:val="00BE6106"/>
    <w:rsid w:val="00BE642D"/>
    <w:rsid w:val="00BE669E"/>
    <w:rsid w:val="00BE6CD9"/>
    <w:rsid w:val="00BE75D5"/>
    <w:rsid w:val="00BF06F4"/>
    <w:rsid w:val="00BF0C2D"/>
    <w:rsid w:val="00BF1429"/>
    <w:rsid w:val="00BF1616"/>
    <w:rsid w:val="00BF199A"/>
    <w:rsid w:val="00BF1BCF"/>
    <w:rsid w:val="00BF237C"/>
    <w:rsid w:val="00BF24F5"/>
    <w:rsid w:val="00BF2E5A"/>
    <w:rsid w:val="00BF2EBB"/>
    <w:rsid w:val="00BF352D"/>
    <w:rsid w:val="00BF3606"/>
    <w:rsid w:val="00BF3799"/>
    <w:rsid w:val="00BF3854"/>
    <w:rsid w:val="00BF3B33"/>
    <w:rsid w:val="00BF3E51"/>
    <w:rsid w:val="00BF3E89"/>
    <w:rsid w:val="00BF4006"/>
    <w:rsid w:val="00BF48A6"/>
    <w:rsid w:val="00BF4975"/>
    <w:rsid w:val="00BF4BE6"/>
    <w:rsid w:val="00BF4E65"/>
    <w:rsid w:val="00BF500D"/>
    <w:rsid w:val="00BF5184"/>
    <w:rsid w:val="00BF544B"/>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176F"/>
    <w:rsid w:val="00C02822"/>
    <w:rsid w:val="00C028A5"/>
    <w:rsid w:val="00C029BE"/>
    <w:rsid w:val="00C02DAA"/>
    <w:rsid w:val="00C0453D"/>
    <w:rsid w:val="00C046A1"/>
    <w:rsid w:val="00C048C0"/>
    <w:rsid w:val="00C04A35"/>
    <w:rsid w:val="00C05055"/>
    <w:rsid w:val="00C05131"/>
    <w:rsid w:val="00C0539C"/>
    <w:rsid w:val="00C055F0"/>
    <w:rsid w:val="00C05684"/>
    <w:rsid w:val="00C06234"/>
    <w:rsid w:val="00C06278"/>
    <w:rsid w:val="00C06CB8"/>
    <w:rsid w:val="00C07D81"/>
    <w:rsid w:val="00C102B2"/>
    <w:rsid w:val="00C10517"/>
    <w:rsid w:val="00C106A0"/>
    <w:rsid w:val="00C1071E"/>
    <w:rsid w:val="00C1073C"/>
    <w:rsid w:val="00C108FA"/>
    <w:rsid w:val="00C10A4C"/>
    <w:rsid w:val="00C10D11"/>
    <w:rsid w:val="00C10DA6"/>
    <w:rsid w:val="00C1100B"/>
    <w:rsid w:val="00C11534"/>
    <w:rsid w:val="00C11C09"/>
    <w:rsid w:val="00C123F9"/>
    <w:rsid w:val="00C12907"/>
    <w:rsid w:val="00C129A0"/>
    <w:rsid w:val="00C1325F"/>
    <w:rsid w:val="00C133F9"/>
    <w:rsid w:val="00C1340C"/>
    <w:rsid w:val="00C13C87"/>
    <w:rsid w:val="00C13D35"/>
    <w:rsid w:val="00C13E4B"/>
    <w:rsid w:val="00C141CB"/>
    <w:rsid w:val="00C1498A"/>
    <w:rsid w:val="00C15214"/>
    <w:rsid w:val="00C15318"/>
    <w:rsid w:val="00C1642B"/>
    <w:rsid w:val="00C16B5D"/>
    <w:rsid w:val="00C17252"/>
    <w:rsid w:val="00C1754C"/>
    <w:rsid w:val="00C177BE"/>
    <w:rsid w:val="00C1792F"/>
    <w:rsid w:val="00C179B5"/>
    <w:rsid w:val="00C200B8"/>
    <w:rsid w:val="00C205F5"/>
    <w:rsid w:val="00C2094A"/>
    <w:rsid w:val="00C2162E"/>
    <w:rsid w:val="00C21737"/>
    <w:rsid w:val="00C21B52"/>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79F"/>
    <w:rsid w:val="00C26059"/>
    <w:rsid w:val="00C263A2"/>
    <w:rsid w:val="00C26C4E"/>
    <w:rsid w:val="00C27169"/>
    <w:rsid w:val="00C27170"/>
    <w:rsid w:val="00C27782"/>
    <w:rsid w:val="00C27D05"/>
    <w:rsid w:val="00C27FC4"/>
    <w:rsid w:val="00C301A0"/>
    <w:rsid w:val="00C307B8"/>
    <w:rsid w:val="00C3125E"/>
    <w:rsid w:val="00C316B4"/>
    <w:rsid w:val="00C31769"/>
    <w:rsid w:val="00C31B0A"/>
    <w:rsid w:val="00C320FA"/>
    <w:rsid w:val="00C32159"/>
    <w:rsid w:val="00C326B9"/>
    <w:rsid w:val="00C32EF5"/>
    <w:rsid w:val="00C32F90"/>
    <w:rsid w:val="00C3361F"/>
    <w:rsid w:val="00C3369A"/>
    <w:rsid w:val="00C341FB"/>
    <w:rsid w:val="00C34757"/>
    <w:rsid w:val="00C347A0"/>
    <w:rsid w:val="00C35287"/>
    <w:rsid w:val="00C3628C"/>
    <w:rsid w:val="00C3661C"/>
    <w:rsid w:val="00C36769"/>
    <w:rsid w:val="00C36787"/>
    <w:rsid w:val="00C369DC"/>
    <w:rsid w:val="00C36B2C"/>
    <w:rsid w:val="00C37185"/>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88A"/>
    <w:rsid w:val="00C45C10"/>
    <w:rsid w:val="00C45C86"/>
    <w:rsid w:val="00C470ED"/>
    <w:rsid w:val="00C47983"/>
    <w:rsid w:val="00C47B9A"/>
    <w:rsid w:val="00C47C98"/>
    <w:rsid w:val="00C503A5"/>
    <w:rsid w:val="00C50486"/>
    <w:rsid w:val="00C508DE"/>
    <w:rsid w:val="00C50986"/>
    <w:rsid w:val="00C50C06"/>
    <w:rsid w:val="00C50C26"/>
    <w:rsid w:val="00C52A21"/>
    <w:rsid w:val="00C52EAD"/>
    <w:rsid w:val="00C532EA"/>
    <w:rsid w:val="00C534A4"/>
    <w:rsid w:val="00C537D2"/>
    <w:rsid w:val="00C53990"/>
    <w:rsid w:val="00C53A95"/>
    <w:rsid w:val="00C53DE9"/>
    <w:rsid w:val="00C53FCB"/>
    <w:rsid w:val="00C5472C"/>
    <w:rsid w:val="00C54D51"/>
    <w:rsid w:val="00C565C6"/>
    <w:rsid w:val="00C56E05"/>
    <w:rsid w:val="00C57035"/>
    <w:rsid w:val="00C57804"/>
    <w:rsid w:val="00C578F3"/>
    <w:rsid w:val="00C57C5E"/>
    <w:rsid w:val="00C60810"/>
    <w:rsid w:val="00C60839"/>
    <w:rsid w:val="00C609DD"/>
    <w:rsid w:val="00C60A35"/>
    <w:rsid w:val="00C60B8F"/>
    <w:rsid w:val="00C60EC2"/>
    <w:rsid w:val="00C6175C"/>
    <w:rsid w:val="00C61FB0"/>
    <w:rsid w:val="00C6250F"/>
    <w:rsid w:val="00C6270F"/>
    <w:rsid w:val="00C62AF4"/>
    <w:rsid w:val="00C631EF"/>
    <w:rsid w:val="00C63298"/>
    <w:rsid w:val="00C637C5"/>
    <w:rsid w:val="00C6383D"/>
    <w:rsid w:val="00C639B8"/>
    <w:rsid w:val="00C639F6"/>
    <w:rsid w:val="00C63D17"/>
    <w:rsid w:val="00C63EED"/>
    <w:rsid w:val="00C64400"/>
    <w:rsid w:val="00C64885"/>
    <w:rsid w:val="00C650BA"/>
    <w:rsid w:val="00C65AF4"/>
    <w:rsid w:val="00C65C6C"/>
    <w:rsid w:val="00C66029"/>
    <w:rsid w:val="00C6608C"/>
    <w:rsid w:val="00C66169"/>
    <w:rsid w:val="00C66A7D"/>
    <w:rsid w:val="00C66BC1"/>
    <w:rsid w:val="00C6733E"/>
    <w:rsid w:val="00C67726"/>
    <w:rsid w:val="00C706B7"/>
    <w:rsid w:val="00C70ACA"/>
    <w:rsid w:val="00C710C3"/>
    <w:rsid w:val="00C71B8C"/>
    <w:rsid w:val="00C71D2A"/>
    <w:rsid w:val="00C7299C"/>
    <w:rsid w:val="00C72B2F"/>
    <w:rsid w:val="00C72BE2"/>
    <w:rsid w:val="00C72CDC"/>
    <w:rsid w:val="00C73211"/>
    <w:rsid w:val="00C738C7"/>
    <w:rsid w:val="00C73D7D"/>
    <w:rsid w:val="00C7442E"/>
    <w:rsid w:val="00C7454B"/>
    <w:rsid w:val="00C7493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047"/>
    <w:rsid w:val="00C8083A"/>
    <w:rsid w:val="00C80B48"/>
    <w:rsid w:val="00C80C75"/>
    <w:rsid w:val="00C81102"/>
    <w:rsid w:val="00C8148C"/>
    <w:rsid w:val="00C81635"/>
    <w:rsid w:val="00C828F1"/>
    <w:rsid w:val="00C82900"/>
    <w:rsid w:val="00C82B9B"/>
    <w:rsid w:val="00C831D7"/>
    <w:rsid w:val="00C8327A"/>
    <w:rsid w:val="00C83E94"/>
    <w:rsid w:val="00C83EA7"/>
    <w:rsid w:val="00C842BD"/>
    <w:rsid w:val="00C8556F"/>
    <w:rsid w:val="00C857F2"/>
    <w:rsid w:val="00C85CE5"/>
    <w:rsid w:val="00C86456"/>
    <w:rsid w:val="00C865DB"/>
    <w:rsid w:val="00C86AA6"/>
    <w:rsid w:val="00C8709A"/>
    <w:rsid w:val="00C8728D"/>
    <w:rsid w:val="00C873FD"/>
    <w:rsid w:val="00C875A0"/>
    <w:rsid w:val="00C87C53"/>
    <w:rsid w:val="00C9020F"/>
    <w:rsid w:val="00C905B6"/>
    <w:rsid w:val="00C90799"/>
    <w:rsid w:val="00C90BF7"/>
    <w:rsid w:val="00C90F77"/>
    <w:rsid w:val="00C91102"/>
    <w:rsid w:val="00C91407"/>
    <w:rsid w:val="00C91628"/>
    <w:rsid w:val="00C9186A"/>
    <w:rsid w:val="00C91E22"/>
    <w:rsid w:val="00C92206"/>
    <w:rsid w:val="00C929B3"/>
    <w:rsid w:val="00C92DAC"/>
    <w:rsid w:val="00C92F28"/>
    <w:rsid w:val="00C94827"/>
    <w:rsid w:val="00C94C93"/>
    <w:rsid w:val="00C9544F"/>
    <w:rsid w:val="00C96011"/>
    <w:rsid w:val="00C9637D"/>
    <w:rsid w:val="00C965B9"/>
    <w:rsid w:val="00C9709D"/>
    <w:rsid w:val="00C977C8"/>
    <w:rsid w:val="00C979B2"/>
    <w:rsid w:val="00CA02EE"/>
    <w:rsid w:val="00CA08BF"/>
    <w:rsid w:val="00CA0956"/>
    <w:rsid w:val="00CA0A9E"/>
    <w:rsid w:val="00CA0B2F"/>
    <w:rsid w:val="00CA0FAA"/>
    <w:rsid w:val="00CA171E"/>
    <w:rsid w:val="00CA1C60"/>
    <w:rsid w:val="00CA1EED"/>
    <w:rsid w:val="00CA2162"/>
    <w:rsid w:val="00CA3045"/>
    <w:rsid w:val="00CA3246"/>
    <w:rsid w:val="00CA32D0"/>
    <w:rsid w:val="00CA371F"/>
    <w:rsid w:val="00CA3941"/>
    <w:rsid w:val="00CA3F16"/>
    <w:rsid w:val="00CA4281"/>
    <w:rsid w:val="00CA431F"/>
    <w:rsid w:val="00CA4D78"/>
    <w:rsid w:val="00CA5562"/>
    <w:rsid w:val="00CA5642"/>
    <w:rsid w:val="00CA5659"/>
    <w:rsid w:val="00CA5BCC"/>
    <w:rsid w:val="00CA61EB"/>
    <w:rsid w:val="00CA6D29"/>
    <w:rsid w:val="00CA6DBE"/>
    <w:rsid w:val="00CA7210"/>
    <w:rsid w:val="00CB006D"/>
    <w:rsid w:val="00CB033E"/>
    <w:rsid w:val="00CB04AE"/>
    <w:rsid w:val="00CB04EF"/>
    <w:rsid w:val="00CB04F1"/>
    <w:rsid w:val="00CB09C6"/>
    <w:rsid w:val="00CB12C0"/>
    <w:rsid w:val="00CB1511"/>
    <w:rsid w:val="00CB16E2"/>
    <w:rsid w:val="00CB1711"/>
    <w:rsid w:val="00CB185A"/>
    <w:rsid w:val="00CB1BBA"/>
    <w:rsid w:val="00CB1BC1"/>
    <w:rsid w:val="00CB1DCE"/>
    <w:rsid w:val="00CB325B"/>
    <w:rsid w:val="00CB34A1"/>
    <w:rsid w:val="00CB3B3B"/>
    <w:rsid w:val="00CB3B71"/>
    <w:rsid w:val="00CB3E7B"/>
    <w:rsid w:val="00CB3F46"/>
    <w:rsid w:val="00CB4023"/>
    <w:rsid w:val="00CB439D"/>
    <w:rsid w:val="00CB44E4"/>
    <w:rsid w:val="00CB46A4"/>
    <w:rsid w:val="00CB492A"/>
    <w:rsid w:val="00CB4A7C"/>
    <w:rsid w:val="00CB577C"/>
    <w:rsid w:val="00CB6549"/>
    <w:rsid w:val="00CB73F0"/>
    <w:rsid w:val="00CB76BD"/>
    <w:rsid w:val="00CB7969"/>
    <w:rsid w:val="00CB79F5"/>
    <w:rsid w:val="00CB7A50"/>
    <w:rsid w:val="00CB7E2D"/>
    <w:rsid w:val="00CC08A7"/>
    <w:rsid w:val="00CC1259"/>
    <w:rsid w:val="00CC1491"/>
    <w:rsid w:val="00CC153C"/>
    <w:rsid w:val="00CC179A"/>
    <w:rsid w:val="00CC1F9D"/>
    <w:rsid w:val="00CC269A"/>
    <w:rsid w:val="00CC2738"/>
    <w:rsid w:val="00CC2766"/>
    <w:rsid w:val="00CC2A02"/>
    <w:rsid w:val="00CC2BAC"/>
    <w:rsid w:val="00CC350D"/>
    <w:rsid w:val="00CC3B92"/>
    <w:rsid w:val="00CC3E9B"/>
    <w:rsid w:val="00CC3EBD"/>
    <w:rsid w:val="00CC4669"/>
    <w:rsid w:val="00CC4677"/>
    <w:rsid w:val="00CC4C6D"/>
    <w:rsid w:val="00CC531A"/>
    <w:rsid w:val="00CC55D4"/>
    <w:rsid w:val="00CC57E3"/>
    <w:rsid w:val="00CC5A08"/>
    <w:rsid w:val="00CC5CA5"/>
    <w:rsid w:val="00CC5E01"/>
    <w:rsid w:val="00CC6FC9"/>
    <w:rsid w:val="00CC7236"/>
    <w:rsid w:val="00CC73D1"/>
    <w:rsid w:val="00CC7B78"/>
    <w:rsid w:val="00CD04CE"/>
    <w:rsid w:val="00CD05DA"/>
    <w:rsid w:val="00CD0DEE"/>
    <w:rsid w:val="00CD10F4"/>
    <w:rsid w:val="00CD1752"/>
    <w:rsid w:val="00CD1BE3"/>
    <w:rsid w:val="00CD24E7"/>
    <w:rsid w:val="00CD2703"/>
    <w:rsid w:val="00CD2C14"/>
    <w:rsid w:val="00CD2E4A"/>
    <w:rsid w:val="00CD3246"/>
    <w:rsid w:val="00CD3524"/>
    <w:rsid w:val="00CD3698"/>
    <w:rsid w:val="00CD3AD3"/>
    <w:rsid w:val="00CD4066"/>
    <w:rsid w:val="00CD46EA"/>
    <w:rsid w:val="00CD4CA6"/>
    <w:rsid w:val="00CD51BA"/>
    <w:rsid w:val="00CD581F"/>
    <w:rsid w:val="00CD5987"/>
    <w:rsid w:val="00CD5E67"/>
    <w:rsid w:val="00CD5E7C"/>
    <w:rsid w:val="00CD66C2"/>
    <w:rsid w:val="00CD69D3"/>
    <w:rsid w:val="00CD69D4"/>
    <w:rsid w:val="00CD6E7B"/>
    <w:rsid w:val="00CD6F8C"/>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3A"/>
    <w:rsid w:val="00CE5F47"/>
    <w:rsid w:val="00CE67FC"/>
    <w:rsid w:val="00CE69F8"/>
    <w:rsid w:val="00CE6CCE"/>
    <w:rsid w:val="00CE6D5A"/>
    <w:rsid w:val="00CE73EF"/>
    <w:rsid w:val="00CE75BC"/>
    <w:rsid w:val="00CE7C9F"/>
    <w:rsid w:val="00CE7D88"/>
    <w:rsid w:val="00CE7E83"/>
    <w:rsid w:val="00CF00DD"/>
    <w:rsid w:val="00CF013F"/>
    <w:rsid w:val="00CF0440"/>
    <w:rsid w:val="00CF06A0"/>
    <w:rsid w:val="00CF0A63"/>
    <w:rsid w:val="00CF0A69"/>
    <w:rsid w:val="00CF0A88"/>
    <w:rsid w:val="00CF0E97"/>
    <w:rsid w:val="00CF121D"/>
    <w:rsid w:val="00CF1954"/>
    <w:rsid w:val="00CF1A05"/>
    <w:rsid w:val="00CF1C90"/>
    <w:rsid w:val="00CF23B2"/>
    <w:rsid w:val="00CF260C"/>
    <w:rsid w:val="00CF2627"/>
    <w:rsid w:val="00CF2685"/>
    <w:rsid w:val="00CF2764"/>
    <w:rsid w:val="00CF32DF"/>
    <w:rsid w:val="00CF34AC"/>
    <w:rsid w:val="00CF34F5"/>
    <w:rsid w:val="00CF3782"/>
    <w:rsid w:val="00CF3C96"/>
    <w:rsid w:val="00CF431F"/>
    <w:rsid w:val="00CF574A"/>
    <w:rsid w:val="00CF5804"/>
    <w:rsid w:val="00CF5AD7"/>
    <w:rsid w:val="00CF5BAF"/>
    <w:rsid w:val="00CF5C4A"/>
    <w:rsid w:val="00CF654C"/>
    <w:rsid w:val="00CF67D7"/>
    <w:rsid w:val="00CF6946"/>
    <w:rsid w:val="00CF6C26"/>
    <w:rsid w:val="00CF6D09"/>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440"/>
    <w:rsid w:val="00D02509"/>
    <w:rsid w:val="00D02618"/>
    <w:rsid w:val="00D02827"/>
    <w:rsid w:val="00D02965"/>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FF9"/>
    <w:rsid w:val="00D13212"/>
    <w:rsid w:val="00D1340C"/>
    <w:rsid w:val="00D1368A"/>
    <w:rsid w:val="00D13889"/>
    <w:rsid w:val="00D13BEF"/>
    <w:rsid w:val="00D141B1"/>
    <w:rsid w:val="00D14D28"/>
    <w:rsid w:val="00D14DB9"/>
    <w:rsid w:val="00D14F95"/>
    <w:rsid w:val="00D15396"/>
    <w:rsid w:val="00D1545B"/>
    <w:rsid w:val="00D15623"/>
    <w:rsid w:val="00D15835"/>
    <w:rsid w:val="00D16168"/>
    <w:rsid w:val="00D16B06"/>
    <w:rsid w:val="00D171CB"/>
    <w:rsid w:val="00D1753D"/>
    <w:rsid w:val="00D1762D"/>
    <w:rsid w:val="00D20AAC"/>
    <w:rsid w:val="00D20ABD"/>
    <w:rsid w:val="00D20B06"/>
    <w:rsid w:val="00D20CC6"/>
    <w:rsid w:val="00D215AC"/>
    <w:rsid w:val="00D21883"/>
    <w:rsid w:val="00D218D4"/>
    <w:rsid w:val="00D21B79"/>
    <w:rsid w:val="00D21C1E"/>
    <w:rsid w:val="00D21DAC"/>
    <w:rsid w:val="00D226C7"/>
    <w:rsid w:val="00D226DF"/>
    <w:rsid w:val="00D227C5"/>
    <w:rsid w:val="00D22EC9"/>
    <w:rsid w:val="00D23674"/>
    <w:rsid w:val="00D23CB0"/>
    <w:rsid w:val="00D24C87"/>
    <w:rsid w:val="00D24D13"/>
    <w:rsid w:val="00D24EDB"/>
    <w:rsid w:val="00D252A3"/>
    <w:rsid w:val="00D2612A"/>
    <w:rsid w:val="00D261C3"/>
    <w:rsid w:val="00D2622A"/>
    <w:rsid w:val="00D2625E"/>
    <w:rsid w:val="00D263B5"/>
    <w:rsid w:val="00D2683D"/>
    <w:rsid w:val="00D26AC8"/>
    <w:rsid w:val="00D27206"/>
    <w:rsid w:val="00D274EB"/>
    <w:rsid w:val="00D27802"/>
    <w:rsid w:val="00D278E7"/>
    <w:rsid w:val="00D30488"/>
    <w:rsid w:val="00D3056D"/>
    <w:rsid w:val="00D30849"/>
    <w:rsid w:val="00D30A9C"/>
    <w:rsid w:val="00D30D84"/>
    <w:rsid w:val="00D310EF"/>
    <w:rsid w:val="00D313BF"/>
    <w:rsid w:val="00D31CBD"/>
    <w:rsid w:val="00D31DC8"/>
    <w:rsid w:val="00D31E33"/>
    <w:rsid w:val="00D31E78"/>
    <w:rsid w:val="00D32B02"/>
    <w:rsid w:val="00D33429"/>
    <w:rsid w:val="00D33878"/>
    <w:rsid w:val="00D33CCE"/>
    <w:rsid w:val="00D33EB9"/>
    <w:rsid w:val="00D340D7"/>
    <w:rsid w:val="00D34D99"/>
    <w:rsid w:val="00D34DD3"/>
    <w:rsid w:val="00D3561C"/>
    <w:rsid w:val="00D356B9"/>
    <w:rsid w:val="00D35914"/>
    <w:rsid w:val="00D35B2E"/>
    <w:rsid w:val="00D35BBE"/>
    <w:rsid w:val="00D35CC1"/>
    <w:rsid w:val="00D35FEC"/>
    <w:rsid w:val="00D36404"/>
    <w:rsid w:val="00D36751"/>
    <w:rsid w:val="00D369E3"/>
    <w:rsid w:val="00D36DA2"/>
    <w:rsid w:val="00D36E9B"/>
    <w:rsid w:val="00D373E1"/>
    <w:rsid w:val="00D3751A"/>
    <w:rsid w:val="00D377D8"/>
    <w:rsid w:val="00D379EC"/>
    <w:rsid w:val="00D37BF5"/>
    <w:rsid w:val="00D37D45"/>
    <w:rsid w:val="00D37DFD"/>
    <w:rsid w:val="00D37E67"/>
    <w:rsid w:val="00D400F9"/>
    <w:rsid w:val="00D40435"/>
    <w:rsid w:val="00D408E2"/>
    <w:rsid w:val="00D40D26"/>
    <w:rsid w:val="00D412EE"/>
    <w:rsid w:val="00D413E6"/>
    <w:rsid w:val="00D41509"/>
    <w:rsid w:val="00D417CE"/>
    <w:rsid w:val="00D41BAC"/>
    <w:rsid w:val="00D41EE0"/>
    <w:rsid w:val="00D41F78"/>
    <w:rsid w:val="00D425BB"/>
    <w:rsid w:val="00D427F1"/>
    <w:rsid w:val="00D42B8C"/>
    <w:rsid w:val="00D43010"/>
    <w:rsid w:val="00D4301E"/>
    <w:rsid w:val="00D43674"/>
    <w:rsid w:val="00D43693"/>
    <w:rsid w:val="00D4390D"/>
    <w:rsid w:val="00D43A3E"/>
    <w:rsid w:val="00D43C35"/>
    <w:rsid w:val="00D43ED6"/>
    <w:rsid w:val="00D43F92"/>
    <w:rsid w:val="00D4453A"/>
    <w:rsid w:val="00D44D0B"/>
    <w:rsid w:val="00D44F32"/>
    <w:rsid w:val="00D44FE6"/>
    <w:rsid w:val="00D45020"/>
    <w:rsid w:val="00D45CA3"/>
    <w:rsid w:val="00D4618B"/>
    <w:rsid w:val="00D46254"/>
    <w:rsid w:val="00D468BF"/>
    <w:rsid w:val="00D468EC"/>
    <w:rsid w:val="00D46CC9"/>
    <w:rsid w:val="00D46FAE"/>
    <w:rsid w:val="00D4717E"/>
    <w:rsid w:val="00D47859"/>
    <w:rsid w:val="00D47F92"/>
    <w:rsid w:val="00D50671"/>
    <w:rsid w:val="00D50CC5"/>
    <w:rsid w:val="00D5109E"/>
    <w:rsid w:val="00D516AB"/>
    <w:rsid w:val="00D51B0D"/>
    <w:rsid w:val="00D51B4A"/>
    <w:rsid w:val="00D5270E"/>
    <w:rsid w:val="00D52CF9"/>
    <w:rsid w:val="00D53271"/>
    <w:rsid w:val="00D534D7"/>
    <w:rsid w:val="00D53EE9"/>
    <w:rsid w:val="00D53F2D"/>
    <w:rsid w:val="00D54184"/>
    <w:rsid w:val="00D54E52"/>
    <w:rsid w:val="00D54F0D"/>
    <w:rsid w:val="00D55B18"/>
    <w:rsid w:val="00D55C1E"/>
    <w:rsid w:val="00D55D28"/>
    <w:rsid w:val="00D56332"/>
    <w:rsid w:val="00D5644C"/>
    <w:rsid w:val="00D5670E"/>
    <w:rsid w:val="00D5679A"/>
    <w:rsid w:val="00D567FD"/>
    <w:rsid w:val="00D56EE3"/>
    <w:rsid w:val="00D57280"/>
    <w:rsid w:val="00D5753B"/>
    <w:rsid w:val="00D5760A"/>
    <w:rsid w:val="00D579F2"/>
    <w:rsid w:val="00D57A5C"/>
    <w:rsid w:val="00D57FB6"/>
    <w:rsid w:val="00D600A2"/>
    <w:rsid w:val="00D607EE"/>
    <w:rsid w:val="00D608D0"/>
    <w:rsid w:val="00D61407"/>
    <w:rsid w:val="00D616D3"/>
    <w:rsid w:val="00D61BA9"/>
    <w:rsid w:val="00D620FB"/>
    <w:rsid w:val="00D6218A"/>
    <w:rsid w:val="00D62A70"/>
    <w:rsid w:val="00D62BCF"/>
    <w:rsid w:val="00D6312D"/>
    <w:rsid w:val="00D639DD"/>
    <w:rsid w:val="00D6472A"/>
    <w:rsid w:val="00D64E73"/>
    <w:rsid w:val="00D64F97"/>
    <w:rsid w:val="00D64FDC"/>
    <w:rsid w:val="00D653C1"/>
    <w:rsid w:val="00D65471"/>
    <w:rsid w:val="00D66081"/>
    <w:rsid w:val="00D66185"/>
    <w:rsid w:val="00D666AC"/>
    <w:rsid w:val="00D666CD"/>
    <w:rsid w:val="00D66B68"/>
    <w:rsid w:val="00D66DB6"/>
    <w:rsid w:val="00D67095"/>
    <w:rsid w:val="00D67105"/>
    <w:rsid w:val="00D67329"/>
    <w:rsid w:val="00D67A0B"/>
    <w:rsid w:val="00D67FEC"/>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3D28"/>
    <w:rsid w:val="00D74309"/>
    <w:rsid w:val="00D745D4"/>
    <w:rsid w:val="00D749CF"/>
    <w:rsid w:val="00D74B4B"/>
    <w:rsid w:val="00D75053"/>
    <w:rsid w:val="00D750E6"/>
    <w:rsid w:val="00D75261"/>
    <w:rsid w:val="00D75B0A"/>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80"/>
    <w:rsid w:val="00D84D23"/>
    <w:rsid w:val="00D84D38"/>
    <w:rsid w:val="00D84FA7"/>
    <w:rsid w:val="00D8608A"/>
    <w:rsid w:val="00D86BB2"/>
    <w:rsid w:val="00D86FAE"/>
    <w:rsid w:val="00D874B5"/>
    <w:rsid w:val="00D876BD"/>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405"/>
    <w:rsid w:val="00D92423"/>
    <w:rsid w:val="00D92511"/>
    <w:rsid w:val="00D9284E"/>
    <w:rsid w:val="00D928A2"/>
    <w:rsid w:val="00D92DD9"/>
    <w:rsid w:val="00D9349D"/>
    <w:rsid w:val="00D934D4"/>
    <w:rsid w:val="00D93624"/>
    <w:rsid w:val="00D936AB"/>
    <w:rsid w:val="00D93EE7"/>
    <w:rsid w:val="00D947A4"/>
    <w:rsid w:val="00D94871"/>
    <w:rsid w:val="00D9487D"/>
    <w:rsid w:val="00D94BA4"/>
    <w:rsid w:val="00D958FA"/>
    <w:rsid w:val="00D95CF2"/>
    <w:rsid w:val="00D96149"/>
    <w:rsid w:val="00D9651E"/>
    <w:rsid w:val="00D96D4E"/>
    <w:rsid w:val="00D976A9"/>
    <w:rsid w:val="00D977E9"/>
    <w:rsid w:val="00D9781D"/>
    <w:rsid w:val="00DA0C5C"/>
    <w:rsid w:val="00DA0E98"/>
    <w:rsid w:val="00DA1308"/>
    <w:rsid w:val="00DA1367"/>
    <w:rsid w:val="00DA161F"/>
    <w:rsid w:val="00DA1EEE"/>
    <w:rsid w:val="00DA2A13"/>
    <w:rsid w:val="00DA340E"/>
    <w:rsid w:val="00DA349B"/>
    <w:rsid w:val="00DA37E1"/>
    <w:rsid w:val="00DA3A2E"/>
    <w:rsid w:val="00DA3AE5"/>
    <w:rsid w:val="00DA3D29"/>
    <w:rsid w:val="00DA442D"/>
    <w:rsid w:val="00DA4622"/>
    <w:rsid w:val="00DA46A9"/>
    <w:rsid w:val="00DA5A00"/>
    <w:rsid w:val="00DA5A11"/>
    <w:rsid w:val="00DA5FDF"/>
    <w:rsid w:val="00DA6305"/>
    <w:rsid w:val="00DA6751"/>
    <w:rsid w:val="00DA773F"/>
    <w:rsid w:val="00DA792F"/>
    <w:rsid w:val="00DA7AFF"/>
    <w:rsid w:val="00DB03EB"/>
    <w:rsid w:val="00DB07AD"/>
    <w:rsid w:val="00DB0A9B"/>
    <w:rsid w:val="00DB0DDA"/>
    <w:rsid w:val="00DB0E78"/>
    <w:rsid w:val="00DB1068"/>
    <w:rsid w:val="00DB12B8"/>
    <w:rsid w:val="00DB245E"/>
    <w:rsid w:val="00DB2999"/>
    <w:rsid w:val="00DB2E12"/>
    <w:rsid w:val="00DB2F1D"/>
    <w:rsid w:val="00DB3604"/>
    <w:rsid w:val="00DB3960"/>
    <w:rsid w:val="00DB4069"/>
    <w:rsid w:val="00DB4317"/>
    <w:rsid w:val="00DB45A8"/>
    <w:rsid w:val="00DB46FE"/>
    <w:rsid w:val="00DB475D"/>
    <w:rsid w:val="00DB4892"/>
    <w:rsid w:val="00DB4B03"/>
    <w:rsid w:val="00DB4C9B"/>
    <w:rsid w:val="00DB53DE"/>
    <w:rsid w:val="00DB5CC5"/>
    <w:rsid w:val="00DB5F28"/>
    <w:rsid w:val="00DB6214"/>
    <w:rsid w:val="00DB74EE"/>
    <w:rsid w:val="00DB75D8"/>
    <w:rsid w:val="00DB7881"/>
    <w:rsid w:val="00DB7915"/>
    <w:rsid w:val="00DB7A8B"/>
    <w:rsid w:val="00DB7C0A"/>
    <w:rsid w:val="00DB7C23"/>
    <w:rsid w:val="00DB7F14"/>
    <w:rsid w:val="00DC00DD"/>
    <w:rsid w:val="00DC076C"/>
    <w:rsid w:val="00DC09B2"/>
    <w:rsid w:val="00DC0FB0"/>
    <w:rsid w:val="00DC1220"/>
    <w:rsid w:val="00DC2D23"/>
    <w:rsid w:val="00DC2D95"/>
    <w:rsid w:val="00DC35D2"/>
    <w:rsid w:val="00DC3648"/>
    <w:rsid w:val="00DC3A67"/>
    <w:rsid w:val="00DC3B5A"/>
    <w:rsid w:val="00DC4789"/>
    <w:rsid w:val="00DC4A1B"/>
    <w:rsid w:val="00DC4C92"/>
    <w:rsid w:val="00DC5128"/>
    <w:rsid w:val="00DC5DEB"/>
    <w:rsid w:val="00DC5EA8"/>
    <w:rsid w:val="00DC5FCC"/>
    <w:rsid w:val="00DC6B23"/>
    <w:rsid w:val="00DC716A"/>
    <w:rsid w:val="00DC75A4"/>
    <w:rsid w:val="00DC76C4"/>
    <w:rsid w:val="00DC7979"/>
    <w:rsid w:val="00DC7FB9"/>
    <w:rsid w:val="00DD06DA"/>
    <w:rsid w:val="00DD0761"/>
    <w:rsid w:val="00DD0C65"/>
    <w:rsid w:val="00DD0ED2"/>
    <w:rsid w:val="00DD0F8F"/>
    <w:rsid w:val="00DD10B4"/>
    <w:rsid w:val="00DD1AE2"/>
    <w:rsid w:val="00DD1C93"/>
    <w:rsid w:val="00DD1D99"/>
    <w:rsid w:val="00DD2546"/>
    <w:rsid w:val="00DD278E"/>
    <w:rsid w:val="00DD2BE9"/>
    <w:rsid w:val="00DD3184"/>
    <w:rsid w:val="00DD3684"/>
    <w:rsid w:val="00DD36A3"/>
    <w:rsid w:val="00DD4577"/>
    <w:rsid w:val="00DD4632"/>
    <w:rsid w:val="00DD4647"/>
    <w:rsid w:val="00DD48F8"/>
    <w:rsid w:val="00DD5690"/>
    <w:rsid w:val="00DD57DC"/>
    <w:rsid w:val="00DD5956"/>
    <w:rsid w:val="00DD5CA0"/>
    <w:rsid w:val="00DD5DC7"/>
    <w:rsid w:val="00DD61E8"/>
    <w:rsid w:val="00DD62C1"/>
    <w:rsid w:val="00DD668C"/>
    <w:rsid w:val="00DD66E5"/>
    <w:rsid w:val="00DD68B4"/>
    <w:rsid w:val="00DD7128"/>
    <w:rsid w:val="00DD747B"/>
    <w:rsid w:val="00DD76B9"/>
    <w:rsid w:val="00DE01BA"/>
    <w:rsid w:val="00DE0AAD"/>
    <w:rsid w:val="00DE0B29"/>
    <w:rsid w:val="00DE0F16"/>
    <w:rsid w:val="00DE1511"/>
    <w:rsid w:val="00DE17B3"/>
    <w:rsid w:val="00DE22DE"/>
    <w:rsid w:val="00DE23E6"/>
    <w:rsid w:val="00DE2C70"/>
    <w:rsid w:val="00DE2D66"/>
    <w:rsid w:val="00DE3139"/>
    <w:rsid w:val="00DE3375"/>
    <w:rsid w:val="00DE3C0D"/>
    <w:rsid w:val="00DE47C5"/>
    <w:rsid w:val="00DE48FF"/>
    <w:rsid w:val="00DE51B8"/>
    <w:rsid w:val="00DE52AD"/>
    <w:rsid w:val="00DE53DA"/>
    <w:rsid w:val="00DE58C9"/>
    <w:rsid w:val="00DE5FC8"/>
    <w:rsid w:val="00DE67E2"/>
    <w:rsid w:val="00DE6977"/>
    <w:rsid w:val="00DE70F9"/>
    <w:rsid w:val="00DE714B"/>
    <w:rsid w:val="00DE71F5"/>
    <w:rsid w:val="00DE7284"/>
    <w:rsid w:val="00DE72CD"/>
    <w:rsid w:val="00DE7385"/>
    <w:rsid w:val="00DE76FA"/>
    <w:rsid w:val="00DE7D3F"/>
    <w:rsid w:val="00DE7E1A"/>
    <w:rsid w:val="00DF0095"/>
    <w:rsid w:val="00DF00D3"/>
    <w:rsid w:val="00DF1504"/>
    <w:rsid w:val="00DF1B3A"/>
    <w:rsid w:val="00DF1BFF"/>
    <w:rsid w:val="00DF20A6"/>
    <w:rsid w:val="00DF20CC"/>
    <w:rsid w:val="00DF22D4"/>
    <w:rsid w:val="00DF24E8"/>
    <w:rsid w:val="00DF2527"/>
    <w:rsid w:val="00DF2DF6"/>
    <w:rsid w:val="00DF2F00"/>
    <w:rsid w:val="00DF40E0"/>
    <w:rsid w:val="00DF44E9"/>
    <w:rsid w:val="00DF4E10"/>
    <w:rsid w:val="00DF57F3"/>
    <w:rsid w:val="00DF5F60"/>
    <w:rsid w:val="00DF651B"/>
    <w:rsid w:val="00DF6805"/>
    <w:rsid w:val="00DF6889"/>
    <w:rsid w:val="00DF6B2F"/>
    <w:rsid w:val="00DF71A3"/>
    <w:rsid w:val="00DF7201"/>
    <w:rsid w:val="00DF77EC"/>
    <w:rsid w:val="00E0014A"/>
    <w:rsid w:val="00E00633"/>
    <w:rsid w:val="00E00A7C"/>
    <w:rsid w:val="00E0119E"/>
    <w:rsid w:val="00E0137F"/>
    <w:rsid w:val="00E018CC"/>
    <w:rsid w:val="00E01AB7"/>
    <w:rsid w:val="00E01FA3"/>
    <w:rsid w:val="00E02084"/>
    <w:rsid w:val="00E020C7"/>
    <w:rsid w:val="00E02418"/>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85C"/>
    <w:rsid w:val="00E05951"/>
    <w:rsid w:val="00E05AAF"/>
    <w:rsid w:val="00E061BD"/>
    <w:rsid w:val="00E06209"/>
    <w:rsid w:val="00E0649A"/>
    <w:rsid w:val="00E067A4"/>
    <w:rsid w:val="00E06A98"/>
    <w:rsid w:val="00E102BE"/>
    <w:rsid w:val="00E110B6"/>
    <w:rsid w:val="00E11C50"/>
    <w:rsid w:val="00E11E12"/>
    <w:rsid w:val="00E1235C"/>
    <w:rsid w:val="00E12736"/>
    <w:rsid w:val="00E1287F"/>
    <w:rsid w:val="00E12B6A"/>
    <w:rsid w:val="00E12BF5"/>
    <w:rsid w:val="00E12CA0"/>
    <w:rsid w:val="00E13444"/>
    <w:rsid w:val="00E13540"/>
    <w:rsid w:val="00E13782"/>
    <w:rsid w:val="00E1418E"/>
    <w:rsid w:val="00E14370"/>
    <w:rsid w:val="00E155DC"/>
    <w:rsid w:val="00E15D27"/>
    <w:rsid w:val="00E15D2E"/>
    <w:rsid w:val="00E16BD8"/>
    <w:rsid w:val="00E171ED"/>
    <w:rsid w:val="00E17305"/>
    <w:rsid w:val="00E1757B"/>
    <w:rsid w:val="00E175D6"/>
    <w:rsid w:val="00E20255"/>
    <w:rsid w:val="00E204ED"/>
    <w:rsid w:val="00E20526"/>
    <w:rsid w:val="00E20963"/>
    <w:rsid w:val="00E209F6"/>
    <w:rsid w:val="00E2166B"/>
    <w:rsid w:val="00E22121"/>
    <w:rsid w:val="00E223E2"/>
    <w:rsid w:val="00E22EEE"/>
    <w:rsid w:val="00E22EFC"/>
    <w:rsid w:val="00E24A4D"/>
    <w:rsid w:val="00E24F8C"/>
    <w:rsid w:val="00E25827"/>
    <w:rsid w:val="00E2582E"/>
    <w:rsid w:val="00E25BA5"/>
    <w:rsid w:val="00E265D1"/>
    <w:rsid w:val="00E268F7"/>
    <w:rsid w:val="00E26C71"/>
    <w:rsid w:val="00E276E9"/>
    <w:rsid w:val="00E27822"/>
    <w:rsid w:val="00E27F85"/>
    <w:rsid w:val="00E307FF"/>
    <w:rsid w:val="00E308B6"/>
    <w:rsid w:val="00E3103E"/>
    <w:rsid w:val="00E31552"/>
    <w:rsid w:val="00E3164E"/>
    <w:rsid w:val="00E31B04"/>
    <w:rsid w:val="00E31F49"/>
    <w:rsid w:val="00E3299C"/>
    <w:rsid w:val="00E329CC"/>
    <w:rsid w:val="00E32E99"/>
    <w:rsid w:val="00E33361"/>
    <w:rsid w:val="00E33B9E"/>
    <w:rsid w:val="00E33DD9"/>
    <w:rsid w:val="00E34559"/>
    <w:rsid w:val="00E34EEC"/>
    <w:rsid w:val="00E3552E"/>
    <w:rsid w:val="00E363D1"/>
    <w:rsid w:val="00E36931"/>
    <w:rsid w:val="00E3699B"/>
    <w:rsid w:val="00E36A1E"/>
    <w:rsid w:val="00E37130"/>
    <w:rsid w:val="00E372C0"/>
    <w:rsid w:val="00E375DF"/>
    <w:rsid w:val="00E3771F"/>
    <w:rsid w:val="00E37E08"/>
    <w:rsid w:val="00E406F8"/>
    <w:rsid w:val="00E4085A"/>
    <w:rsid w:val="00E40D38"/>
    <w:rsid w:val="00E4111F"/>
    <w:rsid w:val="00E411B1"/>
    <w:rsid w:val="00E4136C"/>
    <w:rsid w:val="00E421C5"/>
    <w:rsid w:val="00E42565"/>
    <w:rsid w:val="00E42925"/>
    <w:rsid w:val="00E42E62"/>
    <w:rsid w:val="00E43312"/>
    <w:rsid w:val="00E43A71"/>
    <w:rsid w:val="00E43DD4"/>
    <w:rsid w:val="00E43EE1"/>
    <w:rsid w:val="00E44305"/>
    <w:rsid w:val="00E444F7"/>
    <w:rsid w:val="00E446A7"/>
    <w:rsid w:val="00E44F76"/>
    <w:rsid w:val="00E451F4"/>
    <w:rsid w:val="00E45C0F"/>
    <w:rsid w:val="00E46187"/>
    <w:rsid w:val="00E4678B"/>
    <w:rsid w:val="00E46A43"/>
    <w:rsid w:val="00E46AC7"/>
    <w:rsid w:val="00E46DD0"/>
    <w:rsid w:val="00E47952"/>
    <w:rsid w:val="00E47B69"/>
    <w:rsid w:val="00E47DE5"/>
    <w:rsid w:val="00E47FE6"/>
    <w:rsid w:val="00E5003B"/>
    <w:rsid w:val="00E50C0D"/>
    <w:rsid w:val="00E51285"/>
    <w:rsid w:val="00E5165F"/>
    <w:rsid w:val="00E51808"/>
    <w:rsid w:val="00E51AC3"/>
    <w:rsid w:val="00E51F62"/>
    <w:rsid w:val="00E51FD6"/>
    <w:rsid w:val="00E52464"/>
    <w:rsid w:val="00E52D71"/>
    <w:rsid w:val="00E535BE"/>
    <w:rsid w:val="00E54268"/>
    <w:rsid w:val="00E54621"/>
    <w:rsid w:val="00E54B3E"/>
    <w:rsid w:val="00E54DD9"/>
    <w:rsid w:val="00E5520B"/>
    <w:rsid w:val="00E5603E"/>
    <w:rsid w:val="00E560D7"/>
    <w:rsid w:val="00E56748"/>
    <w:rsid w:val="00E56850"/>
    <w:rsid w:val="00E56A42"/>
    <w:rsid w:val="00E56E04"/>
    <w:rsid w:val="00E57399"/>
    <w:rsid w:val="00E5744A"/>
    <w:rsid w:val="00E575DD"/>
    <w:rsid w:val="00E575E8"/>
    <w:rsid w:val="00E57B17"/>
    <w:rsid w:val="00E57BF7"/>
    <w:rsid w:val="00E60236"/>
    <w:rsid w:val="00E606B4"/>
    <w:rsid w:val="00E61337"/>
    <w:rsid w:val="00E61B2B"/>
    <w:rsid w:val="00E620D6"/>
    <w:rsid w:val="00E62172"/>
    <w:rsid w:val="00E6225E"/>
    <w:rsid w:val="00E622A0"/>
    <w:rsid w:val="00E628AB"/>
    <w:rsid w:val="00E62907"/>
    <w:rsid w:val="00E62921"/>
    <w:rsid w:val="00E62B8F"/>
    <w:rsid w:val="00E62F87"/>
    <w:rsid w:val="00E630FB"/>
    <w:rsid w:val="00E63151"/>
    <w:rsid w:val="00E63FA9"/>
    <w:rsid w:val="00E641E5"/>
    <w:rsid w:val="00E64AA0"/>
    <w:rsid w:val="00E64B9C"/>
    <w:rsid w:val="00E64FDC"/>
    <w:rsid w:val="00E65001"/>
    <w:rsid w:val="00E6516B"/>
    <w:rsid w:val="00E65472"/>
    <w:rsid w:val="00E65C0B"/>
    <w:rsid w:val="00E65EE5"/>
    <w:rsid w:val="00E66858"/>
    <w:rsid w:val="00E66891"/>
    <w:rsid w:val="00E66C58"/>
    <w:rsid w:val="00E672F9"/>
    <w:rsid w:val="00E6737E"/>
    <w:rsid w:val="00E67538"/>
    <w:rsid w:val="00E67A82"/>
    <w:rsid w:val="00E67C6D"/>
    <w:rsid w:val="00E70007"/>
    <w:rsid w:val="00E70085"/>
    <w:rsid w:val="00E70ABC"/>
    <w:rsid w:val="00E70BE9"/>
    <w:rsid w:val="00E70DF1"/>
    <w:rsid w:val="00E7116B"/>
    <w:rsid w:val="00E714BC"/>
    <w:rsid w:val="00E715BD"/>
    <w:rsid w:val="00E7179E"/>
    <w:rsid w:val="00E721B1"/>
    <w:rsid w:val="00E7230D"/>
    <w:rsid w:val="00E725EE"/>
    <w:rsid w:val="00E7297A"/>
    <w:rsid w:val="00E72FE9"/>
    <w:rsid w:val="00E732D1"/>
    <w:rsid w:val="00E7330A"/>
    <w:rsid w:val="00E7386D"/>
    <w:rsid w:val="00E73882"/>
    <w:rsid w:val="00E74221"/>
    <w:rsid w:val="00E74670"/>
    <w:rsid w:val="00E7483D"/>
    <w:rsid w:val="00E75525"/>
    <w:rsid w:val="00E759F4"/>
    <w:rsid w:val="00E75B44"/>
    <w:rsid w:val="00E75BCA"/>
    <w:rsid w:val="00E75D56"/>
    <w:rsid w:val="00E765B0"/>
    <w:rsid w:val="00E76604"/>
    <w:rsid w:val="00E76BEC"/>
    <w:rsid w:val="00E7795B"/>
    <w:rsid w:val="00E77E92"/>
    <w:rsid w:val="00E8018B"/>
    <w:rsid w:val="00E8030E"/>
    <w:rsid w:val="00E80E8F"/>
    <w:rsid w:val="00E81263"/>
    <w:rsid w:val="00E81501"/>
    <w:rsid w:val="00E82160"/>
    <w:rsid w:val="00E829A0"/>
    <w:rsid w:val="00E82A9F"/>
    <w:rsid w:val="00E82F56"/>
    <w:rsid w:val="00E830BF"/>
    <w:rsid w:val="00E83314"/>
    <w:rsid w:val="00E83438"/>
    <w:rsid w:val="00E8356D"/>
    <w:rsid w:val="00E839DF"/>
    <w:rsid w:val="00E839F1"/>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E89"/>
    <w:rsid w:val="00E85FD6"/>
    <w:rsid w:val="00E860A7"/>
    <w:rsid w:val="00E861EC"/>
    <w:rsid w:val="00E86D41"/>
    <w:rsid w:val="00E871A4"/>
    <w:rsid w:val="00E871B3"/>
    <w:rsid w:val="00E871F8"/>
    <w:rsid w:val="00E872A5"/>
    <w:rsid w:val="00E87A0A"/>
    <w:rsid w:val="00E87AC3"/>
    <w:rsid w:val="00E87D1B"/>
    <w:rsid w:val="00E90243"/>
    <w:rsid w:val="00E90C9E"/>
    <w:rsid w:val="00E913EB"/>
    <w:rsid w:val="00E91CA1"/>
    <w:rsid w:val="00E91EF6"/>
    <w:rsid w:val="00E923FE"/>
    <w:rsid w:val="00E92737"/>
    <w:rsid w:val="00E92754"/>
    <w:rsid w:val="00E92B43"/>
    <w:rsid w:val="00E92B87"/>
    <w:rsid w:val="00E92C1F"/>
    <w:rsid w:val="00E92E2D"/>
    <w:rsid w:val="00E938E5"/>
    <w:rsid w:val="00E93A36"/>
    <w:rsid w:val="00E93E5C"/>
    <w:rsid w:val="00E94F82"/>
    <w:rsid w:val="00E956BC"/>
    <w:rsid w:val="00E957EE"/>
    <w:rsid w:val="00E95A9A"/>
    <w:rsid w:val="00E95D2B"/>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8EE"/>
    <w:rsid w:val="00EA4A39"/>
    <w:rsid w:val="00EA4BA7"/>
    <w:rsid w:val="00EA50F2"/>
    <w:rsid w:val="00EA5410"/>
    <w:rsid w:val="00EA5428"/>
    <w:rsid w:val="00EA5890"/>
    <w:rsid w:val="00EA599D"/>
    <w:rsid w:val="00EA59F7"/>
    <w:rsid w:val="00EA5B0B"/>
    <w:rsid w:val="00EA5B71"/>
    <w:rsid w:val="00EA5CD9"/>
    <w:rsid w:val="00EA65D8"/>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8B3"/>
    <w:rsid w:val="00EB4D02"/>
    <w:rsid w:val="00EB54F2"/>
    <w:rsid w:val="00EB5812"/>
    <w:rsid w:val="00EB595D"/>
    <w:rsid w:val="00EB6295"/>
    <w:rsid w:val="00EB693B"/>
    <w:rsid w:val="00EB6CA3"/>
    <w:rsid w:val="00EB6CD4"/>
    <w:rsid w:val="00EB7135"/>
    <w:rsid w:val="00EB719E"/>
    <w:rsid w:val="00EB7474"/>
    <w:rsid w:val="00EB7AAA"/>
    <w:rsid w:val="00EC0586"/>
    <w:rsid w:val="00EC0EEB"/>
    <w:rsid w:val="00EC114D"/>
    <w:rsid w:val="00EC150B"/>
    <w:rsid w:val="00EC167D"/>
    <w:rsid w:val="00EC214D"/>
    <w:rsid w:val="00EC24A6"/>
    <w:rsid w:val="00EC2B01"/>
    <w:rsid w:val="00EC2C90"/>
    <w:rsid w:val="00EC2EAE"/>
    <w:rsid w:val="00EC30FA"/>
    <w:rsid w:val="00EC3187"/>
    <w:rsid w:val="00EC330C"/>
    <w:rsid w:val="00EC341C"/>
    <w:rsid w:val="00EC43FC"/>
    <w:rsid w:val="00EC4452"/>
    <w:rsid w:val="00EC4461"/>
    <w:rsid w:val="00EC504C"/>
    <w:rsid w:val="00EC5BAC"/>
    <w:rsid w:val="00EC5D5F"/>
    <w:rsid w:val="00EC6244"/>
    <w:rsid w:val="00EC63E4"/>
    <w:rsid w:val="00EC68F4"/>
    <w:rsid w:val="00EC6A0B"/>
    <w:rsid w:val="00EC6EFF"/>
    <w:rsid w:val="00EC72E9"/>
    <w:rsid w:val="00EC746A"/>
    <w:rsid w:val="00EC7851"/>
    <w:rsid w:val="00EC7EF9"/>
    <w:rsid w:val="00ED0364"/>
    <w:rsid w:val="00ED07F0"/>
    <w:rsid w:val="00ED113D"/>
    <w:rsid w:val="00ED1831"/>
    <w:rsid w:val="00ED1D85"/>
    <w:rsid w:val="00ED232D"/>
    <w:rsid w:val="00ED2545"/>
    <w:rsid w:val="00ED2632"/>
    <w:rsid w:val="00ED2C4F"/>
    <w:rsid w:val="00ED305A"/>
    <w:rsid w:val="00ED374B"/>
    <w:rsid w:val="00ED37C0"/>
    <w:rsid w:val="00ED3811"/>
    <w:rsid w:val="00ED38A4"/>
    <w:rsid w:val="00ED3AB5"/>
    <w:rsid w:val="00ED477E"/>
    <w:rsid w:val="00ED4855"/>
    <w:rsid w:val="00ED4A3F"/>
    <w:rsid w:val="00ED4EFB"/>
    <w:rsid w:val="00ED5334"/>
    <w:rsid w:val="00ED5D29"/>
    <w:rsid w:val="00ED622C"/>
    <w:rsid w:val="00ED62EE"/>
    <w:rsid w:val="00ED660F"/>
    <w:rsid w:val="00ED73FA"/>
    <w:rsid w:val="00ED7501"/>
    <w:rsid w:val="00ED7A2F"/>
    <w:rsid w:val="00ED7B38"/>
    <w:rsid w:val="00ED7EC8"/>
    <w:rsid w:val="00EE007E"/>
    <w:rsid w:val="00EE08C8"/>
    <w:rsid w:val="00EE08F2"/>
    <w:rsid w:val="00EE0E41"/>
    <w:rsid w:val="00EE0F4A"/>
    <w:rsid w:val="00EE14B4"/>
    <w:rsid w:val="00EE168C"/>
    <w:rsid w:val="00EE16EF"/>
    <w:rsid w:val="00EE1AE0"/>
    <w:rsid w:val="00EE1D1B"/>
    <w:rsid w:val="00EE1E99"/>
    <w:rsid w:val="00EE273D"/>
    <w:rsid w:val="00EE2B86"/>
    <w:rsid w:val="00EE2E1A"/>
    <w:rsid w:val="00EE320F"/>
    <w:rsid w:val="00EE3BEC"/>
    <w:rsid w:val="00EE3EEA"/>
    <w:rsid w:val="00EE412D"/>
    <w:rsid w:val="00EE4176"/>
    <w:rsid w:val="00EE447B"/>
    <w:rsid w:val="00EE471B"/>
    <w:rsid w:val="00EE4CFA"/>
    <w:rsid w:val="00EE51F2"/>
    <w:rsid w:val="00EE54D8"/>
    <w:rsid w:val="00EE5570"/>
    <w:rsid w:val="00EE5604"/>
    <w:rsid w:val="00EE5AAB"/>
    <w:rsid w:val="00EE6F51"/>
    <w:rsid w:val="00EE7274"/>
    <w:rsid w:val="00EE72E3"/>
    <w:rsid w:val="00EE75AD"/>
    <w:rsid w:val="00EE761F"/>
    <w:rsid w:val="00EE7899"/>
    <w:rsid w:val="00EE7A37"/>
    <w:rsid w:val="00EE7E5C"/>
    <w:rsid w:val="00EF00E8"/>
    <w:rsid w:val="00EF0162"/>
    <w:rsid w:val="00EF055E"/>
    <w:rsid w:val="00EF064C"/>
    <w:rsid w:val="00EF066E"/>
    <w:rsid w:val="00EF17FB"/>
    <w:rsid w:val="00EF1A32"/>
    <w:rsid w:val="00EF2903"/>
    <w:rsid w:val="00EF2999"/>
    <w:rsid w:val="00EF36DB"/>
    <w:rsid w:val="00EF37C9"/>
    <w:rsid w:val="00EF38D5"/>
    <w:rsid w:val="00EF3B18"/>
    <w:rsid w:val="00EF3E68"/>
    <w:rsid w:val="00EF3F49"/>
    <w:rsid w:val="00EF4336"/>
    <w:rsid w:val="00EF49A2"/>
    <w:rsid w:val="00EF53C7"/>
    <w:rsid w:val="00EF55C9"/>
    <w:rsid w:val="00EF5650"/>
    <w:rsid w:val="00EF5AF1"/>
    <w:rsid w:val="00EF64AB"/>
    <w:rsid w:val="00EF706B"/>
    <w:rsid w:val="00EF73DC"/>
    <w:rsid w:val="00EF7A6C"/>
    <w:rsid w:val="00EF7D05"/>
    <w:rsid w:val="00F00188"/>
    <w:rsid w:val="00F00F15"/>
    <w:rsid w:val="00F013FF"/>
    <w:rsid w:val="00F015E2"/>
    <w:rsid w:val="00F02284"/>
    <w:rsid w:val="00F02E10"/>
    <w:rsid w:val="00F0332B"/>
    <w:rsid w:val="00F03B6E"/>
    <w:rsid w:val="00F03E80"/>
    <w:rsid w:val="00F0434C"/>
    <w:rsid w:val="00F0439D"/>
    <w:rsid w:val="00F043A5"/>
    <w:rsid w:val="00F04DFE"/>
    <w:rsid w:val="00F054F3"/>
    <w:rsid w:val="00F05649"/>
    <w:rsid w:val="00F056DD"/>
    <w:rsid w:val="00F058A2"/>
    <w:rsid w:val="00F058C7"/>
    <w:rsid w:val="00F0594B"/>
    <w:rsid w:val="00F05B99"/>
    <w:rsid w:val="00F05BC3"/>
    <w:rsid w:val="00F05EAF"/>
    <w:rsid w:val="00F06627"/>
    <w:rsid w:val="00F066AB"/>
    <w:rsid w:val="00F06944"/>
    <w:rsid w:val="00F077B0"/>
    <w:rsid w:val="00F07A76"/>
    <w:rsid w:val="00F10004"/>
    <w:rsid w:val="00F10615"/>
    <w:rsid w:val="00F1069E"/>
    <w:rsid w:val="00F110A3"/>
    <w:rsid w:val="00F11350"/>
    <w:rsid w:val="00F113AC"/>
    <w:rsid w:val="00F11E08"/>
    <w:rsid w:val="00F121B7"/>
    <w:rsid w:val="00F12611"/>
    <w:rsid w:val="00F12B59"/>
    <w:rsid w:val="00F12D35"/>
    <w:rsid w:val="00F12D6B"/>
    <w:rsid w:val="00F133A4"/>
    <w:rsid w:val="00F13AB0"/>
    <w:rsid w:val="00F13D21"/>
    <w:rsid w:val="00F14814"/>
    <w:rsid w:val="00F15042"/>
    <w:rsid w:val="00F150DB"/>
    <w:rsid w:val="00F15600"/>
    <w:rsid w:val="00F15749"/>
    <w:rsid w:val="00F16372"/>
    <w:rsid w:val="00F16838"/>
    <w:rsid w:val="00F16CEC"/>
    <w:rsid w:val="00F16FD8"/>
    <w:rsid w:val="00F17055"/>
    <w:rsid w:val="00F1707E"/>
    <w:rsid w:val="00F174CF"/>
    <w:rsid w:val="00F175F0"/>
    <w:rsid w:val="00F17645"/>
    <w:rsid w:val="00F17C7F"/>
    <w:rsid w:val="00F17F35"/>
    <w:rsid w:val="00F201A9"/>
    <w:rsid w:val="00F20A06"/>
    <w:rsid w:val="00F20F9A"/>
    <w:rsid w:val="00F21495"/>
    <w:rsid w:val="00F214E8"/>
    <w:rsid w:val="00F21EF2"/>
    <w:rsid w:val="00F22B53"/>
    <w:rsid w:val="00F2310A"/>
    <w:rsid w:val="00F2375F"/>
    <w:rsid w:val="00F23809"/>
    <w:rsid w:val="00F23912"/>
    <w:rsid w:val="00F23E8F"/>
    <w:rsid w:val="00F24461"/>
    <w:rsid w:val="00F244A4"/>
    <w:rsid w:val="00F24520"/>
    <w:rsid w:val="00F246B6"/>
    <w:rsid w:val="00F25190"/>
    <w:rsid w:val="00F2655B"/>
    <w:rsid w:val="00F26601"/>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869"/>
    <w:rsid w:val="00F34873"/>
    <w:rsid w:val="00F34EA6"/>
    <w:rsid w:val="00F352D1"/>
    <w:rsid w:val="00F355E8"/>
    <w:rsid w:val="00F35877"/>
    <w:rsid w:val="00F358D6"/>
    <w:rsid w:val="00F364D4"/>
    <w:rsid w:val="00F36916"/>
    <w:rsid w:val="00F36C0C"/>
    <w:rsid w:val="00F36D54"/>
    <w:rsid w:val="00F36EA2"/>
    <w:rsid w:val="00F37002"/>
    <w:rsid w:val="00F371B0"/>
    <w:rsid w:val="00F37FEF"/>
    <w:rsid w:val="00F4097B"/>
    <w:rsid w:val="00F40A32"/>
    <w:rsid w:val="00F40BCC"/>
    <w:rsid w:val="00F41186"/>
    <w:rsid w:val="00F4259B"/>
    <w:rsid w:val="00F42716"/>
    <w:rsid w:val="00F4282F"/>
    <w:rsid w:val="00F4293C"/>
    <w:rsid w:val="00F4315E"/>
    <w:rsid w:val="00F43CAC"/>
    <w:rsid w:val="00F43D41"/>
    <w:rsid w:val="00F440E8"/>
    <w:rsid w:val="00F44234"/>
    <w:rsid w:val="00F44684"/>
    <w:rsid w:val="00F450ED"/>
    <w:rsid w:val="00F45177"/>
    <w:rsid w:val="00F45202"/>
    <w:rsid w:val="00F4538A"/>
    <w:rsid w:val="00F45442"/>
    <w:rsid w:val="00F459F0"/>
    <w:rsid w:val="00F45C57"/>
    <w:rsid w:val="00F45C7C"/>
    <w:rsid w:val="00F461A5"/>
    <w:rsid w:val="00F463F9"/>
    <w:rsid w:val="00F472BD"/>
    <w:rsid w:val="00F4758F"/>
    <w:rsid w:val="00F501B9"/>
    <w:rsid w:val="00F505EE"/>
    <w:rsid w:val="00F50DBC"/>
    <w:rsid w:val="00F50DD9"/>
    <w:rsid w:val="00F5177A"/>
    <w:rsid w:val="00F52150"/>
    <w:rsid w:val="00F522B6"/>
    <w:rsid w:val="00F533E0"/>
    <w:rsid w:val="00F53693"/>
    <w:rsid w:val="00F5383A"/>
    <w:rsid w:val="00F53957"/>
    <w:rsid w:val="00F5522F"/>
    <w:rsid w:val="00F55279"/>
    <w:rsid w:val="00F553EC"/>
    <w:rsid w:val="00F558F1"/>
    <w:rsid w:val="00F55FA4"/>
    <w:rsid w:val="00F5676D"/>
    <w:rsid w:val="00F5696C"/>
    <w:rsid w:val="00F57292"/>
    <w:rsid w:val="00F57304"/>
    <w:rsid w:val="00F5740B"/>
    <w:rsid w:val="00F60D85"/>
    <w:rsid w:val="00F61231"/>
    <w:rsid w:val="00F61E2B"/>
    <w:rsid w:val="00F620FC"/>
    <w:rsid w:val="00F621EC"/>
    <w:rsid w:val="00F62FA2"/>
    <w:rsid w:val="00F636F5"/>
    <w:rsid w:val="00F64E7A"/>
    <w:rsid w:val="00F65139"/>
    <w:rsid w:val="00F65677"/>
    <w:rsid w:val="00F66AAB"/>
    <w:rsid w:val="00F66DDC"/>
    <w:rsid w:val="00F672FE"/>
    <w:rsid w:val="00F67B93"/>
    <w:rsid w:val="00F705FD"/>
    <w:rsid w:val="00F706A4"/>
    <w:rsid w:val="00F70C8C"/>
    <w:rsid w:val="00F70CF8"/>
    <w:rsid w:val="00F70F0C"/>
    <w:rsid w:val="00F70F39"/>
    <w:rsid w:val="00F714AD"/>
    <w:rsid w:val="00F7172C"/>
    <w:rsid w:val="00F71D13"/>
    <w:rsid w:val="00F71E4A"/>
    <w:rsid w:val="00F729AF"/>
    <w:rsid w:val="00F729D2"/>
    <w:rsid w:val="00F730B4"/>
    <w:rsid w:val="00F737EA"/>
    <w:rsid w:val="00F7382A"/>
    <w:rsid w:val="00F7422B"/>
    <w:rsid w:val="00F742EA"/>
    <w:rsid w:val="00F74E6F"/>
    <w:rsid w:val="00F75082"/>
    <w:rsid w:val="00F76235"/>
    <w:rsid w:val="00F76FAE"/>
    <w:rsid w:val="00F773BC"/>
    <w:rsid w:val="00F77526"/>
    <w:rsid w:val="00F77F8C"/>
    <w:rsid w:val="00F803C7"/>
    <w:rsid w:val="00F80D98"/>
    <w:rsid w:val="00F80F1C"/>
    <w:rsid w:val="00F8126A"/>
    <w:rsid w:val="00F812D0"/>
    <w:rsid w:val="00F81640"/>
    <w:rsid w:val="00F819AA"/>
    <w:rsid w:val="00F81AEE"/>
    <w:rsid w:val="00F81DDA"/>
    <w:rsid w:val="00F8211C"/>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170"/>
    <w:rsid w:val="00F873AF"/>
    <w:rsid w:val="00F87558"/>
    <w:rsid w:val="00F875BC"/>
    <w:rsid w:val="00F876C7"/>
    <w:rsid w:val="00F900C0"/>
    <w:rsid w:val="00F90503"/>
    <w:rsid w:val="00F9054D"/>
    <w:rsid w:val="00F91972"/>
    <w:rsid w:val="00F91B56"/>
    <w:rsid w:val="00F91EF4"/>
    <w:rsid w:val="00F922D7"/>
    <w:rsid w:val="00F92794"/>
    <w:rsid w:val="00F92F14"/>
    <w:rsid w:val="00F9369D"/>
    <w:rsid w:val="00F93DBC"/>
    <w:rsid w:val="00F94189"/>
    <w:rsid w:val="00F9432A"/>
    <w:rsid w:val="00F946B3"/>
    <w:rsid w:val="00F94E95"/>
    <w:rsid w:val="00F94EE6"/>
    <w:rsid w:val="00F951EA"/>
    <w:rsid w:val="00F951FC"/>
    <w:rsid w:val="00F95806"/>
    <w:rsid w:val="00F95A33"/>
    <w:rsid w:val="00F96160"/>
    <w:rsid w:val="00F9632F"/>
    <w:rsid w:val="00F9634C"/>
    <w:rsid w:val="00F96946"/>
    <w:rsid w:val="00F96D9D"/>
    <w:rsid w:val="00F96FFE"/>
    <w:rsid w:val="00F970C5"/>
    <w:rsid w:val="00F97212"/>
    <w:rsid w:val="00F9740C"/>
    <w:rsid w:val="00F97725"/>
    <w:rsid w:val="00F978F3"/>
    <w:rsid w:val="00F97ED9"/>
    <w:rsid w:val="00FA011E"/>
    <w:rsid w:val="00FA07C8"/>
    <w:rsid w:val="00FA0FAC"/>
    <w:rsid w:val="00FA1143"/>
    <w:rsid w:val="00FA1371"/>
    <w:rsid w:val="00FA21E2"/>
    <w:rsid w:val="00FA2986"/>
    <w:rsid w:val="00FA32A4"/>
    <w:rsid w:val="00FA3AD8"/>
    <w:rsid w:val="00FA3AFC"/>
    <w:rsid w:val="00FA43A8"/>
    <w:rsid w:val="00FA47E2"/>
    <w:rsid w:val="00FA4853"/>
    <w:rsid w:val="00FA49E6"/>
    <w:rsid w:val="00FA4B13"/>
    <w:rsid w:val="00FA5645"/>
    <w:rsid w:val="00FA57F9"/>
    <w:rsid w:val="00FA6B2D"/>
    <w:rsid w:val="00FA76A7"/>
    <w:rsid w:val="00FB02F0"/>
    <w:rsid w:val="00FB0728"/>
    <w:rsid w:val="00FB13A4"/>
    <w:rsid w:val="00FB14B8"/>
    <w:rsid w:val="00FB1B8E"/>
    <w:rsid w:val="00FB1FD0"/>
    <w:rsid w:val="00FB1FDC"/>
    <w:rsid w:val="00FB24B5"/>
    <w:rsid w:val="00FB24BA"/>
    <w:rsid w:val="00FB35DF"/>
    <w:rsid w:val="00FB3DFE"/>
    <w:rsid w:val="00FB3FFE"/>
    <w:rsid w:val="00FB41BF"/>
    <w:rsid w:val="00FB426B"/>
    <w:rsid w:val="00FB451F"/>
    <w:rsid w:val="00FB480D"/>
    <w:rsid w:val="00FB48E1"/>
    <w:rsid w:val="00FB524B"/>
    <w:rsid w:val="00FB53C7"/>
    <w:rsid w:val="00FB5710"/>
    <w:rsid w:val="00FB5962"/>
    <w:rsid w:val="00FB5981"/>
    <w:rsid w:val="00FB6258"/>
    <w:rsid w:val="00FB64D4"/>
    <w:rsid w:val="00FB6759"/>
    <w:rsid w:val="00FB676E"/>
    <w:rsid w:val="00FB67CE"/>
    <w:rsid w:val="00FB6CE3"/>
    <w:rsid w:val="00FB6CF9"/>
    <w:rsid w:val="00FB7457"/>
    <w:rsid w:val="00FB7A40"/>
    <w:rsid w:val="00FB7BD7"/>
    <w:rsid w:val="00FC00F8"/>
    <w:rsid w:val="00FC036A"/>
    <w:rsid w:val="00FC05F4"/>
    <w:rsid w:val="00FC0C36"/>
    <w:rsid w:val="00FC16B9"/>
    <w:rsid w:val="00FC1BCF"/>
    <w:rsid w:val="00FC1DA8"/>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9A8"/>
    <w:rsid w:val="00FC5512"/>
    <w:rsid w:val="00FC60E6"/>
    <w:rsid w:val="00FC650F"/>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4A16"/>
    <w:rsid w:val="00FD4C96"/>
    <w:rsid w:val="00FD61F8"/>
    <w:rsid w:val="00FD6386"/>
    <w:rsid w:val="00FD6504"/>
    <w:rsid w:val="00FD772E"/>
    <w:rsid w:val="00FD78A1"/>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7CBB"/>
    <w:rsid w:val="00FE7D80"/>
    <w:rsid w:val="00FF0180"/>
    <w:rsid w:val="00FF05B0"/>
    <w:rsid w:val="00FF07A8"/>
    <w:rsid w:val="00FF09C6"/>
    <w:rsid w:val="00FF1247"/>
    <w:rsid w:val="00FF1946"/>
    <w:rsid w:val="00FF1E34"/>
    <w:rsid w:val="00FF1FCA"/>
    <w:rsid w:val="00FF20E9"/>
    <w:rsid w:val="00FF21B3"/>
    <w:rsid w:val="00FF2208"/>
    <w:rsid w:val="00FF2855"/>
    <w:rsid w:val="00FF3820"/>
    <w:rsid w:val="00FF395F"/>
    <w:rsid w:val="00FF40C2"/>
    <w:rsid w:val="00FF4769"/>
    <w:rsid w:val="00FF4C75"/>
    <w:rsid w:val="00FF4EF4"/>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37C2E"/>
  <w15:chartTrackingRefBased/>
  <w15:docId w15:val="{3283FC0C-7EEE-4435-9F22-C5CB9442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80B"/>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8A380B"/>
    <w:pPr>
      <w:keepNext/>
      <w:keepLines/>
      <w:numPr>
        <w:numId w:val="33"/>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A380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A380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A380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A380B"/>
    <w:pPr>
      <w:keepNext/>
      <w:numPr>
        <w:numId w:val="14"/>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A380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A380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A380B"/>
    <w:pPr>
      <w:ind w:left="993"/>
      <w:outlineLvl w:val="7"/>
    </w:pPr>
    <w:rPr>
      <w:color w:val="321547"/>
      <w:szCs w:val="22"/>
      <w:u w:val="dotDotDash"/>
    </w:rPr>
  </w:style>
  <w:style w:type="paragraph" w:styleId="Ttulo9">
    <w:name w:val="heading 9"/>
    <w:basedOn w:val="Ttulo8"/>
    <w:next w:val="Normal"/>
    <w:link w:val="Ttulo9Car"/>
    <w:uiPriority w:val="9"/>
    <w:unhideWhenUsed/>
    <w:qFormat/>
    <w:rsid w:val="008A380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A380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A380B"/>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8A380B"/>
    <w:rPr>
      <w:color w:val="0563C1" w:themeColor="hyperlink"/>
      <w:u w:val="single"/>
    </w:rPr>
  </w:style>
  <w:style w:type="paragraph" w:styleId="Textonotapie">
    <w:name w:val="footnote text"/>
    <w:aliases w:val="Nota a pie de página"/>
    <w:basedOn w:val="Normal"/>
    <w:link w:val="TextonotapieCar"/>
    <w:uiPriority w:val="99"/>
    <w:unhideWhenUsed/>
    <w:qFormat/>
    <w:rsid w:val="008A380B"/>
    <w:pPr>
      <w:keepLines/>
      <w:spacing w:after="40" w:line="240" w:lineRule="auto"/>
    </w:pPr>
    <w:rPr>
      <w:sz w:val="16"/>
      <w:szCs w:val="20"/>
    </w:rPr>
  </w:style>
  <w:style w:type="character" w:styleId="Refdenotaalpie">
    <w:name w:val="footnote reference"/>
    <w:basedOn w:val="Fuentedeprrafopredeter"/>
    <w:uiPriority w:val="99"/>
    <w:unhideWhenUsed/>
    <w:rsid w:val="008A380B"/>
    <w:rPr>
      <w:vertAlign w:val="superscript"/>
    </w:rPr>
  </w:style>
  <w:style w:type="table" w:styleId="Tablaconcuadrcula">
    <w:name w:val="Table Grid"/>
    <w:basedOn w:val="Tablanormal"/>
    <w:uiPriority w:val="39"/>
    <w:rsid w:val="008A380B"/>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8A380B"/>
    <w:rPr>
      <w:rFonts w:ascii="Segoe UI" w:hAnsi="Segoe UI" w:cs="Segoe UI"/>
      <w:sz w:val="18"/>
      <w:szCs w:val="18"/>
    </w:rPr>
  </w:style>
  <w:style w:type="paragraph" w:styleId="Prrafodelista">
    <w:name w:val="List Paragraph"/>
    <w:basedOn w:val="Normal"/>
    <w:uiPriority w:val="34"/>
    <w:rsid w:val="008A380B"/>
    <w:pPr>
      <w:ind w:left="720"/>
      <w:contextualSpacing/>
    </w:pPr>
  </w:style>
  <w:style w:type="character" w:customStyle="1" w:styleId="TextonotapieCar">
    <w:name w:val="Texto nota pie Car"/>
    <w:aliases w:val="Nota a pie de página Car"/>
    <w:basedOn w:val="Fuentedeprrafopredeter"/>
    <w:link w:val="Textonotapie"/>
    <w:uiPriority w:val="99"/>
    <w:rsid w:val="008A380B"/>
    <w:rPr>
      <w:rFonts w:ascii="Palatino Linotype" w:eastAsiaTheme="minorHAnsi" w:hAnsi="Palatino Linotype" w:cstheme="minorBidi"/>
      <w:sz w:val="16"/>
      <w:lang w:eastAsia="en-US"/>
    </w:rPr>
  </w:style>
  <w:style w:type="paragraph" w:customStyle="1" w:styleId="Footnote">
    <w:name w:val="Footnote"/>
    <w:basedOn w:val="Normal"/>
    <w:rsid w:val="00B1535E"/>
    <w:pPr>
      <w:widowControl w:val="0"/>
      <w:suppressLineNumbers/>
      <w:suppressAutoHyphens/>
      <w:autoSpaceDN w:val="0"/>
      <w:ind w:left="283" w:hanging="283"/>
      <w:textAlignment w:val="baseline"/>
    </w:pPr>
    <w:rPr>
      <w:rFonts w:eastAsia="SimSun" w:cs="Mangal"/>
      <w:kern w:val="3"/>
      <w:sz w:val="20"/>
      <w:szCs w:val="20"/>
      <w:lang w:eastAsia="zh-CN" w:bidi="hi-IN"/>
    </w:rPr>
  </w:style>
  <w:style w:type="paragraph" w:styleId="NormalWeb">
    <w:name w:val="Normal (Web)"/>
    <w:basedOn w:val="Normal"/>
    <w:rsid w:val="00666DC5"/>
    <w:pPr>
      <w:spacing w:before="100" w:beforeAutospacing="1" w:after="100" w:afterAutospacing="1"/>
    </w:pPr>
    <w:rPr>
      <w:rFonts w:eastAsia="Batang"/>
      <w:lang w:eastAsia="ko-KR"/>
    </w:rPr>
  </w:style>
  <w:style w:type="paragraph" w:styleId="Textonotaalfinal">
    <w:name w:val="endnote text"/>
    <w:basedOn w:val="Normal"/>
    <w:link w:val="TextonotaalfinalCar"/>
    <w:uiPriority w:val="99"/>
    <w:unhideWhenUsed/>
    <w:rsid w:val="008A380B"/>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8A380B"/>
    <w:rPr>
      <w:rFonts w:ascii="Palatino Linotype" w:eastAsiaTheme="minorHAnsi" w:hAnsi="Palatino Linotype" w:cstheme="minorBidi"/>
      <w:lang w:eastAsia="en-US"/>
    </w:rPr>
  </w:style>
  <w:style w:type="character" w:customStyle="1" w:styleId="Ttulo1Car">
    <w:name w:val="Título 1 Car"/>
    <w:basedOn w:val="Fuentedeprrafopredeter"/>
    <w:link w:val="Ttulo1"/>
    <w:uiPriority w:val="9"/>
    <w:rsid w:val="008A380B"/>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8A380B"/>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8A380B"/>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8A380B"/>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8A380B"/>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8A380B"/>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8A380B"/>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8A380B"/>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8A380B"/>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8A380B"/>
    <w:pPr>
      <w:tabs>
        <w:tab w:val="center" w:pos="4252"/>
        <w:tab w:val="right" w:pos="8504"/>
      </w:tabs>
    </w:pPr>
  </w:style>
  <w:style w:type="character" w:customStyle="1" w:styleId="EncabezadoCar">
    <w:name w:val="Encabezado Car"/>
    <w:basedOn w:val="Fuentedeprrafopredeter"/>
    <w:link w:val="Encabezado"/>
    <w:uiPriority w:val="99"/>
    <w:rsid w:val="008A380B"/>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8A380B"/>
    <w:rPr>
      <w:rFonts w:ascii="Garamond" w:hAnsi="Garamond"/>
      <w:lang w:val="es-ES"/>
    </w:rPr>
  </w:style>
  <w:style w:type="character" w:customStyle="1" w:styleId="FooterChar">
    <w:name w:val="Footer Char"/>
    <w:basedOn w:val="Fuentedeprrafopredeter"/>
    <w:uiPriority w:val="99"/>
    <w:rsid w:val="008A380B"/>
    <w:rPr>
      <w:rFonts w:ascii="Garamond" w:hAnsi="Garamond"/>
      <w:lang w:val="es-ES"/>
    </w:rPr>
  </w:style>
  <w:style w:type="character" w:styleId="Textodelmarcadordeposicin">
    <w:name w:val="Placeholder Text"/>
    <w:basedOn w:val="Fuentedeprrafopredeter"/>
    <w:uiPriority w:val="99"/>
    <w:semiHidden/>
    <w:rsid w:val="008A380B"/>
    <w:rPr>
      <w:color w:val="808080"/>
    </w:rPr>
  </w:style>
  <w:style w:type="paragraph" w:styleId="Ttulo">
    <w:name w:val="Title"/>
    <w:basedOn w:val="Normal"/>
    <w:next w:val="Normal"/>
    <w:link w:val="TtuloCar"/>
    <w:uiPriority w:val="10"/>
    <w:qFormat/>
    <w:rsid w:val="008A380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A380B"/>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8A380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A380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8A380B"/>
    <w:pPr>
      <w:numPr>
        <w:ilvl w:val="1"/>
        <w:numId w:val="11"/>
      </w:numPr>
      <w:spacing w:after="100"/>
      <w:ind w:left="1049" w:hanging="198"/>
      <w:contextualSpacing/>
    </w:pPr>
  </w:style>
  <w:style w:type="character" w:customStyle="1" w:styleId="Heading2Char">
    <w:name w:val="Heading 2 Char"/>
    <w:basedOn w:val="Fuentedeprrafopredeter"/>
    <w:uiPriority w:val="9"/>
    <w:rsid w:val="008A380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A380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A380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A380B"/>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8A380B"/>
    <w:rPr>
      <w:rFonts w:ascii="Garamond" w:hAnsi="Garamond"/>
      <w:i/>
      <w:iCs/>
      <w:color w:val="5F2987"/>
      <w:u w:val="single"/>
      <w:lang w:val="es-ES"/>
    </w:rPr>
  </w:style>
  <w:style w:type="paragraph" w:styleId="TDC3">
    <w:name w:val="toc 3"/>
    <w:basedOn w:val="Normal"/>
    <w:next w:val="FinTDC"/>
    <w:autoRedefine/>
    <w:uiPriority w:val="39"/>
    <w:unhideWhenUsed/>
    <w:rsid w:val="008A380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8A380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A380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8A380B"/>
    <w:rPr>
      <w:color w:val="7F7F7F" w:themeColor="text1" w:themeTint="80"/>
      <w:sz w:val="16"/>
    </w:rPr>
  </w:style>
  <w:style w:type="character" w:customStyle="1" w:styleId="NocantarChar">
    <w:name w:val="No cantar Char"/>
    <w:basedOn w:val="Fuentedeprrafopredeter"/>
    <w:link w:val="Nocantar"/>
    <w:rsid w:val="008A380B"/>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8A380B"/>
    <w:pPr>
      <w:numPr>
        <w:numId w:val="0"/>
      </w:numPr>
      <w:ind w:firstLine="142"/>
    </w:pPr>
  </w:style>
  <w:style w:type="character" w:customStyle="1" w:styleId="IntroduccinyconclusinChar">
    <w:name w:val="Introducción y conclusión Char"/>
    <w:basedOn w:val="Ttulo1Car"/>
    <w:link w:val="Introduccinyconclusin"/>
    <w:rsid w:val="008A380B"/>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8A380B"/>
    <w:pPr>
      <w:numPr>
        <w:numId w:val="17"/>
      </w:numPr>
    </w:pPr>
  </w:style>
  <w:style w:type="paragraph" w:customStyle="1" w:styleId="Nivel1">
    <w:name w:val="Nivel 1"/>
    <w:basedOn w:val="Normal"/>
    <w:qFormat/>
    <w:rsid w:val="008A380B"/>
    <w:pPr>
      <w:numPr>
        <w:numId w:val="11"/>
      </w:numPr>
      <w:spacing w:before="100" w:after="100"/>
      <w:ind w:left="623" w:hanging="198"/>
    </w:pPr>
  </w:style>
  <w:style w:type="paragraph" w:customStyle="1" w:styleId="Nivel3">
    <w:name w:val="Nivel 3"/>
    <w:basedOn w:val="Nivel2"/>
    <w:link w:val="Nivel3Car"/>
    <w:qFormat/>
    <w:rsid w:val="008A380B"/>
    <w:pPr>
      <w:numPr>
        <w:ilvl w:val="2"/>
      </w:numPr>
      <w:spacing w:after="0"/>
      <w:ind w:left="1474" w:hanging="198"/>
    </w:pPr>
  </w:style>
  <w:style w:type="paragraph" w:customStyle="1" w:styleId="Letra">
    <w:name w:val="Letra"/>
    <w:basedOn w:val="Nivel1"/>
    <w:qFormat/>
    <w:rsid w:val="008A380B"/>
    <w:pPr>
      <w:numPr>
        <w:numId w:val="19"/>
      </w:numPr>
      <w:spacing w:before="0" w:after="40"/>
      <w:ind w:left="936" w:hanging="227"/>
    </w:pPr>
  </w:style>
  <w:style w:type="paragraph" w:customStyle="1" w:styleId="Nmero">
    <w:name w:val="Número"/>
    <w:basedOn w:val="Normal"/>
    <w:qFormat/>
    <w:rsid w:val="008A380B"/>
    <w:pPr>
      <w:numPr>
        <w:numId w:val="20"/>
      </w:numPr>
      <w:spacing w:after="40"/>
      <w:ind w:left="936" w:hanging="227"/>
    </w:pPr>
  </w:style>
  <w:style w:type="character" w:customStyle="1" w:styleId="BalloonTextChar">
    <w:name w:val="Balloon Text Char"/>
    <w:basedOn w:val="Fuentedeprrafopredeter"/>
    <w:uiPriority w:val="99"/>
    <w:semiHidden/>
    <w:rsid w:val="008A380B"/>
    <w:rPr>
      <w:rFonts w:ascii="Segoe UI" w:hAnsi="Segoe UI" w:cs="Segoe UI"/>
      <w:sz w:val="18"/>
      <w:szCs w:val="18"/>
      <w:lang w:val="es-ES"/>
    </w:rPr>
  </w:style>
  <w:style w:type="paragraph" w:customStyle="1" w:styleId="Notaalopositor">
    <w:name w:val="Nota al opositor"/>
    <w:basedOn w:val="Normal"/>
    <w:link w:val="NotaalopositorChar"/>
    <w:qFormat/>
    <w:rsid w:val="008A380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A380B"/>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8A380B"/>
    <w:rPr>
      <w:rFonts w:ascii="Garamond" w:hAnsi="Garamond"/>
      <w:sz w:val="16"/>
      <w:szCs w:val="20"/>
      <w:lang w:val="es-ES"/>
    </w:rPr>
  </w:style>
  <w:style w:type="character" w:customStyle="1" w:styleId="Heading6Char">
    <w:name w:val="Heading 6 Char"/>
    <w:basedOn w:val="Fuentedeprrafopredeter"/>
    <w:uiPriority w:val="9"/>
    <w:semiHidden/>
    <w:rsid w:val="008A380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8A380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8A380B"/>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8A380B"/>
    <w:rPr>
      <w:rFonts w:ascii="Garamond" w:eastAsiaTheme="minorEastAsia" w:hAnsi="Garamond"/>
      <w:smallCaps/>
      <w:color w:val="5A5A5A" w:themeColor="text1" w:themeTint="A5"/>
      <w:lang w:val="es-ES"/>
    </w:rPr>
  </w:style>
  <w:style w:type="paragraph" w:customStyle="1" w:styleId="Nivel1SM">
    <w:name w:val="Nivel 1 SM"/>
    <w:basedOn w:val="Nivel1"/>
    <w:qFormat/>
    <w:rsid w:val="008A380B"/>
    <w:pPr>
      <w:ind w:left="0"/>
    </w:pPr>
  </w:style>
  <w:style w:type="paragraph" w:customStyle="1" w:styleId="Nivel2SM">
    <w:name w:val="Nivel 2 SM"/>
    <w:basedOn w:val="Nivel2"/>
    <w:qFormat/>
    <w:rsid w:val="008A380B"/>
    <w:pPr>
      <w:ind w:left="567"/>
    </w:pPr>
  </w:style>
  <w:style w:type="paragraph" w:customStyle="1" w:styleId="Nivel3SM">
    <w:name w:val="Nivel 3 SM"/>
    <w:basedOn w:val="Nivel3"/>
    <w:qFormat/>
    <w:rsid w:val="008A380B"/>
    <w:pPr>
      <w:ind w:left="963"/>
    </w:pPr>
  </w:style>
  <w:style w:type="paragraph" w:styleId="Encabezadodelista">
    <w:name w:val="toa heading"/>
    <w:basedOn w:val="Normal"/>
    <w:next w:val="Normal"/>
    <w:uiPriority w:val="99"/>
    <w:unhideWhenUsed/>
    <w:rsid w:val="008A380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A380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A380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A380B"/>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8A380B"/>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8A380B"/>
    <w:rPr>
      <w:color w:val="605E5C"/>
      <w:shd w:val="clear" w:color="auto" w:fill="E1DFDD"/>
    </w:rPr>
  </w:style>
  <w:style w:type="paragraph" w:styleId="TDC5">
    <w:name w:val="toc 5"/>
    <w:basedOn w:val="Normal"/>
    <w:next w:val="FinTDC"/>
    <w:autoRedefine/>
    <w:uiPriority w:val="39"/>
    <w:unhideWhenUsed/>
    <w:rsid w:val="008A380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A380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A380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A380B"/>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8A380B"/>
    <w:pPr>
      <w:spacing w:line="240" w:lineRule="auto"/>
      <w:ind w:left="567" w:hanging="567"/>
    </w:pPr>
  </w:style>
  <w:style w:type="paragraph" w:customStyle="1" w:styleId="Ttuloimagen">
    <w:name w:val="Título imagen"/>
    <w:basedOn w:val="PiedeImagen"/>
    <w:next w:val="Imagen"/>
    <w:link w:val="TtuloimagenCar"/>
    <w:qFormat/>
    <w:rsid w:val="008A380B"/>
    <w:pPr>
      <w:keepNext/>
      <w:spacing w:after="0"/>
    </w:pPr>
    <w:rPr>
      <w:i w:val="0"/>
      <w:smallCaps/>
      <w:sz w:val="20"/>
    </w:rPr>
  </w:style>
  <w:style w:type="character" w:customStyle="1" w:styleId="TtuloimagenCar">
    <w:name w:val="Título imagen Car"/>
    <w:basedOn w:val="ImagenCar"/>
    <w:link w:val="Ttuloimagen"/>
    <w:rsid w:val="008A380B"/>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8A380B"/>
    <w:pPr>
      <w:ind w:left="1100"/>
    </w:pPr>
  </w:style>
  <w:style w:type="paragraph" w:styleId="Sinespaciado">
    <w:name w:val="No Spacing"/>
    <w:link w:val="SinespaciadoCar"/>
    <w:uiPriority w:val="1"/>
    <w:qFormat/>
    <w:rsid w:val="008A380B"/>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8A380B"/>
    <w:rPr>
      <w:rFonts w:asciiTheme="minorHAnsi" w:eastAsiaTheme="minorEastAsia" w:hAnsiTheme="minorHAnsi" w:cstheme="minorBidi"/>
      <w:sz w:val="22"/>
      <w:szCs w:val="22"/>
    </w:rPr>
  </w:style>
  <w:style w:type="paragraph" w:customStyle="1" w:styleId="Nmeroromano">
    <w:name w:val="Número romano"/>
    <w:basedOn w:val="Prrafodelista"/>
    <w:qFormat/>
    <w:rsid w:val="008A380B"/>
    <w:pPr>
      <w:numPr>
        <w:numId w:val="38"/>
      </w:numPr>
      <w:spacing w:after="100"/>
      <w:ind w:left="567" w:hanging="113"/>
    </w:pPr>
  </w:style>
  <w:style w:type="paragraph" w:customStyle="1" w:styleId="Saltodettulos">
    <w:name w:val="Salto de títulos"/>
    <w:basedOn w:val="Normal"/>
    <w:rsid w:val="008A380B"/>
    <w:pPr>
      <w:spacing w:after="0" w:line="240" w:lineRule="auto"/>
    </w:pPr>
    <w:rPr>
      <w:color w:val="FFFFFF"/>
      <w:sz w:val="2"/>
    </w:rPr>
  </w:style>
  <w:style w:type="paragraph" w:styleId="TDC7">
    <w:name w:val="toc 7"/>
    <w:basedOn w:val="Normal"/>
    <w:next w:val="FinTDC"/>
    <w:autoRedefine/>
    <w:uiPriority w:val="39"/>
    <w:unhideWhenUsed/>
    <w:rsid w:val="008A380B"/>
    <w:pPr>
      <w:spacing w:after="0" w:line="20" w:lineRule="atLeast"/>
      <w:ind w:left="1418"/>
      <w:jc w:val="left"/>
    </w:pPr>
    <w:rPr>
      <w:i/>
      <w:color w:val="5F2987"/>
      <w:sz w:val="12"/>
    </w:rPr>
  </w:style>
  <w:style w:type="paragraph" w:customStyle="1" w:styleId="FinTDC">
    <w:name w:val="FinTDC"/>
    <w:basedOn w:val="Nivel1"/>
    <w:qFormat/>
    <w:rsid w:val="008A380B"/>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8A380B"/>
    <w:pPr>
      <w:spacing w:after="0" w:line="240" w:lineRule="auto"/>
      <w:jc w:val="left"/>
    </w:pPr>
    <w:rPr>
      <w:sz w:val="15"/>
    </w:rPr>
  </w:style>
  <w:style w:type="paragraph" w:styleId="TDC9">
    <w:name w:val="toc 9"/>
    <w:basedOn w:val="TDC8"/>
    <w:next w:val="FinTDC"/>
    <w:autoRedefine/>
    <w:uiPriority w:val="39"/>
    <w:unhideWhenUsed/>
    <w:rsid w:val="008A380B"/>
    <w:pPr>
      <w:ind w:left="1760"/>
    </w:pPr>
  </w:style>
  <w:style w:type="paragraph" w:customStyle="1" w:styleId="Apartado0">
    <w:name w:val="Apartado 0"/>
    <w:basedOn w:val="Ttulo1"/>
    <w:next w:val="Normal"/>
    <w:link w:val="Apartado0Car"/>
    <w:qFormat/>
    <w:rsid w:val="008A380B"/>
    <w:pPr>
      <w:numPr>
        <w:numId w:val="37"/>
      </w:numPr>
      <w:ind w:left="357" w:hanging="357"/>
    </w:pPr>
  </w:style>
  <w:style w:type="character" w:customStyle="1" w:styleId="Apartado0Car">
    <w:name w:val="Apartado 0 Car"/>
    <w:basedOn w:val="Ttulo1Car"/>
    <w:link w:val="Apartado0"/>
    <w:rsid w:val="008A380B"/>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8A380B"/>
    <w:pPr>
      <w:numPr>
        <w:ilvl w:val="3"/>
      </w:numPr>
      <w:ind w:left="1899" w:hanging="198"/>
    </w:pPr>
  </w:style>
  <w:style w:type="paragraph" w:customStyle="1" w:styleId="Nivel5">
    <w:name w:val="Nivel 5"/>
    <w:basedOn w:val="Nivel4"/>
    <w:link w:val="Nivel5Car"/>
    <w:qFormat/>
    <w:rsid w:val="008A380B"/>
    <w:pPr>
      <w:numPr>
        <w:ilvl w:val="4"/>
      </w:numPr>
      <w:ind w:left="2155" w:hanging="170"/>
    </w:pPr>
  </w:style>
  <w:style w:type="character" w:customStyle="1" w:styleId="Nivel2Car">
    <w:name w:val="Nivel 2 Car"/>
    <w:basedOn w:val="Fuentedeprrafopredeter"/>
    <w:link w:val="Nivel2"/>
    <w:rsid w:val="008A380B"/>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8A380B"/>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8A380B"/>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8A380B"/>
    <w:pPr>
      <w:numPr>
        <w:ilvl w:val="5"/>
      </w:numPr>
      <w:ind w:left="2438" w:hanging="227"/>
    </w:pPr>
  </w:style>
  <w:style w:type="character" w:customStyle="1" w:styleId="Nivel5Car">
    <w:name w:val="Nivel 5 Car"/>
    <w:basedOn w:val="Nivel4Car"/>
    <w:link w:val="Nivel5"/>
    <w:rsid w:val="008A380B"/>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8A380B"/>
    <w:pPr>
      <w:numPr>
        <w:ilvl w:val="6"/>
      </w:numPr>
      <w:ind w:left="2722" w:hanging="170"/>
    </w:pPr>
  </w:style>
  <w:style w:type="character" w:customStyle="1" w:styleId="Nivel6Car">
    <w:name w:val="Nivel 6 Car"/>
    <w:basedOn w:val="Nivel5Car"/>
    <w:link w:val="Nivel6"/>
    <w:rsid w:val="008A380B"/>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8A380B"/>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8A380B"/>
    <w:pPr>
      <w:spacing w:after="200" w:line="240" w:lineRule="auto"/>
    </w:pPr>
    <w:rPr>
      <w:i/>
      <w:iCs/>
      <w:color w:val="44546A" w:themeColor="text2"/>
      <w:sz w:val="18"/>
      <w:szCs w:val="18"/>
    </w:rPr>
  </w:style>
  <w:style w:type="paragraph" w:customStyle="1" w:styleId="Ttulo10">
    <w:name w:val="Título 10"/>
    <w:basedOn w:val="Ttulo9"/>
    <w:link w:val="Ttulo10Car"/>
    <w:qFormat/>
    <w:rsid w:val="008A380B"/>
    <w:pPr>
      <w:ind w:left="1276"/>
    </w:pPr>
    <w:rPr>
      <w:w w:val="97"/>
    </w:rPr>
  </w:style>
  <w:style w:type="character" w:customStyle="1" w:styleId="Ttulo10Car">
    <w:name w:val="Título 10 Car"/>
    <w:basedOn w:val="Ttulo9Car"/>
    <w:link w:val="Ttulo10"/>
    <w:rsid w:val="008A380B"/>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8A380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8A380B"/>
    <w:pPr>
      <w:numPr>
        <w:ilvl w:val="7"/>
      </w:numPr>
      <w:ind w:left="3005" w:hanging="170"/>
    </w:pPr>
  </w:style>
  <w:style w:type="character" w:customStyle="1" w:styleId="Nivel8Car">
    <w:name w:val="Nivel 8 Car"/>
    <w:basedOn w:val="Nivel7Car"/>
    <w:link w:val="Nivel8"/>
    <w:rsid w:val="008A380B"/>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8A380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A380B"/>
    <w:rPr>
      <w:rFonts w:ascii="Palatino Linotype" w:eastAsiaTheme="minorHAnsi" w:hAnsi="Palatino Linotype" w:cstheme="minorBidi"/>
      <w:color w:val="C00000"/>
      <w:sz w:val="22"/>
      <w:szCs w:val="22"/>
      <w:shd w:val="clear" w:color="auto" w:fill="FBE4D5" w:themeFill="accent2" w:themeFillTint="33"/>
      <w:lang w:eastAsia="en-US"/>
    </w:rPr>
  </w:style>
  <w:style w:type="character" w:styleId="Refdenotaalfinal">
    <w:name w:val="endnote reference"/>
    <w:basedOn w:val="Fuentedeprrafopredeter"/>
    <w:uiPriority w:val="99"/>
    <w:unhideWhenUsed/>
    <w:rsid w:val="008A380B"/>
    <w:rPr>
      <w:vertAlign w:val="superscript"/>
    </w:rPr>
  </w:style>
  <w:style w:type="character" w:customStyle="1" w:styleId="PiedepginaCar">
    <w:name w:val="Pie de página Car"/>
    <w:basedOn w:val="Fuentedeprrafopredeter"/>
    <w:link w:val="Piedepgina"/>
    <w:uiPriority w:val="99"/>
    <w:rsid w:val="005E3CC5"/>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linstitutoelcano.org/policy-paper/la-politica-europea-de-espana-elaboracion-y-prioridad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lpais.com/ideas/2023-10-18/por-que-churchill-apoyo-el-franquismo.html" TargetMode="External"/><Relationship Id="rId1" Type="http://schemas.openxmlformats.org/officeDocument/2006/relationships/hyperlink" Target="https://www.funcas.es/wp-content/uploads/2022/10/Capitulo-8_El-sector-servicio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D2838F182343BD877358F5537CBB93"/>
        <w:category>
          <w:name w:val="General"/>
          <w:gallery w:val="placeholder"/>
        </w:category>
        <w:types>
          <w:type w:val="bbPlcHdr"/>
        </w:types>
        <w:behaviors>
          <w:behavior w:val="content"/>
        </w:behaviors>
        <w:guid w:val="{24FCD77F-3920-4CD2-9581-2505B68D429D}"/>
      </w:docPartPr>
      <w:docPartBody>
        <w:p w:rsidR="00471E7C" w:rsidRDefault="00AE1679" w:rsidP="00AE1679">
          <w:pPr>
            <w:pStyle w:val="D2D2838F182343BD877358F5537CBB93"/>
          </w:pPr>
          <w:r w:rsidRPr="00722470">
            <w:rPr>
              <w:rStyle w:val="Textodelmarcadordeposicin"/>
            </w:rPr>
            <w:t>[Título]</w:t>
          </w:r>
        </w:p>
      </w:docPartBody>
    </w:docPart>
    <w:docPart>
      <w:docPartPr>
        <w:name w:val="959CEE2213234F34B5EF123AC3C202F3"/>
        <w:category>
          <w:name w:val="General"/>
          <w:gallery w:val="placeholder"/>
        </w:category>
        <w:types>
          <w:type w:val="bbPlcHdr"/>
        </w:types>
        <w:behaviors>
          <w:behavior w:val="content"/>
        </w:behaviors>
        <w:guid w:val="{E67C7610-739E-447C-8F89-87B32F325703}"/>
      </w:docPartPr>
      <w:docPartBody>
        <w:p w:rsidR="00C4781C" w:rsidRDefault="00471E7C" w:rsidP="00471E7C">
          <w:pPr>
            <w:pStyle w:val="959CEE2213234F34B5EF123AC3C202F3"/>
          </w:pPr>
          <w:r w:rsidRPr="001B5103">
            <w:rPr>
              <w:rStyle w:val="Textodelmarcadordeposicin"/>
            </w:rPr>
            <w:t>[Title]</w:t>
          </w:r>
        </w:p>
      </w:docPartBody>
    </w:docPart>
    <w:docPart>
      <w:docPartPr>
        <w:name w:val="DB8AE2F3A15F45F099EEEC2280796D17"/>
        <w:category>
          <w:name w:val="General"/>
          <w:gallery w:val="placeholder"/>
        </w:category>
        <w:types>
          <w:type w:val="bbPlcHdr"/>
        </w:types>
        <w:behaviors>
          <w:behavior w:val="content"/>
        </w:behaviors>
        <w:guid w:val="{025D9035-163B-4B87-AA3B-6C39F3D56474}"/>
      </w:docPartPr>
      <w:docPartBody>
        <w:p w:rsidR="00C4781C" w:rsidRDefault="00471E7C" w:rsidP="00471E7C">
          <w:pPr>
            <w:pStyle w:val="DB8AE2F3A15F45F099EEEC2280796D17"/>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79"/>
    <w:rsid w:val="00022491"/>
    <w:rsid w:val="0009529C"/>
    <w:rsid w:val="002F51FB"/>
    <w:rsid w:val="00387C96"/>
    <w:rsid w:val="00471E7C"/>
    <w:rsid w:val="004A3750"/>
    <w:rsid w:val="004B284A"/>
    <w:rsid w:val="00830865"/>
    <w:rsid w:val="008E7500"/>
    <w:rsid w:val="00910565"/>
    <w:rsid w:val="00985B20"/>
    <w:rsid w:val="00AE1679"/>
    <w:rsid w:val="00B07FCB"/>
    <w:rsid w:val="00B53C0D"/>
    <w:rsid w:val="00C4781C"/>
    <w:rsid w:val="00C83940"/>
    <w:rsid w:val="00D14DB0"/>
    <w:rsid w:val="00ED73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71E7C"/>
    <w:rPr>
      <w:color w:val="808080"/>
    </w:rPr>
  </w:style>
  <w:style w:type="paragraph" w:customStyle="1" w:styleId="D2D2838F182343BD877358F5537CBB93">
    <w:name w:val="D2D2838F182343BD877358F5537CBB93"/>
    <w:rsid w:val="00AE1679"/>
  </w:style>
  <w:style w:type="paragraph" w:customStyle="1" w:styleId="959CEE2213234F34B5EF123AC3C202F3">
    <w:name w:val="959CEE2213234F34B5EF123AC3C202F3"/>
    <w:rsid w:val="00471E7C"/>
  </w:style>
  <w:style w:type="paragraph" w:customStyle="1" w:styleId="DB8AE2F3A15F45F099EEEC2280796D17">
    <w:name w:val="DB8AE2F3A15F45F099EEEC2280796D17"/>
    <w:rsid w:val="00471E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12A6E-E7BF-4AFD-B2E3-F4EFB0B72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1563</TotalTime>
  <Pages>25</Pages>
  <Words>9496</Words>
  <Characters>51106</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4.A.30</vt:lpstr>
    </vt:vector>
  </TitlesOfParts>
  <Company/>
  <LinksUpToDate>false</LinksUpToDate>
  <CharactersWithSpaces>60482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4.A.30</dc:title>
  <dc:subject>Las relaciones de España con las Comunidades Europeas: antecedentes, el Tratado de Adhesión y evolución hasta la actualidad.</dc:subject>
  <dc:creator>Víctor Gutiérrez Marcos</dc:creator>
  <cp:keywords/>
  <cp:lastModifiedBy>Víctor Gutiérrez Marcos</cp:lastModifiedBy>
  <dcterms:created xsi:type="dcterms:W3CDTF">2023-10-12T17:44:00Z</dcterms:created>
  <dcterms:modified xsi:type="dcterms:W3CDTF">2024-10-02T14:35:00Z</dcterms:modified>
</cp:coreProperties>
</file>