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9212CB" w14:textId="17359093" w:rsidR="00465A7C" w:rsidRDefault="00000000" w:rsidP="00465A7C">
      <w:pPr>
        <w:pStyle w:val="Ttulo"/>
        <w:rPr>
          <w:spacing w:val="-6"/>
        </w:rPr>
      </w:pPr>
      <w:sdt>
        <w:sdtPr>
          <w:rPr>
            <w:i/>
            <w:u w:val="single"/>
          </w:rPr>
          <w:alias w:val="Title"/>
          <w:tag w:val=""/>
          <w:id w:val="-780801520"/>
          <w:placeholder>
            <w:docPart w:val="C6E15CC6040043FD857D25B5C742C88E"/>
          </w:placeholder>
          <w:dataBinding w:prefixMappings="xmlns:ns0='http://purl.org/dc/elements/1.1/' xmlns:ns1='http://schemas.openxmlformats.org/package/2006/metadata/core-properties' " w:xpath="/ns1:coreProperties[1]/ns0:title[1]" w:storeItemID="{6C3C8BC8-F283-45AE-878A-BAB7291924A1}"/>
          <w:text/>
        </w:sdtPr>
        <w:sdtContent>
          <w:r w:rsidR="00465A7C">
            <w:rPr>
              <w:i/>
              <w:u w:val="single"/>
            </w:rPr>
            <w:t>4.A.24</w:t>
          </w:r>
        </w:sdtContent>
      </w:sdt>
      <w:r w:rsidR="00465A7C">
        <w:t xml:space="preserve"> :</w:t>
      </w:r>
      <w:r w:rsidR="00465A7C" w:rsidRPr="004C0C34">
        <w:t xml:space="preserve"> </w:t>
      </w:r>
      <w:sdt>
        <w:sdtPr>
          <w:rPr>
            <w:spacing w:val="-6"/>
          </w:rPr>
          <w:alias w:val="Subject"/>
          <w:tag w:val=""/>
          <w:id w:val="-1903059896"/>
          <w:placeholder>
            <w:docPart w:val="2FC42DAD41C640CA8113E477074EA2EF"/>
          </w:placeholder>
          <w:dataBinding w:prefixMappings="xmlns:ns0='http://purl.org/dc/elements/1.1/' xmlns:ns1='http://schemas.openxmlformats.org/package/2006/metadata/core-properties' " w:xpath="/ns1:coreProperties[1]/ns0:subject[1]" w:storeItemID="{6C3C8BC8-F283-45AE-878A-BAB7291924A1}"/>
          <w:text/>
        </w:sdtPr>
        <w:sdtContent>
          <w:r w:rsidR="00465A7C">
            <w:rPr>
              <w:spacing w:val="-6"/>
            </w:rPr>
            <w:t>Análisis de la evolución de la balanza de pagos española. La financiación de la economía española.</w:t>
          </w:r>
        </w:sdtContent>
      </w:sdt>
    </w:p>
    <w:p w14:paraId="02E7E34C" w14:textId="77777777" w:rsidR="00465A7C" w:rsidRDefault="00465A7C" w:rsidP="00465A7C">
      <w:pPr>
        <w:pStyle w:val="Introduccinyconclusin"/>
      </w:pPr>
      <w:r w:rsidRPr="006D1AC8">
        <w:t>INTRODUCCION</w:t>
      </w:r>
    </w:p>
    <w:p w14:paraId="15077D27" w14:textId="77777777" w:rsidR="00465A7C" w:rsidRDefault="00465A7C" w:rsidP="00465A7C">
      <w:pPr>
        <w:pStyle w:val="Nivel1"/>
        <w:keepNext/>
        <w:spacing w:before="0" w:after="0"/>
      </w:pPr>
      <w:r>
        <w:rPr>
          <w:b/>
          <w:bCs/>
          <w:i/>
          <w:iCs/>
        </w:rPr>
        <w:t>Enganche</w:t>
      </w:r>
      <w:r>
        <w:t>:</w:t>
      </w:r>
    </w:p>
    <w:p w14:paraId="2818E809" w14:textId="77777777" w:rsidR="00444840" w:rsidRDefault="00444840" w:rsidP="00444840">
      <w:pPr>
        <w:pStyle w:val="Nivel2"/>
        <w:keepNext/>
        <w:spacing w:after="0"/>
        <w:rPr>
          <w:spacing w:val="-2"/>
        </w:rPr>
      </w:pPr>
      <w:r>
        <w:rPr>
          <w:spacing w:val="-2"/>
        </w:rPr>
        <w:t>La balanza de pagos española ha registrado en 2022 una capacidad de financiación de 21 mil millones de euros (1,5 % del PIB).</w:t>
      </w:r>
    </w:p>
    <w:p w14:paraId="5E8A6A06" w14:textId="77777777" w:rsidR="00444840" w:rsidRDefault="00444840" w:rsidP="00444840">
      <w:pPr>
        <w:pStyle w:val="Nivel3"/>
      </w:pPr>
      <w:r>
        <w:t>Es el 11º año consecutivo que España registra capacidad de financiación, dato que se ha mantenido incluso durante la pandemia por COVID-19. Este buen comportamiento del sector exterior refleja las mejoras de competitividad de la economía española.</w:t>
      </w:r>
    </w:p>
    <w:p w14:paraId="1E568610" w14:textId="77777777" w:rsidR="00FF210B" w:rsidRPr="00517BA7" w:rsidRDefault="00FF210B" w:rsidP="00FF210B">
      <w:pPr>
        <w:pStyle w:val="Nivel2"/>
        <w:keepNext/>
        <w:spacing w:after="0"/>
        <w:rPr>
          <w:spacing w:val="-2"/>
        </w:rPr>
      </w:pPr>
      <w:r w:rsidRPr="00517BA7">
        <w:rPr>
          <w:spacing w:val="-2"/>
        </w:rPr>
        <w:t xml:space="preserve">En las últimas 7 décadas, en España encontramos </w:t>
      </w:r>
      <w:r w:rsidRPr="00517BA7">
        <w:rPr>
          <w:b/>
          <w:bCs/>
          <w:spacing w:val="-2"/>
        </w:rPr>
        <w:t>3 momentos decisivos</w:t>
      </w:r>
      <w:r w:rsidRPr="00517BA7">
        <w:rPr>
          <w:spacing w:val="-2"/>
        </w:rPr>
        <w:t xml:space="preserve"> que </w:t>
      </w:r>
      <w:r w:rsidRPr="00517BA7">
        <w:rPr>
          <w:i/>
          <w:iCs/>
          <w:spacing w:val="-2"/>
        </w:rPr>
        <w:t>han permitido que España sea una economía modern</w:t>
      </w:r>
      <w:r>
        <w:rPr>
          <w:i/>
          <w:iCs/>
          <w:spacing w:val="-2"/>
        </w:rPr>
        <w:t>a</w:t>
      </w:r>
      <w:r w:rsidRPr="00517BA7">
        <w:rPr>
          <w:i/>
          <w:iCs/>
          <w:spacing w:val="-2"/>
        </w:rPr>
        <w:t xml:space="preserve"> y plenamente integrada en los mercados internacionales</w:t>
      </w:r>
      <w:r w:rsidRPr="00517BA7">
        <w:rPr>
          <w:spacing w:val="-2"/>
        </w:rPr>
        <w:t>:</w:t>
      </w:r>
    </w:p>
    <w:p w14:paraId="7861DEE4" w14:textId="77777777" w:rsidR="00FF210B" w:rsidRDefault="00FF210B" w:rsidP="00FF210B">
      <w:pPr>
        <w:pStyle w:val="Prrafodelista"/>
        <w:numPr>
          <w:ilvl w:val="0"/>
          <w:numId w:val="48"/>
        </w:numPr>
        <w:spacing w:after="0"/>
        <w:ind w:left="1417" w:hanging="113"/>
      </w:pPr>
      <w:r>
        <w:t xml:space="preserve">El primero es el verano de 1959, con la aprobación del </w:t>
      </w:r>
      <w:r w:rsidRPr="00FB020A">
        <w:rPr>
          <w:i/>
          <w:iCs/>
          <w:u w:val="single"/>
        </w:rPr>
        <w:t>Plan de Estabilización</w:t>
      </w:r>
      <w:r>
        <w:t>.</w:t>
      </w:r>
    </w:p>
    <w:p w14:paraId="5DB0C1D2" w14:textId="77777777" w:rsidR="00FF210B" w:rsidRDefault="00FF210B" w:rsidP="00FF210B">
      <w:pPr>
        <w:pStyle w:val="Prrafodelista"/>
        <w:numPr>
          <w:ilvl w:val="0"/>
          <w:numId w:val="48"/>
        </w:numPr>
        <w:spacing w:after="0"/>
        <w:ind w:left="1417" w:hanging="113"/>
      </w:pPr>
      <w:r>
        <w:t xml:space="preserve">Un segundo momento decisivo se produjo en la década de 1970, con el </w:t>
      </w:r>
      <w:r w:rsidRPr="00FB020A">
        <w:rPr>
          <w:i/>
          <w:iCs/>
          <w:u w:val="single"/>
        </w:rPr>
        <w:t>establecimiento de la democracia</w:t>
      </w:r>
      <w:r>
        <w:t>, sin lo cual la adhesión a las CEE en 1986 no hubiera sido posible.</w:t>
      </w:r>
    </w:p>
    <w:p w14:paraId="61086BD4" w14:textId="77777777" w:rsidR="00FF210B" w:rsidRDefault="00FF210B" w:rsidP="00FF210B">
      <w:pPr>
        <w:pStyle w:val="Prrafodelista"/>
        <w:numPr>
          <w:ilvl w:val="0"/>
          <w:numId w:val="48"/>
        </w:numPr>
        <w:spacing w:after="0"/>
        <w:ind w:left="1417" w:hanging="113"/>
      </w:pPr>
      <w:r>
        <w:t xml:space="preserve">Un tercer momento decisivo fue la entrada en la Unión Económica y Monetaria, por la cual un grupo de Estados pertenecientes a la Unión Europea, decidieron poner en común su soberanía monetaria mediante la </w:t>
      </w:r>
      <w:r w:rsidRPr="00FB020A">
        <w:rPr>
          <w:i/>
          <w:iCs/>
          <w:u w:val="single"/>
        </w:rPr>
        <w:t>adopción de una moneda común: el euro</w:t>
      </w:r>
      <w:r>
        <w:t xml:space="preserve">. Esto implica la delegación de la </w:t>
      </w:r>
      <w:r w:rsidRPr="00B737A6">
        <w:t>p</w:t>
      </w:r>
      <w:r>
        <w:t>olítica monetaria al Eurosistema formado por el Banco Central Europeo (BCE) y los Bancos Centrales nacionales dela Eurozona que se encargan a partir de entonces de gestionar la política monetaria de la eurozona con el objetivo de mantener la estabilidad de precios.</w:t>
      </w:r>
    </w:p>
    <w:p w14:paraId="1B1D9C5A" w14:textId="77777777" w:rsidR="00FF210B" w:rsidRDefault="00FF210B" w:rsidP="00FF210B">
      <w:pPr>
        <w:pStyle w:val="Nivel2"/>
      </w:pPr>
      <w:r>
        <w:t>Estos cambios han llevado a una transformación significativa, que ha conllevado procesos de liberalización y de apertura de mercados, produciéndose la incorporación de España a las cadenas globales de valor.</w:t>
      </w:r>
    </w:p>
    <w:p w14:paraId="5A03F798" w14:textId="77777777" w:rsidR="00FF210B" w:rsidRDefault="00FF210B" w:rsidP="00FF210B">
      <w:pPr>
        <w:pStyle w:val="Nivel1"/>
        <w:keepNext/>
        <w:spacing w:after="0"/>
      </w:pPr>
      <w:r>
        <w:rPr>
          <w:b/>
          <w:bCs/>
          <w:i/>
          <w:iCs/>
        </w:rPr>
        <w:t>Relevancia</w:t>
      </w:r>
      <w:r>
        <w:t>:</w:t>
      </w:r>
    </w:p>
    <w:p w14:paraId="653E6652" w14:textId="77777777" w:rsidR="00FF210B" w:rsidRDefault="00FF210B" w:rsidP="00FF210B">
      <w:pPr>
        <w:pStyle w:val="Nivel2"/>
      </w:pPr>
      <w:r>
        <w:t>La apertura y las reformas estructurales que han venido aparejadas, han traído un impacto positivo en el crecimiento económico y en el nivel de vida de sus ciudadanos.</w:t>
      </w:r>
    </w:p>
    <w:p w14:paraId="25E84B68" w14:textId="4E82CA5A" w:rsidR="00FF210B" w:rsidRDefault="00FF210B" w:rsidP="00FF210B">
      <w:pPr>
        <w:pStyle w:val="Nivel2"/>
      </w:pPr>
      <w:r>
        <w:t>Asimismo, el sector exterior se ha revelado no sólo como motor de desarrollo y prosperidad, sino también como factor cl</w:t>
      </w:r>
      <w:r w:rsidR="00444840">
        <w:t>a</w:t>
      </w:r>
      <w:r>
        <w:t>ve para la salida de las crisis económicas.</w:t>
      </w:r>
    </w:p>
    <w:p w14:paraId="0C25D0A6" w14:textId="77777777" w:rsidR="00465A7C" w:rsidRDefault="00465A7C" w:rsidP="00465A7C">
      <w:pPr>
        <w:pStyle w:val="Nivel1"/>
        <w:keepNext/>
        <w:spacing w:after="0"/>
      </w:pPr>
      <w:r>
        <w:rPr>
          <w:b/>
          <w:bCs/>
          <w:i/>
          <w:iCs/>
        </w:rPr>
        <w:t>Contextualización</w:t>
      </w:r>
      <w:r>
        <w:t>:</w:t>
      </w:r>
    </w:p>
    <w:p w14:paraId="2AF47B11" w14:textId="360B67CC" w:rsidR="00E369D5" w:rsidRPr="004F0012" w:rsidRDefault="00E369D5" w:rsidP="00E369D5">
      <w:pPr>
        <w:pStyle w:val="Nivel2"/>
        <w:keepNext/>
        <w:spacing w:after="0"/>
        <w:rPr>
          <w:spacing w:val="-2"/>
        </w:rPr>
      </w:pPr>
      <w:bookmarkStart w:id="2" w:name="_Hlk147907641"/>
      <w:r>
        <w:rPr>
          <w:spacing w:val="-2"/>
        </w:rPr>
        <w:t>Así, l</w:t>
      </w:r>
      <w:r w:rsidRPr="004F0012">
        <w:rPr>
          <w:spacing w:val="-2"/>
        </w:rPr>
        <w:t xml:space="preserve">a economía española ha experimentado un importante cambio a lo largo de las últimas </w:t>
      </w:r>
      <w:r>
        <w:rPr>
          <w:spacing w:val="-2"/>
        </w:rPr>
        <w:t>7</w:t>
      </w:r>
      <w:r w:rsidRPr="004F0012">
        <w:rPr>
          <w:spacing w:val="-2"/>
        </w:rPr>
        <w:t> décadas tanto desde un punto de vista político como desde un punto de vista económico</w:t>
      </w:r>
      <w:r>
        <w:rPr>
          <w:spacing w:val="-2"/>
        </w:rPr>
        <w:t>:</w:t>
      </w:r>
    </w:p>
    <w:p w14:paraId="00220715" w14:textId="77777777" w:rsidR="00E369D5" w:rsidRDefault="00E369D5" w:rsidP="00E369D5">
      <w:pPr>
        <w:pStyle w:val="Nivel3"/>
      </w:pPr>
      <w:r>
        <w:t>Desde un punto de vista político, el país ha pasado de un régimen autoritario a un régimen democrático.</w:t>
      </w:r>
    </w:p>
    <w:p w14:paraId="3476642E" w14:textId="77777777" w:rsidR="00E369D5" w:rsidRDefault="00E369D5" w:rsidP="00E369D5">
      <w:pPr>
        <w:pStyle w:val="Nivel3"/>
        <w:keepNext/>
      </w:pPr>
      <w:r>
        <w:t>Desde un punto de vista económico, ha pasado a estar caracterizado por un régimen de autarquía a formar parte del proceso de integración más avanzado del mundo: la Unión Económica y Monetaria Europea.</w:t>
      </w:r>
    </w:p>
    <w:p w14:paraId="3CEE115A" w14:textId="77777777" w:rsidR="00E369D5" w:rsidRDefault="00E369D5" w:rsidP="00E369D5">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141C8D5A" w14:textId="3DD83102" w:rsidR="00E369D5" w:rsidRDefault="00E369D5" w:rsidP="00E369D5">
      <w:pPr>
        <w:pStyle w:val="Nivel2"/>
        <w:keepNext/>
        <w:spacing w:after="0"/>
      </w:pPr>
      <w:r>
        <w:lastRenderedPageBreak/>
        <w:t>Por tanto, vemos c</w:t>
      </w:r>
      <w:r w:rsidR="00FF210B">
        <w:t>ó</w:t>
      </w:r>
      <w:r>
        <w:t xml:space="preserve">mo uno de los acontecimientos más relevantes experimentados por la economía española a lo largo del último medio siglo es su </w:t>
      </w:r>
      <w:r w:rsidRPr="00ED233C">
        <w:rPr>
          <w:i/>
          <w:iCs/>
          <w:u w:val="single"/>
        </w:rPr>
        <w:t>proceso de internacionalización</w:t>
      </w:r>
      <w:r>
        <w:t>.</w:t>
      </w:r>
    </w:p>
    <w:p w14:paraId="26677F80" w14:textId="77777777" w:rsidR="00E369D5" w:rsidRPr="00ED233C" w:rsidRDefault="00E369D5" w:rsidP="00E369D5">
      <w:pPr>
        <w:pStyle w:val="Nivel2"/>
        <w:keepNext/>
        <w:spacing w:after="0"/>
        <w:rPr>
          <w:spacing w:val="-2"/>
        </w:rPr>
      </w:pPr>
      <w:bookmarkStart w:id="3" w:name="_Hlk147907809"/>
      <w:bookmarkEnd w:id="2"/>
      <w:r w:rsidRPr="00ED233C">
        <w:rPr>
          <w:spacing w:val="-2"/>
        </w:rPr>
        <w:t xml:space="preserve">Este proceso también se manifiesta en una </w:t>
      </w:r>
      <w:r w:rsidRPr="00ED233C">
        <w:rPr>
          <w:i/>
          <w:iCs/>
          <w:spacing w:val="-2"/>
        </w:rPr>
        <w:t>liberalización progresiva de los intercambios comerciales y financieros de la economía española</w:t>
      </w:r>
      <w:r w:rsidRPr="00ED233C">
        <w:rPr>
          <w:spacing w:val="-2"/>
        </w:rPr>
        <w:t xml:space="preserve">, de modo que uno de los aspectos que más ha cambiado a lo largo de dicho periodo ha sido la </w:t>
      </w:r>
      <w:r w:rsidRPr="00ED233C">
        <w:rPr>
          <w:b/>
          <w:bCs/>
          <w:spacing w:val="-2"/>
        </w:rPr>
        <w:t>estructura de nuestra Balanza de Pagos</w:t>
      </w:r>
      <w:r w:rsidRPr="00ED233C">
        <w:rPr>
          <w:spacing w:val="-2"/>
        </w:rPr>
        <w:t>.</w:t>
      </w:r>
    </w:p>
    <w:p w14:paraId="6B93281D" w14:textId="77777777" w:rsidR="00E369D5" w:rsidRDefault="00E369D5" w:rsidP="00E369D5">
      <w:pPr>
        <w:pStyle w:val="Nivel3"/>
        <w:keepNext/>
      </w:pPr>
      <w:r>
        <w:t xml:space="preserve">Dentro de la balanza de pagos, las balanzas de bienes y de servicios se han caracterizado por mostrar respectivamente un </w:t>
      </w:r>
      <w:r w:rsidRPr="00A96790">
        <w:rPr>
          <w:i/>
          <w:iCs/>
        </w:rPr>
        <w:t>déficit</w:t>
      </w:r>
      <w:r>
        <w:t xml:space="preserve"> y </w:t>
      </w:r>
      <w:r w:rsidRPr="00A96790">
        <w:rPr>
          <w:i/>
          <w:iCs/>
        </w:rPr>
        <w:t>superávit crónicos</w:t>
      </w:r>
      <w:r>
        <w:t>.</w:t>
      </w:r>
    </w:p>
    <w:p w14:paraId="0776DFD8" w14:textId="5D7E8723" w:rsidR="00E369D5" w:rsidRDefault="00E369D5" w:rsidP="00E369D5">
      <w:pPr>
        <w:pStyle w:val="Nivel4"/>
      </w:pPr>
      <w:r>
        <w:t xml:space="preserve">A pesar de que en la actualidad estas características no han variado, la dimensión de </w:t>
      </w:r>
      <w:proofErr w:type="gramStart"/>
      <w:r>
        <w:t>las mismas</w:t>
      </w:r>
      <w:proofErr w:type="gramEnd"/>
      <w:r>
        <w:t xml:space="preserve"> s</w:t>
      </w:r>
      <w:r w:rsidR="0099377B">
        <w:t>í</w:t>
      </w:r>
      <w:r>
        <w:t xml:space="preserve"> lo han hecho, con importantes implicaciones sobre nuestra capacidad de financiación con respecto al exterior.</w:t>
      </w:r>
    </w:p>
    <w:p w14:paraId="767605F5" w14:textId="77777777" w:rsidR="00E369D5" w:rsidRDefault="00E369D5" w:rsidP="00E369D5">
      <w:pPr>
        <w:pStyle w:val="Nivel3"/>
        <w:keepNext/>
      </w:pPr>
      <w:r>
        <w:t>La progresiva liberalización de los movimientos internacionales de capitales va a jugar un papel muy relevante en el desarrollo económico de España:</w:t>
      </w:r>
    </w:p>
    <w:p w14:paraId="28CF7374" w14:textId="77777777" w:rsidR="00E369D5" w:rsidRDefault="00E369D5" w:rsidP="00E369D5">
      <w:pPr>
        <w:pStyle w:val="Nivel4"/>
      </w:pPr>
      <w:r>
        <w:t xml:space="preserve">Permiten la entrada de IDE y, con ello, efectos como la transferencia de tecnología, </w:t>
      </w:r>
      <w:r w:rsidRPr="0099377B">
        <w:rPr>
          <w:i/>
          <w:iCs/>
        </w:rPr>
        <w:t>know-how</w:t>
      </w:r>
      <w:r>
        <w:t>…</w:t>
      </w:r>
    </w:p>
    <w:p w14:paraId="398CEEE6" w14:textId="77777777" w:rsidR="00E369D5" w:rsidRDefault="00E369D5" w:rsidP="00E369D5">
      <w:pPr>
        <w:pStyle w:val="Nivel4"/>
      </w:pPr>
      <w:r>
        <w:t>Permite la diversificación de riesgos por medio de la inversión en activos financieros con correlación imperfecta.</w:t>
      </w:r>
    </w:p>
    <w:p w14:paraId="6EB5CB83" w14:textId="77777777" w:rsidR="00E369D5" w:rsidRDefault="00E369D5" w:rsidP="00E369D5">
      <w:pPr>
        <w:pStyle w:val="Nivel4"/>
      </w:pPr>
      <w:r>
        <w:t>Ofrecen vías más estables para financiar el déficit exterior, de manera que permiten sustentar un mayor crecimiento de la inversión nacional.</w:t>
      </w:r>
    </w:p>
    <w:bookmarkEnd w:id="3"/>
    <w:p w14:paraId="29D2447C" w14:textId="77777777" w:rsidR="00465A7C" w:rsidRDefault="00465A7C" w:rsidP="00465A7C">
      <w:pPr>
        <w:pStyle w:val="Nivel1"/>
        <w:keepNext/>
        <w:spacing w:after="0"/>
      </w:pPr>
      <w:r>
        <w:rPr>
          <w:b/>
          <w:bCs/>
          <w:i/>
          <w:iCs/>
        </w:rPr>
        <w:t>Problemática</w:t>
      </w:r>
      <w:r>
        <w:t>:</w:t>
      </w:r>
    </w:p>
    <w:p w14:paraId="41961064" w14:textId="0D9EBAC9" w:rsidR="00465A7C" w:rsidRDefault="00465A7C" w:rsidP="00465A7C">
      <w:pPr>
        <w:pStyle w:val="Nivel2"/>
      </w:pPr>
      <w:r>
        <w:t>En esta exposición estudiaremos dicho proceso de apertura e internacionalización mediante un análisis de la evolución de la balanza de pagos hasta la actualidad.</w:t>
      </w:r>
    </w:p>
    <w:p w14:paraId="695C8822" w14:textId="77777777" w:rsidR="00465A7C" w:rsidRDefault="00465A7C" w:rsidP="00465A7C">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465A7C" w14:paraId="5923FAF7" w14:textId="77777777" w:rsidTr="006D2390">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2200943" w14:textId="75BFA721" w:rsidR="00465A7C" w:rsidRPr="006D2390" w:rsidRDefault="00465A7C" w:rsidP="006D2390">
      <w:pPr>
        <w:spacing w:after="0"/>
        <w:rPr>
          <w:b/>
          <w:sz w:val="2"/>
          <w:szCs w:val="2"/>
          <w:u w:val="single"/>
        </w:rPr>
      </w:pPr>
      <w:r w:rsidRPr="006D2390">
        <w:rPr>
          <w:sz w:val="2"/>
          <w:szCs w:val="2"/>
        </w:rPr>
        <w:br w:type="page"/>
      </w:r>
    </w:p>
    <w:p w14:paraId="489E5292" w14:textId="102CD913" w:rsidR="009C007F" w:rsidRDefault="007B4214" w:rsidP="00B80CE1">
      <w:pPr>
        <w:pStyle w:val="Ttulo1"/>
      </w:pPr>
      <w:bookmarkStart w:id="4" w:name="_Toc178015957"/>
      <w:r>
        <w:lastRenderedPageBreak/>
        <w:t xml:space="preserve">BREVE INTRODUCCIÓN A LA </w:t>
      </w:r>
      <w:r w:rsidR="009E4869">
        <w:t>BALANZA DE PAGOS</w:t>
      </w:r>
      <w:bookmarkEnd w:id="4"/>
    </w:p>
    <w:p w14:paraId="31075705" w14:textId="29D90AA9" w:rsidR="009C007F" w:rsidRDefault="009C007F" w:rsidP="00AC10B2">
      <w:pPr>
        <w:pStyle w:val="Ttulo2"/>
        <w:numPr>
          <w:ilvl w:val="1"/>
          <w:numId w:val="49"/>
        </w:numPr>
      </w:pPr>
      <w:bookmarkStart w:id="5" w:name="_Toc178015958"/>
      <w:r>
        <w:t>Concepto</w:t>
      </w:r>
      <w:bookmarkEnd w:id="5"/>
    </w:p>
    <w:p w14:paraId="18B91A63" w14:textId="31D351C5" w:rsidR="00AF5501" w:rsidRDefault="00AF5501" w:rsidP="00AF5501">
      <w:pPr>
        <w:pStyle w:val="Nivel1SM"/>
        <w:keepNext/>
        <w:spacing w:before="0" w:after="0"/>
      </w:pPr>
      <w:r>
        <w:t xml:space="preserve">Las </w:t>
      </w:r>
      <w:r w:rsidRPr="00187F54">
        <w:rPr>
          <w:b/>
          <w:bCs/>
          <w:i/>
          <w:iCs/>
        </w:rPr>
        <w:t>cuentas internacionales</w:t>
      </w:r>
      <w:r>
        <w:t xml:space="preserve"> resumen las relaciones económicas entre residentes y no residentes. Comprenden </w:t>
      </w:r>
      <w:r w:rsidRPr="003847B6">
        <w:rPr>
          <w:b/>
          <w:bCs/>
        </w:rPr>
        <w:t>3 estados contables</w:t>
      </w:r>
      <w:r>
        <w:t>:</w:t>
      </w:r>
    </w:p>
    <w:p w14:paraId="1035FDD7" w14:textId="77777777" w:rsidR="00AF5501" w:rsidRPr="0030396E" w:rsidRDefault="00AF5501" w:rsidP="00AF5501">
      <w:pPr>
        <w:pStyle w:val="Nmeroromano"/>
        <w:spacing w:after="0"/>
      </w:pPr>
      <w:r>
        <w:rPr>
          <w:i/>
          <w:iCs/>
        </w:rPr>
        <w:t>Balanza de Pagos</w:t>
      </w:r>
    </w:p>
    <w:p w14:paraId="0257EB97" w14:textId="77777777" w:rsidR="00AF5501" w:rsidRPr="0030396E" w:rsidRDefault="00AF5501" w:rsidP="00AF5501">
      <w:pPr>
        <w:pStyle w:val="Nmeroromano"/>
        <w:spacing w:after="0"/>
      </w:pPr>
      <w:r>
        <w:rPr>
          <w:i/>
          <w:iCs/>
        </w:rPr>
        <w:t>Posición de Inversión Internacional</w:t>
      </w:r>
    </w:p>
    <w:p w14:paraId="01F5A21A" w14:textId="77777777" w:rsidR="00AF5501" w:rsidRDefault="00AF5501" w:rsidP="00AF5501">
      <w:pPr>
        <w:pStyle w:val="Nmeroromano"/>
      </w:pPr>
      <w:r>
        <w:rPr>
          <w:i/>
          <w:iCs/>
        </w:rPr>
        <w:t>Cuenta de otras variaciones de los activos y pasivos financieros</w:t>
      </w:r>
    </w:p>
    <w:p w14:paraId="4758734C" w14:textId="77777777" w:rsidR="00AF5501" w:rsidRDefault="00AF5501" w:rsidP="00AF5501">
      <w:pPr>
        <w:pStyle w:val="Ttulo6"/>
      </w:pPr>
      <w:bookmarkStart w:id="6" w:name="_Toc145432550"/>
      <w:bookmarkStart w:id="7" w:name="_Toc178015959"/>
      <w:r>
        <w:t>Balanza de Pagos (BP)</w:t>
      </w:r>
      <w:bookmarkEnd w:id="6"/>
      <w:bookmarkEnd w:id="7"/>
    </w:p>
    <w:p w14:paraId="274C0FC2" w14:textId="77777777" w:rsidR="00AF5501" w:rsidRDefault="00AF5501" w:rsidP="00AF5501">
      <w:pPr>
        <w:pStyle w:val="Nivel2SM"/>
        <w:keepNext/>
        <w:spacing w:after="0"/>
        <w:ind w:left="425"/>
        <w:contextualSpacing w:val="0"/>
      </w:pPr>
      <w:r w:rsidRPr="009162AF">
        <w:t xml:space="preserve">La </w:t>
      </w:r>
      <w:r w:rsidRPr="003374B5">
        <w:rPr>
          <w:i/>
          <w:iCs/>
          <w:u w:val="single"/>
        </w:rPr>
        <w:t>Balanza de Pagos (BP)</w:t>
      </w:r>
      <w:r w:rsidRPr="009162AF">
        <w:t xml:space="preserve"> es </w:t>
      </w:r>
      <w:r>
        <w:t xml:space="preserve">el </w:t>
      </w:r>
      <w:r w:rsidRPr="003374B5">
        <w:rPr>
          <w:color w:val="C00000"/>
        </w:rPr>
        <w:t>registro sistemático</w:t>
      </w:r>
      <w:r>
        <w:t xml:space="preserve"> y </w:t>
      </w:r>
      <w:r w:rsidRPr="003374B5">
        <w:rPr>
          <w:color w:val="00B050"/>
        </w:rPr>
        <w:t>contable</w:t>
      </w:r>
      <w:r>
        <w:t xml:space="preserve"> de las </w:t>
      </w:r>
      <w:r w:rsidRPr="003374B5">
        <w:rPr>
          <w:color w:val="0070C0"/>
        </w:rPr>
        <w:t xml:space="preserve">transacciones económicas </w:t>
      </w:r>
      <w:r w:rsidRPr="003374B5">
        <w:rPr>
          <w:color w:val="FF6600"/>
        </w:rPr>
        <w:t>entre residentes y no residentes</w:t>
      </w:r>
      <w:r>
        <w:rPr>
          <w:color w:val="FF6600"/>
        </w:rPr>
        <w:t xml:space="preserve"> de un país</w:t>
      </w:r>
      <w:r>
        <w:t xml:space="preserve"> </w:t>
      </w:r>
      <w:r w:rsidRPr="003374B5">
        <w:rPr>
          <w:color w:val="FF33CC"/>
        </w:rPr>
        <w:t>durante un periodo determinado</w:t>
      </w:r>
      <w:r>
        <w:t>.</w:t>
      </w:r>
    </w:p>
    <w:p w14:paraId="2C055FEB" w14:textId="77777777" w:rsidR="00AF5501" w:rsidRDefault="00AF5501" w:rsidP="00AF5501">
      <w:pPr>
        <w:pStyle w:val="Prrafodelista"/>
        <w:numPr>
          <w:ilvl w:val="0"/>
          <w:numId w:val="43"/>
        </w:numPr>
        <w:spacing w:after="0"/>
        <w:ind w:left="1135" w:hanging="284"/>
        <w:contextualSpacing w:val="0"/>
      </w:pPr>
      <w:r w:rsidRPr="00125644">
        <w:rPr>
          <w:i/>
          <w:iCs/>
          <w:color w:val="C00000"/>
        </w:rPr>
        <w:t>Registro sistemático</w:t>
      </w:r>
      <w:r w:rsidRPr="003374B5">
        <w:t>:</w:t>
      </w:r>
      <w:r>
        <w:t xml:space="preserve"> Está compuesto por balanzas y sub-balanzas, lo cual le da coherencia y facilidad de análisis. Comprende la cuenta de bienes y servicios, la cuenta del ingreso primario, la cuenta del ingreso secundario, la cuenta de cap</w:t>
      </w:r>
      <w:r w:rsidRPr="0076107C">
        <w:t>i</w:t>
      </w:r>
      <w:r>
        <w:t>tal y la cuenta financiera.</w:t>
      </w:r>
      <w:r>
        <w:br/>
        <w:t>La BP está siempre en equilibrio por definición, ya que, como veremos, refleja una identidad contable. En cualquier caso, sus sub-balanzas pueden no estar en equilibrio.</w:t>
      </w:r>
    </w:p>
    <w:p w14:paraId="653D7710" w14:textId="77777777" w:rsidR="00AF5501" w:rsidRDefault="00AF5501" w:rsidP="00AF5501">
      <w:pPr>
        <w:pStyle w:val="Prrafodelista"/>
        <w:numPr>
          <w:ilvl w:val="0"/>
          <w:numId w:val="43"/>
        </w:numPr>
        <w:spacing w:after="0"/>
        <w:ind w:left="1135" w:hanging="284"/>
        <w:contextualSpacing w:val="0"/>
      </w:pPr>
      <w:r w:rsidRPr="00125644">
        <w:rPr>
          <w:i/>
          <w:iCs/>
          <w:color w:val="00B050"/>
        </w:rPr>
        <w:t>Y contable</w:t>
      </w:r>
      <w:r>
        <w:t xml:space="preserve">: Se ajusta a </w:t>
      </w:r>
      <w:r w:rsidRPr="00125644">
        <w:rPr>
          <w:i/>
          <w:iCs/>
        </w:rPr>
        <w:t>principios contables</w:t>
      </w:r>
      <w:r>
        <w:t>, que veremos a continuación.</w:t>
      </w:r>
    </w:p>
    <w:p w14:paraId="020D7F9A" w14:textId="77777777" w:rsidR="00AF5501" w:rsidRDefault="00AF5501" w:rsidP="00AF5501">
      <w:pPr>
        <w:pStyle w:val="Prrafodelista"/>
        <w:numPr>
          <w:ilvl w:val="0"/>
          <w:numId w:val="43"/>
        </w:numPr>
        <w:spacing w:after="0"/>
        <w:ind w:left="1135" w:hanging="284"/>
        <w:contextualSpacing w:val="0"/>
      </w:pPr>
      <w:r w:rsidRPr="00125644">
        <w:rPr>
          <w:i/>
          <w:iCs/>
          <w:color w:val="0070C0"/>
        </w:rPr>
        <w:t>De las transacciones económicas</w:t>
      </w:r>
      <w:r w:rsidRPr="00DA362C">
        <w:rPr>
          <w:rStyle w:val="Refdenotaalpie"/>
        </w:rPr>
        <w:footnoteReference w:id="2"/>
      </w:r>
      <w:r>
        <w:t>: Incluye operaciones corrientes, operaciones de capital y operaciones financieras, como luego detallaremos en la cuenta corriente, la cuenta de capital y la cuenta financiera.</w:t>
      </w:r>
    </w:p>
    <w:p w14:paraId="5AE4E1CE" w14:textId="77777777" w:rsidR="00AF5501" w:rsidRDefault="00AF5501" w:rsidP="00AF5501">
      <w:pPr>
        <w:pStyle w:val="Prrafodelista"/>
        <w:numPr>
          <w:ilvl w:val="0"/>
          <w:numId w:val="43"/>
        </w:numPr>
        <w:spacing w:after="0"/>
        <w:ind w:left="1135" w:hanging="284"/>
        <w:contextualSpacing w:val="0"/>
      </w:pPr>
      <w:r w:rsidRPr="00125644">
        <w:rPr>
          <w:i/>
          <w:iCs/>
          <w:color w:val="FF6600"/>
        </w:rPr>
        <w:t>Entre residentes y no residentes de un país</w:t>
      </w:r>
      <w:r w:rsidRPr="003374B5">
        <w:t>:</w:t>
      </w:r>
      <w:r>
        <w:t xml:space="preserve"> Por tanto, será importante insistir en que la propia definición incluye el concepto de residencia, que ahora veremos.</w:t>
      </w:r>
    </w:p>
    <w:p w14:paraId="19B771C9" w14:textId="77777777" w:rsidR="00AF5501" w:rsidRDefault="00AF5501" w:rsidP="00AF5501">
      <w:pPr>
        <w:pStyle w:val="Prrafodelista"/>
        <w:numPr>
          <w:ilvl w:val="0"/>
          <w:numId w:val="43"/>
        </w:numPr>
        <w:spacing w:after="0"/>
        <w:ind w:left="1135" w:hanging="284"/>
      </w:pPr>
      <w:r w:rsidRPr="00125644">
        <w:rPr>
          <w:i/>
          <w:iCs/>
          <w:color w:val="FF33CC"/>
        </w:rPr>
        <w:t>Durante un periodo determinado</w:t>
      </w:r>
      <w:r w:rsidRPr="003374B5">
        <w:t>:</w:t>
      </w:r>
      <w:r>
        <w:t xml:space="preserve"> Generalmente se realiza para el año natural, pero existen registros de períodos más cortos (p.ej. mensual o trimestral).</w:t>
      </w:r>
    </w:p>
    <w:p w14:paraId="2D94DD40" w14:textId="77777777" w:rsidR="00AF5501" w:rsidRPr="009162AF" w:rsidRDefault="00AF5501" w:rsidP="00AF5501">
      <w:pPr>
        <w:pStyle w:val="Ttulo6"/>
      </w:pPr>
      <w:bookmarkStart w:id="8" w:name="_Toc145432551"/>
      <w:bookmarkStart w:id="9" w:name="_Toc178015960"/>
      <w:r w:rsidRPr="009162AF">
        <w:rPr>
          <w:rStyle w:val="Ttulo6Car"/>
          <w:b/>
        </w:rPr>
        <w:t>Posición de Inversión Internacional (PII)</w:t>
      </w:r>
      <w:bookmarkEnd w:id="8"/>
      <w:bookmarkEnd w:id="9"/>
    </w:p>
    <w:p w14:paraId="42F8A0B0" w14:textId="77777777" w:rsidR="00AF5501" w:rsidRDefault="00AF5501" w:rsidP="00AF5501">
      <w:pPr>
        <w:pStyle w:val="Nivel2SM"/>
        <w:keepNext/>
        <w:spacing w:after="0"/>
      </w:pPr>
      <w:r w:rsidRPr="0076107C">
        <w:t xml:space="preserve">La </w:t>
      </w:r>
      <w:r w:rsidRPr="00CF249C">
        <w:rPr>
          <w:i/>
          <w:iCs/>
          <w:u w:val="single"/>
        </w:rPr>
        <w:t>Posición de Inversión Internacional (PII)</w:t>
      </w:r>
      <w:r w:rsidRPr="0076107C">
        <w:t xml:space="preserve"> es un estado que muestra el valor y la composición, en un momento dado, de las tenencias de activos y pasivos financieros frente al exterior.</w:t>
      </w:r>
    </w:p>
    <w:p w14:paraId="573961DE" w14:textId="77777777" w:rsidR="00AF5501" w:rsidRDefault="00AF5501" w:rsidP="00AF5501">
      <w:pPr>
        <w:pStyle w:val="Nivel3SM"/>
      </w:pPr>
      <w:r w:rsidRPr="0076107C">
        <w:t xml:space="preserve">La diferencia </w:t>
      </w:r>
      <w:r>
        <w:t xml:space="preserve">entre activos y pasivos es el </w:t>
      </w:r>
      <w:r w:rsidRPr="00CD64C1">
        <w:rPr>
          <w:i/>
          <w:iCs/>
        </w:rPr>
        <w:t>saldo neto de la PII</w:t>
      </w:r>
      <w:r>
        <w:t xml:space="preserve"> y representa el balance financiero de la economía frente al exterior. Puede interpretarse también como el saldo acumulado de las cuentas financieras históricas y como la riqueza externa de un país.</w:t>
      </w:r>
    </w:p>
    <w:p w14:paraId="4F6C6AFF" w14:textId="77777777" w:rsidR="00AF5501" w:rsidRDefault="00AF5501" w:rsidP="00AF5501">
      <w:pPr>
        <w:pStyle w:val="Nivel3SM"/>
      </w:pPr>
      <w:r>
        <w:t>La PII representa un subconjunto de los activos y pasivos incluidos en el balance nacional.</w:t>
      </w:r>
    </w:p>
    <w:p w14:paraId="0D51A151" w14:textId="77777777" w:rsidR="00AF5501" w:rsidRPr="009162AF" w:rsidRDefault="00AF5501" w:rsidP="00AF5501">
      <w:pPr>
        <w:pStyle w:val="Ttulo6"/>
      </w:pPr>
      <w:bookmarkStart w:id="10" w:name="_Toc145432552"/>
      <w:bookmarkStart w:id="11" w:name="_Toc178015961"/>
      <w:r w:rsidRPr="009162AF">
        <w:rPr>
          <w:rStyle w:val="Ttulo6Car"/>
          <w:b/>
        </w:rPr>
        <w:t>Cuenta de otras variaciones de los activos y pasivos financieros</w:t>
      </w:r>
      <w:bookmarkEnd w:id="10"/>
      <w:bookmarkEnd w:id="11"/>
    </w:p>
    <w:p w14:paraId="7FAC86B7" w14:textId="0FA64A64" w:rsidR="00AF5501" w:rsidRDefault="00AF5501" w:rsidP="00AF5501">
      <w:pPr>
        <w:pStyle w:val="Nivel2SM"/>
      </w:pPr>
      <w:r>
        <w:t>L</w:t>
      </w:r>
      <w:r w:rsidRPr="0076107C">
        <w:t>a</w:t>
      </w:r>
      <w:r>
        <w:t xml:space="preserve"> </w:t>
      </w:r>
      <w:r w:rsidRPr="00CF249C">
        <w:rPr>
          <w:i/>
          <w:iCs/>
          <w:u w:val="single"/>
        </w:rPr>
        <w:t>cuenta de otras variaciones de los activos y pasivos financieros</w:t>
      </w:r>
      <w:r>
        <w:t xml:space="preserve"> es un estado contable que recoge las variaciones de las PII no suscitadas por las transacciones entre residentes y no residentes, como las variaciones por valoración. Permite conciliar la BP y la PII.</w:t>
      </w:r>
    </w:p>
    <w:p w14:paraId="2EF3A02D" w14:textId="34956F3E" w:rsidR="00E42691" w:rsidRPr="00F9158D" w:rsidRDefault="00E42691" w:rsidP="00E42691">
      <w:pPr>
        <w:pStyle w:val="Ttuloimagen"/>
        <w:rPr>
          <w:i/>
          <w:iCs/>
          <w:smallCaps w:val="0"/>
        </w:rPr>
      </w:pPr>
      <w:bookmarkStart w:id="12" w:name="_Ref121680762"/>
      <w:r>
        <w:t>Imagen </w:t>
      </w:r>
      <w:r>
        <w:fldChar w:fldCharType="begin"/>
      </w:r>
      <w:r>
        <w:instrText xml:space="preserve"> SEQ Ilustración \* ARABIC </w:instrText>
      </w:r>
      <w:r>
        <w:fldChar w:fldCharType="separate"/>
      </w:r>
      <w:r w:rsidR="00CD1EBB">
        <w:t>1</w:t>
      </w:r>
      <w:r>
        <w:fldChar w:fldCharType="end"/>
      </w:r>
      <w:bookmarkEnd w:id="12"/>
      <w:r>
        <w:rPr>
          <w:smallCaps w:val="0"/>
        </w:rPr>
        <w:t xml:space="preserve">.– </w:t>
      </w:r>
      <w:r>
        <w:rPr>
          <w:i/>
          <w:iCs/>
          <w:smallCaps w:val="0"/>
        </w:rPr>
        <w:t>Panorama general de las cuentas internacionales</w:t>
      </w:r>
    </w:p>
    <w:p w14:paraId="5354B6E9" w14:textId="77777777" w:rsidR="00E42691" w:rsidRDefault="00E42691" w:rsidP="00E42691">
      <w:pPr>
        <w:pStyle w:val="Imagen"/>
      </w:pPr>
      <w:r>
        <w:drawing>
          <wp:inline distT="0" distB="0" distL="0" distR="0" wp14:anchorId="5877926B" wp14:editId="7D8091EF">
            <wp:extent cx="2050473" cy="1190452"/>
            <wp:effectExtent l="0" t="0" r="6985" b="0"/>
            <wp:docPr id="1" name="Picture 1" descr="Tabla,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a, Gráfico de rectángulos&#10;&#10;Descripción generada automáticamente"/>
                    <pic:cNvPicPr/>
                  </pic:nvPicPr>
                  <pic:blipFill rotWithShape="1">
                    <a:blip r:embed="rId8" cstate="print">
                      <a:extLst>
                        <a:ext uri="{28A0092B-C50C-407E-A947-70E740481C1C}">
                          <a14:useLocalDpi xmlns:a14="http://schemas.microsoft.com/office/drawing/2010/main" val="0"/>
                        </a:ext>
                      </a:extLst>
                    </a:blip>
                    <a:srcRect l="435" r="1410" b="-16"/>
                    <a:stretch/>
                  </pic:blipFill>
                  <pic:spPr bwMode="auto">
                    <a:xfrm>
                      <a:off x="0" y="0"/>
                      <a:ext cx="2053638" cy="1192290"/>
                    </a:xfrm>
                    <a:prstGeom prst="rect">
                      <a:avLst/>
                    </a:prstGeom>
                    <a:ln>
                      <a:noFill/>
                    </a:ln>
                    <a:extLst>
                      <a:ext uri="{53640926-AAD7-44D8-BBD7-CCE9431645EC}">
                        <a14:shadowObscured xmlns:a14="http://schemas.microsoft.com/office/drawing/2010/main"/>
                      </a:ext>
                    </a:extLst>
                  </pic:spPr>
                </pic:pic>
              </a:graphicData>
            </a:graphic>
          </wp:inline>
        </w:drawing>
      </w:r>
    </w:p>
    <w:p w14:paraId="6C4B69FE" w14:textId="67E0CBE6" w:rsidR="00E42691" w:rsidRPr="00F9158D" w:rsidRDefault="00E42691" w:rsidP="00E42691">
      <w:pPr>
        <w:pStyle w:val="PiedeImagen"/>
        <w:rPr>
          <w:i w:val="0"/>
          <w:iCs/>
        </w:rPr>
      </w:pPr>
      <w:r>
        <w:t>Fuente</w:t>
      </w:r>
      <w:r>
        <w:rPr>
          <w:i w:val="0"/>
          <w:iCs/>
        </w:rPr>
        <w:t xml:space="preserve">: </w:t>
      </w:r>
      <w:r w:rsidRPr="00F9158D">
        <w:rPr>
          <w:i w:val="0"/>
          <w:iCs/>
        </w:rPr>
        <w:t>Banco de España</w:t>
      </w:r>
      <w:r>
        <w:rPr>
          <w:i w:val="0"/>
          <w:iCs/>
        </w:rPr>
        <w:t xml:space="preserve"> </w:t>
      </w:r>
      <w:r w:rsidRPr="00F9158D">
        <w:rPr>
          <w:i w:val="0"/>
          <w:iCs/>
        </w:rPr>
        <w:t>(202</w:t>
      </w:r>
      <w:r>
        <w:rPr>
          <w:i w:val="0"/>
          <w:iCs/>
        </w:rPr>
        <w:t>2</w:t>
      </w:r>
      <w:r w:rsidRPr="00F9158D">
        <w:rPr>
          <w:i w:val="0"/>
          <w:iCs/>
        </w:rPr>
        <w:t xml:space="preserve">). </w:t>
      </w:r>
      <w:r w:rsidRPr="00F9158D">
        <w:t>Balanza de Pagos y Posición de Inversión Internacional de España: Nota metodológica</w:t>
      </w:r>
      <w:r w:rsidRPr="00F9158D">
        <w:rPr>
          <w:i w:val="0"/>
          <w:iCs/>
        </w:rPr>
        <w:t xml:space="preserve">. </w:t>
      </w:r>
      <w:hyperlink r:id="rId9" w:history="1">
        <w:r w:rsidRPr="00434444">
          <w:rPr>
            <w:rStyle w:val="Hipervnculo"/>
            <w:i w:val="0"/>
            <w:iCs/>
          </w:rPr>
          <w:t>https://www.bde.es/webbde/es/estadis/infoest/htmls/notamet/notametBpPii.pdf</w:t>
        </w:r>
      </w:hyperlink>
    </w:p>
    <w:p w14:paraId="080C96A6" w14:textId="545FB351" w:rsidR="009C007F" w:rsidRDefault="009C007F" w:rsidP="004978BF">
      <w:pPr>
        <w:pStyle w:val="Ttulo2"/>
      </w:pPr>
      <w:bookmarkStart w:id="13" w:name="_Toc178015962"/>
      <w:r w:rsidRPr="00186AC3">
        <w:lastRenderedPageBreak/>
        <w:t xml:space="preserve">Estructura básica </w:t>
      </w:r>
      <w:r>
        <w:t>y relación</w:t>
      </w:r>
      <w:bookmarkEnd w:id="13"/>
    </w:p>
    <w:p w14:paraId="65FC0A23" w14:textId="123202E1" w:rsidR="009C007F" w:rsidRDefault="009C007F" w:rsidP="00CD1874">
      <w:pPr>
        <w:pStyle w:val="Nivel1SM"/>
        <w:keepNext/>
        <w:spacing w:before="0" w:after="0"/>
      </w:pPr>
      <w:r>
        <w:t xml:space="preserve">Las operaciones recogidas en la balanza de pagos se dividen en </w:t>
      </w:r>
      <w:r w:rsidR="008558EF" w:rsidRPr="009E3203">
        <w:t>3 </w:t>
      </w:r>
      <w:r w:rsidRPr="009E3203">
        <w:t>sub</w:t>
      </w:r>
      <w:r w:rsidR="008558EF" w:rsidRPr="009E3203">
        <w:t>-</w:t>
      </w:r>
      <w:r w:rsidRPr="009E3203">
        <w:t>balanzas principales</w:t>
      </w:r>
      <w:r w:rsidR="006B7C80" w:rsidRPr="009E3203">
        <w:t xml:space="preserve"> y la PII</w:t>
      </w:r>
      <w:r w:rsidR="006B7C80" w:rsidRPr="006B7C80">
        <w:t>:</w:t>
      </w:r>
    </w:p>
    <w:p w14:paraId="5F2684E8" w14:textId="63C5AD2B" w:rsidR="00A7095B" w:rsidRDefault="009C007F" w:rsidP="00CD1874">
      <w:pPr>
        <w:pStyle w:val="Nivel2SM"/>
        <w:keepNext/>
        <w:spacing w:after="0"/>
      </w:pPr>
      <w:r w:rsidRPr="008558EF">
        <w:rPr>
          <w:i/>
          <w:iCs/>
          <w:u w:val="single"/>
        </w:rPr>
        <w:t>Cuenta corriente</w:t>
      </w:r>
      <w:r>
        <w:t xml:space="preserve">: </w:t>
      </w:r>
      <w:r w:rsidRPr="008558EF">
        <w:t>Recoge las transacciones no financieras entre residentes y no residentes</w:t>
      </w:r>
      <w:r w:rsidR="00A7095B">
        <w:t xml:space="preserve">. </w:t>
      </w:r>
      <w:r w:rsidR="00A7095B" w:rsidRPr="008558EF">
        <w:t>Las partidas se registran como ingresos y pagos</w:t>
      </w:r>
      <w:r w:rsidR="00A7095B">
        <w:t xml:space="preserve">. La cuenta corriente está </w:t>
      </w:r>
      <w:r w:rsidRPr="008558EF">
        <w:t xml:space="preserve">dividida en </w:t>
      </w:r>
      <w:r w:rsidR="009A31D1">
        <w:t>3 </w:t>
      </w:r>
      <w:r w:rsidR="00A7095B">
        <w:t>sub</w:t>
      </w:r>
      <w:r w:rsidRPr="008558EF">
        <w:t>cuentas:</w:t>
      </w:r>
    </w:p>
    <w:p w14:paraId="60D79430" w14:textId="5BB801BE" w:rsidR="00A7095B" w:rsidRDefault="00A7095B" w:rsidP="00826831">
      <w:pPr>
        <w:pStyle w:val="Nivel3SM"/>
      </w:pPr>
      <w:r w:rsidRPr="00A7095B">
        <w:rPr>
          <w:i/>
          <w:iCs/>
        </w:rPr>
        <w:t>C</w:t>
      </w:r>
      <w:r w:rsidR="009C007F" w:rsidRPr="00A7095B">
        <w:rPr>
          <w:i/>
          <w:iCs/>
        </w:rPr>
        <w:t>uenta de bienes</w:t>
      </w:r>
      <w:r w:rsidR="009A31D1" w:rsidRPr="00A7095B">
        <w:rPr>
          <w:i/>
          <w:iCs/>
        </w:rPr>
        <w:t xml:space="preserve"> y </w:t>
      </w:r>
      <w:r w:rsidR="009C007F" w:rsidRPr="00A7095B">
        <w:rPr>
          <w:i/>
          <w:iCs/>
        </w:rPr>
        <w:t>servicios</w:t>
      </w:r>
      <w:r>
        <w:t>:</w:t>
      </w:r>
      <w:r w:rsidRPr="00826831">
        <w:rPr>
          <w:sz w:val="14"/>
          <w:szCs w:val="14"/>
        </w:rPr>
        <w:t xml:space="preserve"> Registra en ingresos las exportaciones, como petróleo, patatas, ordenadores o cualquier tipo de servicio, y en pagos las importaciones</w:t>
      </w:r>
      <w:r w:rsidRPr="00A7095B">
        <w:t>.</w:t>
      </w:r>
    </w:p>
    <w:p w14:paraId="5DA2A3DB" w14:textId="5A65EE2D" w:rsidR="00A7095B" w:rsidRPr="00A7095B" w:rsidRDefault="00A7095B" w:rsidP="00826831">
      <w:pPr>
        <w:pStyle w:val="Nivel3SM"/>
        <w:keepNext/>
      </w:pPr>
      <w:r w:rsidRPr="00A7095B">
        <w:rPr>
          <w:i/>
          <w:iCs/>
        </w:rPr>
        <w:t>C</w:t>
      </w:r>
      <w:r w:rsidR="009C007F" w:rsidRPr="00A7095B">
        <w:rPr>
          <w:i/>
          <w:iCs/>
        </w:rPr>
        <w:t>uenta de rentas primarias</w:t>
      </w:r>
      <w:r>
        <w:t>:</w:t>
      </w:r>
      <w:r w:rsidRPr="00826831">
        <w:rPr>
          <w:sz w:val="14"/>
          <w:szCs w:val="14"/>
        </w:rPr>
        <w:t xml:space="preserve"> Registra los flujos generados de renta primaria. La renta primaria es el rendimiento recibido por una unidad institucional en contraprestación por su contribución al proceso productivo. Representa la remuneración de los factores productivos</w:t>
      </w:r>
      <w:r w:rsidRPr="00826831">
        <w:rPr>
          <w:rStyle w:val="Refdenotaalpie"/>
          <w:spacing w:val="-1"/>
          <w:sz w:val="14"/>
          <w:szCs w:val="14"/>
        </w:rPr>
        <w:footnoteReference w:id="3"/>
      </w:r>
      <w:r w:rsidRPr="00826831">
        <w:rPr>
          <w:sz w:val="14"/>
          <w:szCs w:val="14"/>
        </w:rPr>
        <w:t>. Consta de 3 componentes:</w:t>
      </w:r>
    </w:p>
    <w:p w14:paraId="4374FD4C" w14:textId="77777777" w:rsidR="00A7095B" w:rsidRPr="00A7095B" w:rsidRDefault="00A7095B" w:rsidP="00826831">
      <w:pPr>
        <w:pStyle w:val="Letra"/>
        <w:numPr>
          <w:ilvl w:val="0"/>
          <w:numId w:val="51"/>
        </w:numPr>
        <w:spacing w:after="0"/>
        <w:ind w:left="1418" w:hanging="227"/>
        <w:rPr>
          <w:sz w:val="14"/>
          <w:szCs w:val="14"/>
        </w:rPr>
      </w:pPr>
      <w:r w:rsidRPr="00A7095B">
        <w:rPr>
          <w:i/>
          <w:iCs/>
          <w:sz w:val="14"/>
          <w:szCs w:val="14"/>
        </w:rPr>
        <w:t>Rentas de la inversión</w:t>
      </w:r>
      <w:r w:rsidRPr="00A7095B">
        <w:rPr>
          <w:sz w:val="14"/>
          <w:szCs w:val="14"/>
        </w:rPr>
        <w:t>: Se elabora de conformidad con la metodología empleada para la elaboración de la cuenta financiera y la Posición de Inversión Internacional. Generalmente, los flujos brutos de esta partida son los más importantes de la balanza de rentas primarias. Su clasificación es coherente con la de la cuenta financiera y la Posición de Inversión Internacional, por lo que se estudiará más adelante en el apartado correspondiente.</w:t>
      </w:r>
    </w:p>
    <w:p w14:paraId="7A26264C" w14:textId="77777777" w:rsidR="00A7095B" w:rsidRPr="00A7095B" w:rsidRDefault="00A7095B" w:rsidP="00826831">
      <w:pPr>
        <w:pStyle w:val="Letra"/>
        <w:spacing w:after="0"/>
        <w:ind w:left="1418"/>
        <w:rPr>
          <w:sz w:val="14"/>
          <w:szCs w:val="14"/>
        </w:rPr>
      </w:pPr>
      <w:r w:rsidRPr="00A7095B">
        <w:rPr>
          <w:i/>
          <w:iCs/>
          <w:sz w:val="14"/>
          <w:szCs w:val="14"/>
        </w:rPr>
        <w:t>Rentas del trabajo</w:t>
      </w:r>
      <w:r w:rsidRPr="00A7095B">
        <w:rPr>
          <w:sz w:val="14"/>
          <w:szCs w:val="14"/>
        </w:rPr>
        <w:t>: Comprende la remuneración en términos brutos de los trabajadores fronterizos, estacionales y temporeros. En todo caso, son trabajadores que se desplazan a un país en el que no son residentes por un periodo inferior al año. Las cuantías se estiman teniendo en cuenta información sobre el país de establecimiento y rama de actividad.</w:t>
      </w:r>
    </w:p>
    <w:p w14:paraId="24981BB6" w14:textId="77777777" w:rsidR="00A7095B" w:rsidRPr="00A7095B" w:rsidRDefault="00A7095B" w:rsidP="00826831">
      <w:pPr>
        <w:pStyle w:val="Letra"/>
        <w:spacing w:after="0"/>
        <w:ind w:left="1418"/>
        <w:rPr>
          <w:sz w:val="14"/>
          <w:szCs w:val="14"/>
        </w:rPr>
      </w:pPr>
      <w:r w:rsidRPr="00A7095B">
        <w:rPr>
          <w:i/>
          <w:iCs/>
          <w:sz w:val="14"/>
          <w:szCs w:val="14"/>
        </w:rPr>
        <w:t>Otra renta primaria</w:t>
      </w:r>
      <w:r w:rsidRPr="00A7095B">
        <w:rPr>
          <w:sz w:val="14"/>
          <w:szCs w:val="14"/>
        </w:rPr>
        <w:t>: Se registran los impuestos netos de subvenciones ligados a productos (IVA, aranceles) y producción (IAE), que se incorporan directamente al precio de mercado de los bienes. Están asociados a relaciones con organismos internacionales que recaudan impuestos o pagan subvenciones. En España, se incluyen en ingresos las transferencias al sector privado procedentes del Fondo Europeo Agrícola de Garantía (FEAGA), y como pagos las aportaciones a la UE por los llamados “recursos propios tradicionales” (derechos aduaneros, exacciones agrícolas y cotizaciones sobre el azúcar).</w:t>
      </w:r>
    </w:p>
    <w:p w14:paraId="6AEA18F1" w14:textId="2F00224B" w:rsidR="00A7095B" w:rsidRPr="00A7095B" w:rsidRDefault="00A7095B" w:rsidP="00826831">
      <w:pPr>
        <w:pStyle w:val="Nivel3SM"/>
        <w:keepNext/>
      </w:pPr>
      <w:r w:rsidRPr="00A7095B">
        <w:rPr>
          <w:i/>
          <w:iCs/>
        </w:rPr>
        <w:t>C</w:t>
      </w:r>
      <w:r w:rsidR="009C007F" w:rsidRPr="00A7095B">
        <w:rPr>
          <w:i/>
          <w:iCs/>
        </w:rPr>
        <w:t>uenta de rentas secundarias</w:t>
      </w:r>
      <w:r>
        <w:t xml:space="preserve">: </w:t>
      </w:r>
      <w:r w:rsidRPr="00826831">
        <w:rPr>
          <w:sz w:val="14"/>
          <w:szCs w:val="14"/>
        </w:rPr>
        <w:t>Se registran las transferencias corrientes entre residentes y no residentes, es decir, transacciones sin contrapartida que afectan a la renta corriente. Se distinguen 2 bloques:</w:t>
      </w:r>
    </w:p>
    <w:p w14:paraId="31CBCBB7" w14:textId="77777777" w:rsidR="00A7095B" w:rsidRPr="00826831" w:rsidRDefault="00A7095B" w:rsidP="00826831">
      <w:pPr>
        <w:pStyle w:val="Nivel4"/>
        <w:ind w:left="1474"/>
        <w:rPr>
          <w:sz w:val="14"/>
          <w:szCs w:val="14"/>
        </w:rPr>
      </w:pPr>
      <w:r w:rsidRPr="00826831">
        <w:rPr>
          <w:sz w:val="14"/>
          <w:szCs w:val="14"/>
        </w:rPr>
        <w:t>Transferencias personales: Son transferencias, en efectivo o en especie, entre hogares. Su componente fundamental son las remesas de trabajadores.</w:t>
      </w:r>
    </w:p>
    <w:p w14:paraId="7252F030" w14:textId="77777777" w:rsidR="00A7095B" w:rsidRPr="00826831" w:rsidRDefault="00A7095B" w:rsidP="00826831">
      <w:pPr>
        <w:pStyle w:val="Nivel4"/>
        <w:keepNext/>
        <w:ind w:left="1474"/>
        <w:rPr>
          <w:sz w:val="14"/>
          <w:szCs w:val="14"/>
        </w:rPr>
      </w:pPr>
      <w:r w:rsidRPr="00826831">
        <w:rPr>
          <w:sz w:val="14"/>
          <w:szCs w:val="14"/>
        </w:rPr>
        <w:t>Otras transferencias corrientes:</w:t>
      </w:r>
    </w:p>
    <w:p w14:paraId="72D550EE" w14:textId="77777777" w:rsidR="00A7095B" w:rsidRPr="00A7095B" w:rsidRDefault="00A7095B" w:rsidP="00826831">
      <w:pPr>
        <w:pStyle w:val="Prrafodelista"/>
        <w:keepNext/>
        <w:numPr>
          <w:ilvl w:val="1"/>
          <w:numId w:val="50"/>
        </w:numPr>
        <w:spacing w:after="0"/>
        <w:ind w:left="1843" w:hanging="170"/>
        <w:rPr>
          <w:sz w:val="14"/>
          <w:szCs w:val="14"/>
        </w:rPr>
      </w:pPr>
      <w:r w:rsidRPr="00A7095B">
        <w:rPr>
          <w:sz w:val="14"/>
          <w:szCs w:val="14"/>
        </w:rPr>
        <w:t xml:space="preserve">Cooperación internacional corriente: Comprende transferencias corrientes entre gobiernos de diferentes países o entre gobiernos y organismos internacionales. En muchos países la principal subpartida es la ayuda al desarrollo. Para los Estados miembros de la UE, las transferencias corrientes más importantes son las relacionadas con el </w:t>
      </w:r>
      <w:bookmarkStart w:id="14" w:name="_Hlk147835151"/>
      <w:r w:rsidRPr="00A7095B">
        <w:rPr>
          <w:sz w:val="14"/>
          <w:szCs w:val="14"/>
        </w:rPr>
        <w:t>Fondo Social Europeo (ingresos) y el Fondo Europeo de Desarrollo (pagos)</w:t>
      </w:r>
      <w:bookmarkEnd w:id="14"/>
      <w:r w:rsidRPr="00A7095B">
        <w:rPr>
          <w:sz w:val="14"/>
          <w:szCs w:val="14"/>
        </w:rPr>
        <w:t>.</w:t>
      </w:r>
    </w:p>
    <w:p w14:paraId="7C8E9F16" w14:textId="77777777" w:rsidR="00A7095B" w:rsidRPr="00A7095B" w:rsidRDefault="00A7095B" w:rsidP="00826831">
      <w:pPr>
        <w:pStyle w:val="Nivel8"/>
        <w:ind w:left="2155"/>
        <w:rPr>
          <w:sz w:val="14"/>
          <w:szCs w:val="14"/>
        </w:rPr>
      </w:pPr>
      <w:r w:rsidRPr="00A7095B">
        <w:rPr>
          <w:sz w:val="14"/>
          <w:szCs w:val="14"/>
        </w:rPr>
        <w:t>En la Unión Europea, los fondos asociados al programa NGEU destinados a la financiación de gastos corrientes se incluyen en esta subcuenta si el beneficiario es el sector de administraciones públicas (para las ayudas MRR se considera siempre que el sector AAPP es el beneficiario)</w:t>
      </w:r>
      <w:r w:rsidRPr="00A7095B">
        <w:rPr>
          <w:rStyle w:val="Refdenotaalpie"/>
          <w:sz w:val="14"/>
          <w:szCs w:val="14"/>
        </w:rPr>
        <w:footnoteReference w:id="4"/>
      </w:r>
      <w:r w:rsidRPr="00A7095B">
        <w:rPr>
          <w:sz w:val="14"/>
          <w:szCs w:val="14"/>
        </w:rPr>
        <w:t>.</w:t>
      </w:r>
    </w:p>
    <w:p w14:paraId="067A0D1A" w14:textId="77777777" w:rsidR="00A7095B" w:rsidRPr="00A7095B" w:rsidRDefault="00A7095B" w:rsidP="00826831">
      <w:pPr>
        <w:pStyle w:val="Prrafodelista"/>
        <w:keepNext/>
        <w:numPr>
          <w:ilvl w:val="1"/>
          <w:numId w:val="50"/>
        </w:numPr>
        <w:spacing w:after="0"/>
        <w:ind w:left="1843" w:hanging="170"/>
        <w:rPr>
          <w:sz w:val="14"/>
          <w:szCs w:val="14"/>
        </w:rPr>
      </w:pPr>
      <w:r w:rsidRPr="00A7095B">
        <w:rPr>
          <w:sz w:val="14"/>
          <w:szCs w:val="14"/>
        </w:rPr>
        <w:t>Otras transferencias corrientes: Aquí se clasifican, entre otras, las destinadas a instituciones sin fines de lucro al servicio de los hogares; las multas, sanciones y compensaciones impuestas por tribunales; y los pagos obligatorios a autoridades supranacionales. A esta categoría corresponden las aportaciones a la UE, denominadas “recursos IVA y recursos RNB”.</w:t>
      </w:r>
    </w:p>
    <w:p w14:paraId="13554689" w14:textId="77777777" w:rsidR="00A7095B" w:rsidRPr="00A7095B" w:rsidRDefault="00A7095B" w:rsidP="00826831">
      <w:pPr>
        <w:pStyle w:val="Nivel8"/>
        <w:ind w:left="2155"/>
        <w:rPr>
          <w:sz w:val="14"/>
          <w:szCs w:val="14"/>
        </w:rPr>
      </w:pPr>
      <w:r w:rsidRPr="00A7095B">
        <w:rPr>
          <w:sz w:val="14"/>
          <w:szCs w:val="14"/>
        </w:rPr>
        <w:t>En la Unión Europea, los fondos asociados al programa NGEU destinados a la financiación de gastos corrientes se incluyen en esta subcuenta si el beneficiario no es el sector de administraciones públicas.</w:t>
      </w:r>
    </w:p>
    <w:p w14:paraId="497FB010" w14:textId="77777777" w:rsidR="00A7095B" w:rsidRPr="00A7095B" w:rsidRDefault="00A7095B" w:rsidP="00826831">
      <w:pPr>
        <w:pStyle w:val="Prrafodelista"/>
        <w:numPr>
          <w:ilvl w:val="1"/>
          <w:numId w:val="50"/>
        </w:numPr>
        <w:ind w:left="1843" w:hanging="170"/>
        <w:rPr>
          <w:sz w:val="14"/>
          <w:szCs w:val="14"/>
        </w:rPr>
      </w:pPr>
      <w:r w:rsidRPr="00A7095B">
        <w:rPr>
          <w:sz w:val="14"/>
          <w:szCs w:val="14"/>
        </w:rPr>
        <w:t>Impuestos corrientes (IRPF, Impuesto sobre el Patrimonio, cotizaciones sociales).</w:t>
      </w:r>
    </w:p>
    <w:p w14:paraId="71A8BED6" w14:textId="77777777" w:rsidR="00A7095B" w:rsidRPr="00A7095B" w:rsidRDefault="00A7095B" w:rsidP="00826831">
      <w:pPr>
        <w:pStyle w:val="Prrafodelista"/>
        <w:numPr>
          <w:ilvl w:val="1"/>
          <w:numId w:val="50"/>
        </w:numPr>
        <w:ind w:left="1843" w:hanging="170"/>
        <w:rPr>
          <w:sz w:val="14"/>
          <w:szCs w:val="14"/>
        </w:rPr>
      </w:pPr>
      <w:r w:rsidRPr="00A7095B">
        <w:rPr>
          <w:sz w:val="14"/>
          <w:szCs w:val="14"/>
        </w:rPr>
        <w:t>Prestaciones sociales en el marco de la seguridad social.</w:t>
      </w:r>
    </w:p>
    <w:p w14:paraId="3E08FA0F" w14:textId="7F54C223" w:rsidR="009C007F" w:rsidRPr="00A7095B" w:rsidRDefault="00A7095B" w:rsidP="00826831">
      <w:pPr>
        <w:pStyle w:val="Prrafodelista"/>
        <w:numPr>
          <w:ilvl w:val="1"/>
          <w:numId w:val="50"/>
        </w:numPr>
        <w:spacing w:after="0"/>
        <w:ind w:left="1843" w:hanging="170"/>
        <w:rPr>
          <w:sz w:val="14"/>
          <w:szCs w:val="14"/>
        </w:rPr>
      </w:pPr>
      <w:r w:rsidRPr="00A7095B">
        <w:rPr>
          <w:sz w:val="14"/>
          <w:szCs w:val="14"/>
        </w:rPr>
        <w:t>Primas netas e indemnizaciones de seguros de vida y garantías estandarizadas.</w:t>
      </w:r>
    </w:p>
    <w:p w14:paraId="07307B58" w14:textId="6E6D0D35" w:rsidR="009C007F" w:rsidRPr="008558EF" w:rsidRDefault="009C007F" w:rsidP="00CD1874">
      <w:pPr>
        <w:pStyle w:val="Nivel2SM"/>
        <w:rPr>
          <w:u w:val="single"/>
        </w:rPr>
      </w:pPr>
      <w:r w:rsidRPr="008558EF">
        <w:rPr>
          <w:i/>
          <w:iCs/>
          <w:u w:val="single"/>
        </w:rPr>
        <w:t>Cuenta de capital</w:t>
      </w:r>
      <w:r w:rsidR="008558EF" w:rsidRPr="008558EF">
        <w:t xml:space="preserve">: </w:t>
      </w:r>
      <w:r w:rsidRPr="008558EF">
        <w:t>Recoge las transacciones no financieras entre residentes y no residentes correspondientes a transferencias de capital o adquisiciones y enajenaciones (transferencia de un derecho real de un patrimonio a otro) de activos no financieros no producidos. Las partidas se registran como ingresos y pagos</w:t>
      </w:r>
      <w:r>
        <w:t>.</w:t>
      </w:r>
    </w:p>
    <w:p w14:paraId="69F8A2C7" w14:textId="33C23A3A" w:rsidR="009C007F" w:rsidRDefault="009C007F" w:rsidP="00CD1874">
      <w:pPr>
        <w:pStyle w:val="Nivel2SM"/>
        <w:keepNext/>
        <w:spacing w:after="0"/>
      </w:pPr>
      <w:r w:rsidRPr="00CD1874">
        <w:rPr>
          <w:i/>
          <w:iCs/>
          <w:u w:val="single"/>
        </w:rPr>
        <w:t>Cuenta financiera y PII</w:t>
      </w:r>
      <w:r w:rsidR="0020072C" w:rsidRPr="00CD1874">
        <w:rPr>
          <w:i/>
          <w:iCs/>
          <w:u w:val="single"/>
        </w:rPr>
        <w:t>, e</w:t>
      </w:r>
      <w:r w:rsidRPr="00CD1874">
        <w:rPr>
          <w:i/>
          <w:iCs/>
          <w:u w:val="single"/>
        </w:rPr>
        <w:t xml:space="preserve">xcluyendo el </w:t>
      </w:r>
      <w:r w:rsidR="0020072C" w:rsidRPr="00CD1874">
        <w:rPr>
          <w:i/>
          <w:iCs/>
          <w:u w:val="single"/>
        </w:rPr>
        <w:t>Banco de España</w:t>
      </w:r>
      <w:r w:rsidR="008558EF" w:rsidRPr="008558EF">
        <w:t>:</w:t>
      </w:r>
    </w:p>
    <w:p w14:paraId="732FCB06" w14:textId="08217523" w:rsidR="006C0C42" w:rsidRPr="008558EF" w:rsidRDefault="006C0C42" w:rsidP="00CD1874">
      <w:pPr>
        <w:pStyle w:val="Nivel3SM"/>
      </w:pPr>
      <w:r w:rsidRPr="008558EF">
        <w:rPr>
          <w:i/>
          <w:iCs/>
        </w:rPr>
        <w:t xml:space="preserve">Cuenta </w:t>
      </w:r>
      <w:r w:rsidR="00406B1B">
        <w:rPr>
          <w:i/>
          <w:iCs/>
        </w:rPr>
        <w:t>f</w:t>
      </w:r>
      <w:r w:rsidRPr="008558EF">
        <w:rPr>
          <w:i/>
          <w:iCs/>
        </w:rPr>
        <w:t>inanciera</w:t>
      </w:r>
      <w:r>
        <w:t xml:space="preserve">: </w:t>
      </w:r>
      <w:r w:rsidRPr="00B97031">
        <w:t>Recoge las transacciones financieras entre residentes y no</w:t>
      </w:r>
      <w:r>
        <w:t> </w:t>
      </w:r>
      <w:r w:rsidRPr="00B97031">
        <w:t xml:space="preserve">residentes divididas en </w:t>
      </w:r>
      <w:r>
        <w:t>4 </w:t>
      </w:r>
      <w:r w:rsidRPr="00B97031">
        <w:t>grandes grupos</w:t>
      </w:r>
      <w:r w:rsidR="007D0F0E">
        <w:t xml:space="preserve"> conocidos como categorías funcionales</w:t>
      </w:r>
      <w:r w:rsidRPr="00B97031">
        <w:t>: IDE, IC</w:t>
      </w:r>
      <w:r>
        <w:t>, derivados</w:t>
      </w:r>
      <w:r w:rsidRPr="00B97031">
        <w:t xml:space="preserve"> y otras inversiones.</w:t>
      </w:r>
      <w:r>
        <w:t xml:space="preserve"> </w:t>
      </w:r>
      <w:r w:rsidRPr="008558EF">
        <w:t>Las partidas se registran como variación neta de activos y variación neta de pasivos</w:t>
      </w:r>
      <w:r w:rsidRPr="00B97031">
        <w:t>.</w:t>
      </w:r>
    </w:p>
    <w:p w14:paraId="2A0D9264" w14:textId="630BE541" w:rsidR="006B7C80" w:rsidRPr="008558EF" w:rsidRDefault="00F82D6C" w:rsidP="00CD1874">
      <w:pPr>
        <w:pStyle w:val="Nivel3SM"/>
      </w:pPr>
      <w:r w:rsidRPr="008558EF">
        <w:rPr>
          <w:i/>
          <w:iCs/>
        </w:rPr>
        <w:t>Posición Inversora Internacional</w:t>
      </w:r>
      <w:r w:rsidR="007D0F0E">
        <w:t>:</w:t>
      </w:r>
      <w:r w:rsidR="008558EF">
        <w:t xml:space="preserve"> </w:t>
      </w:r>
      <w:r w:rsidR="006B7C80">
        <w:t>Recoge el stock neto de activos y pasivos financieros. Es decir la suma de las cuentas financieras.</w:t>
      </w:r>
      <w:r w:rsidR="008558EF">
        <w:t xml:space="preserve"> </w:t>
      </w:r>
      <w:r w:rsidR="006B7C80">
        <w:t>No obstante</w:t>
      </w:r>
      <w:r w:rsidR="008558EF">
        <w:t>,</w:t>
      </w:r>
      <w:r w:rsidR="006B7C80">
        <w:t xml:space="preserve"> como acabamos de mencionar también incluye los efectos valoración y otros cambios en volumen.</w:t>
      </w:r>
    </w:p>
    <w:p w14:paraId="65B5DD3E" w14:textId="33DFC537" w:rsidR="006B7C80" w:rsidRPr="006B7C80" w:rsidRDefault="009C007F" w:rsidP="00CD1874">
      <w:pPr>
        <w:pStyle w:val="Nivel2SM"/>
        <w:keepNext/>
        <w:spacing w:after="0"/>
      </w:pPr>
      <w:r w:rsidRPr="00CD1874">
        <w:rPr>
          <w:i/>
          <w:iCs/>
          <w:u w:val="single"/>
        </w:rPr>
        <w:lastRenderedPageBreak/>
        <w:t xml:space="preserve">Cuenta financiera y PII del </w:t>
      </w:r>
      <w:r w:rsidR="0020072C" w:rsidRPr="00CD1874">
        <w:rPr>
          <w:i/>
          <w:iCs/>
          <w:u w:val="single"/>
        </w:rPr>
        <w:t>Banco de España</w:t>
      </w:r>
      <w:r w:rsidR="008558EF">
        <w:t>:</w:t>
      </w:r>
    </w:p>
    <w:p w14:paraId="5839B177" w14:textId="7DF6B044" w:rsidR="008558EF" w:rsidRPr="008558EF" w:rsidRDefault="008558EF" w:rsidP="00CD1874">
      <w:pPr>
        <w:pStyle w:val="Nivel3SM"/>
        <w:keepNext/>
      </w:pPr>
      <w:r w:rsidRPr="00CD1874">
        <w:rPr>
          <w:i/>
          <w:iCs/>
        </w:rPr>
        <w:t xml:space="preserve">Cuenta </w:t>
      </w:r>
      <w:r w:rsidR="00406B1B" w:rsidRPr="00CD1874">
        <w:rPr>
          <w:i/>
          <w:iCs/>
        </w:rPr>
        <w:t>f</w:t>
      </w:r>
      <w:r w:rsidRPr="00CD1874">
        <w:rPr>
          <w:i/>
          <w:iCs/>
        </w:rPr>
        <w:t>inanciera</w:t>
      </w:r>
      <w:r w:rsidRPr="008558EF">
        <w:t>:</w:t>
      </w:r>
    </w:p>
    <w:p w14:paraId="427C2BE6" w14:textId="3663C7F2" w:rsidR="006B7C80" w:rsidRDefault="006B7C80" w:rsidP="00CD1874">
      <w:pPr>
        <w:pStyle w:val="Nivel4"/>
        <w:ind w:left="1474"/>
      </w:pPr>
      <w:r w:rsidRPr="008558EF">
        <w:t>Reservas</w:t>
      </w:r>
      <w:r w:rsidR="00321B34">
        <w:t xml:space="preserve"> de</w:t>
      </w:r>
      <w:r w:rsidRPr="008558EF">
        <w:t xml:space="preserve"> activos</w:t>
      </w:r>
      <w:r w:rsidR="008558EF" w:rsidRPr="008558EF">
        <w:t xml:space="preserve">: </w:t>
      </w:r>
      <w:r>
        <w:t xml:space="preserve">Activos líquidos en moneda extranjera que el </w:t>
      </w:r>
      <w:r w:rsidR="0020072C">
        <w:t>Banco de España</w:t>
      </w:r>
      <w:r>
        <w:t xml:space="preserve"> mantiene frente a residentes en países distintos a la UEM.</w:t>
      </w:r>
    </w:p>
    <w:p w14:paraId="30ACFC89" w14:textId="3BBDC632" w:rsidR="006B7C80" w:rsidRPr="00EC5F67" w:rsidRDefault="006B7C80" w:rsidP="00CD1874">
      <w:pPr>
        <w:pStyle w:val="Nivel4"/>
        <w:keepNext/>
        <w:ind w:left="1474"/>
      </w:pPr>
      <w:r w:rsidRPr="00EC5F67">
        <w:t xml:space="preserve">Activos del </w:t>
      </w:r>
      <w:r w:rsidR="00406B1B">
        <w:t>Banco de España</w:t>
      </w:r>
      <w:r w:rsidRPr="00EC5F67">
        <w:t xml:space="preserve"> frente al Eurosistem</w:t>
      </w:r>
      <w:r w:rsidR="00321B34">
        <w:t>a:</w:t>
      </w:r>
    </w:p>
    <w:p w14:paraId="7760CF69" w14:textId="735428F6" w:rsidR="006B7C80" w:rsidRDefault="006B7C80" w:rsidP="00CD1874">
      <w:pPr>
        <w:pStyle w:val="Nivel5"/>
        <w:ind w:left="1871"/>
      </w:pPr>
      <w:r>
        <w:t>Recoge los activos mantenidos por el B</w:t>
      </w:r>
      <w:r w:rsidR="0020072C">
        <w:t xml:space="preserve">anco </w:t>
      </w:r>
      <w:r>
        <w:t>d</w:t>
      </w:r>
      <w:r w:rsidR="0020072C">
        <w:t xml:space="preserve">e </w:t>
      </w:r>
      <w:r>
        <w:t>E</w:t>
      </w:r>
      <w:r w:rsidR="0020072C">
        <w:t>spaña</w:t>
      </w:r>
      <w:r>
        <w:t xml:space="preserve"> frente a los </w:t>
      </w:r>
      <w:r w:rsidR="005B2B25">
        <w:t>bancos centrales nacionales</w:t>
      </w:r>
      <w:r>
        <w:t xml:space="preserve"> de la UEM y el Banco Central Europeo.</w:t>
      </w:r>
    </w:p>
    <w:p w14:paraId="5801DF76" w14:textId="057EA59B" w:rsidR="006B7C80" w:rsidRDefault="006B7C80" w:rsidP="00CD1874">
      <w:pPr>
        <w:pStyle w:val="Nivel5"/>
        <w:ind w:left="1871"/>
      </w:pPr>
      <w:r>
        <w:t xml:space="preserve">Aquí se recogen también las compras de valores correspondientes al Programa de Compra de Activos </w:t>
      </w:r>
      <w:r w:rsidR="00AE766A">
        <w:t>PS</w:t>
      </w:r>
      <w:r>
        <w:t>PP. Así</w:t>
      </w:r>
      <w:r w:rsidR="00AE766A">
        <w:t>,</w:t>
      </w:r>
      <w:r>
        <w:t xml:space="preserve"> por ejemplo</w:t>
      </w:r>
      <w:r w:rsidR="00AE766A">
        <w:t>,</w:t>
      </w:r>
      <w:r>
        <w:t xml:space="preserve"> una compra de activos del sector público por parte del BCE generará una posición acreedora de la cuenta financiera del </w:t>
      </w:r>
      <w:r w:rsidR="0020072C">
        <w:t>Banco de España</w:t>
      </w:r>
      <w:r>
        <w:t xml:space="preserve"> con respecto al BCE.</w:t>
      </w:r>
    </w:p>
    <w:p w14:paraId="5AE6967F" w14:textId="1612DE0F" w:rsidR="006B7C80" w:rsidRPr="00EC5F67" w:rsidRDefault="006B7C80" w:rsidP="00CD1874">
      <w:pPr>
        <w:pStyle w:val="Nivel4"/>
        <w:keepNext/>
        <w:ind w:left="1474"/>
      </w:pPr>
      <w:r w:rsidRPr="00EC5F67">
        <w:t>Otros activos netos</w:t>
      </w:r>
      <w:r w:rsidR="008A70CD">
        <w:t>:</w:t>
      </w:r>
      <w:r w:rsidR="008A70CD" w:rsidRPr="008A70CD">
        <w:t xml:space="preserve"> </w:t>
      </w:r>
      <w:r w:rsidR="008A70CD">
        <w:t>Incluye por ejemplo:</w:t>
      </w:r>
    </w:p>
    <w:p w14:paraId="5B285DCD" w14:textId="2B151237" w:rsidR="006B7C80" w:rsidRDefault="008A70CD" w:rsidP="00CD1874">
      <w:pPr>
        <w:pStyle w:val="Nivel5"/>
        <w:ind w:left="1871"/>
      </w:pPr>
      <w:r>
        <w:t>L</w:t>
      </w:r>
      <w:r w:rsidR="006B7C80">
        <w:t>a contribución del BdE al capital del BCE realizada en 1998.</w:t>
      </w:r>
    </w:p>
    <w:p w14:paraId="36A36F3E" w14:textId="476B646B" w:rsidR="006B7C80" w:rsidRDefault="006B7C80" w:rsidP="00CD1874">
      <w:pPr>
        <w:pStyle w:val="Nivel5"/>
        <w:ind w:left="1871"/>
      </w:pPr>
      <w:r>
        <w:t>Los swaps de oro.</w:t>
      </w:r>
    </w:p>
    <w:p w14:paraId="1C5B559B" w14:textId="7BDC5476" w:rsidR="009C007F" w:rsidRPr="008558EF" w:rsidRDefault="00F82D6C" w:rsidP="00CD1874">
      <w:pPr>
        <w:pStyle w:val="Nivel3SM"/>
        <w:rPr>
          <w:u w:val="single"/>
        </w:rPr>
      </w:pPr>
      <w:r w:rsidRPr="008558EF">
        <w:rPr>
          <w:i/>
          <w:iCs/>
        </w:rPr>
        <w:t>Posición Inversora Internacional</w:t>
      </w:r>
      <w:r w:rsidR="008558EF">
        <w:t xml:space="preserve">: </w:t>
      </w:r>
      <w:r w:rsidR="006B7C80">
        <w:t>Representa de nuevo la variable stock de las partidas anteriores.</w:t>
      </w:r>
    </w:p>
    <w:p w14:paraId="6A8ED329" w14:textId="558576BF" w:rsidR="009C007F" w:rsidRDefault="009C007F" w:rsidP="00CD1874">
      <w:pPr>
        <w:pStyle w:val="Nivel1SM"/>
        <w:keepNext/>
        <w:spacing w:after="0"/>
      </w:pPr>
      <w:r>
        <w:t xml:space="preserve">La </w:t>
      </w:r>
      <w:r w:rsidR="00406B1B">
        <w:t>balanza de pagos</w:t>
      </w:r>
      <w:r>
        <w:t xml:space="preserve"> como hemos mencionado es un documento contable por lo que en todo momento deberá estar en equilibrio. Concretamente en la </w:t>
      </w:r>
      <w:r w:rsidR="00406B1B">
        <w:t>balanza de pagos</w:t>
      </w:r>
      <w:r>
        <w:t xml:space="preserve"> se cumplirá constantemente la </w:t>
      </w:r>
      <w:r w:rsidRPr="002B7158">
        <w:t xml:space="preserve">siguiente </w:t>
      </w:r>
      <w:r w:rsidRPr="002B7158">
        <w:rPr>
          <w:b/>
          <w:bCs/>
        </w:rPr>
        <w:t>identidad</w:t>
      </w:r>
      <w:r>
        <w:t>:</w:t>
      </w:r>
    </w:p>
    <w:p w14:paraId="46CEA4FF" w14:textId="009CAA40" w:rsidR="006D5703" w:rsidRDefault="00000000" w:rsidP="007400A5">
      <w:pPr>
        <w:spacing w:after="0"/>
        <w:ind w:left="1440"/>
      </w:pPr>
      <m:oMathPara>
        <m:oMath>
          <m:borderBox>
            <m:borderBoxPr>
              <m:ctrlPr>
                <w:rPr>
                  <w:rStyle w:val="Hipervnculo"/>
                  <w:rFonts w:ascii="Cambria Math" w:hAnsi="Cambria Math"/>
                  <w:i/>
                  <w:color w:val="auto"/>
                  <w:u w:val="none"/>
                </w:rPr>
              </m:ctrlPr>
            </m:borderBox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CC</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 xml:space="preserve"> corriente</m:t>
                                      </m:r>
                                    </m:e>
                                  </m:eqArr>
                                </m:lim>
                              </m:limUpp>
                            </m:e>
                          </m:groupChr>
                        </m:e>
                        <m:lim>
                          <m:r>
                            <m:rPr>
                              <m:nor/>
                            </m:rPr>
                            <w:rPr>
                              <w:rStyle w:val="Hipervnculo"/>
                              <w:i/>
                              <w:color w:val="000000" w:themeColor="text1"/>
                            </w:rPr>
                            <m:t>CB&amp;S</m:t>
                          </m:r>
                          <m:r>
                            <w:rPr>
                              <w:rStyle w:val="Hipervnculo"/>
                              <w:rFonts w:ascii="Cambria Math" w:hAnsi="Cambria Math"/>
                              <w:color w:val="000000" w:themeColor="text1"/>
                            </w:rPr>
                            <m:t>+</m:t>
                          </m:r>
                          <m:r>
                            <m:rPr>
                              <m:nor/>
                            </m:rPr>
                            <w:rPr>
                              <w:rStyle w:val="Hipervnculo"/>
                              <w:i/>
                              <w:color w:val="000000" w:themeColor="text1"/>
                            </w:rPr>
                            <m:t>CR1</m:t>
                          </m:r>
                          <m:r>
                            <m:rPr>
                              <m:nor/>
                            </m:rPr>
                            <w:rPr>
                              <w:rStyle w:val="Hipervnculo"/>
                              <w:i/>
                              <w:color w:val="000000" w:themeColor="text1"/>
                              <w:vertAlign w:val="superscript"/>
                            </w:rPr>
                            <m:t>as</m:t>
                          </m:r>
                          <m:r>
                            <w:rPr>
                              <w:rStyle w:val="Hipervnculo"/>
                              <w:rFonts w:ascii="Cambria Math" w:hAnsi="Cambria Math"/>
                              <w:color w:val="000000" w:themeColor="text1"/>
                            </w:rPr>
                            <m:t>+</m:t>
                          </m:r>
                          <m:r>
                            <m:rPr>
                              <m:nor/>
                            </m:rPr>
                            <w:rPr>
                              <w:rStyle w:val="Hipervnculo"/>
                              <w:i/>
                              <w:color w:val="000000" w:themeColor="text1"/>
                            </w:rPr>
                            <m:t>CR2</m:t>
                          </m:r>
                          <m:r>
                            <m:rPr>
                              <m:nor/>
                            </m:rPr>
                            <w:rPr>
                              <w:rStyle w:val="Hipervnculo"/>
                              <w:i/>
                              <w:color w:val="000000" w:themeColor="text1"/>
                              <w:vertAlign w:val="superscript"/>
                            </w:rPr>
                            <m:t>as</m:t>
                          </m:r>
                        </m:lim>
                      </m:limLow>
                      <m:r>
                        <w:rPr>
                          <w:rStyle w:val="Hipervnculo"/>
                          <w:rFonts w:ascii="Cambria Math" w:hAnsi="Cambria Math"/>
                          <w:color w:val="000000" w:themeColor="text1"/>
                        </w:rPr>
                        <m:t>+</m:t>
                      </m:r>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CK</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de capital</m:t>
                              </m:r>
                            </m:e>
                          </m:eqArr>
                        </m:lim>
                      </m:limUpp>
                    </m:e>
                  </m:groupChr>
                </m:e>
                <m:lim>
                  <m:r>
                    <m:rPr>
                      <m:nor/>
                    </m:rPr>
                    <w:rPr>
                      <w:i/>
                      <w:color w:val="000000" w:themeColor="text1"/>
                    </w:rPr>
                    <m:t>Capacidad (</m:t>
                  </m:r>
                  <m:r>
                    <w:rPr>
                      <w:rFonts w:ascii="Cambria Math" w:hAnsi="Cambria Math"/>
                    </w:rPr>
                    <m:t>+</m:t>
                  </m:r>
                  <m:r>
                    <m:rPr>
                      <m:nor/>
                    </m:rPr>
                    <w:rPr>
                      <w:i/>
                      <w:color w:val="000000" w:themeColor="text1"/>
                    </w:rPr>
                    <m:t>) o Necesidad (</m:t>
                  </m:r>
                  <m:r>
                    <w:rPr>
                      <w:rFonts w:ascii="Cambria Math" w:hAnsi="Cambria Math"/>
                      <w:color w:val="000000" w:themeColor="text1"/>
                    </w:rPr>
                    <m:t>-</m:t>
                  </m:r>
                  <m:r>
                    <m:rPr>
                      <m:nor/>
                    </m:rPr>
                    <w:rPr>
                      <w:i/>
                      <w:color w:val="000000" w:themeColor="text1"/>
                    </w:rPr>
                    <m:t>) de Financiación</m:t>
                  </m:r>
                </m:lim>
              </m:limLow>
              <m:r>
                <w:rPr>
                  <w:rStyle w:val="Hipervnculo"/>
                  <w:rFonts w:ascii="Cambria Math" w:hAnsi="Cambria Math"/>
                  <w:color w:val="000000" w:themeColor="text1"/>
                </w:rPr>
                <m:t>+</m:t>
              </m:r>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EO</m:t>
                      </m:r>
                    </m:e>
                  </m:groupChr>
                </m:e>
                <m:lim>
                  <m:eqArr>
                    <m:eqArrPr>
                      <m:ctrlPr>
                        <w:rPr>
                          <w:rFonts w:ascii="Cambria Math" w:hAnsi="Cambria Math"/>
                          <w:i/>
                          <w:color w:val="000000" w:themeColor="text1"/>
                        </w:rPr>
                      </m:ctrlPr>
                    </m:eqArrPr>
                    <m:e>
                      <m:r>
                        <m:rPr>
                          <m:nor/>
                        </m:rPr>
                        <w:rPr>
                          <w:i/>
                          <w:color w:val="000000" w:themeColor="text1"/>
                        </w:rPr>
                        <m:t>Errores y</m:t>
                      </m:r>
                    </m:e>
                    <m:e>
                      <m:r>
                        <m:rPr>
                          <m:nor/>
                        </m:rPr>
                        <w:rPr>
                          <w:i/>
                          <w:color w:val="000000" w:themeColor="text1"/>
                        </w:rPr>
                        <m:t>omisiones</m:t>
                      </m:r>
                    </m:e>
                  </m:eqArr>
                </m:lim>
              </m:limUpp>
              <m:r>
                <w:rPr>
                  <w:rStyle w:val="Hipervnculo"/>
                  <w:rFonts w:ascii="Cambria Math" w:hAnsi="Cambria Math"/>
                  <w:color w:val="000000" w:themeColor="text1"/>
                </w:rPr>
                <m:t>=</m:t>
              </m:r>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Upp>
                        <m:limUppPr>
                          <m:ctrlPr>
                            <w:rPr>
                              <w:rFonts w:ascii="Cambria Math" w:hAnsi="Cambria Math"/>
                              <w:i/>
                              <w:color w:val="000000" w:themeColor="text1"/>
                            </w:rPr>
                          </m:ctrlPr>
                        </m:limUppPr>
                        <m:e>
                          <m:groupChr>
                            <m:groupChrPr>
                              <m:chr m:val="⏞"/>
                              <m:pos m:val="top"/>
                              <m:vertJc m:val="bot"/>
                              <m:ctrlPr>
                                <w:rPr>
                                  <w:rFonts w:ascii="Cambria Math" w:hAnsi="Cambria Math"/>
                                  <w:i/>
                                  <w:color w:val="000000" w:themeColor="text1"/>
                                </w:rPr>
                              </m:ctrlPr>
                            </m:groupChrPr>
                            <m:e>
                              <m:r>
                                <m:rPr>
                                  <m:nor/>
                                </m:rPr>
                                <w:rPr>
                                  <w:i/>
                                  <w:color w:val="000000" w:themeColor="text1"/>
                                </w:rPr>
                                <m:t>CF</m:t>
                              </m:r>
                            </m:e>
                          </m:groupChr>
                        </m:e>
                        <m:lim>
                          <m:eqArr>
                            <m:eqArrPr>
                              <m:ctrlPr>
                                <w:rPr>
                                  <w:rFonts w:ascii="Cambria Math" w:hAnsi="Cambria Math"/>
                                  <w:i/>
                                  <w:color w:val="000000" w:themeColor="text1"/>
                                </w:rPr>
                              </m:ctrlPr>
                            </m:eqArrPr>
                            <m:e>
                              <m:r>
                                <m:rPr>
                                  <m:nor/>
                                </m:rPr>
                                <w:rPr>
                                  <w:i/>
                                  <w:color w:val="000000" w:themeColor="text1"/>
                                </w:rPr>
                                <m:t>Cuenta</m:t>
                              </m:r>
                            </m:e>
                            <m:e>
                              <m:r>
                                <m:rPr>
                                  <m:nor/>
                                </m:rPr>
                                <w:rPr>
                                  <w:i/>
                                  <w:color w:val="000000" w:themeColor="text1"/>
                                </w:rPr>
                                <m:t>financiera</m:t>
                              </m:r>
                            </m:e>
                          </m:eqArr>
                        </m:lim>
                      </m:limUpp>
                    </m:e>
                  </m:groupChr>
                </m:e>
                <m:lim>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limLow>
                            <m:limLowPr>
                              <m:ctrlPr>
                                <w:rPr>
                                  <w:rStyle w:val="Hipervnculo"/>
                                  <w:rFonts w:ascii="Cambria Math" w:hAnsi="Cambria Math"/>
                                  <w:i/>
                                  <w:color w:val="000000" w:themeColor="text1"/>
                                  <w:u w:val="none"/>
                                </w:rPr>
                              </m:ctrlPr>
                            </m:limLowPr>
                            <m:e>
                              <m:groupChr>
                                <m:groupChrPr>
                                  <m:ctrlPr>
                                    <w:rPr>
                                      <w:rStyle w:val="Hipervnculo"/>
                                      <w:rFonts w:ascii="Cambria Math" w:hAnsi="Cambria Math"/>
                                      <w:i/>
                                      <w:color w:val="000000" w:themeColor="text1"/>
                                      <w:u w:val="none"/>
                                    </w:rPr>
                                  </m:ctrlPr>
                                </m:groupChrPr>
                                <m:e>
                                  <m:r>
                                    <m:rPr>
                                      <m:nor/>
                                    </m:rPr>
                                    <w:rPr>
                                      <w:rStyle w:val="Hipervnculo"/>
                                      <w:i/>
                                      <w:color w:val="000000" w:themeColor="text1"/>
                                    </w:rPr>
                                    <m:t>ID</m:t>
                                  </m:r>
                                  <m:r>
                                    <w:rPr>
                                      <w:rStyle w:val="Hipervnculo"/>
                                      <w:rFonts w:ascii="Cambria Math" w:hAnsi="Cambria Math"/>
                                      <w:color w:val="000000" w:themeColor="text1"/>
                                    </w:rPr>
                                    <m:t>+</m:t>
                                  </m:r>
                                  <m:r>
                                    <m:rPr>
                                      <m:nor/>
                                    </m:rPr>
                                    <w:rPr>
                                      <w:rStyle w:val="Hipervnculo"/>
                                      <w:i/>
                                      <w:color w:val="000000" w:themeColor="text1"/>
                                    </w:rPr>
                                    <m:t>IC</m:t>
                                  </m:r>
                                  <m:r>
                                    <w:rPr>
                                      <w:rStyle w:val="Hipervnculo"/>
                                      <w:rFonts w:ascii="Cambria Math" w:hAnsi="Cambria Math"/>
                                      <w:color w:val="000000" w:themeColor="text1"/>
                                    </w:rPr>
                                    <m:t>+</m:t>
                                  </m:r>
                                  <m:r>
                                    <m:rPr>
                                      <m:nor/>
                                    </m:rPr>
                                    <w:rPr>
                                      <w:rStyle w:val="Hipervnculo"/>
                                      <w:i/>
                                      <w:color w:val="000000" w:themeColor="text1"/>
                                    </w:rPr>
                                    <m:t>Otra inversión</m:t>
                                  </m:r>
                                  <m:r>
                                    <w:rPr>
                                      <w:rStyle w:val="Hipervnculo"/>
                                      <w:rFonts w:ascii="Cambria Math" w:hAnsi="Cambria Math"/>
                                      <w:color w:val="000000" w:themeColor="text1"/>
                                    </w:rPr>
                                    <m:t>+</m:t>
                                  </m:r>
                                  <m:r>
                                    <m:rPr>
                                      <m:nor/>
                                    </m:rPr>
                                    <w:rPr>
                                      <w:rStyle w:val="Hipervnculo"/>
                                      <w:i/>
                                      <w:color w:val="000000" w:themeColor="text1"/>
                                    </w:rPr>
                                    <m:t>Derivados</m:t>
                                  </m:r>
                                </m:e>
                              </m:groupChr>
                            </m:e>
                            <m:lim>
                              <m:r>
                                <m:rPr>
                                  <m:nor/>
                                </m:rPr>
                                <w:rPr>
                                  <w:i/>
                                  <w:color w:val="000000" w:themeColor="text1"/>
                                </w:rPr>
                                <m:t>SNC*</m:t>
                              </m:r>
                            </m:lim>
                          </m:limLow>
                          <m:r>
                            <w:rPr>
                              <w:rStyle w:val="Hipervnculo"/>
                              <w:rFonts w:ascii="Cambria Math" w:hAnsi="Cambria Math"/>
                              <w:color w:val="000000" w:themeColor="text1"/>
                            </w:rPr>
                            <m:t>+</m:t>
                          </m:r>
                          <m:r>
                            <m:rPr>
                              <m:nor/>
                            </m:rPr>
                            <w:rPr>
                              <w:i/>
                              <w:color w:val="000000" w:themeColor="text1"/>
                            </w:rPr>
                            <m:t>∆R</m:t>
                          </m:r>
                        </m:e>
                      </m:groupChr>
                    </m:e>
                    <m:lim>
                      <m:r>
                        <m:rPr>
                          <m:nor/>
                        </m:rPr>
                        <w:rPr>
                          <w:i/>
                          <w:color w:val="000000" w:themeColor="text1"/>
                        </w:rPr>
                        <m:t>SNC</m:t>
                      </m:r>
                    </m:lim>
                  </m:limLow>
                </m:lim>
              </m:limLow>
            </m:e>
          </m:borderBox>
        </m:oMath>
      </m:oMathPara>
    </w:p>
    <w:p w14:paraId="6275C829" w14:textId="0776BBE4" w:rsidR="009C007F" w:rsidRDefault="009C007F" w:rsidP="00CD1874">
      <w:pPr>
        <w:pStyle w:val="Nivel2SM"/>
      </w:pPr>
      <w:r>
        <w:t xml:space="preserve">En caso de que la suma de la </w:t>
      </w:r>
      <w:r w:rsidR="00406B1B">
        <w:t>cuenta corriente</w:t>
      </w:r>
      <w:r>
        <w:t xml:space="preserve"> y la </w:t>
      </w:r>
      <w:r w:rsidR="00406B1B">
        <w:t>cuenta de capital</w:t>
      </w:r>
      <w:r>
        <w:t xml:space="preserve"> sea positiva, la economía tendrá </w:t>
      </w:r>
      <w:r w:rsidRPr="00A26D62">
        <w:rPr>
          <w:i/>
          <w:iCs/>
        </w:rPr>
        <w:t>capacidad de financiación</w:t>
      </w:r>
      <w:r>
        <w:t xml:space="preserve"> con respecto al exterior siendo la cuenta financiera positiva y aumentando la PII.</w:t>
      </w:r>
    </w:p>
    <w:p w14:paraId="5B8CB891" w14:textId="0B3CB11E" w:rsidR="009C007F" w:rsidRDefault="009C007F" w:rsidP="00CD1874">
      <w:pPr>
        <w:pStyle w:val="Nivel2SM"/>
      </w:pPr>
      <w:r>
        <w:t>En caso contrario</w:t>
      </w:r>
      <w:r w:rsidR="00CD720B">
        <w:t>,</w:t>
      </w:r>
      <w:r>
        <w:t xml:space="preserve"> la economía refleja una </w:t>
      </w:r>
      <w:r w:rsidRPr="00A26D62">
        <w:rPr>
          <w:i/>
          <w:iCs/>
        </w:rPr>
        <w:t>necesidad de financiación</w:t>
      </w:r>
      <w:r>
        <w:t xml:space="preserve"> lo que conlleva a una entrada de capitales y a una reducción de la PII.</w:t>
      </w:r>
    </w:p>
    <w:p w14:paraId="320A7D84" w14:textId="77777777" w:rsidR="004978BF" w:rsidRDefault="000044C6" w:rsidP="004978BF">
      <w:pPr>
        <w:pStyle w:val="Ttulo1"/>
      </w:pPr>
      <w:bookmarkStart w:id="15" w:name="_Toc178015963"/>
      <w:r w:rsidRPr="00A31D96">
        <w:t xml:space="preserve">EVOLUCIÓN DE </w:t>
      </w:r>
      <w:r w:rsidR="00D1762C" w:rsidRPr="00A31D96">
        <w:t>LA BALANZA DE PAGOS</w:t>
      </w:r>
      <w:bookmarkEnd w:id="15"/>
    </w:p>
    <w:p w14:paraId="0F7CE834" w14:textId="0677DE05" w:rsidR="00E64DAD" w:rsidRDefault="00E64DAD" w:rsidP="00843B1C">
      <w:pPr>
        <w:pStyle w:val="Ttulo2"/>
        <w:numPr>
          <w:ilvl w:val="1"/>
          <w:numId w:val="52"/>
        </w:numPr>
      </w:pPr>
      <w:bookmarkStart w:id="16" w:name="_Toc178015964"/>
      <w:r>
        <w:t>Resumen previo</w:t>
      </w:r>
      <w:bookmarkEnd w:id="16"/>
    </w:p>
    <w:p w14:paraId="648E157F" w14:textId="77777777" w:rsidR="00E64DAD" w:rsidRDefault="00E64DAD" w:rsidP="00E64DAD">
      <w:pPr>
        <w:pStyle w:val="Nivel1SM"/>
        <w:keepNext/>
        <w:spacing w:before="0" w:after="0"/>
      </w:pPr>
      <w:r>
        <w:t xml:space="preserve">La economía española ha presentado tradicionalmente una </w:t>
      </w:r>
      <w:r w:rsidRPr="00E64DAD">
        <w:rPr>
          <w:b/>
          <w:bCs/>
        </w:rPr>
        <w:t>tendencia crónica al déficit por cuenta corriente</w:t>
      </w:r>
      <w:r>
        <w:t>.</w:t>
      </w:r>
    </w:p>
    <w:p w14:paraId="1556ECEE" w14:textId="33F425AC" w:rsidR="00E64DAD" w:rsidRDefault="00E64DAD" w:rsidP="00E64DAD">
      <w:pPr>
        <w:pStyle w:val="Nivel2SM"/>
        <w:keepNext/>
        <w:spacing w:after="0"/>
      </w:pPr>
      <w:r>
        <w:t>Desde 1960, sólo se ha registrado superávit en 20 ocasiones. Las series de años en los que ha habido superávit siguieron el impacto (</w:t>
      </w:r>
      <w:r w:rsidRPr="00E64DAD">
        <w:rPr>
          <w:i/>
          <w:iCs/>
        </w:rPr>
        <w:t>i</w:t>
      </w:r>
      <w:r>
        <w:t>) del Plan de Estabilización de 1959; (</w:t>
      </w:r>
      <w:proofErr w:type="spellStart"/>
      <w:r w:rsidRPr="00E64DAD">
        <w:rPr>
          <w:i/>
          <w:iCs/>
        </w:rPr>
        <w:t>i</w:t>
      </w:r>
      <w:r>
        <w:rPr>
          <w:i/>
          <w:iCs/>
        </w:rPr>
        <w:t>i</w:t>
      </w:r>
      <w:proofErr w:type="spellEnd"/>
      <w:r>
        <w:t>) del acuerdo preferencial con la CEE (1970); (</w:t>
      </w:r>
      <w:proofErr w:type="spellStart"/>
      <w:r w:rsidRPr="00E64DAD">
        <w:rPr>
          <w:i/>
          <w:iCs/>
        </w:rPr>
        <w:t>i</w:t>
      </w:r>
      <w:r>
        <w:rPr>
          <w:i/>
          <w:iCs/>
        </w:rPr>
        <w:t>ii</w:t>
      </w:r>
      <w:proofErr w:type="spellEnd"/>
      <w:r>
        <w:t>) de los Pactos de la Moncloa (1977); (</w:t>
      </w:r>
      <w:proofErr w:type="spellStart"/>
      <w:r w:rsidRPr="00E64DAD">
        <w:rPr>
          <w:i/>
          <w:iCs/>
        </w:rPr>
        <w:t>i</w:t>
      </w:r>
      <w:r>
        <w:rPr>
          <w:i/>
          <w:iCs/>
        </w:rPr>
        <w:t>v</w:t>
      </w:r>
      <w:proofErr w:type="spellEnd"/>
      <w:r>
        <w:t>) de la recuperación mundial en 1984; y (</w:t>
      </w:r>
      <w:r>
        <w:rPr>
          <w:i/>
          <w:iCs/>
        </w:rPr>
        <w:t>v</w:t>
      </w:r>
      <w:r>
        <w:t>) en los años más recientes después de la fuerte recesión experimentada por la economía española (desde 2013 y se mantiene hasta la actualidad).</w:t>
      </w:r>
    </w:p>
    <w:p w14:paraId="38FF212C" w14:textId="0961B4A3" w:rsidR="00E64DAD" w:rsidRDefault="00E64DAD" w:rsidP="00E64DAD">
      <w:pPr>
        <w:pStyle w:val="Nivel3SM"/>
      </w:pPr>
      <w:r>
        <w:t>Esta última fase superavitaria es la más prolongada de la historia económica contemporánea, y además la única de las mencionadas que no ha sido precedida por devaluaciones de la peseta.</w:t>
      </w:r>
    </w:p>
    <w:p w14:paraId="02FFA60E" w14:textId="78134453" w:rsidR="0093705F" w:rsidRDefault="00CB5036" w:rsidP="00CB5036">
      <w:pPr>
        <w:pStyle w:val="Nivel2SM"/>
        <w:keepNext/>
        <w:spacing w:after="0"/>
      </w:pPr>
      <w:r>
        <w:t>La apertura comercial derivada de la incorporación a la CEE, lejos de corregir dicho desequilibrio condujo a su agravamiento, en especial con la introducción del euro. Entre 1986 y 2007, el déficit comercial promedio fue del 5 %, con un déficit récord de casi el 10 % en 2007.</w:t>
      </w:r>
    </w:p>
    <w:p w14:paraId="76F3414D" w14:textId="307D065E" w:rsidR="00CB5036" w:rsidRDefault="00CB5036" w:rsidP="00CB5036">
      <w:pPr>
        <w:pStyle w:val="Nivel3SM"/>
      </w:pPr>
      <w:r>
        <w:t>Esto se explica por un comportamiento dinámico de la demanda interna, por una elevada elasticidad-renta de las importaciones y por una economía poco competitiva en términos de productividad y CLU.</w:t>
      </w:r>
    </w:p>
    <w:p w14:paraId="34CBA184" w14:textId="422A41DC" w:rsidR="00CB5036" w:rsidRDefault="00CB5036" w:rsidP="00CB5036">
      <w:pPr>
        <w:pStyle w:val="Nivel2SM"/>
        <w:keepNext/>
        <w:spacing w:after="0"/>
      </w:pPr>
      <w:r>
        <w:lastRenderedPageBreak/>
        <w:t>Durante la crisis y los años inmediatamente posteriores, la economía española ha experimentado un intenso proceso de ajuste en su balanza por cuenta corriente, alcanzando superávits desde 2013. Esta corrección no tiene precedentes en la historia económica española contemporánea, tanto por su duración como por su coexistencia con un proceso de crecimiento del PIB sin recurrir a devaluaciones de la moneda.</w:t>
      </w:r>
    </w:p>
    <w:p w14:paraId="3AC17492" w14:textId="1FEC3CCD" w:rsidR="00CB5036" w:rsidRPr="001D75CC" w:rsidRDefault="00CB5036" w:rsidP="00CB5036">
      <w:pPr>
        <w:pStyle w:val="Nivel3SM"/>
      </w:pPr>
      <w:r w:rsidRPr="001D75CC">
        <w:t xml:space="preserve">Esto se explica por múltiples factores como la caída del precio del petróleo, ganancias de competitividad-precio (el euro se devalúa frente a las monedas de los </w:t>
      </w:r>
      <w:r w:rsidR="001D75CC" w:rsidRPr="001D75CC">
        <w:t xml:space="preserve">principales </w:t>
      </w:r>
      <w:r w:rsidRPr="001D75CC">
        <w:t>socios comerciales entre 2008 y 2017), política de internacionalización y debilidad de la demanda interna.</w:t>
      </w:r>
    </w:p>
    <w:p w14:paraId="262D17F0" w14:textId="45BE713B" w:rsidR="00CB5036" w:rsidRDefault="00CB5036" w:rsidP="00CB5036">
      <w:pPr>
        <w:pStyle w:val="Nivel3SM"/>
      </w:pPr>
      <w:r>
        <w:t>De acuerdo con las estimaciones del Banco de España, el 50 % de la corrección del desequilibrio sería de carácter estructural.</w:t>
      </w:r>
    </w:p>
    <w:p w14:paraId="1536EBFE" w14:textId="55414654" w:rsidR="00A7095B" w:rsidRDefault="00A7095B" w:rsidP="00A7095B">
      <w:pPr>
        <w:pStyle w:val="Nivel1SM"/>
      </w:pPr>
      <w:r>
        <w:t xml:space="preserve">En lo que se refiere a la </w:t>
      </w:r>
      <w:r>
        <w:rPr>
          <w:b/>
          <w:bCs/>
        </w:rPr>
        <w:t>cuenta de capital</w:t>
      </w:r>
      <w:r>
        <w:t>, su saldo ha sido positivo sistemáticamente, si bien desde 2004 ha tenido lugar una disminución de su magnitud explicada por la ampliación de la UE hacia países del Este de Europa, con menor nivel de renta que España, lo que ha supuesto un recorte de los fondos estructurales de la UE recibidos por nuestro país.</w:t>
      </w:r>
    </w:p>
    <w:p w14:paraId="60022E96" w14:textId="22C35B5A" w:rsidR="00133949" w:rsidRDefault="00133949" w:rsidP="00133949">
      <w:pPr>
        <w:pStyle w:val="Nivel1SM"/>
        <w:keepNext/>
        <w:spacing w:after="0"/>
      </w:pPr>
      <w:r>
        <w:t xml:space="preserve">De este modo, la evolución de la </w:t>
      </w:r>
      <w:r w:rsidRPr="00133949">
        <w:rPr>
          <w:b/>
          <w:bCs/>
        </w:rPr>
        <w:t>capacidad</w:t>
      </w:r>
      <w:r>
        <w:rPr>
          <w:b/>
          <w:bCs/>
        </w:rPr>
        <w:t>/necesidad</w:t>
      </w:r>
      <w:r w:rsidRPr="00133949">
        <w:rPr>
          <w:b/>
          <w:bCs/>
        </w:rPr>
        <w:t xml:space="preserve"> de financiación</w:t>
      </w:r>
      <w:r>
        <w:t xml:space="preserve"> ha estado ligada al comportamiento de la cuenta corriente, habida cuenta de su superior magnitud y de la mayor estabilidad de la cuenta de capital.</w:t>
      </w:r>
    </w:p>
    <w:p w14:paraId="46027636" w14:textId="1EF5BB26" w:rsidR="00133949" w:rsidRPr="00E64DAD" w:rsidRDefault="00133949" w:rsidP="00133949">
      <w:pPr>
        <w:pStyle w:val="Nivel2SM"/>
      </w:pPr>
      <w:r>
        <w:t xml:space="preserve">Como veremos, como consecuencia de la </w:t>
      </w:r>
      <w:r w:rsidRPr="00133949">
        <w:t>tendencia crónica al déficit por cuenta corriente</w:t>
      </w:r>
      <w:r>
        <w:t>, España ha mantenido tradicionalmente una necesidad de financiación, si bien desde 2012 presenta capacidad de financiación.</w:t>
      </w:r>
    </w:p>
    <w:p w14:paraId="2616B477" w14:textId="48B62A2D" w:rsidR="00855ED7" w:rsidRDefault="004978BF" w:rsidP="004978BF">
      <w:pPr>
        <w:pStyle w:val="Ttulo2"/>
      </w:pPr>
      <w:bookmarkStart w:id="17" w:name="_Toc178015965"/>
      <w:r>
        <w:t>Evolución hasta</w:t>
      </w:r>
      <w:r w:rsidR="00DA0EFA">
        <w:t xml:space="preserve"> 1959</w:t>
      </w:r>
      <w:bookmarkEnd w:id="17"/>
    </w:p>
    <w:p w14:paraId="74464C00" w14:textId="77777777" w:rsidR="00855ED7" w:rsidRPr="00486E98" w:rsidRDefault="00486E98" w:rsidP="007400A5">
      <w:pPr>
        <w:pStyle w:val="Ttulo3"/>
        <w:spacing w:before="0"/>
      </w:pPr>
      <w:bookmarkStart w:id="18" w:name="_Toc178015966"/>
      <w:r w:rsidRPr="00486E98">
        <w:t>Hasta 1939</w:t>
      </w:r>
      <w:bookmarkEnd w:id="18"/>
    </w:p>
    <w:p w14:paraId="65C91DFF" w14:textId="77777777" w:rsidR="00263C3D" w:rsidRDefault="00227E35" w:rsidP="00263C3D">
      <w:pPr>
        <w:pStyle w:val="Nivel2SM"/>
        <w:keepNext/>
        <w:spacing w:after="0"/>
      </w:pPr>
      <w:r>
        <w:t xml:space="preserve">Durante la primera mitad del </w:t>
      </w:r>
      <w:r w:rsidR="007400A5">
        <w:t>siglo X</w:t>
      </w:r>
      <w:r>
        <w:t xml:space="preserve">X, la política comercial </w:t>
      </w:r>
      <w:r w:rsidR="00D45984">
        <w:t>española</w:t>
      </w:r>
      <w:r>
        <w:t xml:space="preserve"> se caracteriza por su </w:t>
      </w:r>
      <w:r w:rsidRPr="00263C3D">
        <w:rPr>
          <w:b/>
          <w:bCs/>
        </w:rPr>
        <w:t>elevado grado de proteccionismo</w:t>
      </w:r>
      <w:r>
        <w:t>.</w:t>
      </w:r>
    </w:p>
    <w:p w14:paraId="40FEB55E" w14:textId="6BAC152D" w:rsidR="00227E35" w:rsidRDefault="00F82D6C" w:rsidP="00263C3D">
      <w:pPr>
        <w:pStyle w:val="Nivel3SM"/>
      </w:pPr>
      <w:r>
        <w:t xml:space="preserve">Un buen ejemplo es el </w:t>
      </w:r>
      <w:r w:rsidRPr="00263C3D">
        <w:rPr>
          <w:i/>
          <w:iCs/>
          <w:u w:val="single"/>
        </w:rPr>
        <w:t>Arancel Cambó de 1922</w:t>
      </w:r>
      <w:r>
        <w:t xml:space="preserve"> el cual introduce aranceles </w:t>
      </w:r>
      <w:r w:rsidRPr="00C83BFC">
        <w:rPr>
          <w:i/>
          <w:iCs/>
        </w:rPr>
        <w:t>ad valorem</w:t>
      </w:r>
      <w:r>
        <w:t xml:space="preserve"> del 100</w:t>
      </w:r>
      <w:r w:rsidR="004978BF">
        <w:t> %</w:t>
      </w:r>
      <w:r>
        <w:t xml:space="preserve"> para algunos productos.</w:t>
      </w:r>
    </w:p>
    <w:p w14:paraId="0FE7E48C" w14:textId="2D7B5CCD" w:rsidR="00486E98" w:rsidRPr="00486E98" w:rsidRDefault="00486E98" w:rsidP="004978BF">
      <w:pPr>
        <w:pStyle w:val="Ttulo3"/>
      </w:pPr>
      <w:bookmarkStart w:id="19" w:name="_Toc178015967"/>
      <w:r w:rsidRPr="00486E98">
        <w:t>19</w:t>
      </w:r>
      <w:r w:rsidR="005E643D">
        <w:t>39</w:t>
      </w:r>
      <w:r w:rsidR="001A6781">
        <w:t>-</w:t>
      </w:r>
      <w:r w:rsidR="00DA0EFA">
        <w:t>195</w:t>
      </w:r>
      <w:r w:rsidR="005E643D">
        <w:t>0</w:t>
      </w:r>
      <w:r w:rsidR="00DA0EFA">
        <w:t>: Periodo autárquico</w:t>
      </w:r>
      <w:bookmarkEnd w:id="19"/>
    </w:p>
    <w:p w14:paraId="40F4E168" w14:textId="7EA6B8A4" w:rsidR="00486E98" w:rsidRDefault="00486E98" w:rsidP="007400A5">
      <w:pPr>
        <w:pStyle w:val="Nivel2SM"/>
        <w:keepNext/>
        <w:spacing w:after="0"/>
      </w:pPr>
      <w:r>
        <w:t xml:space="preserve">La </w:t>
      </w:r>
      <w:r w:rsidRPr="00263C3D">
        <w:rPr>
          <w:b/>
          <w:bCs/>
        </w:rPr>
        <w:t>Guerra Civil</w:t>
      </w:r>
      <w:r>
        <w:t xml:space="preserve"> clausura esta etapa y da paso a un período de retroceso económico con la implantación del </w:t>
      </w:r>
      <w:r w:rsidRPr="00F82D6C">
        <w:rPr>
          <w:b/>
        </w:rPr>
        <w:t>modelo autárquico</w:t>
      </w:r>
      <w:r w:rsidR="00F82D6C">
        <w:t xml:space="preserve"> de la primera etapa franquista caracterizado por:</w:t>
      </w:r>
    </w:p>
    <w:p w14:paraId="0D783A09" w14:textId="3CEF0013" w:rsidR="00486E98" w:rsidRPr="00F82D6C" w:rsidRDefault="00486E98" w:rsidP="007400A5">
      <w:pPr>
        <w:pStyle w:val="Nivel3SM"/>
      </w:pPr>
      <w:r w:rsidRPr="00F82D6C">
        <w:t>El aislamiento internacional</w:t>
      </w:r>
      <w:r w:rsidR="007400A5">
        <w:t>.</w:t>
      </w:r>
    </w:p>
    <w:p w14:paraId="58572A48" w14:textId="77777777" w:rsidR="00486E98" w:rsidRPr="00F82D6C" w:rsidRDefault="00486E98" w:rsidP="007400A5">
      <w:pPr>
        <w:pStyle w:val="Nivel3SM"/>
      </w:pPr>
      <w:r w:rsidRPr="00F82D6C">
        <w:t>La estrategia de industrialización por sustitución de importaciones del nuevo régimen.</w:t>
      </w:r>
    </w:p>
    <w:p w14:paraId="22FE0325" w14:textId="1C8B590A" w:rsidR="00F82D6C" w:rsidRDefault="00F82D6C" w:rsidP="007400A5">
      <w:pPr>
        <w:pStyle w:val="Nivel3SM"/>
      </w:pPr>
      <w:r>
        <w:t>Limitación de participación extranjera en empresas industriales españolas nacionales al 25</w:t>
      </w:r>
      <w:r w:rsidR="004978BF">
        <w:t> %</w:t>
      </w:r>
      <w:r>
        <w:t xml:space="preserve"> del capital de </w:t>
      </w:r>
      <w:proofErr w:type="gramStart"/>
      <w:r>
        <w:t>las mismas</w:t>
      </w:r>
      <w:proofErr w:type="gramEnd"/>
      <w:r w:rsidR="007400A5">
        <w:t>.</w:t>
      </w:r>
    </w:p>
    <w:p w14:paraId="05CB6701" w14:textId="77777777" w:rsidR="00F82D6C" w:rsidRDefault="00F82D6C" w:rsidP="007400A5">
      <w:pPr>
        <w:pStyle w:val="Nivel3SM"/>
      </w:pPr>
      <w:r>
        <w:t>Contingentes a la importación.</w:t>
      </w:r>
    </w:p>
    <w:p w14:paraId="68F4D074" w14:textId="205BFA3B" w:rsidR="00F82D6C" w:rsidRPr="0093705F" w:rsidRDefault="00F82D6C" w:rsidP="007400A5">
      <w:pPr>
        <w:pStyle w:val="Nivel2SM"/>
        <w:rPr>
          <w:spacing w:val="-4"/>
        </w:rPr>
      </w:pPr>
      <w:r w:rsidRPr="0093705F">
        <w:rPr>
          <w:spacing w:val="-4"/>
        </w:rPr>
        <w:t>No obstante</w:t>
      </w:r>
      <w:r w:rsidR="007400A5" w:rsidRPr="0093705F">
        <w:rPr>
          <w:spacing w:val="-4"/>
        </w:rPr>
        <w:t>,</w:t>
      </w:r>
      <w:r w:rsidRPr="0093705F">
        <w:rPr>
          <w:spacing w:val="-4"/>
        </w:rPr>
        <w:t xml:space="preserve"> la incapacidad de producir bienes intermedios, la escasez de ahorro interno y externo y la elevada monetización provocan en España elevados niveles de </w:t>
      </w:r>
      <w:r w:rsidRPr="0093705F">
        <w:rPr>
          <w:spacing w:val="-4"/>
          <w:u w:val="single"/>
        </w:rPr>
        <w:t>inflación y déficits externos</w:t>
      </w:r>
      <w:r w:rsidRPr="0093705F">
        <w:rPr>
          <w:spacing w:val="-4"/>
        </w:rPr>
        <w:t>.</w:t>
      </w:r>
    </w:p>
    <w:p w14:paraId="4D06D0AF" w14:textId="72A749AB" w:rsidR="00DA0EFA" w:rsidRPr="00C527D3" w:rsidRDefault="00B915F7" w:rsidP="004978BF">
      <w:pPr>
        <w:pStyle w:val="Ttulo3"/>
      </w:pPr>
      <w:bookmarkStart w:id="20" w:name="_Toc178015968"/>
      <w:r w:rsidRPr="00486E98">
        <w:t>19</w:t>
      </w:r>
      <w:r>
        <w:t>50</w:t>
      </w:r>
      <w:r w:rsidR="001A6781">
        <w:t>-</w:t>
      </w:r>
      <w:r>
        <w:t>1959:</w:t>
      </w:r>
      <w:r w:rsidR="00DA0EFA" w:rsidRPr="00C527D3">
        <w:t xml:space="preserve"> el decenio bisagra</w:t>
      </w:r>
      <w:bookmarkEnd w:id="20"/>
    </w:p>
    <w:p w14:paraId="780F7F68" w14:textId="71F0F8C6" w:rsidR="00DA0EFA" w:rsidRPr="00F82D6C" w:rsidRDefault="00DA0EFA" w:rsidP="007400A5">
      <w:pPr>
        <w:pStyle w:val="Nivel2SM"/>
        <w:keepNext/>
        <w:spacing w:after="0"/>
        <w:rPr>
          <w:b/>
        </w:rPr>
      </w:pPr>
      <w:r>
        <w:t xml:space="preserve">Frente a los graves problemas económicos de los </w:t>
      </w:r>
      <w:r w:rsidR="00263C3D">
        <w:t>años </w:t>
      </w:r>
      <w:r>
        <w:t>40, la siguiente década ofrece algunos avances. A esta época se le cono</w:t>
      </w:r>
      <w:r w:rsidRPr="009347FA">
        <w:t xml:space="preserve">cerá como el </w:t>
      </w:r>
      <w:r w:rsidRPr="00263C3D">
        <w:rPr>
          <w:i/>
          <w:iCs/>
        </w:rPr>
        <w:t>“</w:t>
      </w:r>
      <w:r w:rsidRPr="00263C3D">
        <w:rPr>
          <w:i/>
          <w:iCs/>
          <w:u w:val="single"/>
        </w:rPr>
        <w:t>decenio bisagra</w:t>
      </w:r>
      <w:r w:rsidRPr="00263C3D">
        <w:rPr>
          <w:i/>
          <w:iCs/>
        </w:rPr>
        <w:t>”</w:t>
      </w:r>
      <w:r>
        <w:t xml:space="preserve"> caracterizado por un </w:t>
      </w:r>
      <w:proofErr w:type="gramStart"/>
      <w:r>
        <w:t>crecimiento</w:t>
      </w:r>
      <w:r w:rsidR="00F82D6C">
        <w:t xml:space="preserve"> económico y apertura económica</w:t>
      </w:r>
      <w:proofErr w:type="gramEnd"/>
      <w:r w:rsidR="00F82D6C">
        <w:t xml:space="preserve"> gracias al reconocimiento internacional tras el apoyo de </w:t>
      </w:r>
      <w:r w:rsidR="00263C3D">
        <w:t>Estados Unidos</w:t>
      </w:r>
      <w:r w:rsidR="00F82D6C">
        <w:t>.</w:t>
      </w:r>
    </w:p>
    <w:p w14:paraId="0597C128" w14:textId="0378B4A1" w:rsidR="00F82D6C" w:rsidRPr="00F82D6C" w:rsidRDefault="007400A5" w:rsidP="007400A5">
      <w:pPr>
        <w:pStyle w:val="Nivel3SM"/>
        <w:rPr>
          <w:b/>
        </w:rPr>
      </w:pPr>
      <w:r>
        <w:t xml:space="preserve">No obstante, </w:t>
      </w:r>
      <w:r w:rsidR="00F82D6C">
        <w:t xml:space="preserve">la apertura refleja el fracaso de la ISI y la escasez de la </w:t>
      </w:r>
      <w:r w:rsidR="00E64DAD">
        <w:t xml:space="preserve">ventaja </w:t>
      </w:r>
      <w:proofErr w:type="spellStart"/>
      <w:r w:rsidR="00E64DAD">
        <w:t>comparativaw</w:t>
      </w:r>
      <w:proofErr w:type="spellEnd"/>
      <w:r w:rsidR="00F82D6C">
        <w:t xml:space="preserve"> de la economía nacional aumentando aún más los desequilibrios externos.</w:t>
      </w:r>
    </w:p>
    <w:p w14:paraId="2185ECD1" w14:textId="2038938C" w:rsidR="00DA0EFA" w:rsidRPr="00F82D6C" w:rsidRDefault="00F82D6C" w:rsidP="007400A5">
      <w:pPr>
        <w:pStyle w:val="Nivel2SM"/>
        <w:rPr>
          <w:b/>
        </w:rPr>
      </w:pPr>
      <w:r>
        <w:lastRenderedPageBreak/>
        <w:t>A pesar de sendas devaluaciones de la peseta y de la entrada de España en el BIRD</w:t>
      </w:r>
      <w:r w:rsidR="00263C3D">
        <w:t xml:space="preserve"> </w:t>
      </w:r>
      <w:r>
        <w:t xml:space="preserve">y FMI </w:t>
      </w:r>
      <w:r w:rsidR="00263C3D">
        <w:t>(1958)</w:t>
      </w:r>
      <w:r w:rsidR="00263C3D">
        <w:rPr>
          <w:rStyle w:val="Refdenotaalpie"/>
        </w:rPr>
        <w:footnoteReference w:id="5"/>
      </w:r>
      <w:r w:rsidR="00E64DAD">
        <w:t>,</w:t>
      </w:r>
      <w:r w:rsidR="00263C3D">
        <w:t xml:space="preserve"> </w:t>
      </w:r>
      <w:r>
        <w:t>los desequilibrios no cesaron hasta el punto que a</w:t>
      </w:r>
      <w:r w:rsidR="00DA0EFA">
        <w:t xml:space="preserve"> finales de 1958, las reservas exteriores se agotaban, estando cerca de materializarse la amenaza de tener que cortar el suministro de materias primas y gasolina.</w:t>
      </w:r>
    </w:p>
    <w:p w14:paraId="017DC31C" w14:textId="4E364E6F" w:rsidR="00BB2523" w:rsidRPr="004978BF" w:rsidRDefault="00BB2523" w:rsidP="003A1520">
      <w:pPr>
        <w:pStyle w:val="Ttulo6"/>
      </w:pPr>
      <w:bookmarkStart w:id="21" w:name="_Toc178015969"/>
      <w:r w:rsidRPr="00BB2523">
        <w:t>El Memorando</w:t>
      </w:r>
      <w:bookmarkEnd w:id="21"/>
    </w:p>
    <w:p w14:paraId="50B2A9B1" w14:textId="6B8E4B1E" w:rsidR="00DA0EFA" w:rsidRPr="0093705F" w:rsidRDefault="00DA0EFA" w:rsidP="007400A5">
      <w:pPr>
        <w:pStyle w:val="Nivel2SM"/>
        <w:rPr>
          <w:spacing w:val="-2"/>
        </w:rPr>
      </w:pPr>
      <w:r w:rsidRPr="0093705F">
        <w:rPr>
          <w:spacing w:val="-2"/>
        </w:rPr>
        <w:t xml:space="preserve">En este contexto, es necesario </w:t>
      </w:r>
      <w:r w:rsidRPr="0093705F">
        <w:rPr>
          <w:i/>
          <w:iCs/>
          <w:spacing w:val="-2"/>
        </w:rPr>
        <w:t>tomar medidas</w:t>
      </w:r>
      <w:r w:rsidRPr="0093705F">
        <w:rPr>
          <w:spacing w:val="-2"/>
        </w:rPr>
        <w:t>. Los informes redactados por el FMI y la OECE fruto de sus misiones permiten ultimar un “</w:t>
      </w:r>
      <w:r w:rsidRPr="0093705F">
        <w:rPr>
          <w:b/>
          <w:spacing w:val="-2"/>
        </w:rPr>
        <w:t>Memorando</w:t>
      </w:r>
      <w:r w:rsidRPr="0093705F">
        <w:rPr>
          <w:spacing w:val="-2"/>
        </w:rPr>
        <w:t xml:space="preserve">”, que tras ser discutido en junio de 1959 con estos organismos, se acabará plasmando en el Decreto-Ley sobre Ordenación Económica del 21 de julio de 1959, más conocido como el </w:t>
      </w:r>
      <w:r w:rsidRPr="0093705F">
        <w:rPr>
          <w:spacing w:val="-2"/>
          <w:u w:val="single"/>
        </w:rPr>
        <w:t>Plan de Estabilización y Liberalización</w:t>
      </w:r>
      <w:r w:rsidRPr="0093705F">
        <w:rPr>
          <w:spacing w:val="-2"/>
        </w:rPr>
        <w:t>.</w:t>
      </w:r>
    </w:p>
    <w:p w14:paraId="29B49E56" w14:textId="59228065" w:rsidR="00DA0EFA" w:rsidRDefault="00DA0EFA" w:rsidP="004978BF">
      <w:pPr>
        <w:pStyle w:val="Ttulo2"/>
      </w:pPr>
      <w:bookmarkStart w:id="22" w:name="_Toc178015970"/>
      <w:r>
        <w:t>E</w:t>
      </w:r>
      <w:r w:rsidR="007400A5">
        <w:t xml:space="preserve">volución </w:t>
      </w:r>
      <w:r w:rsidR="00E06CB7">
        <w:t xml:space="preserve">en el período </w:t>
      </w:r>
      <w:r w:rsidR="00FC073B">
        <w:t>1959</w:t>
      </w:r>
      <w:r w:rsidR="001A6781">
        <w:t>-</w:t>
      </w:r>
      <w:r w:rsidR="00FC073B">
        <w:t>1973</w:t>
      </w:r>
      <w:bookmarkEnd w:id="22"/>
    </w:p>
    <w:p w14:paraId="0E04BC46" w14:textId="71AE3FD1" w:rsidR="005E19D1" w:rsidRDefault="00ED36C1" w:rsidP="004978BF">
      <w:pPr>
        <w:pStyle w:val="Ttulo3"/>
      </w:pPr>
      <w:bookmarkStart w:id="23" w:name="_Toc178015971"/>
      <w:r>
        <w:t xml:space="preserve">El </w:t>
      </w:r>
      <w:r w:rsidR="006B5321">
        <w:t>Plan de Estabilización de 1959</w:t>
      </w:r>
      <w:bookmarkEnd w:id="23"/>
    </w:p>
    <w:p w14:paraId="2711CF89" w14:textId="38669E25" w:rsidR="006B5321" w:rsidRPr="004978BF" w:rsidRDefault="006B5321" w:rsidP="00DF0E4D">
      <w:pPr>
        <w:pStyle w:val="Ttulo6"/>
        <w:spacing w:before="0"/>
      </w:pPr>
      <w:bookmarkStart w:id="24" w:name="_Toc178015972"/>
      <w:r w:rsidRPr="006B5321">
        <w:t>Introducción</w:t>
      </w:r>
      <w:bookmarkEnd w:id="24"/>
    </w:p>
    <w:p w14:paraId="67823368" w14:textId="77777777" w:rsidR="00B26640" w:rsidRDefault="00B26640" w:rsidP="00B26640">
      <w:pPr>
        <w:pStyle w:val="Nivel2SM"/>
      </w:pPr>
      <w:r>
        <w:t xml:space="preserve">El Plan de Estabilización iba más allá de meras medidas coyunturales que permitiesen corregir los desequilibrios de balanza de pagos. Se trataba de una </w:t>
      </w:r>
      <w:r w:rsidRPr="004F7B9B">
        <w:rPr>
          <w:b/>
          <w:bCs/>
        </w:rPr>
        <w:t>transformación estructural</w:t>
      </w:r>
      <w:r>
        <w:t xml:space="preserve"> que buscaba </w:t>
      </w:r>
      <w:r w:rsidRPr="004F7B9B">
        <w:rPr>
          <w:i/>
          <w:iCs/>
          <w:u w:val="single"/>
        </w:rPr>
        <w:t>abandonar el modelo de desarrollo hacia dentro</w:t>
      </w:r>
      <w:r>
        <w:t xml:space="preserve"> e </w:t>
      </w:r>
      <w:r w:rsidRPr="004F7B9B">
        <w:rPr>
          <w:i/>
          <w:iCs/>
          <w:u w:val="single"/>
        </w:rPr>
        <w:t>incorporar la economía española a los mercados internacionales</w:t>
      </w:r>
      <w:r>
        <w:t>.</w:t>
      </w:r>
    </w:p>
    <w:p w14:paraId="686A4A6F" w14:textId="77777777" w:rsidR="00D71891" w:rsidRPr="002836E1" w:rsidRDefault="00D71891" w:rsidP="00DF0E4D">
      <w:pPr>
        <w:pStyle w:val="Ttulo6"/>
      </w:pPr>
      <w:bookmarkStart w:id="25" w:name="_Toc178015973"/>
      <w:r>
        <w:t>Objetivos</w:t>
      </w:r>
      <w:bookmarkEnd w:id="25"/>
    </w:p>
    <w:p w14:paraId="00865494" w14:textId="4CB103A7" w:rsidR="00D71891" w:rsidRDefault="00D71891" w:rsidP="00DF0E4D">
      <w:pPr>
        <w:pStyle w:val="Nivel2SM"/>
        <w:keepNext/>
        <w:spacing w:after="0"/>
      </w:pPr>
      <w:r>
        <w:t xml:space="preserve">Para ello, el plan perseguía </w:t>
      </w:r>
      <w:r w:rsidRPr="00DF0E4D">
        <w:rPr>
          <w:b/>
          <w:bCs/>
        </w:rPr>
        <w:t>2</w:t>
      </w:r>
      <w:r w:rsidR="00DF0E4D" w:rsidRPr="00DF0E4D">
        <w:rPr>
          <w:b/>
          <w:bCs/>
        </w:rPr>
        <w:t> </w:t>
      </w:r>
      <w:r w:rsidRPr="00DF0E4D">
        <w:rPr>
          <w:b/>
          <w:bCs/>
        </w:rPr>
        <w:t>objetivos fundamentales</w:t>
      </w:r>
      <w:r>
        <w:t>:</w:t>
      </w:r>
    </w:p>
    <w:p w14:paraId="3C6767B7" w14:textId="4D6A0D47" w:rsidR="00D71891" w:rsidRDefault="00D71891" w:rsidP="00DF0E4D">
      <w:pPr>
        <w:pStyle w:val="Nivel3SM"/>
      </w:pPr>
      <w:r w:rsidRPr="00DF0E4D">
        <w:rPr>
          <w:i/>
          <w:iCs/>
          <w:u w:val="single"/>
        </w:rPr>
        <w:t>Equilibrio interno</w:t>
      </w:r>
      <w:r>
        <w:t>: Estabilidad de precios.</w:t>
      </w:r>
    </w:p>
    <w:p w14:paraId="406767B3" w14:textId="77777777" w:rsidR="00401147" w:rsidRDefault="00401147" w:rsidP="00401147">
      <w:pPr>
        <w:pStyle w:val="Nivel3SM"/>
        <w:keepNext/>
      </w:pPr>
      <w:r w:rsidRPr="00DF0E4D">
        <w:rPr>
          <w:i/>
          <w:iCs/>
          <w:u w:val="single"/>
        </w:rPr>
        <w:t>Equilibrio externo</w:t>
      </w:r>
      <w:r>
        <w:t>: Equilibrio de balanza de pagos.</w:t>
      </w:r>
    </w:p>
    <w:p w14:paraId="5A020BA7" w14:textId="77777777" w:rsidR="00401147" w:rsidRDefault="00401147" w:rsidP="00401147">
      <w:pPr>
        <w:pStyle w:val="Nivel4"/>
        <w:ind w:left="1474"/>
      </w:pPr>
      <w:r>
        <w:t>Se buscan simultáneamente ambos objetivos, aunque el equilibrio interno resulta una condición necesaria para el equilibrio externo.</w:t>
      </w:r>
    </w:p>
    <w:p w14:paraId="135CC658" w14:textId="2452BB61" w:rsidR="005E19D1" w:rsidRDefault="00707FE7" w:rsidP="00707FE7">
      <w:pPr>
        <w:pStyle w:val="Ttulo7"/>
      </w:pPr>
      <w:r>
        <w:t>Medidas encaminadas a conseguir el e</w:t>
      </w:r>
      <w:r w:rsidR="005E19D1" w:rsidRPr="006B5321">
        <w:t>quilibrio interno</w:t>
      </w:r>
    </w:p>
    <w:p w14:paraId="35CCE4A4" w14:textId="0B8BDF0E" w:rsidR="005E19D1" w:rsidRDefault="00D71891" w:rsidP="00DF0E4D">
      <w:pPr>
        <w:pStyle w:val="Nivel2SM"/>
      </w:pPr>
      <w:r>
        <w:t xml:space="preserve">Medidas contractivas tanto de </w:t>
      </w:r>
      <w:r w:rsidR="00DF0E4D">
        <w:t>política monetaria</w:t>
      </w:r>
      <w:r>
        <w:t xml:space="preserve"> como de </w:t>
      </w:r>
      <w:r w:rsidR="00DF0E4D">
        <w:t>política fiscal</w:t>
      </w:r>
      <w:r>
        <w:t>.</w:t>
      </w:r>
    </w:p>
    <w:p w14:paraId="229548E0" w14:textId="1EA5FEC9" w:rsidR="00ED36C1" w:rsidRDefault="00707FE7" w:rsidP="00707FE7">
      <w:pPr>
        <w:pStyle w:val="Ttulo7"/>
      </w:pPr>
      <w:r>
        <w:t>Medidas encaminadas a conseguir el e</w:t>
      </w:r>
      <w:r w:rsidR="005E19D1" w:rsidRPr="006B5321">
        <w:t>quilibrio externo</w:t>
      </w:r>
    </w:p>
    <w:p w14:paraId="70A51F84" w14:textId="4FC9FEC2" w:rsidR="00D71891" w:rsidRPr="00FF10E1" w:rsidRDefault="00D71891" w:rsidP="007A2E52">
      <w:pPr>
        <w:pStyle w:val="Nivel2SM"/>
        <w:keepNext/>
        <w:spacing w:after="0"/>
      </w:pPr>
      <w:r w:rsidRPr="00FF10E1">
        <w:t xml:space="preserve">Se trata de medidas que tratan </w:t>
      </w:r>
      <w:r w:rsidR="00700A7E">
        <w:t>de</w:t>
      </w:r>
      <w:r w:rsidRPr="00FF10E1">
        <w:t xml:space="preserve"> </w:t>
      </w:r>
      <w:r w:rsidRPr="00AA3F3E">
        <w:rPr>
          <w:b/>
        </w:rPr>
        <w:t>disminuir las importaciones</w:t>
      </w:r>
      <w:r w:rsidRPr="00FF10E1">
        <w:t xml:space="preserve"> </w:t>
      </w:r>
      <w:r w:rsidR="00700A7E">
        <w:t>y</w:t>
      </w:r>
      <w:r w:rsidRPr="00FF10E1">
        <w:t xml:space="preserve"> </w:t>
      </w:r>
      <w:r w:rsidRPr="00AA3F3E">
        <w:rPr>
          <w:b/>
        </w:rPr>
        <w:t>aumentar las exportaciones</w:t>
      </w:r>
      <w:r w:rsidRPr="00FF10E1">
        <w:t xml:space="preserve">, así como </w:t>
      </w:r>
      <w:r w:rsidRPr="00AA3F3E">
        <w:rPr>
          <w:b/>
        </w:rPr>
        <w:t>eliminar el estrangulamiento económico</w:t>
      </w:r>
      <w:r w:rsidRPr="00FF10E1">
        <w:t xml:space="preserve"> derivado de la escasez de divisas:</w:t>
      </w:r>
    </w:p>
    <w:p w14:paraId="4DD213AD" w14:textId="76A98FA9" w:rsidR="00D71891" w:rsidRDefault="00D71891" w:rsidP="00563A3E">
      <w:pPr>
        <w:pStyle w:val="Prrafodelista"/>
        <w:keepNext/>
        <w:numPr>
          <w:ilvl w:val="0"/>
          <w:numId w:val="44"/>
        </w:numPr>
        <w:spacing w:after="0"/>
        <w:ind w:left="992" w:hanging="113"/>
      </w:pPr>
      <w:r w:rsidRPr="00700A7E">
        <w:rPr>
          <w:i/>
          <w:iCs/>
          <w:u w:val="single"/>
        </w:rPr>
        <w:t>Unificación de los tipos de cambio existentes</w:t>
      </w:r>
      <w:r w:rsidR="00707FE7">
        <w:t>,</w:t>
      </w:r>
      <w:r w:rsidR="00DF0E4D">
        <w:t xml:space="preserve"> </w:t>
      </w:r>
      <w:r w:rsidR="00707FE7">
        <w:t>e</w:t>
      </w:r>
      <w:r w:rsidRPr="00FF10E1">
        <w:t>stableciendo una nueva paridad de 60</w:t>
      </w:r>
      <w:r w:rsidR="00700A7E">
        <w:t> </w:t>
      </w:r>
      <w:proofErr w:type="spellStart"/>
      <w:r w:rsidRPr="00FF10E1">
        <w:t>ptas</w:t>
      </w:r>
      <w:proofErr w:type="spellEnd"/>
      <w:r w:rsidRPr="00FF10E1">
        <w:t>/$</w:t>
      </w:r>
      <w:r>
        <w:t>,</w:t>
      </w:r>
      <w:r w:rsidRPr="00FF10E1">
        <w:t xml:space="preserve"> lo que suponía el reconocimiento oficial del tipo de cambio vigente en el mercado libre</w:t>
      </w:r>
      <w:r>
        <w:t xml:space="preserve">, y por ende una devaluación </w:t>
      </w:r>
      <w:proofErr w:type="gramStart"/>
      <w:r>
        <w:t>del mismo</w:t>
      </w:r>
      <w:proofErr w:type="gramEnd"/>
      <w:r w:rsidRPr="00FF10E1">
        <w:t>.</w:t>
      </w:r>
    </w:p>
    <w:p w14:paraId="56409C4A" w14:textId="4BC49089" w:rsidR="00563A3E" w:rsidRDefault="00563A3E" w:rsidP="00563A3E">
      <w:pPr>
        <w:pStyle w:val="Prrafodelista"/>
        <w:keepNext/>
        <w:numPr>
          <w:ilvl w:val="0"/>
          <w:numId w:val="44"/>
        </w:numPr>
        <w:spacing w:after="0"/>
        <w:ind w:left="992" w:hanging="113"/>
      </w:pPr>
      <w:r w:rsidRPr="00563A3E">
        <w:rPr>
          <w:i/>
          <w:iCs/>
          <w:u w:val="single"/>
        </w:rPr>
        <w:t>Liberalización de las importaciones de algunos productos</w:t>
      </w:r>
      <w:r>
        <w:t xml:space="preserve"> (p.ej. productos siderúrgicos para no estrangular la industrialización), que en total representaban el 55 % de nuestras importaciones con la OECE.</w:t>
      </w:r>
    </w:p>
    <w:p w14:paraId="17937661" w14:textId="51688C09" w:rsidR="00D71891" w:rsidRDefault="00D71891" w:rsidP="00707FE7">
      <w:pPr>
        <w:pStyle w:val="Prrafodelista"/>
        <w:keepNext/>
        <w:numPr>
          <w:ilvl w:val="0"/>
          <w:numId w:val="44"/>
        </w:numPr>
        <w:spacing w:after="0"/>
        <w:ind w:left="992" w:hanging="113"/>
      </w:pPr>
      <w:r w:rsidRPr="00707FE7">
        <w:rPr>
          <w:i/>
          <w:iCs/>
          <w:u w:val="single"/>
        </w:rPr>
        <w:t>Establecimiento de un depósito previo a las importaciones</w:t>
      </w:r>
      <w:r w:rsidRPr="00FF10E1">
        <w:t xml:space="preserve"> del 25</w:t>
      </w:r>
      <w:r w:rsidR="004978BF">
        <w:t> %</w:t>
      </w:r>
      <w:r w:rsidRPr="00FF10E1">
        <w:t xml:space="preserve"> del valor de la mercancía. </w:t>
      </w:r>
      <w:r>
        <w:t>T</w:t>
      </w:r>
      <w:r w:rsidRPr="00FF10E1">
        <w:t xml:space="preserve">enía un doble propósito: </w:t>
      </w:r>
    </w:p>
    <w:p w14:paraId="0F313804" w14:textId="7DA1D9B1" w:rsidR="00D71891" w:rsidRDefault="00D71891" w:rsidP="00700A7E">
      <w:pPr>
        <w:pStyle w:val="Nivel4"/>
        <w:ind w:left="1474"/>
      </w:pPr>
      <w:r>
        <w:t>D</w:t>
      </w:r>
      <w:r w:rsidRPr="00FF10E1">
        <w:t>esincentivar las importaciones</w:t>
      </w:r>
      <w:r>
        <w:t>.</w:t>
      </w:r>
    </w:p>
    <w:p w14:paraId="6E3E9D95" w14:textId="77777777" w:rsidR="00D71891" w:rsidRPr="00FF10E1" w:rsidRDefault="00D71891" w:rsidP="00700A7E">
      <w:pPr>
        <w:pStyle w:val="Nivel4"/>
        <w:ind w:left="1474"/>
      </w:pPr>
      <w:r>
        <w:t>D</w:t>
      </w:r>
      <w:r w:rsidRPr="00FF10E1">
        <w:t>renar liquidez del sector privado.</w:t>
      </w:r>
    </w:p>
    <w:p w14:paraId="73305CCE" w14:textId="66827F41" w:rsidR="00D71891" w:rsidRPr="00AA3F3E" w:rsidRDefault="00D71891" w:rsidP="00707FE7">
      <w:pPr>
        <w:pStyle w:val="Prrafodelista"/>
        <w:keepNext/>
        <w:numPr>
          <w:ilvl w:val="0"/>
          <w:numId w:val="44"/>
        </w:numPr>
        <w:spacing w:after="0"/>
        <w:ind w:left="992" w:hanging="113"/>
      </w:pPr>
      <w:r w:rsidRPr="00700A7E">
        <w:rPr>
          <w:i/>
          <w:iCs/>
          <w:u w:val="single"/>
        </w:rPr>
        <w:t>Inversiones extranjeras</w:t>
      </w:r>
      <w:r w:rsidR="00DF0E4D">
        <w:t>:</w:t>
      </w:r>
    </w:p>
    <w:p w14:paraId="21653875" w14:textId="5B35BD3D" w:rsidR="00D71891" w:rsidRDefault="00D71891" w:rsidP="005C56F5">
      <w:pPr>
        <w:pStyle w:val="Nivel4"/>
        <w:keepNext/>
        <w:ind w:left="1474"/>
      </w:pPr>
      <w:r w:rsidRPr="00FF10E1">
        <w:t>Marco normativo más flexible para las inversiones extranjeras</w:t>
      </w:r>
      <w:r w:rsidR="00707FE7">
        <w:t>:</w:t>
      </w:r>
    </w:p>
    <w:p w14:paraId="4333B074" w14:textId="37A9A5BA" w:rsidR="00D71891" w:rsidRPr="00FF10E1" w:rsidRDefault="00D71891" w:rsidP="005C56F5">
      <w:pPr>
        <w:pStyle w:val="Nivel5"/>
        <w:ind w:left="1871"/>
      </w:pPr>
      <w:r>
        <w:t>E</w:t>
      </w:r>
      <w:r w:rsidRPr="00FF10E1">
        <w:t>l límite anterior del 25</w:t>
      </w:r>
      <w:r w:rsidR="004978BF">
        <w:t> %</w:t>
      </w:r>
      <w:r w:rsidRPr="00FF10E1">
        <w:t xml:space="preserve"> del capital social se aumentó al 50</w:t>
      </w:r>
      <w:r w:rsidR="004978BF">
        <w:t> %</w:t>
      </w:r>
      <w:r w:rsidRPr="00FF10E1">
        <w:t xml:space="preserve"> –que podía rebasarse con autorización del Consejo de Ministros–.</w:t>
      </w:r>
    </w:p>
    <w:p w14:paraId="310524B6" w14:textId="77777777" w:rsidR="00D71891" w:rsidRPr="00FF10E1" w:rsidRDefault="00D71891" w:rsidP="005C56F5">
      <w:pPr>
        <w:pStyle w:val="Nivel4"/>
        <w:ind w:left="1474"/>
      </w:pPr>
      <w:r w:rsidRPr="00FF10E1">
        <w:t>Garantía de la posibilidad de transferir beneficios sin limitaciones.</w:t>
      </w:r>
    </w:p>
    <w:p w14:paraId="2D5E3A67" w14:textId="77777777" w:rsidR="00D71891" w:rsidRPr="00FF10E1" w:rsidRDefault="00D71891" w:rsidP="005C56F5">
      <w:pPr>
        <w:pStyle w:val="Nivel4"/>
        <w:ind w:left="1474"/>
      </w:pPr>
      <w:r w:rsidRPr="00FF10E1">
        <w:t>Garantía de la posibilidad de desinvertir y repatriar los capitales sin limitaciones.</w:t>
      </w:r>
    </w:p>
    <w:p w14:paraId="1999CBD6" w14:textId="1EEB0EBC" w:rsidR="00D71891" w:rsidRPr="00FF10E1" w:rsidRDefault="00D71891" w:rsidP="00707FE7">
      <w:pPr>
        <w:pStyle w:val="Prrafodelista"/>
        <w:numPr>
          <w:ilvl w:val="0"/>
          <w:numId w:val="44"/>
        </w:numPr>
        <w:spacing w:after="0"/>
        <w:ind w:left="992" w:hanging="113"/>
      </w:pPr>
      <w:r w:rsidRPr="00707FE7">
        <w:rPr>
          <w:i/>
          <w:iCs/>
          <w:u w:val="single"/>
        </w:rPr>
        <w:lastRenderedPageBreak/>
        <w:t xml:space="preserve">Amnistía para los capitales </w:t>
      </w:r>
      <w:r w:rsidR="00707FE7" w:rsidRPr="00707FE7">
        <w:rPr>
          <w:i/>
          <w:iCs/>
          <w:u w:val="single"/>
        </w:rPr>
        <w:t>nacionales</w:t>
      </w:r>
      <w:r w:rsidR="00707FE7">
        <w:t xml:space="preserve"> </w:t>
      </w:r>
      <w:r w:rsidRPr="00FF10E1">
        <w:t>invertidos en el extranjero que se repatriasen en 6</w:t>
      </w:r>
      <w:r w:rsidR="00700A7E">
        <w:t> </w:t>
      </w:r>
      <w:r w:rsidRPr="00FF10E1">
        <w:t>meses.</w:t>
      </w:r>
    </w:p>
    <w:p w14:paraId="639A74C6" w14:textId="61F93E34" w:rsidR="00D71891" w:rsidRPr="00707FE7" w:rsidRDefault="00D71891" w:rsidP="00707FE7">
      <w:pPr>
        <w:pStyle w:val="Prrafodelista"/>
        <w:numPr>
          <w:ilvl w:val="0"/>
          <w:numId w:val="44"/>
        </w:numPr>
        <w:spacing w:after="0"/>
        <w:ind w:left="992" w:hanging="113"/>
      </w:pPr>
      <w:r w:rsidRPr="00707FE7">
        <w:rPr>
          <w:i/>
          <w:iCs/>
          <w:u w:val="single"/>
        </w:rPr>
        <w:t>Disponibilidad de líneas de ayuda exterior</w:t>
      </w:r>
      <w:r w:rsidRPr="00707FE7">
        <w:t xml:space="preserve"> (546</w:t>
      </w:r>
      <w:r w:rsidR="00DF0E4D" w:rsidRPr="00707FE7">
        <w:t> millones de dólares</w:t>
      </w:r>
      <w:r w:rsidRPr="00707FE7">
        <w:t>) como alternativa para financiar el déficit exterior (aunque nunca se recurrió a ellas).</w:t>
      </w:r>
    </w:p>
    <w:p w14:paraId="706AB231" w14:textId="1B46A27E" w:rsidR="00707FE7" w:rsidRPr="00FF10E1" w:rsidRDefault="00707FE7" w:rsidP="00707FE7">
      <w:pPr>
        <w:pStyle w:val="Ttulo6"/>
      </w:pPr>
      <w:bookmarkStart w:id="26" w:name="_Toc178015974"/>
      <w:r>
        <w:t>Valoración</w:t>
      </w:r>
      <w:bookmarkEnd w:id="26"/>
    </w:p>
    <w:p w14:paraId="5FC8F5BA" w14:textId="77777777" w:rsidR="00EE6861" w:rsidRDefault="006B5321" w:rsidP="00EE6861">
      <w:pPr>
        <w:pStyle w:val="Nivel2SM"/>
        <w:keepNext/>
        <w:spacing w:after="0"/>
      </w:pPr>
      <w:r>
        <w:t xml:space="preserve">El Plan de Estabilización tuvo un </w:t>
      </w:r>
      <w:r w:rsidRPr="00C14158">
        <w:rPr>
          <w:b/>
        </w:rPr>
        <w:t>efecto muy rápido</w:t>
      </w:r>
      <w:r>
        <w:t xml:space="preserve"> sobre ambos objetivos.</w:t>
      </w:r>
    </w:p>
    <w:p w14:paraId="0B500FDB" w14:textId="4FEC7013" w:rsidR="005A621A" w:rsidRPr="004978BF" w:rsidRDefault="006B5321" w:rsidP="00EE6861">
      <w:pPr>
        <w:pStyle w:val="Nivel3SM"/>
      </w:pPr>
      <w:r>
        <w:t xml:space="preserve">En relación al objetivo de equilibrio externo, el año 1960 concluyó con un </w:t>
      </w:r>
      <w:r w:rsidRPr="00D71891">
        <w:rPr>
          <w:b/>
        </w:rPr>
        <w:t>superávit en la balanza comercial y de servicios de 400</w:t>
      </w:r>
      <w:r w:rsidR="00DF0E4D">
        <w:rPr>
          <w:b/>
        </w:rPr>
        <w:t> millones de dólares</w:t>
      </w:r>
      <w:r>
        <w:t>.</w:t>
      </w:r>
    </w:p>
    <w:p w14:paraId="6C5DCAC1" w14:textId="0B60DEFA" w:rsidR="00ED36C1" w:rsidRDefault="006B5321" w:rsidP="004978BF">
      <w:pPr>
        <w:pStyle w:val="Ttulo3"/>
      </w:pPr>
      <w:bookmarkStart w:id="27" w:name="_Toc178015975"/>
      <w:r>
        <w:t>Desde el Plan de Estabilización hasta la primera crisis del petróleo en 1973</w:t>
      </w:r>
      <w:bookmarkEnd w:id="27"/>
    </w:p>
    <w:p w14:paraId="2E870A21" w14:textId="77777777" w:rsidR="00CD720B" w:rsidRDefault="00CD720B" w:rsidP="00754EE7">
      <w:pPr>
        <w:pStyle w:val="Ttulo6"/>
        <w:spacing w:before="0"/>
      </w:pPr>
      <w:bookmarkStart w:id="28" w:name="_Toc178015976"/>
      <w:r>
        <w:t>Apertura comercial</w:t>
      </w:r>
      <w:bookmarkEnd w:id="28"/>
    </w:p>
    <w:p w14:paraId="3B8EB1B2" w14:textId="1E6547FA" w:rsidR="00D71891" w:rsidRDefault="00D71891" w:rsidP="00754EE7">
      <w:pPr>
        <w:pStyle w:val="Ttulo7"/>
        <w:spacing w:before="0"/>
      </w:pPr>
      <w:r w:rsidRPr="00776795">
        <w:t>Arancel Ullastres</w:t>
      </w:r>
    </w:p>
    <w:p w14:paraId="6C43BF0C" w14:textId="0DF299CF" w:rsidR="00D71891" w:rsidRDefault="00D71891" w:rsidP="00334657">
      <w:pPr>
        <w:pStyle w:val="Nivel2SM"/>
        <w:keepNext/>
        <w:spacing w:after="0"/>
      </w:pPr>
      <w:r>
        <w:t xml:space="preserve">No obstante, en 1960 se aprobó el </w:t>
      </w:r>
      <w:r w:rsidRPr="000173C3">
        <w:rPr>
          <w:b/>
        </w:rPr>
        <w:t>arancel Ullastres</w:t>
      </w:r>
      <w:r>
        <w:t>, con un carácter ultraprotector, y detención del proceso de liberalización exterior:</w:t>
      </w:r>
    </w:p>
    <w:p w14:paraId="7E0510D6" w14:textId="505C7F54" w:rsidR="00D71891" w:rsidRDefault="00D71891" w:rsidP="00334657">
      <w:pPr>
        <w:pStyle w:val="Nivel3SM"/>
      </w:pPr>
      <w:r>
        <w:t xml:space="preserve">Si bien este arancel </w:t>
      </w:r>
      <w:r w:rsidRPr="009C445B">
        <w:rPr>
          <w:b/>
        </w:rPr>
        <w:t>reducía en gran medida el proteccionismo no</w:t>
      </w:r>
      <w:r w:rsidR="004E6E7D">
        <w:rPr>
          <w:b/>
        </w:rPr>
        <w:t> </w:t>
      </w:r>
      <w:r w:rsidRPr="009C445B">
        <w:rPr>
          <w:b/>
        </w:rPr>
        <w:t>arancelario</w:t>
      </w:r>
      <w:r>
        <w:t xml:space="preserve"> (disminuyendo el 90</w:t>
      </w:r>
      <w:r w:rsidR="004978BF">
        <w:t> %</w:t>
      </w:r>
      <w:r>
        <w:t xml:space="preserve"> de las restricciones cuantitativas sobre las importaciones), </w:t>
      </w:r>
      <w:r w:rsidRPr="009C445B">
        <w:rPr>
          <w:b/>
        </w:rPr>
        <w:t>establecía un tipo medio arancelario</w:t>
      </w:r>
      <w:r>
        <w:t xml:space="preserve"> de </w:t>
      </w:r>
      <w:r w:rsidRPr="009C445B">
        <w:rPr>
          <w:b/>
        </w:rPr>
        <w:t>aproximadamente el 25</w:t>
      </w:r>
      <w:r w:rsidR="004978BF">
        <w:rPr>
          <w:b/>
        </w:rPr>
        <w:t> %</w:t>
      </w:r>
      <w:r>
        <w:t>, muy elevado en comparación con otros países de la OCDE.</w:t>
      </w:r>
    </w:p>
    <w:p w14:paraId="2363EE16" w14:textId="0643B86E" w:rsidR="00D71891" w:rsidRDefault="00D71891" w:rsidP="00334657">
      <w:pPr>
        <w:pStyle w:val="Nivel3SM"/>
      </w:pPr>
      <w:r>
        <w:t xml:space="preserve">Otras novedades del Arancel Ullastres fueron: </w:t>
      </w:r>
      <w:r w:rsidRPr="004978BF">
        <w:rPr>
          <w:i/>
          <w:iCs/>
        </w:rPr>
        <w:t>i)</w:t>
      </w:r>
      <w:r w:rsidR="004978BF">
        <w:t> </w:t>
      </w:r>
      <w:r w:rsidRPr="000173C3">
        <w:rPr>
          <w:b/>
        </w:rPr>
        <w:t>adopción de la nomenclatura arancelaria de Bruselas</w:t>
      </w:r>
      <w:r>
        <w:t xml:space="preserve">; y </w:t>
      </w:r>
      <w:proofErr w:type="spellStart"/>
      <w:r w:rsidRPr="004978BF">
        <w:rPr>
          <w:i/>
          <w:iCs/>
        </w:rPr>
        <w:t>ii</w:t>
      </w:r>
      <w:proofErr w:type="spellEnd"/>
      <w:r w:rsidRPr="004978BF">
        <w:rPr>
          <w:i/>
          <w:iCs/>
        </w:rPr>
        <w:t>)</w:t>
      </w:r>
      <w:r w:rsidR="004978BF">
        <w:t> </w:t>
      </w:r>
      <w:r w:rsidRPr="000173C3">
        <w:rPr>
          <w:b/>
        </w:rPr>
        <w:t>adopción de aranceles ad-</w:t>
      </w:r>
      <w:proofErr w:type="spellStart"/>
      <w:r w:rsidRPr="000173C3">
        <w:rPr>
          <w:b/>
        </w:rPr>
        <w:t>valorem</w:t>
      </w:r>
      <w:proofErr w:type="spellEnd"/>
      <w:r w:rsidRPr="000173C3">
        <w:rPr>
          <w:b/>
        </w:rPr>
        <w:t>, que sustituyeron a los aranceles específicos</w:t>
      </w:r>
      <w:r>
        <w:t xml:space="preserve"> (mucho más opacos y complejos de gestionar).</w:t>
      </w:r>
    </w:p>
    <w:p w14:paraId="73308009" w14:textId="19D26F99" w:rsidR="00D71891" w:rsidRPr="009C445B" w:rsidRDefault="00D71891" w:rsidP="004E6E7D">
      <w:pPr>
        <w:pStyle w:val="Nivel2SM"/>
        <w:keepNext/>
        <w:spacing w:after="0"/>
      </w:pPr>
      <w:r w:rsidRPr="00334657">
        <w:rPr>
          <w:u w:val="single"/>
        </w:rPr>
        <w:t xml:space="preserve">Debate entre </w:t>
      </w:r>
      <w:r w:rsidR="00334657" w:rsidRPr="00334657">
        <w:rPr>
          <w:u w:val="single"/>
        </w:rPr>
        <w:t>2 </w:t>
      </w:r>
      <w:r w:rsidRPr="00334657">
        <w:rPr>
          <w:u w:val="single"/>
        </w:rPr>
        <w:t>posturas</w:t>
      </w:r>
      <w:r w:rsidR="00334657">
        <w:t>:</w:t>
      </w:r>
    </w:p>
    <w:p w14:paraId="26ACE011" w14:textId="1A20F879" w:rsidR="00D71891" w:rsidRDefault="00D71891" w:rsidP="00334657">
      <w:pPr>
        <w:pStyle w:val="Nivel3SM"/>
      </w:pPr>
      <w:r>
        <w:t>Este arancel se debió en gran parte a la presión ejercida por los grupos empresariales ante el aumento de la competencia exterior.</w:t>
      </w:r>
    </w:p>
    <w:p w14:paraId="511CBD53" w14:textId="2EA20EDD" w:rsidR="00D71891" w:rsidRPr="009C445B" w:rsidRDefault="00D71891" w:rsidP="00334657">
      <w:pPr>
        <w:pStyle w:val="Nivel3SM"/>
      </w:pPr>
      <w:r>
        <w:t>Sin embargo</w:t>
      </w:r>
      <w:r w:rsidR="004E6E7D">
        <w:t>,</w:t>
      </w:r>
      <w:r>
        <w:t xml:space="preserve"> es importante mencionar que el </w:t>
      </w:r>
      <w:r w:rsidR="004E6E7D">
        <w:t>a</w:t>
      </w:r>
      <w:r>
        <w:t>rancel tuvo también un carácter estratégico: en previsión de las rebajas que tendrían que hacerse al adherirse al GATT, España subió los aranceles.</w:t>
      </w:r>
    </w:p>
    <w:p w14:paraId="1CB0FEB3" w14:textId="7699057D" w:rsidR="00D71891" w:rsidRPr="00322182" w:rsidRDefault="00CD720B" w:rsidP="00CD720B">
      <w:pPr>
        <w:pStyle w:val="Ttulo7"/>
      </w:pPr>
      <w:r>
        <w:t>A</w:t>
      </w:r>
      <w:r w:rsidR="00D71891" w:rsidRPr="00322182">
        <w:t>dhesión al GATT</w:t>
      </w:r>
    </w:p>
    <w:p w14:paraId="0E1BFD2A" w14:textId="77777777" w:rsidR="00D71891" w:rsidRPr="00FE5C68" w:rsidRDefault="00D71891" w:rsidP="00A45AD6">
      <w:pPr>
        <w:pStyle w:val="Nivel2SM"/>
        <w:keepNext/>
        <w:spacing w:after="0"/>
      </w:pPr>
      <w:r w:rsidRPr="00FE5C68">
        <w:t>España se incorpora al GATT en 1963. Esto va a tener una serie de implicaciones cruciales sobre la política comercial española:</w:t>
      </w:r>
    </w:p>
    <w:p w14:paraId="7CA665CB" w14:textId="77777777" w:rsidR="00AB67FB" w:rsidRDefault="00AB67FB" w:rsidP="004E6E7D">
      <w:pPr>
        <w:pStyle w:val="Nivel3SM"/>
      </w:pPr>
      <w:r w:rsidRPr="009C445B">
        <w:t xml:space="preserve">Paso fundamental a favor del </w:t>
      </w:r>
      <w:r w:rsidRPr="009C445B">
        <w:rPr>
          <w:b/>
        </w:rPr>
        <w:t>multilateralismo</w:t>
      </w:r>
      <w:r w:rsidRPr="009C445B">
        <w:t>.</w:t>
      </w:r>
    </w:p>
    <w:p w14:paraId="43328CB8" w14:textId="5D28ADF5" w:rsidR="00D71891" w:rsidRPr="00FE5C68" w:rsidRDefault="00D71891" w:rsidP="004E6E7D">
      <w:pPr>
        <w:pStyle w:val="Nivel3SM"/>
      </w:pPr>
      <w:r w:rsidRPr="004E6E7D">
        <w:rPr>
          <w:b/>
          <w:bCs/>
        </w:rPr>
        <w:t>Consolidaciones arancelarias</w:t>
      </w:r>
      <w:r w:rsidR="004E6E7D">
        <w:t>, por las que l</w:t>
      </w:r>
      <w:r w:rsidRPr="00FE5C68">
        <w:t xml:space="preserve">os aranceles </w:t>
      </w:r>
      <w:r w:rsidRPr="004E6E7D">
        <w:rPr>
          <w:b/>
        </w:rPr>
        <w:t>no pueden elevarse al alza</w:t>
      </w:r>
      <w:r w:rsidRPr="00FE5C68">
        <w:t xml:space="preserve"> por encima de determinados valores.</w:t>
      </w:r>
    </w:p>
    <w:p w14:paraId="01828C65" w14:textId="77777777" w:rsidR="00D71891" w:rsidRPr="0093705F" w:rsidRDefault="00D71891" w:rsidP="00A45AD6">
      <w:pPr>
        <w:pStyle w:val="Nivel3SM"/>
        <w:keepNext/>
      </w:pPr>
      <w:r w:rsidRPr="009C445B">
        <w:rPr>
          <w:b/>
        </w:rPr>
        <w:t>Compromiso de participar</w:t>
      </w:r>
      <w:r w:rsidRPr="0093705F">
        <w:rPr>
          <w:b/>
          <w:bCs/>
        </w:rPr>
        <w:t xml:space="preserve"> en las futuras rondas del GATT</w:t>
      </w:r>
      <w:r w:rsidRPr="0093705F">
        <w:t>:</w:t>
      </w:r>
    </w:p>
    <w:p w14:paraId="0850BD7C" w14:textId="1EC847E5" w:rsidR="00D71891" w:rsidRPr="00FE5C68" w:rsidRDefault="00D71891" w:rsidP="00A45AD6">
      <w:pPr>
        <w:pStyle w:val="Nivel4"/>
        <w:keepNext/>
        <w:ind w:left="1474"/>
      </w:pPr>
      <w:r w:rsidRPr="00A45AD6">
        <w:rPr>
          <w:i/>
          <w:iCs/>
        </w:rPr>
        <w:t>Ronda Kennedy (1964-1967)</w:t>
      </w:r>
      <w:r w:rsidR="00A45AD6">
        <w:t>:</w:t>
      </w:r>
    </w:p>
    <w:p w14:paraId="1C81F9C5" w14:textId="77777777" w:rsidR="00D71891" w:rsidRPr="00FE5C68" w:rsidRDefault="00D71891" w:rsidP="00A45AD6">
      <w:pPr>
        <w:pStyle w:val="Nivel5"/>
        <w:ind w:left="1871"/>
      </w:pPr>
      <w:r w:rsidRPr="00FE5C68">
        <w:t xml:space="preserve">Es la </w:t>
      </w:r>
      <w:r w:rsidRPr="000173C3">
        <w:t>primera ronda en la que España interviene</w:t>
      </w:r>
      <w:r w:rsidRPr="00FE5C68">
        <w:t xml:space="preserve"> como miembro de pleno derecho.</w:t>
      </w:r>
    </w:p>
    <w:p w14:paraId="4157B0A1" w14:textId="77777777" w:rsidR="00D71891" w:rsidRPr="00F35CBC" w:rsidRDefault="00D71891" w:rsidP="00A45AD6">
      <w:pPr>
        <w:pStyle w:val="Nivel5"/>
        <w:ind w:left="1871"/>
      </w:pPr>
      <w:r w:rsidRPr="00FE5C68">
        <w:t xml:space="preserve">España gozaba en ese momento de la consideración de </w:t>
      </w:r>
      <w:r w:rsidRPr="00F35CBC">
        <w:rPr>
          <w:i/>
          <w:iCs/>
        </w:rPr>
        <w:t>“país en situación especial”</w:t>
      </w:r>
      <w:r w:rsidRPr="00F35CBC">
        <w:t>, lo que le permitía hacer ofertas selectivas, sin aplicación del principio de reciprocidad con los países desarrollados.</w:t>
      </w:r>
    </w:p>
    <w:p w14:paraId="5C1FD934" w14:textId="16DC5C29" w:rsidR="00D71891" w:rsidRPr="00984F70" w:rsidRDefault="00D71891" w:rsidP="00A45AD6">
      <w:pPr>
        <w:pStyle w:val="Nivel4"/>
        <w:keepNext/>
        <w:ind w:left="1474"/>
      </w:pPr>
      <w:r w:rsidRPr="00A45AD6">
        <w:rPr>
          <w:i/>
          <w:iCs/>
        </w:rPr>
        <w:t>Ronda Tokio (1973-1979)</w:t>
      </w:r>
      <w:r w:rsidR="00A45AD6">
        <w:t>:</w:t>
      </w:r>
    </w:p>
    <w:p w14:paraId="45B778BF" w14:textId="0FFD5D7F" w:rsidR="00094EAE" w:rsidRPr="004978BF" w:rsidRDefault="00D71891" w:rsidP="00A45AD6">
      <w:pPr>
        <w:pStyle w:val="Nivel5"/>
        <w:ind w:left="1871"/>
      </w:pPr>
      <w:r w:rsidRPr="00FE5C68">
        <w:t>Nueva reducción de aranceles que entra en vigor en 1980.</w:t>
      </w:r>
    </w:p>
    <w:p w14:paraId="59405590" w14:textId="67747EAC" w:rsidR="00D71891" w:rsidRPr="004978BF" w:rsidRDefault="00D71891" w:rsidP="00CD720B">
      <w:pPr>
        <w:pStyle w:val="Ttulo7"/>
      </w:pPr>
      <w:r w:rsidRPr="00322182">
        <w:t>Acuerdo Comercial Preferencial</w:t>
      </w:r>
    </w:p>
    <w:p w14:paraId="141F4856" w14:textId="425F1ED0" w:rsidR="00D71891" w:rsidRDefault="00334657" w:rsidP="00A45AD6">
      <w:pPr>
        <w:pStyle w:val="Nivel2SM"/>
        <w:keepNext/>
        <w:spacing w:after="0"/>
      </w:pPr>
      <w:r w:rsidRPr="00516D31">
        <w:t xml:space="preserve">El Acuerdo Comercial Preferencial </w:t>
      </w:r>
      <w:r>
        <w:t xml:space="preserve">firmado en 1970 </w:t>
      </w:r>
      <w:r w:rsidRPr="00516D31">
        <w:t>será el que</w:t>
      </w:r>
      <w:r w:rsidRPr="00984F70">
        <w:rPr>
          <w:b/>
        </w:rPr>
        <w:t xml:space="preserve"> rija las relaciones de España con la CEE durante 15</w:t>
      </w:r>
      <w:r>
        <w:rPr>
          <w:b/>
        </w:rPr>
        <w:t> </w:t>
      </w:r>
      <w:r w:rsidRPr="00984F70">
        <w:rPr>
          <w:b/>
        </w:rPr>
        <w:t>años</w:t>
      </w:r>
      <w:r w:rsidRPr="00516D31">
        <w:t xml:space="preserve"> y consistía </w:t>
      </w:r>
      <w:r>
        <w:t xml:space="preserve">en </w:t>
      </w:r>
      <w:r w:rsidRPr="00516D31">
        <w:t xml:space="preserve">el establecimiento de un sistema de </w:t>
      </w:r>
      <w:r w:rsidRPr="000173C3">
        <w:rPr>
          <w:b/>
          <w:u w:val="single"/>
        </w:rPr>
        <w:t>concesiones recíprocas y supresión progresiva de los obstáculos al intercambio entre España y la CEE</w:t>
      </w:r>
      <w:r w:rsidRPr="00516D31">
        <w:t>.</w:t>
      </w:r>
    </w:p>
    <w:p w14:paraId="0F26C89D" w14:textId="45370B84" w:rsidR="00BB2523" w:rsidRDefault="00BB2523" w:rsidP="00A45AD6">
      <w:pPr>
        <w:pStyle w:val="Nivel3SM"/>
      </w:pPr>
      <w:r>
        <w:t>En una segunda fase se intentó ampliar dicho acuerdo con la formación de un ALC para productos industriales pero no se llegó a un acuerdo.</w:t>
      </w:r>
    </w:p>
    <w:p w14:paraId="15A4BCEA" w14:textId="18FE9AE5" w:rsidR="00BC39D3" w:rsidRPr="00516D31" w:rsidRDefault="00BC39D3" w:rsidP="00334657">
      <w:pPr>
        <w:pStyle w:val="Nivel2SM"/>
      </w:pPr>
      <w:r>
        <w:lastRenderedPageBreak/>
        <w:t>El Acuerdo Preferencial lleva a un aumento de aproximadamente un 335</w:t>
      </w:r>
      <w:r w:rsidR="004978BF">
        <w:t> %</w:t>
      </w:r>
      <w:r>
        <w:t xml:space="preserve"> de las exportaciones españolas hacia la CEE y aumenta considerablemente el grado de apertura.</w:t>
      </w:r>
    </w:p>
    <w:p w14:paraId="06142514" w14:textId="484D9A8A" w:rsidR="00D71891" w:rsidRPr="004978BF" w:rsidRDefault="00D71891" w:rsidP="00DF0E4D">
      <w:pPr>
        <w:pStyle w:val="Ttulo6"/>
      </w:pPr>
      <w:bookmarkStart w:id="29" w:name="_Toc178015977"/>
      <w:r w:rsidRPr="00FC073B">
        <w:t>Apertura financiera</w:t>
      </w:r>
      <w:bookmarkEnd w:id="29"/>
    </w:p>
    <w:p w14:paraId="4DDF1C8C" w14:textId="77777777" w:rsidR="00D71891" w:rsidRDefault="00D71891" w:rsidP="00A45AD6">
      <w:pPr>
        <w:pStyle w:val="Nivel2SM"/>
        <w:keepNext/>
        <w:spacing w:after="0"/>
      </w:pPr>
      <w:r>
        <w:t>La apertura exterior no se limitó, como ya se ha comentado, a los intercambios comerciales, sino que también se produjo una apertura financiera.</w:t>
      </w:r>
    </w:p>
    <w:p w14:paraId="03570E1D" w14:textId="52EDFEC2" w:rsidR="00D71891" w:rsidRDefault="00D71891" w:rsidP="00A45AD6">
      <w:pPr>
        <w:pStyle w:val="Nivel3SM"/>
      </w:pPr>
      <w:r>
        <w:t>Fruto de estas relajaciones y de la favorable coyuntura de la economía española, las entradas de capitales experimentarán rápidos aumentos durante los años</w:t>
      </w:r>
      <w:r w:rsidR="00DF0E4D">
        <w:t> </w:t>
      </w:r>
      <w:r>
        <w:t>60.</w:t>
      </w:r>
    </w:p>
    <w:p w14:paraId="50714AD8" w14:textId="77777777" w:rsidR="00D71891" w:rsidRDefault="00D71891" w:rsidP="00A45AD6">
      <w:pPr>
        <w:pStyle w:val="Nivel2SM"/>
        <w:keepNext/>
        <w:spacing w:after="0"/>
      </w:pPr>
      <w:r>
        <w:t>De hecho, la financiación exterior fue, como veíamos, vía inversión directa extranjera, con las siguientes características:</w:t>
      </w:r>
    </w:p>
    <w:p w14:paraId="25512B65" w14:textId="77777777" w:rsidR="00D71891" w:rsidRDefault="00D71891" w:rsidP="00DF0E4D">
      <w:pPr>
        <w:pStyle w:val="Nivel3SM"/>
      </w:pPr>
      <w:r>
        <w:t xml:space="preserve">Claro dominio de </w:t>
      </w:r>
      <w:r w:rsidRPr="00EB1F50">
        <w:rPr>
          <w:b/>
        </w:rPr>
        <w:t>capital estadounidense</w:t>
      </w:r>
      <w:r>
        <w:t xml:space="preserve">, que representó en torno a </w:t>
      </w:r>
      <w:r w:rsidRPr="00EB1F50">
        <w:rPr>
          <w:b/>
        </w:rPr>
        <w:t>1/3 del total</w:t>
      </w:r>
      <w:r>
        <w:t>.</w:t>
      </w:r>
    </w:p>
    <w:p w14:paraId="35FA7CE3" w14:textId="0990423C" w:rsidR="00D71891" w:rsidRDefault="00D71891" w:rsidP="00DF0E4D">
      <w:pPr>
        <w:pStyle w:val="Nivel3SM"/>
      </w:pPr>
      <w:r>
        <w:t xml:space="preserve">El </w:t>
      </w:r>
      <w:r w:rsidRPr="00EB1F50">
        <w:rPr>
          <w:b/>
        </w:rPr>
        <w:t>75</w:t>
      </w:r>
      <w:r w:rsidR="004978BF">
        <w:rPr>
          <w:b/>
        </w:rPr>
        <w:t> %</w:t>
      </w:r>
      <w:r w:rsidRPr="00EB1F50">
        <w:rPr>
          <w:b/>
        </w:rPr>
        <w:t xml:space="preserve"> de las inversiones extranjeras</w:t>
      </w:r>
      <w:r>
        <w:t xml:space="preserve"> se destinaron a la </w:t>
      </w:r>
      <w:r w:rsidRPr="00EB1F50">
        <w:rPr>
          <w:b/>
        </w:rPr>
        <w:t>industria</w:t>
      </w:r>
      <w:r>
        <w:t xml:space="preserve"> manufacturera y, dentro de ésta, a la química y a la maquinaria.</w:t>
      </w:r>
    </w:p>
    <w:p w14:paraId="6595D6F8" w14:textId="77777777" w:rsidR="00D71891" w:rsidRDefault="00D71891" w:rsidP="00DF0E4D">
      <w:pPr>
        <w:pStyle w:val="Nivel3SM"/>
      </w:pPr>
      <w:r>
        <w:t xml:space="preserve">La presencia de </w:t>
      </w:r>
      <w:r w:rsidRPr="00D71891">
        <w:rPr>
          <w:u w:val="single"/>
        </w:rPr>
        <w:t>capital extranjero fue mayor en las empresas de mayor tamaño</w:t>
      </w:r>
      <w:r>
        <w:t>.</w:t>
      </w:r>
    </w:p>
    <w:p w14:paraId="79C06252" w14:textId="77777777" w:rsidR="00094EAE" w:rsidRPr="00776795" w:rsidRDefault="00094EAE" w:rsidP="00DF0E4D">
      <w:pPr>
        <w:pStyle w:val="Ttulo6"/>
      </w:pPr>
      <w:bookmarkStart w:id="30" w:name="_Toc178015978"/>
      <w:r w:rsidRPr="00776795">
        <w:t>Resultado</w:t>
      </w:r>
      <w:bookmarkEnd w:id="30"/>
    </w:p>
    <w:p w14:paraId="73A4ED53" w14:textId="0D9BA704" w:rsidR="00094EAE" w:rsidRDefault="00094EAE" w:rsidP="00A45AD6">
      <w:pPr>
        <w:pStyle w:val="Nivel2SM"/>
        <w:keepNext/>
        <w:spacing w:after="0"/>
      </w:pPr>
      <w:r>
        <w:t xml:space="preserve">La mayor liberalización de los intercambios exteriores tendrá </w:t>
      </w:r>
      <w:r w:rsidRPr="00DF0E4D">
        <w:rPr>
          <w:b/>
          <w:bCs/>
        </w:rPr>
        <w:t>3</w:t>
      </w:r>
      <w:r w:rsidR="00DF0E4D" w:rsidRPr="00DF0E4D">
        <w:rPr>
          <w:b/>
          <w:bCs/>
        </w:rPr>
        <w:t> </w:t>
      </w:r>
      <w:r w:rsidRPr="00DF0E4D">
        <w:rPr>
          <w:b/>
          <w:bCs/>
        </w:rPr>
        <w:t>efectos relevantes</w:t>
      </w:r>
      <w:r>
        <w:t>:</w:t>
      </w:r>
    </w:p>
    <w:p w14:paraId="19FF75F2" w14:textId="365EE0CB" w:rsidR="00094EAE" w:rsidRDefault="00094EAE" w:rsidP="00DF0E4D">
      <w:pPr>
        <w:pStyle w:val="Nivel3SM"/>
      </w:pPr>
      <w:r w:rsidRPr="00BE63F6">
        <w:rPr>
          <w:i/>
          <w:iCs/>
          <w:u w:val="single"/>
        </w:rPr>
        <w:t>Multilateralismo</w:t>
      </w:r>
      <w:r w:rsidR="00DF0E4D">
        <w:t xml:space="preserve">: </w:t>
      </w:r>
      <w:r>
        <w:t>Sustitución del bilateralismo por el multilateralismo.</w:t>
      </w:r>
    </w:p>
    <w:p w14:paraId="1251DA29" w14:textId="64024C11" w:rsidR="00094EAE" w:rsidRDefault="00094EAE" w:rsidP="00DF0E4D">
      <w:pPr>
        <w:pStyle w:val="Nivel3SM"/>
      </w:pPr>
      <w:r w:rsidRPr="00BE63F6">
        <w:rPr>
          <w:i/>
          <w:iCs/>
          <w:u w:val="single"/>
        </w:rPr>
        <w:t>Tasa de apertur</w:t>
      </w:r>
      <w:r w:rsidR="00DF0E4D" w:rsidRPr="00BE63F6">
        <w:rPr>
          <w:i/>
          <w:iCs/>
          <w:u w:val="single"/>
        </w:rPr>
        <w:t>a</w:t>
      </w:r>
      <w:r w:rsidR="00DF0E4D" w:rsidRPr="00DF0E4D">
        <w:t xml:space="preserve">: </w:t>
      </w:r>
      <w:r>
        <w:t>La tasa de apertura de la economía española crece en este período, pasando del 14</w:t>
      </w:r>
      <w:r w:rsidR="004978BF">
        <w:t> %</w:t>
      </w:r>
      <w:r>
        <w:t xml:space="preserve"> en 1961 al 25</w:t>
      </w:r>
      <w:r w:rsidR="004978BF">
        <w:t> %</w:t>
      </w:r>
      <w:r>
        <w:t xml:space="preserve"> en 1975 (cifra, sin embargo, aún muy inferior a la de otros países europeos –como el 37</w:t>
      </w:r>
      <w:r w:rsidR="004978BF">
        <w:t> %</w:t>
      </w:r>
      <w:r>
        <w:t xml:space="preserve"> de Italia o el 50</w:t>
      </w:r>
      <w:r w:rsidR="004978BF">
        <w:t> %</w:t>
      </w:r>
      <w:r>
        <w:t xml:space="preserve"> de Francia y Reino Unido–).</w:t>
      </w:r>
    </w:p>
    <w:p w14:paraId="76934319" w14:textId="77777777" w:rsidR="00CD720B" w:rsidRDefault="00BE63F6" w:rsidP="00A45AD6">
      <w:pPr>
        <w:pStyle w:val="Nivel3SM"/>
        <w:keepNext/>
      </w:pPr>
      <w:r>
        <w:rPr>
          <w:i/>
          <w:iCs/>
          <w:u w:val="single"/>
        </w:rPr>
        <w:t>D</w:t>
      </w:r>
      <w:r w:rsidR="00094EAE" w:rsidRPr="00BE63F6">
        <w:rPr>
          <w:i/>
          <w:iCs/>
          <w:u w:val="single"/>
        </w:rPr>
        <w:t>éficit comercial</w:t>
      </w:r>
      <w:r w:rsidR="00DF0E4D">
        <w:t xml:space="preserve">: </w:t>
      </w:r>
      <w:r w:rsidR="00094EAE">
        <w:t>También se amplía, pasando del 3</w:t>
      </w:r>
      <w:r w:rsidR="004978BF">
        <w:t> %</w:t>
      </w:r>
      <w:r w:rsidR="00094EAE">
        <w:t xml:space="preserve"> en 1961 al 8</w:t>
      </w:r>
      <w:r w:rsidR="004978BF">
        <w:t> %</w:t>
      </w:r>
      <w:r w:rsidR="00094EAE">
        <w:t xml:space="preserve"> en 1975.</w:t>
      </w:r>
      <w:r w:rsidR="00DF0E4D">
        <w:t xml:space="preserve"> </w:t>
      </w:r>
      <w:r w:rsidR="00094EAE">
        <w:t>Esto se debió en gran parte a que los sectores industriales en los que se sustentó en mayor medida el crecimiento de los años</w:t>
      </w:r>
      <w:r w:rsidR="00A45AD6">
        <w:t> </w:t>
      </w:r>
      <w:r w:rsidR="00094EAE">
        <w:t>60 (química, metalurgia, y material de transporte) eran actividades con una propensión importadora muy superior a la media, mientras que las actividades de mayor vocación exportadora crecieron a menor ritmo.</w:t>
      </w:r>
    </w:p>
    <w:p w14:paraId="4E0FC312" w14:textId="77F7C025" w:rsidR="00094EAE" w:rsidRDefault="00094EAE" w:rsidP="00CD720B">
      <w:pPr>
        <w:pStyle w:val="Nivel4"/>
        <w:keepNext/>
        <w:ind w:left="1474"/>
      </w:pPr>
      <w:r>
        <w:t>Sin embargo, este déficit comercial no era en exceso preocupante, por 2</w:t>
      </w:r>
      <w:r w:rsidR="00DF0E4D">
        <w:t> </w:t>
      </w:r>
      <w:r>
        <w:t>razones:</w:t>
      </w:r>
    </w:p>
    <w:p w14:paraId="4DBB55E4" w14:textId="2CA2837C" w:rsidR="00094EAE" w:rsidRDefault="00094EAE" w:rsidP="00CD720B">
      <w:pPr>
        <w:pStyle w:val="Nivel5"/>
        <w:ind w:left="1871"/>
      </w:pPr>
      <w:r>
        <w:t xml:space="preserve">La cuenta corriente registró durante muchos años de este período un saldo superavitario gracias a los saldos positivos de la balanza de servicios (impulsada por el turismo) y las transferencias (por las remesas de los </w:t>
      </w:r>
      <w:r w:rsidR="00EB68E4">
        <w:t>e</w:t>
      </w:r>
      <w:r>
        <w:t>migrantes).</w:t>
      </w:r>
    </w:p>
    <w:p w14:paraId="26DAE931" w14:textId="77777777" w:rsidR="00094EAE" w:rsidRDefault="00094EAE" w:rsidP="00CD720B">
      <w:pPr>
        <w:pStyle w:val="Nivel5"/>
        <w:ind w:left="1871"/>
      </w:pPr>
      <w:r>
        <w:t>La financiación exterior era principalmente vía inversión directa extranjera, que es más estable y permite una mayor difusión tecnológica.</w:t>
      </w:r>
    </w:p>
    <w:p w14:paraId="63C48FFF" w14:textId="146C0F7D" w:rsidR="00FC073B" w:rsidRDefault="004978BF" w:rsidP="00ED5819">
      <w:pPr>
        <w:pStyle w:val="Ttulo2"/>
      </w:pPr>
      <w:bookmarkStart w:id="31" w:name="_Toc178015979"/>
      <w:r>
        <w:t xml:space="preserve">Evolución </w:t>
      </w:r>
      <w:r w:rsidR="00EE03BC">
        <w:t>en el período</w:t>
      </w:r>
      <w:r>
        <w:t xml:space="preserve"> 1973</w:t>
      </w:r>
      <w:r w:rsidR="001A6781">
        <w:t>-</w:t>
      </w:r>
      <w:r>
        <w:t>1986</w:t>
      </w:r>
      <w:bookmarkEnd w:id="31"/>
    </w:p>
    <w:p w14:paraId="66AC70EA" w14:textId="7BEE36E3" w:rsidR="00FC073B" w:rsidRPr="004978BF" w:rsidRDefault="00FC073B" w:rsidP="001926B7">
      <w:pPr>
        <w:pStyle w:val="Ttulo3"/>
        <w:spacing w:before="0"/>
      </w:pPr>
      <w:bookmarkStart w:id="32" w:name="_Toc178015980"/>
      <w:r w:rsidRPr="00FC073B">
        <w:t>Introducción</w:t>
      </w:r>
      <w:bookmarkEnd w:id="32"/>
    </w:p>
    <w:p w14:paraId="0074AD35" w14:textId="2E0DE031" w:rsidR="00094EAE" w:rsidRDefault="00094EAE" w:rsidP="00AB67FB">
      <w:pPr>
        <w:pStyle w:val="Nivel2SM"/>
        <w:keepNext/>
        <w:spacing w:after="0"/>
      </w:pPr>
      <w:r>
        <w:t xml:space="preserve">Durante este período, los </w:t>
      </w:r>
      <w:r w:rsidRPr="00953E1B">
        <w:rPr>
          <w:b/>
          <w:bCs/>
        </w:rPr>
        <w:t>2</w:t>
      </w:r>
      <w:r w:rsidR="00DF0E4D" w:rsidRPr="00953E1B">
        <w:rPr>
          <w:b/>
          <w:bCs/>
        </w:rPr>
        <w:t> </w:t>
      </w:r>
      <w:r w:rsidRPr="00953E1B">
        <w:rPr>
          <w:b/>
          <w:bCs/>
        </w:rPr>
        <w:t>acontecimientos</w:t>
      </w:r>
      <w:r>
        <w:t xml:space="preserve"> más importantes fueron:</w:t>
      </w:r>
    </w:p>
    <w:p w14:paraId="15FEAD78" w14:textId="2E4E2C37" w:rsidR="00094EAE" w:rsidRDefault="00CD720B" w:rsidP="00A45AD6">
      <w:pPr>
        <w:pStyle w:val="Nivel3SM"/>
      </w:pPr>
      <w:r>
        <w:rPr>
          <w:i/>
          <w:iCs/>
          <w:u w:val="single"/>
        </w:rPr>
        <w:t>C</w:t>
      </w:r>
      <w:r w:rsidR="00094EAE" w:rsidRPr="00A45AD6">
        <w:rPr>
          <w:i/>
          <w:iCs/>
          <w:u w:val="single"/>
        </w:rPr>
        <w:t>risis del petróleo</w:t>
      </w:r>
      <w:r w:rsidR="00094EAE">
        <w:t xml:space="preserve">: </w:t>
      </w:r>
      <w:r w:rsidR="00FC073B">
        <w:t>E</w:t>
      </w:r>
      <w:r w:rsidR="00094EAE">
        <w:t>ntre 1973 y 1974, los precios del petróleo se multiplicaron por 4, y en 1979 se multiplicaron por 3.</w:t>
      </w:r>
    </w:p>
    <w:p w14:paraId="631B6269" w14:textId="201106CA" w:rsidR="00094EAE" w:rsidRDefault="00FC073B" w:rsidP="00A45AD6">
      <w:pPr>
        <w:pStyle w:val="Nivel3SM"/>
      </w:pPr>
      <w:r w:rsidRPr="00A45AD6">
        <w:rPr>
          <w:i/>
          <w:iCs/>
          <w:u w:val="single"/>
        </w:rPr>
        <w:t>Acuerdo Preferencial</w:t>
      </w:r>
      <w:r>
        <w:t>:</w:t>
      </w:r>
      <w:r w:rsidR="00DF0E4D">
        <w:t xml:space="preserve"> </w:t>
      </w:r>
      <w:r w:rsidR="00094EAE">
        <w:t>Plena aplicación de los compromisos derivados del Acuerdo Preferencial con la CEE.</w:t>
      </w:r>
    </w:p>
    <w:p w14:paraId="58E00478" w14:textId="5F8EBC40" w:rsidR="00FC073B" w:rsidRDefault="00FC073B" w:rsidP="00FC073B">
      <w:pPr>
        <w:pStyle w:val="Ttulo3"/>
      </w:pPr>
      <w:bookmarkStart w:id="33" w:name="_Toc178015981"/>
      <w:r w:rsidRPr="00FC073B">
        <w:t>Resultados</w:t>
      </w:r>
      <w:bookmarkEnd w:id="33"/>
    </w:p>
    <w:p w14:paraId="2F0B2167" w14:textId="75C84C45" w:rsidR="00FF7522" w:rsidRDefault="00FF7522" w:rsidP="00DF0E4D">
      <w:pPr>
        <w:pStyle w:val="Nivel2SM"/>
      </w:pPr>
      <w:r w:rsidRPr="00CA7A16">
        <w:rPr>
          <w:i/>
          <w:iCs/>
          <w:u w:val="single"/>
        </w:rPr>
        <w:t>Fuerte aumento del grado de apertura</w:t>
      </w:r>
      <w:r>
        <w:t>: del 25</w:t>
      </w:r>
      <w:r w:rsidR="004978BF">
        <w:t> %</w:t>
      </w:r>
      <w:r>
        <w:t xml:space="preserve"> al 40</w:t>
      </w:r>
      <w:r w:rsidR="004978BF">
        <w:t> %</w:t>
      </w:r>
      <w:r>
        <w:t>.</w:t>
      </w:r>
    </w:p>
    <w:p w14:paraId="6D220596" w14:textId="423FEB4B" w:rsidR="00FF7522" w:rsidRPr="00FF7522" w:rsidRDefault="00FF7522" w:rsidP="00A45AD6">
      <w:pPr>
        <w:pStyle w:val="Nivel2SM"/>
        <w:keepNext/>
        <w:spacing w:after="0"/>
        <w:rPr>
          <w:u w:val="single"/>
        </w:rPr>
      </w:pPr>
      <w:r w:rsidRPr="00DF0E4D">
        <w:rPr>
          <w:i/>
          <w:iCs/>
          <w:u w:val="single"/>
        </w:rPr>
        <w:t>Cuenta corriente</w:t>
      </w:r>
      <w:r w:rsidR="00DF0E4D" w:rsidRPr="00DF0E4D">
        <w:t>:</w:t>
      </w:r>
    </w:p>
    <w:p w14:paraId="414077FF" w14:textId="78E23E6A" w:rsidR="00FF7522" w:rsidRDefault="00FF7522" w:rsidP="00A45AD6">
      <w:pPr>
        <w:pStyle w:val="Nivel3SM"/>
      </w:pPr>
      <w:r w:rsidRPr="00A45AD6">
        <w:rPr>
          <w:i/>
          <w:iCs/>
        </w:rPr>
        <w:t>Balanza comercial</w:t>
      </w:r>
      <w:r w:rsidR="00CD6C6D">
        <w:t>:</w:t>
      </w:r>
      <w:r>
        <w:t xml:space="preserve"> Fuerte déficit comercial debido al aumento del precio de la energía.</w:t>
      </w:r>
    </w:p>
    <w:p w14:paraId="2FA9604B" w14:textId="702250BA" w:rsidR="00FF7522" w:rsidRDefault="00FF7522" w:rsidP="00A45AD6">
      <w:pPr>
        <w:pStyle w:val="Nivel3SM"/>
      </w:pPr>
      <w:r w:rsidRPr="00A45AD6">
        <w:rPr>
          <w:i/>
          <w:iCs/>
        </w:rPr>
        <w:t>Balanza de servicios</w:t>
      </w:r>
      <w:r w:rsidR="00CD6C6D">
        <w:t>:</w:t>
      </w:r>
      <w:r>
        <w:t xml:space="preserve"> Superávit.</w:t>
      </w:r>
      <w:r w:rsidR="00FC073B">
        <w:t xml:space="preserve"> Impulsado en gran parte por el sector del turismo que a pesar de la crisis mantenía importes elevados.</w:t>
      </w:r>
    </w:p>
    <w:p w14:paraId="1B0BDBB7" w14:textId="1A776CBF" w:rsidR="00FC073B" w:rsidRDefault="00FC073B" w:rsidP="00A45AD6">
      <w:pPr>
        <w:pStyle w:val="Nivel3SM"/>
      </w:pPr>
      <w:r w:rsidRPr="00A45AD6">
        <w:rPr>
          <w:i/>
          <w:iCs/>
        </w:rPr>
        <w:t>Balanza de rentas primarias</w:t>
      </w:r>
      <w:r w:rsidR="00CD6C6D">
        <w:t>:</w:t>
      </w:r>
      <w:r>
        <w:t xml:space="preserve"> En este período no existe balanza de rentas, sino que ésta forma parte de la balanza de servicios.</w:t>
      </w:r>
    </w:p>
    <w:p w14:paraId="4FEF5814" w14:textId="21FF0468" w:rsidR="00FC073B" w:rsidRDefault="00FC073B" w:rsidP="00A45AD6">
      <w:pPr>
        <w:pStyle w:val="Nivel3SM"/>
      </w:pPr>
      <w:r w:rsidRPr="00A45AD6">
        <w:rPr>
          <w:i/>
          <w:iCs/>
        </w:rPr>
        <w:t>Balanza de rentas secundarias</w:t>
      </w:r>
      <w:r w:rsidR="00CD6C6D">
        <w:t>:</w:t>
      </w:r>
      <w:r>
        <w:t xml:space="preserve"> Superávit debido a las remesas de los emigrantes españoles.</w:t>
      </w:r>
    </w:p>
    <w:p w14:paraId="6BDB08B9" w14:textId="00D35D03" w:rsidR="00FF7522" w:rsidRDefault="00FF7522" w:rsidP="00581251">
      <w:pPr>
        <w:pStyle w:val="Nivel2SM"/>
        <w:keepNext/>
        <w:spacing w:after="0"/>
      </w:pPr>
      <w:r w:rsidRPr="00581251">
        <w:rPr>
          <w:i/>
          <w:iCs/>
          <w:u w:val="single"/>
        </w:rPr>
        <w:lastRenderedPageBreak/>
        <w:t>Cuenta financiera</w:t>
      </w:r>
      <w:r w:rsidR="00A45AD6">
        <w:t>:</w:t>
      </w:r>
    </w:p>
    <w:p w14:paraId="5FF72E33" w14:textId="4EB70B27" w:rsidR="00FC073B" w:rsidRDefault="00FC073B" w:rsidP="00A45AD6">
      <w:pPr>
        <w:pStyle w:val="Nivel3SM"/>
      </w:pPr>
      <w:r w:rsidRPr="00A45AD6">
        <w:rPr>
          <w:i/>
          <w:iCs/>
        </w:rPr>
        <w:t>Necesidad de financiación</w:t>
      </w:r>
      <w:r>
        <w:t>:</w:t>
      </w:r>
      <w:r w:rsidR="00A45AD6">
        <w:t xml:space="preserve"> </w:t>
      </w:r>
      <w:r w:rsidR="00FF7522">
        <w:t xml:space="preserve">Durante todo este período (con excepción de 1978), la economía presenta necesidad de financiación. </w:t>
      </w:r>
    </w:p>
    <w:p w14:paraId="2480695D" w14:textId="5E26568B" w:rsidR="00FF7522" w:rsidRDefault="00FC073B" w:rsidP="00A45AD6">
      <w:pPr>
        <w:pStyle w:val="Nivel3SM"/>
      </w:pPr>
      <w:r w:rsidRPr="00A45AD6">
        <w:rPr>
          <w:i/>
          <w:iCs/>
        </w:rPr>
        <w:t>Financiación</w:t>
      </w:r>
      <w:r w:rsidR="00A45AD6">
        <w:t xml:space="preserve">: </w:t>
      </w:r>
      <w:r w:rsidR="00FF7522">
        <w:t xml:space="preserve">Esta necesidad de financiación se financia en gran medida a través de </w:t>
      </w:r>
      <w:r w:rsidR="00FF7522" w:rsidRPr="00A45AD6">
        <w:rPr>
          <w:b/>
        </w:rPr>
        <w:t>inversión directa extranjera en España</w:t>
      </w:r>
      <w:r w:rsidR="00FF7522">
        <w:t xml:space="preserve"> concretada sobre todo en inversiones </w:t>
      </w:r>
      <w:r w:rsidR="00FF7522" w:rsidRPr="00A45AD6">
        <w:rPr>
          <w:b/>
        </w:rPr>
        <w:t>industriales e inmobiliarias</w:t>
      </w:r>
      <w:r w:rsidR="00FF7522">
        <w:t>, estando estas últimas muy ligadas al sector turístico.</w:t>
      </w:r>
    </w:p>
    <w:p w14:paraId="3ABFA54A" w14:textId="7752F98D" w:rsidR="00FF7522" w:rsidRDefault="00FF7522" w:rsidP="00A45AD6">
      <w:pPr>
        <w:pStyle w:val="Nivel2SM"/>
        <w:keepNext/>
        <w:spacing w:after="0"/>
      </w:pPr>
      <w:r w:rsidRPr="00A45AD6">
        <w:rPr>
          <w:i/>
          <w:iCs/>
          <w:u w:val="single"/>
        </w:rPr>
        <w:t>Análisis por sub-sectores</w:t>
      </w:r>
      <w:r>
        <w:t>.</w:t>
      </w:r>
    </w:p>
    <w:p w14:paraId="38234F1F" w14:textId="68D6BC34" w:rsidR="00FC073B" w:rsidRDefault="00FC073B" w:rsidP="00A45AD6">
      <w:pPr>
        <w:pStyle w:val="Nivel3SM"/>
      </w:pPr>
      <w:r w:rsidRPr="00A45AD6">
        <w:rPr>
          <w:i/>
          <w:iCs/>
        </w:rPr>
        <w:t>Familias</w:t>
      </w:r>
      <w:r>
        <w:t>: Capacidad de financiación</w:t>
      </w:r>
    </w:p>
    <w:p w14:paraId="1F57A0DC" w14:textId="5D4031FA" w:rsidR="00FF7522" w:rsidRDefault="00FC073B" w:rsidP="00A45AD6">
      <w:pPr>
        <w:pStyle w:val="Nivel3SM"/>
      </w:pPr>
      <w:r w:rsidRPr="00A45AD6">
        <w:rPr>
          <w:i/>
          <w:iCs/>
        </w:rPr>
        <w:t>AAPP y empresas</w:t>
      </w:r>
      <w:r>
        <w:t>:</w:t>
      </w:r>
      <w:r w:rsidR="007A2E52">
        <w:t xml:space="preserve"> </w:t>
      </w:r>
      <w:r>
        <w:t>Necesidad de financiación.</w:t>
      </w:r>
    </w:p>
    <w:p w14:paraId="73742683" w14:textId="237934E0" w:rsidR="00FC073B" w:rsidRPr="00FC073B" w:rsidRDefault="004978BF" w:rsidP="004978BF">
      <w:pPr>
        <w:pStyle w:val="Ttulo2"/>
      </w:pPr>
      <w:bookmarkStart w:id="34" w:name="_Toc178015982"/>
      <w:r>
        <w:t xml:space="preserve">Evolución </w:t>
      </w:r>
      <w:r w:rsidR="00EE03BC">
        <w:t>en el período</w:t>
      </w:r>
      <w:r>
        <w:t xml:space="preserve"> 1986</w:t>
      </w:r>
      <w:r w:rsidR="001A6781">
        <w:t>-</w:t>
      </w:r>
      <w:r>
        <w:t>2008</w:t>
      </w:r>
      <w:bookmarkEnd w:id="34"/>
    </w:p>
    <w:p w14:paraId="1B4F40C0" w14:textId="3DDA972F" w:rsidR="00FC073B" w:rsidRPr="004978BF" w:rsidRDefault="003B2545" w:rsidP="00CD499C">
      <w:pPr>
        <w:pStyle w:val="Ttulo3"/>
        <w:numPr>
          <w:ilvl w:val="2"/>
          <w:numId w:val="53"/>
        </w:numPr>
        <w:spacing w:before="0"/>
      </w:pPr>
      <w:bookmarkStart w:id="35" w:name="_Toc178015983"/>
      <w:r>
        <w:t>Introducción</w:t>
      </w:r>
      <w:bookmarkEnd w:id="35"/>
    </w:p>
    <w:p w14:paraId="4A73B3AE" w14:textId="56DC38DA" w:rsidR="003B2545" w:rsidRDefault="003B2545" w:rsidP="00F926CA">
      <w:pPr>
        <w:pStyle w:val="Nivel2SM"/>
        <w:spacing w:after="0"/>
      </w:pPr>
      <w:r>
        <w:t xml:space="preserve">A lo largo de estos años se dieron los siguientes </w:t>
      </w:r>
      <w:r w:rsidRPr="00CA7A16">
        <w:rPr>
          <w:b/>
          <w:bCs/>
        </w:rPr>
        <w:t>acontecimientos</w:t>
      </w:r>
      <w:r>
        <w:t>:</w:t>
      </w:r>
    </w:p>
    <w:p w14:paraId="2E5C3181" w14:textId="1F3B0388" w:rsidR="003B2545" w:rsidRDefault="003B2545" w:rsidP="00CA7A16">
      <w:pPr>
        <w:pStyle w:val="Nivel3SM"/>
        <w:keepNext/>
      </w:pPr>
      <w:r w:rsidRPr="00CA7A16">
        <w:rPr>
          <w:i/>
          <w:iCs/>
          <w:u w:val="single"/>
        </w:rPr>
        <w:t>Adhesión de España a la CEE</w:t>
      </w:r>
      <w:r>
        <w:t>: La entrada en la CEE ha llevado a la</w:t>
      </w:r>
      <w:r w:rsidR="001F716E">
        <w:t xml:space="preserve"> </w:t>
      </w:r>
      <w:r>
        <w:t xml:space="preserve">implementación de múltiples </w:t>
      </w:r>
      <w:r w:rsidRPr="001249A5">
        <w:rPr>
          <w:i/>
          <w:iCs/>
        </w:rPr>
        <w:t>reformas económicas</w:t>
      </w:r>
      <w:r>
        <w:t xml:space="preserve"> afectando muchas de ellas a la </w:t>
      </w:r>
      <w:r w:rsidR="001249A5">
        <w:t>balanza de pagos</w:t>
      </w:r>
      <w:r>
        <w:t xml:space="preserve"> tanto directamente como indirectamente. Por ejemplo: </w:t>
      </w:r>
    </w:p>
    <w:p w14:paraId="21E3FABB" w14:textId="77777777" w:rsidR="00FF7522" w:rsidRDefault="003B2545" w:rsidP="00CA7A16">
      <w:pPr>
        <w:pStyle w:val="Nivel4"/>
        <w:ind w:left="1474"/>
      </w:pPr>
      <w:r>
        <w:t>A</w:t>
      </w:r>
      <w:r w:rsidR="00FF7522">
        <w:t>l adoptar España la Política Comercial Común.</w:t>
      </w:r>
    </w:p>
    <w:p w14:paraId="42169BBE" w14:textId="77777777" w:rsidR="00FF7522" w:rsidRDefault="00FF7522" w:rsidP="00CA7A16">
      <w:pPr>
        <w:pStyle w:val="Nivel4"/>
        <w:ind w:left="1474"/>
      </w:pPr>
      <w:r>
        <w:t>Supresión de las cuotas de importación y de las “medidas de efecto equivalente”.</w:t>
      </w:r>
    </w:p>
    <w:p w14:paraId="7861B09F" w14:textId="5B32B153" w:rsidR="00FF7522" w:rsidRDefault="00FF7522" w:rsidP="00CA7A16">
      <w:pPr>
        <w:pStyle w:val="Nivel4"/>
        <w:ind w:left="1474"/>
      </w:pPr>
      <w:r>
        <w:t>Supresión de los aranceles entre Estados miembros (período transitorio de 7</w:t>
      </w:r>
      <w:r w:rsidR="003A7932">
        <w:t> </w:t>
      </w:r>
      <w:r>
        <w:t>años, con excepciones).</w:t>
      </w:r>
    </w:p>
    <w:p w14:paraId="56C1B37B" w14:textId="77777777" w:rsidR="00FF7522" w:rsidRDefault="00FF7522" w:rsidP="00CA7A16">
      <w:pPr>
        <w:pStyle w:val="Nivel4"/>
        <w:ind w:left="1474"/>
      </w:pPr>
      <w:r>
        <w:t>Adopción del arancel aduanero común.</w:t>
      </w:r>
    </w:p>
    <w:p w14:paraId="32E568C2" w14:textId="772E871B" w:rsidR="00CA7A16" w:rsidRDefault="00624ABE" w:rsidP="00CA7A16">
      <w:pPr>
        <w:pStyle w:val="Nivel3SM"/>
      </w:pPr>
      <w:r>
        <w:rPr>
          <w:i/>
          <w:iCs/>
          <w:u w:val="single"/>
        </w:rPr>
        <w:t xml:space="preserve">GATT y </w:t>
      </w:r>
      <w:r w:rsidR="00CA7A16" w:rsidRPr="00CA7A16">
        <w:rPr>
          <w:i/>
          <w:iCs/>
          <w:u w:val="single"/>
        </w:rPr>
        <w:t>OMC</w:t>
      </w:r>
      <w:r w:rsidR="00CA7A16">
        <w:t>: A su vez la pertenencia de España al</w:t>
      </w:r>
      <w:r>
        <w:t xml:space="preserve"> GATT (y desde su creación en 1995</w:t>
      </w:r>
      <w:r w:rsidR="00CA7A16">
        <w:t xml:space="preserve"> </w:t>
      </w:r>
      <w:r>
        <w:t xml:space="preserve">a la </w:t>
      </w:r>
      <w:r w:rsidR="00CA7A16">
        <w:t>OMC</w:t>
      </w:r>
      <w:r>
        <w:t>)</w:t>
      </w:r>
      <w:r w:rsidR="00CA7A16">
        <w:t xml:space="preserve"> llevó a una mayor liberalización del comercio internacional.</w:t>
      </w:r>
    </w:p>
    <w:p w14:paraId="071C258C" w14:textId="77777777" w:rsidR="00CA7A16" w:rsidRDefault="00CA7A16" w:rsidP="00CA7A16">
      <w:pPr>
        <w:pStyle w:val="Nivel3SM"/>
      </w:pPr>
      <w:r w:rsidRPr="00CA7A16">
        <w:rPr>
          <w:i/>
          <w:iCs/>
          <w:u w:val="single"/>
        </w:rPr>
        <w:t>Flujos migratorios</w:t>
      </w:r>
      <w:r w:rsidRPr="00CA7A16">
        <w:t>:</w:t>
      </w:r>
      <w:r>
        <w:t xml:space="preserve"> La fase expansiva que se desarrolla desde finales de los 90 y cubre gran parte de la primera década del siglo XXI da lugar a un cambio en los flujos migratorios, que provocan la aparición de grandes flujos netos de inmigración.</w:t>
      </w:r>
    </w:p>
    <w:p w14:paraId="456DA4BB" w14:textId="17E6FA19" w:rsidR="003B2545" w:rsidRPr="00CA7A16" w:rsidRDefault="003B2545" w:rsidP="00CA7A16">
      <w:pPr>
        <w:pStyle w:val="Nivel3SM"/>
        <w:rPr>
          <w:u w:val="single"/>
        </w:rPr>
      </w:pPr>
      <w:r w:rsidRPr="00CA7A16">
        <w:rPr>
          <w:i/>
          <w:iCs/>
          <w:u w:val="single"/>
        </w:rPr>
        <w:t>Adhesión a la UEM</w:t>
      </w:r>
      <w:r w:rsidR="003A7932" w:rsidRPr="003A7932">
        <w:t>:</w:t>
      </w:r>
      <w:r w:rsidR="00CA7A16">
        <w:t xml:space="preserve"> </w:t>
      </w:r>
      <w:r>
        <w:t xml:space="preserve">La implementación de una </w:t>
      </w:r>
      <w:r w:rsidR="003A7932">
        <w:t>política monetaria</w:t>
      </w:r>
      <w:r>
        <w:t xml:space="preserve"> única llevó a una importante situación de asincronía de ciclos siendo la </w:t>
      </w:r>
      <w:r w:rsidR="003A7932">
        <w:t>política monetaria</w:t>
      </w:r>
      <w:r>
        <w:t xml:space="preserve"> procíclica para España y provocando elevados niveles inflación.</w:t>
      </w:r>
    </w:p>
    <w:p w14:paraId="7347248F" w14:textId="77777777" w:rsidR="00AA6326" w:rsidRPr="000D7BCF" w:rsidRDefault="00AA6326" w:rsidP="00AA6326">
      <w:pPr>
        <w:pStyle w:val="Ttulo6"/>
      </w:pPr>
      <w:bookmarkStart w:id="36" w:name="_Toc178015984"/>
      <w:r w:rsidRPr="000D7BCF">
        <w:t>Grado de apertura</w:t>
      </w:r>
      <w:bookmarkEnd w:id="36"/>
    </w:p>
    <w:p w14:paraId="0B5264DC" w14:textId="77777777" w:rsidR="00AA6326" w:rsidRPr="000D7BCF" w:rsidRDefault="00AA6326" w:rsidP="00AA6326">
      <w:pPr>
        <w:pStyle w:val="Nivel2SM"/>
        <w:keepNext/>
        <w:spacing w:after="0"/>
      </w:pPr>
      <w:r w:rsidRPr="000D7BCF">
        <w:t>El grado de apertura aumentó significativamente entre 1986 y 2007</w:t>
      </w:r>
      <w:r>
        <w:t xml:space="preserve"> (</w:t>
      </w:r>
      <w:r w:rsidRPr="003B2545">
        <w:rPr>
          <w:b/>
        </w:rPr>
        <w:t>del 40</w:t>
      </w:r>
      <w:r>
        <w:rPr>
          <w:b/>
        </w:rPr>
        <w:t> %</w:t>
      </w:r>
      <w:r w:rsidRPr="003B2545">
        <w:rPr>
          <w:b/>
        </w:rPr>
        <w:t xml:space="preserve"> al 60</w:t>
      </w:r>
      <w:r>
        <w:rPr>
          <w:b/>
        </w:rPr>
        <w:t> %</w:t>
      </w:r>
      <w:r>
        <w:t xml:space="preserve">). </w:t>
      </w:r>
      <w:r w:rsidRPr="000D7BCF">
        <w:t>No obstante:</w:t>
      </w:r>
    </w:p>
    <w:p w14:paraId="72F3F667" w14:textId="77777777" w:rsidR="00AA6326" w:rsidRPr="00F261D5" w:rsidRDefault="00AA6326" w:rsidP="00AA6326">
      <w:pPr>
        <w:pStyle w:val="Nivel3SM"/>
      </w:pPr>
      <w:r w:rsidRPr="00F261D5">
        <w:rPr>
          <w:i/>
          <w:iCs/>
          <w:u w:val="single"/>
        </w:rPr>
        <w:t>Este aumento no se produjo de forma homogénea en el tiempo</w:t>
      </w:r>
      <w:r w:rsidRPr="000D7BCF">
        <w:t>,</w:t>
      </w:r>
      <w:r w:rsidRPr="00F261D5">
        <w:t xml:space="preserve"> pues se mantuvo relativamente estable hasta 1993, y aumentó bruscamente en los 6</w:t>
      </w:r>
      <w:r>
        <w:t> </w:t>
      </w:r>
      <w:r w:rsidRPr="00F261D5">
        <w:t>años siguientes.</w:t>
      </w:r>
    </w:p>
    <w:p w14:paraId="1440CD40" w14:textId="77777777" w:rsidR="00AA6326" w:rsidRPr="000D7BCF" w:rsidRDefault="00AA6326" w:rsidP="00AA6326">
      <w:pPr>
        <w:pStyle w:val="Nivel3SM"/>
      </w:pPr>
      <w:r w:rsidRPr="000D7BCF">
        <w:t xml:space="preserve">El aumento tampoco se debió por igual a la evolución de exportaciones e importaciones, sino que </w:t>
      </w:r>
      <w:r w:rsidRPr="00F261D5">
        <w:rPr>
          <w:i/>
          <w:iCs/>
          <w:u w:val="single"/>
        </w:rPr>
        <w:t>se explicó fundamentalmente por el crecimiento de las importaciones</w:t>
      </w:r>
      <w:r w:rsidRPr="000D7BCF">
        <w:t>.</w:t>
      </w:r>
    </w:p>
    <w:p w14:paraId="150EBF3C" w14:textId="77777777" w:rsidR="00AA6326" w:rsidRPr="007841F2" w:rsidRDefault="00AA6326" w:rsidP="00AA6326">
      <w:pPr>
        <w:pStyle w:val="Nivel3SM"/>
        <w:rPr>
          <w:highlight w:val="yellow"/>
        </w:rPr>
      </w:pPr>
      <w:r w:rsidRPr="007841F2">
        <w:rPr>
          <w:highlight w:val="yellow"/>
        </w:rPr>
        <w:t xml:space="preserve">Pese a su crecimiento, la ratio de apertura siguió estando </w:t>
      </w:r>
      <w:r w:rsidRPr="00F261D5">
        <w:rPr>
          <w:i/>
          <w:iCs/>
          <w:highlight w:val="yellow"/>
          <w:u w:val="single"/>
        </w:rPr>
        <w:t>por debajo de la de países comparables</w:t>
      </w:r>
      <w:r>
        <w:rPr>
          <w:highlight w:val="yellow"/>
        </w:rPr>
        <w:t xml:space="preserve"> </w:t>
      </w:r>
      <w:r w:rsidRPr="007841F2">
        <w:rPr>
          <w:highlight w:val="yellow"/>
        </w:rPr>
        <w:t>de nuestro entorno como Reino Unido, Alemania o Francia.</w:t>
      </w:r>
    </w:p>
    <w:p w14:paraId="5E2BE438" w14:textId="77777777" w:rsidR="00AA6326" w:rsidRPr="007A2E52" w:rsidRDefault="00AA6326" w:rsidP="00AA6326">
      <w:pPr>
        <w:pStyle w:val="Ttulo6"/>
      </w:pPr>
      <w:bookmarkStart w:id="37" w:name="_Toc178015985"/>
      <w:r w:rsidRPr="000D7BCF">
        <w:t xml:space="preserve">Comercio </w:t>
      </w:r>
      <w:proofErr w:type="spellStart"/>
      <w:r w:rsidRPr="000D7BCF">
        <w:t>intra-comunitario</w:t>
      </w:r>
      <w:bookmarkEnd w:id="37"/>
      <w:proofErr w:type="spellEnd"/>
    </w:p>
    <w:p w14:paraId="54DF1840" w14:textId="77777777" w:rsidR="00AA6326" w:rsidRPr="000D7BCF" w:rsidRDefault="00AA6326" w:rsidP="00AA6326">
      <w:pPr>
        <w:pStyle w:val="Nivel2SM"/>
      </w:pPr>
      <w:r w:rsidRPr="000D7BCF">
        <w:t xml:space="preserve">El peso relativo del comercio </w:t>
      </w:r>
      <w:proofErr w:type="spellStart"/>
      <w:r w:rsidRPr="000D7BCF">
        <w:t>intra-comunitario</w:t>
      </w:r>
      <w:proofErr w:type="spellEnd"/>
      <w:r w:rsidRPr="000D7BCF">
        <w:t xml:space="preserve"> </w:t>
      </w:r>
      <w:r w:rsidRPr="00097610">
        <w:rPr>
          <w:b/>
        </w:rPr>
        <w:t>aumentó notablemente</w:t>
      </w:r>
      <w:r w:rsidRPr="000D7BCF">
        <w:t xml:space="preserve">, de manera que al final de este período </w:t>
      </w:r>
      <w:r w:rsidRPr="00097610">
        <w:rPr>
          <w:b/>
        </w:rPr>
        <w:t>más del 70</w:t>
      </w:r>
      <w:r>
        <w:rPr>
          <w:b/>
        </w:rPr>
        <w:t> %</w:t>
      </w:r>
      <w:r w:rsidRPr="000D7BCF">
        <w:t xml:space="preserve"> del comercio internacional de España se realiza con países comunitarios (aunque </w:t>
      </w:r>
      <w:r w:rsidRPr="00097610">
        <w:rPr>
          <w:b/>
        </w:rPr>
        <w:t>llegó a alcanzar el 75</w:t>
      </w:r>
      <w:r>
        <w:rPr>
          <w:b/>
        </w:rPr>
        <w:t> %</w:t>
      </w:r>
      <w:r w:rsidRPr="000D7BCF">
        <w:t xml:space="preserve"> a comienzos de los años 2000).</w:t>
      </w:r>
    </w:p>
    <w:p w14:paraId="52A1EFCC" w14:textId="77777777" w:rsidR="000D7BCF" w:rsidRPr="000D7BCF" w:rsidRDefault="000D7BCF" w:rsidP="00F261D5">
      <w:pPr>
        <w:pStyle w:val="Nivel2SM"/>
        <w:rPr>
          <w:b/>
        </w:rPr>
      </w:pPr>
      <w:r>
        <w:t>Vamos a ver los efectos de los anteriores acontecimientos en la balanza de pagos de este período que va desde la Adhesión hasta la crisis económica de 2008.</w:t>
      </w:r>
    </w:p>
    <w:p w14:paraId="1742988B" w14:textId="58281F8A" w:rsidR="00054878" w:rsidRDefault="00910BF6" w:rsidP="00CD499C">
      <w:pPr>
        <w:pStyle w:val="Ttulo3"/>
      </w:pPr>
      <w:bookmarkStart w:id="38" w:name="_Toc178015986"/>
      <w:r>
        <w:lastRenderedPageBreak/>
        <w:t xml:space="preserve">Cuenta </w:t>
      </w:r>
      <w:r w:rsidR="006D222C">
        <w:t>c</w:t>
      </w:r>
      <w:r w:rsidR="000D7BCF" w:rsidRPr="000D7BCF">
        <w:t>orriente</w:t>
      </w:r>
      <w:bookmarkEnd w:id="38"/>
    </w:p>
    <w:p w14:paraId="49FC1650" w14:textId="1BF35767" w:rsidR="000D7BCF" w:rsidRPr="000D7BCF" w:rsidRDefault="000D7BCF" w:rsidP="00F261D5">
      <w:pPr>
        <w:pStyle w:val="Ttulo7"/>
        <w:numPr>
          <w:ilvl w:val="0"/>
          <w:numId w:val="46"/>
        </w:numPr>
        <w:spacing w:before="0"/>
        <w:ind w:left="1135" w:hanging="284"/>
      </w:pPr>
      <w:r w:rsidRPr="000D7BCF">
        <w:t>Balanza comercial</w:t>
      </w:r>
    </w:p>
    <w:p w14:paraId="40B9ECDD" w14:textId="7B4CA842" w:rsidR="000D7BCF" w:rsidRDefault="000D7BCF" w:rsidP="00F926CA">
      <w:pPr>
        <w:pStyle w:val="Nivel2SM"/>
      </w:pPr>
      <w:r w:rsidRPr="000D7BCF">
        <w:t xml:space="preserve">Como ya hemos visto, desde mediados de los </w:t>
      </w:r>
      <w:r w:rsidR="001249A5">
        <w:t>años </w:t>
      </w:r>
      <w:r w:rsidRPr="000D7BCF">
        <w:t xml:space="preserve">60 la economía española registra un </w:t>
      </w:r>
      <w:r w:rsidRPr="00097610">
        <w:rPr>
          <w:b/>
        </w:rPr>
        <w:t>déficit comercial crónico</w:t>
      </w:r>
      <w:r w:rsidRPr="000D7BCF">
        <w:t>.</w:t>
      </w:r>
      <w:r w:rsidR="00097610">
        <w:t xml:space="preserve"> </w:t>
      </w:r>
      <w:r w:rsidRPr="000D7BCF">
        <w:t>La apertura comercial derivada de la incorporación a la CEE, lejos de corregir dicho desequili</w:t>
      </w:r>
      <w:r w:rsidR="00097610">
        <w:t xml:space="preserve">brio, condujo a su agravamiento llegando a registrar </w:t>
      </w:r>
      <w:r w:rsidR="00097610" w:rsidRPr="007841F2">
        <w:rPr>
          <w:b/>
          <w:u w:val="single"/>
        </w:rPr>
        <w:t>déficits comerciales</w:t>
      </w:r>
      <w:r w:rsidR="00097610" w:rsidRPr="007841F2">
        <w:rPr>
          <w:b/>
        </w:rPr>
        <w:t xml:space="preserve"> por encima del 10</w:t>
      </w:r>
      <w:r w:rsidR="004978BF">
        <w:rPr>
          <w:b/>
        </w:rPr>
        <w:t> %</w:t>
      </w:r>
      <w:r w:rsidR="00097610" w:rsidRPr="007841F2">
        <w:rPr>
          <w:b/>
        </w:rPr>
        <w:t xml:space="preserve"> entre 2006 y 2008 (incluidos)</w:t>
      </w:r>
      <w:r w:rsidR="00AA6326">
        <w:rPr>
          <w:rStyle w:val="Refdenotaalpie"/>
        </w:rPr>
        <w:footnoteReference w:id="6"/>
      </w:r>
      <w:r w:rsidR="00097610">
        <w:t>.</w:t>
      </w:r>
    </w:p>
    <w:p w14:paraId="791B26A7" w14:textId="2939DC27" w:rsidR="000D7BCF" w:rsidRDefault="000D7BCF" w:rsidP="00F926CA">
      <w:pPr>
        <w:pStyle w:val="Nivel2SM"/>
        <w:keepNext/>
        <w:spacing w:after="0"/>
      </w:pPr>
      <w:r w:rsidRPr="000D7BCF">
        <w:t xml:space="preserve">Este nivel de déficit comercial estuvo provocado </w:t>
      </w:r>
      <w:r w:rsidR="00165EF2">
        <w:t xml:space="preserve">fundamentalmente por un </w:t>
      </w:r>
      <w:r w:rsidR="00165EF2" w:rsidRPr="00165EF2">
        <w:rPr>
          <w:b/>
          <w:u w:val="single"/>
        </w:rPr>
        <w:t>problema estructural de competitividad</w:t>
      </w:r>
      <w:r w:rsidR="00165EF2">
        <w:t xml:space="preserve"> derivado de una reducida productividad y un fuerte aumento de salarios lo que llevará a un aumento de los </w:t>
      </w:r>
      <w:proofErr w:type="spellStart"/>
      <w:r w:rsidR="00165EF2">
        <w:t>CLUs</w:t>
      </w:r>
      <w:proofErr w:type="spellEnd"/>
      <w:r w:rsidR="00165EF2">
        <w:t xml:space="preserve"> y por ende a un aumento de los precios.</w:t>
      </w:r>
    </w:p>
    <w:p w14:paraId="21A6CF7A" w14:textId="56F00298" w:rsidR="00165EF2" w:rsidRPr="00097610" w:rsidRDefault="00165EF2" w:rsidP="001249A5">
      <w:pPr>
        <w:pStyle w:val="Nivel3SM"/>
        <w:keepNext/>
      </w:pPr>
      <w:r w:rsidRPr="00FC6F6A">
        <w:rPr>
          <w:i/>
          <w:iCs/>
        </w:rPr>
        <w:t>Reducida productividad</w:t>
      </w:r>
      <w:r w:rsidRPr="00097610">
        <w:t xml:space="preserve"> (</w:t>
      </w:r>
      <w:r w:rsidRPr="001249A5">
        <w:rPr>
          <w:smallCaps/>
        </w:rPr>
        <w:t>Rafael Doménech</w:t>
      </w:r>
      <w:r w:rsidRPr="00097610">
        <w:t xml:space="preserve"> y </w:t>
      </w:r>
      <w:r w:rsidRPr="001249A5">
        <w:rPr>
          <w:smallCaps/>
        </w:rPr>
        <w:t>Juan Francisco Jimeno</w:t>
      </w:r>
      <w:r w:rsidRPr="00097610">
        <w:t>)</w:t>
      </w:r>
      <w:r w:rsidR="00213444">
        <w:t>:</w:t>
      </w:r>
    </w:p>
    <w:p w14:paraId="17724A13" w14:textId="36EEA148" w:rsidR="00165EF2" w:rsidRDefault="00165EF2" w:rsidP="001249A5">
      <w:pPr>
        <w:pStyle w:val="Nivel4"/>
        <w:keepNext/>
        <w:ind w:left="1474"/>
      </w:pPr>
      <w:r w:rsidRPr="002A20E7">
        <w:t>Tamaño de las empresas</w:t>
      </w:r>
      <w:r>
        <w:t>:</w:t>
      </w:r>
    </w:p>
    <w:p w14:paraId="16906AB6" w14:textId="53929A73" w:rsidR="00165EF2" w:rsidRDefault="00165EF2" w:rsidP="001249A5">
      <w:pPr>
        <w:pStyle w:val="Nivel5"/>
        <w:ind w:left="1871"/>
      </w:pPr>
      <w:r w:rsidRPr="002A20E7">
        <w:t>Primero, la productividad está intrínsecamente relacionada con el tamaño de las empresas,</w:t>
      </w:r>
      <w:r>
        <w:t xml:space="preserve"> siendo más productivas las empresas de mayor tamaño (acceso a </w:t>
      </w:r>
      <w:r w:rsidRPr="002A20E7">
        <w:t>economías de escala y alcance, nuevas tecnologías e innovaciones, y mejor capital humano</w:t>
      </w:r>
      <w:r>
        <w:t>)</w:t>
      </w:r>
      <w:r w:rsidRPr="002A20E7">
        <w:t>.</w:t>
      </w:r>
    </w:p>
    <w:p w14:paraId="3D5A773F" w14:textId="77777777" w:rsidR="00165EF2" w:rsidRPr="002A20E7" w:rsidRDefault="00165EF2" w:rsidP="001249A5">
      <w:pPr>
        <w:pStyle w:val="Nivel5"/>
        <w:ind w:left="1871"/>
      </w:pPr>
      <w:r>
        <w:t>Pues bien, b</w:t>
      </w:r>
      <w:r w:rsidRPr="002A20E7">
        <w:t xml:space="preserve">uena parte del problema crónico de la productividad en España se explica por una estructura productiva atomizada en la que </w:t>
      </w:r>
      <w:r w:rsidRPr="004F1EEA">
        <w:rPr>
          <w:u w:val="single"/>
        </w:rPr>
        <w:t>la participación del empleo en empresas medianas y grandes es inferior a la de otros países</w:t>
      </w:r>
      <w:r w:rsidRPr="002A20E7">
        <w:t>.</w:t>
      </w:r>
    </w:p>
    <w:p w14:paraId="529D8F64" w14:textId="71CFFFBB" w:rsidR="00165EF2" w:rsidRDefault="00165EF2" w:rsidP="001249A5">
      <w:pPr>
        <w:pStyle w:val="Nivel4"/>
        <w:keepNext/>
        <w:ind w:left="1474"/>
      </w:pPr>
      <w:r w:rsidRPr="002A20E7">
        <w:t>Carácter contracíclico de la productividad</w:t>
      </w:r>
      <w:r w:rsidR="00FC6F6A">
        <w:t>:</w:t>
      </w:r>
    </w:p>
    <w:p w14:paraId="787E39CE" w14:textId="57AB7797" w:rsidR="00165EF2" w:rsidRDefault="00165EF2" w:rsidP="001249A5">
      <w:pPr>
        <w:pStyle w:val="Nivel5"/>
        <w:ind w:left="1871"/>
      </w:pPr>
      <w:r>
        <w:t>E</w:t>
      </w:r>
      <w:r w:rsidRPr="002A20E7">
        <w:t>n España la productividad tiene un marcado carácter contracíclico de manera que crece más en las recesiones que en las expansiones.</w:t>
      </w:r>
    </w:p>
    <w:p w14:paraId="1D7C9265" w14:textId="387C2428" w:rsidR="00165EF2" w:rsidRDefault="00165EF2" w:rsidP="001249A5">
      <w:pPr>
        <w:pStyle w:val="Nivel5"/>
        <w:ind w:left="1871"/>
      </w:pPr>
      <w:r>
        <w:t>Para el periodo 1996</w:t>
      </w:r>
      <w:r w:rsidR="00C5220A">
        <w:t>-</w:t>
      </w:r>
      <w:r>
        <w:t xml:space="preserve">2007 </w:t>
      </w:r>
      <w:r w:rsidRPr="002A20E7">
        <w:t>la productividad apenas aumentó 2</w:t>
      </w:r>
      <w:r w:rsidR="004978BF">
        <w:t> </w:t>
      </w:r>
      <w:r w:rsidRPr="002A20E7">
        <w:t>p</w:t>
      </w:r>
      <w:r>
        <w:t xml:space="preserve">p mientras que el </w:t>
      </w:r>
      <w:r w:rsidRPr="002A20E7">
        <w:t>PIB avanzó un 55</w:t>
      </w:r>
      <w:r w:rsidR="004978BF">
        <w:t> %</w:t>
      </w:r>
      <w:r w:rsidRPr="002A20E7">
        <w:t>.</w:t>
      </w:r>
    </w:p>
    <w:p w14:paraId="4F08E3C3" w14:textId="77777777" w:rsidR="00165EF2" w:rsidRPr="00174183" w:rsidRDefault="00165EF2" w:rsidP="001249A5">
      <w:pPr>
        <w:pStyle w:val="Nivel5"/>
        <w:keepNext/>
        <w:ind w:left="1871"/>
      </w:pPr>
      <w:r w:rsidRPr="00174183">
        <w:t>Razón: Efecto composición</w:t>
      </w:r>
    </w:p>
    <w:p w14:paraId="23169D16" w14:textId="3D63D2C7" w:rsidR="00165EF2" w:rsidRDefault="00165EF2" w:rsidP="001249A5">
      <w:pPr>
        <w:pStyle w:val="Nivel6"/>
        <w:ind w:left="2212"/>
      </w:pPr>
      <w:r>
        <w:t>L</w:t>
      </w:r>
      <w:r w:rsidRPr="002A20E7">
        <w:t xml:space="preserve">a </w:t>
      </w:r>
      <w:r w:rsidRPr="004F1EEA">
        <w:rPr>
          <w:u w:val="single"/>
        </w:rPr>
        <w:t>economía creció</w:t>
      </w:r>
      <w:r w:rsidRPr="002A20E7">
        <w:t xml:space="preserve"> reasignando recursos productivos hacia actividades y empresas menos eficientes</w:t>
      </w:r>
      <w:r>
        <w:t xml:space="preserve"> (construcción)</w:t>
      </w:r>
      <w:r w:rsidRPr="002A20E7">
        <w:t>,</w:t>
      </w:r>
      <w:r>
        <w:t xml:space="preserve"> que generaban rentabilidad gracias al endeudamiento, fuerte demanda y precios.</w:t>
      </w:r>
    </w:p>
    <w:p w14:paraId="35952863" w14:textId="3A3C0ECF" w:rsidR="00165EF2" w:rsidRDefault="00165EF2" w:rsidP="001249A5">
      <w:pPr>
        <w:pStyle w:val="Nivel4"/>
        <w:keepNext/>
        <w:ind w:left="1474"/>
      </w:pPr>
      <w:r w:rsidRPr="0007166F">
        <w:t>Temporalidad</w:t>
      </w:r>
      <w:r w:rsidR="00FC6F6A">
        <w:t>:</w:t>
      </w:r>
    </w:p>
    <w:p w14:paraId="363B3E2C" w14:textId="70401A0A" w:rsidR="00165EF2" w:rsidRPr="00165EF2" w:rsidRDefault="00165EF2" w:rsidP="001249A5">
      <w:pPr>
        <w:pStyle w:val="Nivel5"/>
        <w:ind w:left="1871"/>
        <w:rPr>
          <w:u w:val="single"/>
        </w:rPr>
      </w:pPr>
      <w:r>
        <w:t xml:space="preserve">La elevada temporalidad hace que la productividad no aumente. Tal y como </w:t>
      </w:r>
      <w:r w:rsidRPr="0007166F">
        <w:t xml:space="preserve">apunta el economista </w:t>
      </w:r>
      <w:r w:rsidRPr="00E55A1E">
        <w:rPr>
          <w:smallCaps/>
        </w:rPr>
        <w:t>Juan Francisco Jimeno</w:t>
      </w:r>
      <w:r w:rsidRPr="0007166F">
        <w:t xml:space="preserve"> en su libro </w:t>
      </w:r>
      <w:r w:rsidRPr="00E55A1E">
        <w:rPr>
          <w:i/>
          <w:iCs/>
        </w:rPr>
        <w:t>Crecimiento y empleo</w:t>
      </w:r>
      <w:r w:rsidRPr="0007166F">
        <w:t>, la temporalidad impide que los trabajadores acumulen experiencia y, por tanto, productividad</w:t>
      </w:r>
      <w:r>
        <w:t>.</w:t>
      </w:r>
    </w:p>
    <w:p w14:paraId="19CD0085" w14:textId="2D10FDA8" w:rsidR="00165EF2" w:rsidRDefault="00165EF2" w:rsidP="001249A5">
      <w:pPr>
        <w:pStyle w:val="Nivel3SM"/>
        <w:keepNext/>
      </w:pPr>
      <w:r w:rsidRPr="00FC6F6A">
        <w:rPr>
          <w:i/>
          <w:iCs/>
        </w:rPr>
        <w:t>Inercia salarial</w:t>
      </w:r>
      <w:r w:rsidR="00FC6F6A">
        <w:t>:</w:t>
      </w:r>
    </w:p>
    <w:p w14:paraId="68999C52" w14:textId="034F59F6" w:rsidR="00165EF2" w:rsidRPr="00165EF2" w:rsidRDefault="00165EF2" w:rsidP="001249A5">
      <w:pPr>
        <w:pStyle w:val="Nivel4"/>
        <w:ind w:left="1474"/>
        <w:rPr>
          <w:u w:val="single"/>
        </w:rPr>
      </w:pPr>
      <w:r>
        <w:t>Convenios colectivos de nivel intermedio (sectorial y regional) con una elevada indexación salarial.</w:t>
      </w:r>
    </w:p>
    <w:p w14:paraId="1E48423F" w14:textId="6633E878" w:rsidR="00165EF2" w:rsidRDefault="00165EF2" w:rsidP="002F77A2">
      <w:pPr>
        <w:pStyle w:val="Nivel2SM"/>
        <w:keepNext/>
        <w:spacing w:after="0"/>
      </w:pPr>
      <w:r w:rsidRPr="002F77A2">
        <w:rPr>
          <w:i/>
          <w:iCs/>
          <w:u w:val="single"/>
        </w:rPr>
        <w:t>Factores transitorios</w:t>
      </w:r>
      <w:r w:rsidRPr="000D7BCF">
        <w:t>:</w:t>
      </w:r>
    </w:p>
    <w:p w14:paraId="55221DC3" w14:textId="706A20BA" w:rsidR="00165EF2" w:rsidRDefault="00165EF2" w:rsidP="002F77A2">
      <w:pPr>
        <w:pStyle w:val="Nivel3SM"/>
      </w:pPr>
      <w:r>
        <w:t>F</w:t>
      </w:r>
      <w:r w:rsidRPr="000D7BCF">
        <w:t>undamentalmente, la evolución del precio del petróleo.</w:t>
      </w:r>
    </w:p>
    <w:p w14:paraId="6438BDC4" w14:textId="42979DE8" w:rsidR="00165EF2" w:rsidRDefault="00165EF2" w:rsidP="002F77A2">
      <w:pPr>
        <w:pStyle w:val="Nivel2SM"/>
        <w:keepNext/>
        <w:spacing w:after="0"/>
      </w:pPr>
      <w:r w:rsidRPr="002F77A2">
        <w:rPr>
          <w:i/>
          <w:iCs/>
          <w:u w:val="single"/>
        </w:rPr>
        <w:t>Factores cíclicos</w:t>
      </w:r>
      <w:r w:rsidRPr="000D7BCF">
        <w:t>:</w:t>
      </w:r>
    </w:p>
    <w:p w14:paraId="6FD4F9CB" w14:textId="03F35F12" w:rsidR="00165EF2" w:rsidRDefault="00165EF2" w:rsidP="002F77A2">
      <w:pPr>
        <w:pStyle w:val="Nivel3SM"/>
      </w:pPr>
      <w:r>
        <w:t>P</w:t>
      </w:r>
      <w:r w:rsidR="00271777">
        <w:t>olítica monetaria</w:t>
      </w:r>
      <w:r>
        <w:t xml:space="preserve"> procíclica.</w:t>
      </w:r>
    </w:p>
    <w:p w14:paraId="587FC8AC" w14:textId="2A92D5FC" w:rsidR="00165EF2" w:rsidRDefault="00165EF2" w:rsidP="002F77A2">
      <w:pPr>
        <w:pStyle w:val="Nivel3SM"/>
      </w:pPr>
      <w:r>
        <w:t>C</w:t>
      </w:r>
      <w:r w:rsidRPr="000D7BCF">
        <w:t>recimiento de la demanda interna</w:t>
      </w:r>
      <w:r w:rsidR="00271777">
        <w:t>.</w:t>
      </w:r>
    </w:p>
    <w:p w14:paraId="3E816DF7" w14:textId="7FA13ED8" w:rsidR="00054878" w:rsidRPr="004978BF" w:rsidRDefault="00165EF2" w:rsidP="002F77A2">
      <w:pPr>
        <w:pStyle w:val="Nivel3SM"/>
      </w:pPr>
      <w:r>
        <w:t>E</w:t>
      </w:r>
      <w:r w:rsidRPr="000D7BCF">
        <w:t>levada elasticidad-renta de las importaciones.</w:t>
      </w:r>
    </w:p>
    <w:p w14:paraId="53D876BB" w14:textId="19764255" w:rsidR="000D7BCF" w:rsidRDefault="000D7BCF" w:rsidP="00797B1D">
      <w:pPr>
        <w:pStyle w:val="Ttulo7"/>
        <w:numPr>
          <w:ilvl w:val="0"/>
          <w:numId w:val="46"/>
        </w:numPr>
        <w:ind w:left="1135" w:hanging="284"/>
      </w:pPr>
      <w:r w:rsidRPr="000D7BCF">
        <w:lastRenderedPageBreak/>
        <w:t>Balanza de servicios</w:t>
      </w:r>
    </w:p>
    <w:p w14:paraId="324FD3A7" w14:textId="77777777" w:rsidR="000D7BCF" w:rsidRPr="000D7BCF" w:rsidRDefault="000D7BCF" w:rsidP="00F926CA">
      <w:pPr>
        <w:pStyle w:val="Nivel2SM"/>
      </w:pPr>
      <w:r w:rsidRPr="000D7BCF">
        <w:t xml:space="preserve">Al igual que el déficit comercial crónico de la economía es uno de sus aspectos característicos, otro de estos aspectos ha sido la existencia de una </w:t>
      </w:r>
      <w:r w:rsidRPr="002F77A2">
        <w:rPr>
          <w:i/>
          <w:iCs/>
          <w:u w:val="single"/>
        </w:rPr>
        <w:t>balanza de servicios con elevado superávit</w:t>
      </w:r>
      <w:r w:rsidRPr="000D7BCF">
        <w:t>, que permitía compensar, al menos en gran medida, el déficit comercial.</w:t>
      </w:r>
    </w:p>
    <w:p w14:paraId="72968368" w14:textId="7D6E8E9D" w:rsidR="007D11A7" w:rsidRDefault="000D7BCF" w:rsidP="002F77A2">
      <w:pPr>
        <w:pStyle w:val="Nivel2SM"/>
        <w:keepNext/>
        <w:spacing w:after="0"/>
      </w:pPr>
      <w:r w:rsidRPr="000D7BCF">
        <w:t xml:space="preserve">Sin embargo, </w:t>
      </w:r>
      <w:r w:rsidRPr="00165EF2">
        <w:rPr>
          <w:u w:val="single"/>
        </w:rPr>
        <w:t>desde comienzos de los años 2000</w:t>
      </w:r>
      <w:r w:rsidRPr="000D7BCF">
        <w:t xml:space="preserve"> se reduce el superávit de la balanza de servicios debido a</w:t>
      </w:r>
      <w:r w:rsidR="007D11A7">
        <w:t>:</w:t>
      </w:r>
    </w:p>
    <w:p w14:paraId="133C1BAE" w14:textId="2528D5BA" w:rsidR="007D11A7" w:rsidRDefault="007D11A7" w:rsidP="002F77A2">
      <w:pPr>
        <w:pStyle w:val="Nivel3SM"/>
        <w:keepNext/>
      </w:pPr>
      <w:r w:rsidRPr="002F77A2">
        <w:rPr>
          <w:i/>
          <w:iCs/>
        </w:rPr>
        <w:t>R</w:t>
      </w:r>
      <w:r w:rsidR="000D7BCF" w:rsidRPr="002F77A2">
        <w:rPr>
          <w:i/>
          <w:iCs/>
        </w:rPr>
        <w:t>educción del superávit en turismo y viajes</w:t>
      </w:r>
      <w:r w:rsidR="002F77A2">
        <w:t>:</w:t>
      </w:r>
    </w:p>
    <w:p w14:paraId="03FE8F19" w14:textId="77777777" w:rsidR="00165EF2" w:rsidRPr="000D7BCF" w:rsidRDefault="00165EF2" w:rsidP="002F77A2">
      <w:pPr>
        <w:pStyle w:val="Nivel4"/>
        <w:ind w:left="1474"/>
      </w:pPr>
      <w:r w:rsidRPr="000D7BCF">
        <w:t>Reducción de los ingresos, como resultado de la competencia de nuevos destinos (Europa del Este, Norte de África) y de los cambios en el perfil del turista que visita España (menor número de pernoctaciones, menor gasto medio).</w:t>
      </w:r>
    </w:p>
    <w:p w14:paraId="57C45DFD" w14:textId="0AC1ABE9" w:rsidR="00165EF2" w:rsidRPr="000D7BCF" w:rsidRDefault="00165EF2" w:rsidP="002F77A2">
      <w:pPr>
        <w:pStyle w:val="Nivel4"/>
        <w:ind w:left="1474"/>
      </w:pPr>
      <w:r w:rsidRPr="000D7BCF">
        <w:t>Aumento de los pagos, pues como consecuencia del aumento de la renta, los españoles viajan más al extranjero.</w:t>
      </w:r>
    </w:p>
    <w:p w14:paraId="23569DAF" w14:textId="77777777" w:rsidR="000D7BCF" w:rsidRPr="000D7BCF" w:rsidRDefault="007D11A7" w:rsidP="002F77A2">
      <w:pPr>
        <w:pStyle w:val="Nivel3SM"/>
        <w:keepNext/>
      </w:pPr>
      <w:r w:rsidRPr="002F77A2">
        <w:rPr>
          <w:i/>
          <w:iCs/>
        </w:rPr>
        <w:t>A</w:t>
      </w:r>
      <w:r w:rsidR="000D7BCF" w:rsidRPr="002F77A2">
        <w:rPr>
          <w:i/>
          <w:iCs/>
        </w:rPr>
        <w:t>parición de un creciente déficit en el resto de servicios</w:t>
      </w:r>
      <w:r w:rsidR="000D7BCF" w:rsidRPr="000D7BCF">
        <w:t>:</w:t>
      </w:r>
    </w:p>
    <w:p w14:paraId="4CEC1632" w14:textId="42ECC2E4" w:rsidR="000D7BCF" w:rsidRPr="000D7BCF" w:rsidRDefault="000D7BCF" w:rsidP="002F77A2">
      <w:pPr>
        <w:pStyle w:val="Nivel4"/>
        <w:ind w:left="1474"/>
      </w:pPr>
      <w:r w:rsidRPr="000D7BCF">
        <w:t>Aparición de un creciente déficit en el resto de servicios, debido a un fuerte aumento de las importaciones de servicios prestados a empresas.</w:t>
      </w:r>
    </w:p>
    <w:p w14:paraId="1072C92E" w14:textId="3579E39E" w:rsidR="000D7BCF" w:rsidRPr="000D7BCF" w:rsidRDefault="000D7BCF" w:rsidP="00797B1D">
      <w:pPr>
        <w:pStyle w:val="Ttulo7"/>
        <w:numPr>
          <w:ilvl w:val="0"/>
          <w:numId w:val="46"/>
        </w:numPr>
        <w:ind w:left="1135" w:hanging="284"/>
      </w:pPr>
      <w:r w:rsidRPr="00910BF6">
        <w:t>Balanza de rentas primarias</w:t>
      </w:r>
    </w:p>
    <w:p w14:paraId="78A0539B" w14:textId="6A866B09" w:rsidR="000D7BCF" w:rsidRDefault="00F926CA" w:rsidP="00271777">
      <w:pPr>
        <w:pStyle w:val="Nivel2SM"/>
        <w:keepNext/>
        <w:spacing w:after="0"/>
      </w:pPr>
      <w:r w:rsidRPr="000D7BCF">
        <w:t xml:space="preserve">El saldo es </w:t>
      </w:r>
      <w:r w:rsidRPr="00165EF2">
        <w:rPr>
          <w:b/>
        </w:rPr>
        <w:t>deficitario durante todo el período</w:t>
      </w:r>
      <w:r w:rsidRPr="000D7BCF">
        <w:t>.</w:t>
      </w:r>
    </w:p>
    <w:p w14:paraId="39B469E7" w14:textId="4E9AE568" w:rsidR="00165EF2" w:rsidRPr="00165EF2" w:rsidRDefault="00165EF2" w:rsidP="00D63348">
      <w:pPr>
        <w:pStyle w:val="Nivel3SM"/>
        <w:keepNext/>
      </w:pPr>
      <w:r w:rsidRPr="00D63348">
        <w:rPr>
          <w:i/>
          <w:iCs/>
        </w:rPr>
        <w:t>Rentas del capital</w:t>
      </w:r>
      <w:r w:rsidR="00D63348">
        <w:t>:</w:t>
      </w:r>
    </w:p>
    <w:p w14:paraId="594FA1DA" w14:textId="0FFD75FB" w:rsidR="00165EF2" w:rsidRDefault="00165EF2" w:rsidP="00D63348">
      <w:pPr>
        <w:pStyle w:val="Nivel4"/>
        <w:ind w:left="1474"/>
      </w:pPr>
      <w:r>
        <w:t>Debido a la necesidad constante de financiación e</w:t>
      </w:r>
      <w:r w:rsidRPr="000D7BCF">
        <w:t xml:space="preserve">l saldo deficitario es consecuencia, </w:t>
      </w:r>
      <w:r w:rsidRPr="00165EF2">
        <w:t>casi en su totalidad</w:t>
      </w:r>
      <w:r w:rsidRPr="000D7BCF">
        <w:t xml:space="preserve">, de las </w:t>
      </w:r>
      <w:r w:rsidRPr="00165EF2">
        <w:t>rentas del capital.</w:t>
      </w:r>
    </w:p>
    <w:p w14:paraId="5F01075A" w14:textId="09A3C6CC" w:rsidR="00165EF2" w:rsidRDefault="00165EF2" w:rsidP="00D63348">
      <w:pPr>
        <w:pStyle w:val="Nivel4"/>
        <w:ind w:left="1474"/>
      </w:pPr>
      <w:r>
        <w:t>D</w:t>
      </w:r>
      <w:r w:rsidRPr="000D7BCF">
        <w:t xml:space="preserve">estaca fundamentalmente los </w:t>
      </w:r>
      <w:r w:rsidRPr="00165EF2">
        <w:t>pagos ligados a bonos y obligaciones</w:t>
      </w:r>
      <w:r w:rsidRPr="000D7BCF">
        <w:t>.</w:t>
      </w:r>
    </w:p>
    <w:p w14:paraId="4583FBC2" w14:textId="22ABCDF0" w:rsidR="00165EF2" w:rsidRPr="00165EF2" w:rsidRDefault="00165EF2" w:rsidP="00D63348">
      <w:pPr>
        <w:pStyle w:val="Nivel3SM"/>
        <w:keepNext/>
      </w:pPr>
      <w:r w:rsidRPr="00D63348">
        <w:rPr>
          <w:i/>
          <w:iCs/>
        </w:rPr>
        <w:t>Rentas del trabajo</w:t>
      </w:r>
      <w:r w:rsidR="00D63348">
        <w:t>:</w:t>
      </w:r>
    </w:p>
    <w:p w14:paraId="735E292D" w14:textId="77777777" w:rsidR="00165EF2" w:rsidRPr="000D7BCF" w:rsidRDefault="00165EF2" w:rsidP="00D63348">
      <w:pPr>
        <w:pStyle w:val="Nivel4"/>
        <w:ind w:left="1474"/>
      </w:pPr>
      <w:r w:rsidRPr="000D7BCF">
        <w:t>Las rentas del trabajo juegan un papel marginal.</w:t>
      </w:r>
    </w:p>
    <w:p w14:paraId="0C345253" w14:textId="0722A26E" w:rsidR="000D7BCF" w:rsidRPr="000D7BCF" w:rsidRDefault="000D7BCF" w:rsidP="00797B1D">
      <w:pPr>
        <w:pStyle w:val="Ttulo7"/>
        <w:numPr>
          <w:ilvl w:val="0"/>
          <w:numId w:val="46"/>
        </w:numPr>
        <w:ind w:left="1135" w:hanging="284"/>
      </w:pPr>
      <w:r w:rsidRPr="00910BF6">
        <w:t>Balanza de rentas secundarias</w:t>
      </w:r>
    </w:p>
    <w:p w14:paraId="104B1FDB" w14:textId="77777777" w:rsidR="000D7BCF" w:rsidRPr="000D7BCF" w:rsidRDefault="000D7BCF" w:rsidP="00271777">
      <w:pPr>
        <w:pStyle w:val="Nivel2SM"/>
        <w:keepNext/>
        <w:spacing w:after="0"/>
      </w:pPr>
      <w:r w:rsidRPr="000D7BCF">
        <w:t xml:space="preserve">Desde la entrada de España a la CEE </w:t>
      </w:r>
      <w:r w:rsidRPr="00165EF2">
        <w:rPr>
          <w:b/>
        </w:rPr>
        <w:t>hasta 2003</w:t>
      </w:r>
      <w:r w:rsidRPr="000D7BCF">
        <w:t xml:space="preserve">, España registró todos los años </w:t>
      </w:r>
      <w:r w:rsidRPr="00165EF2">
        <w:rPr>
          <w:b/>
        </w:rPr>
        <w:t>superávit en la balanza de rentas secundarias</w:t>
      </w:r>
      <w:r w:rsidRPr="000D7BCF">
        <w:t>, debido a:</w:t>
      </w:r>
    </w:p>
    <w:p w14:paraId="2D11CEC8" w14:textId="77777777" w:rsidR="000D7BCF" w:rsidRPr="000D7BCF" w:rsidRDefault="000D7BCF" w:rsidP="00271777">
      <w:pPr>
        <w:pStyle w:val="Nivel3SM"/>
      </w:pPr>
      <w:r w:rsidRPr="000D7BCF">
        <w:t>Las remesas de los inmigrantes.</w:t>
      </w:r>
    </w:p>
    <w:p w14:paraId="1F36874E" w14:textId="7AA6F0E4" w:rsidR="000D7BCF" w:rsidRPr="000D7BCF" w:rsidRDefault="000D7BCF" w:rsidP="00271777">
      <w:pPr>
        <w:pStyle w:val="Nivel3SM"/>
      </w:pPr>
      <w:r w:rsidRPr="000D7BCF">
        <w:t>Los fondos incondicionales de la UE</w:t>
      </w:r>
      <w:r w:rsidR="00B2451A">
        <w:t xml:space="preserve"> </w:t>
      </w:r>
      <w:r w:rsidR="00B2451A" w:rsidRPr="006D222C">
        <w:rPr>
          <w:sz w:val="19"/>
          <w:szCs w:val="19"/>
        </w:rPr>
        <w:t>(p.ej. Fondo Social Europeo y Fondo Europeo de Desarrollo)</w:t>
      </w:r>
      <w:r w:rsidRPr="000D7BCF">
        <w:t>.</w:t>
      </w:r>
    </w:p>
    <w:p w14:paraId="100C5E07" w14:textId="270617E3" w:rsidR="000D7BCF" w:rsidRPr="000D7BCF" w:rsidRDefault="000D7BCF" w:rsidP="00271777">
      <w:pPr>
        <w:pStyle w:val="Nivel2SM"/>
        <w:keepNext/>
        <w:spacing w:after="0"/>
      </w:pPr>
      <w:r w:rsidRPr="000D7BCF">
        <w:t xml:space="preserve">Sin embargo, </w:t>
      </w:r>
      <w:r w:rsidRPr="00165EF2">
        <w:rPr>
          <w:b/>
        </w:rPr>
        <w:t>desde 2004</w:t>
      </w:r>
      <w:r w:rsidR="00AC66D3">
        <w:t xml:space="preserve">, </w:t>
      </w:r>
      <w:r w:rsidRPr="000D7BCF">
        <w:t xml:space="preserve">el saldo de la balanza de rentas secundarias cambia de signo, pasando a </w:t>
      </w:r>
      <w:r w:rsidRPr="00054878">
        <w:rPr>
          <w:b/>
        </w:rPr>
        <w:t>registrar déficits</w:t>
      </w:r>
      <w:r w:rsidRPr="000D7BCF">
        <w:t>, debido a:</w:t>
      </w:r>
    </w:p>
    <w:p w14:paraId="457FF441" w14:textId="77777777" w:rsidR="000D7BCF" w:rsidRPr="000D7BCF" w:rsidRDefault="000D7BCF" w:rsidP="00271777">
      <w:pPr>
        <w:pStyle w:val="Nivel3SM"/>
      </w:pPr>
      <w:r w:rsidRPr="000D7BCF">
        <w:t xml:space="preserve">El </w:t>
      </w:r>
      <w:r w:rsidRPr="00054878">
        <w:rPr>
          <w:b/>
        </w:rPr>
        <w:t>aumento de las remesas</w:t>
      </w:r>
      <w:r w:rsidRPr="000D7BCF">
        <w:t xml:space="preserve"> al exterior al cambiar los flujos netos de inmigración.</w:t>
      </w:r>
    </w:p>
    <w:p w14:paraId="58CA46EA" w14:textId="77777777" w:rsidR="000D7BCF" w:rsidRPr="000D7BCF" w:rsidRDefault="000D7BCF" w:rsidP="00271777">
      <w:pPr>
        <w:pStyle w:val="Nivel3SM"/>
      </w:pPr>
      <w:r w:rsidRPr="000D7BCF">
        <w:t xml:space="preserve">La </w:t>
      </w:r>
      <w:r w:rsidRPr="00054878">
        <w:rPr>
          <w:b/>
        </w:rPr>
        <w:t>disminución de los fondos</w:t>
      </w:r>
      <w:r w:rsidRPr="000D7BCF">
        <w:t xml:space="preserve"> comunitarios incondicionales debido a la </w:t>
      </w:r>
      <w:r w:rsidRPr="00054878">
        <w:rPr>
          <w:b/>
        </w:rPr>
        <w:t>convergencia real</w:t>
      </w:r>
      <w:r w:rsidRPr="000D7BCF">
        <w:t xml:space="preserve"> de España con la UE y a las </w:t>
      </w:r>
      <w:r w:rsidRPr="00054878">
        <w:rPr>
          <w:b/>
        </w:rPr>
        <w:t>múltiples ampliaciones</w:t>
      </w:r>
      <w:r w:rsidRPr="000D7BCF">
        <w:t>.</w:t>
      </w:r>
    </w:p>
    <w:p w14:paraId="62232839" w14:textId="77777777" w:rsidR="000D7BCF" w:rsidRPr="00910BF6" w:rsidRDefault="000D7BCF" w:rsidP="00CD499C">
      <w:pPr>
        <w:pStyle w:val="Ttulo3"/>
      </w:pPr>
      <w:bookmarkStart w:id="39" w:name="_Toc178015987"/>
      <w:r w:rsidRPr="00910BF6">
        <w:t>Cuenta de capital</w:t>
      </w:r>
      <w:bookmarkEnd w:id="39"/>
    </w:p>
    <w:p w14:paraId="79FB3BDB" w14:textId="77777777" w:rsidR="000D7BCF" w:rsidRPr="000D7BCF" w:rsidRDefault="000D7BCF" w:rsidP="00F926CA">
      <w:pPr>
        <w:pStyle w:val="Nivel2SM"/>
      </w:pPr>
      <w:r w:rsidRPr="000D7BCF">
        <w:t xml:space="preserve">La incorporación a la CEE tendrá un </w:t>
      </w:r>
      <w:r w:rsidRPr="00054878">
        <w:rPr>
          <w:b/>
        </w:rPr>
        <w:t>efecto muy positivo sobre la cuenta de capital de España</w:t>
      </w:r>
      <w:r w:rsidRPr="000D7BCF">
        <w:t xml:space="preserve">: al ser un país con indicadores económicos atrasados respecto a la media europea, España se convertirá desde su incorporación en un </w:t>
      </w:r>
      <w:r w:rsidRPr="00054878">
        <w:rPr>
          <w:b/>
        </w:rPr>
        <w:t>receptor prioritario de fondos estructurales condicionales</w:t>
      </w:r>
      <w:r w:rsidRPr="000D7BCF">
        <w:t xml:space="preserve"> (</w:t>
      </w:r>
      <w:r w:rsidR="00910BF6">
        <w:t xml:space="preserve">Fondo de Cohesión, FEDER, etc.). </w:t>
      </w:r>
      <w:r w:rsidRPr="000D7BCF">
        <w:t xml:space="preserve">Así, el saldo de esta cuenta registrará un </w:t>
      </w:r>
      <w:r w:rsidRPr="00054878">
        <w:rPr>
          <w:b/>
        </w:rPr>
        <w:t>continuo superávit</w:t>
      </w:r>
      <w:r w:rsidRPr="000D7BCF">
        <w:t>.</w:t>
      </w:r>
    </w:p>
    <w:p w14:paraId="0A8BEE49" w14:textId="77777777" w:rsidR="000D7BCF" w:rsidRPr="00910BF6" w:rsidRDefault="000D7BCF" w:rsidP="00CD499C">
      <w:pPr>
        <w:pStyle w:val="Ttulo3"/>
      </w:pPr>
      <w:bookmarkStart w:id="40" w:name="_Toc178015988"/>
      <w:r w:rsidRPr="00910BF6">
        <w:t>Capacidad/necesidad de financiación</w:t>
      </w:r>
      <w:bookmarkEnd w:id="40"/>
    </w:p>
    <w:p w14:paraId="1C83C957" w14:textId="6CE80737" w:rsidR="001D1334" w:rsidRPr="001D1334" w:rsidRDefault="001D1334" w:rsidP="00CD499C">
      <w:pPr>
        <w:pStyle w:val="Ttulo6"/>
        <w:numPr>
          <w:ilvl w:val="0"/>
          <w:numId w:val="55"/>
        </w:numPr>
        <w:spacing w:before="0"/>
        <w:ind w:left="0" w:hanging="284"/>
      </w:pPr>
      <w:bookmarkStart w:id="41" w:name="_Toc178015989"/>
      <w:r w:rsidRPr="001D1334">
        <w:t>Evolución</w:t>
      </w:r>
      <w:bookmarkEnd w:id="41"/>
    </w:p>
    <w:p w14:paraId="6B35D2B9" w14:textId="77777777" w:rsidR="000D7BCF" w:rsidRPr="000D7BCF" w:rsidRDefault="000D7BCF" w:rsidP="00F926CA">
      <w:pPr>
        <w:pStyle w:val="Nivel2SM"/>
        <w:keepNext/>
        <w:spacing w:after="0"/>
      </w:pPr>
      <w:r w:rsidRPr="000D7BCF">
        <w:t>Como resultado de la evolución de las partidas anteriores, durante este período la capacidad/necesidad de financiación de España atraviesa varias etapas:</w:t>
      </w:r>
    </w:p>
    <w:p w14:paraId="0AE1E392" w14:textId="77777777" w:rsidR="000D7BCF" w:rsidRPr="000D7BCF" w:rsidRDefault="000D7BCF" w:rsidP="00F926CA">
      <w:pPr>
        <w:pStyle w:val="Nivel3SM"/>
      </w:pPr>
      <w:r w:rsidRPr="000D7BCF">
        <w:t xml:space="preserve">1987-1994: </w:t>
      </w:r>
      <w:r w:rsidR="00054878">
        <w:t>N</w:t>
      </w:r>
      <w:r w:rsidRPr="000D7BCF">
        <w:t xml:space="preserve">ecesidad de financiación, cubierta vía </w:t>
      </w:r>
      <w:r w:rsidRPr="00054878">
        <w:rPr>
          <w:b/>
        </w:rPr>
        <w:t>IDE</w:t>
      </w:r>
      <w:r w:rsidRPr="000D7BCF">
        <w:t>.</w:t>
      </w:r>
    </w:p>
    <w:p w14:paraId="16E3FBEF" w14:textId="77777777" w:rsidR="000D7BCF" w:rsidRPr="000D7BCF" w:rsidRDefault="000D7BCF" w:rsidP="00F926CA">
      <w:pPr>
        <w:pStyle w:val="Nivel3SM"/>
      </w:pPr>
      <w:r w:rsidRPr="000D7BCF">
        <w:t xml:space="preserve">1995-1998: </w:t>
      </w:r>
      <w:r w:rsidR="00054878">
        <w:t>L</w:t>
      </w:r>
      <w:r w:rsidRPr="000D7BCF">
        <w:t xml:space="preserve">igera capacidad de financiación, emitida vía </w:t>
      </w:r>
      <w:r w:rsidRPr="00054878">
        <w:rPr>
          <w:b/>
        </w:rPr>
        <w:t>IDE</w:t>
      </w:r>
      <w:r w:rsidRPr="000D7BCF">
        <w:t>.</w:t>
      </w:r>
    </w:p>
    <w:p w14:paraId="4344B386" w14:textId="5319A1AA" w:rsidR="000D7BCF" w:rsidRPr="000D7BCF" w:rsidRDefault="00054878" w:rsidP="00F926CA">
      <w:pPr>
        <w:pStyle w:val="Nivel3SM"/>
      </w:pPr>
      <w:r>
        <w:t>1999-2008: F</w:t>
      </w:r>
      <w:r w:rsidR="000D7BCF" w:rsidRPr="000D7BCF">
        <w:t xml:space="preserve">uerte necesidad de financiación, hasta alcanzar en 2007 un </w:t>
      </w:r>
      <w:r w:rsidR="000D7BCF" w:rsidRPr="007841F2">
        <w:rPr>
          <w:b/>
        </w:rPr>
        <w:t>máximo histórico del 10</w:t>
      </w:r>
      <w:r w:rsidR="004978BF">
        <w:rPr>
          <w:b/>
        </w:rPr>
        <w:t> %</w:t>
      </w:r>
      <w:r w:rsidR="000D7BCF" w:rsidRPr="007841F2">
        <w:rPr>
          <w:b/>
        </w:rPr>
        <w:t xml:space="preserve"> del PIB</w:t>
      </w:r>
      <w:r w:rsidR="000D7BCF" w:rsidRPr="000D7BCF">
        <w:t xml:space="preserve">, cubierta vía </w:t>
      </w:r>
      <w:r w:rsidR="000D7BCF" w:rsidRPr="00054878">
        <w:rPr>
          <w:b/>
        </w:rPr>
        <w:t>inversión en cartera y otras inversiones</w:t>
      </w:r>
      <w:r w:rsidR="000D7BCF" w:rsidRPr="000D7BCF">
        <w:t>.</w:t>
      </w:r>
    </w:p>
    <w:p w14:paraId="716B6B00" w14:textId="602396B1" w:rsidR="000D7BCF" w:rsidRPr="000D7BCF" w:rsidRDefault="000D7BCF" w:rsidP="00CD499C">
      <w:pPr>
        <w:pStyle w:val="Ttulo6"/>
        <w:numPr>
          <w:ilvl w:val="0"/>
          <w:numId w:val="55"/>
        </w:numPr>
        <w:ind w:left="0" w:hanging="284"/>
      </w:pPr>
      <w:bookmarkStart w:id="42" w:name="_Toc178015990"/>
      <w:r w:rsidRPr="00910BF6">
        <w:lastRenderedPageBreak/>
        <w:t>Desglose desde la óptica ahorro-inversión</w:t>
      </w:r>
      <w:bookmarkEnd w:id="42"/>
    </w:p>
    <w:p w14:paraId="0B9131BF" w14:textId="550561C3" w:rsidR="000D7BCF" w:rsidRPr="000D7BCF" w:rsidRDefault="000D7BCF" w:rsidP="001963D6">
      <w:pPr>
        <w:pStyle w:val="Nivel2SM"/>
        <w:keepNext/>
        <w:spacing w:after="0"/>
      </w:pPr>
      <w:r w:rsidRPr="000D7BCF">
        <w:t>Desde la óptica ahorro-inversión, la capacidad/necesidad de financiación se puede analizar como</w:t>
      </w:r>
      <w:r w:rsidR="001926B7">
        <w:rPr>
          <w:rStyle w:val="Refdenotaalpie"/>
        </w:rPr>
        <w:footnoteReference w:id="7"/>
      </w:r>
      <w:r w:rsidRPr="000D7BCF">
        <w:t>:</w:t>
      </w:r>
    </w:p>
    <w:p w14:paraId="71BCC51E" w14:textId="7E71DB7E" w:rsidR="00910BF6" w:rsidRPr="001963D6" w:rsidRDefault="001963D6" w:rsidP="00271777">
      <w:pPr>
        <w:spacing w:after="0"/>
        <w:ind w:left="720"/>
        <w:jc w:val="center"/>
        <w:rPr>
          <w:i/>
          <w:iCs/>
          <w:lang w:val="en-US"/>
        </w:rPr>
      </w:pPr>
      <m:oMathPara>
        <m:oMath>
          <m:r>
            <w:rPr>
              <w:rFonts w:ascii="Cambria Math" w:eastAsiaTheme="minorEastAsia" w:hAnsi="Cambria Math"/>
              <w:lang w:val="en-US"/>
            </w:rPr>
            <m:t xml:space="preserve"> </m:t>
          </m:r>
          <m:r>
            <m:rPr>
              <m:nor/>
            </m:rPr>
            <w:rPr>
              <w:i/>
              <w:iCs/>
              <w:lang w:val="en-US"/>
            </w:rPr>
            <m:t>CAP/NEC</m:t>
          </m:r>
          <m:r>
            <w:rPr>
              <w:rFonts w:ascii="Cambria Math" w:hAnsi="Cambria Math"/>
              <w:lang w:val="en-US"/>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S</m:t>
                      </m:r>
                    </m:e>
                    <m:sub>
                      <m:r>
                        <m:rPr>
                          <m:nor/>
                        </m:rPr>
                        <w:rPr>
                          <w:i/>
                          <w:iCs/>
                          <w:lang w:val="en-US"/>
                        </w:rPr>
                        <m:t>NAC</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NAC</m:t>
                      </m:r>
                    </m:sub>
                  </m:sSub>
                </m:e>
              </m:groupChr>
            </m:e>
            <m:lim>
              <m:r>
                <m:rPr>
                  <m:nor/>
                </m:rPr>
                <w:rPr>
                  <w:i/>
                  <w:iCs/>
                  <w:lang w:val="en-US"/>
                </w:rPr>
                <m:t>CC</m:t>
              </m:r>
            </m:lim>
          </m:limLow>
          <m:r>
            <w:rPr>
              <w:rFonts w:ascii="Cambria Math" w:hAnsi="Cambria Math"/>
              <w:lang w:val="en-US"/>
            </w:rPr>
            <m:t>+</m:t>
          </m:r>
          <m:r>
            <m:rPr>
              <m:nor/>
            </m:rPr>
            <w:rPr>
              <w:i/>
              <w:iCs/>
              <w:lang w:val="en-US"/>
            </w:rPr>
            <m:t>CK</m:t>
          </m:r>
        </m:oMath>
      </m:oMathPara>
    </w:p>
    <w:p w14:paraId="2C05089D" w14:textId="743E59A7" w:rsidR="000D7BCF" w:rsidRPr="000D7BCF" w:rsidRDefault="000D7BCF" w:rsidP="00D63348">
      <w:pPr>
        <w:pStyle w:val="Nivel3SM"/>
      </w:pPr>
      <w:r w:rsidRPr="000D7BCF">
        <w:t xml:space="preserve">El progresivo aumento de la necesidad de financiación de la economía española en este período se debió al </w:t>
      </w:r>
      <w:r w:rsidRPr="00054878">
        <w:rPr>
          <w:b/>
        </w:rPr>
        <w:t>aumento de la inversión nacional</w:t>
      </w:r>
      <w:r w:rsidRPr="000D7BCF">
        <w:t xml:space="preserve">, que superó en 2007 el </w:t>
      </w:r>
      <w:r w:rsidRPr="00054878">
        <w:rPr>
          <w:b/>
        </w:rPr>
        <w:t>30</w:t>
      </w:r>
      <w:r w:rsidR="004978BF">
        <w:rPr>
          <w:b/>
        </w:rPr>
        <w:t> %</w:t>
      </w:r>
      <w:r w:rsidRPr="00054878">
        <w:rPr>
          <w:b/>
        </w:rPr>
        <w:t xml:space="preserve"> del PIB</w:t>
      </w:r>
      <w:r w:rsidRPr="000D7BCF">
        <w:t xml:space="preserve">, debido fundamentalmente a la </w:t>
      </w:r>
      <w:r w:rsidRPr="00054878">
        <w:rPr>
          <w:b/>
        </w:rPr>
        <w:t>disminución del tipo de interés</w:t>
      </w:r>
      <w:r w:rsidRPr="000D7BCF">
        <w:t xml:space="preserve"> provocada por la </w:t>
      </w:r>
      <w:r w:rsidRPr="00054878">
        <w:rPr>
          <w:b/>
        </w:rPr>
        <w:t>asincronía de ciclos de la política monetaria</w:t>
      </w:r>
      <w:r w:rsidRPr="000D7BCF">
        <w:t>, lo que incentivó la inversión.</w:t>
      </w:r>
    </w:p>
    <w:p w14:paraId="582841AE" w14:textId="77777777" w:rsidR="000D7BCF" w:rsidRDefault="000D7BCF" w:rsidP="00D63348">
      <w:pPr>
        <w:pStyle w:val="Nivel3SM"/>
      </w:pPr>
      <w:r w:rsidRPr="000D7BCF">
        <w:t xml:space="preserve">Un sector privado </w:t>
      </w:r>
      <w:proofErr w:type="gramStart"/>
      <w:r w:rsidRPr="000D7BCF">
        <w:t>muy endeudado y muy dependiente</w:t>
      </w:r>
      <w:proofErr w:type="gramEnd"/>
      <w:r w:rsidRPr="000D7BCF">
        <w:t xml:space="preserve"> de la financiación exterior hacía a la economía española muy vulnerable a los cambios en las condiciones de los mercados financieros internacionales.</w:t>
      </w:r>
    </w:p>
    <w:p w14:paraId="2FFB6F3F" w14:textId="31E2CF2F" w:rsidR="000D7BCF" w:rsidRPr="000D7BCF" w:rsidRDefault="000D7BCF" w:rsidP="00CD499C">
      <w:pPr>
        <w:pStyle w:val="Ttulo6"/>
        <w:numPr>
          <w:ilvl w:val="0"/>
          <w:numId w:val="55"/>
        </w:numPr>
        <w:ind w:left="0" w:hanging="284"/>
      </w:pPr>
      <w:bookmarkStart w:id="43" w:name="_Toc178015991"/>
      <w:r w:rsidRPr="00910BF6">
        <w:t>Desglose por sectores institucionales</w:t>
      </w:r>
      <w:bookmarkEnd w:id="43"/>
    </w:p>
    <w:p w14:paraId="5E392A26" w14:textId="365E45AA" w:rsidR="0080115A" w:rsidRPr="0080115A" w:rsidRDefault="0080115A" w:rsidP="00D63348">
      <w:pPr>
        <w:pStyle w:val="Nivel2SM"/>
        <w:keepNext/>
        <w:spacing w:after="0"/>
      </w:pPr>
      <w:r w:rsidRPr="00D63348">
        <w:rPr>
          <w:i/>
          <w:iCs/>
          <w:u w:val="single"/>
        </w:rPr>
        <w:t>Familias</w:t>
      </w:r>
      <w:r w:rsidR="00D63348">
        <w:t>:</w:t>
      </w:r>
    </w:p>
    <w:p w14:paraId="5212D55C" w14:textId="77777777" w:rsidR="000D7BCF" w:rsidRPr="000D7BCF" w:rsidRDefault="000D7BCF" w:rsidP="00D63348">
      <w:pPr>
        <w:pStyle w:val="Nivel3SM"/>
      </w:pPr>
      <w:r w:rsidRPr="0072437E">
        <w:rPr>
          <w:b/>
        </w:rPr>
        <w:t>Las familias</w:t>
      </w:r>
      <w:r w:rsidRPr="000D7BCF">
        <w:t xml:space="preserve">, que habían venido registrando tradicionalmente capacidad de financiación, </w:t>
      </w:r>
      <w:r w:rsidRPr="00054878">
        <w:rPr>
          <w:b/>
        </w:rPr>
        <w:t>pasan a tener necesidad de financiación</w:t>
      </w:r>
      <w:r w:rsidRPr="000D7BCF">
        <w:t>, debido principalmente al gasto en vivienda y bienes de consumo duraderos.</w:t>
      </w:r>
    </w:p>
    <w:p w14:paraId="3790174B" w14:textId="77777777" w:rsidR="00054878" w:rsidRPr="000D7BCF" w:rsidRDefault="00054878" w:rsidP="00D63348">
      <w:pPr>
        <w:pStyle w:val="Nivel3SM"/>
      </w:pPr>
      <w:r w:rsidRPr="000D7BCF">
        <w:t xml:space="preserve">Este exceso </w:t>
      </w:r>
      <w:r>
        <w:t xml:space="preserve">llevó a que </w:t>
      </w:r>
      <w:r w:rsidRPr="000D7BCF">
        <w:t>su deuda acumulada sobre la renta disponible familiar se multiplicase por 2.</w:t>
      </w:r>
    </w:p>
    <w:p w14:paraId="62553209" w14:textId="77777777" w:rsidR="00CD499C" w:rsidRPr="0080115A" w:rsidRDefault="00CD499C" w:rsidP="00CD499C">
      <w:pPr>
        <w:pStyle w:val="Nivel2SM"/>
        <w:keepNext/>
        <w:spacing w:after="0"/>
      </w:pPr>
      <w:r w:rsidRPr="00D63348">
        <w:rPr>
          <w:i/>
          <w:iCs/>
          <w:u w:val="single"/>
        </w:rPr>
        <w:t>Empresas</w:t>
      </w:r>
      <w:r>
        <w:t>:</w:t>
      </w:r>
    </w:p>
    <w:p w14:paraId="796D7468" w14:textId="77777777" w:rsidR="00CD499C" w:rsidRDefault="00CD499C" w:rsidP="00CD499C">
      <w:pPr>
        <w:pStyle w:val="Nivel3SM"/>
        <w:keepNext/>
      </w:pPr>
      <w:r w:rsidRPr="000D7BCF">
        <w:t xml:space="preserve">Las empresas, cuyo saldo había ido oscilando hasta finales de los 90, pasan a mostrar de manera continuada </w:t>
      </w:r>
      <w:r w:rsidRPr="0072437E">
        <w:rPr>
          <w:b/>
        </w:rPr>
        <w:t>necesidad de financiación</w:t>
      </w:r>
      <w:r w:rsidRPr="000D7BCF">
        <w:t xml:space="preserve"> desde 1999, y además ésta crecerá a fuerte ritmo, </w:t>
      </w:r>
      <w:r w:rsidRPr="0072437E">
        <w:rPr>
          <w:b/>
        </w:rPr>
        <w:t>superando en 2007 el 10</w:t>
      </w:r>
      <w:r>
        <w:rPr>
          <w:b/>
        </w:rPr>
        <w:t> %</w:t>
      </w:r>
      <w:r w:rsidRPr="0072437E">
        <w:rPr>
          <w:b/>
        </w:rPr>
        <w:t xml:space="preserve"> del PIB</w:t>
      </w:r>
      <w:r w:rsidRPr="000D7BCF">
        <w:t>.</w:t>
      </w:r>
    </w:p>
    <w:p w14:paraId="0E70BF46" w14:textId="77777777" w:rsidR="00CD499C" w:rsidRDefault="00CD499C" w:rsidP="00CD499C">
      <w:pPr>
        <w:pStyle w:val="Nivel4"/>
        <w:ind w:left="1474"/>
      </w:pPr>
      <w:r w:rsidRPr="000D7BCF">
        <w:t>Esto pone de manifiesto un desequilibrio muy intenso, si bien hay que precisar que parte de ese apalancamiento se debió a la inversión en bienes de equipo, lo que contribuyó a aumentar la dotación de capital productivo de la economía.</w:t>
      </w:r>
    </w:p>
    <w:p w14:paraId="2FE76CB6" w14:textId="2EA9DB49" w:rsidR="0080115A" w:rsidRPr="0080115A" w:rsidRDefault="0080115A" w:rsidP="00D63348">
      <w:pPr>
        <w:pStyle w:val="Nivel2SM"/>
        <w:keepNext/>
        <w:spacing w:after="0"/>
      </w:pPr>
      <w:r w:rsidRPr="00D63348">
        <w:rPr>
          <w:i/>
          <w:iCs/>
          <w:u w:val="single"/>
        </w:rPr>
        <w:t>AAPP</w:t>
      </w:r>
      <w:r w:rsidR="00D63348">
        <w:t>:</w:t>
      </w:r>
    </w:p>
    <w:p w14:paraId="5C423C69" w14:textId="50D32873" w:rsidR="000D7BCF" w:rsidRDefault="000D7BCF" w:rsidP="00D63348">
      <w:pPr>
        <w:pStyle w:val="Nivel3SM"/>
      </w:pPr>
      <w:r w:rsidRPr="000D7BCF">
        <w:t xml:space="preserve">En contraste, las AAPP, que habían venido registrando tradicionalmente necesidad de financiación, </w:t>
      </w:r>
      <w:r w:rsidRPr="0072437E">
        <w:rPr>
          <w:b/>
        </w:rPr>
        <w:t>pasan a tener capacidad de financiación</w:t>
      </w:r>
      <w:r w:rsidRPr="000D7BCF">
        <w:t>, hasta situarse en 2007 con un superávit público del 2</w:t>
      </w:r>
      <w:r w:rsidR="004978BF">
        <w:t> %</w:t>
      </w:r>
      <w:r w:rsidRPr="000D7BCF">
        <w:t xml:space="preserve"> del PIB.</w:t>
      </w:r>
    </w:p>
    <w:p w14:paraId="322E1225" w14:textId="1216F91D" w:rsidR="000D7BCF" w:rsidRPr="001D1334" w:rsidRDefault="001D1334" w:rsidP="00CD499C">
      <w:pPr>
        <w:pStyle w:val="Ttulo3"/>
      </w:pPr>
      <w:bookmarkStart w:id="44" w:name="_Toc178015992"/>
      <w:r w:rsidRPr="001D1334">
        <w:t xml:space="preserve">Cuenta </w:t>
      </w:r>
      <w:r w:rsidR="00610452">
        <w:t>f</w:t>
      </w:r>
      <w:r w:rsidRPr="001D1334">
        <w:t>inanciera</w:t>
      </w:r>
      <w:bookmarkEnd w:id="44"/>
    </w:p>
    <w:p w14:paraId="03C468A0" w14:textId="0394439F" w:rsidR="000D7BCF" w:rsidRPr="000D7BCF" w:rsidRDefault="000D7BCF" w:rsidP="00D63348">
      <w:pPr>
        <w:pStyle w:val="Nivel2SM"/>
        <w:keepNext/>
        <w:spacing w:after="0"/>
      </w:pPr>
      <w:r w:rsidRPr="00D63348">
        <w:rPr>
          <w:i/>
          <w:iCs/>
          <w:u w:val="single"/>
        </w:rPr>
        <w:t>Inversión directa</w:t>
      </w:r>
      <w:r w:rsidR="00D63348">
        <w:t>:</w:t>
      </w:r>
    </w:p>
    <w:p w14:paraId="20EE6F29" w14:textId="073A2B57" w:rsidR="0080115A" w:rsidRDefault="000D7BCF" w:rsidP="00D63348">
      <w:pPr>
        <w:pStyle w:val="Nivel3SM"/>
        <w:keepNext/>
      </w:pPr>
      <w:r w:rsidRPr="00D63348">
        <w:rPr>
          <w:i/>
          <w:iCs/>
        </w:rPr>
        <w:t>Extranjera</w:t>
      </w:r>
      <w:r w:rsidR="00B77FAA">
        <w:rPr>
          <w:i/>
          <w:iCs/>
        </w:rPr>
        <w:t xml:space="preserve"> en España</w:t>
      </w:r>
      <w:r w:rsidRPr="000D7BCF">
        <w:t>.</w:t>
      </w:r>
    </w:p>
    <w:p w14:paraId="762B31BC" w14:textId="52BF28AD" w:rsidR="0072437E" w:rsidRDefault="000D7BCF" w:rsidP="00D63348">
      <w:pPr>
        <w:pStyle w:val="Nivel4"/>
        <w:ind w:left="1474"/>
      </w:pPr>
      <w:r w:rsidRPr="000D7BCF">
        <w:t xml:space="preserve">La incorporación de España a la </w:t>
      </w:r>
      <w:r w:rsidR="00CF6219">
        <w:t>CEE</w:t>
      </w:r>
      <w:r w:rsidRPr="000D7BCF">
        <w:t xml:space="preserve"> supondrá un </w:t>
      </w:r>
      <w:r w:rsidRPr="0072437E">
        <w:t>importante impulso a las entradas de inversión directa extranjera</w:t>
      </w:r>
      <w:r w:rsidRPr="000D7BCF">
        <w:t>.</w:t>
      </w:r>
    </w:p>
    <w:p w14:paraId="72200230" w14:textId="77777777" w:rsidR="000D7BCF" w:rsidRPr="000D7BCF" w:rsidRDefault="000D7BCF" w:rsidP="00D63348">
      <w:pPr>
        <w:pStyle w:val="Nivel4"/>
        <w:ind w:left="1474"/>
      </w:pPr>
      <w:r w:rsidRPr="000D7BCF">
        <w:t>Con la incorporación de España a la Eurozona y la consiguiente eliminación del riesgo cambiario, estos flujos se acentúan de forma importante.</w:t>
      </w:r>
    </w:p>
    <w:p w14:paraId="5100E63F" w14:textId="26506DE5" w:rsidR="0080115A" w:rsidRDefault="000D7BCF" w:rsidP="00D63348">
      <w:pPr>
        <w:pStyle w:val="Nivel3SM"/>
        <w:keepNext/>
      </w:pPr>
      <w:r w:rsidRPr="00D63348">
        <w:rPr>
          <w:i/>
          <w:iCs/>
        </w:rPr>
        <w:t>De España</w:t>
      </w:r>
      <w:r w:rsidR="00B77FAA">
        <w:rPr>
          <w:i/>
          <w:iCs/>
        </w:rPr>
        <w:t xml:space="preserve"> en el extranjero</w:t>
      </w:r>
      <w:r w:rsidRPr="000D7BCF">
        <w:t>.</w:t>
      </w:r>
    </w:p>
    <w:p w14:paraId="2A8DCDA3" w14:textId="43501796" w:rsidR="0072437E" w:rsidRDefault="000D7BCF" w:rsidP="00D63348">
      <w:pPr>
        <w:pStyle w:val="Nivel4"/>
        <w:ind w:left="1474"/>
      </w:pPr>
      <w:r w:rsidRPr="000D7BCF">
        <w:t xml:space="preserve">España comienza a realizar inversión directa en el extranjero </w:t>
      </w:r>
      <w:r w:rsidRPr="0072437E">
        <w:rPr>
          <w:b/>
        </w:rPr>
        <w:t>mucho más tarde</w:t>
      </w:r>
      <w:r w:rsidRPr="000D7BCF">
        <w:t xml:space="preserve"> de cuando la recibe, de modo que el verdadero despegue de ésta se produjo a finales de los 90, y fue </w:t>
      </w:r>
      <w:r w:rsidRPr="002B14B4">
        <w:rPr>
          <w:b/>
          <w:bCs/>
        </w:rPr>
        <w:t>muy intenso</w:t>
      </w:r>
      <w:r w:rsidRPr="000D7BCF">
        <w:t>.</w:t>
      </w:r>
    </w:p>
    <w:p w14:paraId="1D16BC63" w14:textId="72A5B76C" w:rsidR="0072437E" w:rsidRDefault="000D7BCF" w:rsidP="00D63348">
      <w:pPr>
        <w:pStyle w:val="Nivel4"/>
        <w:ind w:left="1474"/>
      </w:pPr>
      <w:r w:rsidRPr="000D7BCF">
        <w:lastRenderedPageBreak/>
        <w:t xml:space="preserve">El </w:t>
      </w:r>
      <w:r w:rsidRPr="0072437E">
        <w:rPr>
          <w:b/>
        </w:rPr>
        <w:t>proceso de privatización</w:t>
      </w:r>
      <w:r w:rsidRPr="000D7BCF">
        <w:t xml:space="preserve"> durante esta época de grandes empresas públicas (Repsol, Telefónica, Endesa, etc.) jugó un papel relevante, dado que estas empresas se convirtieron pronto en grandes emisoras de IDE.</w:t>
      </w:r>
    </w:p>
    <w:p w14:paraId="527742B1" w14:textId="79C6875A" w:rsidR="00A671E8" w:rsidRPr="000D7BCF" w:rsidRDefault="00A671E8" w:rsidP="00A671E8">
      <w:pPr>
        <w:pStyle w:val="Nivel4"/>
        <w:ind w:left="1474"/>
      </w:pPr>
      <w:r w:rsidRPr="00A671E8">
        <w:rPr>
          <w:i/>
          <w:iCs/>
        </w:rPr>
        <w:t>Distribución sectorial</w:t>
      </w:r>
      <w:r>
        <w:t xml:space="preserve">: </w:t>
      </w:r>
      <w:r w:rsidRPr="000D7BCF">
        <w:t xml:space="preserve">Los </w:t>
      </w:r>
      <w:r w:rsidRPr="0072437E">
        <w:t>principales generadores</w:t>
      </w:r>
      <w:r w:rsidRPr="000D7BCF">
        <w:t xml:space="preserve"> de esta inversión fueron la </w:t>
      </w:r>
      <w:r w:rsidRPr="002B14B4">
        <w:rPr>
          <w:i/>
          <w:iCs/>
        </w:rPr>
        <w:t>energía</w:t>
      </w:r>
      <w:r w:rsidRPr="000D7BCF">
        <w:t xml:space="preserve"> </w:t>
      </w:r>
      <w:r w:rsidRPr="00A671E8">
        <w:rPr>
          <w:sz w:val="19"/>
          <w:szCs w:val="19"/>
        </w:rPr>
        <w:t>(Gas Natural, Iberdrola, Repsol)</w:t>
      </w:r>
      <w:r w:rsidRPr="000D7BCF">
        <w:t xml:space="preserve">, el </w:t>
      </w:r>
      <w:r w:rsidRPr="002B14B4">
        <w:rPr>
          <w:i/>
          <w:iCs/>
        </w:rPr>
        <w:t>transporte</w:t>
      </w:r>
      <w:r w:rsidRPr="000D7BCF">
        <w:t xml:space="preserve"> </w:t>
      </w:r>
      <w:r w:rsidRPr="00A671E8">
        <w:rPr>
          <w:sz w:val="19"/>
          <w:szCs w:val="19"/>
        </w:rPr>
        <w:t>(Iberia)</w:t>
      </w:r>
      <w:r w:rsidRPr="000D7BCF">
        <w:t xml:space="preserve">, las </w:t>
      </w:r>
      <w:r w:rsidRPr="002B14B4">
        <w:rPr>
          <w:i/>
          <w:iCs/>
        </w:rPr>
        <w:t>telecomunicaciones</w:t>
      </w:r>
      <w:r w:rsidRPr="000D7BCF">
        <w:t xml:space="preserve"> </w:t>
      </w:r>
      <w:r w:rsidRPr="00A671E8">
        <w:rPr>
          <w:sz w:val="19"/>
          <w:szCs w:val="19"/>
        </w:rPr>
        <w:t>(Telefónica)</w:t>
      </w:r>
      <w:r w:rsidRPr="000D7BCF">
        <w:t xml:space="preserve">, la </w:t>
      </w:r>
      <w:r w:rsidRPr="002B14B4">
        <w:rPr>
          <w:i/>
          <w:iCs/>
        </w:rPr>
        <w:t>construcción</w:t>
      </w:r>
      <w:r w:rsidRPr="000D7BCF">
        <w:t xml:space="preserve"> </w:t>
      </w:r>
      <w:r w:rsidRPr="00A671E8">
        <w:rPr>
          <w:sz w:val="19"/>
          <w:szCs w:val="19"/>
        </w:rPr>
        <w:t>(Acciona, Ferrovial)</w:t>
      </w:r>
      <w:r w:rsidRPr="000D7BCF">
        <w:t xml:space="preserve"> y los </w:t>
      </w:r>
      <w:r w:rsidRPr="002B14B4">
        <w:rPr>
          <w:i/>
          <w:iCs/>
        </w:rPr>
        <w:t>servicios financieros</w:t>
      </w:r>
      <w:r w:rsidRPr="000D7BCF">
        <w:t xml:space="preserve"> </w:t>
      </w:r>
      <w:r w:rsidRPr="00A671E8">
        <w:rPr>
          <w:sz w:val="19"/>
          <w:szCs w:val="19"/>
        </w:rPr>
        <w:t>(Santander, BBVA)</w:t>
      </w:r>
      <w:r w:rsidRPr="000D7BCF">
        <w:t>.</w:t>
      </w:r>
    </w:p>
    <w:p w14:paraId="0C45D119" w14:textId="76587620" w:rsidR="0072437E" w:rsidRDefault="00A671E8" w:rsidP="00D63348">
      <w:pPr>
        <w:pStyle w:val="Nivel4"/>
        <w:ind w:left="1474"/>
      </w:pPr>
      <w:r w:rsidRPr="00A671E8">
        <w:rPr>
          <w:i/>
          <w:iCs/>
        </w:rPr>
        <w:t xml:space="preserve">Distribución </w:t>
      </w:r>
      <w:r>
        <w:rPr>
          <w:i/>
          <w:iCs/>
        </w:rPr>
        <w:t>geográfica</w:t>
      </w:r>
      <w:r>
        <w:t xml:space="preserve">: </w:t>
      </w:r>
      <w:r w:rsidR="000D7BCF" w:rsidRPr="000D7BCF">
        <w:t xml:space="preserve">Durante este período, la inversión directa de España </w:t>
      </w:r>
      <w:r w:rsidR="000D7BCF" w:rsidRPr="002B14B4">
        <w:rPr>
          <w:i/>
          <w:iCs/>
        </w:rPr>
        <w:t>se dirigió fundamentalmente a Latinoamérica</w:t>
      </w:r>
      <w:r w:rsidR="000D7BCF" w:rsidRPr="000D7BCF">
        <w:t>.</w:t>
      </w:r>
    </w:p>
    <w:p w14:paraId="6D736939" w14:textId="0F6FE339" w:rsidR="0072437E" w:rsidRDefault="000D7BCF" w:rsidP="00D63348">
      <w:pPr>
        <w:pStyle w:val="Nivel4"/>
        <w:ind w:left="1474"/>
      </w:pPr>
      <w:r w:rsidRPr="000D7BCF">
        <w:t xml:space="preserve">Además, la inversión </w:t>
      </w:r>
      <w:r w:rsidRPr="0072437E">
        <w:t xml:space="preserve">se realizó </w:t>
      </w:r>
      <w:r w:rsidRPr="002B14B4">
        <w:rPr>
          <w:i/>
          <w:iCs/>
        </w:rPr>
        <w:t>vía inorgánica</w:t>
      </w:r>
      <w:r w:rsidR="00B85D81">
        <w:t xml:space="preserve"> (i.e. compra de empresas) más que orgánica (i.e. creación de empresas)</w:t>
      </w:r>
      <w:r w:rsidR="0072437E" w:rsidRPr="0072437E">
        <w:t>.</w:t>
      </w:r>
    </w:p>
    <w:p w14:paraId="1B238320" w14:textId="77777777" w:rsidR="000D7BCF" w:rsidRPr="000D7BCF" w:rsidRDefault="000D7BCF" w:rsidP="00D63348">
      <w:pPr>
        <w:pStyle w:val="Nivel3SM"/>
        <w:keepNext/>
      </w:pPr>
      <w:r w:rsidRPr="00D63348">
        <w:rPr>
          <w:i/>
          <w:iCs/>
        </w:rPr>
        <w:t>Neto</w:t>
      </w:r>
      <w:r w:rsidRPr="000D7BCF">
        <w:t>:</w:t>
      </w:r>
    </w:p>
    <w:p w14:paraId="3C6A1B7F" w14:textId="77777777" w:rsidR="000D7BCF" w:rsidRPr="000D7BCF" w:rsidRDefault="000D7BCF" w:rsidP="00D63348">
      <w:pPr>
        <w:pStyle w:val="Nivel4"/>
        <w:ind w:left="1474"/>
      </w:pPr>
      <w:r w:rsidRPr="0072437E">
        <w:rPr>
          <w:b/>
        </w:rPr>
        <w:t>Hasta 1997</w:t>
      </w:r>
      <w:r w:rsidRPr="000D7BCF">
        <w:t>, las inversiones directas del extranjero en España superaban ampliamente a las de España en el extranjero, constituyendo de hecho la principal fuente de financiación del déficit exterior.</w:t>
      </w:r>
    </w:p>
    <w:p w14:paraId="4DADABCE" w14:textId="77777777" w:rsidR="000D7BCF" w:rsidRDefault="000D7BCF" w:rsidP="00D63348">
      <w:pPr>
        <w:pStyle w:val="Nivel4"/>
        <w:ind w:left="1474"/>
      </w:pPr>
      <w:r w:rsidRPr="000D7BCF">
        <w:t xml:space="preserve">En cambio, </w:t>
      </w:r>
      <w:r w:rsidRPr="0072437E">
        <w:rPr>
          <w:b/>
        </w:rPr>
        <w:t>desde 1997 hasta 2007</w:t>
      </w:r>
      <w:r w:rsidRPr="000D7BCF">
        <w:t>, esto se invierte, de modo que en 2007 la inversión directa recoge unas salidas netas importantes.</w:t>
      </w:r>
    </w:p>
    <w:p w14:paraId="426888B5" w14:textId="561D084E" w:rsidR="000D7BCF" w:rsidRPr="0080115A" w:rsidRDefault="000D7BCF" w:rsidP="00D63348">
      <w:pPr>
        <w:pStyle w:val="Nivel2SM"/>
        <w:keepNext/>
        <w:spacing w:after="0"/>
      </w:pPr>
      <w:r w:rsidRPr="00D63348">
        <w:rPr>
          <w:i/>
          <w:iCs/>
          <w:u w:val="single"/>
        </w:rPr>
        <w:t>Inversión en cartera y otras inversiones</w:t>
      </w:r>
      <w:r w:rsidR="00D63348" w:rsidRPr="00D63348">
        <w:t>:</w:t>
      </w:r>
    </w:p>
    <w:p w14:paraId="3F51627E" w14:textId="0B3F8D38" w:rsidR="0072437E" w:rsidRPr="0072437E" w:rsidRDefault="0072437E" w:rsidP="00D63348">
      <w:pPr>
        <w:pStyle w:val="Nivel3SM"/>
        <w:keepNext/>
      </w:pPr>
      <w:r w:rsidRPr="00D63348">
        <w:rPr>
          <w:i/>
          <w:iCs/>
        </w:rPr>
        <w:t>Liberalización de los movimientos de capital</w:t>
      </w:r>
      <w:r w:rsidR="00D63348">
        <w:t>:</w:t>
      </w:r>
    </w:p>
    <w:p w14:paraId="303C5457" w14:textId="77777777" w:rsidR="000D7BCF" w:rsidRPr="000D7BCF" w:rsidRDefault="000D7BCF" w:rsidP="00D63348">
      <w:pPr>
        <w:pStyle w:val="Nivel4"/>
        <w:ind w:left="1474"/>
      </w:pPr>
      <w:r w:rsidRPr="000D7BCF">
        <w:t xml:space="preserve">La liberalización de los movimientos de capitales a comienzos de los 90 supondrá un </w:t>
      </w:r>
      <w:r w:rsidRPr="0072437E">
        <w:t>fuerte estímulo a los flujos internacionales de capitales</w:t>
      </w:r>
      <w:r w:rsidRPr="000D7BCF">
        <w:t xml:space="preserve"> en forma de </w:t>
      </w:r>
      <w:r w:rsidRPr="0072437E">
        <w:t>inversión en cartera y de otras inversiones</w:t>
      </w:r>
      <w:r w:rsidRPr="000D7BCF">
        <w:t>.</w:t>
      </w:r>
    </w:p>
    <w:p w14:paraId="157C5BE9" w14:textId="08285DC4" w:rsidR="001D1334" w:rsidRPr="001D1334" w:rsidRDefault="001D1334" w:rsidP="00D63348">
      <w:pPr>
        <w:pStyle w:val="Nivel3SM"/>
        <w:keepNext/>
      </w:pPr>
      <w:r w:rsidRPr="00D63348">
        <w:rPr>
          <w:i/>
          <w:iCs/>
        </w:rPr>
        <w:t>Principal fuente de financiación</w:t>
      </w:r>
      <w:r w:rsidR="00D63348">
        <w:t>:</w:t>
      </w:r>
    </w:p>
    <w:p w14:paraId="5EDEA600" w14:textId="77777777" w:rsidR="000D7BCF" w:rsidRPr="000D7BCF" w:rsidRDefault="000D7BCF" w:rsidP="00D63348">
      <w:pPr>
        <w:pStyle w:val="Nivel4"/>
        <w:ind w:left="1474"/>
      </w:pPr>
      <w:r w:rsidRPr="000D7BCF">
        <w:t xml:space="preserve">De hecho, </w:t>
      </w:r>
      <w:r w:rsidRPr="0072437E">
        <w:rPr>
          <w:b/>
        </w:rPr>
        <w:t>a partir de 1999</w:t>
      </w:r>
      <w:r w:rsidRPr="000D7BCF">
        <w:t xml:space="preserve">, la inversión en cartera y las otras inversiones </w:t>
      </w:r>
      <w:r w:rsidRPr="0072437E">
        <w:rPr>
          <w:b/>
        </w:rPr>
        <w:t>pasan a ser las fuentes de financiación del déficit exterior español</w:t>
      </w:r>
      <w:r w:rsidRPr="000D7BCF">
        <w:t xml:space="preserve">. Concretamente, los instrumentos principales de captación de pasivo fueron los </w:t>
      </w:r>
      <w:r w:rsidRPr="0072437E">
        <w:rPr>
          <w:b/>
        </w:rPr>
        <w:t>bonos y obligaciones</w:t>
      </w:r>
      <w:r w:rsidRPr="000D7BCF">
        <w:t>.</w:t>
      </w:r>
    </w:p>
    <w:p w14:paraId="117A119B" w14:textId="4D420D3B" w:rsidR="0080115A" w:rsidRDefault="007D44A1" w:rsidP="00D63348">
      <w:pPr>
        <w:pStyle w:val="Nivel2SM"/>
        <w:keepNext/>
        <w:spacing w:after="0"/>
      </w:pPr>
      <w:r w:rsidRPr="00D63348">
        <w:rPr>
          <w:i/>
          <w:iCs/>
          <w:u w:val="single"/>
        </w:rPr>
        <w:t>Cuenta financiera del</w:t>
      </w:r>
      <w:r w:rsidR="000D7BCF" w:rsidRPr="00D63348">
        <w:rPr>
          <w:i/>
          <w:iCs/>
          <w:u w:val="single"/>
        </w:rPr>
        <w:t xml:space="preserve"> Banco de España</w:t>
      </w:r>
      <w:r w:rsidR="00D63348">
        <w:t>:</w:t>
      </w:r>
    </w:p>
    <w:p w14:paraId="130211F2" w14:textId="3C58AFEB" w:rsidR="0072437E" w:rsidRPr="0072437E" w:rsidRDefault="0072437E" w:rsidP="00D63348">
      <w:pPr>
        <w:pStyle w:val="Nivel3SM"/>
        <w:keepNext/>
      </w:pPr>
      <w:r w:rsidRPr="00D63348">
        <w:rPr>
          <w:i/>
          <w:iCs/>
        </w:rPr>
        <w:t>Reservas</w:t>
      </w:r>
      <w:r w:rsidR="00D63348">
        <w:t>:</w:t>
      </w:r>
    </w:p>
    <w:p w14:paraId="517731F3" w14:textId="50515145" w:rsidR="0072437E" w:rsidRDefault="0072437E" w:rsidP="00D63348">
      <w:pPr>
        <w:pStyle w:val="Nivel4"/>
        <w:ind w:left="1474"/>
      </w:pPr>
      <w:r>
        <w:t>L</w:t>
      </w:r>
      <w:r w:rsidR="000D7BCF" w:rsidRPr="000D7BCF">
        <w:t xml:space="preserve">as diferencias entre la necesidad de financiación y el saldo global neto de las inversiones (directa + en cartera + otras) se materializan en </w:t>
      </w:r>
      <w:r w:rsidR="000D7BCF" w:rsidRPr="0072437E">
        <w:t>variaciones de reservas</w:t>
      </w:r>
      <w:r w:rsidR="000D7BCF" w:rsidRPr="000D7BCF">
        <w:t>.</w:t>
      </w:r>
    </w:p>
    <w:p w14:paraId="64C42A97" w14:textId="77777777" w:rsidR="000D7BCF" w:rsidRDefault="000D7BCF" w:rsidP="00D63348">
      <w:pPr>
        <w:pStyle w:val="Nivel4"/>
        <w:ind w:left="1474"/>
      </w:pPr>
      <w:r w:rsidRPr="000D7BCF">
        <w:t xml:space="preserve">En general, </w:t>
      </w:r>
      <w:r w:rsidRPr="0072437E">
        <w:t>desde el año 2002</w:t>
      </w:r>
      <w:r w:rsidRPr="000D7BCF">
        <w:t xml:space="preserve">, la </w:t>
      </w:r>
      <w:r w:rsidRPr="0072437E">
        <w:t>posición neta de reservas del Banco de España ha ido reduciéndose</w:t>
      </w:r>
      <w:r w:rsidRPr="000D7BCF">
        <w:t>.</w:t>
      </w:r>
    </w:p>
    <w:p w14:paraId="54A2D199" w14:textId="6F058354" w:rsidR="0072437E" w:rsidRDefault="0072437E" w:rsidP="00D63348">
      <w:pPr>
        <w:pStyle w:val="Nivel3SM"/>
        <w:keepNext/>
      </w:pPr>
      <w:r w:rsidRPr="00D63348">
        <w:rPr>
          <w:i/>
          <w:iCs/>
        </w:rPr>
        <w:t>TARGET</w:t>
      </w:r>
      <w:r w:rsidR="00D63348">
        <w:t>:</w:t>
      </w:r>
    </w:p>
    <w:p w14:paraId="1B22E054" w14:textId="77777777" w:rsidR="00A04DF9" w:rsidRPr="00A04DF9" w:rsidRDefault="00AF5904" w:rsidP="00A04DF9">
      <w:pPr>
        <w:pStyle w:val="Nivel4"/>
        <w:ind w:left="1474"/>
        <w:rPr>
          <w:u w:val="single"/>
        </w:rPr>
      </w:pPr>
      <w:r>
        <w:t xml:space="preserve">Para los países de la zona euro, la posición del </w:t>
      </w:r>
      <w:r w:rsidR="00A04DF9">
        <w:t>banco central</w:t>
      </w:r>
      <w:r>
        <w:t xml:space="preserve"> frente al Eurosistema desempeña el papel de las reservas de manera que el saldo neto de TARGET se deteriora ante una necesidad de financiación.</w:t>
      </w:r>
    </w:p>
    <w:p w14:paraId="054FC642" w14:textId="49620471" w:rsidR="0072437E" w:rsidRPr="0072437E" w:rsidRDefault="00AF5904" w:rsidP="00A04DF9">
      <w:pPr>
        <w:pStyle w:val="Nivel4"/>
        <w:ind w:left="1474"/>
        <w:rPr>
          <w:u w:val="single"/>
        </w:rPr>
      </w:pPr>
      <w:r>
        <w:t>Por tanto</w:t>
      </w:r>
      <w:r w:rsidR="00A04DF9">
        <w:t>,</w:t>
      </w:r>
      <w:r>
        <w:t xml:space="preserve"> a lo largo del periodo 2000</w:t>
      </w:r>
      <w:r w:rsidR="008311DE">
        <w:t>-</w:t>
      </w:r>
      <w:r>
        <w:t>2008 dicho saldo se redujo considerablemente</w:t>
      </w:r>
      <w:r w:rsidR="00A04DF9">
        <w:t>.</w:t>
      </w:r>
    </w:p>
    <w:p w14:paraId="17A763A7" w14:textId="56E35681" w:rsidR="0080115A" w:rsidRDefault="000D7BCF" w:rsidP="00D63348">
      <w:pPr>
        <w:pStyle w:val="Nivel2SM"/>
        <w:keepNext/>
        <w:spacing w:after="0"/>
      </w:pPr>
      <w:r w:rsidRPr="00D63348">
        <w:rPr>
          <w:i/>
          <w:iCs/>
          <w:u w:val="single"/>
        </w:rPr>
        <w:t>Valoración</w:t>
      </w:r>
      <w:r w:rsidR="00D63348">
        <w:t>:</w:t>
      </w:r>
    </w:p>
    <w:p w14:paraId="0BA6B1F9" w14:textId="368C6B09" w:rsidR="00AF5904" w:rsidRDefault="000D7BCF" w:rsidP="00D63348">
      <w:pPr>
        <w:pStyle w:val="Nivel3SM"/>
        <w:keepNext/>
      </w:pPr>
      <w:r w:rsidRPr="000D7BCF">
        <w:t>En resumen, en el período que va desde la incorpo</w:t>
      </w:r>
      <w:r w:rsidR="00AF5904">
        <w:t>ración a la CEE hasta la crisis:</w:t>
      </w:r>
    </w:p>
    <w:p w14:paraId="150648B2" w14:textId="77777777" w:rsidR="00AF5904" w:rsidRDefault="00AF5904" w:rsidP="00D63348">
      <w:pPr>
        <w:pStyle w:val="Nivel4"/>
        <w:ind w:left="1474"/>
      </w:pPr>
      <w:r>
        <w:t>S</w:t>
      </w:r>
      <w:r w:rsidR="000D7BCF" w:rsidRPr="000D7BCF">
        <w:t>e acentúa la necesidad de financiación</w:t>
      </w:r>
      <w:r>
        <w:t>.</w:t>
      </w:r>
    </w:p>
    <w:p w14:paraId="2D1F80B9" w14:textId="0F1BDC89" w:rsidR="000D7BCF" w:rsidRPr="000D7BCF" w:rsidRDefault="00AF5904" w:rsidP="00D63348">
      <w:pPr>
        <w:pStyle w:val="Nivel4"/>
        <w:ind w:left="1474"/>
      </w:pPr>
      <w:r>
        <w:t>S</w:t>
      </w:r>
      <w:r w:rsidR="000D7BCF" w:rsidRPr="000D7BCF">
        <w:t xml:space="preserve">e produce un cambio fundamental en la forma de financiación del déficit exterior: de inversión directa extranjera a </w:t>
      </w:r>
      <w:r w:rsidR="008311DE">
        <w:t>inversión en cartera y otra inversión</w:t>
      </w:r>
      <w:r w:rsidR="000D7BCF" w:rsidRPr="000D7BCF">
        <w:t>.</w:t>
      </w:r>
    </w:p>
    <w:p w14:paraId="2CBA11F7" w14:textId="77777777" w:rsidR="000D7BCF" w:rsidRPr="0080115A" w:rsidRDefault="000D7BCF" w:rsidP="00CD499C">
      <w:pPr>
        <w:pStyle w:val="Ttulo3"/>
      </w:pPr>
      <w:bookmarkStart w:id="45" w:name="_Toc178015993"/>
      <w:r w:rsidRPr="0080115A">
        <w:t>Posición de Inversión Internacional</w:t>
      </w:r>
      <w:bookmarkEnd w:id="45"/>
    </w:p>
    <w:p w14:paraId="0D25A690" w14:textId="521D9072" w:rsidR="000D7BCF" w:rsidRDefault="000D7BCF" w:rsidP="001963D6">
      <w:pPr>
        <w:pStyle w:val="Nivel2SM"/>
      </w:pPr>
      <w:r w:rsidRPr="000D7BCF">
        <w:t>La persistente necesidad de financiación durante este período, dio lugar a un importantísimo aumento de los pasivos netos financieros de España frente al resto del mundo. Así, la Posición de Inversión Internacional pasó de una posición deudora modesta del 8</w:t>
      </w:r>
      <w:r w:rsidR="004978BF">
        <w:t> %</w:t>
      </w:r>
      <w:r w:rsidRPr="000D7BCF">
        <w:t xml:space="preserve"> en 1986, al </w:t>
      </w:r>
      <w:r w:rsidRPr="007841F2">
        <w:rPr>
          <w:highlight w:val="yellow"/>
        </w:rPr>
        <w:t>80</w:t>
      </w:r>
      <w:r w:rsidR="004978BF">
        <w:rPr>
          <w:highlight w:val="yellow"/>
        </w:rPr>
        <w:t> %</w:t>
      </w:r>
      <w:r w:rsidRPr="007841F2">
        <w:rPr>
          <w:highlight w:val="yellow"/>
        </w:rPr>
        <w:t xml:space="preserve"> en 2007</w:t>
      </w:r>
      <w:r w:rsidR="00AF5904" w:rsidRPr="007841F2">
        <w:rPr>
          <w:highlight w:val="yellow"/>
        </w:rPr>
        <w:t xml:space="preserve"> y 100</w:t>
      </w:r>
      <w:r w:rsidR="004978BF">
        <w:rPr>
          <w:highlight w:val="yellow"/>
        </w:rPr>
        <w:t> %</w:t>
      </w:r>
      <w:r w:rsidR="00AF5904" w:rsidRPr="007841F2">
        <w:rPr>
          <w:highlight w:val="yellow"/>
        </w:rPr>
        <w:t xml:space="preserve"> en el 2009</w:t>
      </w:r>
      <w:r w:rsidRPr="000D7BCF">
        <w:t>.</w:t>
      </w:r>
    </w:p>
    <w:p w14:paraId="04324479" w14:textId="4019D9C1" w:rsidR="00AF5904" w:rsidRPr="004978BF" w:rsidRDefault="00EE03BC" w:rsidP="00ED5819">
      <w:pPr>
        <w:pStyle w:val="Ttulo2"/>
      </w:pPr>
      <w:bookmarkStart w:id="46" w:name="_Toc178015994"/>
      <w:r>
        <w:lastRenderedPageBreak/>
        <w:t>Evolución d</w:t>
      </w:r>
      <w:r w:rsidR="004978BF" w:rsidRPr="004978BF">
        <w:t xml:space="preserve">esde la crisis hasta </w:t>
      </w:r>
      <w:r w:rsidR="005F328A" w:rsidRPr="004978BF">
        <w:t>201</w:t>
      </w:r>
      <w:r>
        <w:t>9</w:t>
      </w:r>
      <w:bookmarkEnd w:id="46"/>
    </w:p>
    <w:p w14:paraId="6671EEF8" w14:textId="394D94F0" w:rsidR="00AF5904" w:rsidRPr="004978BF" w:rsidRDefault="00AF5904" w:rsidP="00ED5819">
      <w:pPr>
        <w:pStyle w:val="Ttulo3"/>
        <w:numPr>
          <w:ilvl w:val="2"/>
          <w:numId w:val="54"/>
        </w:numPr>
        <w:spacing w:before="0"/>
      </w:pPr>
      <w:bookmarkStart w:id="47" w:name="_Toc178015995"/>
      <w:r>
        <w:t>Introducción</w:t>
      </w:r>
      <w:bookmarkEnd w:id="47"/>
    </w:p>
    <w:p w14:paraId="083C68E3" w14:textId="3AC385E6" w:rsidR="0080115A" w:rsidRPr="004978BF" w:rsidRDefault="00AF5904" w:rsidP="001963D6">
      <w:pPr>
        <w:pStyle w:val="Nivel2SM"/>
      </w:pPr>
      <w:r>
        <w:t>Al igual que a nivel interno, la economía española ha llevado un importante ajuste a nivel externo desde la crisis hasta la actualidad.</w:t>
      </w:r>
    </w:p>
    <w:p w14:paraId="11ABBC2F" w14:textId="71585D74" w:rsidR="007B4214" w:rsidRDefault="007B4214" w:rsidP="004978BF">
      <w:pPr>
        <w:pStyle w:val="Ttulo3"/>
      </w:pPr>
      <w:bookmarkStart w:id="48" w:name="_Toc178015996"/>
      <w:r w:rsidRPr="00AF5904">
        <w:t>Cuenta corriente</w:t>
      </w:r>
      <w:bookmarkEnd w:id="48"/>
    </w:p>
    <w:p w14:paraId="5D2435B0" w14:textId="29F24951" w:rsidR="005A3501" w:rsidRDefault="005A3501" w:rsidP="005A3501">
      <w:pPr>
        <w:pStyle w:val="Nivel2SM"/>
      </w:pPr>
      <w:r>
        <w:t>Durante la crisis y los años inmediatamente posteriores, la economía española ha experimentado un intenso proceso de ajuste en su balanza por cuenta corriente, alcanzando superávits desde 2013 (y en 2012 ya hubo capacidad de financiación debido a que el déficit por cuenta corriente era muy reducido y el positivo saldo por cuenta de capital lo compensaba).</w:t>
      </w:r>
    </w:p>
    <w:p w14:paraId="1C7031D6" w14:textId="7958CAE6" w:rsidR="00562403" w:rsidRDefault="00562403" w:rsidP="00562403">
      <w:pPr>
        <w:pStyle w:val="Nivel2SM"/>
        <w:keepNext/>
        <w:spacing w:after="0"/>
      </w:pPr>
      <w:r>
        <w:t>Esta corrección no tiene precedentes en la historia económica española contemporánea, tanto por su duración como por su coexistencia con un proceso de crecimiento del PIB sin recurrir a devaluaciones de moneda.</w:t>
      </w:r>
    </w:p>
    <w:p w14:paraId="720A9FE5" w14:textId="23068868" w:rsidR="004D2289" w:rsidRPr="004D2289" w:rsidRDefault="004D2289" w:rsidP="00562403">
      <w:pPr>
        <w:pStyle w:val="Nivel3SM"/>
        <w:keepNext/>
      </w:pPr>
      <w:r>
        <w:t xml:space="preserve">En una primera fase, el ajuste se debió principalmente a la reducción de las importaciones de bienes no energéticos, pero desde 2012 ha tenido lugar un aumento considerable de las exportaciones </w:t>
      </w:r>
      <w:r w:rsidR="00B8785B">
        <w:t xml:space="preserve">de bienes </w:t>
      </w:r>
      <w:r>
        <w:t xml:space="preserve">(creciendo de media un 5 % </w:t>
      </w:r>
      <w:r w:rsidR="00B8785B">
        <w:t xml:space="preserve">entre 2012 y </w:t>
      </w:r>
      <w:r>
        <w:t>2020</w:t>
      </w:r>
      <w:r w:rsidR="00B8785B">
        <w:t>, frente al crecimiento del 2,2 % de las exportaciones</w:t>
      </w:r>
      <w:r>
        <w:t>).</w:t>
      </w:r>
    </w:p>
    <w:p w14:paraId="0D448355" w14:textId="26359E67" w:rsidR="00562403" w:rsidRDefault="00562403" w:rsidP="00562403">
      <w:pPr>
        <w:pStyle w:val="Nivel3SM"/>
        <w:keepNext/>
      </w:pPr>
      <w:r>
        <w:rPr>
          <w:i/>
          <w:iCs/>
        </w:rPr>
        <w:t>Explicaciones</w:t>
      </w:r>
      <w:r>
        <w:t>:</w:t>
      </w:r>
    </w:p>
    <w:p w14:paraId="6CA2E578" w14:textId="1B6FFEBE" w:rsidR="00562403" w:rsidRDefault="00562403" w:rsidP="00562403">
      <w:pPr>
        <w:pStyle w:val="Nivel4"/>
        <w:ind w:left="1474"/>
      </w:pPr>
      <w:r>
        <w:t>Caída del precio del petróleo.</w:t>
      </w:r>
    </w:p>
    <w:p w14:paraId="52507BD1" w14:textId="79E887D8" w:rsidR="00562403" w:rsidRDefault="00562403" w:rsidP="00562403">
      <w:pPr>
        <w:pStyle w:val="Nivel4"/>
        <w:ind w:left="1474"/>
      </w:pPr>
      <w:r>
        <w:t>Esfuerzo de moderación salarial.</w:t>
      </w:r>
    </w:p>
    <w:p w14:paraId="5148EF06" w14:textId="04352709" w:rsidR="00562403" w:rsidRDefault="00562403" w:rsidP="00562403">
      <w:pPr>
        <w:pStyle w:val="Nivel4"/>
        <w:ind w:left="1474"/>
      </w:pPr>
      <w:r>
        <w:t>Ganancias en competitividad (debido a la depreciación del euro frente a las principales monedas de los socios comerciales entre 2008 y 2017)</w:t>
      </w:r>
      <w:r w:rsidR="00AA6024">
        <w:rPr>
          <w:rStyle w:val="Refdenotaalpie"/>
        </w:rPr>
        <w:footnoteReference w:id="8"/>
      </w:r>
      <w:r>
        <w:t>.</w:t>
      </w:r>
    </w:p>
    <w:p w14:paraId="302DB6A2" w14:textId="2BC67323" w:rsidR="00562403" w:rsidRDefault="00562403" w:rsidP="00562403">
      <w:pPr>
        <w:pStyle w:val="Nivel4"/>
        <w:ind w:left="1474"/>
      </w:pPr>
      <w:r>
        <w:t>Política de internacionalización.</w:t>
      </w:r>
    </w:p>
    <w:p w14:paraId="4E2A45B3" w14:textId="760D81C5" w:rsidR="00562403" w:rsidRDefault="00562403" w:rsidP="00562403">
      <w:pPr>
        <w:pStyle w:val="Nivel4"/>
        <w:ind w:left="1474"/>
      </w:pPr>
      <w:r>
        <w:t>Debilidad de la demanda interna.</w:t>
      </w:r>
    </w:p>
    <w:p w14:paraId="2D385F19" w14:textId="4A396263" w:rsidR="00562403" w:rsidRDefault="00562403" w:rsidP="00562403">
      <w:pPr>
        <w:pStyle w:val="Nivel4"/>
        <w:ind w:left="1474"/>
      </w:pPr>
      <w:r>
        <w:t>Desapalancamiento del sector privado y público que liberó mayor ahorro nacional.</w:t>
      </w:r>
    </w:p>
    <w:p w14:paraId="21E9B814" w14:textId="5046683F" w:rsidR="00562403" w:rsidRDefault="00562403" w:rsidP="00562403">
      <w:pPr>
        <w:pStyle w:val="Nivel4"/>
        <w:ind w:left="1474"/>
      </w:pPr>
      <w:r>
        <w:t>Bajos tipos de interés (que han reducido los costes de financiación de las empresas españolas, financiación imprescindible para acometer operativas de exportación).</w:t>
      </w:r>
    </w:p>
    <w:p w14:paraId="558A73C1" w14:textId="33365AA6" w:rsidR="00562403" w:rsidRPr="005A3501" w:rsidRDefault="006F4FDA" w:rsidP="00562403">
      <w:pPr>
        <w:pStyle w:val="Nivel3SM"/>
      </w:pPr>
      <w:r>
        <w:t>De acuerdo con las estimaciones del Banco de España, el 50 % de la corrección del desequilibrio sería de carácter estructural.</w:t>
      </w:r>
    </w:p>
    <w:p w14:paraId="4EA2E3B2" w14:textId="6823AD5B" w:rsidR="00AF5904" w:rsidRPr="00AF5904" w:rsidRDefault="007B4214" w:rsidP="007A2E52">
      <w:pPr>
        <w:pStyle w:val="Ttulo6"/>
        <w:spacing w:before="0"/>
      </w:pPr>
      <w:bookmarkStart w:id="49" w:name="_Toc178015997"/>
      <w:r w:rsidRPr="007B4214">
        <w:t>Balanza comercial</w:t>
      </w:r>
      <w:r w:rsidR="00AB083B">
        <w:t xml:space="preserve"> (bienes)</w:t>
      </w:r>
      <w:bookmarkEnd w:id="49"/>
    </w:p>
    <w:p w14:paraId="5A05F20A" w14:textId="2A1B24D2" w:rsidR="00AF5904" w:rsidRPr="00AF5904" w:rsidRDefault="00AF5904" w:rsidP="00581251">
      <w:pPr>
        <w:pStyle w:val="Nivel2SM"/>
        <w:keepNext/>
        <w:spacing w:after="0"/>
      </w:pPr>
      <w:r w:rsidRPr="00581251">
        <w:rPr>
          <w:i/>
          <w:iCs/>
          <w:u w:val="single"/>
        </w:rPr>
        <w:t>Evolución</w:t>
      </w:r>
      <w:r w:rsidR="00581251">
        <w:t>:</w:t>
      </w:r>
    </w:p>
    <w:p w14:paraId="31234353" w14:textId="789D66FD" w:rsidR="00AF5904" w:rsidRDefault="00AF5904" w:rsidP="00581251">
      <w:pPr>
        <w:pStyle w:val="Nivel3SM"/>
      </w:pPr>
      <w:r w:rsidRPr="00AC2893">
        <w:t xml:space="preserve">Fuerte </w:t>
      </w:r>
      <w:r w:rsidRPr="00F25627">
        <w:rPr>
          <w:b/>
          <w:bCs/>
        </w:rPr>
        <w:t>reducción del déficit</w:t>
      </w:r>
      <w:r w:rsidR="006E04B4" w:rsidRPr="00AC2893">
        <w:t xml:space="preserve"> desde un </w:t>
      </w:r>
      <w:r w:rsidR="00AC2893" w:rsidRPr="00AC2893">
        <w:t>9</w:t>
      </w:r>
      <w:r w:rsidR="004978BF" w:rsidRPr="00AC2893">
        <w:t> %</w:t>
      </w:r>
      <w:r w:rsidR="006E04B4" w:rsidRPr="00AC2893">
        <w:t xml:space="preserve"> en 200</w:t>
      </w:r>
      <w:r w:rsidR="00AC2893" w:rsidRPr="00AC2893">
        <w:t>8</w:t>
      </w:r>
      <w:r w:rsidR="006E04B4" w:rsidRPr="00AC2893">
        <w:t xml:space="preserve"> a un </w:t>
      </w:r>
      <w:r w:rsidR="00AC2893">
        <w:t>défic</w:t>
      </w:r>
      <w:r w:rsidR="00AC2893" w:rsidRPr="00AC2893">
        <w:t>it</w:t>
      </w:r>
      <w:r w:rsidR="006E04B4" w:rsidRPr="00AC2893">
        <w:t xml:space="preserve"> del </w:t>
      </w:r>
      <w:r w:rsidR="00791613" w:rsidRPr="00AC2893">
        <w:t>2</w:t>
      </w:r>
      <w:r w:rsidR="004978BF" w:rsidRPr="00AC2893">
        <w:t> %</w:t>
      </w:r>
      <w:r w:rsidR="00791613" w:rsidRPr="00AC2893">
        <w:t xml:space="preserve"> en 201</w:t>
      </w:r>
      <w:r w:rsidR="00AC2893" w:rsidRPr="00AC2893">
        <w:t>9</w:t>
      </w:r>
      <w:r>
        <w:t xml:space="preserve">. Además el </w:t>
      </w:r>
      <w:r w:rsidRPr="005D56EF">
        <w:rPr>
          <w:b/>
        </w:rPr>
        <w:t>saldo no</w:t>
      </w:r>
      <w:r w:rsidR="00DD2934">
        <w:rPr>
          <w:b/>
        </w:rPr>
        <w:t> </w:t>
      </w:r>
      <w:r w:rsidRPr="005D56EF">
        <w:rPr>
          <w:b/>
        </w:rPr>
        <w:t>energético registra desde el 2012 hasta el 20</w:t>
      </w:r>
      <w:r w:rsidR="00AB083B">
        <w:rPr>
          <w:b/>
        </w:rPr>
        <w:t>21</w:t>
      </w:r>
      <w:r w:rsidRPr="005D56EF">
        <w:rPr>
          <w:b/>
        </w:rPr>
        <w:t xml:space="preserve"> un superávit</w:t>
      </w:r>
      <w:r w:rsidR="00AB083B" w:rsidRPr="00532F65">
        <w:rPr>
          <w:bCs/>
        </w:rPr>
        <w:t xml:space="preserve"> (en 2022 ya no)</w:t>
      </w:r>
      <w:r w:rsidR="00E414F4">
        <w:rPr>
          <w:rStyle w:val="Refdenotaalpie"/>
          <w:bCs/>
        </w:rPr>
        <w:footnoteReference w:id="9"/>
      </w:r>
      <w:r>
        <w:t>.</w:t>
      </w:r>
    </w:p>
    <w:p w14:paraId="4B0F0819" w14:textId="6080FAB5" w:rsidR="00AF5904" w:rsidRPr="00AF5904" w:rsidRDefault="00AF5904" w:rsidP="00581251">
      <w:pPr>
        <w:pStyle w:val="Nivel2SM"/>
        <w:keepNext/>
        <w:spacing w:after="0"/>
      </w:pPr>
      <w:r w:rsidRPr="00581251">
        <w:rPr>
          <w:i/>
          <w:iCs/>
          <w:u w:val="single"/>
        </w:rPr>
        <w:t>Factores</w:t>
      </w:r>
      <w:r>
        <w:t>:</w:t>
      </w:r>
    </w:p>
    <w:p w14:paraId="1AB6748F" w14:textId="1E53D44B" w:rsidR="007B4214" w:rsidRDefault="007B4214" w:rsidP="00CA59FA">
      <w:pPr>
        <w:pStyle w:val="Nivel3SM"/>
        <w:keepNext/>
      </w:pPr>
      <w:r w:rsidRPr="00CA59FA">
        <w:rPr>
          <w:i/>
          <w:iCs/>
        </w:rPr>
        <w:t>Disminución de las importaciones</w:t>
      </w:r>
      <w:r w:rsidR="00CA59FA">
        <w:t>:</w:t>
      </w:r>
    </w:p>
    <w:p w14:paraId="64A264BE" w14:textId="77777777" w:rsidR="007B4214" w:rsidRPr="004B6AC1" w:rsidRDefault="007B4214" w:rsidP="00CA59FA">
      <w:pPr>
        <w:pStyle w:val="Nivel4"/>
        <w:ind w:left="1474"/>
        <w:rPr>
          <w:spacing w:val="-5"/>
        </w:rPr>
      </w:pPr>
      <w:r w:rsidRPr="004B6AC1">
        <w:rPr>
          <w:spacing w:val="-5"/>
        </w:rPr>
        <w:t xml:space="preserve">Como consecuencia de la reducción de la renta y la contracción de la actividad económica </w:t>
      </w:r>
      <w:r w:rsidRPr="004B6AC1">
        <w:t>(que implica menos importaciones de consumos intermedios, de energía, etc.).</w:t>
      </w:r>
    </w:p>
    <w:p w14:paraId="44FFC236" w14:textId="6A3A3528" w:rsidR="007B4214" w:rsidRDefault="007B4214" w:rsidP="00CA59FA">
      <w:pPr>
        <w:pStyle w:val="Nivel3SM"/>
        <w:keepNext/>
      </w:pPr>
      <w:r w:rsidRPr="00CA59FA">
        <w:rPr>
          <w:i/>
          <w:iCs/>
        </w:rPr>
        <w:t>Aumento de las exportaciones</w:t>
      </w:r>
      <w:r w:rsidR="00CA59FA">
        <w:t>:</w:t>
      </w:r>
    </w:p>
    <w:p w14:paraId="22CA6EC1" w14:textId="77777777" w:rsidR="007B4214" w:rsidRDefault="007B4214" w:rsidP="00CA59FA">
      <w:pPr>
        <w:pStyle w:val="Nivel4"/>
        <w:ind w:left="1474"/>
      </w:pPr>
      <w:r>
        <w:t>Recuperación temprana de los mercados mundiales.</w:t>
      </w:r>
    </w:p>
    <w:p w14:paraId="4B07B37C" w14:textId="77777777" w:rsidR="007B4214" w:rsidRDefault="007B4214" w:rsidP="00CA59FA">
      <w:pPr>
        <w:pStyle w:val="Nivel4"/>
        <w:ind w:left="1474"/>
      </w:pPr>
      <w:r>
        <w:t>La ganancia de competitividad frente a los países no comunitarios por la depreciación del euro.</w:t>
      </w:r>
    </w:p>
    <w:p w14:paraId="017D7FEE" w14:textId="77777777" w:rsidR="007B4214" w:rsidRDefault="007B4214" w:rsidP="00CA59FA">
      <w:pPr>
        <w:pStyle w:val="Nivel4"/>
        <w:ind w:left="1474"/>
      </w:pPr>
      <w:r>
        <w:t>Mejora de competitividad frente a los socios europeos a través de reducción de los costes laborales unitarios (moderación salarial).</w:t>
      </w:r>
    </w:p>
    <w:p w14:paraId="3D972074" w14:textId="4DFA596F" w:rsidR="007B4214" w:rsidRDefault="00AF5904" w:rsidP="00CA59FA">
      <w:pPr>
        <w:pStyle w:val="Nivel4"/>
        <w:ind w:left="1474"/>
      </w:pPr>
      <w:r>
        <w:t>Fuerte impulso de la política de promoción de exportaciones con la implementación de la Estrategia de la Internacionalización de la Economía Española</w:t>
      </w:r>
      <w:r w:rsidR="00E414F4">
        <w:t xml:space="preserve"> </w:t>
      </w:r>
      <w:r w:rsidR="00E414F4" w:rsidRPr="00E414F4">
        <w:rPr>
          <w:color w:val="767171" w:themeColor="background2" w:themeShade="80"/>
          <w:sz w:val="19"/>
          <w:szCs w:val="19"/>
        </w:rPr>
        <w:t>[</w:t>
      </w:r>
      <w:r w:rsidR="00E414F4">
        <w:rPr>
          <w:color w:val="767171" w:themeColor="background2" w:themeShade="80"/>
          <w:sz w:val="19"/>
          <w:szCs w:val="19"/>
        </w:rPr>
        <w:t>ver tema 4.A.23</w:t>
      </w:r>
      <w:r w:rsidR="00E414F4" w:rsidRPr="00E414F4">
        <w:rPr>
          <w:color w:val="767171" w:themeColor="background2" w:themeShade="80"/>
          <w:sz w:val="19"/>
          <w:szCs w:val="19"/>
        </w:rPr>
        <w:t>]</w:t>
      </w:r>
      <w:r>
        <w:t>.</w:t>
      </w:r>
    </w:p>
    <w:p w14:paraId="69C4E7AB" w14:textId="5FB2FEE8" w:rsidR="007B4214" w:rsidRDefault="007B4214" w:rsidP="007A2E52">
      <w:pPr>
        <w:pStyle w:val="Ttulo6"/>
      </w:pPr>
      <w:bookmarkStart w:id="50" w:name="_Toc178015998"/>
      <w:r w:rsidRPr="007B4214">
        <w:lastRenderedPageBreak/>
        <w:t>Balanza de servicios</w:t>
      </w:r>
      <w:bookmarkEnd w:id="50"/>
    </w:p>
    <w:p w14:paraId="71FB1AE4" w14:textId="01FC8993" w:rsidR="00AF5904" w:rsidRPr="00AF5904" w:rsidRDefault="00AF5904" w:rsidP="00CA59FA">
      <w:pPr>
        <w:pStyle w:val="Nivel2SM"/>
        <w:keepNext/>
        <w:spacing w:after="0"/>
      </w:pPr>
      <w:r w:rsidRPr="00CA59FA">
        <w:rPr>
          <w:i/>
          <w:iCs/>
          <w:u w:val="single"/>
        </w:rPr>
        <w:t>Evolución</w:t>
      </w:r>
      <w:r w:rsidR="00CA59FA">
        <w:t>:</w:t>
      </w:r>
    </w:p>
    <w:p w14:paraId="49437F22" w14:textId="3389AE99" w:rsidR="00791613" w:rsidRDefault="00791613" w:rsidP="00CA59FA">
      <w:pPr>
        <w:pStyle w:val="Nivel3SM"/>
      </w:pPr>
      <w:r>
        <w:t xml:space="preserve">Aumento del superávit desde el </w:t>
      </w:r>
      <w:r w:rsidRPr="005D56EF">
        <w:t>mínimo alcanzado en 2007 (</w:t>
      </w:r>
      <w:r w:rsidR="00101DEF">
        <w:t>3</w:t>
      </w:r>
      <w:r w:rsidR="004978BF">
        <w:t> %</w:t>
      </w:r>
      <w:r w:rsidRPr="005D56EF">
        <w:t>)</w:t>
      </w:r>
      <w:r>
        <w:t xml:space="preserve"> </w:t>
      </w:r>
      <w:r w:rsidRPr="005D56EF">
        <w:t xml:space="preserve">hasta el </w:t>
      </w:r>
      <w:r w:rsidR="00101DEF">
        <w:t>5</w:t>
      </w:r>
      <w:r w:rsidR="004978BF">
        <w:t> %</w:t>
      </w:r>
      <w:r w:rsidRPr="005D56EF">
        <w:t xml:space="preserve"> en 201</w:t>
      </w:r>
      <w:r w:rsidR="00101DEF">
        <w:t>9</w:t>
      </w:r>
      <w:r>
        <w:t>.</w:t>
      </w:r>
    </w:p>
    <w:p w14:paraId="3812B5C8" w14:textId="2902032E" w:rsidR="00791613" w:rsidRPr="00791613" w:rsidRDefault="00791613" w:rsidP="00CA59FA">
      <w:pPr>
        <w:pStyle w:val="Nivel2SM"/>
        <w:keepNext/>
        <w:spacing w:after="0"/>
      </w:pPr>
      <w:r w:rsidRPr="00CA59FA">
        <w:rPr>
          <w:i/>
          <w:iCs/>
          <w:u w:val="single"/>
        </w:rPr>
        <w:t>Turismo y Viajes</w:t>
      </w:r>
      <w:r w:rsidR="00CA59FA">
        <w:t>:</w:t>
      </w:r>
    </w:p>
    <w:p w14:paraId="40D48BDA" w14:textId="0F19661E" w:rsidR="00791613" w:rsidRDefault="00791613" w:rsidP="00CA59FA">
      <w:pPr>
        <w:pStyle w:val="Nivel3SM"/>
      </w:pPr>
      <w:r>
        <w:t>Tocan fondo en 2009 debido a la crisis económica y reducción de la renta disponible extranjera pero se recupera desde entonces no registrando valores inferiores al 3</w:t>
      </w:r>
      <w:r w:rsidR="004978BF">
        <w:t> %</w:t>
      </w:r>
      <w:r>
        <w:t>. En 201</w:t>
      </w:r>
      <w:r w:rsidR="00101DEF">
        <w:t>9</w:t>
      </w:r>
      <w:r>
        <w:t xml:space="preserve"> registra un valor del </w:t>
      </w:r>
      <w:r w:rsidR="00101DEF">
        <w:t>4</w:t>
      </w:r>
      <w:r w:rsidR="004978BF">
        <w:t> %</w:t>
      </w:r>
      <w:r>
        <w:t>. A su vez el aumento del terrorismo y los eventos de la primavera árabe tienen un importante efecto sobre la rúbrica de turismo.</w:t>
      </w:r>
    </w:p>
    <w:p w14:paraId="4453EDBE" w14:textId="34A9D3FD" w:rsidR="00791613" w:rsidRPr="00791613" w:rsidRDefault="00791613" w:rsidP="00CA59FA">
      <w:pPr>
        <w:pStyle w:val="Nivel2SM"/>
        <w:keepNext/>
        <w:spacing w:after="0"/>
      </w:pPr>
      <w:r w:rsidRPr="00CA59FA">
        <w:rPr>
          <w:i/>
          <w:iCs/>
          <w:u w:val="single"/>
        </w:rPr>
        <w:t>Otros servicios</w:t>
      </w:r>
      <w:r w:rsidR="00CA59FA">
        <w:t>:</w:t>
      </w:r>
    </w:p>
    <w:p w14:paraId="62D46066" w14:textId="584C5291" w:rsidR="00791613" w:rsidRDefault="00791613" w:rsidP="00CA59FA">
      <w:pPr>
        <w:pStyle w:val="Nivel3SM"/>
      </w:pPr>
      <w:r>
        <w:t>C</w:t>
      </w:r>
      <w:r w:rsidR="007B4214">
        <w:t xml:space="preserve">ontracción </w:t>
      </w:r>
      <w:r>
        <w:t xml:space="preserve">de las importaciones </w:t>
      </w:r>
      <w:r w:rsidR="007B4214">
        <w:t>de este tipo de comercio ante la redu</w:t>
      </w:r>
      <w:r>
        <w:t>cción de la actividad económica y a un aumento de las exportaciones posteriormente sobre todo en el área de las TIC y consultoría.</w:t>
      </w:r>
    </w:p>
    <w:p w14:paraId="250D1D20" w14:textId="2C05098E" w:rsidR="007B4214" w:rsidRDefault="007B4214" w:rsidP="007A2E52">
      <w:pPr>
        <w:pStyle w:val="Ttulo6"/>
      </w:pPr>
      <w:bookmarkStart w:id="51" w:name="_Toc178015999"/>
      <w:r w:rsidRPr="007B4214">
        <w:t>Balanza de rentas primarias</w:t>
      </w:r>
      <w:bookmarkEnd w:id="51"/>
    </w:p>
    <w:p w14:paraId="732591AA" w14:textId="46F5300C" w:rsidR="007B4214" w:rsidRDefault="005D56EF" w:rsidP="001963D6">
      <w:pPr>
        <w:pStyle w:val="Nivel2SM"/>
      </w:pPr>
      <w:r>
        <w:t>Importante déficit debido al endeudamiento de la economía que</w:t>
      </w:r>
      <w:r w:rsidR="00101DEF">
        <w:t>,</w:t>
      </w:r>
      <w:r>
        <w:t xml:space="preserve"> </w:t>
      </w:r>
      <w:r w:rsidR="00101DEF">
        <w:t>n</w:t>
      </w:r>
      <w:r w:rsidR="007400A5">
        <w:t xml:space="preserve">o obstante, </w:t>
      </w:r>
      <w:r>
        <w:t>se va reduciendo conforme se van corrigiendo el resto de desequilibrios.</w:t>
      </w:r>
    </w:p>
    <w:p w14:paraId="009F6034" w14:textId="386B1FA0" w:rsidR="007B4214" w:rsidRDefault="007B4214" w:rsidP="007A2E52">
      <w:pPr>
        <w:pStyle w:val="Ttulo6"/>
      </w:pPr>
      <w:bookmarkStart w:id="52" w:name="_Toc178016000"/>
      <w:r w:rsidRPr="007B4214">
        <w:t>Balanza de rentas secundarias</w:t>
      </w:r>
      <w:bookmarkEnd w:id="52"/>
    </w:p>
    <w:p w14:paraId="4265CEC7" w14:textId="0308778B" w:rsidR="007B4214" w:rsidRDefault="007B4214" w:rsidP="00F926CA">
      <w:pPr>
        <w:pStyle w:val="Nivel2SM"/>
      </w:pPr>
      <w:r>
        <w:t>El déficit de esta balanza se reduce gracias a la reducción de los pagos a la UE (por la caída de las aportaciones de recurso IVA y de recurso RNB) y por la reducción de las remesas de inmigrantes en España.</w:t>
      </w:r>
    </w:p>
    <w:p w14:paraId="2FBD8D91" w14:textId="67720A15" w:rsidR="00CD499C" w:rsidRDefault="00CD499C" w:rsidP="00CD499C">
      <w:pPr>
        <w:pStyle w:val="Ttulo3"/>
      </w:pPr>
      <w:bookmarkStart w:id="53" w:name="_Toc178016001"/>
      <w:r>
        <w:t>Cuenta de capital</w:t>
      </w:r>
      <w:bookmarkEnd w:id="53"/>
    </w:p>
    <w:p w14:paraId="2325BA08" w14:textId="2F176655" w:rsidR="00791613" w:rsidRDefault="007B4214" w:rsidP="00CD499C">
      <w:pPr>
        <w:pStyle w:val="Ttulo3"/>
      </w:pPr>
      <w:bookmarkStart w:id="54" w:name="_Toc178016002"/>
      <w:r w:rsidRPr="007B4214">
        <w:t>Capacidad/necesidad de financiación</w:t>
      </w:r>
      <w:bookmarkEnd w:id="54"/>
    </w:p>
    <w:p w14:paraId="1DA590BD" w14:textId="37756E3F" w:rsidR="00CD499C" w:rsidRPr="00CD499C" w:rsidRDefault="00CD499C" w:rsidP="00CD499C">
      <w:pPr>
        <w:pStyle w:val="Ttulo6"/>
        <w:numPr>
          <w:ilvl w:val="0"/>
          <w:numId w:val="56"/>
        </w:numPr>
        <w:spacing w:before="0"/>
        <w:ind w:left="0" w:hanging="284"/>
      </w:pPr>
      <w:bookmarkStart w:id="55" w:name="_Toc178016003"/>
      <w:r>
        <w:t>Evolución</w:t>
      </w:r>
      <w:bookmarkEnd w:id="55"/>
    </w:p>
    <w:p w14:paraId="795E8531" w14:textId="60FF6D3A" w:rsidR="007B4214" w:rsidRDefault="00F926CA" w:rsidP="00F926CA">
      <w:pPr>
        <w:pStyle w:val="Nivel2SM"/>
        <w:keepNext/>
        <w:spacing w:after="0"/>
      </w:pPr>
      <w:r>
        <w:t>Durante la crisis</w:t>
      </w:r>
      <w:r w:rsidRPr="005D56EF">
        <w:t>,</w:t>
      </w:r>
      <w:r w:rsidRPr="005D56EF">
        <w:rPr>
          <w:b/>
        </w:rPr>
        <w:t xml:space="preserve"> se reduce la necesidad de financiación, hasta el punto de que en </w:t>
      </w:r>
      <w:r w:rsidR="00101DEF" w:rsidRPr="00101DEF">
        <w:rPr>
          <w:b/>
        </w:rPr>
        <w:t>2012</w:t>
      </w:r>
      <w:r w:rsidR="00101DEF">
        <w:rPr>
          <w:b/>
        </w:rPr>
        <w:t xml:space="preserve"> </w:t>
      </w:r>
      <w:r w:rsidR="00101DEF" w:rsidRPr="00101DEF">
        <w:rPr>
          <w:bCs/>
        </w:rPr>
        <w:t>(</w:t>
      </w:r>
      <w:r w:rsidR="00101DEF">
        <w:rPr>
          <w:bCs/>
        </w:rPr>
        <w:t xml:space="preserve">pese al </w:t>
      </w:r>
      <w:r w:rsidR="006553E5">
        <w:rPr>
          <w:bCs/>
        </w:rPr>
        <w:t>equilibrio</w:t>
      </w:r>
      <w:r w:rsidR="00101DEF">
        <w:rPr>
          <w:bCs/>
        </w:rPr>
        <w:t xml:space="preserve"> en la cuenta corriente</w:t>
      </w:r>
      <w:r w:rsidR="00101DEF" w:rsidRPr="00101DEF">
        <w:rPr>
          <w:bCs/>
        </w:rPr>
        <w:t>)</w:t>
      </w:r>
      <w:r w:rsidR="00101DEF">
        <w:t xml:space="preserve">, la economía española consigue alcanzar, por primera vez en mucho tiempo, </w:t>
      </w:r>
      <w:r w:rsidR="00101DEF" w:rsidRPr="005D56EF">
        <w:rPr>
          <w:b/>
          <w:u w:val="single"/>
        </w:rPr>
        <w:t xml:space="preserve">capacidad de financiación de un </w:t>
      </w:r>
      <w:r w:rsidR="00101DEF">
        <w:rPr>
          <w:b/>
          <w:u w:val="single"/>
        </w:rPr>
        <w:t>0,6 %</w:t>
      </w:r>
      <w:r w:rsidR="006553E5">
        <w:rPr>
          <w:bCs/>
        </w:rPr>
        <w:t xml:space="preserve"> (debido al superávit en la cuenta de capital)</w:t>
      </w:r>
      <w:r w:rsidR="00101DEF">
        <w:rPr>
          <w:bCs/>
        </w:rPr>
        <w:t>.</w:t>
      </w:r>
      <w:r w:rsidR="006553E5">
        <w:rPr>
          <w:bCs/>
        </w:rPr>
        <w:t xml:space="preserve"> Así</w:t>
      </w:r>
      <w:r w:rsidR="00101DEF">
        <w:rPr>
          <w:bCs/>
        </w:rPr>
        <w:t xml:space="preserve">, en </w:t>
      </w:r>
      <w:r w:rsidRPr="00101DEF">
        <w:rPr>
          <w:bCs/>
        </w:rPr>
        <w:t>el</w:t>
      </w:r>
      <w:r w:rsidRPr="005D56EF">
        <w:rPr>
          <w:b/>
        </w:rPr>
        <w:t xml:space="preserve"> último año de crisis, 2013</w:t>
      </w:r>
      <w:r>
        <w:t xml:space="preserve">, la economía española </w:t>
      </w:r>
      <w:r w:rsidR="006553E5">
        <w:t>se sitúa en una</w:t>
      </w:r>
      <w:r>
        <w:t xml:space="preserve"> </w:t>
      </w:r>
      <w:r w:rsidRPr="005D56EF">
        <w:rPr>
          <w:b/>
          <w:u w:val="single"/>
        </w:rPr>
        <w:t>capacidad de financiación de un 2</w:t>
      </w:r>
      <w:r>
        <w:rPr>
          <w:b/>
          <w:u w:val="single"/>
        </w:rPr>
        <w:t>,</w:t>
      </w:r>
      <w:r w:rsidR="00101DEF">
        <w:rPr>
          <w:b/>
          <w:u w:val="single"/>
        </w:rPr>
        <w:t>7</w:t>
      </w:r>
      <w:r>
        <w:rPr>
          <w:b/>
          <w:u w:val="single"/>
        </w:rPr>
        <w:t> %</w:t>
      </w:r>
      <w:r w:rsidR="006553E5">
        <w:rPr>
          <w:bCs/>
        </w:rPr>
        <w:t xml:space="preserve"> (con superávit por cuenta corriente)</w:t>
      </w:r>
      <w:r>
        <w:t xml:space="preserve">, y ahí se ha mantenido desde entonces registrando un </w:t>
      </w:r>
      <w:r w:rsidRPr="005D56EF">
        <w:rPr>
          <w:b/>
        </w:rPr>
        <w:t>2</w:t>
      </w:r>
      <w:r>
        <w:rPr>
          <w:b/>
        </w:rPr>
        <w:t>,</w:t>
      </w:r>
      <w:r w:rsidR="00FB2722">
        <w:rPr>
          <w:b/>
        </w:rPr>
        <w:t>4</w:t>
      </w:r>
      <w:r>
        <w:rPr>
          <w:b/>
        </w:rPr>
        <w:t> %</w:t>
      </w:r>
      <w:r w:rsidRPr="005D56EF">
        <w:rPr>
          <w:b/>
        </w:rPr>
        <w:t xml:space="preserve"> en 201</w:t>
      </w:r>
      <w:r w:rsidR="00FB2722">
        <w:rPr>
          <w:b/>
        </w:rPr>
        <w:t>9</w:t>
      </w:r>
      <w:r>
        <w:t>.</w:t>
      </w:r>
    </w:p>
    <w:p w14:paraId="3A28A329" w14:textId="3AFB5E79" w:rsidR="007B4214" w:rsidRDefault="007B4214" w:rsidP="00F926CA">
      <w:pPr>
        <w:pStyle w:val="Nivel3SM"/>
      </w:pPr>
      <w:r>
        <w:t>En esta crisis, como en las anteriores, España cons</w:t>
      </w:r>
      <w:r w:rsidR="00FB2722">
        <w:t>iguió</w:t>
      </w:r>
      <w:r>
        <w:t xml:space="preserve"> tener capacidad de financiación. Sin embargo, a diferencia de lo ocurrido en las anteriores crisis, en ésta la economía española </w:t>
      </w:r>
      <w:r w:rsidR="00075F3D">
        <w:t>tardó</w:t>
      </w:r>
      <w:r>
        <w:t xml:space="preserve"> en alcanzar dicha capacidad de financiación</w:t>
      </w:r>
      <w:r w:rsidR="00005161">
        <w:t>.</w:t>
      </w:r>
      <w:r>
        <w:t xml:space="preserve"> </w:t>
      </w:r>
      <w:r w:rsidR="00005161">
        <w:t>Esto se debe</w:t>
      </w:r>
      <w:r>
        <w:t>, sobre todo, a que es la primera crisis en la que España no lleva a cabo devaluaciones de su moneda para ganar competitividad.</w:t>
      </w:r>
    </w:p>
    <w:p w14:paraId="44082733" w14:textId="23C0C453" w:rsidR="007B4214" w:rsidRDefault="007B4214" w:rsidP="00F926CA">
      <w:pPr>
        <w:pStyle w:val="Nivel3SM"/>
      </w:pPr>
      <w:r>
        <w:t xml:space="preserve">En efecto, España ha seguido tradicionalmente lo que se conoce como </w:t>
      </w:r>
      <w:r w:rsidRPr="00386E1C">
        <w:rPr>
          <w:i/>
          <w:iCs/>
          <w:u w:val="single"/>
        </w:rPr>
        <w:t>“regla del 4</w:t>
      </w:r>
      <w:r w:rsidR="004978BF" w:rsidRPr="00386E1C">
        <w:rPr>
          <w:i/>
          <w:iCs/>
          <w:u w:val="single"/>
        </w:rPr>
        <w:t> %</w:t>
      </w:r>
      <w:r w:rsidRPr="00386E1C">
        <w:rPr>
          <w:i/>
          <w:iCs/>
          <w:u w:val="single"/>
        </w:rPr>
        <w:t>”</w:t>
      </w:r>
      <w:r>
        <w:t>: cada vez que su déficit por cuenta corriente se ha aproximado al 4</w:t>
      </w:r>
      <w:r w:rsidR="004978BF">
        <w:t> %</w:t>
      </w:r>
      <w:r>
        <w:t xml:space="preserve">, </w:t>
      </w:r>
      <w:r w:rsidR="00075F3D">
        <w:t>procedía</w:t>
      </w:r>
      <w:r>
        <w:t xml:space="preserve"> a devaluar la peseta (1967, 1977, 1982, y 1993).</w:t>
      </w:r>
    </w:p>
    <w:p w14:paraId="12339F66" w14:textId="2B981DF5" w:rsidR="00CD499C" w:rsidRDefault="00CD499C" w:rsidP="00CD499C">
      <w:pPr>
        <w:pStyle w:val="Ttulo6"/>
        <w:numPr>
          <w:ilvl w:val="0"/>
          <w:numId w:val="56"/>
        </w:numPr>
        <w:ind w:left="0" w:hanging="284"/>
      </w:pPr>
      <w:bookmarkStart w:id="56" w:name="_Toc178016004"/>
      <w:r>
        <w:t>Desglose desde la óptica ahorro-inversión</w:t>
      </w:r>
      <w:bookmarkEnd w:id="56"/>
    </w:p>
    <w:p w14:paraId="01DA4AB3" w14:textId="133239D8" w:rsidR="00791613" w:rsidRDefault="007B4214" w:rsidP="00CD499C">
      <w:pPr>
        <w:pStyle w:val="Ttulo6"/>
        <w:numPr>
          <w:ilvl w:val="0"/>
          <w:numId w:val="56"/>
        </w:numPr>
        <w:ind w:left="0" w:hanging="284"/>
      </w:pPr>
      <w:bookmarkStart w:id="57" w:name="_Toc178016005"/>
      <w:r w:rsidRPr="007B4214">
        <w:t>Desglose por sectores institucionales</w:t>
      </w:r>
      <w:bookmarkEnd w:id="57"/>
    </w:p>
    <w:p w14:paraId="28439B9A" w14:textId="77777777" w:rsidR="00791613" w:rsidRDefault="00791613" w:rsidP="00D63348">
      <w:pPr>
        <w:pStyle w:val="Nivel2SM"/>
        <w:keepNext/>
        <w:spacing w:after="0"/>
      </w:pPr>
      <w:r>
        <w:t xml:space="preserve">El desglose por </w:t>
      </w:r>
      <w:r w:rsidRPr="00D63348">
        <w:rPr>
          <w:b/>
          <w:bCs/>
        </w:rPr>
        <w:t>sector institucional</w:t>
      </w:r>
      <w:r>
        <w:t xml:space="preserve"> viene dado por: </w:t>
      </w:r>
    </w:p>
    <w:p w14:paraId="3ABCEC7E" w14:textId="77777777" w:rsidR="00907F38" w:rsidRDefault="00907F38" w:rsidP="00907F38">
      <w:pPr>
        <w:pStyle w:val="Nivel3SM"/>
        <w:keepNext/>
      </w:pPr>
      <w:r w:rsidRPr="00D63348">
        <w:rPr>
          <w:i/>
          <w:iCs/>
          <w:u w:val="single"/>
        </w:rPr>
        <w:t>Familias</w:t>
      </w:r>
      <w:r>
        <w:t>: Volvieron a tener capacidad de financiación, al reducir su inversión e incrementar su ahorro por el fin del boom inmobiliario y el endurecimiento de las condiciones crediticias.</w:t>
      </w:r>
    </w:p>
    <w:p w14:paraId="7CC9816D" w14:textId="6618EA38" w:rsidR="00907F38" w:rsidRDefault="00907F38" w:rsidP="00907F38">
      <w:pPr>
        <w:pStyle w:val="Nivel4"/>
        <w:ind w:left="1474"/>
      </w:pPr>
      <w:r>
        <w:t>No obstante, el ahorro de las familias se sitúa en niveles mínimos durante los años previos a la pandemia.</w:t>
      </w:r>
    </w:p>
    <w:p w14:paraId="15053935" w14:textId="313EE3C6" w:rsidR="007B4214" w:rsidRDefault="00D63348" w:rsidP="00D63348">
      <w:pPr>
        <w:pStyle w:val="Nivel3SM"/>
      </w:pPr>
      <w:r w:rsidRPr="00D63348">
        <w:rPr>
          <w:i/>
          <w:iCs/>
          <w:u w:val="single"/>
        </w:rPr>
        <w:t>S</w:t>
      </w:r>
      <w:r w:rsidR="007B4214" w:rsidRPr="00D63348">
        <w:rPr>
          <w:i/>
          <w:iCs/>
          <w:u w:val="single"/>
        </w:rPr>
        <w:t>ociedades no financieras</w:t>
      </w:r>
      <w:r>
        <w:t>: S</w:t>
      </w:r>
      <w:r w:rsidR="007B4214">
        <w:t>iguen teniendo necesidad de financiación, pero ésta se redujo mucho en la crisis.</w:t>
      </w:r>
    </w:p>
    <w:p w14:paraId="6A08CD49" w14:textId="77777777" w:rsidR="00907F38" w:rsidRDefault="00907F38" w:rsidP="00907F38">
      <w:pPr>
        <w:pStyle w:val="Nivel3SM"/>
      </w:pPr>
      <w:r w:rsidRPr="00D63348">
        <w:rPr>
          <w:i/>
          <w:iCs/>
          <w:u w:val="single"/>
        </w:rPr>
        <w:lastRenderedPageBreak/>
        <w:t>AAPP</w:t>
      </w:r>
      <w:r>
        <w:t>: Vuelven a tener necesidad de financiación al registrar importantes déficits.</w:t>
      </w:r>
    </w:p>
    <w:p w14:paraId="6814540A" w14:textId="618056D0" w:rsidR="00791613" w:rsidRPr="00791613" w:rsidRDefault="00791613" w:rsidP="008C79D0">
      <w:pPr>
        <w:pStyle w:val="Ttulo3"/>
      </w:pPr>
      <w:bookmarkStart w:id="58" w:name="_Toc178016006"/>
      <w:r w:rsidRPr="00791613">
        <w:t>Cuenta Financiera</w:t>
      </w:r>
      <w:bookmarkEnd w:id="58"/>
    </w:p>
    <w:p w14:paraId="28DF7E44" w14:textId="77777777" w:rsidR="007B4214" w:rsidRDefault="007B4214" w:rsidP="00D63348">
      <w:pPr>
        <w:pStyle w:val="Nivel2SM"/>
      </w:pPr>
      <w:r>
        <w:t>La financiación del déficit exterior se siguió produciendo por medio de inversiones en cartera.</w:t>
      </w:r>
    </w:p>
    <w:p w14:paraId="7573ED93" w14:textId="2E985BE2" w:rsidR="007B4214" w:rsidRDefault="007B4214" w:rsidP="00CD499C">
      <w:pPr>
        <w:pStyle w:val="Ttulo3"/>
      </w:pPr>
      <w:bookmarkStart w:id="59" w:name="_Toc178016007"/>
      <w:r w:rsidRPr="007B4214">
        <w:t>Posición de Inversión Internacional</w:t>
      </w:r>
      <w:r w:rsidR="00CD499C">
        <w:t xml:space="preserve"> y Deuda Bruta Externa</w:t>
      </w:r>
      <w:bookmarkEnd w:id="59"/>
    </w:p>
    <w:p w14:paraId="5BA13115" w14:textId="7D45B3F2" w:rsidR="00CD499C" w:rsidRPr="00CD499C" w:rsidRDefault="00CD499C" w:rsidP="00CD499C">
      <w:pPr>
        <w:pStyle w:val="Ttulo6"/>
        <w:spacing w:before="0"/>
      </w:pPr>
      <w:bookmarkStart w:id="60" w:name="_Toc178016008"/>
      <w:r>
        <w:t>Posición de Inversión Internacional</w:t>
      </w:r>
      <w:bookmarkEnd w:id="60"/>
    </w:p>
    <w:p w14:paraId="47A1319D" w14:textId="70225F75" w:rsidR="007B4214" w:rsidRDefault="007B4214" w:rsidP="00F926CA">
      <w:pPr>
        <w:pStyle w:val="Nivel2SM"/>
        <w:keepNext/>
        <w:spacing w:after="0"/>
      </w:pPr>
      <w:r>
        <w:t xml:space="preserve">La Posición de Inversión Internacional llegó a alcanzar casi el </w:t>
      </w:r>
      <w:r w:rsidRPr="005D56EF">
        <w:rPr>
          <w:b/>
        </w:rPr>
        <w:t>100</w:t>
      </w:r>
      <w:r w:rsidR="004978BF">
        <w:rPr>
          <w:b/>
        </w:rPr>
        <w:t> %</w:t>
      </w:r>
      <w:r w:rsidRPr="005D56EF">
        <w:rPr>
          <w:b/>
        </w:rPr>
        <w:t xml:space="preserve"> en 20</w:t>
      </w:r>
      <w:r w:rsidR="00EA36A0" w:rsidRPr="005D56EF">
        <w:rPr>
          <w:b/>
        </w:rPr>
        <w:t>10 manteniéndose estable hasta 2015</w:t>
      </w:r>
      <w:r w:rsidR="00EA36A0">
        <w:t xml:space="preserve">. Desde entonces ha seguido una reducción paulatina hasta registrar un </w:t>
      </w:r>
      <w:r w:rsidR="0097141D">
        <w:rPr>
          <w:b/>
        </w:rPr>
        <w:t>7</w:t>
      </w:r>
      <w:r w:rsidR="00EA36A0" w:rsidRPr="005D56EF">
        <w:rPr>
          <w:b/>
        </w:rPr>
        <w:t>3</w:t>
      </w:r>
      <w:r w:rsidR="00D63348">
        <w:rPr>
          <w:b/>
        </w:rPr>
        <w:t>,</w:t>
      </w:r>
      <w:r w:rsidR="0097141D">
        <w:rPr>
          <w:b/>
        </w:rPr>
        <w:t>7</w:t>
      </w:r>
      <w:r w:rsidR="004978BF">
        <w:rPr>
          <w:b/>
        </w:rPr>
        <w:t> %</w:t>
      </w:r>
      <w:r w:rsidR="00EA36A0" w:rsidRPr="005D56EF">
        <w:rPr>
          <w:b/>
        </w:rPr>
        <w:t xml:space="preserve"> del PIB en 201</w:t>
      </w:r>
      <w:r w:rsidR="0097141D">
        <w:rPr>
          <w:b/>
        </w:rPr>
        <w:t>9</w:t>
      </w:r>
      <w:r w:rsidR="00EA36A0">
        <w:t>.</w:t>
      </w:r>
    </w:p>
    <w:p w14:paraId="0DF93778" w14:textId="71B4F2D4" w:rsidR="00EA36A0" w:rsidRDefault="00EA36A0" w:rsidP="00F926CA">
      <w:pPr>
        <w:pStyle w:val="Nivel3SM"/>
      </w:pPr>
      <w:r>
        <w:t xml:space="preserve">Una partida clave desde el 2012 ha sido la </w:t>
      </w:r>
      <w:r w:rsidRPr="005D56EF">
        <w:rPr>
          <w:b/>
        </w:rPr>
        <w:t>PII del BdE</w:t>
      </w:r>
      <w:r>
        <w:t xml:space="preserve"> que registra valores significativos desde 2012 hasta la actualidad derivado de la posición deudora que tiene el BdE frente al Eurosistema en gran parte por el programa de compra de activos.</w:t>
      </w:r>
    </w:p>
    <w:p w14:paraId="3DAA3AEE" w14:textId="2E92DABD" w:rsidR="00EA36A0" w:rsidRPr="008C79D0" w:rsidRDefault="00EA36A0" w:rsidP="00CD499C">
      <w:pPr>
        <w:pStyle w:val="Ttulo6"/>
      </w:pPr>
      <w:bookmarkStart w:id="61" w:name="_Toc178016009"/>
      <w:r w:rsidRPr="00090517">
        <w:t>Deuda Bruta Externa</w:t>
      </w:r>
      <w:bookmarkEnd w:id="61"/>
    </w:p>
    <w:p w14:paraId="46A391CE" w14:textId="6DD161C7" w:rsidR="00F82D6C" w:rsidRDefault="00EA36A0" w:rsidP="003E3E7F">
      <w:pPr>
        <w:pStyle w:val="Nivel2SM"/>
        <w:keepNext/>
        <w:spacing w:after="0"/>
      </w:pPr>
      <w:r w:rsidRPr="008461B1">
        <w:t>La deuda externa bruta de la economía española, que comprende todos los pasivos frente a no residentes que impliquen la realización futura de pagos por amortización de principal,</w:t>
      </w:r>
      <w:r>
        <w:t xml:space="preserve"> por intereses o por ambos, </w:t>
      </w:r>
      <w:r w:rsidR="00F82D6C">
        <w:t>sigue una senda creciente desde el 2006 (140</w:t>
      </w:r>
      <w:r w:rsidR="004978BF">
        <w:t> %</w:t>
      </w:r>
      <w:r w:rsidR="00F82D6C">
        <w:t xml:space="preserve"> del PIB) hasta que se estabiliza en 2014 alrededor del 165</w:t>
      </w:r>
      <w:r w:rsidR="004978BF">
        <w:t> %</w:t>
      </w:r>
      <w:r w:rsidR="00F82D6C">
        <w:t xml:space="preserve"> del PIB.</w:t>
      </w:r>
      <w:r w:rsidR="003E3E7F">
        <w:t xml:space="preserve"> En 2019, la deuda externa bruta es del </w:t>
      </w:r>
      <w:r w:rsidR="003E3E7F" w:rsidRPr="003E3E7F">
        <w:t>169,8%</w:t>
      </w:r>
      <w:r w:rsidR="003E3E7F">
        <w:t xml:space="preserve"> del PIB.</w:t>
      </w:r>
    </w:p>
    <w:p w14:paraId="0C1D7869" w14:textId="09C3A237" w:rsidR="00F82D6C" w:rsidRDefault="00F82D6C" w:rsidP="00F926CA">
      <w:pPr>
        <w:pStyle w:val="Nivel3SM"/>
      </w:pPr>
      <w:r>
        <w:t xml:space="preserve">Por plazo de emisión, predominan los pasivos emitidos a </w:t>
      </w:r>
      <w:r w:rsidR="0097141D">
        <w:t>largo plazo</w:t>
      </w:r>
      <w:r>
        <w:t>: 76</w:t>
      </w:r>
      <w:r w:rsidR="004978BF">
        <w:t> %</w:t>
      </w:r>
      <w:r>
        <w:t>.</w:t>
      </w:r>
    </w:p>
    <w:p w14:paraId="7AD0835E" w14:textId="2DA2AA10" w:rsidR="00F82D6C" w:rsidRDefault="00F82D6C" w:rsidP="00F926CA">
      <w:pPr>
        <w:pStyle w:val="Nivel3SM"/>
      </w:pPr>
      <w:r>
        <w:t xml:space="preserve">Por sector institucional, la deuda externa bruta de las AAPP continúa siendo </w:t>
      </w:r>
      <w:r w:rsidRPr="008461B1">
        <w:t>la más elevada</w:t>
      </w:r>
      <w:r>
        <w:t>:</w:t>
      </w:r>
      <w:r w:rsidRPr="008461B1">
        <w:t xml:space="preserve"> 46</w:t>
      </w:r>
      <w:r w:rsidR="004978BF">
        <w:t> %</w:t>
      </w:r>
      <w:r w:rsidRPr="008461B1">
        <w:t xml:space="preserve"> del total.</w:t>
      </w:r>
    </w:p>
    <w:p w14:paraId="2C4CB2AC" w14:textId="726B935A" w:rsidR="00F82D6C" w:rsidRDefault="00F82D6C" w:rsidP="00F926CA">
      <w:pPr>
        <w:pStyle w:val="Nivel2SM"/>
      </w:pPr>
      <w:r w:rsidRPr="008461B1">
        <w:t>En la medida en que la mayor parte de los pasivos externos de la economía española recaen en el sector público, reforzar la sostenibilidad de las cuentas públicas resulta fundamental para reducir la vulnerabilidad de la economía española ante posibles perturbaciones en los mercados internacionales de capitales</w:t>
      </w:r>
      <w:r w:rsidR="00AD16AC">
        <w:t>.</w:t>
      </w:r>
    </w:p>
    <w:p w14:paraId="7B000088" w14:textId="69D0603E" w:rsidR="00216075" w:rsidRDefault="007B4214" w:rsidP="008C79D0">
      <w:pPr>
        <w:pStyle w:val="Ttulo1"/>
      </w:pPr>
      <w:bookmarkStart w:id="62" w:name="_Toc178016010"/>
      <w:r>
        <w:t>SITUACIÓN ACTUAL DE LA BALANZA DE PAGOS</w:t>
      </w:r>
      <w:r w:rsidR="001A0C8A">
        <w:t xml:space="preserve"> (2022)</w:t>
      </w:r>
      <w:bookmarkEnd w:id="62"/>
    </w:p>
    <w:p w14:paraId="3EFEC9D9" w14:textId="7FC1558B" w:rsidR="009B6675" w:rsidRDefault="00000000" w:rsidP="00981778">
      <w:pPr>
        <w:pStyle w:val="Cajadeanotaciones"/>
        <w:keepNext/>
        <w:rPr>
          <w:sz w:val="19"/>
          <w:szCs w:val="19"/>
        </w:rPr>
      </w:pPr>
      <w:hyperlink r:id="rId10" w:history="1">
        <w:r w:rsidR="009B6675" w:rsidRPr="009B6675">
          <w:rPr>
            <w:rStyle w:val="Hipervnculo"/>
            <w:sz w:val="19"/>
            <w:szCs w:val="19"/>
          </w:rPr>
          <w:t>https://www.bde.es/webbe/es/estadisticas/compartido/docs/EnBreve_Estadisticas_Sector_Exterior_ES.pdf</w:t>
        </w:r>
      </w:hyperlink>
    </w:p>
    <w:p w14:paraId="081E3510" w14:textId="720BDF0C" w:rsidR="009B26F6" w:rsidRPr="009B6675" w:rsidRDefault="009B26F6" w:rsidP="00981778">
      <w:pPr>
        <w:pStyle w:val="Cajadeanotaciones"/>
        <w:keepNext/>
        <w:rPr>
          <w:sz w:val="19"/>
          <w:szCs w:val="19"/>
        </w:rPr>
      </w:pPr>
      <w:r w:rsidRPr="009B26F6">
        <w:rPr>
          <w:sz w:val="19"/>
          <w:szCs w:val="19"/>
        </w:rPr>
        <w:t xml:space="preserve">Alves, P., Jiménez Martínez, P., Del Portillo Miguel, G. &amp; Simón Gil, M. I. (2023). La Balanza de Pagos y la Posición de Inversión Internacional de España en 2022. Boletín Económico, 2023/T2, 05. </w:t>
      </w:r>
      <w:hyperlink r:id="rId11" w:history="1">
        <w:r w:rsidRPr="001746FC">
          <w:rPr>
            <w:rStyle w:val="Hipervnculo"/>
            <w:sz w:val="19"/>
            <w:szCs w:val="19"/>
          </w:rPr>
          <w:t>https://doi.org/10.53479/30049</w:t>
        </w:r>
      </w:hyperlink>
    </w:p>
    <w:tbl>
      <w:tblPr>
        <w:tblW w:w="6237" w:type="dxa"/>
        <w:jc w:val="center"/>
        <w:tblLook w:val="04A0" w:firstRow="1" w:lastRow="0" w:firstColumn="1" w:lastColumn="0" w:noHBand="0" w:noVBand="1"/>
      </w:tblPr>
      <w:tblGrid>
        <w:gridCol w:w="3969"/>
        <w:gridCol w:w="1134"/>
        <w:gridCol w:w="1134"/>
      </w:tblGrid>
      <w:tr w:rsidR="00647F15" w:rsidRPr="00F14FE2" w14:paraId="4E4A7D81" w14:textId="77777777" w:rsidTr="0080416C">
        <w:trPr>
          <w:trHeight w:val="300"/>
          <w:jc w:val="center"/>
        </w:trPr>
        <w:tc>
          <w:tcPr>
            <w:tcW w:w="3969" w:type="dxa"/>
            <w:tcBorders>
              <w:bottom w:val="single" w:sz="12" w:space="0" w:color="5F2987"/>
            </w:tcBorders>
            <w:shd w:val="clear" w:color="auto" w:fill="auto"/>
            <w:noWrap/>
            <w:vAlign w:val="bottom"/>
            <w:hideMark/>
          </w:tcPr>
          <w:p w14:paraId="7EBA8F41" w14:textId="1E960535" w:rsidR="00647F15" w:rsidRPr="00F14FE2" w:rsidRDefault="00647F15" w:rsidP="001A0C8A">
            <w:pPr>
              <w:keepNext/>
              <w:spacing w:after="0"/>
              <w:rPr>
                <w:rFonts w:cs="Calibri"/>
                <w:b/>
                <w:bCs/>
                <w:i/>
                <w:iCs/>
                <w:color w:val="000000"/>
              </w:rPr>
            </w:pPr>
          </w:p>
        </w:tc>
        <w:tc>
          <w:tcPr>
            <w:tcW w:w="1134" w:type="dxa"/>
            <w:tcBorders>
              <w:top w:val="single" w:sz="12" w:space="0" w:color="5F2987"/>
              <w:bottom w:val="single" w:sz="12" w:space="0" w:color="5F2987"/>
            </w:tcBorders>
            <w:shd w:val="clear" w:color="auto" w:fill="auto"/>
            <w:noWrap/>
            <w:vAlign w:val="bottom"/>
            <w:hideMark/>
          </w:tcPr>
          <w:p w14:paraId="5616BEC0" w14:textId="7BA1E77D" w:rsidR="00647F15" w:rsidRPr="00A46F3D" w:rsidRDefault="008B627A" w:rsidP="001A0C8A">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2021</w:t>
            </w:r>
          </w:p>
        </w:tc>
        <w:tc>
          <w:tcPr>
            <w:tcW w:w="1134" w:type="dxa"/>
            <w:tcBorders>
              <w:top w:val="single" w:sz="12" w:space="0" w:color="5F2987"/>
              <w:bottom w:val="single" w:sz="12" w:space="0" w:color="5F2987"/>
            </w:tcBorders>
            <w:shd w:val="clear" w:color="auto" w:fill="auto"/>
            <w:noWrap/>
            <w:vAlign w:val="bottom"/>
            <w:hideMark/>
          </w:tcPr>
          <w:p w14:paraId="41A0BB9E" w14:textId="2714C7ED" w:rsidR="00647F15" w:rsidRPr="00F14FE2" w:rsidRDefault="008B627A" w:rsidP="001A0C8A">
            <w:pPr>
              <w:keepNext/>
              <w:spacing w:after="0"/>
              <w:jc w:val="right"/>
              <w:rPr>
                <w:rFonts w:cs="Calibri"/>
                <w:b/>
                <w:bCs/>
                <w:i/>
                <w:iCs/>
                <w:color w:val="000000"/>
              </w:rPr>
            </w:pPr>
            <w:r w:rsidRPr="00F14FE2">
              <w:rPr>
                <w:rFonts w:cs="Calibri"/>
                <w:b/>
                <w:bCs/>
                <w:i/>
                <w:iCs/>
                <w:color w:val="000000"/>
              </w:rPr>
              <w:t>2022</w:t>
            </w:r>
          </w:p>
        </w:tc>
      </w:tr>
      <w:tr w:rsidR="00647F15" w:rsidRPr="00F14FE2" w14:paraId="21C2FC5E" w14:textId="77777777" w:rsidTr="00343139">
        <w:trPr>
          <w:trHeight w:val="300"/>
          <w:jc w:val="center"/>
        </w:trPr>
        <w:tc>
          <w:tcPr>
            <w:tcW w:w="3969" w:type="dxa"/>
            <w:tcBorders>
              <w:top w:val="single" w:sz="12" w:space="0" w:color="5F2987"/>
              <w:bottom w:val="single" w:sz="2" w:space="0" w:color="C199DF"/>
            </w:tcBorders>
            <w:shd w:val="clear" w:color="auto" w:fill="E2EFD9" w:themeFill="accent6" w:themeFillTint="33"/>
            <w:noWrap/>
            <w:vAlign w:val="bottom"/>
            <w:hideMark/>
          </w:tcPr>
          <w:p w14:paraId="1ABDA74A" w14:textId="77777777" w:rsidR="00647F15" w:rsidRPr="00F14FE2" w:rsidRDefault="00647F15" w:rsidP="001A0C8A">
            <w:pPr>
              <w:keepNext/>
              <w:spacing w:after="0"/>
              <w:rPr>
                <w:rFonts w:cs="Calibri"/>
                <w:b/>
                <w:bCs/>
                <w:i/>
                <w:iCs/>
                <w:color w:val="000000"/>
              </w:rPr>
            </w:pPr>
            <w:r w:rsidRPr="00F14FE2">
              <w:rPr>
                <w:rFonts w:cs="Calibri"/>
                <w:b/>
                <w:bCs/>
                <w:i/>
                <w:iCs/>
                <w:color w:val="000000"/>
              </w:rPr>
              <w:t>Cuenta Corriente</w:t>
            </w:r>
          </w:p>
        </w:tc>
        <w:tc>
          <w:tcPr>
            <w:tcW w:w="1134" w:type="dxa"/>
            <w:tcBorders>
              <w:top w:val="single" w:sz="12" w:space="0" w:color="5F2987"/>
              <w:bottom w:val="single" w:sz="2" w:space="0" w:color="C199DF"/>
            </w:tcBorders>
            <w:shd w:val="clear" w:color="auto" w:fill="E2EFD9" w:themeFill="accent6" w:themeFillTint="33"/>
            <w:noWrap/>
            <w:vAlign w:val="bottom"/>
            <w:hideMark/>
          </w:tcPr>
          <w:p w14:paraId="78C78B29" w14:textId="05E6BA6D" w:rsidR="00647F15" w:rsidRPr="00A46F3D" w:rsidRDefault="00647F15" w:rsidP="001A0C8A">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1</w:t>
            </w:r>
            <w:r w:rsidR="004978BF" w:rsidRPr="00A46F3D">
              <w:rPr>
                <w:rFonts w:cs="Calibri"/>
                <w:b/>
                <w:bCs/>
                <w:i/>
                <w:iCs/>
                <w:color w:val="767171" w:themeColor="background2" w:themeShade="80"/>
                <w:sz w:val="19"/>
                <w:szCs w:val="19"/>
              </w:rPr>
              <w:t> %</w:t>
            </w:r>
          </w:p>
        </w:tc>
        <w:tc>
          <w:tcPr>
            <w:tcW w:w="1134" w:type="dxa"/>
            <w:tcBorders>
              <w:top w:val="single" w:sz="12" w:space="0" w:color="5F2987"/>
              <w:bottom w:val="single" w:sz="2" w:space="0" w:color="C199DF"/>
            </w:tcBorders>
            <w:shd w:val="clear" w:color="auto" w:fill="E2EFD9" w:themeFill="accent6" w:themeFillTint="33"/>
            <w:noWrap/>
            <w:vAlign w:val="bottom"/>
            <w:hideMark/>
          </w:tcPr>
          <w:p w14:paraId="1A329676" w14:textId="6054C401" w:rsidR="00647F15" w:rsidRPr="00F14FE2" w:rsidRDefault="00647F15" w:rsidP="001A0C8A">
            <w:pPr>
              <w:keepNext/>
              <w:spacing w:after="0"/>
              <w:jc w:val="right"/>
              <w:rPr>
                <w:rFonts w:cs="Calibri"/>
                <w:b/>
                <w:bCs/>
                <w:i/>
                <w:iCs/>
                <w:color w:val="000000"/>
              </w:rPr>
            </w:pPr>
            <w:r w:rsidRPr="00F14FE2">
              <w:rPr>
                <w:rFonts w:cs="Calibri"/>
                <w:b/>
                <w:bCs/>
                <w:i/>
                <w:iCs/>
                <w:color w:val="000000"/>
              </w:rPr>
              <w:t>0</w:t>
            </w:r>
            <w:r w:rsidR="008B627A" w:rsidRPr="00F14FE2">
              <w:rPr>
                <w:rFonts w:cs="Calibri"/>
                <w:b/>
                <w:bCs/>
                <w:i/>
                <w:iCs/>
                <w:color w:val="000000"/>
              </w:rPr>
              <w:t>,6</w:t>
            </w:r>
            <w:r w:rsidR="004978BF" w:rsidRPr="00F14FE2">
              <w:rPr>
                <w:rFonts w:cs="Calibri"/>
                <w:b/>
                <w:bCs/>
                <w:i/>
                <w:iCs/>
                <w:color w:val="000000"/>
              </w:rPr>
              <w:t> %</w:t>
            </w:r>
          </w:p>
        </w:tc>
      </w:tr>
      <w:tr w:rsidR="00647F15" w:rsidRPr="00F14FE2" w14:paraId="3EAB82B2" w14:textId="77777777" w:rsidTr="0080416C">
        <w:trPr>
          <w:trHeight w:val="300"/>
          <w:jc w:val="center"/>
        </w:trPr>
        <w:tc>
          <w:tcPr>
            <w:tcW w:w="3969" w:type="dxa"/>
            <w:tcBorders>
              <w:top w:val="single" w:sz="2" w:space="0" w:color="C199DF"/>
              <w:bottom w:val="single" w:sz="2" w:space="0" w:color="C199DF"/>
            </w:tcBorders>
            <w:shd w:val="clear" w:color="auto" w:fill="auto"/>
            <w:noWrap/>
            <w:vAlign w:val="bottom"/>
            <w:hideMark/>
          </w:tcPr>
          <w:p w14:paraId="50587146" w14:textId="77777777" w:rsidR="00647F15" w:rsidRPr="00F14FE2" w:rsidRDefault="00647F15" w:rsidP="001A0C8A">
            <w:pPr>
              <w:keepNext/>
              <w:spacing w:after="0"/>
              <w:ind w:firstLineChars="200" w:firstLine="440"/>
              <w:rPr>
                <w:rFonts w:cs="Calibri"/>
                <w:i/>
                <w:iCs/>
                <w:color w:val="000000"/>
              </w:rPr>
            </w:pPr>
            <w:r w:rsidRPr="00F14FE2">
              <w:rPr>
                <w:rFonts w:cs="Calibri"/>
                <w:i/>
                <w:iCs/>
                <w:color w:val="000000"/>
              </w:rPr>
              <w:t>Balanza de Bienes</w:t>
            </w:r>
          </w:p>
        </w:tc>
        <w:tc>
          <w:tcPr>
            <w:tcW w:w="1134" w:type="dxa"/>
            <w:tcBorders>
              <w:top w:val="single" w:sz="2" w:space="0" w:color="C199DF"/>
              <w:bottom w:val="single" w:sz="2" w:space="0" w:color="C199DF"/>
            </w:tcBorders>
            <w:shd w:val="clear" w:color="auto" w:fill="auto"/>
            <w:noWrap/>
            <w:vAlign w:val="bottom"/>
            <w:hideMark/>
          </w:tcPr>
          <w:p w14:paraId="6BFE5D13" w14:textId="3E62303A" w:rsidR="00647F15" w:rsidRPr="00A46F3D" w:rsidRDefault="00D5682D" w:rsidP="001A0C8A">
            <w:pPr>
              <w:keepNext/>
              <w:spacing w:after="0"/>
              <w:jc w:val="right"/>
              <w:rPr>
                <w:rFonts w:cs="Calibri"/>
                <w:i/>
                <w:iCs/>
                <w:color w:val="767171" w:themeColor="background2" w:themeShade="80"/>
                <w:sz w:val="19"/>
                <w:szCs w:val="19"/>
              </w:rPr>
            </w:pPr>
            <w:r w:rsidRPr="00A46F3D">
              <w:rPr>
                <w:bCs/>
                <w:color w:val="767171" w:themeColor="background2" w:themeShade="80"/>
                <w:sz w:val="19"/>
                <w:szCs w:val="19"/>
              </w:rPr>
              <w:t>−</w:t>
            </w:r>
            <w:r w:rsidR="008B627A" w:rsidRPr="00A46F3D">
              <w:rPr>
                <w:rFonts w:cs="Calibri"/>
                <w:i/>
                <w:iCs/>
                <w:color w:val="767171" w:themeColor="background2" w:themeShade="80"/>
                <w:sz w:val="19"/>
                <w:szCs w:val="19"/>
              </w:rPr>
              <w:t>1,6</w:t>
            </w:r>
            <w:r w:rsidR="004978BF" w:rsidRPr="00A46F3D">
              <w:rPr>
                <w:rFonts w:cs="Calibri"/>
                <w:i/>
                <w:iCs/>
                <w:color w:val="767171" w:themeColor="background2" w:themeShade="80"/>
                <w:sz w:val="19"/>
                <w:szCs w:val="19"/>
              </w:rPr>
              <w:t> %</w:t>
            </w:r>
          </w:p>
        </w:tc>
        <w:tc>
          <w:tcPr>
            <w:tcW w:w="1134" w:type="dxa"/>
            <w:tcBorders>
              <w:top w:val="single" w:sz="2" w:space="0" w:color="C199DF"/>
              <w:bottom w:val="single" w:sz="2" w:space="0" w:color="C199DF"/>
            </w:tcBorders>
            <w:shd w:val="clear" w:color="auto" w:fill="auto"/>
            <w:noWrap/>
            <w:vAlign w:val="bottom"/>
            <w:hideMark/>
          </w:tcPr>
          <w:p w14:paraId="18458928" w14:textId="7D1E9E89" w:rsidR="00647F15" w:rsidRPr="00F14FE2" w:rsidRDefault="00D5682D" w:rsidP="001A0C8A">
            <w:pPr>
              <w:keepNext/>
              <w:spacing w:after="0"/>
              <w:jc w:val="right"/>
              <w:rPr>
                <w:rFonts w:cs="Calibri"/>
                <w:i/>
                <w:iCs/>
                <w:color w:val="000000"/>
              </w:rPr>
            </w:pPr>
            <w:r w:rsidRPr="00D5682D">
              <w:rPr>
                <w:bCs/>
              </w:rPr>
              <w:t>−</w:t>
            </w:r>
            <w:r w:rsidR="008B627A" w:rsidRPr="00F14FE2">
              <w:rPr>
                <w:rFonts w:cs="Calibri"/>
                <w:i/>
                <w:iCs/>
                <w:color w:val="000000"/>
              </w:rPr>
              <w:t>4,4</w:t>
            </w:r>
            <w:r w:rsidR="004978BF" w:rsidRPr="00F14FE2">
              <w:rPr>
                <w:rFonts w:cs="Calibri"/>
                <w:i/>
                <w:iCs/>
                <w:color w:val="000000"/>
              </w:rPr>
              <w:t> %</w:t>
            </w:r>
          </w:p>
        </w:tc>
      </w:tr>
      <w:tr w:rsidR="00647F15" w:rsidRPr="00F14FE2" w14:paraId="627582E4" w14:textId="77777777" w:rsidTr="0080416C">
        <w:trPr>
          <w:trHeight w:val="300"/>
          <w:jc w:val="center"/>
        </w:trPr>
        <w:tc>
          <w:tcPr>
            <w:tcW w:w="3969" w:type="dxa"/>
            <w:tcBorders>
              <w:top w:val="single" w:sz="2" w:space="0" w:color="C199DF"/>
              <w:bottom w:val="single" w:sz="2" w:space="0" w:color="C199DF"/>
            </w:tcBorders>
            <w:shd w:val="clear" w:color="auto" w:fill="auto"/>
            <w:noWrap/>
            <w:vAlign w:val="bottom"/>
            <w:hideMark/>
          </w:tcPr>
          <w:p w14:paraId="54C1C539" w14:textId="6DB2009A" w:rsidR="00647F15" w:rsidRPr="00F14FE2" w:rsidRDefault="00647F15" w:rsidP="001A0C8A">
            <w:pPr>
              <w:keepNext/>
              <w:spacing w:after="0"/>
              <w:ind w:firstLineChars="200" w:firstLine="440"/>
              <w:rPr>
                <w:rFonts w:cs="Calibri"/>
                <w:i/>
                <w:iCs/>
                <w:color w:val="000000"/>
              </w:rPr>
            </w:pPr>
            <w:r w:rsidRPr="00F14FE2">
              <w:rPr>
                <w:rFonts w:cs="Calibri"/>
                <w:i/>
                <w:iCs/>
                <w:color w:val="000000"/>
              </w:rPr>
              <w:t>Balanza de Servicios</w:t>
            </w:r>
          </w:p>
        </w:tc>
        <w:tc>
          <w:tcPr>
            <w:tcW w:w="1134" w:type="dxa"/>
            <w:tcBorders>
              <w:top w:val="single" w:sz="2" w:space="0" w:color="C199DF"/>
              <w:bottom w:val="single" w:sz="2" w:space="0" w:color="C199DF"/>
            </w:tcBorders>
            <w:shd w:val="clear" w:color="auto" w:fill="auto"/>
            <w:noWrap/>
            <w:vAlign w:val="bottom"/>
            <w:hideMark/>
          </w:tcPr>
          <w:p w14:paraId="28B7FE64" w14:textId="54F13ADA" w:rsidR="00647F15" w:rsidRPr="00A46F3D" w:rsidRDefault="008B627A" w:rsidP="001A0C8A">
            <w:pPr>
              <w:keepNext/>
              <w:spacing w:after="0"/>
              <w:jc w:val="right"/>
              <w:rPr>
                <w:rFonts w:cs="Calibri"/>
                <w:i/>
                <w:iCs/>
                <w:color w:val="767171" w:themeColor="background2" w:themeShade="80"/>
                <w:sz w:val="19"/>
                <w:szCs w:val="19"/>
              </w:rPr>
            </w:pPr>
            <w:r w:rsidRPr="00A46F3D">
              <w:rPr>
                <w:rFonts w:cs="Calibri"/>
                <w:i/>
                <w:iCs/>
                <w:color w:val="767171" w:themeColor="background2" w:themeShade="80"/>
                <w:sz w:val="19"/>
                <w:szCs w:val="19"/>
              </w:rPr>
              <w:t>3,1</w:t>
            </w:r>
            <w:r w:rsidR="004978BF" w:rsidRPr="00A46F3D">
              <w:rPr>
                <w:rFonts w:cs="Calibri"/>
                <w:i/>
                <w:iCs/>
                <w:color w:val="767171" w:themeColor="background2" w:themeShade="80"/>
                <w:sz w:val="19"/>
                <w:szCs w:val="19"/>
              </w:rPr>
              <w:t> %</w:t>
            </w:r>
          </w:p>
        </w:tc>
        <w:tc>
          <w:tcPr>
            <w:tcW w:w="1134" w:type="dxa"/>
            <w:tcBorders>
              <w:top w:val="single" w:sz="2" w:space="0" w:color="C199DF"/>
              <w:bottom w:val="single" w:sz="2" w:space="0" w:color="C199DF"/>
            </w:tcBorders>
            <w:shd w:val="clear" w:color="auto" w:fill="auto"/>
            <w:noWrap/>
            <w:vAlign w:val="bottom"/>
            <w:hideMark/>
          </w:tcPr>
          <w:p w14:paraId="35A6FE46" w14:textId="7EB1CBDC" w:rsidR="00647F15" w:rsidRPr="00F14FE2" w:rsidRDefault="008B627A" w:rsidP="001A0C8A">
            <w:pPr>
              <w:keepNext/>
              <w:spacing w:after="0"/>
              <w:jc w:val="right"/>
              <w:rPr>
                <w:rFonts w:cs="Calibri"/>
                <w:i/>
                <w:iCs/>
                <w:color w:val="000000"/>
              </w:rPr>
            </w:pPr>
            <w:r w:rsidRPr="00F14FE2">
              <w:rPr>
                <w:rFonts w:cs="Calibri"/>
                <w:i/>
                <w:iCs/>
                <w:color w:val="000000"/>
              </w:rPr>
              <w:t>5,8</w:t>
            </w:r>
            <w:r w:rsidR="004978BF" w:rsidRPr="00F14FE2">
              <w:rPr>
                <w:rFonts w:cs="Calibri"/>
                <w:i/>
                <w:iCs/>
                <w:color w:val="000000"/>
              </w:rPr>
              <w:t> %</w:t>
            </w:r>
          </w:p>
        </w:tc>
      </w:tr>
      <w:tr w:rsidR="00647F15" w:rsidRPr="00F14FE2" w14:paraId="7A985524" w14:textId="77777777" w:rsidTr="0080416C">
        <w:trPr>
          <w:trHeight w:val="300"/>
          <w:jc w:val="center"/>
        </w:trPr>
        <w:tc>
          <w:tcPr>
            <w:tcW w:w="3969" w:type="dxa"/>
            <w:tcBorders>
              <w:top w:val="single" w:sz="2" w:space="0" w:color="C199DF"/>
              <w:bottom w:val="single" w:sz="2" w:space="0" w:color="C199DF"/>
            </w:tcBorders>
            <w:shd w:val="clear" w:color="auto" w:fill="auto"/>
            <w:noWrap/>
            <w:vAlign w:val="bottom"/>
            <w:hideMark/>
          </w:tcPr>
          <w:p w14:paraId="512B5F43" w14:textId="6373D4A7" w:rsidR="00647F15" w:rsidRPr="00F14FE2" w:rsidRDefault="00647F15" w:rsidP="001A0C8A">
            <w:pPr>
              <w:keepNext/>
              <w:spacing w:after="0"/>
              <w:ind w:firstLineChars="200" w:firstLine="440"/>
              <w:rPr>
                <w:rFonts w:cs="Calibri"/>
                <w:i/>
                <w:iCs/>
                <w:color w:val="000000"/>
              </w:rPr>
            </w:pPr>
            <w:r w:rsidRPr="00F14FE2">
              <w:rPr>
                <w:rFonts w:cs="Calibri"/>
                <w:i/>
                <w:iCs/>
                <w:color w:val="000000"/>
              </w:rPr>
              <w:t>Rentas Primarias</w:t>
            </w:r>
          </w:p>
        </w:tc>
        <w:tc>
          <w:tcPr>
            <w:tcW w:w="1134" w:type="dxa"/>
            <w:tcBorders>
              <w:top w:val="single" w:sz="2" w:space="0" w:color="C199DF"/>
              <w:bottom w:val="single" w:sz="2" w:space="0" w:color="C199DF"/>
            </w:tcBorders>
            <w:shd w:val="clear" w:color="auto" w:fill="auto"/>
            <w:noWrap/>
            <w:vAlign w:val="bottom"/>
            <w:hideMark/>
          </w:tcPr>
          <w:p w14:paraId="07F25F8A" w14:textId="56F04B80" w:rsidR="00647F15" w:rsidRPr="00A46F3D" w:rsidRDefault="00647F15" w:rsidP="001A0C8A">
            <w:pPr>
              <w:keepNext/>
              <w:spacing w:after="0"/>
              <w:jc w:val="right"/>
              <w:rPr>
                <w:rFonts w:cs="Calibri"/>
                <w:i/>
                <w:iCs/>
                <w:color w:val="767171" w:themeColor="background2" w:themeShade="80"/>
                <w:sz w:val="19"/>
                <w:szCs w:val="19"/>
              </w:rPr>
            </w:pPr>
            <w:r w:rsidRPr="00A46F3D">
              <w:rPr>
                <w:rFonts w:cs="Calibri"/>
                <w:i/>
                <w:iCs/>
                <w:color w:val="767171" w:themeColor="background2" w:themeShade="80"/>
                <w:sz w:val="19"/>
                <w:szCs w:val="19"/>
              </w:rPr>
              <w:t>0</w:t>
            </w:r>
            <w:r w:rsidR="008B627A" w:rsidRPr="00A46F3D">
              <w:rPr>
                <w:rFonts w:cs="Calibri"/>
                <w:i/>
                <w:iCs/>
                <w:color w:val="767171" w:themeColor="background2" w:themeShade="80"/>
                <w:sz w:val="19"/>
                <w:szCs w:val="19"/>
              </w:rPr>
              <w:t>,5</w:t>
            </w:r>
            <w:r w:rsidR="004978BF" w:rsidRPr="00A46F3D">
              <w:rPr>
                <w:rFonts w:cs="Calibri"/>
                <w:i/>
                <w:iCs/>
                <w:color w:val="767171" w:themeColor="background2" w:themeShade="80"/>
                <w:sz w:val="19"/>
                <w:szCs w:val="19"/>
              </w:rPr>
              <w:t> %</w:t>
            </w:r>
          </w:p>
        </w:tc>
        <w:tc>
          <w:tcPr>
            <w:tcW w:w="1134" w:type="dxa"/>
            <w:tcBorders>
              <w:top w:val="single" w:sz="2" w:space="0" w:color="C199DF"/>
              <w:bottom w:val="single" w:sz="2" w:space="0" w:color="C199DF"/>
            </w:tcBorders>
            <w:shd w:val="clear" w:color="auto" w:fill="auto"/>
            <w:noWrap/>
            <w:vAlign w:val="bottom"/>
            <w:hideMark/>
          </w:tcPr>
          <w:p w14:paraId="7847EE92" w14:textId="1D62D469" w:rsidR="00647F15" w:rsidRPr="00F14FE2" w:rsidRDefault="00647F15" w:rsidP="001A0C8A">
            <w:pPr>
              <w:keepNext/>
              <w:spacing w:after="0"/>
              <w:jc w:val="right"/>
              <w:rPr>
                <w:rFonts w:cs="Calibri"/>
                <w:i/>
                <w:iCs/>
                <w:color w:val="000000"/>
              </w:rPr>
            </w:pPr>
            <w:r w:rsidRPr="00F14FE2">
              <w:rPr>
                <w:rFonts w:cs="Calibri"/>
                <w:i/>
                <w:iCs/>
                <w:color w:val="000000"/>
              </w:rPr>
              <w:t>0</w:t>
            </w:r>
            <w:r w:rsidR="008B627A" w:rsidRPr="00F14FE2">
              <w:rPr>
                <w:rFonts w:cs="Calibri"/>
                <w:i/>
                <w:iCs/>
                <w:color w:val="000000"/>
              </w:rPr>
              <w:t>,3</w:t>
            </w:r>
            <w:r w:rsidR="004978BF" w:rsidRPr="00F14FE2">
              <w:rPr>
                <w:rFonts w:cs="Calibri"/>
                <w:i/>
                <w:iCs/>
                <w:color w:val="000000"/>
              </w:rPr>
              <w:t> %</w:t>
            </w:r>
          </w:p>
        </w:tc>
      </w:tr>
      <w:tr w:rsidR="00647F15" w:rsidRPr="00F14FE2" w14:paraId="1088A614" w14:textId="77777777" w:rsidTr="0080416C">
        <w:trPr>
          <w:trHeight w:val="300"/>
          <w:jc w:val="center"/>
        </w:trPr>
        <w:tc>
          <w:tcPr>
            <w:tcW w:w="3969" w:type="dxa"/>
            <w:tcBorders>
              <w:top w:val="single" w:sz="2" w:space="0" w:color="C199DF"/>
              <w:bottom w:val="single" w:sz="2" w:space="0" w:color="C199DF"/>
            </w:tcBorders>
            <w:shd w:val="clear" w:color="auto" w:fill="auto"/>
            <w:noWrap/>
            <w:vAlign w:val="bottom"/>
            <w:hideMark/>
          </w:tcPr>
          <w:p w14:paraId="41073AE4" w14:textId="60CE1066" w:rsidR="00647F15" w:rsidRPr="00F14FE2" w:rsidRDefault="00647F15" w:rsidP="001A0C8A">
            <w:pPr>
              <w:keepNext/>
              <w:spacing w:after="0"/>
              <w:ind w:firstLineChars="200" w:firstLine="440"/>
              <w:rPr>
                <w:rFonts w:cs="Calibri"/>
                <w:i/>
                <w:iCs/>
                <w:color w:val="000000"/>
              </w:rPr>
            </w:pPr>
            <w:r w:rsidRPr="00F14FE2">
              <w:rPr>
                <w:rFonts w:cs="Calibri"/>
                <w:i/>
                <w:iCs/>
                <w:color w:val="000000"/>
              </w:rPr>
              <w:t>Rentas Secundarias</w:t>
            </w:r>
          </w:p>
        </w:tc>
        <w:tc>
          <w:tcPr>
            <w:tcW w:w="1134" w:type="dxa"/>
            <w:tcBorders>
              <w:top w:val="single" w:sz="2" w:space="0" w:color="C199DF"/>
              <w:bottom w:val="single" w:sz="2" w:space="0" w:color="C199DF"/>
            </w:tcBorders>
            <w:shd w:val="clear" w:color="auto" w:fill="auto"/>
            <w:noWrap/>
            <w:vAlign w:val="bottom"/>
            <w:hideMark/>
          </w:tcPr>
          <w:p w14:paraId="4D6B1D8F" w14:textId="7B5EB5EA" w:rsidR="00647F15" w:rsidRPr="00A46F3D" w:rsidRDefault="00D5682D" w:rsidP="001A0C8A">
            <w:pPr>
              <w:keepNext/>
              <w:spacing w:after="0"/>
              <w:jc w:val="right"/>
              <w:rPr>
                <w:rFonts w:cs="Calibri"/>
                <w:i/>
                <w:iCs/>
                <w:color w:val="767171" w:themeColor="background2" w:themeShade="80"/>
                <w:sz w:val="19"/>
                <w:szCs w:val="19"/>
              </w:rPr>
            </w:pPr>
            <w:r w:rsidRPr="00A46F3D">
              <w:rPr>
                <w:bCs/>
                <w:color w:val="767171" w:themeColor="background2" w:themeShade="80"/>
                <w:sz w:val="19"/>
                <w:szCs w:val="19"/>
              </w:rPr>
              <w:t>−</w:t>
            </w:r>
            <w:r w:rsidR="008B627A" w:rsidRPr="00A46F3D">
              <w:rPr>
                <w:rFonts w:cs="Calibri"/>
                <w:i/>
                <w:iCs/>
                <w:color w:val="767171" w:themeColor="background2" w:themeShade="80"/>
                <w:sz w:val="19"/>
                <w:szCs w:val="19"/>
              </w:rPr>
              <w:t>1,1</w:t>
            </w:r>
            <w:r w:rsidR="004978BF" w:rsidRPr="00A46F3D">
              <w:rPr>
                <w:rFonts w:cs="Calibri"/>
                <w:i/>
                <w:iCs/>
                <w:color w:val="767171" w:themeColor="background2" w:themeShade="80"/>
                <w:sz w:val="19"/>
                <w:szCs w:val="19"/>
              </w:rPr>
              <w:t> %</w:t>
            </w:r>
          </w:p>
        </w:tc>
        <w:tc>
          <w:tcPr>
            <w:tcW w:w="1134" w:type="dxa"/>
            <w:tcBorders>
              <w:top w:val="single" w:sz="2" w:space="0" w:color="C199DF"/>
              <w:bottom w:val="single" w:sz="2" w:space="0" w:color="C199DF"/>
            </w:tcBorders>
            <w:shd w:val="clear" w:color="auto" w:fill="auto"/>
            <w:noWrap/>
            <w:vAlign w:val="bottom"/>
            <w:hideMark/>
          </w:tcPr>
          <w:p w14:paraId="2159E3E6" w14:textId="18E1908B" w:rsidR="00647F15" w:rsidRPr="00F14FE2" w:rsidRDefault="00D5682D" w:rsidP="001A0C8A">
            <w:pPr>
              <w:keepNext/>
              <w:spacing w:after="0"/>
              <w:jc w:val="right"/>
              <w:rPr>
                <w:rFonts w:cs="Calibri"/>
                <w:i/>
                <w:iCs/>
                <w:color w:val="000000"/>
              </w:rPr>
            </w:pPr>
            <w:r w:rsidRPr="00D5682D">
              <w:rPr>
                <w:bCs/>
              </w:rPr>
              <w:t>−</w:t>
            </w:r>
            <w:r w:rsidR="00647F15" w:rsidRPr="00F14FE2">
              <w:rPr>
                <w:rFonts w:cs="Calibri"/>
                <w:i/>
                <w:iCs/>
                <w:color w:val="000000"/>
              </w:rPr>
              <w:t>1</w:t>
            </w:r>
            <w:r w:rsidR="008B627A" w:rsidRPr="00F14FE2">
              <w:rPr>
                <w:rFonts w:cs="Calibri"/>
                <w:i/>
                <w:iCs/>
                <w:color w:val="000000"/>
              </w:rPr>
              <w:t>,1</w:t>
            </w:r>
            <w:r w:rsidR="004978BF" w:rsidRPr="00F14FE2">
              <w:rPr>
                <w:rFonts w:cs="Calibri"/>
                <w:i/>
                <w:iCs/>
                <w:color w:val="000000"/>
              </w:rPr>
              <w:t> %</w:t>
            </w:r>
          </w:p>
        </w:tc>
      </w:tr>
      <w:tr w:rsidR="00647F15" w:rsidRPr="00F14FE2" w14:paraId="03FF3D4F" w14:textId="77777777" w:rsidTr="00343139">
        <w:trPr>
          <w:trHeight w:val="300"/>
          <w:jc w:val="center"/>
        </w:trPr>
        <w:tc>
          <w:tcPr>
            <w:tcW w:w="3969" w:type="dxa"/>
            <w:tcBorders>
              <w:top w:val="single" w:sz="2" w:space="0" w:color="C199DF"/>
              <w:bottom w:val="single" w:sz="2" w:space="0" w:color="C199DF"/>
            </w:tcBorders>
            <w:shd w:val="clear" w:color="auto" w:fill="E2EFD9" w:themeFill="accent6" w:themeFillTint="33"/>
            <w:noWrap/>
            <w:vAlign w:val="bottom"/>
            <w:hideMark/>
          </w:tcPr>
          <w:p w14:paraId="65581798" w14:textId="5C580E04" w:rsidR="00647F15" w:rsidRPr="00F14FE2" w:rsidRDefault="00647F15" w:rsidP="001A0C8A">
            <w:pPr>
              <w:keepNext/>
              <w:spacing w:after="0"/>
              <w:rPr>
                <w:rFonts w:cs="Calibri"/>
                <w:b/>
                <w:bCs/>
                <w:i/>
                <w:iCs/>
                <w:color w:val="000000"/>
              </w:rPr>
            </w:pPr>
            <w:r w:rsidRPr="00F14FE2">
              <w:rPr>
                <w:rFonts w:cs="Calibri"/>
                <w:b/>
                <w:bCs/>
                <w:i/>
                <w:iCs/>
                <w:color w:val="000000"/>
              </w:rPr>
              <w:t>Cuenta de Capital</w:t>
            </w:r>
          </w:p>
        </w:tc>
        <w:tc>
          <w:tcPr>
            <w:tcW w:w="1134" w:type="dxa"/>
            <w:tcBorders>
              <w:top w:val="single" w:sz="2" w:space="0" w:color="C199DF"/>
              <w:bottom w:val="single" w:sz="2" w:space="0" w:color="C199DF"/>
            </w:tcBorders>
            <w:shd w:val="clear" w:color="auto" w:fill="E2EFD9" w:themeFill="accent6" w:themeFillTint="33"/>
            <w:noWrap/>
            <w:vAlign w:val="bottom"/>
            <w:hideMark/>
          </w:tcPr>
          <w:p w14:paraId="7F8E033F" w14:textId="61CD8EBC" w:rsidR="00647F15" w:rsidRPr="00A46F3D" w:rsidRDefault="00647F15" w:rsidP="001A0C8A">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0</w:t>
            </w:r>
            <w:r w:rsidR="008B627A" w:rsidRPr="00A46F3D">
              <w:rPr>
                <w:rFonts w:cs="Calibri"/>
                <w:b/>
                <w:bCs/>
                <w:i/>
                <w:iCs/>
                <w:color w:val="767171" w:themeColor="background2" w:themeShade="80"/>
                <w:sz w:val="19"/>
                <w:szCs w:val="19"/>
              </w:rPr>
              <w:t>,9</w:t>
            </w:r>
            <w:r w:rsidR="004978BF" w:rsidRPr="00A46F3D">
              <w:rPr>
                <w:rFonts w:cs="Calibri"/>
                <w:b/>
                <w:bCs/>
                <w:i/>
                <w:iCs/>
                <w:color w:val="767171" w:themeColor="background2" w:themeShade="80"/>
                <w:sz w:val="19"/>
                <w:szCs w:val="19"/>
              </w:rPr>
              <w:t> %</w:t>
            </w:r>
          </w:p>
        </w:tc>
        <w:tc>
          <w:tcPr>
            <w:tcW w:w="1134" w:type="dxa"/>
            <w:tcBorders>
              <w:top w:val="single" w:sz="2" w:space="0" w:color="C199DF"/>
              <w:bottom w:val="single" w:sz="2" w:space="0" w:color="C199DF"/>
            </w:tcBorders>
            <w:shd w:val="clear" w:color="auto" w:fill="E2EFD9" w:themeFill="accent6" w:themeFillTint="33"/>
            <w:noWrap/>
            <w:vAlign w:val="bottom"/>
            <w:hideMark/>
          </w:tcPr>
          <w:p w14:paraId="061F90B6" w14:textId="2148E9CC" w:rsidR="00647F15" w:rsidRPr="00F14FE2" w:rsidRDefault="00647F15" w:rsidP="001A0C8A">
            <w:pPr>
              <w:keepNext/>
              <w:spacing w:after="0"/>
              <w:jc w:val="right"/>
              <w:rPr>
                <w:rFonts w:cs="Calibri"/>
                <w:b/>
                <w:bCs/>
                <w:i/>
                <w:iCs/>
                <w:color w:val="000000"/>
              </w:rPr>
            </w:pPr>
            <w:r w:rsidRPr="00F14FE2">
              <w:rPr>
                <w:rFonts w:cs="Calibri"/>
                <w:b/>
                <w:bCs/>
                <w:i/>
                <w:iCs/>
                <w:color w:val="000000"/>
              </w:rPr>
              <w:t>0</w:t>
            </w:r>
            <w:r w:rsidR="008B627A" w:rsidRPr="00F14FE2">
              <w:rPr>
                <w:rFonts w:cs="Calibri"/>
                <w:b/>
                <w:bCs/>
                <w:i/>
                <w:iCs/>
                <w:color w:val="000000"/>
              </w:rPr>
              <w:t>,9</w:t>
            </w:r>
            <w:r w:rsidR="004978BF" w:rsidRPr="00F14FE2">
              <w:rPr>
                <w:rFonts w:cs="Calibri"/>
                <w:b/>
                <w:bCs/>
                <w:i/>
                <w:iCs/>
                <w:color w:val="000000"/>
              </w:rPr>
              <w:t> %</w:t>
            </w:r>
          </w:p>
        </w:tc>
      </w:tr>
      <w:tr w:rsidR="00647F15" w:rsidRPr="00F14FE2" w14:paraId="1A547326" w14:textId="77777777" w:rsidTr="00343139">
        <w:trPr>
          <w:trHeight w:val="300"/>
          <w:jc w:val="center"/>
        </w:trPr>
        <w:tc>
          <w:tcPr>
            <w:tcW w:w="3969" w:type="dxa"/>
            <w:tcBorders>
              <w:top w:val="single" w:sz="2" w:space="0" w:color="C199DF"/>
              <w:bottom w:val="single" w:sz="2" w:space="0" w:color="C199DF"/>
            </w:tcBorders>
            <w:shd w:val="clear" w:color="auto" w:fill="DEC8EE"/>
            <w:noWrap/>
            <w:vAlign w:val="bottom"/>
            <w:hideMark/>
          </w:tcPr>
          <w:p w14:paraId="71DFB319" w14:textId="4C991BCA" w:rsidR="00647F15" w:rsidRPr="00F14FE2" w:rsidRDefault="00647F15" w:rsidP="001A0C8A">
            <w:pPr>
              <w:keepNext/>
              <w:spacing w:after="0"/>
              <w:rPr>
                <w:rFonts w:cs="Calibri"/>
                <w:b/>
                <w:bCs/>
                <w:i/>
                <w:iCs/>
                <w:color w:val="000000"/>
              </w:rPr>
            </w:pPr>
            <w:r w:rsidRPr="00F14FE2">
              <w:rPr>
                <w:rFonts w:cs="Calibri"/>
                <w:b/>
                <w:bCs/>
                <w:i/>
                <w:iCs/>
                <w:color w:val="000000"/>
              </w:rPr>
              <w:t>C</w:t>
            </w:r>
            <w:r w:rsidR="006D5635">
              <w:rPr>
                <w:rFonts w:cs="Calibri"/>
                <w:b/>
                <w:bCs/>
                <w:i/>
                <w:iCs/>
                <w:color w:val="000000"/>
              </w:rPr>
              <w:t>apacidad</w:t>
            </w:r>
            <w:r w:rsidRPr="00F14FE2">
              <w:rPr>
                <w:rFonts w:cs="Calibri"/>
                <w:b/>
                <w:bCs/>
                <w:i/>
                <w:iCs/>
                <w:color w:val="000000"/>
              </w:rPr>
              <w:t>/N</w:t>
            </w:r>
            <w:r w:rsidR="006D5635">
              <w:rPr>
                <w:rFonts w:cs="Calibri"/>
                <w:b/>
                <w:bCs/>
                <w:i/>
                <w:iCs/>
                <w:color w:val="000000"/>
              </w:rPr>
              <w:t>ecesidad de</w:t>
            </w:r>
            <w:r w:rsidRPr="00F14FE2">
              <w:rPr>
                <w:rFonts w:cs="Calibri"/>
                <w:b/>
                <w:bCs/>
                <w:i/>
                <w:iCs/>
                <w:color w:val="000000"/>
              </w:rPr>
              <w:t xml:space="preserve"> Financiación</w:t>
            </w:r>
          </w:p>
        </w:tc>
        <w:tc>
          <w:tcPr>
            <w:tcW w:w="1134" w:type="dxa"/>
            <w:tcBorders>
              <w:top w:val="single" w:sz="2" w:space="0" w:color="C199DF"/>
              <w:bottom w:val="single" w:sz="2" w:space="0" w:color="C199DF"/>
            </w:tcBorders>
            <w:shd w:val="clear" w:color="auto" w:fill="DEC8EE"/>
            <w:noWrap/>
            <w:vAlign w:val="bottom"/>
            <w:hideMark/>
          </w:tcPr>
          <w:p w14:paraId="2DE6B726" w14:textId="25E0897D" w:rsidR="00647F15" w:rsidRPr="00A46F3D" w:rsidRDefault="008B627A" w:rsidP="001A0C8A">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1,9</w:t>
            </w:r>
            <w:r w:rsidR="004978BF" w:rsidRPr="00A46F3D">
              <w:rPr>
                <w:rFonts w:cs="Calibri"/>
                <w:b/>
                <w:bCs/>
                <w:i/>
                <w:iCs/>
                <w:color w:val="767171" w:themeColor="background2" w:themeShade="80"/>
                <w:sz w:val="19"/>
                <w:szCs w:val="19"/>
              </w:rPr>
              <w:t> %</w:t>
            </w:r>
          </w:p>
        </w:tc>
        <w:tc>
          <w:tcPr>
            <w:tcW w:w="1134" w:type="dxa"/>
            <w:tcBorders>
              <w:top w:val="single" w:sz="2" w:space="0" w:color="C199DF"/>
              <w:bottom w:val="single" w:sz="2" w:space="0" w:color="C199DF"/>
            </w:tcBorders>
            <w:shd w:val="clear" w:color="auto" w:fill="DEC8EE"/>
            <w:noWrap/>
            <w:vAlign w:val="bottom"/>
            <w:hideMark/>
          </w:tcPr>
          <w:p w14:paraId="070D0A65" w14:textId="5D499000" w:rsidR="00647F15" w:rsidRPr="00F14FE2" w:rsidRDefault="00647F15" w:rsidP="001A0C8A">
            <w:pPr>
              <w:keepNext/>
              <w:spacing w:after="0"/>
              <w:jc w:val="right"/>
              <w:rPr>
                <w:rFonts w:cs="Calibri"/>
                <w:b/>
                <w:bCs/>
                <w:i/>
                <w:iCs/>
                <w:color w:val="000000"/>
              </w:rPr>
            </w:pPr>
            <w:r w:rsidRPr="00F14FE2">
              <w:rPr>
                <w:rFonts w:cs="Calibri"/>
                <w:b/>
                <w:bCs/>
                <w:i/>
                <w:iCs/>
                <w:color w:val="000000"/>
              </w:rPr>
              <w:t>1</w:t>
            </w:r>
            <w:r w:rsidR="008B627A" w:rsidRPr="00F14FE2">
              <w:rPr>
                <w:rFonts w:cs="Calibri"/>
                <w:b/>
                <w:bCs/>
                <w:i/>
                <w:iCs/>
                <w:color w:val="000000"/>
              </w:rPr>
              <w:t>,</w:t>
            </w:r>
            <w:r w:rsidRPr="00F14FE2">
              <w:rPr>
                <w:rFonts w:cs="Calibri"/>
                <w:b/>
                <w:bCs/>
                <w:i/>
                <w:iCs/>
                <w:color w:val="000000"/>
              </w:rPr>
              <w:t>5</w:t>
            </w:r>
            <w:r w:rsidR="004978BF" w:rsidRPr="00F14FE2">
              <w:rPr>
                <w:rFonts w:cs="Calibri"/>
                <w:b/>
                <w:bCs/>
                <w:i/>
                <w:iCs/>
                <w:color w:val="000000"/>
              </w:rPr>
              <w:t> %</w:t>
            </w:r>
          </w:p>
        </w:tc>
      </w:tr>
      <w:tr w:rsidR="0080416C" w:rsidRPr="00F14FE2" w14:paraId="18241289" w14:textId="77777777" w:rsidTr="00343139">
        <w:trPr>
          <w:trHeight w:val="300"/>
          <w:jc w:val="center"/>
        </w:trPr>
        <w:tc>
          <w:tcPr>
            <w:tcW w:w="3969" w:type="dxa"/>
            <w:tcBorders>
              <w:top w:val="single" w:sz="2" w:space="0" w:color="C199DF"/>
              <w:bottom w:val="single" w:sz="2" w:space="0" w:color="C199DF"/>
            </w:tcBorders>
            <w:shd w:val="clear" w:color="auto" w:fill="DEC8EE"/>
            <w:noWrap/>
            <w:vAlign w:val="bottom"/>
          </w:tcPr>
          <w:p w14:paraId="12294F80" w14:textId="6815407C" w:rsidR="0080416C" w:rsidRPr="00F14FE2" w:rsidRDefault="0080416C" w:rsidP="0080416C">
            <w:pPr>
              <w:keepNext/>
              <w:spacing w:after="0"/>
              <w:rPr>
                <w:rFonts w:cs="Calibri"/>
                <w:b/>
                <w:bCs/>
                <w:i/>
                <w:iCs/>
                <w:color w:val="000000"/>
              </w:rPr>
            </w:pPr>
            <w:r w:rsidRPr="00F14FE2">
              <w:rPr>
                <w:rFonts w:cs="Calibri"/>
                <w:b/>
                <w:bCs/>
                <w:i/>
                <w:iCs/>
                <w:color w:val="000000"/>
              </w:rPr>
              <w:t>Errores y Omisiones</w:t>
            </w:r>
          </w:p>
        </w:tc>
        <w:tc>
          <w:tcPr>
            <w:tcW w:w="1134" w:type="dxa"/>
            <w:tcBorders>
              <w:top w:val="single" w:sz="2" w:space="0" w:color="C199DF"/>
              <w:bottom w:val="single" w:sz="2" w:space="0" w:color="C199DF"/>
            </w:tcBorders>
            <w:shd w:val="clear" w:color="auto" w:fill="DEC8EE"/>
            <w:noWrap/>
            <w:vAlign w:val="bottom"/>
          </w:tcPr>
          <w:p w14:paraId="55DB8D2F" w14:textId="1257D182" w:rsidR="0080416C" w:rsidRPr="00A46F3D" w:rsidRDefault="0080416C" w:rsidP="0080416C">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0,1 %</w:t>
            </w:r>
          </w:p>
        </w:tc>
        <w:tc>
          <w:tcPr>
            <w:tcW w:w="1134" w:type="dxa"/>
            <w:tcBorders>
              <w:top w:val="single" w:sz="2" w:space="0" w:color="C199DF"/>
              <w:bottom w:val="single" w:sz="2" w:space="0" w:color="C199DF"/>
            </w:tcBorders>
            <w:shd w:val="clear" w:color="auto" w:fill="DEC8EE"/>
            <w:noWrap/>
            <w:vAlign w:val="bottom"/>
          </w:tcPr>
          <w:p w14:paraId="62C419F1" w14:textId="4E0D1063" w:rsidR="0080416C" w:rsidRPr="00F14FE2" w:rsidRDefault="0080416C" w:rsidP="0080416C">
            <w:pPr>
              <w:keepNext/>
              <w:spacing w:after="0"/>
              <w:jc w:val="right"/>
              <w:rPr>
                <w:rFonts w:cs="Calibri"/>
                <w:b/>
                <w:bCs/>
                <w:i/>
                <w:iCs/>
                <w:color w:val="000000"/>
              </w:rPr>
            </w:pPr>
            <w:r w:rsidRPr="00F14FE2">
              <w:rPr>
                <w:rFonts w:cs="Calibri"/>
                <w:b/>
                <w:bCs/>
                <w:i/>
                <w:iCs/>
                <w:color w:val="000000"/>
              </w:rPr>
              <w:t>0,3 %</w:t>
            </w:r>
          </w:p>
        </w:tc>
      </w:tr>
      <w:tr w:rsidR="0080416C" w:rsidRPr="00F14FE2" w14:paraId="026B5916" w14:textId="77777777" w:rsidTr="00343139">
        <w:trPr>
          <w:trHeight w:val="300"/>
          <w:jc w:val="center"/>
        </w:trPr>
        <w:tc>
          <w:tcPr>
            <w:tcW w:w="3969" w:type="dxa"/>
            <w:tcBorders>
              <w:top w:val="single" w:sz="2" w:space="0" w:color="C199DF"/>
              <w:bottom w:val="single" w:sz="2" w:space="0" w:color="C199DF"/>
            </w:tcBorders>
            <w:shd w:val="clear" w:color="auto" w:fill="E2EFD9" w:themeFill="accent6" w:themeFillTint="33"/>
            <w:noWrap/>
            <w:vAlign w:val="bottom"/>
            <w:hideMark/>
          </w:tcPr>
          <w:p w14:paraId="34D243F5" w14:textId="77777777" w:rsidR="0080416C" w:rsidRPr="00F14FE2" w:rsidRDefault="0080416C" w:rsidP="0080416C">
            <w:pPr>
              <w:keepNext/>
              <w:spacing w:after="0"/>
              <w:rPr>
                <w:rFonts w:cs="Calibri"/>
                <w:b/>
                <w:bCs/>
                <w:i/>
                <w:iCs/>
                <w:color w:val="000000"/>
              </w:rPr>
            </w:pPr>
            <w:r w:rsidRPr="00F14FE2">
              <w:rPr>
                <w:rFonts w:cs="Calibri"/>
                <w:b/>
                <w:bCs/>
                <w:i/>
                <w:iCs/>
                <w:color w:val="000000"/>
              </w:rPr>
              <w:t>Cuenta Financiera excl. BdE</w:t>
            </w:r>
          </w:p>
        </w:tc>
        <w:tc>
          <w:tcPr>
            <w:tcW w:w="1134" w:type="dxa"/>
            <w:tcBorders>
              <w:top w:val="single" w:sz="2" w:space="0" w:color="C199DF"/>
              <w:bottom w:val="single" w:sz="2" w:space="0" w:color="C199DF"/>
            </w:tcBorders>
            <w:shd w:val="clear" w:color="auto" w:fill="E2EFD9" w:themeFill="accent6" w:themeFillTint="33"/>
            <w:noWrap/>
            <w:vAlign w:val="bottom"/>
            <w:hideMark/>
          </w:tcPr>
          <w:p w14:paraId="0185EEF7" w14:textId="429F300F" w:rsidR="0080416C" w:rsidRPr="00A46F3D" w:rsidRDefault="0080416C" w:rsidP="0080416C">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0,6 %</w:t>
            </w:r>
          </w:p>
        </w:tc>
        <w:tc>
          <w:tcPr>
            <w:tcW w:w="1134" w:type="dxa"/>
            <w:tcBorders>
              <w:top w:val="single" w:sz="2" w:space="0" w:color="C199DF"/>
              <w:bottom w:val="single" w:sz="2" w:space="0" w:color="C199DF"/>
            </w:tcBorders>
            <w:shd w:val="clear" w:color="auto" w:fill="E2EFD9" w:themeFill="accent6" w:themeFillTint="33"/>
            <w:noWrap/>
            <w:vAlign w:val="bottom"/>
            <w:hideMark/>
          </w:tcPr>
          <w:p w14:paraId="0A2D2EDC" w14:textId="60363A82" w:rsidR="0080416C" w:rsidRPr="00F14FE2" w:rsidRDefault="0080416C" w:rsidP="0080416C">
            <w:pPr>
              <w:keepNext/>
              <w:spacing w:after="0"/>
              <w:jc w:val="right"/>
              <w:rPr>
                <w:rFonts w:cs="Calibri"/>
                <w:b/>
                <w:bCs/>
                <w:i/>
                <w:iCs/>
                <w:color w:val="000000"/>
              </w:rPr>
            </w:pPr>
            <w:r w:rsidRPr="00D5682D">
              <w:rPr>
                <w:bCs/>
              </w:rPr>
              <w:t>−</w:t>
            </w:r>
            <w:r w:rsidRPr="00F14FE2">
              <w:rPr>
                <w:rFonts w:cs="Calibri"/>
                <w:b/>
                <w:bCs/>
                <w:i/>
                <w:iCs/>
                <w:color w:val="000000"/>
              </w:rPr>
              <w:t>0,7 %</w:t>
            </w:r>
          </w:p>
        </w:tc>
      </w:tr>
      <w:tr w:rsidR="0080416C" w:rsidRPr="00F14FE2" w14:paraId="1BEA5A3E" w14:textId="77777777" w:rsidTr="00343139">
        <w:trPr>
          <w:trHeight w:val="300"/>
          <w:jc w:val="center"/>
        </w:trPr>
        <w:tc>
          <w:tcPr>
            <w:tcW w:w="3969" w:type="dxa"/>
            <w:tcBorders>
              <w:top w:val="single" w:sz="2" w:space="0" w:color="C199DF"/>
              <w:bottom w:val="single" w:sz="2" w:space="0" w:color="C199DF"/>
            </w:tcBorders>
            <w:shd w:val="clear" w:color="auto" w:fill="E2EFD9" w:themeFill="accent6" w:themeFillTint="33"/>
            <w:noWrap/>
            <w:vAlign w:val="bottom"/>
            <w:hideMark/>
          </w:tcPr>
          <w:p w14:paraId="6B455195" w14:textId="77777777" w:rsidR="0080416C" w:rsidRPr="00F14FE2" w:rsidRDefault="0080416C" w:rsidP="0080416C">
            <w:pPr>
              <w:keepNext/>
              <w:spacing w:after="0"/>
              <w:rPr>
                <w:rFonts w:cs="Calibri"/>
                <w:b/>
                <w:bCs/>
                <w:i/>
                <w:iCs/>
                <w:color w:val="000000"/>
              </w:rPr>
            </w:pPr>
            <w:r w:rsidRPr="00F14FE2">
              <w:rPr>
                <w:rFonts w:cs="Calibri"/>
                <w:b/>
                <w:bCs/>
                <w:i/>
                <w:iCs/>
                <w:color w:val="000000"/>
              </w:rPr>
              <w:t>Cuenta Financiera BdE</w:t>
            </w:r>
          </w:p>
        </w:tc>
        <w:tc>
          <w:tcPr>
            <w:tcW w:w="1134" w:type="dxa"/>
            <w:tcBorders>
              <w:top w:val="single" w:sz="2" w:space="0" w:color="C199DF"/>
              <w:bottom w:val="single" w:sz="2" w:space="0" w:color="C199DF"/>
            </w:tcBorders>
            <w:shd w:val="clear" w:color="auto" w:fill="E2EFD9" w:themeFill="accent6" w:themeFillTint="33"/>
            <w:noWrap/>
            <w:vAlign w:val="bottom"/>
            <w:hideMark/>
          </w:tcPr>
          <w:p w14:paraId="5D57A63F" w14:textId="410306AF" w:rsidR="0080416C" w:rsidRPr="00A46F3D" w:rsidRDefault="0080416C" w:rsidP="0080416C">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1,3 %</w:t>
            </w:r>
          </w:p>
        </w:tc>
        <w:tc>
          <w:tcPr>
            <w:tcW w:w="1134" w:type="dxa"/>
            <w:tcBorders>
              <w:top w:val="single" w:sz="2" w:space="0" w:color="C199DF"/>
              <w:bottom w:val="single" w:sz="2" w:space="0" w:color="C199DF"/>
            </w:tcBorders>
            <w:shd w:val="clear" w:color="auto" w:fill="E2EFD9" w:themeFill="accent6" w:themeFillTint="33"/>
            <w:noWrap/>
            <w:vAlign w:val="bottom"/>
            <w:hideMark/>
          </w:tcPr>
          <w:p w14:paraId="0691A16C" w14:textId="475698E2" w:rsidR="0080416C" w:rsidRPr="00F14FE2" w:rsidRDefault="0080416C" w:rsidP="0080416C">
            <w:pPr>
              <w:keepNext/>
              <w:spacing w:after="0"/>
              <w:jc w:val="right"/>
              <w:rPr>
                <w:rFonts w:cs="Calibri"/>
                <w:b/>
                <w:bCs/>
                <w:i/>
                <w:iCs/>
                <w:color w:val="000000"/>
              </w:rPr>
            </w:pPr>
            <w:r w:rsidRPr="00F14FE2">
              <w:rPr>
                <w:rFonts w:cs="Calibri"/>
                <w:b/>
                <w:bCs/>
                <w:i/>
                <w:iCs/>
                <w:color w:val="000000"/>
              </w:rPr>
              <w:t>2,5 %</w:t>
            </w:r>
          </w:p>
        </w:tc>
      </w:tr>
      <w:tr w:rsidR="0080416C" w:rsidRPr="00F14FE2" w14:paraId="14B5A5BB" w14:textId="77777777" w:rsidTr="00343139">
        <w:trPr>
          <w:trHeight w:val="300"/>
          <w:jc w:val="center"/>
        </w:trPr>
        <w:tc>
          <w:tcPr>
            <w:tcW w:w="3969" w:type="dxa"/>
            <w:tcBorders>
              <w:top w:val="single" w:sz="2" w:space="0" w:color="C199DF"/>
              <w:bottom w:val="single" w:sz="12" w:space="0" w:color="5F2987"/>
            </w:tcBorders>
            <w:shd w:val="clear" w:color="auto" w:fill="DEC8EE"/>
            <w:noWrap/>
            <w:vAlign w:val="bottom"/>
          </w:tcPr>
          <w:p w14:paraId="187D27EB" w14:textId="18DC4940" w:rsidR="0080416C" w:rsidRPr="00F14FE2" w:rsidRDefault="0080416C" w:rsidP="0080416C">
            <w:pPr>
              <w:keepNext/>
              <w:spacing w:after="0"/>
              <w:rPr>
                <w:rFonts w:cs="Calibri"/>
                <w:b/>
                <w:bCs/>
                <w:i/>
                <w:iCs/>
                <w:color w:val="000000"/>
              </w:rPr>
            </w:pPr>
            <w:r w:rsidRPr="00F14FE2">
              <w:rPr>
                <w:rFonts w:cs="Calibri"/>
                <w:b/>
                <w:bCs/>
                <w:i/>
                <w:iCs/>
                <w:color w:val="000000"/>
              </w:rPr>
              <w:t>Cuenta financiera</w:t>
            </w:r>
          </w:p>
        </w:tc>
        <w:tc>
          <w:tcPr>
            <w:tcW w:w="1134" w:type="dxa"/>
            <w:tcBorders>
              <w:top w:val="single" w:sz="2" w:space="0" w:color="C199DF"/>
              <w:bottom w:val="single" w:sz="12" w:space="0" w:color="5F2987"/>
            </w:tcBorders>
            <w:shd w:val="clear" w:color="auto" w:fill="DEC8EE"/>
            <w:noWrap/>
            <w:vAlign w:val="bottom"/>
          </w:tcPr>
          <w:p w14:paraId="1471207D" w14:textId="630BB6B8" w:rsidR="0080416C" w:rsidRPr="00A46F3D" w:rsidRDefault="0080416C" w:rsidP="0080416C">
            <w:pPr>
              <w:keepNext/>
              <w:spacing w:after="0"/>
              <w:jc w:val="right"/>
              <w:rPr>
                <w:rFonts w:cs="Calibri"/>
                <w:b/>
                <w:bCs/>
                <w:i/>
                <w:iCs/>
                <w:color w:val="767171" w:themeColor="background2" w:themeShade="80"/>
                <w:sz w:val="19"/>
                <w:szCs w:val="19"/>
              </w:rPr>
            </w:pPr>
            <w:r w:rsidRPr="00A46F3D">
              <w:rPr>
                <w:rFonts w:cs="Calibri"/>
                <w:b/>
                <w:bCs/>
                <w:i/>
                <w:iCs/>
                <w:color w:val="767171" w:themeColor="background2" w:themeShade="80"/>
                <w:sz w:val="19"/>
                <w:szCs w:val="19"/>
              </w:rPr>
              <w:t>1,9 %</w:t>
            </w:r>
          </w:p>
        </w:tc>
        <w:tc>
          <w:tcPr>
            <w:tcW w:w="1134" w:type="dxa"/>
            <w:tcBorders>
              <w:top w:val="single" w:sz="2" w:space="0" w:color="C199DF"/>
              <w:bottom w:val="single" w:sz="12" w:space="0" w:color="5F2987"/>
            </w:tcBorders>
            <w:shd w:val="clear" w:color="auto" w:fill="DEC8EE"/>
            <w:noWrap/>
            <w:vAlign w:val="bottom"/>
          </w:tcPr>
          <w:p w14:paraId="52F82524" w14:textId="2D70E19C" w:rsidR="0080416C" w:rsidRPr="00F14FE2" w:rsidRDefault="0080416C" w:rsidP="0080416C">
            <w:pPr>
              <w:keepNext/>
              <w:spacing w:after="0"/>
              <w:jc w:val="right"/>
              <w:rPr>
                <w:rFonts w:cs="Calibri"/>
                <w:b/>
                <w:bCs/>
                <w:i/>
                <w:iCs/>
                <w:color w:val="000000"/>
              </w:rPr>
            </w:pPr>
            <w:r w:rsidRPr="00F14FE2">
              <w:rPr>
                <w:rFonts w:cs="Calibri"/>
                <w:b/>
                <w:bCs/>
                <w:i/>
                <w:iCs/>
                <w:color w:val="000000"/>
              </w:rPr>
              <w:t>1,8 %</w:t>
            </w:r>
          </w:p>
        </w:tc>
      </w:tr>
      <w:tr w:rsidR="0080416C" w:rsidRPr="00F14FE2" w14:paraId="21995EDE" w14:textId="77777777" w:rsidTr="00343139">
        <w:trPr>
          <w:trHeight w:val="300"/>
          <w:jc w:val="center"/>
        </w:trPr>
        <w:tc>
          <w:tcPr>
            <w:tcW w:w="3969" w:type="dxa"/>
            <w:tcBorders>
              <w:top w:val="single" w:sz="12" w:space="0" w:color="5F2987"/>
              <w:bottom w:val="single" w:sz="12" w:space="0" w:color="5F2987"/>
            </w:tcBorders>
            <w:shd w:val="clear" w:color="auto" w:fill="DEC8EE"/>
            <w:noWrap/>
            <w:vAlign w:val="bottom"/>
            <w:hideMark/>
          </w:tcPr>
          <w:p w14:paraId="722B2479" w14:textId="77777777" w:rsidR="0080416C" w:rsidRPr="00F14FE2" w:rsidRDefault="0080416C" w:rsidP="0080416C">
            <w:pPr>
              <w:spacing w:after="0"/>
              <w:rPr>
                <w:rFonts w:cs="Calibri"/>
                <w:b/>
                <w:bCs/>
                <w:i/>
                <w:iCs/>
                <w:color w:val="000000"/>
              </w:rPr>
            </w:pPr>
            <w:r w:rsidRPr="00F14FE2">
              <w:rPr>
                <w:rFonts w:cs="Calibri"/>
                <w:b/>
                <w:bCs/>
                <w:i/>
                <w:iCs/>
                <w:color w:val="000000"/>
              </w:rPr>
              <w:t>Posición Inversora Internacional Neta</w:t>
            </w:r>
          </w:p>
        </w:tc>
        <w:tc>
          <w:tcPr>
            <w:tcW w:w="1134" w:type="dxa"/>
            <w:tcBorders>
              <w:top w:val="single" w:sz="12" w:space="0" w:color="5F2987"/>
              <w:bottom w:val="single" w:sz="12" w:space="0" w:color="5F2987"/>
            </w:tcBorders>
            <w:shd w:val="clear" w:color="auto" w:fill="DEC8EE"/>
            <w:noWrap/>
            <w:vAlign w:val="bottom"/>
            <w:hideMark/>
          </w:tcPr>
          <w:p w14:paraId="7C23357B" w14:textId="380297B9" w:rsidR="0080416C" w:rsidRPr="00A46F3D" w:rsidRDefault="0080416C" w:rsidP="0080416C">
            <w:pPr>
              <w:spacing w:after="0"/>
              <w:jc w:val="right"/>
              <w:rPr>
                <w:rFonts w:cs="Calibri"/>
                <w:b/>
                <w:bCs/>
                <w:i/>
                <w:iCs/>
                <w:color w:val="767171" w:themeColor="background2" w:themeShade="80"/>
                <w:sz w:val="19"/>
                <w:szCs w:val="19"/>
              </w:rPr>
            </w:pPr>
            <w:r w:rsidRPr="00A46F3D">
              <w:rPr>
                <w:bCs/>
                <w:color w:val="767171" w:themeColor="background2" w:themeShade="80"/>
                <w:sz w:val="19"/>
                <w:szCs w:val="19"/>
              </w:rPr>
              <w:t>−</w:t>
            </w:r>
            <w:r w:rsidRPr="00A46F3D">
              <w:rPr>
                <w:rFonts w:cs="Calibri"/>
                <w:b/>
                <w:bCs/>
                <w:i/>
                <w:iCs/>
                <w:color w:val="767171" w:themeColor="background2" w:themeShade="80"/>
                <w:sz w:val="19"/>
                <w:szCs w:val="19"/>
              </w:rPr>
              <w:t>71,5 %</w:t>
            </w:r>
          </w:p>
        </w:tc>
        <w:tc>
          <w:tcPr>
            <w:tcW w:w="1134" w:type="dxa"/>
            <w:tcBorders>
              <w:top w:val="single" w:sz="12" w:space="0" w:color="5F2987"/>
              <w:bottom w:val="single" w:sz="12" w:space="0" w:color="5F2987"/>
            </w:tcBorders>
            <w:shd w:val="clear" w:color="auto" w:fill="DEC8EE"/>
            <w:noWrap/>
            <w:vAlign w:val="bottom"/>
            <w:hideMark/>
          </w:tcPr>
          <w:p w14:paraId="6DC7B5E1" w14:textId="3F55DF4F" w:rsidR="0080416C" w:rsidRPr="00F14FE2" w:rsidRDefault="0080416C" w:rsidP="0080416C">
            <w:pPr>
              <w:spacing w:after="0"/>
              <w:jc w:val="right"/>
              <w:rPr>
                <w:rFonts w:cs="Calibri"/>
                <w:b/>
                <w:bCs/>
                <w:i/>
                <w:iCs/>
                <w:color w:val="000000"/>
              </w:rPr>
            </w:pPr>
            <w:r w:rsidRPr="00D5682D">
              <w:rPr>
                <w:bCs/>
              </w:rPr>
              <w:t>−</w:t>
            </w:r>
            <w:r w:rsidRPr="00F14FE2">
              <w:rPr>
                <w:rFonts w:cs="Calibri"/>
                <w:b/>
                <w:bCs/>
                <w:i/>
                <w:iCs/>
                <w:color w:val="000000"/>
              </w:rPr>
              <w:t>60,5 %</w:t>
            </w:r>
          </w:p>
        </w:tc>
      </w:tr>
    </w:tbl>
    <w:p w14:paraId="14F4A97B" w14:textId="579764FD" w:rsidR="00E36258" w:rsidRDefault="00E36258" w:rsidP="00E36258">
      <w:pPr>
        <w:jc w:val="center"/>
      </w:pPr>
      <w:r w:rsidRPr="00E36258">
        <w:rPr>
          <w:noProof/>
        </w:rPr>
        <w:lastRenderedPageBreak/>
        <w:drawing>
          <wp:inline distT="0" distB="0" distL="0" distR="0" wp14:anchorId="660A0F81" wp14:editId="16AF9CE3">
            <wp:extent cx="4832350" cy="2894998"/>
            <wp:effectExtent l="0" t="0" r="6350" b="635"/>
            <wp:docPr id="2602233" name="Imagen 1"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233" name="Imagen 1" descr="Interfaz de usuario gráfica, Tabla&#10;&#10;Descripción generada automáticamente"/>
                    <pic:cNvPicPr/>
                  </pic:nvPicPr>
                  <pic:blipFill>
                    <a:blip r:embed="rId12"/>
                    <a:stretch>
                      <a:fillRect/>
                    </a:stretch>
                  </pic:blipFill>
                  <pic:spPr>
                    <a:xfrm>
                      <a:off x="0" y="0"/>
                      <a:ext cx="4834108" cy="2896051"/>
                    </a:xfrm>
                    <a:prstGeom prst="rect">
                      <a:avLst/>
                    </a:prstGeom>
                  </pic:spPr>
                </pic:pic>
              </a:graphicData>
            </a:graphic>
          </wp:inline>
        </w:drawing>
      </w:r>
    </w:p>
    <w:p w14:paraId="411F0527" w14:textId="0AD7D435" w:rsidR="00216075" w:rsidRDefault="00216075" w:rsidP="00454652">
      <w:pPr>
        <w:pStyle w:val="Ttulo2"/>
      </w:pPr>
      <w:bookmarkStart w:id="63" w:name="_Toc178016011"/>
      <w:r w:rsidRPr="00216075">
        <w:t xml:space="preserve">Cuenta </w:t>
      </w:r>
      <w:r w:rsidR="00E8495B">
        <w:t>c</w:t>
      </w:r>
      <w:r w:rsidRPr="00216075">
        <w:t xml:space="preserve">orriente y </w:t>
      </w:r>
      <w:r w:rsidR="00E8495B">
        <w:t xml:space="preserve">cuenta </w:t>
      </w:r>
      <w:r w:rsidRPr="00216075">
        <w:t xml:space="preserve">de </w:t>
      </w:r>
      <w:r w:rsidR="00E8495B">
        <w:t>c</w:t>
      </w:r>
      <w:r w:rsidRPr="00216075">
        <w:t>apital</w:t>
      </w:r>
      <w:bookmarkEnd w:id="63"/>
    </w:p>
    <w:p w14:paraId="777E35DB" w14:textId="65C19C74" w:rsidR="0076609A" w:rsidRDefault="0076609A" w:rsidP="00875A6A">
      <w:pPr>
        <w:pStyle w:val="Ttulo6"/>
        <w:spacing w:before="0"/>
      </w:pPr>
      <w:bookmarkStart w:id="64" w:name="_Toc178016012"/>
      <w:r w:rsidRPr="0076609A">
        <w:t xml:space="preserve">Cuenta </w:t>
      </w:r>
      <w:r w:rsidR="00691CAB">
        <w:t>c</w:t>
      </w:r>
      <w:r w:rsidRPr="0076609A">
        <w:t>orriente: Superávit 0</w:t>
      </w:r>
      <w:r w:rsidR="00875A6A">
        <w:t>,</w:t>
      </w:r>
      <w:r w:rsidR="00EA70FD">
        <w:t>6</w:t>
      </w:r>
      <w:r w:rsidR="004978BF">
        <w:t> %</w:t>
      </w:r>
      <w:bookmarkEnd w:id="64"/>
    </w:p>
    <w:p w14:paraId="51C5B7E5" w14:textId="77777777" w:rsidR="0076609A" w:rsidRDefault="0076609A" w:rsidP="00D63348">
      <w:pPr>
        <w:pStyle w:val="Nivel2SM"/>
        <w:keepNext/>
        <w:spacing w:after="0"/>
      </w:pPr>
      <w:r w:rsidRPr="00CA59FA">
        <w:rPr>
          <w:i/>
          <w:iCs/>
          <w:u w:val="single"/>
        </w:rPr>
        <w:t>Balanza de bienes</w:t>
      </w:r>
      <w:r>
        <w:t>:</w:t>
      </w:r>
    </w:p>
    <w:p w14:paraId="292CA775" w14:textId="09D497E3" w:rsidR="0076609A" w:rsidRDefault="0076609A" w:rsidP="00D63348">
      <w:pPr>
        <w:pStyle w:val="Nivel3SM"/>
      </w:pPr>
      <w:r>
        <w:t xml:space="preserve">Ampliación del </w:t>
      </w:r>
      <w:r w:rsidRPr="0076609A">
        <w:rPr>
          <w:b/>
        </w:rPr>
        <w:t>déficit</w:t>
      </w:r>
      <w:r>
        <w:t xml:space="preserve"> hasta el </w:t>
      </w:r>
      <w:r w:rsidR="00EA70FD">
        <w:rPr>
          <w:b/>
        </w:rPr>
        <w:t>4</w:t>
      </w:r>
      <w:r w:rsidR="00875A6A">
        <w:rPr>
          <w:b/>
        </w:rPr>
        <w:t>,</w:t>
      </w:r>
      <w:r w:rsidR="00EA70FD">
        <w:rPr>
          <w:b/>
        </w:rPr>
        <w:t>4</w:t>
      </w:r>
      <w:r w:rsidR="004978BF">
        <w:rPr>
          <w:b/>
        </w:rPr>
        <w:t> %</w:t>
      </w:r>
      <w:r w:rsidRPr="0076609A">
        <w:rPr>
          <w:b/>
        </w:rPr>
        <w:t xml:space="preserve"> del PIB</w:t>
      </w:r>
      <w:r>
        <w:t>.</w:t>
      </w:r>
    </w:p>
    <w:p w14:paraId="3120F01F" w14:textId="35D7C9EF" w:rsidR="0076609A" w:rsidRDefault="0076609A" w:rsidP="00D63348">
      <w:pPr>
        <w:pStyle w:val="Nivel3SM"/>
      </w:pPr>
      <w:r>
        <w:t>E</w:t>
      </w:r>
      <w:r w:rsidRPr="00B80CE1">
        <w:t>sta evolución del déficit de bienes fue el resultado del incremento de la factura energética</w:t>
      </w:r>
      <w:r w:rsidR="000C7982">
        <w:rPr>
          <w:rStyle w:val="Refdenotaalpie"/>
        </w:rPr>
        <w:footnoteReference w:id="10"/>
      </w:r>
      <w:r w:rsidRPr="00B80CE1">
        <w:t xml:space="preserve"> y del empeoramiento del saldo no energético, que, además, registró déficit</w:t>
      </w:r>
      <w:r w:rsidR="000C7982">
        <w:rPr>
          <w:rStyle w:val="Refdenotaalpie"/>
        </w:rPr>
        <w:footnoteReference w:id="11"/>
      </w:r>
      <w:r w:rsidRPr="00B80CE1">
        <w:t>.</w:t>
      </w:r>
    </w:p>
    <w:p w14:paraId="7D04AD9B" w14:textId="77777777" w:rsidR="0076609A" w:rsidRPr="0076609A" w:rsidRDefault="0076609A" w:rsidP="00D63348">
      <w:pPr>
        <w:pStyle w:val="Nivel2SM"/>
        <w:keepNext/>
        <w:spacing w:after="0"/>
      </w:pPr>
      <w:r w:rsidRPr="00CA59FA">
        <w:rPr>
          <w:i/>
          <w:iCs/>
          <w:u w:val="single"/>
        </w:rPr>
        <w:t>Balanza de servicios</w:t>
      </w:r>
      <w:r w:rsidRPr="0076609A">
        <w:t>:</w:t>
      </w:r>
    </w:p>
    <w:p w14:paraId="37850F3E" w14:textId="65A7DAF8" w:rsidR="003F7E13" w:rsidRPr="003F7E13" w:rsidRDefault="003F7E13" w:rsidP="00CA59FA">
      <w:pPr>
        <w:pStyle w:val="Nivel3SM"/>
        <w:keepNext/>
      </w:pPr>
      <w:r w:rsidRPr="00CA59FA">
        <w:rPr>
          <w:i/>
          <w:iCs/>
        </w:rPr>
        <w:t>Evolución</w:t>
      </w:r>
      <w:r w:rsidR="00CA59FA">
        <w:t>:</w:t>
      </w:r>
    </w:p>
    <w:p w14:paraId="06A681C9" w14:textId="70297E50" w:rsidR="0076609A" w:rsidRDefault="00EA70FD" w:rsidP="00CA59FA">
      <w:pPr>
        <w:pStyle w:val="Nivel4"/>
        <w:ind w:left="1474"/>
      </w:pPr>
      <w:r>
        <w:rPr>
          <w:b/>
        </w:rPr>
        <w:t>Aumento</w:t>
      </w:r>
      <w:r w:rsidR="0076609A" w:rsidRPr="00B80CE1">
        <w:t xml:space="preserve"> del </w:t>
      </w:r>
      <w:r w:rsidR="0076609A" w:rsidRPr="0076609A">
        <w:rPr>
          <w:b/>
        </w:rPr>
        <w:t>superávit</w:t>
      </w:r>
      <w:r w:rsidR="0076609A" w:rsidRPr="00B80CE1">
        <w:t xml:space="preserve"> de servicios hasta el </w:t>
      </w:r>
      <w:r>
        <w:rPr>
          <w:b/>
        </w:rPr>
        <w:t>5</w:t>
      </w:r>
      <w:r w:rsidR="0076609A" w:rsidRPr="0076609A">
        <w:rPr>
          <w:b/>
        </w:rPr>
        <w:t>,</w:t>
      </w:r>
      <w:r>
        <w:rPr>
          <w:b/>
        </w:rPr>
        <w:t>8</w:t>
      </w:r>
      <w:r w:rsidR="004978BF">
        <w:rPr>
          <w:b/>
        </w:rPr>
        <w:t> %</w:t>
      </w:r>
      <w:r w:rsidR="0076609A">
        <w:t>.</w:t>
      </w:r>
    </w:p>
    <w:p w14:paraId="3CCDC1B4" w14:textId="274F7295" w:rsidR="0076609A" w:rsidRDefault="0076609A" w:rsidP="00CA59FA">
      <w:pPr>
        <w:pStyle w:val="Nivel4"/>
        <w:ind w:left="1474"/>
      </w:pPr>
      <w:r>
        <w:t xml:space="preserve">Este </w:t>
      </w:r>
      <w:r w:rsidR="00EA70FD">
        <w:t>aumento</w:t>
      </w:r>
      <w:r>
        <w:t xml:space="preserve"> </w:t>
      </w:r>
      <w:r w:rsidRPr="00B80CE1">
        <w:t>afectó tanto al turismo como al resto de los servicios.</w:t>
      </w:r>
    </w:p>
    <w:p w14:paraId="3C8CED62" w14:textId="61F9115F" w:rsidR="003F7E13" w:rsidRPr="003F7E13" w:rsidRDefault="003F7E13" w:rsidP="00CA59FA">
      <w:pPr>
        <w:pStyle w:val="Nivel3SM"/>
        <w:keepNext/>
      </w:pPr>
      <w:r w:rsidRPr="00CA59FA">
        <w:rPr>
          <w:i/>
          <w:iCs/>
        </w:rPr>
        <w:t>Turismo</w:t>
      </w:r>
      <w:r w:rsidR="00CA59FA">
        <w:t>:</w:t>
      </w:r>
    </w:p>
    <w:p w14:paraId="057B9E06" w14:textId="4DC944D7" w:rsidR="003F7E13" w:rsidRDefault="003F7E13" w:rsidP="00CA59FA">
      <w:pPr>
        <w:pStyle w:val="Nivel4"/>
        <w:ind w:left="1474"/>
      </w:pPr>
      <w:r w:rsidRPr="003F7E13">
        <w:t xml:space="preserve">La </w:t>
      </w:r>
      <w:r w:rsidR="003F3BC9">
        <w:rPr>
          <w:b/>
          <w:u w:val="single"/>
        </w:rPr>
        <w:t>mejora</w:t>
      </w:r>
      <w:r w:rsidRPr="003F7E13">
        <w:rPr>
          <w:b/>
          <w:u w:val="single"/>
        </w:rPr>
        <w:t xml:space="preserve"> de los ingresos turísticos</w:t>
      </w:r>
      <w:r w:rsidRPr="003F7E13">
        <w:t xml:space="preserve"> estuvo condicionada por la </w:t>
      </w:r>
      <w:r w:rsidR="003F3BC9">
        <w:t>recuperación tras la crisis sanitaria</w:t>
      </w:r>
      <w:r>
        <w:t>.</w:t>
      </w:r>
    </w:p>
    <w:p w14:paraId="726A025A" w14:textId="6EA385B4" w:rsidR="003F7E13" w:rsidRDefault="003F7E13" w:rsidP="00CA59FA">
      <w:pPr>
        <w:pStyle w:val="Nivel3SM"/>
        <w:keepNext/>
      </w:pPr>
      <w:r w:rsidRPr="00CA59FA">
        <w:rPr>
          <w:i/>
          <w:iCs/>
        </w:rPr>
        <w:t>Servicios no turísticos</w:t>
      </w:r>
      <w:r w:rsidR="00CA59FA">
        <w:t>:</w:t>
      </w:r>
    </w:p>
    <w:p w14:paraId="67E91D0C" w14:textId="10FA6A78" w:rsidR="003F7E13" w:rsidRPr="003F7E13" w:rsidRDefault="003F7E13" w:rsidP="00CA59FA">
      <w:pPr>
        <w:pStyle w:val="Nivel4"/>
        <w:ind w:left="1474"/>
        <w:rPr>
          <w:u w:val="single"/>
        </w:rPr>
      </w:pPr>
      <w:r>
        <w:t>Los servicios no</w:t>
      </w:r>
      <w:r w:rsidR="003F3BC9">
        <w:t> </w:t>
      </w:r>
      <w:r>
        <w:t xml:space="preserve">turísticos con más dinamismo fueron los servicios de </w:t>
      </w:r>
      <w:r w:rsidRPr="00FE5C39">
        <w:rPr>
          <w:b/>
        </w:rPr>
        <w:t>consultoría y TIC</w:t>
      </w:r>
      <w:r>
        <w:t>.</w:t>
      </w:r>
    </w:p>
    <w:p w14:paraId="703380EB" w14:textId="3483ED55" w:rsidR="003F7E13" w:rsidRPr="003F7E13" w:rsidRDefault="0076609A" w:rsidP="00CA59FA">
      <w:pPr>
        <w:pStyle w:val="Nivel2SM"/>
        <w:keepNext/>
        <w:spacing w:after="0"/>
        <w:rPr>
          <w:b/>
        </w:rPr>
      </w:pPr>
      <w:r w:rsidRPr="00CA59FA">
        <w:rPr>
          <w:i/>
          <w:iCs/>
          <w:u w:val="single"/>
        </w:rPr>
        <w:t>Balanza de rentas primarias</w:t>
      </w:r>
      <w:r w:rsidR="00CA59FA">
        <w:t>:</w:t>
      </w:r>
    </w:p>
    <w:p w14:paraId="02E5BC13" w14:textId="66150F31" w:rsidR="003F7E13" w:rsidRDefault="003F7E13" w:rsidP="00CA59FA">
      <w:pPr>
        <w:pStyle w:val="Nivel3SM"/>
      </w:pPr>
      <w:r w:rsidRPr="003F7E13">
        <w:t>El saldo de la balanza de rentas primarias se situó en 20</w:t>
      </w:r>
      <w:r w:rsidR="003F3BC9">
        <w:t>22</w:t>
      </w:r>
      <w:r w:rsidRPr="003F7E13">
        <w:t xml:space="preserve"> alrededor del </w:t>
      </w:r>
      <w:r w:rsidRPr="00FE5C39">
        <w:rPr>
          <w:b/>
        </w:rPr>
        <w:t>0</w:t>
      </w:r>
      <w:r w:rsidR="003F3BC9">
        <w:rPr>
          <w:b/>
        </w:rPr>
        <w:t>,3</w:t>
      </w:r>
      <w:r w:rsidR="004978BF">
        <w:rPr>
          <w:b/>
        </w:rPr>
        <w:t> %</w:t>
      </w:r>
      <w:r w:rsidRPr="00FE5C39">
        <w:rPr>
          <w:b/>
        </w:rPr>
        <w:t xml:space="preserve"> del PIB</w:t>
      </w:r>
      <w:r w:rsidRPr="003F7E13">
        <w:t xml:space="preserve">, frente a un </w:t>
      </w:r>
      <w:r w:rsidR="003F3BC9">
        <w:t>superávit</w:t>
      </w:r>
      <w:r w:rsidRPr="003F7E13">
        <w:t xml:space="preserve"> del 0,</w:t>
      </w:r>
      <w:r w:rsidR="003F3BC9">
        <w:t>5</w:t>
      </w:r>
      <w:r w:rsidR="004978BF">
        <w:t> %</w:t>
      </w:r>
      <w:r w:rsidRPr="003F7E13">
        <w:t xml:space="preserve"> en el año anterior.</w:t>
      </w:r>
    </w:p>
    <w:p w14:paraId="426CCC64" w14:textId="50F4BF2A" w:rsidR="00FE5C39" w:rsidRDefault="00FE5C39" w:rsidP="00CA59FA">
      <w:pPr>
        <w:pStyle w:val="Nivel3SM"/>
      </w:pPr>
      <w:r>
        <w:t xml:space="preserve">Predomina las </w:t>
      </w:r>
      <w:r w:rsidRPr="00FE5C39">
        <w:rPr>
          <w:b/>
        </w:rPr>
        <w:t>rentas destinadas a la inversión en cartera</w:t>
      </w:r>
      <w:r>
        <w:t>.</w:t>
      </w:r>
    </w:p>
    <w:p w14:paraId="4266F688" w14:textId="1B2786E9" w:rsidR="0076609A" w:rsidRPr="0076609A" w:rsidRDefault="003F7E13" w:rsidP="00CA59FA">
      <w:pPr>
        <w:pStyle w:val="Nivel2SM"/>
        <w:keepNext/>
        <w:spacing w:after="0"/>
      </w:pPr>
      <w:r w:rsidRPr="00CA59FA">
        <w:rPr>
          <w:i/>
          <w:iCs/>
          <w:u w:val="single"/>
        </w:rPr>
        <w:t>Balanza de rentas secundarias</w:t>
      </w:r>
      <w:r w:rsidR="00CA59FA">
        <w:t>:</w:t>
      </w:r>
    </w:p>
    <w:p w14:paraId="030C955A" w14:textId="276AAF10" w:rsidR="00B22CF9" w:rsidRDefault="00B22CF9" w:rsidP="00CA59FA">
      <w:pPr>
        <w:pStyle w:val="Nivel3SM"/>
      </w:pPr>
      <w:r w:rsidRPr="00B22CF9">
        <w:t xml:space="preserve">El déficit de la balanza de rentas secundarias, que recoge el grueso de las transferencias corrientes, </w:t>
      </w:r>
      <w:r w:rsidR="003F3BC9">
        <w:t>se mantuvo</w:t>
      </w:r>
      <w:r w:rsidRPr="00B22CF9">
        <w:t xml:space="preserve"> en 20</w:t>
      </w:r>
      <w:r w:rsidR="003F3BC9">
        <w:t>22 en el</w:t>
      </w:r>
      <w:r w:rsidRPr="00B22CF9">
        <w:t xml:space="preserve"> </w:t>
      </w:r>
      <w:r w:rsidR="003F3BC9" w:rsidRPr="003F3BC9">
        <w:rPr>
          <w:b/>
          <w:bCs/>
        </w:rPr>
        <w:t>−</w:t>
      </w:r>
      <w:r w:rsidRPr="00FE5C39">
        <w:rPr>
          <w:b/>
        </w:rPr>
        <w:t>1</w:t>
      </w:r>
      <w:r w:rsidR="003F3BC9">
        <w:rPr>
          <w:b/>
        </w:rPr>
        <w:t>,1</w:t>
      </w:r>
      <w:r w:rsidR="004978BF">
        <w:rPr>
          <w:b/>
        </w:rPr>
        <w:t> %</w:t>
      </w:r>
      <w:r w:rsidRPr="00FE5C39">
        <w:rPr>
          <w:b/>
        </w:rPr>
        <w:t xml:space="preserve"> del PIB</w:t>
      </w:r>
      <w:r w:rsidRPr="00B22CF9">
        <w:t>.</w:t>
      </w:r>
    </w:p>
    <w:p w14:paraId="328FE007" w14:textId="193B8602" w:rsidR="0076609A" w:rsidRDefault="003F3BC9" w:rsidP="00CA59FA">
      <w:pPr>
        <w:pStyle w:val="Nivel3SM"/>
      </w:pPr>
      <w:r>
        <w:lastRenderedPageBreak/>
        <w:t>E</w:t>
      </w:r>
      <w:r w:rsidR="00B22CF9" w:rsidRPr="00B22CF9">
        <w:t>ste déficit reflej</w:t>
      </w:r>
      <w:r>
        <w:t>a</w:t>
      </w:r>
      <w:r w:rsidR="00B22CF9" w:rsidRPr="00B22CF9">
        <w:t>, principalmente, los pagos netos a la UE englobados dentro de las rentas secundarias</w:t>
      </w:r>
      <w:r w:rsidR="00FE5C39">
        <w:t>.</w:t>
      </w:r>
    </w:p>
    <w:p w14:paraId="38A261A6" w14:textId="41F46F83" w:rsidR="000C7982" w:rsidRDefault="000C7982" w:rsidP="00CA59FA">
      <w:pPr>
        <w:pStyle w:val="Nivel3SM"/>
      </w:pPr>
      <w:r>
        <w:t>El saldo de esta cuenta con la UE aumentó de manera notable en los años 2021 y 2022 con respecto a años anteriores por la aportación de los fondos NGEU.</w:t>
      </w:r>
    </w:p>
    <w:p w14:paraId="096C7D3F" w14:textId="701C4935" w:rsidR="00FE5C39" w:rsidRPr="003F7E13" w:rsidRDefault="003F7E13" w:rsidP="00875A6A">
      <w:pPr>
        <w:pStyle w:val="Ttulo6"/>
      </w:pPr>
      <w:bookmarkStart w:id="65" w:name="_Toc178016013"/>
      <w:r w:rsidRPr="003F7E13">
        <w:t>Cuenta de capital</w:t>
      </w:r>
      <w:r w:rsidRPr="00FE5C39">
        <w:t xml:space="preserve">: </w:t>
      </w:r>
      <w:r w:rsidR="00FE5C39" w:rsidRPr="00FE5C39">
        <w:t>Superávit del 0</w:t>
      </w:r>
      <w:r w:rsidR="00875A6A">
        <w:t>,</w:t>
      </w:r>
      <w:r w:rsidR="00B06FB4">
        <w:t>9</w:t>
      </w:r>
      <w:r w:rsidR="004978BF">
        <w:t> %</w:t>
      </w:r>
      <w:bookmarkEnd w:id="65"/>
    </w:p>
    <w:p w14:paraId="7A99559D" w14:textId="5A6304CA" w:rsidR="00B22CF9" w:rsidRDefault="00B06FB4" w:rsidP="00F926CA">
      <w:pPr>
        <w:pStyle w:val="Nivel2SM"/>
      </w:pPr>
      <w:r>
        <w:t>El superávit en la</w:t>
      </w:r>
      <w:r w:rsidR="0076609A" w:rsidRPr="00B80CE1">
        <w:t xml:space="preserve"> cuenta de capital —cuya evolución viene determinada, fundamentalmente, por las transferencias de</w:t>
      </w:r>
      <w:r w:rsidR="00FE095B">
        <w:t xml:space="preserve"> </w:t>
      </w:r>
      <w:r w:rsidR="0076609A" w:rsidRPr="00B80CE1">
        <w:t>capital procedentes de la</w:t>
      </w:r>
      <w:r w:rsidR="00FE095B">
        <w:t xml:space="preserve"> </w:t>
      </w:r>
      <w:r w:rsidR="0076609A" w:rsidRPr="00B80CE1">
        <w:t>UE—</w:t>
      </w:r>
      <w:r>
        <w:t xml:space="preserve"> </w:t>
      </w:r>
      <w:r w:rsidRPr="00B06FB4">
        <w:rPr>
          <w:b/>
          <w:bCs/>
        </w:rPr>
        <w:t>se mantuvo</w:t>
      </w:r>
      <w:r w:rsidR="0076609A" w:rsidRPr="00B06FB4">
        <w:rPr>
          <w:b/>
          <w:bCs/>
        </w:rPr>
        <w:t xml:space="preserve"> el</w:t>
      </w:r>
      <w:r w:rsidR="0076609A" w:rsidRPr="00B80CE1">
        <w:t xml:space="preserve"> </w:t>
      </w:r>
      <w:r w:rsidR="0076609A" w:rsidRPr="003F7E13">
        <w:rPr>
          <w:b/>
        </w:rPr>
        <w:t>0,</w:t>
      </w:r>
      <w:r>
        <w:rPr>
          <w:b/>
        </w:rPr>
        <w:t>9 </w:t>
      </w:r>
      <w:r w:rsidR="004978BF">
        <w:rPr>
          <w:b/>
        </w:rPr>
        <w:t>%</w:t>
      </w:r>
      <w:r w:rsidR="0076609A" w:rsidRPr="003F7E13">
        <w:rPr>
          <w:b/>
        </w:rPr>
        <w:t xml:space="preserve"> del PIB</w:t>
      </w:r>
      <w:r w:rsidR="00113EE8">
        <w:rPr>
          <w:bCs/>
        </w:rPr>
        <w:t xml:space="preserve"> (más del doble que la media del período 2013-2020)</w:t>
      </w:r>
      <w:r w:rsidR="0076609A" w:rsidRPr="00B80CE1">
        <w:t>.</w:t>
      </w:r>
    </w:p>
    <w:p w14:paraId="0CF4E66A" w14:textId="52BB03D7" w:rsidR="00691CAB" w:rsidRDefault="00691CAB" w:rsidP="00691CAB">
      <w:pPr>
        <w:pStyle w:val="Ttulo6"/>
      </w:pPr>
      <w:bookmarkStart w:id="66" w:name="_Toc178016014"/>
      <w:r>
        <w:t>Capacidad de financiación: 1,5 %</w:t>
      </w:r>
      <w:bookmarkEnd w:id="66"/>
    </w:p>
    <w:p w14:paraId="3FF7C5FC" w14:textId="7E04AB05" w:rsidR="00691CAB" w:rsidRPr="00691CAB" w:rsidRDefault="00691CAB" w:rsidP="00691CAB">
      <w:pPr>
        <w:pStyle w:val="Nivel2SM"/>
      </w:pPr>
      <w:r>
        <w:t>De lo anterior se deduce que la economía española registró en 2022 una capacidad de financiación del 1,5 %</w:t>
      </w:r>
    </w:p>
    <w:p w14:paraId="364EC78F" w14:textId="77777777" w:rsidR="001A0C8A" w:rsidRDefault="001A0C8A" w:rsidP="001A0C8A">
      <w:pPr>
        <w:pStyle w:val="Nivel2SM"/>
        <w:keepNext/>
        <w:spacing w:after="0"/>
      </w:pPr>
      <w:r w:rsidRPr="00216075">
        <w:t xml:space="preserve">Según la estadística de la Balanza de Pagos, </w:t>
      </w:r>
      <w:r w:rsidRPr="00BB2523">
        <w:rPr>
          <w:b/>
        </w:rPr>
        <w:t>España volvió a presentar capacidad de financiación en 20</w:t>
      </w:r>
      <w:r>
        <w:rPr>
          <w:b/>
        </w:rPr>
        <w:t>22 del 1,5 %</w:t>
      </w:r>
      <w:r w:rsidRPr="00216075">
        <w:t xml:space="preserve">, aunque </w:t>
      </w:r>
      <w:r w:rsidRPr="00BB2523">
        <w:rPr>
          <w:b/>
        </w:rPr>
        <w:t>inferior a la de años precedentes</w:t>
      </w:r>
      <w:r>
        <w:rPr>
          <w:b/>
        </w:rPr>
        <w:t xml:space="preserve"> (1,9 % en 2021)</w:t>
      </w:r>
      <w:r w:rsidRPr="00216075">
        <w:t>.</w:t>
      </w:r>
    </w:p>
    <w:p w14:paraId="074A92DE" w14:textId="77777777" w:rsidR="001A0C8A" w:rsidRDefault="001A0C8A" w:rsidP="001A0C8A">
      <w:pPr>
        <w:pStyle w:val="Nivel3SM"/>
      </w:pPr>
      <w:r>
        <w:t>Por área geográfica, el deterioro del saldo comercial de bienes entre los años 2021 y 2022 derivó de un mayor déficit frente a países no europeos (que se duplicó debido principalmente a los productos energéticos), mientras que el superávit frente a los países europeos se incrementó significativamente (+47 %) principalmente debido al aumento de exportaciones de medicamentos y productos energéticos.</w:t>
      </w:r>
    </w:p>
    <w:p w14:paraId="52F100ED" w14:textId="77777777" w:rsidR="001A0C8A" w:rsidRDefault="001A0C8A" w:rsidP="001A0C8A">
      <w:pPr>
        <w:pStyle w:val="Nivel1"/>
        <w:numPr>
          <w:ilvl w:val="0"/>
          <w:numId w:val="0"/>
        </w:numPr>
        <w:ind w:left="623" w:hanging="198"/>
        <w:jc w:val="center"/>
      </w:pPr>
      <w:r w:rsidRPr="00870976">
        <w:rPr>
          <w:noProof/>
        </w:rPr>
        <w:drawing>
          <wp:inline distT="0" distB="0" distL="0" distR="0" wp14:anchorId="4BE195B3" wp14:editId="2838DE47">
            <wp:extent cx="3352800" cy="1820072"/>
            <wp:effectExtent l="0" t="0" r="0" b="8890"/>
            <wp:docPr id="164671815"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1815" name="Imagen 1" descr="Gráfico&#10;&#10;Descripción generada automáticamente"/>
                    <pic:cNvPicPr/>
                  </pic:nvPicPr>
                  <pic:blipFill>
                    <a:blip r:embed="rId13"/>
                    <a:stretch>
                      <a:fillRect/>
                    </a:stretch>
                  </pic:blipFill>
                  <pic:spPr>
                    <a:xfrm>
                      <a:off x="0" y="0"/>
                      <a:ext cx="3359390" cy="1823649"/>
                    </a:xfrm>
                    <a:prstGeom prst="rect">
                      <a:avLst/>
                    </a:prstGeom>
                  </pic:spPr>
                </pic:pic>
              </a:graphicData>
            </a:graphic>
          </wp:inline>
        </w:drawing>
      </w:r>
    </w:p>
    <w:p w14:paraId="02BD595F" w14:textId="77777777" w:rsidR="001A0C8A" w:rsidRDefault="001A0C8A" w:rsidP="001A0C8A">
      <w:pPr>
        <w:pStyle w:val="Nivel2SM"/>
        <w:keepNext/>
        <w:spacing w:after="0"/>
      </w:pPr>
      <w:r>
        <w:t xml:space="preserve">Los factores pueden dividirse en </w:t>
      </w:r>
      <w:r w:rsidRPr="0076609A">
        <w:rPr>
          <w:u w:val="single"/>
        </w:rPr>
        <w:t>coyunturales y estructurales</w:t>
      </w:r>
      <w:r>
        <w:t>:</w:t>
      </w:r>
    </w:p>
    <w:p w14:paraId="351A39C0" w14:textId="77777777" w:rsidR="001A0C8A" w:rsidRPr="00B80CE1" w:rsidRDefault="001A0C8A" w:rsidP="001A0C8A">
      <w:pPr>
        <w:pStyle w:val="Nivel3SM"/>
        <w:keepNext/>
      </w:pPr>
      <w:r w:rsidRPr="00CA59FA">
        <w:rPr>
          <w:i/>
          <w:iCs/>
          <w:u w:val="single"/>
        </w:rPr>
        <w:t>Factores coyunturales</w:t>
      </w:r>
      <w:r>
        <w:t>:</w:t>
      </w:r>
    </w:p>
    <w:p w14:paraId="4A2642FC" w14:textId="77777777" w:rsidR="001A0C8A" w:rsidRDefault="001A0C8A" w:rsidP="001A0C8A">
      <w:pPr>
        <w:pStyle w:val="Nivel4"/>
        <w:ind w:left="1474"/>
      </w:pPr>
      <w:r>
        <w:t>El a</w:t>
      </w:r>
      <w:r w:rsidRPr="00216075">
        <w:t>scenso de los precios de</w:t>
      </w:r>
      <w:r>
        <w:t xml:space="preserve"> la energía (deterioro de la balanza comercial energética).</w:t>
      </w:r>
    </w:p>
    <w:p w14:paraId="38E48BEC" w14:textId="77777777" w:rsidR="001A0C8A" w:rsidRDefault="001A0C8A" w:rsidP="001A0C8A">
      <w:pPr>
        <w:pStyle w:val="Nivel4"/>
        <w:ind w:left="1474"/>
      </w:pPr>
      <w:r>
        <w:t>La relajación de los cuellos de botella en las cadenas de suministro global, que impulsaron las compras al exterior.</w:t>
      </w:r>
    </w:p>
    <w:p w14:paraId="32D8B66D" w14:textId="77777777" w:rsidR="001A0C8A" w:rsidRDefault="001A0C8A" w:rsidP="001A0C8A">
      <w:pPr>
        <w:pStyle w:val="Nivel4"/>
        <w:keepNext/>
        <w:ind w:left="1474"/>
      </w:pPr>
      <w:r>
        <w:t>La reducción del superávit de la renta primaria.</w:t>
      </w:r>
    </w:p>
    <w:p w14:paraId="3EDB3755" w14:textId="77777777" w:rsidR="001A0C8A" w:rsidRDefault="001A0C8A" w:rsidP="001A0C8A">
      <w:pPr>
        <w:pStyle w:val="Nivel5"/>
        <w:ind w:left="1871"/>
      </w:pPr>
      <w:r>
        <w:t>Por otro lado, cabe destacar el avance favorable de la cuenta de servicios, en especial del turismo (que recuperó los niveles previos a la pandemia</w:t>
      </w:r>
      <w:r>
        <w:rPr>
          <w:rStyle w:val="Refdenotaalpie"/>
        </w:rPr>
        <w:footnoteReference w:id="12"/>
      </w:r>
      <w:r>
        <w:t>).</w:t>
      </w:r>
    </w:p>
    <w:p w14:paraId="7AE69982" w14:textId="77777777" w:rsidR="001A0C8A" w:rsidRDefault="001A0C8A" w:rsidP="001A0C8A">
      <w:pPr>
        <w:pStyle w:val="Nivel5"/>
        <w:ind w:left="1871"/>
      </w:pPr>
      <w:r>
        <w:t xml:space="preserve">Resulta reseñable que la economía española mantuviera en el período 2020-2022 el signo positivo del saldo exterior, que determina la </w:t>
      </w:r>
      <w:r>
        <w:rPr>
          <w:i/>
          <w:iCs/>
        </w:rPr>
        <w:t>capacidad de financiación</w:t>
      </w:r>
      <w:r>
        <w:t>, a pesar de la pandemia y la crisis energética.</w:t>
      </w:r>
    </w:p>
    <w:p w14:paraId="7B9C0410" w14:textId="77777777" w:rsidR="001A0C8A" w:rsidRPr="00D468A4" w:rsidRDefault="001A0C8A" w:rsidP="001A0C8A">
      <w:pPr>
        <w:pStyle w:val="Nivel3SM"/>
        <w:keepNext/>
        <w:rPr>
          <w:highlight w:val="yellow"/>
        </w:rPr>
      </w:pPr>
      <w:r w:rsidRPr="00D468A4">
        <w:rPr>
          <w:i/>
          <w:iCs/>
          <w:highlight w:val="yellow"/>
          <w:u w:val="single"/>
        </w:rPr>
        <w:t>Factores estructurales</w:t>
      </w:r>
      <w:r w:rsidRPr="00D468A4">
        <w:rPr>
          <w:highlight w:val="yellow"/>
        </w:rPr>
        <w:t>:</w:t>
      </w:r>
    </w:p>
    <w:p w14:paraId="2B54D31F" w14:textId="77777777" w:rsidR="001A0C8A" w:rsidRPr="00D468A4" w:rsidRDefault="001A0C8A" w:rsidP="001A0C8A">
      <w:pPr>
        <w:pStyle w:val="Nivel4"/>
        <w:ind w:left="1474"/>
        <w:rPr>
          <w:highlight w:val="yellow"/>
        </w:rPr>
      </w:pPr>
      <w:r w:rsidRPr="00D468A4">
        <w:rPr>
          <w:highlight w:val="yellow"/>
        </w:rPr>
        <w:t>El agotamiento de la senda de ajuste de precios y costes relativos</w:t>
      </w:r>
    </w:p>
    <w:p w14:paraId="70342918" w14:textId="77777777" w:rsidR="001A0C8A" w:rsidRPr="00D468A4" w:rsidRDefault="001A0C8A" w:rsidP="001A0C8A">
      <w:pPr>
        <w:pStyle w:val="Nivel4"/>
        <w:ind w:left="1474"/>
        <w:rPr>
          <w:highlight w:val="yellow"/>
        </w:rPr>
      </w:pPr>
      <w:r w:rsidRPr="00D468A4">
        <w:rPr>
          <w:highlight w:val="yellow"/>
        </w:rPr>
        <w:t>La ralentización del proceso de sustitución de factores productivos importados por insumos nacionales observado en los últimos años.</w:t>
      </w:r>
    </w:p>
    <w:p w14:paraId="1C197FF2" w14:textId="77777777" w:rsidR="001A0C8A" w:rsidRPr="00D468A4" w:rsidRDefault="001A0C8A" w:rsidP="001A0C8A">
      <w:pPr>
        <w:pStyle w:val="Nivel2SM"/>
        <w:keepNext/>
        <w:spacing w:after="0"/>
        <w:rPr>
          <w:highlight w:val="yellow"/>
        </w:rPr>
      </w:pPr>
      <w:r w:rsidRPr="00D468A4">
        <w:rPr>
          <w:highlight w:val="yellow"/>
        </w:rPr>
        <w:t xml:space="preserve">Desde un punto de vista de los sectores institucionales obtenemos: </w:t>
      </w:r>
    </w:p>
    <w:p w14:paraId="194E3511" w14:textId="77777777" w:rsidR="001A0C8A" w:rsidRPr="00D468A4" w:rsidRDefault="001A0C8A" w:rsidP="001A0C8A">
      <w:pPr>
        <w:pStyle w:val="Nivel3SM"/>
        <w:rPr>
          <w:highlight w:val="yellow"/>
        </w:rPr>
      </w:pPr>
      <w:r w:rsidRPr="00D468A4">
        <w:rPr>
          <w:i/>
          <w:iCs/>
          <w:highlight w:val="yellow"/>
          <w:u w:val="single"/>
        </w:rPr>
        <w:t>Sociedades no financieras</w:t>
      </w:r>
      <w:r w:rsidRPr="00D468A4">
        <w:rPr>
          <w:highlight w:val="yellow"/>
        </w:rPr>
        <w:t>: Capacidad, pero reducción.</w:t>
      </w:r>
    </w:p>
    <w:p w14:paraId="685691F5" w14:textId="77777777" w:rsidR="001A0C8A" w:rsidRPr="00D468A4" w:rsidRDefault="001A0C8A" w:rsidP="001A0C8A">
      <w:pPr>
        <w:pStyle w:val="Nivel3SM"/>
        <w:rPr>
          <w:highlight w:val="yellow"/>
        </w:rPr>
      </w:pPr>
      <w:r w:rsidRPr="00D468A4">
        <w:rPr>
          <w:i/>
          <w:iCs/>
          <w:highlight w:val="yellow"/>
          <w:u w:val="single"/>
        </w:rPr>
        <w:t>Hogares</w:t>
      </w:r>
      <w:r w:rsidRPr="00D468A4">
        <w:rPr>
          <w:highlight w:val="yellow"/>
        </w:rPr>
        <w:t>: Necesidad, aumento.</w:t>
      </w:r>
    </w:p>
    <w:p w14:paraId="5C2A5A77" w14:textId="77777777" w:rsidR="001A0C8A" w:rsidRPr="00D468A4" w:rsidRDefault="001A0C8A" w:rsidP="001A0C8A">
      <w:pPr>
        <w:pStyle w:val="Nivel3SM"/>
        <w:rPr>
          <w:highlight w:val="yellow"/>
          <w:u w:val="single"/>
        </w:rPr>
      </w:pPr>
      <w:r w:rsidRPr="00D468A4">
        <w:rPr>
          <w:i/>
          <w:iCs/>
          <w:highlight w:val="yellow"/>
          <w:u w:val="single"/>
        </w:rPr>
        <w:lastRenderedPageBreak/>
        <w:t>AAPP</w:t>
      </w:r>
      <w:r w:rsidRPr="00D468A4">
        <w:rPr>
          <w:highlight w:val="yellow"/>
        </w:rPr>
        <w:t>: Necesidad, pero reducción.</w:t>
      </w:r>
    </w:p>
    <w:p w14:paraId="5FDD67BD" w14:textId="77777777" w:rsidR="001A0C8A" w:rsidRDefault="001A0C8A" w:rsidP="001A0C8A">
      <w:pPr>
        <w:pStyle w:val="Nivel3SM"/>
        <w:rPr>
          <w:highlight w:val="yellow"/>
        </w:rPr>
      </w:pPr>
      <w:r w:rsidRPr="00D468A4">
        <w:rPr>
          <w:i/>
          <w:iCs/>
          <w:highlight w:val="yellow"/>
          <w:u w:val="single"/>
        </w:rPr>
        <w:t>Instituciones financieras</w:t>
      </w:r>
      <w:r w:rsidRPr="00D468A4">
        <w:rPr>
          <w:highlight w:val="yellow"/>
        </w:rPr>
        <w:t>: Capacidad, aumento.</w:t>
      </w:r>
    </w:p>
    <w:p w14:paraId="41EEDBE9" w14:textId="70F22A56" w:rsidR="00B22CF9" w:rsidRPr="008C79D0" w:rsidRDefault="00B22CF9" w:rsidP="00454652">
      <w:pPr>
        <w:pStyle w:val="Ttulo2"/>
      </w:pPr>
      <w:bookmarkStart w:id="67" w:name="_Toc178016015"/>
      <w:r>
        <w:t xml:space="preserve">Cuenta </w:t>
      </w:r>
      <w:r w:rsidR="00E8495B">
        <w:t>f</w:t>
      </w:r>
      <w:r>
        <w:t>inanciera</w:t>
      </w:r>
      <w:r w:rsidR="00E8495B">
        <w:t>,</w:t>
      </w:r>
      <w:r>
        <w:t xml:space="preserve"> excluido el B</w:t>
      </w:r>
      <w:r w:rsidR="00E8495B">
        <w:t xml:space="preserve">anco </w:t>
      </w:r>
      <w:r>
        <w:t>d</w:t>
      </w:r>
      <w:r w:rsidR="00E8495B">
        <w:t xml:space="preserve">e </w:t>
      </w:r>
      <w:r>
        <w:t>E</w:t>
      </w:r>
      <w:r w:rsidR="00E8495B">
        <w:t>spaña</w:t>
      </w:r>
      <w:bookmarkEnd w:id="67"/>
    </w:p>
    <w:p w14:paraId="0FFD9215" w14:textId="77777777" w:rsidR="001A0C8A" w:rsidRDefault="001A0C8A" w:rsidP="001A0C8A">
      <w:pPr>
        <w:pStyle w:val="Nivel2SM"/>
        <w:keepNext/>
        <w:spacing w:after="0"/>
        <w:rPr>
          <w:spacing w:val="-2"/>
        </w:rPr>
      </w:pPr>
      <w:r>
        <w:rPr>
          <w:spacing w:val="-2"/>
        </w:rPr>
        <w:t>Las operaciones financieras de la economía española con el resto del mundo, excluido el Banco de España, arrojaron un saldo negativo en 2022 del −0,7 % del PIB, frente al saldo positivo del 0,6 % del ejercicio previo, debido a que el aumento neto de los pasivos frente al exterior fue superior al de los activos.</w:t>
      </w:r>
    </w:p>
    <w:p w14:paraId="0DD9F444" w14:textId="77777777" w:rsidR="001A0C8A" w:rsidRPr="0077362A" w:rsidRDefault="001A0C8A" w:rsidP="001A0C8A">
      <w:pPr>
        <w:pStyle w:val="Nivel3SM"/>
        <w:rPr>
          <w:spacing w:val="-2"/>
        </w:rPr>
      </w:pPr>
      <w:r>
        <w:t xml:space="preserve">Ello fue resultado de unas </w:t>
      </w:r>
      <w:r w:rsidRPr="0077362A">
        <w:rPr>
          <w:i/>
          <w:iCs/>
        </w:rPr>
        <w:t>intensas entradas netas de capital</w:t>
      </w:r>
      <w:r>
        <w:t xml:space="preserve"> en la rúbrica de </w:t>
      </w:r>
      <w:r w:rsidRPr="0077362A">
        <w:rPr>
          <w:i/>
          <w:iCs/>
        </w:rPr>
        <w:t>otra inversión</w:t>
      </w:r>
      <w:r>
        <w:t xml:space="preserve">, </w:t>
      </w:r>
      <w:r w:rsidRPr="0077362A">
        <w:rPr>
          <w:spacing w:val="-2"/>
        </w:rPr>
        <w:t>que se materializaron fundamentalmente en depósitos a corto plazo en entidades bancarias.</w:t>
      </w:r>
    </w:p>
    <w:p w14:paraId="7D7C96DD" w14:textId="77777777" w:rsidR="001A0C8A" w:rsidRPr="00650374" w:rsidRDefault="001A0C8A" w:rsidP="001A0C8A">
      <w:pPr>
        <w:pStyle w:val="Nivel3SM"/>
      </w:pPr>
      <w:r w:rsidRPr="00650374">
        <w:t>La inversión directa de España en el exterior y la del exterior en España recuperaron los niveles previos a la pandemia; destaca el elevado dinamismo del sector de las sociedades no financieras.</w:t>
      </w:r>
    </w:p>
    <w:p w14:paraId="1B991619" w14:textId="2BA4D5FC" w:rsidR="00A24C5F" w:rsidRPr="00A24C5F" w:rsidRDefault="00B22CF9" w:rsidP="00875A6A">
      <w:pPr>
        <w:pStyle w:val="Nivel2SM"/>
        <w:keepNext/>
        <w:spacing w:after="0"/>
      </w:pPr>
      <w:r w:rsidRPr="00B22CF9">
        <w:t>En 20</w:t>
      </w:r>
      <w:r w:rsidR="00807562">
        <w:t>22</w:t>
      </w:r>
      <w:r w:rsidRPr="00B22CF9">
        <w:t>, la cuenta financiera de la Balanza de Pag</w:t>
      </w:r>
      <w:r>
        <w:t>os, excluido el Banco de España</w:t>
      </w:r>
      <w:r w:rsidRPr="00B22CF9">
        <w:t xml:space="preserve">, presentó un </w:t>
      </w:r>
      <w:r w:rsidRPr="00FE5C39">
        <w:rPr>
          <w:b/>
        </w:rPr>
        <w:t xml:space="preserve">saldo </w:t>
      </w:r>
      <w:r w:rsidR="00807562">
        <w:rPr>
          <w:b/>
        </w:rPr>
        <w:t>deu</w:t>
      </w:r>
      <w:r w:rsidRPr="00FE5C39">
        <w:rPr>
          <w:b/>
        </w:rPr>
        <w:t xml:space="preserve">dor equivalente al </w:t>
      </w:r>
      <w:r w:rsidR="00807562">
        <w:rPr>
          <w:b/>
        </w:rPr>
        <w:t>0</w:t>
      </w:r>
      <w:r w:rsidRPr="00FE5C39">
        <w:rPr>
          <w:b/>
        </w:rPr>
        <w:t>,</w:t>
      </w:r>
      <w:r w:rsidR="00807562">
        <w:rPr>
          <w:b/>
        </w:rPr>
        <w:t>7</w:t>
      </w:r>
      <w:r w:rsidR="004978BF">
        <w:rPr>
          <w:b/>
        </w:rPr>
        <w:t> %</w:t>
      </w:r>
      <w:r w:rsidRPr="00B22CF9">
        <w:t xml:space="preserve"> del PIB</w:t>
      </w:r>
      <w:r>
        <w:t>.</w:t>
      </w:r>
    </w:p>
    <w:p w14:paraId="5AF1768D" w14:textId="5C3A5E85" w:rsidR="00A24C5F" w:rsidRDefault="00A24C5F" w:rsidP="00875A6A">
      <w:pPr>
        <w:pStyle w:val="Nivel3SM"/>
      </w:pPr>
      <w:r>
        <w:t>VNA:</w:t>
      </w:r>
      <w:r w:rsidRPr="00B22CF9">
        <w:t xml:space="preserve"> 10</w:t>
      </w:r>
      <w:r w:rsidR="00807562">
        <w:t>,9</w:t>
      </w:r>
      <w:r w:rsidR="004978BF">
        <w:t> %</w:t>
      </w:r>
      <w:r w:rsidRPr="00B22CF9">
        <w:t xml:space="preserve"> del PIB</w:t>
      </w:r>
      <w:r>
        <w:t>.</w:t>
      </w:r>
    </w:p>
    <w:p w14:paraId="7C5DE546" w14:textId="057F30C6" w:rsidR="00A24C5F" w:rsidRDefault="00A24C5F" w:rsidP="00875A6A">
      <w:pPr>
        <w:pStyle w:val="Nivel3SM"/>
      </w:pPr>
      <w:r>
        <w:t>VNP:</w:t>
      </w:r>
      <w:r w:rsidRPr="00B22CF9">
        <w:t xml:space="preserve"> </w:t>
      </w:r>
      <w:r w:rsidR="00807562">
        <w:t>11,9</w:t>
      </w:r>
      <w:r w:rsidR="004978BF">
        <w:t> %</w:t>
      </w:r>
      <w:r w:rsidRPr="00B22CF9">
        <w:t xml:space="preserve"> del PIB</w:t>
      </w:r>
      <w:r>
        <w:t>.</w:t>
      </w:r>
    </w:p>
    <w:p w14:paraId="3E8A36B1" w14:textId="6E7FFECE" w:rsidR="00A24C5F" w:rsidRDefault="00A24C5F" w:rsidP="00875A6A">
      <w:pPr>
        <w:pStyle w:val="Nivel3SM"/>
      </w:pPr>
      <w:r>
        <w:t>T</w:t>
      </w:r>
      <w:r w:rsidRPr="00B22CF9">
        <w:t>ransacciones netas vinculadas con derivados financieros</w:t>
      </w:r>
      <w:r w:rsidR="00E40874">
        <w:t>:</w:t>
      </w:r>
      <w:r>
        <w:t xml:space="preserve"> 0</w:t>
      </w:r>
      <w:r w:rsidR="008C79D0">
        <w:t>,</w:t>
      </w:r>
      <w:r w:rsidR="00807562">
        <w:t>2</w:t>
      </w:r>
      <w:r w:rsidR="004978BF">
        <w:t> %</w:t>
      </w:r>
      <w:r w:rsidRPr="00B22CF9">
        <w:t>.</w:t>
      </w:r>
    </w:p>
    <w:p w14:paraId="3BF77FCC" w14:textId="32731DC6" w:rsidR="00F3486F" w:rsidRPr="008C79D0" w:rsidRDefault="00A24C5F" w:rsidP="008C79D0">
      <w:pPr>
        <w:pStyle w:val="Ttulo6"/>
        <w:rPr>
          <w:u w:val="none"/>
        </w:rPr>
      </w:pPr>
      <w:bookmarkStart w:id="68" w:name="_Toc178016016"/>
      <w:r w:rsidRPr="00A24C5F">
        <w:t>Variación Neta de Activos</w:t>
      </w:r>
      <w:bookmarkEnd w:id="68"/>
    </w:p>
    <w:p w14:paraId="20EE92C6" w14:textId="54940311" w:rsidR="00F3486F" w:rsidRDefault="00A24C5F" w:rsidP="00E40874">
      <w:pPr>
        <w:pStyle w:val="Nivel2SM"/>
      </w:pPr>
      <w:r>
        <w:t>Las compras netas de activos del resto del mundo por parte de los españoles</w:t>
      </w:r>
      <w:r w:rsidR="00F3486F">
        <w:t xml:space="preserve"> van destinadas principalmente tanto a IC tanto de renta fija </w:t>
      </w:r>
      <w:r w:rsidR="00F3486F" w:rsidRPr="00E40874">
        <w:t>como</w:t>
      </w:r>
      <w:r w:rsidR="00F3486F">
        <w:t xml:space="preserve"> de renta variable (</w:t>
      </w:r>
      <w:r w:rsidR="00E40874">
        <w:t>3</w:t>
      </w:r>
      <w:r w:rsidR="00875A6A">
        <w:t>,</w:t>
      </w:r>
      <w:r w:rsidR="00E40874">
        <w:t>5</w:t>
      </w:r>
      <w:r w:rsidR="004978BF">
        <w:t> %</w:t>
      </w:r>
      <w:r w:rsidR="00F3486F">
        <w:t xml:space="preserve"> del PIB) como a IDE (3</w:t>
      </w:r>
      <w:r w:rsidR="00E40874">
        <w:t>,1</w:t>
      </w:r>
      <w:r w:rsidR="004978BF">
        <w:t> %</w:t>
      </w:r>
      <w:r w:rsidR="00F3486F">
        <w:t>).</w:t>
      </w:r>
    </w:p>
    <w:p w14:paraId="3900D8B0" w14:textId="77777777" w:rsidR="00A24C5F" w:rsidRPr="00A24C5F" w:rsidRDefault="00A24C5F" w:rsidP="008C79D0">
      <w:pPr>
        <w:pStyle w:val="Ttulo6"/>
      </w:pPr>
      <w:bookmarkStart w:id="69" w:name="_Toc178016017"/>
      <w:r w:rsidRPr="00A24C5F">
        <w:t>Variación Neta de Pasivos</w:t>
      </w:r>
      <w:bookmarkEnd w:id="69"/>
    </w:p>
    <w:p w14:paraId="53BA1432" w14:textId="40D58256" w:rsidR="00F3486F" w:rsidRDefault="00F3486F" w:rsidP="00E40874">
      <w:pPr>
        <w:pStyle w:val="Nivel2SM"/>
      </w:pPr>
      <w:r>
        <w:t xml:space="preserve">Las </w:t>
      </w:r>
      <w:r w:rsidRPr="00E40874">
        <w:t>adquisiciones</w:t>
      </w:r>
      <w:r>
        <w:t xml:space="preserve"> netas por parte de los inversores internacionales fueron dirigidas principalmente a </w:t>
      </w:r>
      <w:r w:rsidR="00E40874">
        <w:t>otra inversión</w:t>
      </w:r>
      <w:r>
        <w:t xml:space="preserve"> (</w:t>
      </w:r>
      <w:r w:rsidR="00E40874">
        <w:t>8</w:t>
      </w:r>
      <w:r w:rsidR="00D5682D">
        <w:t>,</w:t>
      </w:r>
      <w:r w:rsidR="00E36F47">
        <w:t>2</w:t>
      </w:r>
      <w:r w:rsidR="004978BF">
        <w:t> %</w:t>
      </w:r>
      <w:r>
        <w:t xml:space="preserve"> del PIB) y a I</w:t>
      </w:r>
      <w:r w:rsidR="00E40874">
        <w:t>D</w:t>
      </w:r>
      <w:r>
        <w:t xml:space="preserve"> (</w:t>
      </w:r>
      <w:r w:rsidR="00E40874">
        <w:t>2</w:t>
      </w:r>
      <w:r w:rsidR="00D5682D">
        <w:t>,</w:t>
      </w:r>
      <w:r w:rsidR="00E40874">
        <w:t>7</w:t>
      </w:r>
      <w:r w:rsidR="004978BF">
        <w:t> %</w:t>
      </w:r>
      <w:r>
        <w:t>).</w:t>
      </w:r>
    </w:p>
    <w:p w14:paraId="054175C8" w14:textId="05AAD860" w:rsidR="001F4323" w:rsidRDefault="007840B0" w:rsidP="00454652">
      <w:pPr>
        <w:pStyle w:val="Ttulo2"/>
      </w:pPr>
      <w:bookmarkStart w:id="70" w:name="_Toc178016018"/>
      <w:r w:rsidRPr="007840B0">
        <w:t xml:space="preserve">Cuenta </w:t>
      </w:r>
      <w:r w:rsidR="00E8495B">
        <w:t>f</w:t>
      </w:r>
      <w:r w:rsidRPr="007840B0">
        <w:t>inanciera del B</w:t>
      </w:r>
      <w:r w:rsidR="00E8495B">
        <w:t xml:space="preserve">anco </w:t>
      </w:r>
      <w:r w:rsidRPr="007840B0">
        <w:t>d</w:t>
      </w:r>
      <w:r w:rsidR="00E8495B">
        <w:t xml:space="preserve">e </w:t>
      </w:r>
      <w:r w:rsidRPr="007840B0">
        <w:t>E</w:t>
      </w:r>
      <w:r w:rsidR="00E8495B">
        <w:t>spaña</w:t>
      </w:r>
      <w:bookmarkEnd w:id="70"/>
    </w:p>
    <w:p w14:paraId="3B502830" w14:textId="6014A6FB" w:rsidR="00B17BF8" w:rsidRDefault="001F4323" w:rsidP="00875A6A">
      <w:pPr>
        <w:pStyle w:val="Nivel2SM"/>
        <w:keepNext/>
        <w:spacing w:after="0"/>
      </w:pPr>
      <w:r>
        <w:t xml:space="preserve">La Cuenta </w:t>
      </w:r>
      <w:r w:rsidR="00E8495B">
        <w:t>f</w:t>
      </w:r>
      <w:r>
        <w:t xml:space="preserve">inanciera del BdE arroja un saldo acreedor de </w:t>
      </w:r>
      <w:r w:rsidR="00E36F47">
        <w:rPr>
          <w:b/>
        </w:rPr>
        <w:t>2</w:t>
      </w:r>
      <w:r w:rsidR="00875A6A">
        <w:rPr>
          <w:b/>
        </w:rPr>
        <w:t>,</w:t>
      </w:r>
      <w:r w:rsidR="00E36F47">
        <w:rPr>
          <w:b/>
        </w:rPr>
        <w:t>5</w:t>
      </w:r>
      <w:r w:rsidR="004978BF">
        <w:rPr>
          <w:b/>
        </w:rPr>
        <w:t> %</w:t>
      </w:r>
      <w:r>
        <w:t>.</w:t>
      </w:r>
    </w:p>
    <w:p w14:paraId="0150C9CA" w14:textId="4BEB8D93" w:rsidR="001F4323" w:rsidRPr="00E36F47" w:rsidRDefault="00E36F47" w:rsidP="00875A6A">
      <w:pPr>
        <w:pStyle w:val="Nivel3SM"/>
        <w:rPr>
          <w:highlight w:val="yellow"/>
        </w:rPr>
      </w:pPr>
      <w:r w:rsidRPr="00E36F47">
        <w:t>La mejora</w:t>
      </w:r>
      <w:r w:rsidR="00B17BF8" w:rsidRPr="00E36F47">
        <w:t xml:space="preserve"> de la posición externa del </w:t>
      </w:r>
      <w:r w:rsidRPr="00E36F47">
        <w:t>banco central</w:t>
      </w:r>
      <w:r w:rsidR="00B17BF8" w:rsidRPr="00E36F47">
        <w:t xml:space="preserve"> se debió,</w:t>
      </w:r>
      <w:r w:rsidR="00B17BF8" w:rsidRPr="00E36F47">
        <w:rPr>
          <w:highlight w:val="yellow"/>
        </w:rPr>
        <w:t xml:space="preserve"> fundamentalmente, a la implementación del programa de compra de activos del Banco Central Europeo, pero fue menor que el observado en años anteriores, ya que el volumen de adquisiciones realizadas en 2018 fue el más pequeño desde el comienzo del programa en 2015.</w:t>
      </w:r>
    </w:p>
    <w:p w14:paraId="7EBA4F19" w14:textId="0DA2DBED" w:rsidR="00B22CF9" w:rsidRDefault="001F4323" w:rsidP="00454652">
      <w:pPr>
        <w:pStyle w:val="Ttulo2"/>
      </w:pPr>
      <w:bookmarkStart w:id="71" w:name="_Toc178016019"/>
      <w:r w:rsidRPr="001F4323">
        <w:t>Errores y omisiones</w:t>
      </w:r>
      <w:bookmarkEnd w:id="71"/>
    </w:p>
    <w:p w14:paraId="6C5CC28E" w14:textId="49A4EE5D" w:rsidR="001F4323" w:rsidRPr="008C79D0" w:rsidRDefault="001F4323" w:rsidP="00875A6A">
      <w:pPr>
        <w:pStyle w:val="Nivel2SM"/>
      </w:pPr>
      <w:r>
        <w:t>Los er</w:t>
      </w:r>
      <w:r w:rsidR="00696C43">
        <w:t xml:space="preserve">rores y omisiones fueron del </w:t>
      </w:r>
      <w:r w:rsidR="00696C43" w:rsidRPr="00696C43">
        <w:rPr>
          <w:b/>
        </w:rPr>
        <w:t>0</w:t>
      </w:r>
      <w:r w:rsidR="00D5682D">
        <w:rPr>
          <w:b/>
        </w:rPr>
        <w:t>,</w:t>
      </w:r>
      <w:r w:rsidR="00E36F47">
        <w:rPr>
          <w:b/>
        </w:rPr>
        <w:t>3</w:t>
      </w:r>
      <w:r w:rsidR="004978BF">
        <w:rPr>
          <w:b/>
        </w:rPr>
        <w:t> %</w:t>
      </w:r>
      <w:r w:rsidRPr="00696C43">
        <w:rPr>
          <w:b/>
        </w:rPr>
        <w:t xml:space="preserve"> del PIB</w:t>
      </w:r>
      <w:r>
        <w:t xml:space="preserve">. </w:t>
      </w:r>
      <w:r w:rsidRPr="001F4323">
        <w:t xml:space="preserve">Un signo positivo indica que se están infravalorando ingresos y/o sobrevalorando pagos, lo que equivale a decir, en la cuenta </w:t>
      </w:r>
      <w:r>
        <w:t>financiera</w:t>
      </w:r>
      <w:r w:rsidRPr="001F4323">
        <w:t>, que se infravaloran los pasivos y/o sobrevaloran los activos. Un signo negativo indica lo contrario.</w:t>
      </w:r>
    </w:p>
    <w:p w14:paraId="726DFDBA" w14:textId="64E7DC86" w:rsidR="00454652" w:rsidRDefault="00454652" w:rsidP="00454652">
      <w:pPr>
        <w:pStyle w:val="Ttulo2"/>
      </w:pPr>
      <w:bookmarkStart w:id="72" w:name="_Toc178016020"/>
      <w:r>
        <w:t>Posición de Inversión Internacional y Deuda Externa Bruta</w:t>
      </w:r>
      <w:bookmarkEnd w:id="72"/>
    </w:p>
    <w:p w14:paraId="59CFE45E" w14:textId="40CF7951" w:rsidR="001F4323" w:rsidRPr="008C79D0" w:rsidRDefault="007A5084" w:rsidP="00454652">
      <w:pPr>
        <w:pStyle w:val="Ttulo3"/>
        <w:spacing w:before="0"/>
      </w:pPr>
      <w:bookmarkStart w:id="73" w:name="_Toc178016021"/>
      <w:r>
        <w:t>P</w:t>
      </w:r>
      <w:r w:rsidR="001F4323">
        <w:t xml:space="preserve">osición de </w:t>
      </w:r>
      <w:r>
        <w:t>I</w:t>
      </w:r>
      <w:r w:rsidR="001F4323">
        <w:t xml:space="preserve">nversión </w:t>
      </w:r>
      <w:r>
        <w:t>I</w:t>
      </w:r>
      <w:r w:rsidR="001F4323">
        <w:t>nternacional</w:t>
      </w:r>
      <w:bookmarkEnd w:id="73"/>
    </w:p>
    <w:p w14:paraId="1778E1E3" w14:textId="49573AAF" w:rsidR="008461B1" w:rsidRPr="008461B1" w:rsidRDefault="008461B1" w:rsidP="008C79D0">
      <w:pPr>
        <w:pStyle w:val="Ttulo6"/>
      </w:pPr>
      <w:bookmarkStart w:id="74" w:name="_Toc178016022"/>
      <w:r w:rsidRPr="008461B1">
        <w:t>Introducción</w:t>
      </w:r>
      <w:bookmarkEnd w:id="74"/>
    </w:p>
    <w:p w14:paraId="3DC3A002" w14:textId="0B7BD752" w:rsidR="001A0C8A" w:rsidRDefault="001A0C8A" w:rsidP="001A0C8A">
      <w:pPr>
        <w:pStyle w:val="Nivel2SM"/>
        <w:keepNext/>
        <w:spacing w:after="0"/>
      </w:pPr>
      <w:r w:rsidRPr="00216075">
        <w:t xml:space="preserve">La capacidad de financiación que presentó la nación, </w:t>
      </w:r>
      <w:r>
        <w:t xml:space="preserve">junto con </w:t>
      </w:r>
      <w:r w:rsidRPr="00216075">
        <w:t xml:space="preserve">la expansión del PIB </w:t>
      </w:r>
      <w:r>
        <w:t xml:space="preserve">y </w:t>
      </w:r>
      <w:r w:rsidRPr="00216075">
        <w:t xml:space="preserve">el importe positivo </w:t>
      </w:r>
      <w:r>
        <w:t xml:space="preserve">de los efectos valoración </w:t>
      </w:r>
      <w:r w:rsidRPr="00216075">
        <w:t xml:space="preserve">favorecieron una </w:t>
      </w:r>
      <w:r w:rsidRPr="00BB2523">
        <w:rPr>
          <w:b/>
        </w:rPr>
        <w:t>disminución de la PII</w:t>
      </w:r>
      <w:r>
        <w:t xml:space="preserve">, hasta alcanzar una posición deudora neta del </w:t>
      </w:r>
      <w:r w:rsidRPr="001A0C8A">
        <w:rPr>
          <w:b/>
          <w:bCs/>
        </w:rPr>
        <w:t>60,5 % del PIB</w:t>
      </w:r>
      <w:r>
        <w:t xml:space="preserve"> (el nivel más bajo en 18 años,</w:t>
      </w:r>
      <w:r w:rsidRPr="001F4323">
        <w:t xml:space="preserve"> lo que supone una caída de unos </w:t>
      </w:r>
      <w:r>
        <w:t>37 </w:t>
      </w:r>
      <w:r w:rsidRPr="001F4323">
        <w:t>pp desde el nivel máximo alcanzado en 20</w:t>
      </w:r>
      <w:r>
        <w:t>09 (97,6 %)).</w:t>
      </w:r>
    </w:p>
    <w:p w14:paraId="14DE5508" w14:textId="77777777" w:rsidR="001A0C8A" w:rsidRDefault="001A0C8A" w:rsidP="001A0C8A">
      <w:pPr>
        <w:pStyle w:val="Nivel3SM"/>
      </w:pPr>
      <w:r w:rsidRPr="00927AE3">
        <w:t>No obstante, el hecho de que la PII neta de la economía española siga siendo elevada</w:t>
      </w:r>
      <w:r w:rsidRPr="00216075">
        <w:t xml:space="preserve">, tanto desde una perspectiva histórica como en una comparativa internacional, supone un </w:t>
      </w:r>
      <w:r w:rsidRPr="00BB2523">
        <w:rPr>
          <w:b/>
        </w:rPr>
        <w:lastRenderedPageBreak/>
        <w:t>elemento de vulnerabilidad</w:t>
      </w:r>
      <w:r w:rsidRPr="00216075">
        <w:t xml:space="preserve"> ante posibles perturbaciones en los mercados internacionales de capitales.</w:t>
      </w:r>
    </w:p>
    <w:p w14:paraId="0CACCABC" w14:textId="77777777" w:rsidR="00B62F66" w:rsidRDefault="006A3A64" w:rsidP="00B62F66">
      <w:pPr>
        <w:pStyle w:val="Nivel3SM"/>
        <w:keepNext/>
      </w:pPr>
      <w:r>
        <w:t xml:space="preserve">La corrección ha sido lenta por los </w:t>
      </w:r>
      <w:r w:rsidRPr="00B62F66">
        <w:rPr>
          <w:i/>
          <w:iCs/>
        </w:rPr>
        <w:t>efectos valoración</w:t>
      </w:r>
      <w:r>
        <w:t xml:space="preserve"> que han sido </w:t>
      </w:r>
      <w:r w:rsidRPr="00B62F66">
        <w:rPr>
          <w:i/>
          <w:iCs/>
        </w:rPr>
        <w:t>sistemáticamente negativos</w:t>
      </w:r>
      <w:r>
        <w:t>.</w:t>
      </w:r>
    </w:p>
    <w:p w14:paraId="235FAAA1" w14:textId="77777777" w:rsidR="002E4698" w:rsidRDefault="006A3A64" w:rsidP="00B62F66">
      <w:pPr>
        <w:pStyle w:val="Nivel4"/>
        <w:ind w:left="1474"/>
      </w:pPr>
      <w:r>
        <w:t>Los incrementos del saldo deudor asociados a efectos valoración negativos no implican necesariamente una mayor vulnerabilidad exterior, ya que pueden reflejar una revaloración más intensa de los precios de los pasivos exteriores españoles que de los activos exteriores que mantienen los residentes.</w:t>
      </w:r>
    </w:p>
    <w:p w14:paraId="3D592C72" w14:textId="01B1F70F" w:rsidR="006A3A64" w:rsidRDefault="006A3A64" w:rsidP="00B62F66">
      <w:pPr>
        <w:pStyle w:val="Nivel4"/>
        <w:ind w:left="1474"/>
      </w:pPr>
      <w:r>
        <w:t>De hecho, los efectos valoración negativos podrían ser interpretados de manera positiva, pues son resultado, en buena medida, de la normalización de las condiciones financieras de la UEM y la mejoría de las perspectivas de la economía española, reflejadas en una recuperación de la cotización de la renta variable española y en una reducción de los tipos de interés de España más intensa que en el núcleo de la UEM gracias a la caída de la prima de riesgo de los bonos españoles.</w:t>
      </w:r>
    </w:p>
    <w:p w14:paraId="6B96C78D" w14:textId="77777777" w:rsidR="008461B1" w:rsidRPr="008461B1" w:rsidRDefault="008461B1" w:rsidP="008C79D0">
      <w:pPr>
        <w:pStyle w:val="Ttulo6"/>
      </w:pPr>
      <w:bookmarkStart w:id="75" w:name="_Toc178016023"/>
      <w:r w:rsidRPr="008461B1">
        <w:t>Determinantes</w:t>
      </w:r>
      <w:bookmarkEnd w:id="75"/>
    </w:p>
    <w:p w14:paraId="47EAA39F" w14:textId="77777777" w:rsidR="008461B1" w:rsidRDefault="001F4323" w:rsidP="00875A6A">
      <w:pPr>
        <w:pStyle w:val="Nivel2SM"/>
        <w:keepNext/>
        <w:spacing w:after="0"/>
      </w:pPr>
      <w:r w:rsidRPr="001F4323">
        <w:t xml:space="preserve">La evolución de la PII neta fue resultado </w:t>
      </w:r>
      <w:r w:rsidR="008461B1">
        <w:t xml:space="preserve">de: </w:t>
      </w:r>
    </w:p>
    <w:p w14:paraId="0F93E86D" w14:textId="6D136EC7" w:rsidR="008461B1" w:rsidRDefault="008461B1" w:rsidP="00D63348">
      <w:pPr>
        <w:pStyle w:val="Nivel3SM"/>
      </w:pPr>
      <w:r>
        <w:t>La cuenta financiera neta positiva (tal como vimos anteriormente).</w:t>
      </w:r>
    </w:p>
    <w:p w14:paraId="38485306" w14:textId="16CDB7DE" w:rsidR="008461B1" w:rsidRDefault="008461B1" w:rsidP="00D63348">
      <w:pPr>
        <w:pStyle w:val="Nivel3SM"/>
        <w:keepNext/>
      </w:pPr>
      <w:r>
        <w:t>Efectos valoración.</w:t>
      </w:r>
    </w:p>
    <w:p w14:paraId="49A5D436" w14:textId="05E0A95B" w:rsidR="008461B1" w:rsidRDefault="008461B1" w:rsidP="00D63348">
      <w:pPr>
        <w:pStyle w:val="Nivel4"/>
        <w:ind w:left="1475"/>
      </w:pPr>
      <w:r>
        <w:t>C</w:t>
      </w:r>
      <w:r w:rsidRPr="001F4323">
        <w:t>aída en el valor de los pasivos</w:t>
      </w:r>
      <w:r>
        <w:t xml:space="preserve"> </w:t>
      </w:r>
      <w:r w:rsidRPr="008461B1">
        <w:rPr>
          <w:b/>
          <w:u w:val="single"/>
        </w:rPr>
        <w:t>superior</w:t>
      </w:r>
      <w:r w:rsidRPr="001F4323">
        <w:t xml:space="preserve"> a la observada en e</w:t>
      </w:r>
      <w:r>
        <w:t>l valor de los activos</w:t>
      </w:r>
      <w:r w:rsidRPr="001F4323">
        <w:t>.</w:t>
      </w:r>
    </w:p>
    <w:p w14:paraId="79CAFCF2" w14:textId="77777777" w:rsidR="008461B1" w:rsidRDefault="008461B1" w:rsidP="00D63348">
      <w:pPr>
        <w:pStyle w:val="Nivel4"/>
        <w:ind w:left="1475"/>
      </w:pPr>
      <w:r w:rsidRPr="001F4323">
        <w:t xml:space="preserve">Ambas caídas se debieron, fundamentalmente, a la </w:t>
      </w:r>
      <w:r w:rsidRPr="008461B1">
        <w:t>disminución del precio de los instrumentos financieros</w:t>
      </w:r>
      <w:r w:rsidRPr="001F4323">
        <w:t>.</w:t>
      </w:r>
    </w:p>
    <w:p w14:paraId="4C3303F4" w14:textId="6D429EC0" w:rsidR="005B257B" w:rsidRDefault="005B257B" w:rsidP="00D63348">
      <w:pPr>
        <w:pStyle w:val="Nivel3SM"/>
      </w:pPr>
      <w:r>
        <w:t>Aumento del PIB.</w:t>
      </w:r>
    </w:p>
    <w:p w14:paraId="0C4C9AC6" w14:textId="77777777" w:rsidR="008461B1" w:rsidRPr="008461B1" w:rsidRDefault="008461B1" w:rsidP="008C79D0">
      <w:pPr>
        <w:pStyle w:val="Ttulo6"/>
      </w:pPr>
      <w:bookmarkStart w:id="76" w:name="_Toc178016024"/>
      <w:r w:rsidRPr="008461B1">
        <w:t>Por sector institucional</w:t>
      </w:r>
      <w:bookmarkEnd w:id="76"/>
    </w:p>
    <w:p w14:paraId="5E861F0E" w14:textId="161722CB" w:rsidR="008461B1" w:rsidRDefault="008461B1" w:rsidP="00F926CA">
      <w:pPr>
        <w:pStyle w:val="Nivel2SM"/>
        <w:keepNext/>
        <w:spacing w:after="0"/>
      </w:pPr>
      <w:r>
        <w:t>Por sector institucional, en 20</w:t>
      </w:r>
      <w:r w:rsidR="00AB130D">
        <w:t>22</w:t>
      </w:r>
      <w:r>
        <w:t xml:space="preserve"> se redujo la posición deudora neta con el exterior de</w:t>
      </w:r>
      <w:r w:rsidR="00AB130D">
        <w:t>l Banco de España y de las Administraciones Públicas</w:t>
      </w:r>
      <w:r>
        <w:t>.</w:t>
      </w:r>
    </w:p>
    <w:p w14:paraId="09506202" w14:textId="3464998A" w:rsidR="008461B1" w:rsidRDefault="00AB130D" w:rsidP="00875A6A">
      <w:pPr>
        <w:pStyle w:val="Nivel3SM"/>
      </w:pPr>
      <w:r>
        <w:t>En cualquier caso</w:t>
      </w:r>
      <w:r w:rsidR="008461B1">
        <w:t xml:space="preserve">, las AAPP continúan mostrando la posición deudora neta más elevada, equivalente a un </w:t>
      </w:r>
      <w:r>
        <w:t>39,62</w:t>
      </w:r>
      <w:r w:rsidR="004978BF">
        <w:t> %</w:t>
      </w:r>
      <w:r w:rsidR="008461B1">
        <w:t xml:space="preserve"> del PIB.</w:t>
      </w:r>
    </w:p>
    <w:p w14:paraId="47BD9F02" w14:textId="6F6DCC8E" w:rsidR="00AB130D" w:rsidRDefault="00AB130D" w:rsidP="00AB130D">
      <w:pPr>
        <w:pStyle w:val="Nivel1"/>
        <w:numPr>
          <w:ilvl w:val="0"/>
          <w:numId w:val="0"/>
        </w:numPr>
        <w:ind w:left="623" w:hanging="198"/>
        <w:jc w:val="center"/>
      </w:pPr>
      <w:r>
        <w:rPr>
          <w:noProof/>
        </w:rPr>
        <w:drawing>
          <wp:inline distT="0" distB="0" distL="0" distR="0" wp14:anchorId="624D4704" wp14:editId="49AA3FCA">
            <wp:extent cx="3623310" cy="2057275"/>
            <wp:effectExtent l="0" t="0" r="0" b="635"/>
            <wp:docPr id="50534329" name="Imagen 1" descr="BPagosTrimes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PagosTrimestral"/>
                    <pic:cNvPicPr>
                      <a:picLocks noChangeAspect="1" noChangeArrowheads="1"/>
                    </pic:cNvPicPr>
                  </pic:nvPicPr>
                  <pic:blipFill rotWithShape="1">
                    <a:blip r:embed="rId14">
                      <a:extLst>
                        <a:ext uri="{28A0092B-C50C-407E-A947-70E740481C1C}">
                          <a14:useLocalDpi xmlns:a14="http://schemas.microsoft.com/office/drawing/2010/main" val="0"/>
                        </a:ext>
                      </a:extLst>
                    </a:blip>
                    <a:srcRect t="14827"/>
                    <a:stretch/>
                  </pic:blipFill>
                  <pic:spPr bwMode="auto">
                    <a:xfrm>
                      <a:off x="0" y="0"/>
                      <a:ext cx="3632179" cy="2062311"/>
                    </a:xfrm>
                    <a:prstGeom prst="rect">
                      <a:avLst/>
                    </a:prstGeom>
                    <a:noFill/>
                    <a:ln>
                      <a:noFill/>
                    </a:ln>
                    <a:extLst>
                      <a:ext uri="{53640926-AAD7-44D8-BBD7-CCE9431645EC}">
                        <a14:shadowObscured xmlns:a14="http://schemas.microsoft.com/office/drawing/2010/main"/>
                      </a:ext>
                    </a:extLst>
                  </pic:spPr>
                </pic:pic>
              </a:graphicData>
            </a:graphic>
          </wp:inline>
        </w:drawing>
      </w:r>
    </w:p>
    <w:p w14:paraId="243043F6" w14:textId="1D8DABCD" w:rsidR="008461B1" w:rsidRPr="008C79D0" w:rsidRDefault="008461B1" w:rsidP="008C79D0">
      <w:pPr>
        <w:pStyle w:val="Ttulo6"/>
      </w:pPr>
      <w:bookmarkStart w:id="77" w:name="_Toc178016025"/>
      <w:r w:rsidRPr="008461B1">
        <w:t>Por categoría funcional</w:t>
      </w:r>
      <w:bookmarkEnd w:id="77"/>
    </w:p>
    <w:p w14:paraId="6AABEEBC" w14:textId="77777777" w:rsidR="008461B1" w:rsidRDefault="008461B1" w:rsidP="00F926CA">
      <w:pPr>
        <w:pStyle w:val="Nivel2SM"/>
        <w:keepNext/>
        <w:spacing w:after="0"/>
      </w:pPr>
      <w:r>
        <w:t>Por categorías funcionales, excluido el Banco de España:</w:t>
      </w:r>
    </w:p>
    <w:p w14:paraId="60F28F3E" w14:textId="3FB066A9" w:rsidR="008461B1" w:rsidRPr="008461B1" w:rsidRDefault="008461B1" w:rsidP="00D63348">
      <w:pPr>
        <w:pStyle w:val="Nivel3SM"/>
        <w:keepNext/>
      </w:pPr>
      <w:r w:rsidRPr="00D63348">
        <w:rPr>
          <w:i/>
          <w:iCs/>
          <w:u w:val="single"/>
        </w:rPr>
        <w:t>Inversión en cartera</w:t>
      </w:r>
      <w:r w:rsidR="00D63348">
        <w:t>:</w:t>
      </w:r>
    </w:p>
    <w:p w14:paraId="546E1B68" w14:textId="4F4B6007" w:rsidR="008461B1" w:rsidRDefault="008461B1" w:rsidP="00D63348">
      <w:pPr>
        <w:pStyle w:val="Nivel4"/>
        <w:ind w:left="1474"/>
      </w:pPr>
      <w:r>
        <w:t>Reducción de la posición deudora</w:t>
      </w:r>
      <w:r w:rsidR="00AB130D">
        <w:t xml:space="preserve"> hasta 14,82 % del PIB</w:t>
      </w:r>
      <w:r>
        <w:t>.</w:t>
      </w:r>
    </w:p>
    <w:p w14:paraId="69C1E3FD" w14:textId="656D019C" w:rsidR="00090517" w:rsidRPr="00FE5C39" w:rsidRDefault="00090517" w:rsidP="00D63348">
      <w:pPr>
        <w:pStyle w:val="Nivel3SM"/>
        <w:keepNext/>
      </w:pPr>
      <w:r w:rsidRPr="00D63348">
        <w:rPr>
          <w:i/>
          <w:iCs/>
          <w:u w:val="single"/>
        </w:rPr>
        <w:t>Inversión Directa Extranjera</w:t>
      </w:r>
      <w:r w:rsidR="00D63348">
        <w:t>:</w:t>
      </w:r>
    </w:p>
    <w:p w14:paraId="11A93A8D" w14:textId="33A9C5A9" w:rsidR="00090517" w:rsidRDefault="00090517" w:rsidP="00D63348">
      <w:pPr>
        <w:pStyle w:val="Nivel4"/>
        <w:ind w:left="1474"/>
      </w:pPr>
      <w:r>
        <w:t>E</w:t>
      </w:r>
      <w:r w:rsidR="008461B1">
        <w:t xml:space="preserve">l saldo deudor neto asociado a la inversión directa se </w:t>
      </w:r>
      <w:r w:rsidR="00AB130D">
        <w:t>disminuyó ligeramente hasta el 16,98 %</w:t>
      </w:r>
      <w:r w:rsidR="008461B1">
        <w:t>.</w:t>
      </w:r>
    </w:p>
    <w:p w14:paraId="32A124BE" w14:textId="6A0C4C95" w:rsidR="00AB130D" w:rsidRPr="00FE5C39" w:rsidRDefault="00AB130D" w:rsidP="00AB130D">
      <w:pPr>
        <w:pStyle w:val="Nivel3SM"/>
        <w:keepNext/>
      </w:pPr>
      <w:r>
        <w:rPr>
          <w:i/>
          <w:iCs/>
          <w:u w:val="single"/>
        </w:rPr>
        <w:t>Otra inversión</w:t>
      </w:r>
      <w:r>
        <w:t>:</w:t>
      </w:r>
    </w:p>
    <w:p w14:paraId="6B0B6357" w14:textId="1854FD51" w:rsidR="00AB130D" w:rsidRDefault="00AB130D" w:rsidP="00AB130D">
      <w:pPr>
        <w:pStyle w:val="Nivel4"/>
        <w:ind w:left="1474"/>
      </w:pPr>
      <w:r>
        <w:t>El saldo deudor neto asociado a otra inversión constituye el más elevado y es del 35,3 % del PIB.</w:t>
      </w:r>
    </w:p>
    <w:p w14:paraId="134068AC" w14:textId="0AEAECFC" w:rsidR="00090517" w:rsidRPr="008C79D0" w:rsidRDefault="00090517" w:rsidP="00454652">
      <w:pPr>
        <w:pStyle w:val="Ttulo3"/>
      </w:pPr>
      <w:bookmarkStart w:id="78" w:name="_Toc178016026"/>
      <w:r w:rsidRPr="00090517">
        <w:lastRenderedPageBreak/>
        <w:t>Deuda Bruta Externa</w:t>
      </w:r>
      <w:bookmarkEnd w:id="78"/>
    </w:p>
    <w:p w14:paraId="573480FB" w14:textId="77777777" w:rsidR="007A5084" w:rsidRDefault="007A5084" w:rsidP="007A5084">
      <w:pPr>
        <w:pStyle w:val="Nivel2SM"/>
        <w:keepNext/>
        <w:spacing w:after="0"/>
      </w:pPr>
      <w:r>
        <w:t>Por su parte, la deuda externa bruta de la nación también se corrigió hasta el 175,7 % del PIB (17,7 pp menos que en 2021), gracias casi exclusivamente al crecimiento del producto.</w:t>
      </w:r>
    </w:p>
    <w:p w14:paraId="2EC50D6B" w14:textId="77777777" w:rsidR="00011881" w:rsidRDefault="00011881" w:rsidP="00011881">
      <w:pPr>
        <w:pStyle w:val="Nivel3SM"/>
      </w:pPr>
      <w:r>
        <w:t>La economía española continuó asumiendo nuevos pasivos frente al exterior, aunque los fuertes efectos valoración negativos, resultado de las subidas de los tipos de interés que menguaron el valor de los títulos de deuda, lo compensaron en su totalidad.</w:t>
      </w:r>
    </w:p>
    <w:p w14:paraId="58A0939E" w14:textId="77777777" w:rsidR="00011881" w:rsidRDefault="00011881" w:rsidP="00011881">
      <w:pPr>
        <w:pStyle w:val="Nivel3SM"/>
        <w:keepNext/>
      </w:pPr>
      <w:r>
        <w:t xml:space="preserve">El elevado endeudamiento externo es </w:t>
      </w:r>
      <w:r w:rsidRPr="00C036F8">
        <w:rPr>
          <w:b/>
          <w:u w:val="single"/>
        </w:rPr>
        <w:t>un elemento de vulnerabilidad</w:t>
      </w:r>
      <w:r>
        <w:t xml:space="preserve"> ante eventuales </w:t>
      </w:r>
      <w:r w:rsidRPr="00C036F8">
        <w:rPr>
          <w:b/>
          <w:u w:val="single"/>
        </w:rPr>
        <w:t>endurecimientos de las condiciones de financiación</w:t>
      </w:r>
      <w:r>
        <w:t>.</w:t>
      </w:r>
    </w:p>
    <w:p w14:paraId="234BF4C2" w14:textId="77777777" w:rsidR="00011881" w:rsidRDefault="00011881" w:rsidP="00011881">
      <w:pPr>
        <w:pStyle w:val="Nivel4"/>
        <w:ind w:left="1474"/>
      </w:pPr>
      <w:r>
        <w:t>Sin embargo, la composición de los pasivos es un factor mitigante, ya que el 57 % es deuda del SP (AAPP y BdE), y la gran mayoría es a largo plazo, a un tipo de interés fijo y denominada en euros.</w:t>
      </w:r>
    </w:p>
    <w:p w14:paraId="6110F1EC" w14:textId="4E7742EA" w:rsidR="002411AB" w:rsidRPr="008C79D0" w:rsidRDefault="00325AE6" w:rsidP="008C79D0">
      <w:pPr>
        <w:pStyle w:val="Introduccinyconclusin"/>
      </w:pPr>
      <w:r>
        <w:t>CONCLUSIÓN</w:t>
      </w:r>
    </w:p>
    <w:p w14:paraId="544EF025" w14:textId="77777777" w:rsidR="001E4897" w:rsidRDefault="001E4897" w:rsidP="005F24BF">
      <w:pPr>
        <w:pStyle w:val="Nivel1"/>
        <w:keepNext/>
        <w:spacing w:before="0" w:after="0"/>
      </w:pPr>
      <w:r w:rsidRPr="001E4897">
        <w:rPr>
          <w:b/>
          <w:bCs/>
          <w:i/>
          <w:iCs/>
        </w:rPr>
        <w:t>Recapitulación (Ideas clave)</w:t>
      </w:r>
      <w:r>
        <w:t>:</w:t>
      </w:r>
    </w:p>
    <w:p w14:paraId="5351473A" w14:textId="77777777" w:rsidR="003C717B" w:rsidRDefault="003C717B" w:rsidP="003C717B">
      <w:pPr>
        <w:pStyle w:val="Nivel2"/>
        <w:keepNext/>
        <w:spacing w:after="0"/>
      </w:pPr>
      <w:r>
        <w:t>En la presente exposición se ha analizado la evolución de la balanza de pagos y de la Posición de Inversión Internacional de la economía española.</w:t>
      </w:r>
    </w:p>
    <w:p w14:paraId="24E9E555" w14:textId="77777777" w:rsidR="003C717B" w:rsidRDefault="003C717B" w:rsidP="003C717B">
      <w:pPr>
        <w:pStyle w:val="Nivel3"/>
      </w:pPr>
      <w:r>
        <w:t>España ha mantenido tradicionalmente una necesidad de financiación ligada a la evolución de su cuenta corriente.</w:t>
      </w:r>
    </w:p>
    <w:p w14:paraId="60338D99" w14:textId="440C3F6C" w:rsidR="003C717B" w:rsidRDefault="003C717B" w:rsidP="003C717B">
      <w:pPr>
        <w:pStyle w:val="Nivel3"/>
        <w:keepNext/>
      </w:pPr>
      <w:r>
        <w:t>Sin embargo, desde 2008, ha tenido lugar un sustancial proceso de ajuste del desequilibrio exterior, de manera que desde 2012, España presenta capacidad de financiación.</w:t>
      </w:r>
    </w:p>
    <w:p w14:paraId="735FAE4E" w14:textId="1D02FFE8" w:rsidR="001E4897" w:rsidRDefault="003C717B" w:rsidP="003C717B">
      <w:pPr>
        <w:pStyle w:val="Nivel4"/>
      </w:pPr>
      <w:r>
        <w:t>En buena medida, dicha corrección se puede atribuir a factores de naturaleza estructural, relacionados en gran parte con una mejora de la capacidad de crecimiento potencial de las exportaciones de bienes, aunque también ha afectado a las condiciones laxas de financiación.</w:t>
      </w:r>
    </w:p>
    <w:p w14:paraId="628A0338" w14:textId="2F873321" w:rsidR="003C717B" w:rsidRPr="00DA1AD6" w:rsidRDefault="003C717B" w:rsidP="003C717B">
      <w:pPr>
        <w:pStyle w:val="Nivel3"/>
      </w:pPr>
      <w:r>
        <w:t>Aun así, la PII arroja una posición deudora neta de la economía española que continúa siendo elevada. De hecho, el procedimiento de desequilibrios macroeconómicos de la UE recoge como desequilibrio macroeconómico cualquier PIIN deudora superior al 35 % del PIB, claramente inferior al presentado por España.</w:t>
      </w:r>
    </w:p>
    <w:p w14:paraId="38AED1A2" w14:textId="77777777" w:rsidR="001E4897" w:rsidRPr="00747F0A" w:rsidRDefault="001E4897" w:rsidP="001E4897">
      <w:pPr>
        <w:pStyle w:val="Nivel1"/>
        <w:keepNext/>
        <w:spacing w:after="0"/>
      </w:pPr>
      <w:r w:rsidRPr="001E4897">
        <w:rPr>
          <w:b/>
          <w:bCs/>
          <w:i/>
          <w:iCs/>
        </w:rPr>
        <w:t>Relevancia</w:t>
      </w:r>
      <w:r>
        <w:t>:</w:t>
      </w:r>
    </w:p>
    <w:p w14:paraId="25AD11E3" w14:textId="77777777" w:rsidR="001E4897" w:rsidRPr="001E4897" w:rsidRDefault="001E4897" w:rsidP="001E4897">
      <w:pPr>
        <w:pStyle w:val="Nivel2"/>
      </w:pPr>
    </w:p>
    <w:p w14:paraId="7B9409BA" w14:textId="77777777" w:rsidR="001E4897" w:rsidRDefault="001E4897" w:rsidP="001E4897">
      <w:pPr>
        <w:pStyle w:val="Nivel1"/>
        <w:keepNext/>
        <w:spacing w:after="0"/>
      </w:pPr>
      <w:r w:rsidRPr="001E4897">
        <w:rPr>
          <w:b/>
          <w:bCs/>
          <w:i/>
          <w:iCs/>
        </w:rPr>
        <w:t>Extensiones y relación con otras partes del temario</w:t>
      </w:r>
      <w:r>
        <w:t>:</w:t>
      </w:r>
    </w:p>
    <w:p w14:paraId="1BA57E8D" w14:textId="77777777" w:rsidR="005F24BF" w:rsidRDefault="005F24BF" w:rsidP="005F24BF">
      <w:pPr>
        <w:pStyle w:val="Nivel2"/>
      </w:pPr>
      <w:r w:rsidRPr="002411AB">
        <w:t>Por último, advertir que los buenos saldos exteriores de los últimos años no tienen por qué perdurar en el tiempo, y pueden revertirse tras la consolidación de la recuperación económica, como se ha demostrado en crisis anteriores.</w:t>
      </w:r>
    </w:p>
    <w:p w14:paraId="36F4B2F0" w14:textId="77777777" w:rsidR="005F24BF" w:rsidRDefault="005F24BF" w:rsidP="005F24BF">
      <w:pPr>
        <w:pStyle w:val="Nivel2"/>
        <w:keepNext/>
        <w:spacing w:after="0"/>
      </w:pPr>
      <w:r w:rsidRPr="002411AB">
        <w:t>Por ello, deben acometerse reformas para mejorar las balanzas comercial y de servicios españolas:</w:t>
      </w:r>
    </w:p>
    <w:p w14:paraId="64817CDC" w14:textId="77777777" w:rsidR="005F24BF" w:rsidRDefault="005F24BF" w:rsidP="005F24BF">
      <w:pPr>
        <w:keepNext/>
        <w:numPr>
          <w:ilvl w:val="0"/>
          <w:numId w:val="13"/>
        </w:numPr>
        <w:spacing w:after="0"/>
        <w:ind w:left="1418" w:hanging="284"/>
      </w:pPr>
      <w:r w:rsidRPr="002411AB">
        <w:t>Aumentar la competitividad, pero no únicamente a través de moderación salarial, sino también mediante:</w:t>
      </w:r>
    </w:p>
    <w:p w14:paraId="569FFA02" w14:textId="77777777" w:rsidR="005F24BF" w:rsidRDefault="005F24BF" w:rsidP="005F24BF">
      <w:pPr>
        <w:pStyle w:val="Nivel4"/>
      </w:pPr>
      <w:r w:rsidRPr="002411AB">
        <w:t>Aumento de la productividad (inversión en I+D, en capital humano, en bienes de equipo, etc.).</w:t>
      </w:r>
    </w:p>
    <w:p w14:paraId="524702C1" w14:textId="77777777" w:rsidR="005F24BF" w:rsidRDefault="005F24BF" w:rsidP="005F24BF">
      <w:pPr>
        <w:pStyle w:val="Nivel4"/>
      </w:pPr>
      <w:r w:rsidRPr="002411AB">
        <w:t>Disminución de los márgenes empresariales (liberalización de sectores, política de defensa de la competencia más agresiva, observadores de precios, etc.).</w:t>
      </w:r>
    </w:p>
    <w:p w14:paraId="094192C3" w14:textId="77777777" w:rsidR="005F24BF" w:rsidRDefault="005F24BF" w:rsidP="005F24BF">
      <w:pPr>
        <w:pStyle w:val="Nivel4"/>
      </w:pPr>
      <w:r w:rsidRPr="002411AB">
        <w:t>Aumento de la calidad y del valor añadido (turismo de ciudades en lugar de turismo de sol y playa, venta de productos agroalimentarios envasados en lugar de a granel, importancia de la “</w:t>
      </w:r>
      <w:proofErr w:type="spellStart"/>
      <w:r w:rsidRPr="002411AB">
        <w:t>servi</w:t>
      </w:r>
      <w:proofErr w:type="spellEnd"/>
      <w:r w:rsidRPr="002411AB">
        <w:t xml:space="preserve">-industria” –diseño, marketing, servicio </w:t>
      </w:r>
      <w:proofErr w:type="spellStart"/>
      <w:r w:rsidRPr="002411AB">
        <w:t>post-venta</w:t>
      </w:r>
      <w:proofErr w:type="spellEnd"/>
      <w:r w:rsidRPr="002411AB">
        <w:t>–, etc.).</w:t>
      </w:r>
    </w:p>
    <w:p w14:paraId="25F508EB" w14:textId="77777777" w:rsidR="005F24BF" w:rsidRDefault="005F24BF" w:rsidP="00D95190">
      <w:pPr>
        <w:numPr>
          <w:ilvl w:val="0"/>
          <w:numId w:val="13"/>
        </w:numPr>
        <w:spacing w:after="0"/>
        <w:ind w:left="1418" w:hanging="284"/>
      </w:pPr>
      <w:r w:rsidRPr="002411AB">
        <w:lastRenderedPageBreak/>
        <w:t>Disminuir la dependencia energética (estrategias de ahorro energético, búsqueda de fuentes alternativas, etc.).</w:t>
      </w:r>
    </w:p>
    <w:p w14:paraId="794623B8" w14:textId="168FCE96" w:rsidR="001E4897" w:rsidRDefault="005F24BF" w:rsidP="00D95190">
      <w:pPr>
        <w:numPr>
          <w:ilvl w:val="0"/>
          <w:numId w:val="13"/>
        </w:numPr>
        <w:spacing w:after="0"/>
        <w:ind w:left="1418" w:hanging="284"/>
      </w:pPr>
      <w:r w:rsidRPr="002411AB">
        <w:t>Diversificar geográficamente la base exportadora: es necesario profundizar en el proceso de diversificación del destino de nuestras exportaciones, ante las perspectivas de menor dinamismo de la zona euro frente a otros mercados más dinámicos (Asia, Latinoamérica, etc.).</w:t>
      </w:r>
    </w:p>
    <w:p w14:paraId="12D5537D" w14:textId="77777777" w:rsidR="001E4897" w:rsidRDefault="001E4897" w:rsidP="001E4897">
      <w:pPr>
        <w:pStyle w:val="Nivel1"/>
        <w:keepNext/>
        <w:spacing w:after="0"/>
      </w:pPr>
      <w:r w:rsidRPr="001E4897">
        <w:rPr>
          <w:b/>
          <w:bCs/>
          <w:i/>
          <w:iCs/>
        </w:rPr>
        <w:t>Opinión</w:t>
      </w:r>
      <w:r>
        <w:t>:</w:t>
      </w:r>
    </w:p>
    <w:p w14:paraId="1CF0AFD0" w14:textId="77777777" w:rsidR="001E4897" w:rsidRPr="001E4897" w:rsidRDefault="001E4897" w:rsidP="001E4897">
      <w:pPr>
        <w:pStyle w:val="Nivel2"/>
      </w:pPr>
    </w:p>
    <w:p w14:paraId="58958A64" w14:textId="77777777" w:rsidR="001E4897" w:rsidRDefault="001E4897" w:rsidP="001E4897">
      <w:pPr>
        <w:pStyle w:val="Nivel1"/>
        <w:keepNext/>
        <w:spacing w:after="0"/>
      </w:pPr>
      <w:r w:rsidRPr="001E4897">
        <w:rPr>
          <w:b/>
          <w:bCs/>
          <w:i/>
          <w:iCs/>
        </w:rPr>
        <w:t>Idea final (Salida o cierre)</w:t>
      </w:r>
      <w:r>
        <w:t>:</w:t>
      </w:r>
    </w:p>
    <w:p w14:paraId="7BEAF145" w14:textId="4EFA0459" w:rsidR="001E4897" w:rsidRPr="001E4897" w:rsidRDefault="003C717B" w:rsidP="001E4897">
      <w:pPr>
        <w:pStyle w:val="Nivel2"/>
      </w:pPr>
      <w:r>
        <w:t>En definitiva, para asentar una senda sostenible de superávits exteriores se requiere profundizar en el saneamiento estructural de las cuentas públicas (especialmente si se tiene en cuenta el envejecimiento de la población) y en las reformas de los mercados de factores y de productos que favorezcan el mantenimiento de las ganancias de competitividad exterior de la economía española.</w:t>
      </w:r>
    </w:p>
    <w:p w14:paraId="7F36E730" w14:textId="77777777" w:rsidR="001E4897" w:rsidRDefault="001E4897" w:rsidP="001E4897">
      <w:pPr>
        <w:spacing w:after="0" w:line="240" w:lineRule="auto"/>
        <w:jc w:val="left"/>
      </w:pPr>
      <w:r>
        <w:br w:type="page"/>
      </w:r>
    </w:p>
    <w:p w14:paraId="785017D7" w14:textId="77777777" w:rsidR="001E4897" w:rsidRDefault="001E4897" w:rsidP="001E4897">
      <w:pPr>
        <w:pStyle w:val="Ttulo4"/>
      </w:pPr>
      <w:bookmarkStart w:id="79" w:name="_Hlk145919065"/>
      <w:r>
        <w:lastRenderedPageBreak/>
        <w:t>Bibliografía</w:t>
      </w:r>
    </w:p>
    <w:p w14:paraId="33AF999A" w14:textId="77777777" w:rsidR="001E4897" w:rsidRDefault="001E4897" w:rsidP="001E4897">
      <w:r>
        <w:t xml:space="preserve">Tema María Palacios </w:t>
      </w:r>
      <w:proofErr w:type="spellStart"/>
      <w:r>
        <w:t>Carrere</w:t>
      </w:r>
      <w:proofErr w:type="spellEnd"/>
    </w:p>
    <w:p w14:paraId="56E57E0F" w14:textId="42815530" w:rsidR="00CD1EBB" w:rsidRDefault="00CD1EBB" w:rsidP="001E4897">
      <w:r>
        <w:t>Tema Juan Luis Cordero Tarifa</w:t>
      </w:r>
    </w:p>
    <w:p w14:paraId="6AF132A6" w14:textId="7D3321E9" w:rsidR="001E4897" w:rsidRDefault="001E4897" w:rsidP="001E4897">
      <w:r>
        <w:t>“Economía pública”, Albi.</w:t>
      </w:r>
    </w:p>
    <w:p w14:paraId="4230F4DA" w14:textId="2DA8E886" w:rsidR="001E4897" w:rsidRDefault="001E4897" w:rsidP="001E4897">
      <w:r>
        <w:t>Informe anual del BdE e informes de balanza de pagos.</w:t>
      </w:r>
    </w:p>
    <w:p w14:paraId="6B2E346C" w14:textId="43ED2057" w:rsidR="001E4897" w:rsidRDefault="001E4897" w:rsidP="001E4897">
      <w:r>
        <w:t>Informe anual del sector exterior en el boletín ICE.</w:t>
      </w:r>
    </w:p>
    <w:p w14:paraId="669DFC48" w14:textId="7AFE8444" w:rsidR="001E4897" w:rsidRDefault="001E4897" w:rsidP="001E4897">
      <w:r>
        <w:t>Departamento de balanza de pagos del BdE (para estadísticas recientes).</w:t>
      </w:r>
    </w:p>
    <w:p w14:paraId="55DE06C5" w14:textId="0CF1E324" w:rsidR="001E4897" w:rsidRDefault="001E4897" w:rsidP="001E4897">
      <w:r>
        <w:t>“Dos décadas de apertura comercial y financiera de la economía española” (</w:t>
      </w:r>
      <w:r w:rsidR="004D6976">
        <w:t>Jesús</w:t>
      </w:r>
      <w:r>
        <w:t xml:space="preserve"> Paul </w:t>
      </w:r>
      <w:r w:rsidR="004D6976">
        <w:t>Gutiérrez</w:t>
      </w:r>
      <w:r>
        <w:t>).</w:t>
      </w:r>
    </w:p>
    <w:p w14:paraId="2C7F2797" w14:textId="77777777" w:rsidR="001E4897" w:rsidRDefault="001E4897" w:rsidP="001E4897">
      <w:pPr>
        <w:pStyle w:val="Ttulo4"/>
      </w:pPr>
      <w:r>
        <w:t>Preguntas de otros exámenes</w:t>
      </w:r>
    </w:p>
    <w:p w14:paraId="251E8F38" w14:textId="77777777" w:rsidR="001E4897" w:rsidRPr="002908B3" w:rsidRDefault="001E4897" w:rsidP="001E4897">
      <w:pPr>
        <w:pStyle w:val="Nivel2SM"/>
      </w:pPr>
    </w:p>
    <w:p w14:paraId="20691623" w14:textId="77777777" w:rsidR="001E4897" w:rsidRDefault="001E4897" w:rsidP="001E4897">
      <w:pPr>
        <w:pStyle w:val="Ttulo4"/>
      </w:pPr>
      <w:r w:rsidRPr="00342648">
        <w:t>Anexos</w:t>
      </w:r>
    </w:p>
    <w:p w14:paraId="7A82F86E" w14:textId="77777777" w:rsidR="001E4897" w:rsidRDefault="001E4897" w:rsidP="001E4897">
      <w:pPr>
        <w:pStyle w:val="Ttulo5"/>
      </w:pPr>
      <w:r w:rsidRPr="0002549F">
        <w:t>Anexo</w:t>
      </w:r>
      <w:r>
        <w:t> </w:t>
      </w:r>
      <w:r w:rsidRPr="0002549F">
        <w:t>1</w:t>
      </w:r>
      <w:r w:rsidRPr="00AF1FE6">
        <w:rPr>
          <w:u w:val="none"/>
        </w:rPr>
        <w:t xml:space="preserve">: </w:t>
      </w:r>
      <w:bookmarkEnd w:id="79"/>
    </w:p>
    <w:p w14:paraId="2244F79A" w14:textId="611B7BC8" w:rsidR="00896EBD" w:rsidRPr="008C79D0" w:rsidRDefault="006C5F94" w:rsidP="008C79D0">
      <w:pPr>
        <w:jc w:val="center"/>
        <w:rPr>
          <w:b/>
          <w:u w:val="single"/>
        </w:rPr>
      </w:pPr>
      <w:r>
        <w:rPr>
          <w:b/>
          <w:noProof/>
          <w:u w:val="single"/>
        </w:rPr>
        <w:drawing>
          <wp:inline distT="0" distB="0" distL="0" distR="0" wp14:anchorId="4ADB8DF6" wp14:editId="63D97DF4">
            <wp:extent cx="4973877" cy="3251200"/>
            <wp:effectExtent l="0" t="0" r="0" b="635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85867" cy="3259038"/>
                    </a:xfrm>
                    <a:prstGeom prst="rect">
                      <a:avLst/>
                    </a:prstGeom>
                    <a:noFill/>
                  </pic:spPr>
                </pic:pic>
              </a:graphicData>
            </a:graphic>
          </wp:inline>
        </w:drawing>
      </w:r>
    </w:p>
    <w:sectPr w:rsidR="00896EBD" w:rsidRPr="008C79D0" w:rsidSect="006C5F94">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F3F087" w14:textId="77777777" w:rsidR="00546CD0" w:rsidRDefault="00546CD0">
      <w:r>
        <w:separator/>
      </w:r>
    </w:p>
  </w:endnote>
  <w:endnote w:type="continuationSeparator" w:id="0">
    <w:p w14:paraId="0A49DF1F" w14:textId="77777777" w:rsidR="00546CD0" w:rsidRDefault="0054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5F94" w:rsidRPr="009B5FC2" w14:paraId="1ECABBB9" w14:textId="77777777" w:rsidTr="00B777D0">
      <w:trPr>
        <w:trHeight w:val="138"/>
        <w:jc w:val="center"/>
      </w:trPr>
      <w:tc>
        <w:tcPr>
          <w:tcW w:w="1134" w:type="dxa"/>
        </w:tcPr>
        <w:p w14:paraId="34578AEF" w14:textId="77777777" w:rsidR="006C5F94" w:rsidRPr="009B5FC2" w:rsidRDefault="006C5F94"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1D79C4E0" w14:textId="77777777" w:rsidR="006C5F94" w:rsidRPr="009B5FC2" w:rsidRDefault="006C5F94" w:rsidP="009B5FC2">
          <w:pPr>
            <w:pStyle w:val="Encabezado"/>
            <w:spacing w:after="0"/>
            <w:ind w:right="-110"/>
            <w:contextualSpacing/>
            <w:jc w:val="center"/>
            <w:rPr>
              <w:i/>
              <w:iCs/>
              <w:color w:val="5F2987"/>
              <w:sz w:val="18"/>
              <w:szCs w:val="18"/>
            </w:rPr>
          </w:pPr>
        </w:p>
      </w:tc>
      <w:tc>
        <w:tcPr>
          <w:tcW w:w="2551" w:type="dxa"/>
          <w:vAlign w:val="center"/>
        </w:tcPr>
        <w:p w14:paraId="638274E1" w14:textId="77777777" w:rsidR="006C5F94" w:rsidRPr="009B5FC2" w:rsidRDefault="006C5F94" w:rsidP="009B5FC2">
          <w:pPr>
            <w:pStyle w:val="Encabezado"/>
            <w:spacing w:after="0"/>
            <w:contextualSpacing/>
            <w:jc w:val="right"/>
            <w:rPr>
              <w:b/>
              <w:bCs/>
              <w:i/>
              <w:iCs/>
              <w:color w:val="5F2987"/>
              <w:spacing w:val="-6"/>
              <w:sz w:val="18"/>
              <w:szCs w:val="18"/>
            </w:rPr>
          </w:pPr>
        </w:p>
      </w:tc>
    </w:tr>
  </w:tbl>
  <w:p w14:paraId="629075D5" w14:textId="77777777" w:rsidR="006C5F94" w:rsidRPr="009C61AF" w:rsidRDefault="006C5F94"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5F94" w:rsidRPr="00C44422" w14:paraId="4ED3C21B" w14:textId="77777777" w:rsidTr="0078055F">
      <w:trPr>
        <w:trHeight w:val="138"/>
        <w:jc w:val="center"/>
      </w:trPr>
      <w:tc>
        <w:tcPr>
          <w:tcW w:w="1134" w:type="dxa"/>
          <w:vAlign w:val="center"/>
        </w:tcPr>
        <w:p w14:paraId="202B3CE9" w14:textId="77777777" w:rsidR="006C5F94" w:rsidRPr="006B5D4B" w:rsidRDefault="006C5F94"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5CC8B17" w14:textId="77777777" w:rsidR="006C5F94" w:rsidRPr="006B5D4B" w:rsidRDefault="006C5F94" w:rsidP="009B5FC2">
          <w:pPr>
            <w:pStyle w:val="Encabezado"/>
            <w:spacing w:after="0"/>
            <w:ind w:right="-110"/>
            <w:contextualSpacing/>
            <w:jc w:val="center"/>
            <w:rPr>
              <w:i/>
              <w:iCs/>
              <w:color w:val="5F2987"/>
              <w:sz w:val="18"/>
              <w:szCs w:val="18"/>
            </w:rPr>
          </w:pPr>
        </w:p>
      </w:tc>
      <w:tc>
        <w:tcPr>
          <w:tcW w:w="2551" w:type="dxa"/>
          <w:vAlign w:val="center"/>
        </w:tcPr>
        <w:p w14:paraId="0300C009" w14:textId="77777777" w:rsidR="006C5F94" w:rsidRPr="006B5D4B" w:rsidRDefault="006C5F94"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2CCA5F6D" w14:textId="77777777" w:rsidR="006C5F94" w:rsidRPr="00BE1B62" w:rsidRDefault="006C5F94"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5F94" w:rsidRPr="00C44422" w14:paraId="2886B278" w14:textId="77777777" w:rsidTr="0078055F">
      <w:trPr>
        <w:trHeight w:val="138"/>
        <w:jc w:val="center"/>
      </w:trPr>
      <w:tc>
        <w:tcPr>
          <w:tcW w:w="1134" w:type="dxa"/>
          <w:vAlign w:val="center"/>
        </w:tcPr>
        <w:p w14:paraId="0204B8E1" w14:textId="77777777" w:rsidR="006C5F94" w:rsidRPr="006B5D4B" w:rsidRDefault="006C5F94"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A3538A7" w14:textId="77777777" w:rsidR="006C5F94" w:rsidRPr="006B5D4B" w:rsidRDefault="006C5F94" w:rsidP="009B5FC2">
          <w:pPr>
            <w:pStyle w:val="Encabezado"/>
            <w:spacing w:after="0"/>
            <w:ind w:right="-110"/>
            <w:contextualSpacing/>
            <w:jc w:val="center"/>
            <w:rPr>
              <w:i/>
              <w:iCs/>
              <w:color w:val="5F2987"/>
              <w:sz w:val="18"/>
              <w:szCs w:val="18"/>
            </w:rPr>
          </w:pPr>
        </w:p>
      </w:tc>
      <w:tc>
        <w:tcPr>
          <w:tcW w:w="2551" w:type="dxa"/>
          <w:vAlign w:val="center"/>
        </w:tcPr>
        <w:p w14:paraId="36CB18E4" w14:textId="77777777" w:rsidR="006C5F94" w:rsidRPr="006B5D4B" w:rsidRDefault="006C5F94"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5279735E" w14:textId="77777777" w:rsidR="006C5F94" w:rsidRPr="00BE1B62" w:rsidRDefault="006C5F94"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D4FBE6" w14:textId="77777777" w:rsidR="00546CD0" w:rsidRPr="006C5F94" w:rsidRDefault="00546CD0" w:rsidP="006C5F94">
      <w:pPr>
        <w:spacing w:after="0" w:line="240" w:lineRule="auto"/>
        <w:rPr>
          <w:sz w:val="16"/>
          <w:szCs w:val="16"/>
        </w:rPr>
      </w:pPr>
      <w:r w:rsidRPr="006C5F94">
        <w:rPr>
          <w:sz w:val="16"/>
          <w:szCs w:val="16"/>
        </w:rPr>
        <w:separator/>
      </w:r>
    </w:p>
  </w:footnote>
  <w:footnote w:type="continuationSeparator" w:id="0">
    <w:p w14:paraId="202DFC20" w14:textId="77777777" w:rsidR="00546CD0" w:rsidRPr="006C5F94" w:rsidRDefault="00546CD0" w:rsidP="006C5F94">
      <w:pPr>
        <w:spacing w:after="0" w:line="240" w:lineRule="auto"/>
        <w:rPr>
          <w:sz w:val="16"/>
          <w:szCs w:val="16"/>
        </w:rPr>
      </w:pPr>
      <w:r w:rsidRPr="006C5F94">
        <w:rPr>
          <w:sz w:val="16"/>
          <w:szCs w:val="16"/>
        </w:rPr>
        <w:continuationSeparator/>
      </w:r>
    </w:p>
  </w:footnote>
  <w:footnote w:type="continuationNotice" w:id="1">
    <w:p w14:paraId="46F09926" w14:textId="77777777" w:rsidR="00546CD0" w:rsidRPr="006C5F94" w:rsidRDefault="00546CD0" w:rsidP="006C5F94">
      <w:pPr>
        <w:spacing w:after="0" w:line="192" w:lineRule="auto"/>
        <w:jc w:val="right"/>
        <w:rPr>
          <w:sz w:val="16"/>
          <w:szCs w:val="16"/>
        </w:rPr>
      </w:pPr>
      <w:bookmarkStart w:id="0" w:name="_Hlk146904849"/>
      <w:bookmarkStart w:id="1" w:name="_Hlk146904850"/>
      <w:r w:rsidRPr="006C5F94">
        <w:rPr>
          <w:rFonts w:ascii="Cambria Math" w:hAnsi="Cambria Math" w:cs="Cambria Math"/>
          <w:sz w:val="16"/>
          <w:szCs w:val="16"/>
        </w:rPr>
        <w:t>↪</w:t>
      </w:r>
      <w:bookmarkEnd w:id="0"/>
      <w:bookmarkEnd w:id="1"/>
    </w:p>
  </w:footnote>
  <w:footnote w:id="2">
    <w:p w14:paraId="79808703" w14:textId="77777777" w:rsidR="00AF5501" w:rsidRDefault="00AF5501" w:rsidP="00AF5501">
      <w:pPr>
        <w:pStyle w:val="Textonotapie"/>
        <w:spacing w:after="0"/>
      </w:pPr>
      <w:r>
        <w:rPr>
          <w:rStyle w:val="Refdenotaalpie"/>
        </w:rPr>
        <w:footnoteRef/>
      </w:r>
      <w:r>
        <w:t xml:space="preserve"> Como veremos a continuación, las </w:t>
      </w:r>
      <w:r>
        <w:rPr>
          <w:i/>
          <w:iCs/>
        </w:rPr>
        <w:t>transacciones</w:t>
      </w:r>
      <w:r w:rsidRPr="00DA362C">
        <w:t xml:space="preserve"> son interacciones entre dos unidades institucionales que ocurren por mutuo acuerdo o en virtud de la ley y que implican un intercambio de valor o una transferencia.</w:t>
      </w:r>
    </w:p>
  </w:footnote>
  <w:footnote w:id="3">
    <w:p w14:paraId="15263372" w14:textId="77777777" w:rsidR="00A7095B" w:rsidRDefault="00A7095B" w:rsidP="00A7095B">
      <w:pPr>
        <w:pStyle w:val="Textonotapie"/>
        <w:spacing w:after="0"/>
      </w:pPr>
      <w:r>
        <w:rPr>
          <w:rStyle w:val="Refdenotaalpie"/>
        </w:rPr>
        <w:footnoteRef/>
      </w:r>
      <w:r>
        <w:t xml:space="preserve"> En la Contabilidad Nacional hay dos cuentas de renta primaria: una cuenta de generación –</w:t>
      </w:r>
      <w:r w:rsidRPr="002F2B4F">
        <w:rPr>
          <w:i/>
          <w:iCs/>
        </w:rPr>
        <w:t>la cuenta de explotación</w:t>
      </w:r>
      <w:r>
        <w:t>–, que registra la producción de renta primaria en el proceso productivo, y una cuenta de asignación –</w:t>
      </w:r>
      <w:r w:rsidRPr="002F2B4F">
        <w:rPr>
          <w:i/>
          <w:iCs/>
        </w:rPr>
        <w:t>la cuenta de asignación de la renta primaria</w:t>
      </w:r>
      <w:r>
        <w:t>–, que registra la distribución de la renta primaria a los proveedores de factores productivos. En las cuentas internacionales, los flujos de renta primaria están vinculados a la cuenta de asignación de la renta primaria.</w:t>
      </w:r>
    </w:p>
  </w:footnote>
  <w:footnote w:id="4">
    <w:p w14:paraId="20F24449" w14:textId="77777777" w:rsidR="00A7095B" w:rsidRDefault="00A7095B" w:rsidP="00A7095B">
      <w:pPr>
        <w:pStyle w:val="Textonotapie"/>
      </w:pPr>
      <w:r>
        <w:rPr>
          <w:rStyle w:val="Refdenotaalpie"/>
        </w:rPr>
        <w:footnoteRef/>
      </w:r>
      <w:r>
        <w:t xml:space="preserve"> </w:t>
      </w:r>
      <w:hyperlink r:id="rId1" w:history="1">
        <w:r w:rsidRPr="00F63AD1">
          <w:rPr>
            <w:rStyle w:val="Hipervnculo"/>
          </w:rPr>
          <w:t>https://www.bde.es/webbe/es/estadisticas/compartido/docs/notaNGEU.pdf</w:t>
        </w:r>
      </w:hyperlink>
    </w:p>
  </w:footnote>
  <w:footnote w:id="5">
    <w:p w14:paraId="219E47E6" w14:textId="2D732EB2" w:rsidR="00263C3D" w:rsidRDefault="00263C3D">
      <w:pPr>
        <w:pStyle w:val="Textonotapie"/>
      </w:pPr>
      <w:r>
        <w:rPr>
          <w:rStyle w:val="Refdenotaalpie"/>
        </w:rPr>
        <w:footnoteRef/>
      </w:r>
      <w:r>
        <w:t xml:space="preserve"> España entraría en la OECE en 1959.</w:t>
      </w:r>
    </w:p>
  </w:footnote>
  <w:footnote w:id="6">
    <w:p w14:paraId="63CC1DCB" w14:textId="17BC2A16" w:rsidR="00AA6326" w:rsidRDefault="00AA6326" w:rsidP="00AA6326">
      <w:pPr>
        <w:pStyle w:val="Textonotapie"/>
      </w:pPr>
      <w:r>
        <w:rPr>
          <w:rStyle w:val="Refdenotaalpie"/>
        </w:rPr>
        <w:footnoteRef/>
      </w:r>
      <w:r>
        <w:t xml:space="preserve"> Desde el comienzo de siglo y hasta el inicio de la crisis, las importaciones de bienes mostraron un mayor dinamismo que las exportaciones. En tasa media anual, las importaciones crecieron al 6,6 % y las exportaciones al 5,4 %. Esto provoca un deterioro creciente del déficit comercial, motivado por un comportamiento más dinámico de las importaciones que de las exportaciones.</w:t>
      </w:r>
    </w:p>
    <w:p w14:paraId="32DAF207" w14:textId="060DEC68" w:rsidR="00AA6326" w:rsidRDefault="00AA6326" w:rsidP="00AA6326">
      <w:pPr>
        <w:pStyle w:val="Textonotapie"/>
      </w:pPr>
      <w:r>
        <w:t>Las importaciones energéticas se vieron impulsadas por el ascenso de los precios del petróleo entre el año 2000 y 2008 (de 30 $/barril a 146 $/barril), que puso de manifiesto la elevada dependencia energética.</w:t>
      </w:r>
    </w:p>
  </w:footnote>
  <w:footnote w:id="7">
    <w:p w14:paraId="4A84505A" w14:textId="480DB51D" w:rsidR="001926B7" w:rsidRDefault="001926B7" w:rsidP="001926B7">
      <w:pPr>
        <w:pStyle w:val="Textonotapie"/>
        <w:keepNext/>
        <w:spacing w:after="0"/>
      </w:pPr>
      <w:r>
        <w:rPr>
          <w:rStyle w:val="Refdenotaalpie"/>
        </w:rPr>
        <w:footnoteRef/>
      </w:r>
      <w:r>
        <w:t xml:space="preserve"> Para llegar a esta igualdad, el razonamiento es el siguiente:</w:t>
      </w:r>
    </w:p>
    <w:p w14:paraId="3C9FFF3A" w14:textId="14F11DB7" w:rsidR="001926B7" w:rsidRPr="001926B7" w:rsidRDefault="00000000">
      <w:pPr>
        <w:pStyle w:val="Textonotapie"/>
      </w:pPr>
      <m:oMathPara>
        <m:oMath>
          <m:d>
            <m:dPr>
              <m:begChr m:val=""/>
              <m:endChr m:val="}"/>
              <m:ctrlPr>
                <w:rPr>
                  <w:rFonts w:ascii="Cambria Math" w:hAnsi="Cambria Math"/>
                  <w:i/>
                  <w:iCs/>
                  <w:lang w:val="en-US"/>
                </w:rPr>
              </m:ctrlPr>
            </m:dPr>
            <m:e>
              <m:f>
                <m:fPr>
                  <m:type m:val="noBar"/>
                  <m:ctrlPr>
                    <w:rPr>
                      <w:rFonts w:ascii="Cambria Math" w:hAnsi="Cambria Math"/>
                      <w:i/>
                      <w:iCs/>
                      <w:lang w:val="en-US"/>
                    </w:rPr>
                  </m:ctrlPr>
                </m:fPr>
                <m:num>
                  <m:r>
                    <w:rPr>
                      <w:rFonts w:ascii="Cambria Math" w:hAnsi="Cambria Math"/>
                    </w:rPr>
                    <m:t xml:space="preserve">            </m:t>
                  </m:r>
                  <m:d>
                    <m:dPr>
                      <m:begChr m:val=""/>
                      <m:endChr m:val="}"/>
                      <m:ctrlPr>
                        <w:rPr>
                          <w:rFonts w:ascii="Cambria Math" w:hAnsi="Cambria Math"/>
                          <w:i/>
                          <w:iCs/>
                          <w:lang w:val="en-US"/>
                        </w:rPr>
                      </m:ctrlPr>
                    </m:dPr>
                    <m:e>
                      <m:f>
                        <m:fPr>
                          <m:type m:val="noBar"/>
                          <m:ctrlPr>
                            <w:rPr>
                              <w:rFonts w:ascii="Cambria Math" w:hAnsi="Cambria Math"/>
                              <w:i/>
                              <w:iCs/>
                              <w:lang w:val="en-US"/>
                            </w:rPr>
                          </m:ctrlPr>
                        </m:fPr>
                        <m:num>
                          <m:r>
                            <m:rPr>
                              <m:nor/>
                            </m:rPr>
                            <w:rPr>
                              <w:i/>
                              <w:iCs/>
                            </w:rPr>
                            <m:t>RNDB</m:t>
                          </m:r>
                          <m:r>
                            <w:rPr>
                              <w:rFonts w:ascii="Cambria Math" w:hAnsi="Cambria Math"/>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rPr>
                                    <m:t>C</m:t>
                                  </m:r>
                                  <m:r>
                                    <w:rPr>
                                      <w:rFonts w:ascii="Cambria Math" w:hAnsi="Cambria Math"/>
                                    </w:rPr>
                                    <m:t>+</m:t>
                                  </m:r>
                                  <m:r>
                                    <m:rPr>
                                      <m:nor/>
                                    </m:rPr>
                                    <w:rPr>
                                      <w:i/>
                                      <w:iCs/>
                                    </w:rPr>
                                    <m:t>I</m:t>
                                  </m:r>
                                  <m:r>
                                    <w:rPr>
                                      <w:rFonts w:ascii="Cambria Math" w:hAnsi="Cambria Math"/>
                                    </w:rPr>
                                    <m:t>+</m:t>
                                  </m:r>
                                  <m:r>
                                    <m:rPr>
                                      <m:nor/>
                                    </m:rPr>
                                    <w:rPr>
                                      <w:i/>
                                      <w:iCs/>
                                    </w:rPr>
                                    <m:t>G</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rPr>
                                                <m:t>X</m:t>
                                              </m:r>
                                              <m:r>
                                                <w:rPr>
                                                  <w:rFonts w:ascii="Cambria Math" w:hAnsi="Cambria Math"/>
                                                </w:rPr>
                                                <m:t>-</m:t>
                                              </m:r>
                                              <m:r>
                                                <m:rPr>
                                                  <m:nor/>
                                                </m:rPr>
                                                <w:rPr>
                                                  <w:i/>
                                                  <w:iCs/>
                                                </w:rPr>
                                                <m:t>M</m:t>
                                              </m:r>
                                            </m:e>
                                          </m:d>
                                        </m:e>
                                      </m:groupChr>
                                    </m:e>
                                    <m:lim>
                                      <m:r>
                                        <m:rPr>
                                          <m:nor/>
                                        </m:rPr>
                                        <w:rPr>
                                          <w:i/>
                                          <w:iCs/>
                                        </w:rPr>
                                        <m:t>XN</m:t>
                                      </m:r>
                                    </m:lim>
                                  </m:limUpp>
                                </m:e>
                              </m:groupChr>
                            </m:e>
                            <m:lim>
                              <m:r>
                                <m:rPr>
                                  <m:nor/>
                                </m:rPr>
                                <w:rPr>
                                  <w:i/>
                                  <w:iCs/>
                                </w:rPr>
                                <m:t>PIB</m:t>
                              </m:r>
                            </m:lim>
                          </m:limLow>
                          <m:r>
                            <w:rPr>
                              <w:rFonts w:ascii="Cambria Math" w:hAnsi="Cambria Math"/>
                            </w:rPr>
                            <m:t>+</m:t>
                          </m:r>
                          <m:r>
                            <m:rPr>
                              <m:nor/>
                            </m:rPr>
                            <w:rPr>
                              <w:i/>
                              <w:iCs/>
                            </w:rPr>
                            <m:t>RN</m:t>
                          </m:r>
                        </m:num>
                        <m:den>
                          <m:r>
                            <m:rPr>
                              <m:nor/>
                            </m:rPr>
                            <w:rPr>
                              <w:i/>
                              <w:iCs/>
                            </w:rPr>
                            <m:t>CC</m:t>
                          </m:r>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ctrlPr>
                                        <w:rPr>
                                          <w:rFonts w:ascii="Cambria Math" w:hAnsi="Cambria Math"/>
                                          <w:i/>
                                          <w:iCs/>
                                        </w:rPr>
                                      </m:ctrlPr>
                                    </m:dPr>
                                    <m:e>
                                      <m:r>
                                        <m:rPr>
                                          <m:nor/>
                                        </m:rPr>
                                        <w:rPr>
                                          <w:i/>
                                          <w:iCs/>
                                        </w:rPr>
                                        <m:t>X</m:t>
                                      </m:r>
                                      <m:r>
                                        <w:rPr>
                                          <w:rFonts w:ascii="Cambria Math" w:hAnsi="Cambria Math"/>
                                        </w:rPr>
                                        <m:t>-</m:t>
                                      </m:r>
                                      <m:r>
                                        <m:rPr>
                                          <m:nor/>
                                        </m:rPr>
                                        <w:rPr>
                                          <w:i/>
                                          <w:iCs/>
                                        </w:rPr>
                                        <m:t>M</m:t>
                                      </m:r>
                                    </m:e>
                                  </m:d>
                                </m:e>
                              </m:groupChr>
                            </m:e>
                            <m:lim>
                              <m:r>
                                <m:rPr>
                                  <m:nor/>
                                </m:rPr>
                                <w:rPr>
                                  <w:i/>
                                  <w:iCs/>
                                </w:rPr>
                                <m:t>XN</m:t>
                              </m:r>
                            </m:lim>
                          </m:limUpp>
                          <m:r>
                            <w:rPr>
                              <w:rFonts w:ascii="Cambria Math" w:hAnsi="Cambria Math"/>
                            </w:rPr>
                            <m:t>+</m:t>
                          </m:r>
                          <m:r>
                            <m:rPr>
                              <m:nor/>
                            </m:rPr>
                            <w:rPr>
                              <w:i/>
                              <w:iCs/>
                            </w:rPr>
                            <m:t>RN</m:t>
                          </m:r>
                        </m:den>
                      </m:f>
                    </m:e>
                  </m:d>
                  <m:r>
                    <w:rPr>
                      <w:rFonts w:ascii="Cambria Math" w:hAnsi="Cambria Math"/>
                      <w:lang w:val="en-US"/>
                    </w:rPr>
                    <m:t>⟹</m:t>
                  </m:r>
                  <m:r>
                    <m:rPr>
                      <m:nor/>
                    </m:rPr>
                    <w:rPr>
                      <w:i/>
                      <w:iCs/>
                    </w:rPr>
                    <m:t>CC</m:t>
                  </m:r>
                  <m:r>
                    <w:rPr>
                      <w:rFonts w:ascii="Cambria Math" w:hAnsi="Cambria Math"/>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rPr>
                            <m:t>RNDB</m:t>
                          </m:r>
                          <m:r>
                            <w:rPr>
                              <w:rFonts w:ascii="Cambria Math" w:hAnsi="Cambria Math"/>
                            </w:rPr>
                            <m:t>-</m:t>
                          </m:r>
                          <m:r>
                            <m:rPr>
                              <m:nor/>
                            </m:rPr>
                            <w:rPr>
                              <w:i/>
                              <w:iCs/>
                            </w:rPr>
                            <m:t>C</m:t>
                          </m:r>
                          <m:r>
                            <w:rPr>
                              <w:rFonts w:ascii="Cambria Math" w:hAnsi="Cambria Math"/>
                            </w:rPr>
                            <m:t>-</m:t>
                          </m:r>
                          <m:r>
                            <m:rPr>
                              <m:nor/>
                            </m:rPr>
                            <w:rPr>
                              <w:i/>
                              <w:iCs/>
                            </w:rPr>
                            <m:t>G</m:t>
                          </m:r>
                        </m:e>
                      </m:groupChr>
                    </m:e>
                    <m:lim>
                      <m:r>
                        <m:rPr>
                          <m:nor/>
                        </m:rPr>
                        <w:rPr>
                          <w:i/>
                          <w:iCs/>
                        </w:rPr>
                        <m:t>S</m:t>
                      </m:r>
                    </m:lim>
                  </m:limLow>
                  <m:r>
                    <w:rPr>
                      <w:rFonts w:ascii="Cambria Math" w:hAnsi="Cambria Math"/>
                    </w:rPr>
                    <m:t>-</m:t>
                  </m:r>
                  <m:r>
                    <m:rPr>
                      <m:nor/>
                    </m:rPr>
                    <w:rPr>
                      <w:i/>
                      <w:iCs/>
                    </w:rPr>
                    <m:t>I</m:t>
                  </m:r>
                </m:num>
                <m:den>
                  <m:r>
                    <m:rPr>
                      <m:nor/>
                    </m:rPr>
                    <w:rPr>
                      <w:i/>
                      <w:color w:val="000000" w:themeColor="text1"/>
                    </w:rPr>
                    <m:t>Capacidad (</m:t>
                  </m:r>
                  <m:r>
                    <w:rPr>
                      <w:rFonts w:ascii="Cambria Math" w:hAnsi="Cambria Math"/>
                    </w:rPr>
                    <m:t>+</m:t>
                  </m:r>
                  <m:r>
                    <m:rPr>
                      <m:nor/>
                    </m:rPr>
                    <w:rPr>
                      <w:i/>
                      <w:color w:val="000000" w:themeColor="text1"/>
                    </w:rPr>
                    <m:t>) o Necesidad (</m:t>
                  </m:r>
                  <m:r>
                    <w:rPr>
                      <w:rFonts w:ascii="Cambria Math" w:hAnsi="Cambria Math"/>
                      <w:color w:val="000000" w:themeColor="text1"/>
                    </w:rPr>
                    <m:t>-</m:t>
                  </m:r>
                  <m:r>
                    <m:rPr>
                      <m:nor/>
                    </m:rPr>
                    <w:rPr>
                      <w:i/>
                      <w:color w:val="000000" w:themeColor="text1"/>
                    </w:rPr>
                    <m:t>) de Financiación</m:t>
                  </m:r>
                  <m:r>
                    <w:rPr>
                      <w:rFonts w:ascii="Cambria Math"/>
                      <w:color w:val="000000" w:themeColor="text1"/>
                    </w:rPr>
                    <m:t>=</m:t>
                  </m:r>
                  <m:r>
                    <m:rPr>
                      <m:nor/>
                    </m:rPr>
                    <w:rPr>
                      <w:i/>
                      <w:color w:val="000000" w:themeColor="text1"/>
                    </w:rPr>
                    <m:t>CC</m:t>
                  </m:r>
                  <m:r>
                    <w:rPr>
                      <w:rStyle w:val="Hipervnculo"/>
                      <w:rFonts w:ascii="Cambria Math" w:hAnsi="Cambria Math"/>
                      <w:color w:val="000000" w:themeColor="text1"/>
                    </w:rPr>
                    <m:t>+</m:t>
                  </m:r>
                  <m:r>
                    <m:rPr>
                      <m:nor/>
                    </m:rPr>
                    <w:rPr>
                      <w:i/>
                      <w:color w:val="000000" w:themeColor="text1"/>
                    </w:rPr>
                    <m:t>CK</m:t>
                  </m:r>
                </m:den>
              </m:f>
            </m:e>
          </m:d>
          <m:r>
            <w:rPr>
              <w:rFonts w:ascii="Cambria Math" w:hAnsi="Cambria Math"/>
              <w:lang w:val="en-US"/>
            </w:rPr>
            <m:t>⟹</m:t>
          </m:r>
          <m:borderBox>
            <m:borderBoxPr>
              <m:ctrlPr>
                <w:rPr>
                  <w:rFonts w:ascii="Cambria Math" w:hAnsi="Cambria Math"/>
                  <w:i/>
                  <w:iCs/>
                  <w:lang w:val="en-US"/>
                </w:rPr>
              </m:ctrlPr>
            </m:borderBoxPr>
            <m:e>
              <m:r>
                <m:rPr>
                  <m:nor/>
                </m:rPr>
                <w:rPr>
                  <w:i/>
                  <w:iCs/>
                </w:rPr>
                <m:t>CAP/NEC</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S</m:t>
                          </m:r>
                        </m:e>
                        <m:sub>
                          <m:r>
                            <m:rPr>
                              <m:nor/>
                            </m:rPr>
                            <w:rPr>
                              <w:i/>
                              <w:iCs/>
                            </w:rPr>
                            <m:t>NAC</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NAC</m:t>
                          </m:r>
                        </m:sub>
                      </m:sSub>
                    </m:e>
                  </m:groupChr>
                </m:e>
                <m:lim>
                  <m:r>
                    <m:rPr>
                      <m:nor/>
                    </m:rPr>
                    <w:rPr>
                      <w:i/>
                      <w:iCs/>
                    </w:rPr>
                    <m:t>CC</m:t>
                  </m:r>
                </m:lim>
              </m:limLow>
              <m:r>
                <w:rPr>
                  <w:rFonts w:ascii="Cambria Math" w:hAnsi="Cambria Math"/>
                </w:rPr>
                <m:t>+</m:t>
              </m:r>
              <m:r>
                <m:rPr>
                  <m:nor/>
                </m:rPr>
                <w:rPr>
                  <w:i/>
                  <w:iCs/>
                </w:rPr>
                <m:t>CK</m:t>
              </m:r>
            </m:e>
          </m:borderBox>
        </m:oMath>
      </m:oMathPara>
    </w:p>
  </w:footnote>
  <w:footnote w:id="8">
    <w:p w14:paraId="06272E9C" w14:textId="17B633B5" w:rsidR="00AA6024" w:rsidRDefault="00AA6024">
      <w:pPr>
        <w:pStyle w:val="Textonotapie"/>
      </w:pPr>
      <w:r>
        <w:rPr>
          <w:rStyle w:val="Refdenotaalpie"/>
        </w:rPr>
        <w:footnoteRef/>
      </w:r>
      <w:r>
        <w:t xml:space="preserve"> Aun así, debido al resto de factores, pese a las pérdidas de competitividad-precio relativas entre 2016 y 2018, las exportaciones han continuado creciendo.</w:t>
      </w:r>
    </w:p>
  </w:footnote>
  <w:footnote w:id="9">
    <w:p w14:paraId="4984DEC9" w14:textId="49412409" w:rsidR="00E414F4" w:rsidRDefault="00E414F4">
      <w:pPr>
        <w:pStyle w:val="Textonotapie"/>
      </w:pPr>
      <w:r>
        <w:rPr>
          <w:rStyle w:val="Refdenotaalpie"/>
        </w:rPr>
        <w:footnoteRef/>
      </w:r>
      <w:r>
        <w:t xml:space="preserve"> </w:t>
      </w:r>
      <w:hyperlink r:id="rId2" w:history="1">
        <w:r w:rsidRPr="001746FC">
          <w:rPr>
            <w:rStyle w:val="Hipervnculo"/>
          </w:rPr>
          <w:t>https://www.bde.es/f/webbe/SES/Secciones/Publicaciones/InformesBoletinesRevistas/BoletinEconomico/23/T2/Fich/be2302-art05.pdf</w:t>
        </w:r>
      </w:hyperlink>
    </w:p>
  </w:footnote>
  <w:footnote w:id="10">
    <w:p w14:paraId="36F7B923" w14:textId="77777777" w:rsidR="000C7982" w:rsidRDefault="000C7982" w:rsidP="000C7982">
      <w:pPr>
        <w:pStyle w:val="Textonotapie"/>
      </w:pPr>
      <w:r>
        <w:rPr>
          <w:rStyle w:val="Refdenotaalpie"/>
        </w:rPr>
        <w:footnoteRef/>
      </w:r>
      <w:r>
        <w:t xml:space="preserve"> Se produce una subida de los precios de la energía (de más del 58 %), efecto vinculado a las consecuencias de la invasión rusa de Ucrania, a la que se sumó la depreciación dl euro. Aunque en menor medida, también contribuyó al deterioro del saldo comercial de bienes energéticos el incremento del volumen de importaciones (del 23 %), influido por las consecuencias de la guerra en Ucrania, debido a las estrategias de almacenamiento y reexportación hacia otros países de la UE ante eventuales problemas de suministro.</w:t>
      </w:r>
    </w:p>
    <w:p w14:paraId="58863FC4" w14:textId="011620A0" w:rsidR="000C7982" w:rsidRDefault="000C7982" w:rsidP="000C7982">
      <w:pPr>
        <w:pStyle w:val="Textonotapie"/>
      </w:pPr>
      <w:r>
        <w:t>En este contexto, aunque las exportaciones energéticas españolas también aumentaron notablemente (más de un 80 % en términos nominales y un 25 % en volumen), el saldo energético en términos del PIB fue deficitario, se amplió en 1,9 pp respecto a 2021 y se situó en el 4,1 %.</w:t>
      </w:r>
    </w:p>
  </w:footnote>
  <w:footnote w:id="11">
    <w:p w14:paraId="326AA77F" w14:textId="77777777" w:rsidR="000C7982" w:rsidRDefault="000C7982" w:rsidP="000C7982">
      <w:pPr>
        <w:pStyle w:val="Textonotapie"/>
      </w:pPr>
      <w:r>
        <w:rPr>
          <w:rStyle w:val="Refdenotaalpie"/>
        </w:rPr>
        <w:footnoteRef/>
      </w:r>
      <w:r>
        <w:t xml:space="preserve"> El saldo comercial de bienes no energéticos también se deterioró, y pasó de registrar un superávit del 0,6 % en 2021 a ser deficitario en 2022 (−0,3 % del PIB), lo que reflejó un mayor crecimiento interanual de las importaciones (+23 %) que de las exportaciones (+18 %).</w:t>
      </w:r>
    </w:p>
    <w:p w14:paraId="40A88C87" w14:textId="316CBE9E" w:rsidR="000C7982" w:rsidRDefault="000C7982" w:rsidP="000C7982">
      <w:pPr>
        <w:pStyle w:val="Textonotapie"/>
      </w:pPr>
      <w:r>
        <w:t>A esta evolución contribuyeron la relajación de los cuellos de botella en el comercio internacional, la recuperación económica tras la pandemia y el deterioro de la relación real de intercambio. El crecimiento de las importaciones también se vio impulsado por la sustitución de la producción nacional de bienes que requieren un uso intensivo de energía por productos importados, así como por un efecto composición de la demanda hacia productos con mayor contenido importado.</w:t>
      </w:r>
    </w:p>
  </w:footnote>
  <w:footnote w:id="12">
    <w:p w14:paraId="28B41300" w14:textId="77777777" w:rsidR="001A0C8A" w:rsidRDefault="001A0C8A" w:rsidP="001A0C8A">
      <w:pPr>
        <w:pStyle w:val="Textonotapie"/>
      </w:pPr>
      <w:r>
        <w:rPr>
          <w:rStyle w:val="Refdenotaalpie"/>
        </w:rPr>
        <w:footnoteRef/>
      </w:r>
      <w:r>
        <w:t xml:space="preserve"> El nivel de ingresos por turismo recuperó los niveles prepandemia (a pesar de que el número de turistas no lo hizo) debido al incremento de los precios y a la entrada de turistas con una mayor capacidad de gasto.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5F94" w:rsidRPr="00C44422" w14:paraId="35564D2C"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7979425" w14:textId="41AA9592" w:rsidR="006C5F94" w:rsidRPr="006C5F94" w:rsidRDefault="006C5F94"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4.A.24</w:t>
              </w:r>
            </w:p>
          </w:tc>
        </w:sdtContent>
      </w:sdt>
      <w:tc>
        <w:tcPr>
          <w:tcW w:w="7088" w:type="dxa"/>
          <w:vAlign w:val="center"/>
        </w:tcPr>
        <w:sdt>
          <w:sdtPr>
            <w:rPr>
              <w:i/>
              <w:iCs/>
              <w:color w:val="5F2987"/>
              <w:spacing w:val="-2"/>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D1B144C" w14:textId="4293E370" w:rsidR="006C5F94" w:rsidRPr="00F47057" w:rsidRDefault="006C5F94" w:rsidP="00C80BBD">
              <w:pPr>
                <w:pStyle w:val="Encabezado"/>
                <w:spacing w:after="0"/>
                <w:ind w:right="-110"/>
                <w:contextualSpacing/>
                <w:jc w:val="center"/>
                <w:rPr>
                  <w:i/>
                  <w:iCs/>
                  <w:color w:val="5F2987"/>
                  <w:spacing w:val="-2"/>
                  <w:sz w:val="18"/>
                  <w:szCs w:val="18"/>
                  <w:lang w:val="es-ES"/>
                </w:rPr>
              </w:pPr>
              <w:r w:rsidRPr="00F47057">
                <w:rPr>
                  <w:i/>
                  <w:iCs/>
                  <w:color w:val="5F2987"/>
                  <w:spacing w:val="-2"/>
                  <w:sz w:val="18"/>
                  <w:szCs w:val="18"/>
                  <w:lang w:val="es-ES"/>
                </w:rPr>
                <w:t>Análisis de la evolución de la balanza de pagos española. La financiación de la economía española.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2E6A50B" w14:textId="70DB404E" w:rsidR="006C5F94" w:rsidRPr="00C44422" w:rsidRDefault="006C5F9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5F94" w:rsidRPr="00C44422" w14:paraId="3A3DD210" w14:textId="77777777" w:rsidTr="0078055F">
      <w:trPr>
        <w:trHeight w:val="136"/>
        <w:jc w:val="center"/>
      </w:trPr>
      <w:bookmarkStart w:id="80" w:name="_Hlk72149218" w:displacedByCustomXml="next"/>
      <w:sdt>
        <w:sdtPr>
          <w:rPr>
            <w:b/>
            <w:bCs/>
            <w:i/>
            <w:iCs/>
            <w:caps/>
            <w:color w:val="5F2987"/>
            <w:sz w:val="18"/>
            <w:szCs w:val="18"/>
          </w:rPr>
          <w:alias w:val="Title"/>
          <w:tag w:val=""/>
          <w:id w:val="789016608"/>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C7FD7C6" w14:textId="7534C75B" w:rsidR="006C5F94" w:rsidRPr="006C5F94" w:rsidRDefault="006C5F94"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4.A.24</w:t>
              </w:r>
            </w:p>
          </w:tc>
        </w:sdtContent>
      </w:sdt>
      <w:tc>
        <w:tcPr>
          <w:tcW w:w="7088" w:type="dxa"/>
          <w:vAlign w:val="center"/>
        </w:tcPr>
        <w:sdt>
          <w:sdtPr>
            <w:rPr>
              <w:i/>
              <w:iCs/>
              <w:color w:val="5F2987"/>
              <w:spacing w:val="-2"/>
              <w:sz w:val="18"/>
              <w:szCs w:val="18"/>
            </w:rPr>
            <w:alias w:val="Subject"/>
            <w:tag w:val=""/>
            <w:id w:val="-389887680"/>
            <w:dataBinding w:prefixMappings="xmlns:ns0='http://purl.org/dc/elements/1.1/' xmlns:ns1='http://schemas.openxmlformats.org/package/2006/metadata/core-properties' " w:xpath="/ns1:coreProperties[1]/ns0:subject[1]" w:storeItemID="{6C3C8BC8-F283-45AE-878A-BAB7291924A1}"/>
            <w:text/>
          </w:sdtPr>
          <w:sdtContent>
            <w:p w14:paraId="2F85BB25" w14:textId="6E667CB9" w:rsidR="006C5F94" w:rsidRPr="006C5F94" w:rsidRDefault="006C5F94" w:rsidP="00C80BBD">
              <w:pPr>
                <w:pStyle w:val="Encabezado"/>
                <w:spacing w:after="0"/>
                <w:ind w:right="-110"/>
                <w:contextualSpacing/>
                <w:jc w:val="center"/>
                <w:rPr>
                  <w:i/>
                  <w:iCs/>
                  <w:color w:val="5F2987"/>
                  <w:sz w:val="18"/>
                  <w:szCs w:val="18"/>
                  <w:lang w:val="es-ES"/>
                </w:rPr>
              </w:pPr>
              <w:r w:rsidRPr="00F47057">
                <w:rPr>
                  <w:i/>
                  <w:iCs/>
                  <w:color w:val="5F2987"/>
                  <w:spacing w:val="-2"/>
                  <w:sz w:val="18"/>
                  <w:szCs w:val="18"/>
                  <w:lang w:val="es-ES"/>
                </w:rPr>
                <w:t>Análisis de la evolución de la balanza de pagos española. La financiación de la economía española.</w:t>
              </w:r>
            </w:p>
          </w:sdtContent>
        </w:sdt>
      </w:tc>
      <w:sdt>
        <w:sdtPr>
          <w:rPr>
            <w:b/>
            <w:bCs/>
            <w:i/>
            <w:iCs/>
            <w:color w:val="5F2987"/>
            <w:spacing w:val="-6"/>
            <w:sz w:val="18"/>
            <w:szCs w:val="18"/>
          </w:rPr>
          <w:alias w:val="Author"/>
          <w:tag w:val=""/>
          <w:id w:val="10547791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86949B7" w14:textId="0207CF75" w:rsidR="006C5F94" w:rsidRPr="00C44422" w:rsidRDefault="006C5F94"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80"/>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6C5F94" w:rsidRPr="00BE1B62" w14:paraId="380878C4" w14:textId="77777777" w:rsidTr="006C5F94">
      <w:tc>
        <w:tcPr>
          <w:tcW w:w="3261" w:type="dxa"/>
          <w:tcBorders>
            <w:bottom w:val="thickThinSmallGap" w:sz="12" w:space="0" w:color="5F2987"/>
          </w:tcBorders>
        </w:tcPr>
        <w:p w14:paraId="3FDF3789" w14:textId="30EDF8BD" w:rsidR="006C5F94" w:rsidRPr="006C5F94" w:rsidRDefault="006C5F94" w:rsidP="00382937">
          <w:pPr>
            <w:pStyle w:val="Encabezado"/>
            <w:spacing w:after="0"/>
            <w:jc w:val="left"/>
            <w:rPr>
              <w:i/>
              <w:iCs/>
              <w:color w:val="5F2987"/>
              <w:spacing w:val="-6"/>
              <w:sz w:val="18"/>
              <w:szCs w:val="18"/>
              <w:lang w:val="es-ES"/>
            </w:rPr>
          </w:pPr>
          <w:r w:rsidRPr="006C5F94">
            <w:rPr>
              <w:i/>
              <w:iCs/>
              <w:color w:val="5F2987"/>
              <w:spacing w:val="-6"/>
              <w:sz w:val="14"/>
              <w:szCs w:val="14"/>
              <w:lang w:val="es-ES"/>
            </w:rPr>
            <w:t>Fecha de la última actualización:</w:t>
          </w:r>
          <w:r w:rsidRPr="006C5F94">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CD1EBB">
            <w:rPr>
              <w:i/>
              <w:iCs/>
              <w:noProof/>
              <w:color w:val="5F2987"/>
              <w:spacing w:val="-6"/>
              <w:sz w:val="18"/>
              <w:szCs w:val="18"/>
            </w:rPr>
            <w:t>23/09/2024</w:t>
          </w:r>
          <w:r>
            <w:rPr>
              <w:i/>
              <w:iCs/>
              <w:color w:val="5F2987"/>
              <w:spacing w:val="-6"/>
              <w:sz w:val="18"/>
              <w:szCs w:val="18"/>
            </w:rPr>
            <w:fldChar w:fldCharType="end"/>
          </w:r>
        </w:p>
      </w:tc>
      <w:tc>
        <w:tcPr>
          <w:tcW w:w="4819" w:type="dxa"/>
          <w:tcBorders>
            <w:bottom w:val="thickThinSmallGap" w:sz="12" w:space="0" w:color="5F2987"/>
          </w:tcBorders>
        </w:tcPr>
        <w:p w14:paraId="71626C31" w14:textId="77777777" w:rsidR="006C5F94" w:rsidRPr="006C5F94" w:rsidRDefault="006C5F94" w:rsidP="00382937">
          <w:pPr>
            <w:pStyle w:val="Encabezado"/>
            <w:spacing w:after="0"/>
            <w:jc w:val="center"/>
            <w:rPr>
              <w:i/>
              <w:iCs/>
              <w:color w:val="5F2987"/>
              <w:spacing w:val="-6"/>
              <w:sz w:val="18"/>
              <w:szCs w:val="18"/>
              <w:lang w:val="es-ES"/>
            </w:rPr>
          </w:pPr>
          <w:r w:rsidRPr="006C5F94">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4D3737A50D19458996970208D7F51B8C"/>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7DD8371" w14:textId="2CE2050C" w:rsidR="006C5F94" w:rsidRPr="006C5F94" w:rsidRDefault="006C5F94" w:rsidP="00382937">
              <w:pPr>
                <w:pStyle w:val="Encabezado"/>
                <w:spacing w:after="0"/>
                <w:jc w:val="right"/>
                <w:rPr>
                  <w:i/>
                  <w:iCs/>
                  <w:color w:val="5F2987"/>
                  <w:spacing w:val="-6"/>
                  <w:sz w:val="18"/>
                  <w:szCs w:val="18"/>
                  <w:lang w:val="es-ES"/>
                </w:rPr>
              </w:pPr>
              <w:r>
                <w:rPr>
                  <w:i/>
                  <w:iCs/>
                  <w:color w:val="5F2987"/>
                  <w:spacing w:val="-6"/>
                  <w:sz w:val="20"/>
                  <w:szCs w:val="20"/>
                  <w:lang w:val="es-ES"/>
                </w:rPr>
                <w:t>4.A.24</w:t>
              </w:r>
            </w:p>
          </w:tc>
        </w:sdtContent>
      </w:sdt>
    </w:tr>
  </w:tbl>
  <w:p w14:paraId="380DD491" w14:textId="77777777" w:rsidR="006C5F94" w:rsidRPr="00C80BBD" w:rsidRDefault="006C5F94"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057632A7"/>
    <w:multiLevelType w:val="hybridMultilevel"/>
    <w:tmpl w:val="583A083C"/>
    <w:lvl w:ilvl="0" w:tplc="F968A1F2">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12EA3D14"/>
    <w:multiLevelType w:val="hybridMultilevel"/>
    <w:tmpl w:val="EAE4B8C2"/>
    <w:lvl w:ilvl="0" w:tplc="F968A1F2">
      <w:start w:val="1"/>
      <w:numFmt w:val="decimal"/>
      <w:lvlText w:val="%1."/>
      <w:lvlJc w:val="left"/>
      <w:pPr>
        <w:tabs>
          <w:tab w:val="num" w:pos="1080"/>
        </w:tabs>
        <w:ind w:left="1080" w:hanging="360"/>
      </w:pPr>
      <w:rPr>
        <w:rFonts w:hint="default"/>
      </w:rPr>
    </w:lvl>
    <w:lvl w:ilvl="1" w:tplc="0C0A0003">
      <w:start w:val="1"/>
      <w:numFmt w:val="bullet"/>
      <w:lvlText w:val="o"/>
      <w:lvlJc w:val="left"/>
      <w:pPr>
        <w:tabs>
          <w:tab w:val="num" w:pos="1800"/>
        </w:tabs>
        <w:ind w:left="1800" w:hanging="360"/>
      </w:pPr>
      <w:rPr>
        <w:rFonts w:ascii="Courier New" w:hAnsi="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7484C4A"/>
    <w:multiLevelType w:val="hybridMultilevel"/>
    <w:tmpl w:val="6FA68F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B2479C7"/>
    <w:multiLevelType w:val="hybridMultilevel"/>
    <w:tmpl w:val="C72A4B5A"/>
    <w:lvl w:ilvl="0" w:tplc="4F0C0602">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BAD7101"/>
    <w:multiLevelType w:val="hybridMultilevel"/>
    <w:tmpl w:val="083AEB9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F4D7FB3"/>
    <w:multiLevelType w:val="hybridMultilevel"/>
    <w:tmpl w:val="957EAB66"/>
    <w:lvl w:ilvl="0" w:tplc="42D452FE">
      <w:start w:val="1"/>
      <w:numFmt w:val="lowerRoman"/>
      <w:lvlText w:val="%1)"/>
      <w:lvlJc w:val="right"/>
      <w:pPr>
        <w:ind w:left="720" w:hanging="360"/>
      </w:pPr>
      <w:rPr>
        <w:rFonts w:hint="default"/>
        <w:i/>
        <w:iCs/>
        <w:sz w:val="22"/>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1D05516"/>
    <w:multiLevelType w:val="hybridMultilevel"/>
    <w:tmpl w:val="ADC632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5C41073"/>
    <w:multiLevelType w:val="hybridMultilevel"/>
    <w:tmpl w:val="A39E6758"/>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2C1E4299"/>
    <w:multiLevelType w:val="hybridMultilevel"/>
    <w:tmpl w:val="4264734C"/>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2C6967C7"/>
    <w:multiLevelType w:val="hybridMultilevel"/>
    <w:tmpl w:val="CCDEEC6E"/>
    <w:lvl w:ilvl="0" w:tplc="B9B4BE4A">
      <w:start w:val="1"/>
      <w:numFmt w:val="lowerRoman"/>
      <w:lvlText w:val="%1)"/>
      <w:lvlJc w:val="right"/>
      <w:pPr>
        <w:ind w:left="720" w:hanging="360"/>
      </w:pPr>
      <w:rPr>
        <w:rFonts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79332DD"/>
    <w:multiLevelType w:val="hybridMultilevel"/>
    <w:tmpl w:val="8CAC33B2"/>
    <w:lvl w:ilvl="0" w:tplc="B7027464">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B8A4B95"/>
    <w:multiLevelType w:val="hybridMultilevel"/>
    <w:tmpl w:val="1602C34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A7C2F6C"/>
    <w:multiLevelType w:val="hybridMultilevel"/>
    <w:tmpl w:val="E4984DA6"/>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0FB7C1A"/>
    <w:multiLevelType w:val="multilevel"/>
    <w:tmpl w:val="0809001D"/>
    <w:numStyleLink w:val="Lista1"/>
  </w:abstractNum>
  <w:abstractNum w:abstractNumId="35" w15:restartNumberingAfterBreak="0">
    <w:nsid w:val="52055F66"/>
    <w:multiLevelType w:val="multilevel"/>
    <w:tmpl w:val="23A011B6"/>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90D773F"/>
    <w:multiLevelType w:val="hybridMultilevel"/>
    <w:tmpl w:val="7BBC76C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3">
      <w:start w:val="1"/>
      <w:numFmt w:val="bullet"/>
      <w:lvlText w:val="o"/>
      <w:lvlJc w:val="left"/>
      <w:pPr>
        <w:ind w:left="2160"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2"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8" w15:restartNumberingAfterBreak="0">
    <w:nsid w:val="7EEC68B7"/>
    <w:multiLevelType w:val="hybridMultilevel"/>
    <w:tmpl w:val="2DF0BCE0"/>
    <w:lvl w:ilvl="0" w:tplc="CB4A7EAC">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19468999">
    <w:abstractNumId w:val="23"/>
  </w:num>
  <w:num w:numId="2" w16cid:durableId="2092771648">
    <w:abstractNumId w:val="27"/>
  </w:num>
  <w:num w:numId="3" w16cid:durableId="863439311">
    <w:abstractNumId w:val="18"/>
  </w:num>
  <w:num w:numId="4" w16cid:durableId="1925872056">
    <w:abstractNumId w:val="13"/>
  </w:num>
  <w:num w:numId="5" w16cid:durableId="1831021392">
    <w:abstractNumId w:val="42"/>
  </w:num>
  <w:num w:numId="6" w16cid:durableId="1762556427">
    <w:abstractNumId w:val="10"/>
  </w:num>
  <w:num w:numId="7" w16cid:durableId="1466461567">
    <w:abstractNumId w:val="37"/>
  </w:num>
  <w:num w:numId="8" w16cid:durableId="1930308537">
    <w:abstractNumId w:val="22"/>
  </w:num>
  <w:num w:numId="9" w16cid:durableId="89814761">
    <w:abstractNumId w:val="48"/>
  </w:num>
  <w:num w:numId="10" w16cid:durableId="274990294">
    <w:abstractNumId w:val="18"/>
  </w:num>
  <w:num w:numId="11" w16cid:durableId="678506580">
    <w:abstractNumId w:val="31"/>
  </w:num>
  <w:num w:numId="12" w16cid:durableId="967973494">
    <w:abstractNumId w:val="11"/>
  </w:num>
  <w:num w:numId="13" w16cid:durableId="1279680885">
    <w:abstractNumId w:val="15"/>
  </w:num>
  <w:num w:numId="14" w16cid:durableId="978145264">
    <w:abstractNumId w:val="43"/>
  </w:num>
  <w:num w:numId="15" w16cid:durableId="1595899589">
    <w:abstractNumId w:val="14"/>
  </w:num>
  <w:num w:numId="16" w16cid:durableId="615256125">
    <w:abstractNumId w:val="44"/>
  </w:num>
  <w:num w:numId="17" w16cid:durableId="979070350">
    <w:abstractNumId w:val="47"/>
  </w:num>
  <w:num w:numId="18" w16cid:durableId="760026139">
    <w:abstractNumId w:val="46"/>
  </w:num>
  <w:num w:numId="19" w16cid:durableId="89282365">
    <w:abstractNumId w:val="24"/>
  </w:num>
  <w:num w:numId="20" w16cid:durableId="230234164">
    <w:abstractNumId w:val="38"/>
  </w:num>
  <w:num w:numId="21" w16cid:durableId="692267918">
    <w:abstractNumId w:val="25"/>
  </w:num>
  <w:num w:numId="22" w16cid:durableId="549607319">
    <w:abstractNumId w:val="34"/>
  </w:num>
  <w:num w:numId="23" w16cid:durableId="295449735">
    <w:abstractNumId w:val="41"/>
  </w:num>
  <w:num w:numId="24" w16cid:durableId="1585412554">
    <w:abstractNumId w:val="26"/>
  </w:num>
  <w:num w:numId="25" w16cid:durableId="412553464">
    <w:abstractNumId w:val="9"/>
  </w:num>
  <w:num w:numId="26" w16cid:durableId="753356152">
    <w:abstractNumId w:val="7"/>
  </w:num>
  <w:num w:numId="27" w16cid:durableId="990980128">
    <w:abstractNumId w:val="6"/>
  </w:num>
  <w:num w:numId="28" w16cid:durableId="43138569">
    <w:abstractNumId w:val="5"/>
  </w:num>
  <w:num w:numId="29" w16cid:durableId="796728111">
    <w:abstractNumId w:val="4"/>
  </w:num>
  <w:num w:numId="30" w16cid:durableId="22413676">
    <w:abstractNumId w:val="8"/>
  </w:num>
  <w:num w:numId="31" w16cid:durableId="1100564163">
    <w:abstractNumId w:val="3"/>
  </w:num>
  <w:num w:numId="32" w16cid:durableId="1660688254">
    <w:abstractNumId w:val="2"/>
  </w:num>
  <w:num w:numId="33" w16cid:durableId="1612126046">
    <w:abstractNumId w:val="1"/>
  </w:num>
  <w:num w:numId="34" w16cid:durableId="779880887">
    <w:abstractNumId w:val="0"/>
  </w:num>
  <w:num w:numId="35" w16cid:durableId="1975405091">
    <w:abstractNumId w:val="45"/>
  </w:num>
  <w:num w:numId="36" w16cid:durableId="1549608414">
    <w:abstractNumId w:val="30"/>
  </w:num>
  <w:num w:numId="37" w16cid:durableId="1718049960">
    <w:abstractNumId w:val="32"/>
  </w:num>
  <w:num w:numId="38" w16cid:durableId="7665390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84796281">
    <w:abstractNumId w:val="36"/>
  </w:num>
  <w:num w:numId="40" w16cid:durableId="2085954037">
    <w:abstractNumId w:val="12"/>
  </w:num>
  <w:num w:numId="41" w16cid:durableId="1978758256">
    <w:abstractNumId w:val="17"/>
  </w:num>
  <w:num w:numId="42" w16cid:durableId="729812098">
    <w:abstractNumId w:val="39"/>
  </w:num>
  <w:num w:numId="43" w16cid:durableId="644773856">
    <w:abstractNumId w:val="19"/>
  </w:num>
  <w:num w:numId="44" w16cid:durableId="1737319661">
    <w:abstractNumId w:val="20"/>
  </w:num>
  <w:num w:numId="45" w16cid:durableId="110907811">
    <w:abstractNumId w:val="28"/>
  </w:num>
  <w:num w:numId="46" w16cid:durableId="639312710">
    <w:abstractNumId w:val="29"/>
  </w:num>
  <w:num w:numId="47" w16cid:durableId="585309567">
    <w:abstractNumId w:val="35"/>
  </w:num>
  <w:num w:numId="48" w16cid:durableId="193427001">
    <w:abstractNumId w:val="33"/>
  </w:num>
  <w:num w:numId="49" w16cid:durableId="725834381">
    <w:abstractNumId w:val="32"/>
    <w:lvlOverride w:ilvl="0">
      <w:startOverride w:val="1"/>
    </w:lvlOverride>
    <w:lvlOverride w:ilvl="1">
      <w:startOverride w:val="1"/>
    </w:lvlOverride>
  </w:num>
  <w:num w:numId="50" w16cid:durableId="813259895">
    <w:abstractNumId w:val="40"/>
  </w:num>
  <w:num w:numId="51" w16cid:durableId="659239689">
    <w:abstractNumId w:val="41"/>
    <w:lvlOverride w:ilvl="0">
      <w:startOverride w:val="1"/>
    </w:lvlOverride>
  </w:num>
  <w:num w:numId="52" w16cid:durableId="2049067252">
    <w:abstractNumId w:val="32"/>
    <w:lvlOverride w:ilvl="0">
      <w:startOverride w:val="2"/>
    </w:lvlOverride>
    <w:lvlOverride w:ilvl="1"/>
  </w:num>
  <w:num w:numId="53" w16cid:durableId="1185245001">
    <w:abstractNumId w:val="32"/>
    <w:lvlOverride w:ilvl="0">
      <w:startOverride w:val="2"/>
    </w:lvlOverride>
    <w:lvlOverride w:ilvl="1">
      <w:startOverride w:val="4"/>
    </w:lvlOverride>
    <w:lvlOverride w:ilvl="2"/>
  </w:num>
  <w:num w:numId="54" w16cid:durableId="1907258133">
    <w:abstractNumId w:val="32"/>
    <w:lvlOverride w:ilvl="0">
      <w:startOverride w:val="2"/>
    </w:lvlOverride>
    <w:lvlOverride w:ilvl="1">
      <w:startOverride w:val="5"/>
    </w:lvlOverride>
    <w:lvlOverride w:ilvl="2"/>
  </w:num>
  <w:num w:numId="55" w16cid:durableId="1632831143">
    <w:abstractNumId w:val="21"/>
  </w:num>
  <w:num w:numId="56" w16cid:durableId="8430104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807"/>
    <w:rsid w:val="00001448"/>
    <w:rsid w:val="0000166E"/>
    <w:rsid w:val="000016E3"/>
    <w:rsid w:val="00001E3D"/>
    <w:rsid w:val="00001F93"/>
    <w:rsid w:val="000023C4"/>
    <w:rsid w:val="00002A09"/>
    <w:rsid w:val="00002B76"/>
    <w:rsid w:val="00002E3A"/>
    <w:rsid w:val="00002EB6"/>
    <w:rsid w:val="000032B1"/>
    <w:rsid w:val="00003A25"/>
    <w:rsid w:val="000040EA"/>
    <w:rsid w:val="00004264"/>
    <w:rsid w:val="000044C6"/>
    <w:rsid w:val="00005161"/>
    <w:rsid w:val="000051EF"/>
    <w:rsid w:val="000053F9"/>
    <w:rsid w:val="00005501"/>
    <w:rsid w:val="00005F38"/>
    <w:rsid w:val="00005F55"/>
    <w:rsid w:val="00006470"/>
    <w:rsid w:val="0000663D"/>
    <w:rsid w:val="000066BD"/>
    <w:rsid w:val="000066C0"/>
    <w:rsid w:val="0000675F"/>
    <w:rsid w:val="0000696D"/>
    <w:rsid w:val="00006E30"/>
    <w:rsid w:val="000072C5"/>
    <w:rsid w:val="000073AA"/>
    <w:rsid w:val="000076AB"/>
    <w:rsid w:val="000076BF"/>
    <w:rsid w:val="000077E2"/>
    <w:rsid w:val="00007F0E"/>
    <w:rsid w:val="00010D0C"/>
    <w:rsid w:val="000110EF"/>
    <w:rsid w:val="00011356"/>
    <w:rsid w:val="000115D9"/>
    <w:rsid w:val="00011881"/>
    <w:rsid w:val="00012701"/>
    <w:rsid w:val="00012CD0"/>
    <w:rsid w:val="00013A71"/>
    <w:rsid w:val="00013BF9"/>
    <w:rsid w:val="0001470D"/>
    <w:rsid w:val="0001569A"/>
    <w:rsid w:val="000157F5"/>
    <w:rsid w:val="00015997"/>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4B1"/>
    <w:rsid w:val="00025A5C"/>
    <w:rsid w:val="00025C78"/>
    <w:rsid w:val="00025FF7"/>
    <w:rsid w:val="0002613E"/>
    <w:rsid w:val="00026E2C"/>
    <w:rsid w:val="000272EA"/>
    <w:rsid w:val="00027B20"/>
    <w:rsid w:val="00027D9E"/>
    <w:rsid w:val="00027DD5"/>
    <w:rsid w:val="00027DF3"/>
    <w:rsid w:val="00030BE9"/>
    <w:rsid w:val="0003115D"/>
    <w:rsid w:val="0003122B"/>
    <w:rsid w:val="000317B6"/>
    <w:rsid w:val="000319FC"/>
    <w:rsid w:val="00031D49"/>
    <w:rsid w:val="00031E30"/>
    <w:rsid w:val="000322BC"/>
    <w:rsid w:val="000329E8"/>
    <w:rsid w:val="00032AA1"/>
    <w:rsid w:val="00032AEA"/>
    <w:rsid w:val="00032E0F"/>
    <w:rsid w:val="00032EA1"/>
    <w:rsid w:val="00032EC1"/>
    <w:rsid w:val="00032ECC"/>
    <w:rsid w:val="0003313A"/>
    <w:rsid w:val="000335BC"/>
    <w:rsid w:val="000346B5"/>
    <w:rsid w:val="00034B4A"/>
    <w:rsid w:val="00036EAA"/>
    <w:rsid w:val="00036F2A"/>
    <w:rsid w:val="00037286"/>
    <w:rsid w:val="0003746A"/>
    <w:rsid w:val="000379B1"/>
    <w:rsid w:val="00037BA7"/>
    <w:rsid w:val="00040C13"/>
    <w:rsid w:val="000411AD"/>
    <w:rsid w:val="0004175F"/>
    <w:rsid w:val="000419AD"/>
    <w:rsid w:val="00041BFD"/>
    <w:rsid w:val="000421C1"/>
    <w:rsid w:val="00042321"/>
    <w:rsid w:val="000423AB"/>
    <w:rsid w:val="00042696"/>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2B2"/>
    <w:rsid w:val="00047596"/>
    <w:rsid w:val="000478BB"/>
    <w:rsid w:val="00047F74"/>
    <w:rsid w:val="0005073C"/>
    <w:rsid w:val="000508D3"/>
    <w:rsid w:val="00051268"/>
    <w:rsid w:val="000515EB"/>
    <w:rsid w:val="00052224"/>
    <w:rsid w:val="00052AD8"/>
    <w:rsid w:val="00052E5A"/>
    <w:rsid w:val="0005333B"/>
    <w:rsid w:val="00053393"/>
    <w:rsid w:val="00053B06"/>
    <w:rsid w:val="00053C54"/>
    <w:rsid w:val="00053CEF"/>
    <w:rsid w:val="000545A3"/>
    <w:rsid w:val="00054878"/>
    <w:rsid w:val="000549AD"/>
    <w:rsid w:val="00054CB3"/>
    <w:rsid w:val="0005513E"/>
    <w:rsid w:val="0005534A"/>
    <w:rsid w:val="00055A2B"/>
    <w:rsid w:val="00055C73"/>
    <w:rsid w:val="00056419"/>
    <w:rsid w:val="000567DF"/>
    <w:rsid w:val="0005681F"/>
    <w:rsid w:val="00056949"/>
    <w:rsid w:val="00056F79"/>
    <w:rsid w:val="000570D0"/>
    <w:rsid w:val="0005794D"/>
    <w:rsid w:val="00057B6E"/>
    <w:rsid w:val="000601B9"/>
    <w:rsid w:val="000603B8"/>
    <w:rsid w:val="00060B47"/>
    <w:rsid w:val="000612D3"/>
    <w:rsid w:val="00061379"/>
    <w:rsid w:val="00061865"/>
    <w:rsid w:val="0006187D"/>
    <w:rsid w:val="000621FB"/>
    <w:rsid w:val="00062584"/>
    <w:rsid w:val="00062667"/>
    <w:rsid w:val="00062B55"/>
    <w:rsid w:val="00063066"/>
    <w:rsid w:val="0006321F"/>
    <w:rsid w:val="00063852"/>
    <w:rsid w:val="00064985"/>
    <w:rsid w:val="000649BE"/>
    <w:rsid w:val="00064AA9"/>
    <w:rsid w:val="00065961"/>
    <w:rsid w:val="00065B51"/>
    <w:rsid w:val="00065D5E"/>
    <w:rsid w:val="00065F29"/>
    <w:rsid w:val="00066999"/>
    <w:rsid w:val="00066AD2"/>
    <w:rsid w:val="00066DB4"/>
    <w:rsid w:val="00066EA5"/>
    <w:rsid w:val="000675E4"/>
    <w:rsid w:val="0007015B"/>
    <w:rsid w:val="00070191"/>
    <w:rsid w:val="000705E3"/>
    <w:rsid w:val="00070AB1"/>
    <w:rsid w:val="00070C1B"/>
    <w:rsid w:val="0007141A"/>
    <w:rsid w:val="00071619"/>
    <w:rsid w:val="0007194A"/>
    <w:rsid w:val="00072504"/>
    <w:rsid w:val="0007259E"/>
    <w:rsid w:val="000725F5"/>
    <w:rsid w:val="000745FB"/>
    <w:rsid w:val="0007480F"/>
    <w:rsid w:val="00074AAF"/>
    <w:rsid w:val="0007508F"/>
    <w:rsid w:val="00075F3D"/>
    <w:rsid w:val="00076382"/>
    <w:rsid w:val="000764AD"/>
    <w:rsid w:val="000764DE"/>
    <w:rsid w:val="00076B08"/>
    <w:rsid w:val="0007702B"/>
    <w:rsid w:val="0007729D"/>
    <w:rsid w:val="00077DFE"/>
    <w:rsid w:val="00080842"/>
    <w:rsid w:val="00081701"/>
    <w:rsid w:val="00081B23"/>
    <w:rsid w:val="00082C9E"/>
    <w:rsid w:val="0008375E"/>
    <w:rsid w:val="000843C1"/>
    <w:rsid w:val="00084408"/>
    <w:rsid w:val="00085177"/>
    <w:rsid w:val="00085FC9"/>
    <w:rsid w:val="0008688A"/>
    <w:rsid w:val="00086893"/>
    <w:rsid w:val="00086A82"/>
    <w:rsid w:val="00087BA9"/>
    <w:rsid w:val="00090006"/>
    <w:rsid w:val="0009025A"/>
    <w:rsid w:val="00090517"/>
    <w:rsid w:val="00090C80"/>
    <w:rsid w:val="00091307"/>
    <w:rsid w:val="00091BDA"/>
    <w:rsid w:val="00091DC2"/>
    <w:rsid w:val="000927C7"/>
    <w:rsid w:val="000936FA"/>
    <w:rsid w:val="00093A77"/>
    <w:rsid w:val="00093C52"/>
    <w:rsid w:val="00094EAE"/>
    <w:rsid w:val="00094FE7"/>
    <w:rsid w:val="000954D2"/>
    <w:rsid w:val="00095F6E"/>
    <w:rsid w:val="00096069"/>
    <w:rsid w:val="00096521"/>
    <w:rsid w:val="000968C5"/>
    <w:rsid w:val="00096C51"/>
    <w:rsid w:val="00096DFA"/>
    <w:rsid w:val="0009707D"/>
    <w:rsid w:val="000974BE"/>
    <w:rsid w:val="00097610"/>
    <w:rsid w:val="00097953"/>
    <w:rsid w:val="000979F7"/>
    <w:rsid w:val="000A00F4"/>
    <w:rsid w:val="000A0126"/>
    <w:rsid w:val="000A0643"/>
    <w:rsid w:val="000A10F1"/>
    <w:rsid w:val="000A11D2"/>
    <w:rsid w:val="000A12DC"/>
    <w:rsid w:val="000A16CE"/>
    <w:rsid w:val="000A1D85"/>
    <w:rsid w:val="000A27FB"/>
    <w:rsid w:val="000A280C"/>
    <w:rsid w:val="000A2927"/>
    <w:rsid w:val="000A312B"/>
    <w:rsid w:val="000A3861"/>
    <w:rsid w:val="000A39AE"/>
    <w:rsid w:val="000A3C4D"/>
    <w:rsid w:val="000A3EEA"/>
    <w:rsid w:val="000A442B"/>
    <w:rsid w:val="000A454A"/>
    <w:rsid w:val="000A5531"/>
    <w:rsid w:val="000A554E"/>
    <w:rsid w:val="000A64F6"/>
    <w:rsid w:val="000A6519"/>
    <w:rsid w:val="000A6528"/>
    <w:rsid w:val="000A6D52"/>
    <w:rsid w:val="000A6DE8"/>
    <w:rsid w:val="000A6F27"/>
    <w:rsid w:val="000A6FA7"/>
    <w:rsid w:val="000A73E3"/>
    <w:rsid w:val="000A7DBE"/>
    <w:rsid w:val="000A7E52"/>
    <w:rsid w:val="000B0054"/>
    <w:rsid w:val="000B0096"/>
    <w:rsid w:val="000B0BAE"/>
    <w:rsid w:val="000B11F8"/>
    <w:rsid w:val="000B133D"/>
    <w:rsid w:val="000B15D8"/>
    <w:rsid w:val="000B19FF"/>
    <w:rsid w:val="000B1C3E"/>
    <w:rsid w:val="000B1D8F"/>
    <w:rsid w:val="000B1E8A"/>
    <w:rsid w:val="000B2526"/>
    <w:rsid w:val="000B292A"/>
    <w:rsid w:val="000B30E2"/>
    <w:rsid w:val="000B3B89"/>
    <w:rsid w:val="000B3C7C"/>
    <w:rsid w:val="000B41CD"/>
    <w:rsid w:val="000B4B3B"/>
    <w:rsid w:val="000B5B11"/>
    <w:rsid w:val="000B62EB"/>
    <w:rsid w:val="000B6476"/>
    <w:rsid w:val="000B69FA"/>
    <w:rsid w:val="000B6E45"/>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2867"/>
    <w:rsid w:val="000C2E2A"/>
    <w:rsid w:val="000C3D27"/>
    <w:rsid w:val="000C3DC2"/>
    <w:rsid w:val="000C3FA8"/>
    <w:rsid w:val="000C49F8"/>
    <w:rsid w:val="000C4B4C"/>
    <w:rsid w:val="000C4FD1"/>
    <w:rsid w:val="000C56EF"/>
    <w:rsid w:val="000C5F2A"/>
    <w:rsid w:val="000C675D"/>
    <w:rsid w:val="000C703F"/>
    <w:rsid w:val="000C762E"/>
    <w:rsid w:val="000C76CF"/>
    <w:rsid w:val="000C7982"/>
    <w:rsid w:val="000C7AB9"/>
    <w:rsid w:val="000D010B"/>
    <w:rsid w:val="000D0FDC"/>
    <w:rsid w:val="000D1552"/>
    <w:rsid w:val="000D1826"/>
    <w:rsid w:val="000D18D7"/>
    <w:rsid w:val="000D22F9"/>
    <w:rsid w:val="000D2489"/>
    <w:rsid w:val="000D2E97"/>
    <w:rsid w:val="000D324F"/>
    <w:rsid w:val="000D329E"/>
    <w:rsid w:val="000D3789"/>
    <w:rsid w:val="000D3843"/>
    <w:rsid w:val="000D3D54"/>
    <w:rsid w:val="000D4047"/>
    <w:rsid w:val="000D4E26"/>
    <w:rsid w:val="000D4F4A"/>
    <w:rsid w:val="000D50FF"/>
    <w:rsid w:val="000D5122"/>
    <w:rsid w:val="000D530C"/>
    <w:rsid w:val="000D5388"/>
    <w:rsid w:val="000D5511"/>
    <w:rsid w:val="000D5658"/>
    <w:rsid w:val="000D572D"/>
    <w:rsid w:val="000D6026"/>
    <w:rsid w:val="000D7260"/>
    <w:rsid w:val="000D73EE"/>
    <w:rsid w:val="000D79D9"/>
    <w:rsid w:val="000D7B09"/>
    <w:rsid w:val="000D7BCF"/>
    <w:rsid w:val="000D7FAC"/>
    <w:rsid w:val="000E0D36"/>
    <w:rsid w:val="000E1061"/>
    <w:rsid w:val="000E112F"/>
    <w:rsid w:val="000E1335"/>
    <w:rsid w:val="000E140A"/>
    <w:rsid w:val="000E144E"/>
    <w:rsid w:val="000E1573"/>
    <w:rsid w:val="000E15E4"/>
    <w:rsid w:val="000E1949"/>
    <w:rsid w:val="000E1A81"/>
    <w:rsid w:val="000E23AA"/>
    <w:rsid w:val="000E23EA"/>
    <w:rsid w:val="000E31C0"/>
    <w:rsid w:val="000E39AF"/>
    <w:rsid w:val="000E3E9D"/>
    <w:rsid w:val="000E47C9"/>
    <w:rsid w:val="000E48DC"/>
    <w:rsid w:val="000E49B1"/>
    <w:rsid w:val="000E537D"/>
    <w:rsid w:val="000E599F"/>
    <w:rsid w:val="000E5A0A"/>
    <w:rsid w:val="000E5A42"/>
    <w:rsid w:val="000E65E9"/>
    <w:rsid w:val="000E6621"/>
    <w:rsid w:val="000E6FA0"/>
    <w:rsid w:val="000E7029"/>
    <w:rsid w:val="000E70A6"/>
    <w:rsid w:val="000E7B38"/>
    <w:rsid w:val="000F05E1"/>
    <w:rsid w:val="000F085C"/>
    <w:rsid w:val="000F0914"/>
    <w:rsid w:val="000F09F2"/>
    <w:rsid w:val="000F0B43"/>
    <w:rsid w:val="000F12C9"/>
    <w:rsid w:val="000F12FD"/>
    <w:rsid w:val="000F1641"/>
    <w:rsid w:val="000F41A6"/>
    <w:rsid w:val="000F430C"/>
    <w:rsid w:val="000F51DA"/>
    <w:rsid w:val="000F5222"/>
    <w:rsid w:val="000F57A9"/>
    <w:rsid w:val="000F57CE"/>
    <w:rsid w:val="000F58E0"/>
    <w:rsid w:val="000F591C"/>
    <w:rsid w:val="000F595B"/>
    <w:rsid w:val="000F5E3F"/>
    <w:rsid w:val="000F5EA9"/>
    <w:rsid w:val="000F6025"/>
    <w:rsid w:val="000F6E15"/>
    <w:rsid w:val="000F7357"/>
    <w:rsid w:val="000F75ED"/>
    <w:rsid w:val="000F79E6"/>
    <w:rsid w:val="000F7F30"/>
    <w:rsid w:val="001002DD"/>
    <w:rsid w:val="00100DE1"/>
    <w:rsid w:val="00101138"/>
    <w:rsid w:val="00101768"/>
    <w:rsid w:val="00101A75"/>
    <w:rsid w:val="00101CA5"/>
    <w:rsid w:val="00101DEF"/>
    <w:rsid w:val="001025D7"/>
    <w:rsid w:val="001033DC"/>
    <w:rsid w:val="00103552"/>
    <w:rsid w:val="001039D3"/>
    <w:rsid w:val="00103C93"/>
    <w:rsid w:val="00103D94"/>
    <w:rsid w:val="00103FD3"/>
    <w:rsid w:val="001041FB"/>
    <w:rsid w:val="00104262"/>
    <w:rsid w:val="00104428"/>
    <w:rsid w:val="00104A2E"/>
    <w:rsid w:val="00104A41"/>
    <w:rsid w:val="00104F0A"/>
    <w:rsid w:val="001061BE"/>
    <w:rsid w:val="001062F1"/>
    <w:rsid w:val="00106401"/>
    <w:rsid w:val="00106B84"/>
    <w:rsid w:val="00106C24"/>
    <w:rsid w:val="0010759C"/>
    <w:rsid w:val="00107791"/>
    <w:rsid w:val="00107C93"/>
    <w:rsid w:val="001100D5"/>
    <w:rsid w:val="00110A50"/>
    <w:rsid w:val="00110C5E"/>
    <w:rsid w:val="00110FE6"/>
    <w:rsid w:val="0011118B"/>
    <w:rsid w:val="001111EE"/>
    <w:rsid w:val="00111CB1"/>
    <w:rsid w:val="00111F70"/>
    <w:rsid w:val="001123A7"/>
    <w:rsid w:val="00112A64"/>
    <w:rsid w:val="00113181"/>
    <w:rsid w:val="001138C0"/>
    <w:rsid w:val="001138F3"/>
    <w:rsid w:val="00113926"/>
    <w:rsid w:val="00113C92"/>
    <w:rsid w:val="00113EE8"/>
    <w:rsid w:val="00113F74"/>
    <w:rsid w:val="0011405A"/>
    <w:rsid w:val="0011408C"/>
    <w:rsid w:val="00114121"/>
    <w:rsid w:val="00114156"/>
    <w:rsid w:val="00114458"/>
    <w:rsid w:val="0011502D"/>
    <w:rsid w:val="001150C5"/>
    <w:rsid w:val="00115210"/>
    <w:rsid w:val="001152BD"/>
    <w:rsid w:val="00115FDC"/>
    <w:rsid w:val="001164CB"/>
    <w:rsid w:val="001168B8"/>
    <w:rsid w:val="00116B7B"/>
    <w:rsid w:val="001170B7"/>
    <w:rsid w:val="00117B8A"/>
    <w:rsid w:val="00117FAB"/>
    <w:rsid w:val="001204C9"/>
    <w:rsid w:val="001205E1"/>
    <w:rsid w:val="0012126B"/>
    <w:rsid w:val="00121369"/>
    <w:rsid w:val="00121B94"/>
    <w:rsid w:val="0012203C"/>
    <w:rsid w:val="001221B5"/>
    <w:rsid w:val="00122278"/>
    <w:rsid w:val="00122371"/>
    <w:rsid w:val="00122900"/>
    <w:rsid w:val="00122931"/>
    <w:rsid w:val="00122936"/>
    <w:rsid w:val="00123AF0"/>
    <w:rsid w:val="00124421"/>
    <w:rsid w:val="001244FF"/>
    <w:rsid w:val="001247FA"/>
    <w:rsid w:val="001249A5"/>
    <w:rsid w:val="001249B3"/>
    <w:rsid w:val="001249BE"/>
    <w:rsid w:val="00124E01"/>
    <w:rsid w:val="00125188"/>
    <w:rsid w:val="00125993"/>
    <w:rsid w:val="00125A75"/>
    <w:rsid w:val="00125B31"/>
    <w:rsid w:val="00125D43"/>
    <w:rsid w:val="00125D87"/>
    <w:rsid w:val="001260A9"/>
    <w:rsid w:val="001263B1"/>
    <w:rsid w:val="001269C5"/>
    <w:rsid w:val="00126A4C"/>
    <w:rsid w:val="00126B77"/>
    <w:rsid w:val="001274F1"/>
    <w:rsid w:val="0012792C"/>
    <w:rsid w:val="00127935"/>
    <w:rsid w:val="00127D1A"/>
    <w:rsid w:val="00127D7D"/>
    <w:rsid w:val="00127E2B"/>
    <w:rsid w:val="00130361"/>
    <w:rsid w:val="001306CD"/>
    <w:rsid w:val="00131138"/>
    <w:rsid w:val="001313B0"/>
    <w:rsid w:val="0013168E"/>
    <w:rsid w:val="00131782"/>
    <w:rsid w:val="00131D37"/>
    <w:rsid w:val="00131DCF"/>
    <w:rsid w:val="001320C8"/>
    <w:rsid w:val="00132378"/>
    <w:rsid w:val="001324E7"/>
    <w:rsid w:val="00132CA4"/>
    <w:rsid w:val="00133949"/>
    <w:rsid w:val="00133991"/>
    <w:rsid w:val="00133B56"/>
    <w:rsid w:val="00133D52"/>
    <w:rsid w:val="00133F37"/>
    <w:rsid w:val="00134704"/>
    <w:rsid w:val="00134944"/>
    <w:rsid w:val="00134A8E"/>
    <w:rsid w:val="00134E18"/>
    <w:rsid w:val="0013526D"/>
    <w:rsid w:val="001354B7"/>
    <w:rsid w:val="00135570"/>
    <w:rsid w:val="0013560A"/>
    <w:rsid w:val="00135622"/>
    <w:rsid w:val="001356E5"/>
    <w:rsid w:val="0013573A"/>
    <w:rsid w:val="0013632D"/>
    <w:rsid w:val="00136690"/>
    <w:rsid w:val="00136C70"/>
    <w:rsid w:val="001373DE"/>
    <w:rsid w:val="00137705"/>
    <w:rsid w:val="00137C0D"/>
    <w:rsid w:val="00141810"/>
    <w:rsid w:val="00141AE8"/>
    <w:rsid w:val="00142095"/>
    <w:rsid w:val="00142BF8"/>
    <w:rsid w:val="0014336D"/>
    <w:rsid w:val="001438DE"/>
    <w:rsid w:val="00143B41"/>
    <w:rsid w:val="00143F4A"/>
    <w:rsid w:val="00144545"/>
    <w:rsid w:val="0014462B"/>
    <w:rsid w:val="00144DAA"/>
    <w:rsid w:val="001451B9"/>
    <w:rsid w:val="0014577B"/>
    <w:rsid w:val="001459B6"/>
    <w:rsid w:val="00145BD6"/>
    <w:rsid w:val="001463EC"/>
    <w:rsid w:val="001467B0"/>
    <w:rsid w:val="001468F2"/>
    <w:rsid w:val="00146924"/>
    <w:rsid w:val="00146ACA"/>
    <w:rsid w:val="00146D04"/>
    <w:rsid w:val="00147934"/>
    <w:rsid w:val="00147EAD"/>
    <w:rsid w:val="00150090"/>
    <w:rsid w:val="00151742"/>
    <w:rsid w:val="0015199E"/>
    <w:rsid w:val="00151E95"/>
    <w:rsid w:val="00152780"/>
    <w:rsid w:val="00153316"/>
    <w:rsid w:val="0015419A"/>
    <w:rsid w:val="0015430F"/>
    <w:rsid w:val="001545D6"/>
    <w:rsid w:val="00154E47"/>
    <w:rsid w:val="00154EE3"/>
    <w:rsid w:val="00155144"/>
    <w:rsid w:val="00155472"/>
    <w:rsid w:val="001555E0"/>
    <w:rsid w:val="001558F1"/>
    <w:rsid w:val="00155B6D"/>
    <w:rsid w:val="00155D0A"/>
    <w:rsid w:val="00155EE2"/>
    <w:rsid w:val="00156641"/>
    <w:rsid w:val="0015664A"/>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A2E"/>
    <w:rsid w:val="00160BB1"/>
    <w:rsid w:val="00160CF7"/>
    <w:rsid w:val="00161146"/>
    <w:rsid w:val="0016177D"/>
    <w:rsid w:val="00161F76"/>
    <w:rsid w:val="001633DA"/>
    <w:rsid w:val="001637CC"/>
    <w:rsid w:val="001639C2"/>
    <w:rsid w:val="00163DDF"/>
    <w:rsid w:val="00163E43"/>
    <w:rsid w:val="00164977"/>
    <w:rsid w:val="00164C6B"/>
    <w:rsid w:val="00164D68"/>
    <w:rsid w:val="00164E25"/>
    <w:rsid w:val="00164F52"/>
    <w:rsid w:val="001650FE"/>
    <w:rsid w:val="00165223"/>
    <w:rsid w:val="00165EAD"/>
    <w:rsid w:val="00165EF2"/>
    <w:rsid w:val="00166877"/>
    <w:rsid w:val="00167CC4"/>
    <w:rsid w:val="00167DC8"/>
    <w:rsid w:val="00170321"/>
    <w:rsid w:val="001705BE"/>
    <w:rsid w:val="00171335"/>
    <w:rsid w:val="001714B6"/>
    <w:rsid w:val="00171FA8"/>
    <w:rsid w:val="00172068"/>
    <w:rsid w:val="001727E7"/>
    <w:rsid w:val="00173386"/>
    <w:rsid w:val="001735AA"/>
    <w:rsid w:val="0017386A"/>
    <w:rsid w:val="001738A9"/>
    <w:rsid w:val="00173968"/>
    <w:rsid w:val="00173D3A"/>
    <w:rsid w:val="0017427D"/>
    <w:rsid w:val="00174666"/>
    <w:rsid w:val="0017486E"/>
    <w:rsid w:val="00174A9E"/>
    <w:rsid w:val="001751AD"/>
    <w:rsid w:val="001757B8"/>
    <w:rsid w:val="00176A0F"/>
    <w:rsid w:val="0017709E"/>
    <w:rsid w:val="0017722C"/>
    <w:rsid w:val="00177664"/>
    <w:rsid w:val="0017771E"/>
    <w:rsid w:val="00177836"/>
    <w:rsid w:val="001778CD"/>
    <w:rsid w:val="00177A61"/>
    <w:rsid w:val="00177CC8"/>
    <w:rsid w:val="00177D42"/>
    <w:rsid w:val="0018013F"/>
    <w:rsid w:val="00180335"/>
    <w:rsid w:val="001817E7"/>
    <w:rsid w:val="00181C36"/>
    <w:rsid w:val="00182034"/>
    <w:rsid w:val="00182310"/>
    <w:rsid w:val="00182462"/>
    <w:rsid w:val="00182AFD"/>
    <w:rsid w:val="00182CAE"/>
    <w:rsid w:val="00182F6F"/>
    <w:rsid w:val="00183427"/>
    <w:rsid w:val="00184D75"/>
    <w:rsid w:val="00185151"/>
    <w:rsid w:val="0018589E"/>
    <w:rsid w:val="00185B9F"/>
    <w:rsid w:val="0018673F"/>
    <w:rsid w:val="0018728D"/>
    <w:rsid w:val="001878DE"/>
    <w:rsid w:val="00190397"/>
    <w:rsid w:val="00190D02"/>
    <w:rsid w:val="00190F33"/>
    <w:rsid w:val="0019127C"/>
    <w:rsid w:val="00191285"/>
    <w:rsid w:val="00191311"/>
    <w:rsid w:val="001913DF"/>
    <w:rsid w:val="00191492"/>
    <w:rsid w:val="001926B7"/>
    <w:rsid w:val="00192870"/>
    <w:rsid w:val="0019287E"/>
    <w:rsid w:val="001930F3"/>
    <w:rsid w:val="00193CB3"/>
    <w:rsid w:val="00193F15"/>
    <w:rsid w:val="00194EAD"/>
    <w:rsid w:val="001953E5"/>
    <w:rsid w:val="00195400"/>
    <w:rsid w:val="001958A6"/>
    <w:rsid w:val="00195B0D"/>
    <w:rsid w:val="00195F6D"/>
    <w:rsid w:val="00196044"/>
    <w:rsid w:val="00196147"/>
    <w:rsid w:val="001963D6"/>
    <w:rsid w:val="00196972"/>
    <w:rsid w:val="00196B4B"/>
    <w:rsid w:val="00196C5B"/>
    <w:rsid w:val="00197282"/>
    <w:rsid w:val="001A03F7"/>
    <w:rsid w:val="001A0631"/>
    <w:rsid w:val="001A06D9"/>
    <w:rsid w:val="001A09E4"/>
    <w:rsid w:val="001A0BA4"/>
    <w:rsid w:val="001A0C8A"/>
    <w:rsid w:val="001A0CAC"/>
    <w:rsid w:val="001A0FD0"/>
    <w:rsid w:val="001A1ABF"/>
    <w:rsid w:val="001A25CD"/>
    <w:rsid w:val="001A2639"/>
    <w:rsid w:val="001A2719"/>
    <w:rsid w:val="001A2890"/>
    <w:rsid w:val="001A354D"/>
    <w:rsid w:val="001A37B6"/>
    <w:rsid w:val="001A388D"/>
    <w:rsid w:val="001A39F3"/>
    <w:rsid w:val="001A45AD"/>
    <w:rsid w:val="001A4A02"/>
    <w:rsid w:val="001A4BB3"/>
    <w:rsid w:val="001A5B6C"/>
    <w:rsid w:val="001A5E4B"/>
    <w:rsid w:val="001A6380"/>
    <w:rsid w:val="001A6781"/>
    <w:rsid w:val="001A67F5"/>
    <w:rsid w:val="001A6C6C"/>
    <w:rsid w:val="001A6FAD"/>
    <w:rsid w:val="001A729F"/>
    <w:rsid w:val="001A7844"/>
    <w:rsid w:val="001A7895"/>
    <w:rsid w:val="001A7B4D"/>
    <w:rsid w:val="001A7EB0"/>
    <w:rsid w:val="001B074F"/>
    <w:rsid w:val="001B111A"/>
    <w:rsid w:val="001B15CC"/>
    <w:rsid w:val="001B16F4"/>
    <w:rsid w:val="001B1E01"/>
    <w:rsid w:val="001B1FF4"/>
    <w:rsid w:val="001B22E1"/>
    <w:rsid w:val="001B23B4"/>
    <w:rsid w:val="001B26CF"/>
    <w:rsid w:val="001B2AD5"/>
    <w:rsid w:val="001B2BA5"/>
    <w:rsid w:val="001B3038"/>
    <w:rsid w:val="001B3172"/>
    <w:rsid w:val="001B34E9"/>
    <w:rsid w:val="001B416B"/>
    <w:rsid w:val="001B4D08"/>
    <w:rsid w:val="001B4E25"/>
    <w:rsid w:val="001B4F6A"/>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23A"/>
    <w:rsid w:val="001C148A"/>
    <w:rsid w:val="001C17E9"/>
    <w:rsid w:val="001C18BE"/>
    <w:rsid w:val="001C1DC8"/>
    <w:rsid w:val="001C1F92"/>
    <w:rsid w:val="001C2236"/>
    <w:rsid w:val="001C2387"/>
    <w:rsid w:val="001C2A5B"/>
    <w:rsid w:val="001C2CAD"/>
    <w:rsid w:val="001C2EE4"/>
    <w:rsid w:val="001C3046"/>
    <w:rsid w:val="001C3ACE"/>
    <w:rsid w:val="001C3D0B"/>
    <w:rsid w:val="001C3D18"/>
    <w:rsid w:val="001C3DB7"/>
    <w:rsid w:val="001C4500"/>
    <w:rsid w:val="001C4953"/>
    <w:rsid w:val="001C4C26"/>
    <w:rsid w:val="001C4EA1"/>
    <w:rsid w:val="001C535E"/>
    <w:rsid w:val="001C6141"/>
    <w:rsid w:val="001C6951"/>
    <w:rsid w:val="001C7721"/>
    <w:rsid w:val="001C7E0C"/>
    <w:rsid w:val="001D1334"/>
    <w:rsid w:val="001D22E5"/>
    <w:rsid w:val="001D2AD9"/>
    <w:rsid w:val="001D2E0E"/>
    <w:rsid w:val="001D2EA1"/>
    <w:rsid w:val="001D391F"/>
    <w:rsid w:val="001D3C3D"/>
    <w:rsid w:val="001D3DEB"/>
    <w:rsid w:val="001D4096"/>
    <w:rsid w:val="001D4865"/>
    <w:rsid w:val="001D4E9B"/>
    <w:rsid w:val="001D559C"/>
    <w:rsid w:val="001D6930"/>
    <w:rsid w:val="001D6A97"/>
    <w:rsid w:val="001D6C3D"/>
    <w:rsid w:val="001D6EA3"/>
    <w:rsid w:val="001D73D5"/>
    <w:rsid w:val="001D75CC"/>
    <w:rsid w:val="001D7634"/>
    <w:rsid w:val="001E014D"/>
    <w:rsid w:val="001E0354"/>
    <w:rsid w:val="001E03FE"/>
    <w:rsid w:val="001E0479"/>
    <w:rsid w:val="001E065A"/>
    <w:rsid w:val="001E0910"/>
    <w:rsid w:val="001E0D4E"/>
    <w:rsid w:val="001E11BE"/>
    <w:rsid w:val="001E11FF"/>
    <w:rsid w:val="001E12E2"/>
    <w:rsid w:val="001E14A2"/>
    <w:rsid w:val="001E1A52"/>
    <w:rsid w:val="001E1DA3"/>
    <w:rsid w:val="001E2164"/>
    <w:rsid w:val="001E243F"/>
    <w:rsid w:val="001E3D44"/>
    <w:rsid w:val="001E3ED4"/>
    <w:rsid w:val="001E4897"/>
    <w:rsid w:val="001E5634"/>
    <w:rsid w:val="001E5BBB"/>
    <w:rsid w:val="001E603D"/>
    <w:rsid w:val="001E6095"/>
    <w:rsid w:val="001E65E6"/>
    <w:rsid w:val="001E68C5"/>
    <w:rsid w:val="001E6E7B"/>
    <w:rsid w:val="001E7465"/>
    <w:rsid w:val="001E7791"/>
    <w:rsid w:val="001E798B"/>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3893"/>
    <w:rsid w:val="001F3D8A"/>
    <w:rsid w:val="001F4323"/>
    <w:rsid w:val="001F4573"/>
    <w:rsid w:val="001F4889"/>
    <w:rsid w:val="001F4DDF"/>
    <w:rsid w:val="001F5178"/>
    <w:rsid w:val="001F525A"/>
    <w:rsid w:val="001F5592"/>
    <w:rsid w:val="001F57D9"/>
    <w:rsid w:val="001F5B49"/>
    <w:rsid w:val="001F5C43"/>
    <w:rsid w:val="001F5F42"/>
    <w:rsid w:val="001F6399"/>
    <w:rsid w:val="001F63C6"/>
    <w:rsid w:val="001F716E"/>
    <w:rsid w:val="001F737C"/>
    <w:rsid w:val="001F73CB"/>
    <w:rsid w:val="001F7856"/>
    <w:rsid w:val="001F7896"/>
    <w:rsid w:val="0020044B"/>
    <w:rsid w:val="002004F7"/>
    <w:rsid w:val="0020072C"/>
    <w:rsid w:val="00200B0E"/>
    <w:rsid w:val="00200C78"/>
    <w:rsid w:val="00200DE2"/>
    <w:rsid w:val="00200E22"/>
    <w:rsid w:val="00200EFE"/>
    <w:rsid w:val="002011D7"/>
    <w:rsid w:val="00201526"/>
    <w:rsid w:val="002015C1"/>
    <w:rsid w:val="002015F2"/>
    <w:rsid w:val="002017A6"/>
    <w:rsid w:val="0020182E"/>
    <w:rsid w:val="00201E27"/>
    <w:rsid w:val="002022B2"/>
    <w:rsid w:val="00202384"/>
    <w:rsid w:val="00202B5D"/>
    <w:rsid w:val="00202FE3"/>
    <w:rsid w:val="0020322D"/>
    <w:rsid w:val="002032BD"/>
    <w:rsid w:val="002035BB"/>
    <w:rsid w:val="00203AAD"/>
    <w:rsid w:val="00203DDD"/>
    <w:rsid w:val="00203E2F"/>
    <w:rsid w:val="00203F2D"/>
    <w:rsid w:val="00203F81"/>
    <w:rsid w:val="002042F4"/>
    <w:rsid w:val="00204948"/>
    <w:rsid w:val="00204BCA"/>
    <w:rsid w:val="00204E5D"/>
    <w:rsid w:val="00205221"/>
    <w:rsid w:val="00205552"/>
    <w:rsid w:val="0020598B"/>
    <w:rsid w:val="00206587"/>
    <w:rsid w:val="00206A8B"/>
    <w:rsid w:val="00207B84"/>
    <w:rsid w:val="002103E5"/>
    <w:rsid w:val="00210B62"/>
    <w:rsid w:val="00211E9D"/>
    <w:rsid w:val="00211F87"/>
    <w:rsid w:val="00212224"/>
    <w:rsid w:val="002129EF"/>
    <w:rsid w:val="00213444"/>
    <w:rsid w:val="0021349C"/>
    <w:rsid w:val="0021352E"/>
    <w:rsid w:val="00213604"/>
    <w:rsid w:val="00213661"/>
    <w:rsid w:val="00213694"/>
    <w:rsid w:val="00213A95"/>
    <w:rsid w:val="00213C4E"/>
    <w:rsid w:val="00214595"/>
    <w:rsid w:val="00214ABD"/>
    <w:rsid w:val="00214BD2"/>
    <w:rsid w:val="00214D29"/>
    <w:rsid w:val="00214E4A"/>
    <w:rsid w:val="002152D7"/>
    <w:rsid w:val="002152E7"/>
    <w:rsid w:val="0021557F"/>
    <w:rsid w:val="00215757"/>
    <w:rsid w:val="00215AA6"/>
    <w:rsid w:val="00215CAF"/>
    <w:rsid w:val="00215DD8"/>
    <w:rsid w:val="00216075"/>
    <w:rsid w:val="0021631D"/>
    <w:rsid w:val="002165E0"/>
    <w:rsid w:val="002166BF"/>
    <w:rsid w:val="00216792"/>
    <w:rsid w:val="0021696D"/>
    <w:rsid w:val="00216AEA"/>
    <w:rsid w:val="00217336"/>
    <w:rsid w:val="0021737E"/>
    <w:rsid w:val="00217583"/>
    <w:rsid w:val="00217C4A"/>
    <w:rsid w:val="00217DFD"/>
    <w:rsid w:val="002202ED"/>
    <w:rsid w:val="002204FC"/>
    <w:rsid w:val="00220558"/>
    <w:rsid w:val="0022093F"/>
    <w:rsid w:val="00221390"/>
    <w:rsid w:val="0022185E"/>
    <w:rsid w:val="00221E5A"/>
    <w:rsid w:val="00222140"/>
    <w:rsid w:val="002221E3"/>
    <w:rsid w:val="002226D7"/>
    <w:rsid w:val="00222879"/>
    <w:rsid w:val="00223852"/>
    <w:rsid w:val="00223940"/>
    <w:rsid w:val="00224451"/>
    <w:rsid w:val="00225A4A"/>
    <w:rsid w:val="00226A1A"/>
    <w:rsid w:val="00226D92"/>
    <w:rsid w:val="0022753A"/>
    <w:rsid w:val="00227788"/>
    <w:rsid w:val="0022784E"/>
    <w:rsid w:val="00227A67"/>
    <w:rsid w:val="00227CEB"/>
    <w:rsid w:val="00227E35"/>
    <w:rsid w:val="00227F49"/>
    <w:rsid w:val="0023012F"/>
    <w:rsid w:val="0023047B"/>
    <w:rsid w:val="0023064E"/>
    <w:rsid w:val="0023072F"/>
    <w:rsid w:val="0023073A"/>
    <w:rsid w:val="00230A96"/>
    <w:rsid w:val="002310E7"/>
    <w:rsid w:val="00231ECF"/>
    <w:rsid w:val="00231F63"/>
    <w:rsid w:val="00232273"/>
    <w:rsid w:val="002325D0"/>
    <w:rsid w:val="00232977"/>
    <w:rsid w:val="0023328C"/>
    <w:rsid w:val="002334F9"/>
    <w:rsid w:val="00233538"/>
    <w:rsid w:val="00233CC7"/>
    <w:rsid w:val="00233FF0"/>
    <w:rsid w:val="002342A6"/>
    <w:rsid w:val="00234361"/>
    <w:rsid w:val="00234569"/>
    <w:rsid w:val="00235429"/>
    <w:rsid w:val="002355CF"/>
    <w:rsid w:val="00235884"/>
    <w:rsid w:val="00236081"/>
    <w:rsid w:val="002366E4"/>
    <w:rsid w:val="00236D8B"/>
    <w:rsid w:val="00236ED0"/>
    <w:rsid w:val="00237369"/>
    <w:rsid w:val="002373A2"/>
    <w:rsid w:val="00237599"/>
    <w:rsid w:val="0023792E"/>
    <w:rsid w:val="00237A1C"/>
    <w:rsid w:val="002401C4"/>
    <w:rsid w:val="00240471"/>
    <w:rsid w:val="002411AB"/>
    <w:rsid w:val="00241F60"/>
    <w:rsid w:val="00242152"/>
    <w:rsid w:val="0024217B"/>
    <w:rsid w:val="002422A9"/>
    <w:rsid w:val="00242F49"/>
    <w:rsid w:val="00242F80"/>
    <w:rsid w:val="0024324F"/>
    <w:rsid w:val="002436C1"/>
    <w:rsid w:val="002437DE"/>
    <w:rsid w:val="00243B69"/>
    <w:rsid w:val="00243EAE"/>
    <w:rsid w:val="0024415A"/>
    <w:rsid w:val="0024502B"/>
    <w:rsid w:val="002450CD"/>
    <w:rsid w:val="002455EA"/>
    <w:rsid w:val="00245669"/>
    <w:rsid w:val="00245BE4"/>
    <w:rsid w:val="002460FB"/>
    <w:rsid w:val="00247220"/>
    <w:rsid w:val="0024728D"/>
    <w:rsid w:val="00247A28"/>
    <w:rsid w:val="00247C23"/>
    <w:rsid w:val="00250B87"/>
    <w:rsid w:val="00250EF6"/>
    <w:rsid w:val="0025135D"/>
    <w:rsid w:val="002513D1"/>
    <w:rsid w:val="0025205A"/>
    <w:rsid w:val="0025207F"/>
    <w:rsid w:val="00252362"/>
    <w:rsid w:val="00253F2E"/>
    <w:rsid w:val="0025411D"/>
    <w:rsid w:val="002542B0"/>
    <w:rsid w:val="00254A2E"/>
    <w:rsid w:val="00255325"/>
    <w:rsid w:val="00255AD9"/>
    <w:rsid w:val="00255BDA"/>
    <w:rsid w:val="00255F86"/>
    <w:rsid w:val="002562DB"/>
    <w:rsid w:val="00256D5F"/>
    <w:rsid w:val="00256E4B"/>
    <w:rsid w:val="00257085"/>
    <w:rsid w:val="00257D54"/>
    <w:rsid w:val="00257F09"/>
    <w:rsid w:val="00260022"/>
    <w:rsid w:val="002600A5"/>
    <w:rsid w:val="002606E7"/>
    <w:rsid w:val="0026094A"/>
    <w:rsid w:val="0026124E"/>
    <w:rsid w:val="00261919"/>
    <w:rsid w:val="00261A24"/>
    <w:rsid w:val="00261DF2"/>
    <w:rsid w:val="0026300C"/>
    <w:rsid w:val="002635F6"/>
    <w:rsid w:val="00263C3D"/>
    <w:rsid w:val="00264633"/>
    <w:rsid w:val="00264942"/>
    <w:rsid w:val="00264CB8"/>
    <w:rsid w:val="00264F4B"/>
    <w:rsid w:val="00265E3F"/>
    <w:rsid w:val="0026611F"/>
    <w:rsid w:val="002664EC"/>
    <w:rsid w:val="002666DB"/>
    <w:rsid w:val="00266A7E"/>
    <w:rsid w:val="00266C46"/>
    <w:rsid w:val="002671E8"/>
    <w:rsid w:val="00267369"/>
    <w:rsid w:val="00267E3F"/>
    <w:rsid w:val="00270597"/>
    <w:rsid w:val="00270602"/>
    <w:rsid w:val="002709BD"/>
    <w:rsid w:val="00270B9F"/>
    <w:rsid w:val="00270FAD"/>
    <w:rsid w:val="00271306"/>
    <w:rsid w:val="00271777"/>
    <w:rsid w:val="002717E7"/>
    <w:rsid w:val="00271E4F"/>
    <w:rsid w:val="002720CC"/>
    <w:rsid w:val="00272AD7"/>
    <w:rsid w:val="00272BB8"/>
    <w:rsid w:val="002730E8"/>
    <w:rsid w:val="002733B8"/>
    <w:rsid w:val="00273840"/>
    <w:rsid w:val="00273BCD"/>
    <w:rsid w:val="00273F89"/>
    <w:rsid w:val="0027423C"/>
    <w:rsid w:val="002753A9"/>
    <w:rsid w:val="00275844"/>
    <w:rsid w:val="00275B38"/>
    <w:rsid w:val="00275C40"/>
    <w:rsid w:val="00275DAE"/>
    <w:rsid w:val="00275EEB"/>
    <w:rsid w:val="00275F17"/>
    <w:rsid w:val="002761D4"/>
    <w:rsid w:val="0027631D"/>
    <w:rsid w:val="0027685F"/>
    <w:rsid w:val="00276A31"/>
    <w:rsid w:val="00276FB3"/>
    <w:rsid w:val="0027735D"/>
    <w:rsid w:val="00277B20"/>
    <w:rsid w:val="00277BC3"/>
    <w:rsid w:val="0028039A"/>
    <w:rsid w:val="00281016"/>
    <w:rsid w:val="002813C7"/>
    <w:rsid w:val="00281DBD"/>
    <w:rsid w:val="002820A0"/>
    <w:rsid w:val="00282485"/>
    <w:rsid w:val="00282575"/>
    <w:rsid w:val="002829DB"/>
    <w:rsid w:val="00282F5B"/>
    <w:rsid w:val="00283057"/>
    <w:rsid w:val="00283388"/>
    <w:rsid w:val="00283B9C"/>
    <w:rsid w:val="00283EAB"/>
    <w:rsid w:val="002845C9"/>
    <w:rsid w:val="00284CA2"/>
    <w:rsid w:val="00284D9F"/>
    <w:rsid w:val="00284F63"/>
    <w:rsid w:val="002850CA"/>
    <w:rsid w:val="002851AA"/>
    <w:rsid w:val="002855C3"/>
    <w:rsid w:val="002855CF"/>
    <w:rsid w:val="00285B27"/>
    <w:rsid w:val="00287C0D"/>
    <w:rsid w:val="002900F8"/>
    <w:rsid w:val="00291208"/>
    <w:rsid w:val="00291B4B"/>
    <w:rsid w:val="00291DD0"/>
    <w:rsid w:val="00291E53"/>
    <w:rsid w:val="00291EE3"/>
    <w:rsid w:val="00292021"/>
    <w:rsid w:val="002921C7"/>
    <w:rsid w:val="002927FF"/>
    <w:rsid w:val="0029284A"/>
    <w:rsid w:val="0029285F"/>
    <w:rsid w:val="00292C24"/>
    <w:rsid w:val="00293D85"/>
    <w:rsid w:val="00293F8E"/>
    <w:rsid w:val="0029439A"/>
    <w:rsid w:val="002945F2"/>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28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9D"/>
    <w:rsid w:val="002A4195"/>
    <w:rsid w:val="002A4383"/>
    <w:rsid w:val="002A4CD3"/>
    <w:rsid w:val="002A590B"/>
    <w:rsid w:val="002A5D72"/>
    <w:rsid w:val="002A5FC3"/>
    <w:rsid w:val="002A5FEA"/>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4B4"/>
    <w:rsid w:val="002B14F0"/>
    <w:rsid w:val="002B1D02"/>
    <w:rsid w:val="002B1D31"/>
    <w:rsid w:val="002B2072"/>
    <w:rsid w:val="002B2111"/>
    <w:rsid w:val="002B404A"/>
    <w:rsid w:val="002B435A"/>
    <w:rsid w:val="002B46EF"/>
    <w:rsid w:val="002B50AE"/>
    <w:rsid w:val="002B5CFE"/>
    <w:rsid w:val="002B601D"/>
    <w:rsid w:val="002B652F"/>
    <w:rsid w:val="002B668A"/>
    <w:rsid w:val="002B6878"/>
    <w:rsid w:val="002B6BE4"/>
    <w:rsid w:val="002B6EBC"/>
    <w:rsid w:val="002B6F45"/>
    <w:rsid w:val="002B7158"/>
    <w:rsid w:val="002B74B5"/>
    <w:rsid w:val="002B7700"/>
    <w:rsid w:val="002B79A4"/>
    <w:rsid w:val="002B7F4E"/>
    <w:rsid w:val="002C04D4"/>
    <w:rsid w:val="002C1334"/>
    <w:rsid w:val="002C151D"/>
    <w:rsid w:val="002C1559"/>
    <w:rsid w:val="002C159B"/>
    <w:rsid w:val="002C1C28"/>
    <w:rsid w:val="002C1F2F"/>
    <w:rsid w:val="002C22D0"/>
    <w:rsid w:val="002C2BC0"/>
    <w:rsid w:val="002C2E9C"/>
    <w:rsid w:val="002C2F29"/>
    <w:rsid w:val="002C3060"/>
    <w:rsid w:val="002C3111"/>
    <w:rsid w:val="002C355C"/>
    <w:rsid w:val="002C3A97"/>
    <w:rsid w:val="002C3AB9"/>
    <w:rsid w:val="002C3DFA"/>
    <w:rsid w:val="002C4181"/>
    <w:rsid w:val="002C41D5"/>
    <w:rsid w:val="002C4352"/>
    <w:rsid w:val="002C47CF"/>
    <w:rsid w:val="002C49FF"/>
    <w:rsid w:val="002C537C"/>
    <w:rsid w:val="002C5791"/>
    <w:rsid w:val="002C58B1"/>
    <w:rsid w:val="002C59F1"/>
    <w:rsid w:val="002C60D1"/>
    <w:rsid w:val="002C6DD9"/>
    <w:rsid w:val="002C6E92"/>
    <w:rsid w:val="002C79BB"/>
    <w:rsid w:val="002D012B"/>
    <w:rsid w:val="002D04C1"/>
    <w:rsid w:val="002D074D"/>
    <w:rsid w:val="002D0D0E"/>
    <w:rsid w:val="002D0F55"/>
    <w:rsid w:val="002D0F97"/>
    <w:rsid w:val="002D1943"/>
    <w:rsid w:val="002D1A73"/>
    <w:rsid w:val="002D1B88"/>
    <w:rsid w:val="002D2871"/>
    <w:rsid w:val="002D2937"/>
    <w:rsid w:val="002D2F39"/>
    <w:rsid w:val="002D3151"/>
    <w:rsid w:val="002D35FE"/>
    <w:rsid w:val="002D3700"/>
    <w:rsid w:val="002D3C97"/>
    <w:rsid w:val="002D3F74"/>
    <w:rsid w:val="002D41CF"/>
    <w:rsid w:val="002D4F5E"/>
    <w:rsid w:val="002D6445"/>
    <w:rsid w:val="002D65ED"/>
    <w:rsid w:val="002D67F9"/>
    <w:rsid w:val="002D694D"/>
    <w:rsid w:val="002D6D64"/>
    <w:rsid w:val="002D6FBA"/>
    <w:rsid w:val="002D704B"/>
    <w:rsid w:val="002D7650"/>
    <w:rsid w:val="002D7DB7"/>
    <w:rsid w:val="002D7DEC"/>
    <w:rsid w:val="002E02FF"/>
    <w:rsid w:val="002E0509"/>
    <w:rsid w:val="002E0C5D"/>
    <w:rsid w:val="002E144D"/>
    <w:rsid w:val="002E1545"/>
    <w:rsid w:val="002E1E46"/>
    <w:rsid w:val="002E22E9"/>
    <w:rsid w:val="002E28A5"/>
    <w:rsid w:val="002E2BA7"/>
    <w:rsid w:val="002E2CA5"/>
    <w:rsid w:val="002E35A7"/>
    <w:rsid w:val="002E3857"/>
    <w:rsid w:val="002E3B09"/>
    <w:rsid w:val="002E3F29"/>
    <w:rsid w:val="002E4529"/>
    <w:rsid w:val="002E4698"/>
    <w:rsid w:val="002E4952"/>
    <w:rsid w:val="002E51A2"/>
    <w:rsid w:val="002E5CDA"/>
    <w:rsid w:val="002E60C7"/>
    <w:rsid w:val="002E622D"/>
    <w:rsid w:val="002E6641"/>
    <w:rsid w:val="002E66A6"/>
    <w:rsid w:val="002E6702"/>
    <w:rsid w:val="002E6A02"/>
    <w:rsid w:val="002E6B49"/>
    <w:rsid w:val="002E7189"/>
    <w:rsid w:val="002E75D8"/>
    <w:rsid w:val="002E7600"/>
    <w:rsid w:val="002E7815"/>
    <w:rsid w:val="002F0DC1"/>
    <w:rsid w:val="002F13B1"/>
    <w:rsid w:val="002F1556"/>
    <w:rsid w:val="002F1700"/>
    <w:rsid w:val="002F184D"/>
    <w:rsid w:val="002F1CA7"/>
    <w:rsid w:val="002F22D6"/>
    <w:rsid w:val="002F2459"/>
    <w:rsid w:val="002F2F23"/>
    <w:rsid w:val="002F2F49"/>
    <w:rsid w:val="002F3188"/>
    <w:rsid w:val="002F3B14"/>
    <w:rsid w:val="002F404C"/>
    <w:rsid w:val="002F414F"/>
    <w:rsid w:val="002F4AD0"/>
    <w:rsid w:val="002F4BC0"/>
    <w:rsid w:val="002F4C9D"/>
    <w:rsid w:val="002F4F33"/>
    <w:rsid w:val="002F594E"/>
    <w:rsid w:val="002F59F8"/>
    <w:rsid w:val="002F5F22"/>
    <w:rsid w:val="002F6BB4"/>
    <w:rsid w:val="002F6F47"/>
    <w:rsid w:val="002F728D"/>
    <w:rsid w:val="002F7760"/>
    <w:rsid w:val="002F77A2"/>
    <w:rsid w:val="002F7C05"/>
    <w:rsid w:val="003003D4"/>
    <w:rsid w:val="00300EF3"/>
    <w:rsid w:val="00301345"/>
    <w:rsid w:val="00301677"/>
    <w:rsid w:val="003017D1"/>
    <w:rsid w:val="003019C7"/>
    <w:rsid w:val="00301C50"/>
    <w:rsid w:val="00301C76"/>
    <w:rsid w:val="0030204F"/>
    <w:rsid w:val="003024A3"/>
    <w:rsid w:val="003026D6"/>
    <w:rsid w:val="003033DF"/>
    <w:rsid w:val="00303714"/>
    <w:rsid w:val="00303A91"/>
    <w:rsid w:val="00303B26"/>
    <w:rsid w:val="003045D2"/>
    <w:rsid w:val="00305451"/>
    <w:rsid w:val="003056BC"/>
    <w:rsid w:val="00305C93"/>
    <w:rsid w:val="00305D84"/>
    <w:rsid w:val="00306111"/>
    <w:rsid w:val="003068C2"/>
    <w:rsid w:val="0030690C"/>
    <w:rsid w:val="00306B9C"/>
    <w:rsid w:val="00306D9E"/>
    <w:rsid w:val="00306DD4"/>
    <w:rsid w:val="00306E78"/>
    <w:rsid w:val="00306ED4"/>
    <w:rsid w:val="00307FCB"/>
    <w:rsid w:val="003104F3"/>
    <w:rsid w:val="00310B41"/>
    <w:rsid w:val="00311181"/>
    <w:rsid w:val="0031202A"/>
    <w:rsid w:val="00312034"/>
    <w:rsid w:val="00312401"/>
    <w:rsid w:val="00312B1A"/>
    <w:rsid w:val="00312C58"/>
    <w:rsid w:val="00312F51"/>
    <w:rsid w:val="00312FA3"/>
    <w:rsid w:val="00313643"/>
    <w:rsid w:val="00313C0B"/>
    <w:rsid w:val="00314096"/>
    <w:rsid w:val="003143FB"/>
    <w:rsid w:val="0031476B"/>
    <w:rsid w:val="0031483F"/>
    <w:rsid w:val="0031491B"/>
    <w:rsid w:val="00314EFF"/>
    <w:rsid w:val="00315CA4"/>
    <w:rsid w:val="0031626A"/>
    <w:rsid w:val="003164EA"/>
    <w:rsid w:val="003168B0"/>
    <w:rsid w:val="00317447"/>
    <w:rsid w:val="00317A4B"/>
    <w:rsid w:val="00317C80"/>
    <w:rsid w:val="003205D9"/>
    <w:rsid w:val="00320AB2"/>
    <w:rsid w:val="00320E74"/>
    <w:rsid w:val="00321147"/>
    <w:rsid w:val="00321B34"/>
    <w:rsid w:val="00321EEF"/>
    <w:rsid w:val="00321F9C"/>
    <w:rsid w:val="003226F9"/>
    <w:rsid w:val="00322815"/>
    <w:rsid w:val="003231EF"/>
    <w:rsid w:val="00323872"/>
    <w:rsid w:val="00323B38"/>
    <w:rsid w:val="00323C1C"/>
    <w:rsid w:val="00324755"/>
    <w:rsid w:val="003247AF"/>
    <w:rsid w:val="003249F0"/>
    <w:rsid w:val="00324D19"/>
    <w:rsid w:val="0032501D"/>
    <w:rsid w:val="003253BE"/>
    <w:rsid w:val="0032558C"/>
    <w:rsid w:val="0032580C"/>
    <w:rsid w:val="00325AE6"/>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3628"/>
    <w:rsid w:val="00333E87"/>
    <w:rsid w:val="00333EB1"/>
    <w:rsid w:val="00333F01"/>
    <w:rsid w:val="00334465"/>
    <w:rsid w:val="00334657"/>
    <w:rsid w:val="003348E4"/>
    <w:rsid w:val="00334E73"/>
    <w:rsid w:val="00334F3D"/>
    <w:rsid w:val="0033519B"/>
    <w:rsid w:val="003351BA"/>
    <w:rsid w:val="00335261"/>
    <w:rsid w:val="0033537D"/>
    <w:rsid w:val="003355AF"/>
    <w:rsid w:val="003357F5"/>
    <w:rsid w:val="00335C96"/>
    <w:rsid w:val="00336993"/>
    <w:rsid w:val="003369F5"/>
    <w:rsid w:val="00336C24"/>
    <w:rsid w:val="00336E6C"/>
    <w:rsid w:val="003371DB"/>
    <w:rsid w:val="00337A39"/>
    <w:rsid w:val="003405F0"/>
    <w:rsid w:val="00340EC5"/>
    <w:rsid w:val="00340F2B"/>
    <w:rsid w:val="00341177"/>
    <w:rsid w:val="00341C4D"/>
    <w:rsid w:val="00341D94"/>
    <w:rsid w:val="0034223E"/>
    <w:rsid w:val="003422B6"/>
    <w:rsid w:val="00342675"/>
    <w:rsid w:val="00342B0D"/>
    <w:rsid w:val="00342D34"/>
    <w:rsid w:val="00343139"/>
    <w:rsid w:val="00343C24"/>
    <w:rsid w:val="00343F79"/>
    <w:rsid w:val="003447CC"/>
    <w:rsid w:val="00344BFC"/>
    <w:rsid w:val="00344F32"/>
    <w:rsid w:val="003455BF"/>
    <w:rsid w:val="00345BC0"/>
    <w:rsid w:val="0034657E"/>
    <w:rsid w:val="00346632"/>
    <w:rsid w:val="00346BD7"/>
    <w:rsid w:val="0034741C"/>
    <w:rsid w:val="003479C3"/>
    <w:rsid w:val="003500E4"/>
    <w:rsid w:val="0035016E"/>
    <w:rsid w:val="0035068E"/>
    <w:rsid w:val="003506BE"/>
    <w:rsid w:val="00350B7F"/>
    <w:rsid w:val="00350DF3"/>
    <w:rsid w:val="00350FD6"/>
    <w:rsid w:val="0035129A"/>
    <w:rsid w:val="0035195B"/>
    <w:rsid w:val="00351BF1"/>
    <w:rsid w:val="00352301"/>
    <w:rsid w:val="0035232C"/>
    <w:rsid w:val="00352776"/>
    <w:rsid w:val="00352A43"/>
    <w:rsid w:val="00352D60"/>
    <w:rsid w:val="003533A1"/>
    <w:rsid w:val="00353478"/>
    <w:rsid w:val="003535DB"/>
    <w:rsid w:val="00353CB5"/>
    <w:rsid w:val="00353E1E"/>
    <w:rsid w:val="0035487A"/>
    <w:rsid w:val="003548CF"/>
    <w:rsid w:val="00355F82"/>
    <w:rsid w:val="003566D2"/>
    <w:rsid w:val="00356AB7"/>
    <w:rsid w:val="00356E1C"/>
    <w:rsid w:val="003573E0"/>
    <w:rsid w:val="00357782"/>
    <w:rsid w:val="003578DC"/>
    <w:rsid w:val="00357F3A"/>
    <w:rsid w:val="0036036B"/>
    <w:rsid w:val="0036060F"/>
    <w:rsid w:val="00360A57"/>
    <w:rsid w:val="00360BCC"/>
    <w:rsid w:val="00360F63"/>
    <w:rsid w:val="003611AC"/>
    <w:rsid w:val="003613E3"/>
    <w:rsid w:val="003618D6"/>
    <w:rsid w:val="00361E5B"/>
    <w:rsid w:val="00361EA2"/>
    <w:rsid w:val="003620B4"/>
    <w:rsid w:val="003626B5"/>
    <w:rsid w:val="00362C5A"/>
    <w:rsid w:val="003630F0"/>
    <w:rsid w:val="003633DE"/>
    <w:rsid w:val="003635AA"/>
    <w:rsid w:val="003637D8"/>
    <w:rsid w:val="00363C16"/>
    <w:rsid w:val="00363DA8"/>
    <w:rsid w:val="003649C8"/>
    <w:rsid w:val="0036513B"/>
    <w:rsid w:val="003656EB"/>
    <w:rsid w:val="00365731"/>
    <w:rsid w:val="003658C9"/>
    <w:rsid w:val="00365A29"/>
    <w:rsid w:val="00366668"/>
    <w:rsid w:val="00366C0A"/>
    <w:rsid w:val="00367103"/>
    <w:rsid w:val="00367568"/>
    <w:rsid w:val="00367AAD"/>
    <w:rsid w:val="00367CDD"/>
    <w:rsid w:val="00370ADE"/>
    <w:rsid w:val="00370CCF"/>
    <w:rsid w:val="00370DBC"/>
    <w:rsid w:val="00370FAB"/>
    <w:rsid w:val="0037106F"/>
    <w:rsid w:val="003716A8"/>
    <w:rsid w:val="00371723"/>
    <w:rsid w:val="0037178E"/>
    <w:rsid w:val="00371B46"/>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FD2"/>
    <w:rsid w:val="003761EC"/>
    <w:rsid w:val="00376572"/>
    <w:rsid w:val="003766E3"/>
    <w:rsid w:val="0037774A"/>
    <w:rsid w:val="003777BA"/>
    <w:rsid w:val="00380620"/>
    <w:rsid w:val="00380826"/>
    <w:rsid w:val="0038090E"/>
    <w:rsid w:val="00380BF7"/>
    <w:rsid w:val="00380C05"/>
    <w:rsid w:val="00380DCC"/>
    <w:rsid w:val="00380FC5"/>
    <w:rsid w:val="0038139C"/>
    <w:rsid w:val="0038141E"/>
    <w:rsid w:val="00381649"/>
    <w:rsid w:val="00381912"/>
    <w:rsid w:val="003824BC"/>
    <w:rsid w:val="00382555"/>
    <w:rsid w:val="003825BE"/>
    <w:rsid w:val="003826D9"/>
    <w:rsid w:val="00382CAD"/>
    <w:rsid w:val="00383BD1"/>
    <w:rsid w:val="00384C42"/>
    <w:rsid w:val="0038507C"/>
    <w:rsid w:val="00385564"/>
    <w:rsid w:val="003860CE"/>
    <w:rsid w:val="00386540"/>
    <w:rsid w:val="00386E1C"/>
    <w:rsid w:val="003874D1"/>
    <w:rsid w:val="00387B4B"/>
    <w:rsid w:val="003901DE"/>
    <w:rsid w:val="00390454"/>
    <w:rsid w:val="0039086F"/>
    <w:rsid w:val="003915DA"/>
    <w:rsid w:val="00391B48"/>
    <w:rsid w:val="00391F49"/>
    <w:rsid w:val="00391F4C"/>
    <w:rsid w:val="00392C51"/>
    <w:rsid w:val="00392C90"/>
    <w:rsid w:val="00392CF9"/>
    <w:rsid w:val="00392DEE"/>
    <w:rsid w:val="003931F7"/>
    <w:rsid w:val="0039341D"/>
    <w:rsid w:val="00393BA1"/>
    <w:rsid w:val="003941DC"/>
    <w:rsid w:val="00394818"/>
    <w:rsid w:val="00394945"/>
    <w:rsid w:val="00394A46"/>
    <w:rsid w:val="00395796"/>
    <w:rsid w:val="0039614D"/>
    <w:rsid w:val="003962A8"/>
    <w:rsid w:val="003967EC"/>
    <w:rsid w:val="00396C98"/>
    <w:rsid w:val="00396F2B"/>
    <w:rsid w:val="00397011"/>
    <w:rsid w:val="00397665"/>
    <w:rsid w:val="003A006F"/>
    <w:rsid w:val="003A0680"/>
    <w:rsid w:val="003A08CF"/>
    <w:rsid w:val="003A0C87"/>
    <w:rsid w:val="003A13AE"/>
    <w:rsid w:val="003A1520"/>
    <w:rsid w:val="003A2BCB"/>
    <w:rsid w:val="003A2F4D"/>
    <w:rsid w:val="003A3050"/>
    <w:rsid w:val="003A34F1"/>
    <w:rsid w:val="003A3605"/>
    <w:rsid w:val="003A3EF3"/>
    <w:rsid w:val="003A4827"/>
    <w:rsid w:val="003A499F"/>
    <w:rsid w:val="003A4FBA"/>
    <w:rsid w:val="003A5040"/>
    <w:rsid w:val="003A51CF"/>
    <w:rsid w:val="003A6238"/>
    <w:rsid w:val="003A6826"/>
    <w:rsid w:val="003A68FD"/>
    <w:rsid w:val="003A6942"/>
    <w:rsid w:val="003A6C85"/>
    <w:rsid w:val="003A6F93"/>
    <w:rsid w:val="003A721F"/>
    <w:rsid w:val="003A7932"/>
    <w:rsid w:val="003A7F37"/>
    <w:rsid w:val="003B014C"/>
    <w:rsid w:val="003B0914"/>
    <w:rsid w:val="003B1416"/>
    <w:rsid w:val="003B2545"/>
    <w:rsid w:val="003B2F26"/>
    <w:rsid w:val="003B2FCE"/>
    <w:rsid w:val="003B3490"/>
    <w:rsid w:val="003B3D0E"/>
    <w:rsid w:val="003B3ED8"/>
    <w:rsid w:val="003B42A8"/>
    <w:rsid w:val="003B439F"/>
    <w:rsid w:val="003B466E"/>
    <w:rsid w:val="003B46BE"/>
    <w:rsid w:val="003B477E"/>
    <w:rsid w:val="003B4CA5"/>
    <w:rsid w:val="003B507D"/>
    <w:rsid w:val="003B5A30"/>
    <w:rsid w:val="003B5E14"/>
    <w:rsid w:val="003B6F84"/>
    <w:rsid w:val="003B77FB"/>
    <w:rsid w:val="003B7CF2"/>
    <w:rsid w:val="003C0322"/>
    <w:rsid w:val="003C0BA9"/>
    <w:rsid w:val="003C113C"/>
    <w:rsid w:val="003C135D"/>
    <w:rsid w:val="003C1D9F"/>
    <w:rsid w:val="003C2423"/>
    <w:rsid w:val="003C26C1"/>
    <w:rsid w:val="003C2A95"/>
    <w:rsid w:val="003C33B1"/>
    <w:rsid w:val="003C3BB4"/>
    <w:rsid w:val="003C4218"/>
    <w:rsid w:val="003C42DC"/>
    <w:rsid w:val="003C4426"/>
    <w:rsid w:val="003C4573"/>
    <w:rsid w:val="003C4ADA"/>
    <w:rsid w:val="003C4D01"/>
    <w:rsid w:val="003C4DA2"/>
    <w:rsid w:val="003C5060"/>
    <w:rsid w:val="003C5C2B"/>
    <w:rsid w:val="003C5C42"/>
    <w:rsid w:val="003C5DA0"/>
    <w:rsid w:val="003C5E17"/>
    <w:rsid w:val="003C6EC8"/>
    <w:rsid w:val="003C717B"/>
    <w:rsid w:val="003D079A"/>
    <w:rsid w:val="003D0963"/>
    <w:rsid w:val="003D18E6"/>
    <w:rsid w:val="003D1A11"/>
    <w:rsid w:val="003D1D6F"/>
    <w:rsid w:val="003D2529"/>
    <w:rsid w:val="003D25C9"/>
    <w:rsid w:val="003D2DEE"/>
    <w:rsid w:val="003D2EBE"/>
    <w:rsid w:val="003D3178"/>
    <w:rsid w:val="003D3297"/>
    <w:rsid w:val="003D4159"/>
    <w:rsid w:val="003D433B"/>
    <w:rsid w:val="003D4AE6"/>
    <w:rsid w:val="003D4F68"/>
    <w:rsid w:val="003D5374"/>
    <w:rsid w:val="003D5DC8"/>
    <w:rsid w:val="003D616A"/>
    <w:rsid w:val="003D6A1A"/>
    <w:rsid w:val="003D6CAC"/>
    <w:rsid w:val="003D6F6D"/>
    <w:rsid w:val="003D716D"/>
    <w:rsid w:val="003D7C32"/>
    <w:rsid w:val="003D7D46"/>
    <w:rsid w:val="003E05E7"/>
    <w:rsid w:val="003E081B"/>
    <w:rsid w:val="003E09B9"/>
    <w:rsid w:val="003E1129"/>
    <w:rsid w:val="003E13F9"/>
    <w:rsid w:val="003E20B2"/>
    <w:rsid w:val="003E20D6"/>
    <w:rsid w:val="003E2205"/>
    <w:rsid w:val="003E2858"/>
    <w:rsid w:val="003E336E"/>
    <w:rsid w:val="003E3BD5"/>
    <w:rsid w:val="003E3D2C"/>
    <w:rsid w:val="003E3E7F"/>
    <w:rsid w:val="003E444A"/>
    <w:rsid w:val="003E44DC"/>
    <w:rsid w:val="003E4512"/>
    <w:rsid w:val="003E462C"/>
    <w:rsid w:val="003E4F6F"/>
    <w:rsid w:val="003E505A"/>
    <w:rsid w:val="003E506E"/>
    <w:rsid w:val="003E50C4"/>
    <w:rsid w:val="003E514E"/>
    <w:rsid w:val="003E53FC"/>
    <w:rsid w:val="003E6624"/>
    <w:rsid w:val="003E6CC8"/>
    <w:rsid w:val="003E6EEB"/>
    <w:rsid w:val="003E7042"/>
    <w:rsid w:val="003E74F7"/>
    <w:rsid w:val="003E76B7"/>
    <w:rsid w:val="003E7F82"/>
    <w:rsid w:val="003F019D"/>
    <w:rsid w:val="003F027D"/>
    <w:rsid w:val="003F071C"/>
    <w:rsid w:val="003F07FB"/>
    <w:rsid w:val="003F0CF5"/>
    <w:rsid w:val="003F0E27"/>
    <w:rsid w:val="003F0E98"/>
    <w:rsid w:val="003F12DB"/>
    <w:rsid w:val="003F150C"/>
    <w:rsid w:val="003F2202"/>
    <w:rsid w:val="003F25EF"/>
    <w:rsid w:val="003F273D"/>
    <w:rsid w:val="003F2A76"/>
    <w:rsid w:val="003F3803"/>
    <w:rsid w:val="003F39E4"/>
    <w:rsid w:val="003F3A8D"/>
    <w:rsid w:val="003F3AB8"/>
    <w:rsid w:val="003F3BC9"/>
    <w:rsid w:val="003F3D95"/>
    <w:rsid w:val="003F3DD4"/>
    <w:rsid w:val="003F4724"/>
    <w:rsid w:val="003F5430"/>
    <w:rsid w:val="003F5582"/>
    <w:rsid w:val="003F55F4"/>
    <w:rsid w:val="003F566B"/>
    <w:rsid w:val="003F589A"/>
    <w:rsid w:val="003F5DED"/>
    <w:rsid w:val="003F5F0F"/>
    <w:rsid w:val="003F6221"/>
    <w:rsid w:val="003F66C2"/>
    <w:rsid w:val="003F6FBA"/>
    <w:rsid w:val="003F7672"/>
    <w:rsid w:val="003F7889"/>
    <w:rsid w:val="003F7CE5"/>
    <w:rsid w:val="003F7E13"/>
    <w:rsid w:val="003F7FE4"/>
    <w:rsid w:val="00400736"/>
    <w:rsid w:val="0040089B"/>
    <w:rsid w:val="00400B7A"/>
    <w:rsid w:val="00401147"/>
    <w:rsid w:val="004013CD"/>
    <w:rsid w:val="0040185F"/>
    <w:rsid w:val="004018D1"/>
    <w:rsid w:val="00401B94"/>
    <w:rsid w:val="004022CE"/>
    <w:rsid w:val="004028BA"/>
    <w:rsid w:val="004035A7"/>
    <w:rsid w:val="004039C5"/>
    <w:rsid w:val="00403B22"/>
    <w:rsid w:val="00403D3E"/>
    <w:rsid w:val="00403DEA"/>
    <w:rsid w:val="00403E5A"/>
    <w:rsid w:val="00404177"/>
    <w:rsid w:val="004044F1"/>
    <w:rsid w:val="004045C3"/>
    <w:rsid w:val="00404EE3"/>
    <w:rsid w:val="00405007"/>
    <w:rsid w:val="00405520"/>
    <w:rsid w:val="0040572B"/>
    <w:rsid w:val="00405882"/>
    <w:rsid w:val="00405D03"/>
    <w:rsid w:val="004060B3"/>
    <w:rsid w:val="00406201"/>
    <w:rsid w:val="00406AA6"/>
    <w:rsid w:val="00406B1B"/>
    <w:rsid w:val="004074B9"/>
    <w:rsid w:val="004104FC"/>
    <w:rsid w:val="004107C1"/>
    <w:rsid w:val="004107D8"/>
    <w:rsid w:val="0041127B"/>
    <w:rsid w:val="0041158D"/>
    <w:rsid w:val="00411AB2"/>
    <w:rsid w:val="00411EB9"/>
    <w:rsid w:val="00411EF1"/>
    <w:rsid w:val="00411F1F"/>
    <w:rsid w:val="004122E3"/>
    <w:rsid w:val="00413ECE"/>
    <w:rsid w:val="00414085"/>
    <w:rsid w:val="004149CB"/>
    <w:rsid w:val="00414CEB"/>
    <w:rsid w:val="004158AA"/>
    <w:rsid w:val="0041599F"/>
    <w:rsid w:val="00415E37"/>
    <w:rsid w:val="00415F5E"/>
    <w:rsid w:val="00415FC0"/>
    <w:rsid w:val="00416056"/>
    <w:rsid w:val="00416080"/>
    <w:rsid w:val="00416879"/>
    <w:rsid w:val="00416983"/>
    <w:rsid w:val="00417007"/>
    <w:rsid w:val="00417132"/>
    <w:rsid w:val="00417902"/>
    <w:rsid w:val="004179AF"/>
    <w:rsid w:val="00417FE3"/>
    <w:rsid w:val="004202B5"/>
    <w:rsid w:val="0042068F"/>
    <w:rsid w:val="00420F31"/>
    <w:rsid w:val="004211B1"/>
    <w:rsid w:val="0042187D"/>
    <w:rsid w:val="00421A31"/>
    <w:rsid w:val="004224B4"/>
    <w:rsid w:val="00422787"/>
    <w:rsid w:val="00422EBE"/>
    <w:rsid w:val="00422F93"/>
    <w:rsid w:val="004232ED"/>
    <w:rsid w:val="004237C9"/>
    <w:rsid w:val="0042424E"/>
    <w:rsid w:val="0042503F"/>
    <w:rsid w:val="0042538D"/>
    <w:rsid w:val="00425A1A"/>
    <w:rsid w:val="00425BCF"/>
    <w:rsid w:val="00425F32"/>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D6"/>
    <w:rsid w:val="00431B48"/>
    <w:rsid w:val="00431D0E"/>
    <w:rsid w:val="0043265C"/>
    <w:rsid w:val="00432F99"/>
    <w:rsid w:val="004337C9"/>
    <w:rsid w:val="00433A0E"/>
    <w:rsid w:val="00433A3E"/>
    <w:rsid w:val="00433DEB"/>
    <w:rsid w:val="0043413D"/>
    <w:rsid w:val="0043442C"/>
    <w:rsid w:val="0043486A"/>
    <w:rsid w:val="00434DE9"/>
    <w:rsid w:val="00435495"/>
    <w:rsid w:val="0043595A"/>
    <w:rsid w:val="00435C91"/>
    <w:rsid w:val="004362A2"/>
    <w:rsid w:val="0043677C"/>
    <w:rsid w:val="004368AA"/>
    <w:rsid w:val="004371DE"/>
    <w:rsid w:val="00437528"/>
    <w:rsid w:val="00437581"/>
    <w:rsid w:val="00437B06"/>
    <w:rsid w:val="00437F82"/>
    <w:rsid w:val="0044015A"/>
    <w:rsid w:val="00440380"/>
    <w:rsid w:val="004403AA"/>
    <w:rsid w:val="004420DF"/>
    <w:rsid w:val="004427DB"/>
    <w:rsid w:val="00442809"/>
    <w:rsid w:val="00442BE4"/>
    <w:rsid w:val="00442CEF"/>
    <w:rsid w:val="00442D3C"/>
    <w:rsid w:val="004430FA"/>
    <w:rsid w:val="00443159"/>
    <w:rsid w:val="004433BD"/>
    <w:rsid w:val="0044355D"/>
    <w:rsid w:val="00443C87"/>
    <w:rsid w:val="00443FB2"/>
    <w:rsid w:val="004447B5"/>
    <w:rsid w:val="00444840"/>
    <w:rsid w:val="004456C3"/>
    <w:rsid w:val="004465D0"/>
    <w:rsid w:val="00446790"/>
    <w:rsid w:val="00446B03"/>
    <w:rsid w:val="004502B2"/>
    <w:rsid w:val="0045068C"/>
    <w:rsid w:val="00450CAB"/>
    <w:rsid w:val="00450F85"/>
    <w:rsid w:val="004517AF"/>
    <w:rsid w:val="00451FF2"/>
    <w:rsid w:val="00453B76"/>
    <w:rsid w:val="00453F07"/>
    <w:rsid w:val="00454181"/>
    <w:rsid w:val="0045429B"/>
    <w:rsid w:val="004542FD"/>
    <w:rsid w:val="0045434F"/>
    <w:rsid w:val="0045438C"/>
    <w:rsid w:val="00454477"/>
    <w:rsid w:val="00454652"/>
    <w:rsid w:val="0045487C"/>
    <w:rsid w:val="00454AE8"/>
    <w:rsid w:val="00454C5A"/>
    <w:rsid w:val="00455701"/>
    <w:rsid w:val="004559F9"/>
    <w:rsid w:val="00455C80"/>
    <w:rsid w:val="0045611C"/>
    <w:rsid w:val="004563DD"/>
    <w:rsid w:val="00456CDF"/>
    <w:rsid w:val="00456F6D"/>
    <w:rsid w:val="00457458"/>
    <w:rsid w:val="004576E5"/>
    <w:rsid w:val="00457741"/>
    <w:rsid w:val="00457F73"/>
    <w:rsid w:val="00460B9F"/>
    <w:rsid w:val="00460DE4"/>
    <w:rsid w:val="0046107F"/>
    <w:rsid w:val="0046115B"/>
    <w:rsid w:val="00461274"/>
    <w:rsid w:val="004614B2"/>
    <w:rsid w:val="004614B4"/>
    <w:rsid w:val="0046193D"/>
    <w:rsid w:val="00462C8D"/>
    <w:rsid w:val="00463603"/>
    <w:rsid w:val="00464A39"/>
    <w:rsid w:val="00465408"/>
    <w:rsid w:val="004654B1"/>
    <w:rsid w:val="0046557B"/>
    <w:rsid w:val="0046557C"/>
    <w:rsid w:val="00465A7C"/>
    <w:rsid w:val="00465B3C"/>
    <w:rsid w:val="00465BB2"/>
    <w:rsid w:val="00465E83"/>
    <w:rsid w:val="00465EAF"/>
    <w:rsid w:val="00466114"/>
    <w:rsid w:val="00466517"/>
    <w:rsid w:val="004666EB"/>
    <w:rsid w:val="00466845"/>
    <w:rsid w:val="0046684E"/>
    <w:rsid w:val="0046692F"/>
    <w:rsid w:val="0046757E"/>
    <w:rsid w:val="004675F8"/>
    <w:rsid w:val="00467BAF"/>
    <w:rsid w:val="00470338"/>
    <w:rsid w:val="0047033E"/>
    <w:rsid w:val="00470EFE"/>
    <w:rsid w:val="00471F10"/>
    <w:rsid w:val="00472568"/>
    <w:rsid w:val="00472C70"/>
    <w:rsid w:val="004730EF"/>
    <w:rsid w:val="004736B1"/>
    <w:rsid w:val="004738F5"/>
    <w:rsid w:val="004740F2"/>
    <w:rsid w:val="0047417D"/>
    <w:rsid w:val="00474E77"/>
    <w:rsid w:val="00475708"/>
    <w:rsid w:val="0047581F"/>
    <w:rsid w:val="00475E7D"/>
    <w:rsid w:val="004766B7"/>
    <w:rsid w:val="004767F5"/>
    <w:rsid w:val="00476A3E"/>
    <w:rsid w:val="00476C8F"/>
    <w:rsid w:val="00477416"/>
    <w:rsid w:val="00477795"/>
    <w:rsid w:val="00477FAB"/>
    <w:rsid w:val="00480D1E"/>
    <w:rsid w:val="00481C6F"/>
    <w:rsid w:val="00481D33"/>
    <w:rsid w:val="00482295"/>
    <w:rsid w:val="004822A0"/>
    <w:rsid w:val="004822E9"/>
    <w:rsid w:val="0048269D"/>
    <w:rsid w:val="00482D74"/>
    <w:rsid w:val="00484659"/>
    <w:rsid w:val="00484678"/>
    <w:rsid w:val="004848D8"/>
    <w:rsid w:val="00484B9C"/>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6E98"/>
    <w:rsid w:val="00486FC8"/>
    <w:rsid w:val="004871B0"/>
    <w:rsid w:val="00487564"/>
    <w:rsid w:val="00487899"/>
    <w:rsid w:val="004902B4"/>
    <w:rsid w:val="004905F3"/>
    <w:rsid w:val="00490985"/>
    <w:rsid w:val="00490B10"/>
    <w:rsid w:val="00490B67"/>
    <w:rsid w:val="00490E53"/>
    <w:rsid w:val="00491305"/>
    <w:rsid w:val="0049147B"/>
    <w:rsid w:val="00491668"/>
    <w:rsid w:val="00491C14"/>
    <w:rsid w:val="004923FA"/>
    <w:rsid w:val="0049261B"/>
    <w:rsid w:val="004929E8"/>
    <w:rsid w:val="00492F2D"/>
    <w:rsid w:val="00492FD6"/>
    <w:rsid w:val="004936E8"/>
    <w:rsid w:val="00493B80"/>
    <w:rsid w:val="0049401A"/>
    <w:rsid w:val="00494294"/>
    <w:rsid w:val="00494332"/>
    <w:rsid w:val="00494BE0"/>
    <w:rsid w:val="004958F6"/>
    <w:rsid w:val="00495AB3"/>
    <w:rsid w:val="00495EE8"/>
    <w:rsid w:val="00495FB5"/>
    <w:rsid w:val="004968C1"/>
    <w:rsid w:val="00496A8D"/>
    <w:rsid w:val="00497246"/>
    <w:rsid w:val="004974D9"/>
    <w:rsid w:val="004977C3"/>
    <w:rsid w:val="004978BF"/>
    <w:rsid w:val="00497B18"/>
    <w:rsid w:val="004A09C8"/>
    <w:rsid w:val="004A11F0"/>
    <w:rsid w:val="004A11FA"/>
    <w:rsid w:val="004A1251"/>
    <w:rsid w:val="004A17BB"/>
    <w:rsid w:val="004A1AD7"/>
    <w:rsid w:val="004A1B5F"/>
    <w:rsid w:val="004A1FB2"/>
    <w:rsid w:val="004A2FA9"/>
    <w:rsid w:val="004A341F"/>
    <w:rsid w:val="004A3531"/>
    <w:rsid w:val="004A36CE"/>
    <w:rsid w:val="004A3CFE"/>
    <w:rsid w:val="004A3F0C"/>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DE3"/>
    <w:rsid w:val="004B00F3"/>
    <w:rsid w:val="004B0148"/>
    <w:rsid w:val="004B0153"/>
    <w:rsid w:val="004B052B"/>
    <w:rsid w:val="004B0AA1"/>
    <w:rsid w:val="004B0ABB"/>
    <w:rsid w:val="004B0C11"/>
    <w:rsid w:val="004B19BE"/>
    <w:rsid w:val="004B1A72"/>
    <w:rsid w:val="004B1A7A"/>
    <w:rsid w:val="004B1C77"/>
    <w:rsid w:val="004B2065"/>
    <w:rsid w:val="004B20FA"/>
    <w:rsid w:val="004B2520"/>
    <w:rsid w:val="004B2D91"/>
    <w:rsid w:val="004B3053"/>
    <w:rsid w:val="004B3247"/>
    <w:rsid w:val="004B32E0"/>
    <w:rsid w:val="004B3BDB"/>
    <w:rsid w:val="004B40BF"/>
    <w:rsid w:val="004B4569"/>
    <w:rsid w:val="004B4863"/>
    <w:rsid w:val="004B4D7D"/>
    <w:rsid w:val="004B603D"/>
    <w:rsid w:val="004B685E"/>
    <w:rsid w:val="004B69F5"/>
    <w:rsid w:val="004B6A26"/>
    <w:rsid w:val="004B6AC1"/>
    <w:rsid w:val="004B6BCA"/>
    <w:rsid w:val="004B6E5D"/>
    <w:rsid w:val="004B7264"/>
    <w:rsid w:val="004B7474"/>
    <w:rsid w:val="004B74D9"/>
    <w:rsid w:val="004B7E94"/>
    <w:rsid w:val="004B7FAD"/>
    <w:rsid w:val="004C00E1"/>
    <w:rsid w:val="004C02F5"/>
    <w:rsid w:val="004C0602"/>
    <w:rsid w:val="004C0AA7"/>
    <w:rsid w:val="004C0BC5"/>
    <w:rsid w:val="004C0D96"/>
    <w:rsid w:val="004C1234"/>
    <w:rsid w:val="004C13CF"/>
    <w:rsid w:val="004C18E3"/>
    <w:rsid w:val="004C236A"/>
    <w:rsid w:val="004C257B"/>
    <w:rsid w:val="004C2598"/>
    <w:rsid w:val="004C2DD9"/>
    <w:rsid w:val="004C2F45"/>
    <w:rsid w:val="004C3E60"/>
    <w:rsid w:val="004C42BE"/>
    <w:rsid w:val="004C4AF6"/>
    <w:rsid w:val="004C528A"/>
    <w:rsid w:val="004C6075"/>
    <w:rsid w:val="004C6742"/>
    <w:rsid w:val="004C6A4A"/>
    <w:rsid w:val="004C6BCC"/>
    <w:rsid w:val="004C702A"/>
    <w:rsid w:val="004C7147"/>
    <w:rsid w:val="004C7655"/>
    <w:rsid w:val="004C770B"/>
    <w:rsid w:val="004C7817"/>
    <w:rsid w:val="004C7C30"/>
    <w:rsid w:val="004D02FB"/>
    <w:rsid w:val="004D0A75"/>
    <w:rsid w:val="004D135D"/>
    <w:rsid w:val="004D2289"/>
    <w:rsid w:val="004D2465"/>
    <w:rsid w:val="004D246B"/>
    <w:rsid w:val="004D248F"/>
    <w:rsid w:val="004D2C1A"/>
    <w:rsid w:val="004D2C5E"/>
    <w:rsid w:val="004D2CB6"/>
    <w:rsid w:val="004D412B"/>
    <w:rsid w:val="004D4293"/>
    <w:rsid w:val="004D4F12"/>
    <w:rsid w:val="004D5433"/>
    <w:rsid w:val="004D5719"/>
    <w:rsid w:val="004D5D07"/>
    <w:rsid w:val="004D6739"/>
    <w:rsid w:val="004D6976"/>
    <w:rsid w:val="004D6CF9"/>
    <w:rsid w:val="004D6EC1"/>
    <w:rsid w:val="004D7370"/>
    <w:rsid w:val="004D7479"/>
    <w:rsid w:val="004D7BAF"/>
    <w:rsid w:val="004D7D6E"/>
    <w:rsid w:val="004D7D80"/>
    <w:rsid w:val="004D7E8D"/>
    <w:rsid w:val="004E0480"/>
    <w:rsid w:val="004E06AA"/>
    <w:rsid w:val="004E15D1"/>
    <w:rsid w:val="004E16EE"/>
    <w:rsid w:val="004E1948"/>
    <w:rsid w:val="004E1A3B"/>
    <w:rsid w:val="004E1AE9"/>
    <w:rsid w:val="004E1D13"/>
    <w:rsid w:val="004E1E85"/>
    <w:rsid w:val="004E217E"/>
    <w:rsid w:val="004E219E"/>
    <w:rsid w:val="004E22CD"/>
    <w:rsid w:val="004E238F"/>
    <w:rsid w:val="004E2929"/>
    <w:rsid w:val="004E2DDF"/>
    <w:rsid w:val="004E3223"/>
    <w:rsid w:val="004E3274"/>
    <w:rsid w:val="004E3916"/>
    <w:rsid w:val="004E41A4"/>
    <w:rsid w:val="004E41EC"/>
    <w:rsid w:val="004E43C9"/>
    <w:rsid w:val="004E4538"/>
    <w:rsid w:val="004E4A8D"/>
    <w:rsid w:val="004E56E0"/>
    <w:rsid w:val="004E5A20"/>
    <w:rsid w:val="004E5D42"/>
    <w:rsid w:val="004E6399"/>
    <w:rsid w:val="004E6A41"/>
    <w:rsid w:val="004E6B31"/>
    <w:rsid w:val="004E6E7D"/>
    <w:rsid w:val="004E6EAF"/>
    <w:rsid w:val="004E73E0"/>
    <w:rsid w:val="004E7444"/>
    <w:rsid w:val="004E7BE3"/>
    <w:rsid w:val="004E7CB4"/>
    <w:rsid w:val="004E7CF2"/>
    <w:rsid w:val="004E7DC1"/>
    <w:rsid w:val="004F0865"/>
    <w:rsid w:val="004F0A00"/>
    <w:rsid w:val="004F10F2"/>
    <w:rsid w:val="004F15E1"/>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F0"/>
    <w:rsid w:val="004F5E8D"/>
    <w:rsid w:val="004F5EEB"/>
    <w:rsid w:val="004F66BD"/>
    <w:rsid w:val="004F6C91"/>
    <w:rsid w:val="004F7036"/>
    <w:rsid w:val="004F7627"/>
    <w:rsid w:val="00500238"/>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4865"/>
    <w:rsid w:val="00504A3C"/>
    <w:rsid w:val="00504F24"/>
    <w:rsid w:val="005058C6"/>
    <w:rsid w:val="00505F8A"/>
    <w:rsid w:val="005060D9"/>
    <w:rsid w:val="00506A30"/>
    <w:rsid w:val="00506EE2"/>
    <w:rsid w:val="00507067"/>
    <w:rsid w:val="005075D1"/>
    <w:rsid w:val="005078A5"/>
    <w:rsid w:val="00510464"/>
    <w:rsid w:val="00510EC1"/>
    <w:rsid w:val="00511213"/>
    <w:rsid w:val="005119F8"/>
    <w:rsid w:val="00511BD1"/>
    <w:rsid w:val="00512384"/>
    <w:rsid w:val="005123B0"/>
    <w:rsid w:val="00513439"/>
    <w:rsid w:val="005135A3"/>
    <w:rsid w:val="00513630"/>
    <w:rsid w:val="00513707"/>
    <w:rsid w:val="0051375A"/>
    <w:rsid w:val="00513AA0"/>
    <w:rsid w:val="00513B8E"/>
    <w:rsid w:val="00513C25"/>
    <w:rsid w:val="00514189"/>
    <w:rsid w:val="005145C3"/>
    <w:rsid w:val="005147AA"/>
    <w:rsid w:val="00514AFA"/>
    <w:rsid w:val="00514FED"/>
    <w:rsid w:val="00515427"/>
    <w:rsid w:val="00515606"/>
    <w:rsid w:val="00515711"/>
    <w:rsid w:val="00515B3B"/>
    <w:rsid w:val="00515B67"/>
    <w:rsid w:val="00516149"/>
    <w:rsid w:val="0051656F"/>
    <w:rsid w:val="00516DAF"/>
    <w:rsid w:val="00517084"/>
    <w:rsid w:val="00517FF0"/>
    <w:rsid w:val="0052028A"/>
    <w:rsid w:val="00520AED"/>
    <w:rsid w:val="00520D6D"/>
    <w:rsid w:val="00520E11"/>
    <w:rsid w:val="005216D7"/>
    <w:rsid w:val="00521BD6"/>
    <w:rsid w:val="00521C17"/>
    <w:rsid w:val="00521D24"/>
    <w:rsid w:val="0052252E"/>
    <w:rsid w:val="00522829"/>
    <w:rsid w:val="00523150"/>
    <w:rsid w:val="00523BF4"/>
    <w:rsid w:val="00523C53"/>
    <w:rsid w:val="005241D0"/>
    <w:rsid w:val="00524534"/>
    <w:rsid w:val="00524EDB"/>
    <w:rsid w:val="005250CD"/>
    <w:rsid w:val="0052529A"/>
    <w:rsid w:val="00525677"/>
    <w:rsid w:val="00525DAE"/>
    <w:rsid w:val="00525F63"/>
    <w:rsid w:val="00525FE1"/>
    <w:rsid w:val="0052653C"/>
    <w:rsid w:val="005269AC"/>
    <w:rsid w:val="00526FB5"/>
    <w:rsid w:val="005273BA"/>
    <w:rsid w:val="005276FF"/>
    <w:rsid w:val="005305FC"/>
    <w:rsid w:val="00530B64"/>
    <w:rsid w:val="00531581"/>
    <w:rsid w:val="00531ECB"/>
    <w:rsid w:val="00532555"/>
    <w:rsid w:val="00532590"/>
    <w:rsid w:val="00532F65"/>
    <w:rsid w:val="005336F5"/>
    <w:rsid w:val="005338F5"/>
    <w:rsid w:val="0053396B"/>
    <w:rsid w:val="00533B19"/>
    <w:rsid w:val="005343DC"/>
    <w:rsid w:val="00534469"/>
    <w:rsid w:val="005346AA"/>
    <w:rsid w:val="00534A74"/>
    <w:rsid w:val="00535237"/>
    <w:rsid w:val="005359FD"/>
    <w:rsid w:val="00535FAB"/>
    <w:rsid w:val="00536170"/>
    <w:rsid w:val="005368C8"/>
    <w:rsid w:val="00536CAC"/>
    <w:rsid w:val="00536CD5"/>
    <w:rsid w:val="00536D82"/>
    <w:rsid w:val="00536E4B"/>
    <w:rsid w:val="00536E4D"/>
    <w:rsid w:val="005372E4"/>
    <w:rsid w:val="0053796C"/>
    <w:rsid w:val="00537CC0"/>
    <w:rsid w:val="00537D5E"/>
    <w:rsid w:val="00540706"/>
    <w:rsid w:val="00540CA3"/>
    <w:rsid w:val="00541283"/>
    <w:rsid w:val="00541743"/>
    <w:rsid w:val="00541AC4"/>
    <w:rsid w:val="00541C62"/>
    <w:rsid w:val="00542509"/>
    <w:rsid w:val="005427B7"/>
    <w:rsid w:val="00543132"/>
    <w:rsid w:val="00544538"/>
    <w:rsid w:val="005449A9"/>
    <w:rsid w:val="005449C6"/>
    <w:rsid w:val="00544B5E"/>
    <w:rsid w:val="00544FBD"/>
    <w:rsid w:val="00545049"/>
    <w:rsid w:val="005456D9"/>
    <w:rsid w:val="00545713"/>
    <w:rsid w:val="00545C38"/>
    <w:rsid w:val="00545E9D"/>
    <w:rsid w:val="00546240"/>
    <w:rsid w:val="005464F3"/>
    <w:rsid w:val="00546A89"/>
    <w:rsid w:val="00546BBE"/>
    <w:rsid w:val="00546CD0"/>
    <w:rsid w:val="00546FED"/>
    <w:rsid w:val="0054765C"/>
    <w:rsid w:val="00550004"/>
    <w:rsid w:val="00550329"/>
    <w:rsid w:val="00550467"/>
    <w:rsid w:val="0055051D"/>
    <w:rsid w:val="005505B7"/>
    <w:rsid w:val="0055086E"/>
    <w:rsid w:val="00550D05"/>
    <w:rsid w:val="00551098"/>
    <w:rsid w:val="00551560"/>
    <w:rsid w:val="00551653"/>
    <w:rsid w:val="0055178B"/>
    <w:rsid w:val="00551A2E"/>
    <w:rsid w:val="0055204C"/>
    <w:rsid w:val="00552218"/>
    <w:rsid w:val="0055232B"/>
    <w:rsid w:val="00552B9C"/>
    <w:rsid w:val="00552BF9"/>
    <w:rsid w:val="00552D6C"/>
    <w:rsid w:val="00553D8D"/>
    <w:rsid w:val="00554353"/>
    <w:rsid w:val="005545B2"/>
    <w:rsid w:val="0055460C"/>
    <w:rsid w:val="00554747"/>
    <w:rsid w:val="00554D73"/>
    <w:rsid w:val="005557E3"/>
    <w:rsid w:val="00555BEA"/>
    <w:rsid w:val="005560C7"/>
    <w:rsid w:val="005564B6"/>
    <w:rsid w:val="0055654E"/>
    <w:rsid w:val="00556A0E"/>
    <w:rsid w:val="00556A1B"/>
    <w:rsid w:val="0055702D"/>
    <w:rsid w:val="00557487"/>
    <w:rsid w:val="005577B3"/>
    <w:rsid w:val="005577CD"/>
    <w:rsid w:val="005579EC"/>
    <w:rsid w:val="0056013E"/>
    <w:rsid w:val="00561110"/>
    <w:rsid w:val="00561E7E"/>
    <w:rsid w:val="005623D5"/>
    <w:rsid w:val="00562403"/>
    <w:rsid w:val="00562481"/>
    <w:rsid w:val="005627AE"/>
    <w:rsid w:val="00562E6A"/>
    <w:rsid w:val="0056323F"/>
    <w:rsid w:val="00563498"/>
    <w:rsid w:val="0056389D"/>
    <w:rsid w:val="00563A3E"/>
    <w:rsid w:val="00563DAD"/>
    <w:rsid w:val="00563DE8"/>
    <w:rsid w:val="00563F57"/>
    <w:rsid w:val="00564600"/>
    <w:rsid w:val="005646E1"/>
    <w:rsid w:val="005648D9"/>
    <w:rsid w:val="00564A23"/>
    <w:rsid w:val="0056508D"/>
    <w:rsid w:val="00565971"/>
    <w:rsid w:val="00565B86"/>
    <w:rsid w:val="00565D61"/>
    <w:rsid w:val="00566232"/>
    <w:rsid w:val="0056686F"/>
    <w:rsid w:val="00566C34"/>
    <w:rsid w:val="00566C6B"/>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595"/>
    <w:rsid w:val="005726F5"/>
    <w:rsid w:val="005728AC"/>
    <w:rsid w:val="005729A1"/>
    <w:rsid w:val="00572D88"/>
    <w:rsid w:val="00572F68"/>
    <w:rsid w:val="00572FE5"/>
    <w:rsid w:val="00573067"/>
    <w:rsid w:val="00573225"/>
    <w:rsid w:val="0057383E"/>
    <w:rsid w:val="0057394E"/>
    <w:rsid w:val="00573CE0"/>
    <w:rsid w:val="0057447D"/>
    <w:rsid w:val="0057475D"/>
    <w:rsid w:val="00574D9E"/>
    <w:rsid w:val="00575484"/>
    <w:rsid w:val="00575CFA"/>
    <w:rsid w:val="00576111"/>
    <w:rsid w:val="00576B33"/>
    <w:rsid w:val="00576E44"/>
    <w:rsid w:val="005772B4"/>
    <w:rsid w:val="0057752D"/>
    <w:rsid w:val="005777FB"/>
    <w:rsid w:val="005778E0"/>
    <w:rsid w:val="00577EC4"/>
    <w:rsid w:val="00580170"/>
    <w:rsid w:val="0058023D"/>
    <w:rsid w:val="00580A48"/>
    <w:rsid w:val="00580E4E"/>
    <w:rsid w:val="00581212"/>
    <w:rsid w:val="00581251"/>
    <w:rsid w:val="00581530"/>
    <w:rsid w:val="00581C01"/>
    <w:rsid w:val="00581FE4"/>
    <w:rsid w:val="005822F6"/>
    <w:rsid w:val="0058263F"/>
    <w:rsid w:val="005829F3"/>
    <w:rsid w:val="00582AD5"/>
    <w:rsid w:val="00582D9A"/>
    <w:rsid w:val="005833C6"/>
    <w:rsid w:val="005836EC"/>
    <w:rsid w:val="00583AF2"/>
    <w:rsid w:val="00583BA8"/>
    <w:rsid w:val="00584062"/>
    <w:rsid w:val="0058408C"/>
    <w:rsid w:val="0058409D"/>
    <w:rsid w:val="00584485"/>
    <w:rsid w:val="00584CB9"/>
    <w:rsid w:val="00584F4C"/>
    <w:rsid w:val="0058504C"/>
    <w:rsid w:val="00585AA0"/>
    <w:rsid w:val="005861B6"/>
    <w:rsid w:val="00586250"/>
    <w:rsid w:val="00586338"/>
    <w:rsid w:val="005865CE"/>
    <w:rsid w:val="005873BB"/>
    <w:rsid w:val="00587A29"/>
    <w:rsid w:val="00587D87"/>
    <w:rsid w:val="005903CD"/>
    <w:rsid w:val="00590BE2"/>
    <w:rsid w:val="005917B6"/>
    <w:rsid w:val="005917D0"/>
    <w:rsid w:val="00592732"/>
    <w:rsid w:val="00592A05"/>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7283"/>
    <w:rsid w:val="00597448"/>
    <w:rsid w:val="00597804"/>
    <w:rsid w:val="00597BE4"/>
    <w:rsid w:val="005A019E"/>
    <w:rsid w:val="005A09C2"/>
    <w:rsid w:val="005A1399"/>
    <w:rsid w:val="005A1418"/>
    <w:rsid w:val="005A1514"/>
    <w:rsid w:val="005A1A34"/>
    <w:rsid w:val="005A1D50"/>
    <w:rsid w:val="005A21EE"/>
    <w:rsid w:val="005A2B3E"/>
    <w:rsid w:val="005A2F41"/>
    <w:rsid w:val="005A33CB"/>
    <w:rsid w:val="005A3501"/>
    <w:rsid w:val="005A350C"/>
    <w:rsid w:val="005A3693"/>
    <w:rsid w:val="005A3D56"/>
    <w:rsid w:val="005A3DD0"/>
    <w:rsid w:val="005A47D5"/>
    <w:rsid w:val="005A52E6"/>
    <w:rsid w:val="005A5783"/>
    <w:rsid w:val="005A5D22"/>
    <w:rsid w:val="005A6108"/>
    <w:rsid w:val="005A621A"/>
    <w:rsid w:val="005A70A4"/>
    <w:rsid w:val="005A7376"/>
    <w:rsid w:val="005A7820"/>
    <w:rsid w:val="005A7879"/>
    <w:rsid w:val="005A788F"/>
    <w:rsid w:val="005A7E7F"/>
    <w:rsid w:val="005B02DF"/>
    <w:rsid w:val="005B0437"/>
    <w:rsid w:val="005B05B3"/>
    <w:rsid w:val="005B05F5"/>
    <w:rsid w:val="005B0677"/>
    <w:rsid w:val="005B0F39"/>
    <w:rsid w:val="005B1AB9"/>
    <w:rsid w:val="005B1BEA"/>
    <w:rsid w:val="005B1CC5"/>
    <w:rsid w:val="005B1DA5"/>
    <w:rsid w:val="005B202F"/>
    <w:rsid w:val="005B21DA"/>
    <w:rsid w:val="005B257B"/>
    <w:rsid w:val="005B260E"/>
    <w:rsid w:val="005B2B25"/>
    <w:rsid w:val="005B2EA8"/>
    <w:rsid w:val="005B34C2"/>
    <w:rsid w:val="005B380E"/>
    <w:rsid w:val="005B3C3E"/>
    <w:rsid w:val="005B3D32"/>
    <w:rsid w:val="005B444D"/>
    <w:rsid w:val="005B51AC"/>
    <w:rsid w:val="005B5335"/>
    <w:rsid w:val="005B57B1"/>
    <w:rsid w:val="005B5853"/>
    <w:rsid w:val="005B5A1E"/>
    <w:rsid w:val="005B5EEC"/>
    <w:rsid w:val="005B647D"/>
    <w:rsid w:val="005B6B38"/>
    <w:rsid w:val="005B6EEC"/>
    <w:rsid w:val="005B6EF1"/>
    <w:rsid w:val="005B6F05"/>
    <w:rsid w:val="005B7F43"/>
    <w:rsid w:val="005C02D9"/>
    <w:rsid w:val="005C0A17"/>
    <w:rsid w:val="005C0D70"/>
    <w:rsid w:val="005C0F97"/>
    <w:rsid w:val="005C1182"/>
    <w:rsid w:val="005C11E1"/>
    <w:rsid w:val="005C1467"/>
    <w:rsid w:val="005C1502"/>
    <w:rsid w:val="005C1746"/>
    <w:rsid w:val="005C1F6A"/>
    <w:rsid w:val="005C2F03"/>
    <w:rsid w:val="005C2F77"/>
    <w:rsid w:val="005C3717"/>
    <w:rsid w:val="005C38A2"/>
    <w:rsid w:val="005C4361"/>
    <w:rsid w:val="005C45E4"/>
    <w:rsid w:val="005C4B7F"/>
    <w:rsid w:val="005C4FBE"/>
    <w:rsid w:val="005C50FA"/>
    <w:rsid w:val="005C52C4"/>
    <w:rsid w:val="005C56F5"/>
    <w:rsid w:val="005C5A2E"/>
    <w:rsid w:val="005C6045"/>
    <w:rsid w:val="005C63FF"/>
    <w:rsid w:val="005C6499"/>
    <w:rsid w:val="005C6524"/>
    <w:rsid w:val="005C661A"/>
    <w:rsid w:val="005C6E7D"/>
    <w:rsid w:val="005C74C0"/>
    <w:rsid w:val="005C7E2E"/>
    <w:rsid w:val="005D00E2"/>
    <w:rsid w:val="005D0170"/>
    <w:rsid w:val="005D0566"/>
    <w:rsid w:val="005D0B0A"/>
    <w:rsid w:val="005D187A"/>
    <w:rsid w:val="005D1ACA"/>
    <w:rsid w:val="005D1D3F"/>
    <w:rsid w:val="005D2272"/>
    <w:rsid w:val="005D2F65"/>
    <w:rsid w:val="005D2FEF"/>
    <w:rsid w:val="005D33E5"/>
    <w:rsid w:val="005D3557"/>
    <w:rsid w:val="005D3BEA"/>
    <w:rsid w:val="005D3C95"/>
    <w:rsid w:val="005D451F"/>
    <w:rsid w:val="005D4AF6"/>
    <w:rsid w:val="005D4D9E"/>
    <w:rsid w:val="005D5072"/>
    <w:rsid w:val="005D516B"/>
    <w:rsid w:val="005D55B4"/>
    <w:rsid w:val="005D56EF"/>
    <w:rsid w:val="005D58C3"/>
    <w:rsid w:val="005D62DB"/>
    <w:rsid w:val="005D7678"/>
    <w:rsid w:val="005D76C8"/>
    <w:rsid w:val="005D76E3"/>
    <w:rsid w:val="005E0777"/>
    <w:rsid w:val="005E07E4"/>
    <w:rsid w:val="005E0842"/>
    <w:rsid w:val="005E1690"/>
    <w:rsid w:val="005E19D1"/>
    <w:rsid w:val="005E19D7"/>
    <w:rsid w:val="005E1B51"/>
    <w:rsid w:val="005E2295"/>
    <w:rsid w:val="005E25A6"/>
    <w:rsid w:val="005E270C"/>
    <w:rsid w:val="005E276A"/>
    <w:rsid w:val="005E2BE7"/>
    <w:rsid w:val="005E3036"/>
    <w:rsid w:val="005E334F"/>
    <w:rsid w:val="005E3557"/>
    <w:rsid w:val="005E3630"/>
    <w:rsid w:val="005E3B74"/>
    <w:rsid w:val="005E3BFB"/>
    <w:rsid w:val="005E41B1"/>
    <w:rsid w:val="005E435B"/>
    <w:rsid w:val="005E46F7"/>
    <w:rsid w:val="005E47DD"/>
    <w:rsid w:val="005E4942"/>
    <w:rsid w:val="005E4948"/>
    <w:rsid w:val="005E4B8B"/>
    <w:rsid w:val="005E5DE3"/>
    <w:rsid w:val="005E5F36"/>
    <w:rsid w:val="005E643D"/>
    <w:rsid w:val="005E6744"/>
    <w:rsid w:val="005E6815"/>
    <w:rsid w:val="005E6F6E"/>
    <w:rsid w:val="005E717F"/>
    <w:rsid w:val="005E7604"/>
    <w:rsid w:val="005F0324"/>
    <w:rsid w:val="005F0747"/>
    <w:rsid w:val="005F07F5"/>
    <w:rsid w:val="005F08C1"/>
    <w:rsid w:val="005F0C58"/>
    <w:rsid w:val="005F0F49"/>
    <w:rsid w:val="005F1011"/>
    <w:rsid w:val="005F1651"/>
    <w:rsid w:val="005F1B67"/>
    <w:rsid w:val="005F23DE"/>
    <w:rsid w:val="005F24BF"/>
    <w:rsid w:val="005F2E83"/>
    <w:rsid w:val="005F328A"/>
    <w:rsid w:val="005F3384"/>
    <w:rsid w:val="005F33FB"/>
    <w:rsid w:val="005F3E68"/>
    <w:rsid w:val="005F431A"/>
    <w:rsid w:val="005F4458"/>
    <w:rsid w:val="005F4532"/>
    <w:rsid w:val="005F472D"/>
    <w:rsid w:val="005F4815"/>
    <w:rsid w:val="005F4DAF"/>
    <w:rsid w:val="005F5141"/>
    <w:rsid w:val="005F51F2"/>
    <w:rsid w:val="005F53BD"/>
    <w:rsid w:val="005F5F0B"/>
    <w:rsid w:val="005F6230"/>
    <w:rsid w:val="005F668D"/>
    <w:rsid w:val="005F676F"/>
    <w:rsid w:val="005F6BE6"/>
    <w:rsid w:val="005F70AD"/>
    <w:rsid w:val="005F730C"/>
    <w:rsid w:val="005F7584"/>
    <w:rsid w:val="005F77A1"/>
    <w:rsid w:val="005F77E4"/>
    <w:rsid w:val="005F784F"/>
    <w:rsid w:val="005F78BA"/>
    <w:rsid w:val="00600146"/>
    <w:rsid w:val="00600379"/>
    <w:rsid w:val="006003DE"/>
    <w:rsid w:val="00600EC1"/>
    <w:rsid w:val="006015FF"/>
    <w:rsid w:val="00602183"/>
    <w:rsid w:val="006023EB"/>
    <w:rsid w:val="00602528"/>
    <w:rsid w:val="00602B56"/>
    <w:rsid w:val="006034D8"/>
    <w:rsid w:val="00603A3B"/>
    <w:rsid w:val="00603B58"/>
    <w:rsid w:val="00604544"/>
    <w:rsid w:val="00604BFB"/>
    <w:rsid w:val="00604C74"/>
    <w:rsid w:val="00605191"/>
    <w:rsid w:val="00605227"/>
    <w:rsid w:val="0060562E"/>
    <w:rsid w:val="006064D4"/>
    <w:rsid w:val="006066EE"/>
    <w:rsid w:val="00606B28"/>
    <w:rsid w:val="00606EFA"/>
    <w:rsid w:val="006072E6"/>
    <w:rsid w:val="00607679"/>
    <w:rsid w:val="006079C8"/>
    <w:rsid w:val="00607A44"/>
    <w:rsid w:val="00607A7B"/>
    <w:rsid w:val="00607A85"/>
    <w:rsid w:val="00607CE3"/>
    <w:rsid w:val="00610452"/>
    <w:rsid w:val="006107D3"/>
    <w:rsid w:val="00610E58"/>
    <w:rsid w:val="00610ED0"/>
    <w:rsid w:val="00611D0D"/>
    <w:rsid w:val="006125BB"/>
    <w:rsid w:val="00612725"/>
    <w:rsid w:val="00612936"/>
    <w:rsid w:val="00612F11"/>
    <w:rsid w:val="0061308B"/>
    <w:rsid w:val="0061326B"/>
    <w:rsid w:val="00613AE5"/>
    <w:rsid w:val="0061428E"/>
    <w:rsid w:val="00614827"/>
    <w:rsid w:val="00614B3A"/>
    <w:rsid w:val="00614E2C"/>
    <w:rsid w:val="00615320"/>
    <w:rsid w:val="006161D7"/>
    <w:rsid w:val="006165DE"/>
    <w:rsid w:val="00616DC1"/>
    <w:rsid w:val="00616E2B"/>
    <w:rsid w:val="0061700A"/>
    <w:rsid w:val="0061718B"/>
    <w:rsid w:val="0061744A"/>
    <w:rsid w:val="006175A0"/>
    <w:rsid w:val="00617828"/>
    <w:rsid w:val="00617A55"/>
    <w:rsid w:val="006201C7"/>
    <w:rsid w:val="006204DC"/>
    <w:rsid w:val="006214A6"/>
    <w:rsid w:val="0062163E"/>
    <w:rsid w:val="0062180A"/>
    <w:rsid w:val="0062211B"/>
    <w:rsid w:val="00622415"/>
    <w:rsid w:val="0062246F"/>
    <w:rsid w:val="00622567"/>
    <w:rsid w:val="0062263B"/>
    <w:rsid w:val="00622D25"/>
    <w:rsid w:val="00622D41"/>
    <w:rsid w:val="00622E72"/>
    <w:rsid w:val="00623287"/>
    <w:rsid w:val="00623845"/>
    <w:rsid w:val="00623852"/>
    <w:rsid w:val="00623C69"/>
    <w:rsid w:val="0062464F"/>
    <w:rsid w:val="006248B4"/>
    <w:rsid w:val="006249DA"/>
    <w:rsid w:val="00624ABE"/>
    <w:rsid w:val="006256F9"/>
    <w:rsid w:val="00625DDF"/>
    <w:rsid w:val="00626072"/>
    <w:rsid w:val="006267A6"/>
    <w:rsid w:val="00626D9F"/>
    <w:rsid w:val="00626E9E"/>
    <w:rsid w:val="00626F26"/>
    <w:rsid w:val="00627011"/>
    <w:rsid w:val="00627130"/>
    <w:rsid w:val="00627181"/>
    <w:rsid w:val="00627392"/>
    <w:rsid w:val="006273F6"/>
    <w:rsid w:val="00627579"/>
    <w:rsid w:val="00627CD7"/>
    <w:rsid w:val="006300AD"/>
    <w:rsid w:val="00630421"/>
    <w:rsid w:val="00631076"/>
    <w:rsid w:val="00631DE8"/>
    <w:rsid w:val="006324AB"/>
    <w:rsid w:val="00632644"/>
    <w:rsid w:val="00632BCC"/>
    <w:rsid w:val="00633C56"/>
    <w:rsid w:val="006343EC"/>
    <w:rsid w:val="00634BCB"/>
    <w:rsid w:val="00635096"/>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37E1B"/>
    <w:rsid w:val="0064003F"/>
    <w:rsid w:val="006404E7"/>
    <w:rsid w:val="006405A1"/>
    <w:rsid w:val="00640B38"/>
    <w:rsid w:val="0064135A"/>
    <w:rsid w:val="00641640"/>
    <w:rsid w:val="00641B26"/>
    <w:rsid w:val="006421B4"/>
    <w:rsid w:val="00642342"/>
    <w:rsid w:val="00642BD7"/>
    <w:rsid w:val="0064337B"/>
    <w:rsid w:val="006433F4"/>
    <w:rsid w:val="006434FC"/>
    <w:rsid w:val="00643804"/>
    <w:rsid w:val="006438CB"/>
    <w:rsid w:val="00643B67"/>
    <w:rsid w:val="00644734"/>
    <w:rsid w:val="00644906"/>
    <w:rsid w:val="00644C72"/>
    <w:rsid w:val="0064519E"/>
    <w:rsid w:val="006451CF"/>
    <w:rsid w:val="0064552A"/>
    <w:rsid w:val="00645B88"/>
    <w:rsid w:val="006463C9"/>
    <w:rsid w:val="00646BFE"/>
    <w:rsid w:val="00647F15"/>
    <w:rsid w:val="006500CC"/>
    <w:rsid w:val="00650374"/>
    <w:rsid w:val="00650A67"/>
    <w:rsid w:val="00650B08"/>
    <w:rsid w:val="00650DF8"/>
    <w:rsid w:val="00650FE0"/>
    <w:rsid w:val="006511A5"/>
    <w:rsid w:val="00651566"/>
    <w:rsid w:val="006517B7"/>
    <w:rsid w:val="006518C6"/>
    <w:rsid w:val="00651E4F"/>
    <w:rsid w:val="006522C6"/>
    <w:rsid w:val="00652A4C"/>
    <w:rsid w:val="00653317"/>
    <w:rsid w:val="00653A3A"/>
    <w:rsid w:val="00653E45"/>
    <w:rsid w:val="00653FBB"/>
    <w:rsid w:val="006541D5"/>
    <w:rsid w:val="006543F3"/>
    <w:rsid w:val="00654892"/>
    <w:rsid w:val="00654CFA"/>
    <w:rsid w:val="006553E5"/>
    <w:rsid w:val="00655505"/>
    <w:rsid w:val="00655849"/>
    <w:rsid w:val="00655CC6"/>
    <w:rsid w:val="00656041"/>
    <w:rsid w:val="006560AD"/>
    <w:rsid w:val="006576BB"/>
    <w:rsid w:val="006576CB"/>
    <w:rsid w:val="0065778E"/>
    <w:rsid w:val="006579D0"/>
    <w:rsid w:val="00657A9F"/>
    <w:rsid w:val="00657B85"/>
    <w:rsid w:val="00657B8A"/>
    <w:rsid w:val="00657E3E"/>
    <w:rsid w:val="00660854"/>
    <w:rsid w:val="0066092A"/>
    <w:rsid w:val="00661026"/>
    <w:rsid w:val="006614DF"/>
    <w:rsid w:val="00661D2B"/>
    <w:rsid w:val="006624C6"/>
    <w:rsid w:val="00662888"/>
    <w:rsid w:val="00662C78"/>
    <w:rsid w:val="00662E12"/>
    <w:rsid w:val="00663491"/>
    <w:rsid w:val="006634F3"/>
    <w:rsid w:val="00663578"/>
    <w:rsid w:val="00663C1B"/>
    <w:rsid w:val="00663E18"/>
    <w:rsid w:val="006645C2"/>
    <w:rsid w:val="00664839"/>
    <w:rsid w:val="0066507D"/>
    <w:rsid w:val="006652D0"/>
    <w:rsid w:val="006659D5"/>
    <w:rsid w:val="00665FC9"/>
    <w:rsid w:val="00666236"/>
    <w:rsid w:val="0066653E"/>
    <w:rsid w:val="0066738D"/>
    <w:rsid w:val="006679D7"/>
    <w:rsid w:val="0067004D"/>
    <w:rsid w:val="006702DC"/>
    <w:rsid w:val="00670507"/>
    <w:rsid w:val="00670E79"/>
    <w:rsid w:val="0067128E"/>
    <w:rsid w:val="00671B1E"/>
    <w:rsid w:val="00671B73"/>
    <w:rsid w:val="00672034"/>
    <w:rsid w:val="006729DD"/>
    <w:rsid w:val="00672FC8"/>
    <w:rsid w:val="006735C3"/>
    <w:rsid w:val="00673A9D"/>
    <w:rsid w:val="00673FF8"/>
    <w:rsid w:val="00674AF9"/>
    <w:rsid w:val="00674B54"/>
    <w:rsid w:val="00674CD3"/>
    <w:rsid w:val="00674D6B"/>
    <w:rsid w:val="00674FD4"/>
    <w:rsid w:val="00675184"/>
    <w:rsid w:val="006751F1"/>
    <w:rsid w:val="0067524A"/>
    <w:rsid w:val="006759D6"/>
    <w:rsid w:val="00675AAB"/>
    <w:rsid w:val="00675E6D"/>
    <w:rsid w:val="00676048"/>
    <w:rsid w:val="00676890"/>
    <w:rsid w:val="00676C3C"/>
    <w:rsid w:val="00676F0E"/>
    <w:rsid w:val="00677202"/>
    <w:rsid w:val="00677775"/>
    <w:rsid w:val="006777A4"/>
    <w:rsid w:val="00677B72"/>
    <w:rsid w:val="00677BA6"/>
    <w:rsid w:val="00677FD1"/>
    <w:rsid w:val="00677FF9"/>
    <w:rsid w:val="0068073D"/>
    <w:rsid w:val="00680C4B"/>
    <w:rsid w:val="00680FD9"/>
    <w:rsid w:val="00681ACA"/>
    <w:rsid w:val="0068207D"/>
    <w:rsid w:val="00682B97"/>
    <w:rsid w:val="00683134"/>
    <w:rsid w:val="0068324E"/>
    <w:rsid w:val="00683262"/>
    <w:rsid w:val="00683B25"/>
    <w:rsid w:val="00683DF7"/>
    <w:rsid w:val="006844A0"/>
    <w:rsid w:val="0068460A"/>
    <w:rsid w:val="0068487E"/>
    <w:rsid w:val="00684BD7"/>
    <w:rsid w:val="00686041"/>
    <w:rsid w:val="0068666A"/>
    <w:rsid w:val="006869E6"/>
    <w:rsid w:val="00686B5C"/>
    <w:rsid w:val="00686DE3"/>
    <w:rsid w:val="00686F9D"/>
    <w:rsid w:val="00687372"/>
    <w:rsid w:val="006873C0"/>
    <w:rsid w:val="006877D5"/>
    <w:rsid w:val="00687BEE"/>
    <w:rsid w:val="0069106B"/>
    <w:rsid w:val="00691282"/>
    <w:rsid w:val="00691730"/>
    <w:rsid w:val="00691CAB"/>
    <w:rsid w:val="00692295"/>
    <w:rsid w:val="00692415"/>
    <w:rsid w:val="006929CC"/>
    <w:rsid w:val="00692B17"/>
    <w:rsid w:val="00692EF8"/>
    <w:rsid w:val="00693903"/>
    <w:rsid w:val="00693A68"/>
    <w:rsid w:val="00693C79"/>
    <w:rsid w:val="00693E3D"/>
    <w:rsid w:val="0069494F"/>
    <w:rsid w:val="0069509F"/>
    <w:rsid w:val="00695C15"/>
    <w:rsid w:val="00695F29"/>
    <w:rsid w:val="0069657D"/>
    <w:rsid w:val="00696B3D"/>
    <w:rsid w:val="00696C43"/>
    <w:rsid w:val="00696DA1"/>
    <w:rsid w:val="00697260"/>
    <w:rsid w:val="00697A66"/>
    <w:rsid w:val="006A0116"/>
    <w:rsid w:val="006A0C41"/>
    <w:rsid w:val="006A1171"/>
    <w:rsid w:val="006A14F2"/>
    <w:rsid w:val="006A16B8"/>
    <w:rsid w:val="006A1F28"/>
    <w:rsid w:val="006A2335"/>
    <w:rsid w:val="006A2748"/>
    <w:rsid w:val="006A2771"/>
    <w:rsid w:val="006A27FD"/>
    <w:rsid w:val="006A2840"/>
    <w:rsid w:val="006A289B"/>
    <w:rsid w:val="006A295A"/>
    <w:rsid w:val="006A33CD"/>
    <w:rsid w:val="006A3961"/>
    <w:rsid w:val="006A3A64"/>
    <w:rsid w:val="006A4538"/>
    <w:rsid w:val="006A54C7"/>
    <w:rsid w:val="006A582D"/>
    <w:rsid w:val="006A582E"/>
    <w:rsid w:val="006A5E28"/>
    <w:rsid w:val="006A655B"/>
    <w:rsid w:val="006A67B9"/>
    <w:rsid w:val="006A6812"/>
    <w:rsid w:val="006A6959"/>
    <w:rsid w:val="006A6C70"/>
    <w:rsid w:val="006A6D2C"/>
    <w:rsid w:val="006A70C8"/>
    <w:rsid w:val="006A7250"/>
    <w:rsid w:val="006B0D03"/>
    <w:rsid w:val="006B105C"/>
    <w:rsid w:val="006B10A3"/>
    <w:rsid w:val="006B10C3"/>
    <w:rsid w:val="006B1559"/>
    <w:rsid w:val="006B18A5"/>
    <w:rsid w:val="006B19D9"/>
    <w:rsid w:val="006B1AB6"/>
    <w:rsid w:val="006B1BFE"/>
    <w:rsid w:val="006B1F09"/>
    <w:rsid w:val="006B2C7B"/>
    <w:rsid w:val="006B2D6C"/>
    <w:rsid w:val="006B3891"/>
    <w:rsid w:val="006B3CBF"/>
    <w:rsid w:val="006B42D2"/>
    <w:rsid w:val="006B43AA"/>
    <w:rsid w:val="006B4BB6"/>
    <w:rsid w:val="006B506A"/>
    <w:rsid w:val="006B51A5"/>
    <w:rsid w:val="006B5321"/>
    <w:rsid w:val="006B5FA6"/>
    <w:rsid w:val="006B6278"/>
    <w:rsid w:val="006B65FB"/>
    <w:rsid w:val="006B662D"/>
    <w:rsid w:val="006B6842"/>
    <w:rsid w:val="006B6BF0"/>
    <w:rsid w:val="006B71B6"/>
    <w:rsid w:val="006B7865"/>
    <w:rsid w:val="006B7C80"/>
    <w:rsid w:val="006B7DEE"/>
    <w:rsid w:val="006B7F9B"/>
    <w:rsid w:val="006C056E"/>
    <w:rsid w:val="006C09C6"/>
    <w:rsid w:val="006C0C3C"/>
    <w:rsid w:val="006C0C42"/>
    <w:rsid w:val="006C0FCE"/>
    <w:rsid w:val="006C1183"/>
    <w:rsid w:val="006C11F9"/>
    <w:rsid w:val="006C21FE"/>
    <w:rsid w:val="006C2200"/>
    <w:rsid w:val="006C2203"/>
    <w:rsid w:val="006C25D4"/>
    <w:rsid w:val="006C26AE"/>
    <w:rsid w:val="006C2B8D"/>
    <w:rsid w:val="006C329C"/>
    <w:rsid w:val="006C3446"/>
    <w:rsid w:val="006C349C"/>
    <w:rsid w:val="006C3D25"/>
    <w:rsid w:val="006C4061"/>
    <w:rsid w:val="006C42E6"/>
    <w:rsid w:val="006C4A8C"/>
    <w:rsid w:val="006C4B22"/>
    <w:rsid w:val="006C4F6A"/>
    <w:rsid w:val="006C5150"/>
    <w:rsid w:val="006C5F94"/>
    <w:rsid w:val="006C69D0"/>
    <w:rsid w:val="006C6AA9"/>
    <w:rsid w:val="006C7739"/>
    <w:rsid w:val="006C7955"/>
    <w:rsid w:val="006C7B62"/>
    <w:rsid w:val="006D0008"/>
    <w:rsid w:val="006D026B"/>
    <w:rsid w:val="006D03A5"/>
    <w:rsid w:val="006D091C"/>
    <w:rsid w:val="006D1E25"/>
    <w:rsid w:val="006D1F98"/>
    <w:rsid w:val="006D222C"/>
    <w:rsid w:val="006D238A"/>
    <w:rsid w:val="006D2390"/>
    <w:rsid w:val="006D2500"/>
    <w:rsid w:val="006D2577"/>
    <w:rsid w:val="006D2AFA"/>
    <w:rsid w:val="006D3214"/>
    <w:rsid w:val="006D3501"/>
    <w:rsid w:val="006D40A4"/>
    <w:rsid w:val="006D4248"/>
    <w:rsid w:val="006D55DD"/>
    <w:rsid w:val="006D5635"/>
    <w:rsid w:val="006D5703"/>
    <w:rsid w:val="006D581A"/>
    <w:rsid w:val="006D5E35"/>
    <w:rsid w:val="006D60C5"/>
    <w:rsid w:val="006D61C8"/>
    <w:rsid w:val="006D6367"/>
    <w:rsid w:val="006D64E0"/>
    <w:rsid w:val="006D6AF5"/>
    <w:rsid w:val="006D7A29"/>
    <w:rsid w:val="006D7F74"/>
    <w:rsid w:val="006E04B4"/>
    <w:rsid w:val="006E0791"/>
    <w:rsid w:val="006E08E7"/>
    <w:rsid w:val="006E10AA"/>
    <w:rsid w:val="006E16DE"/>
    <w:rsid w:val="006E1DD9"/>
    <w:rsid w:val="006E2206"/>
    <w:rsid w:val="006E260F"/>
    <w:rsid w:val="006E2AAF"/>
    <w:rsid w:val="006E2C7B"/>
    <w:rsid w:val="006E3AFA"/>
    <w:rsid w:val="006E3F6F"/>
    <w:rsid w:val="006E403F"/>
    <w:rsid w:val="006E5629"/>
    <w:rsid w:val="006E566B"/>
    <w:rsid w:val="006E5B5A"/>
    <w:rsid w:val="006E5BA3"/>
    <w:rsid w:val="006E5FB3"/>
    <w:rsid w:val="006E61A6"/>
    <w:rsid w:val="006E68A9"/>
    <w:rsid w:val="006E735F"/>
    <w:rsid w:val="006E78EE"/>
    <w:rsid w:val="006E7E8D"/>
    <w:rsid w:val="006F032D"/>
    <w:rsid w:val="006F06A1"/>
    <w:rsid w:val="006F154D"/>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43AF"/>
    <w:rsid w:val="006F4E52"/>
    <w:rsid w:val="006F4F4C"/>
    <w:rsid w:val="006F4FDA"/>
    <w:rsid w:val="006F4FE1"/>
    <w:rsid w:val="006F5550"/>
    <w:rsid w:val="006F5B1C"/>
    <w:rsid w:val="006F5E6F"/>
    <w:rsid w:val="006F6A2B"/>
    <w:rsid w:val="006F6F76"/>
    <w:rsid w:val="006F7250"/>
    <w:rsid w:val="006F7410"/>
    <w:rsid w:val="00700663"/>
    <w:rsid w:val="0070071F"/>
    <w:rsid w:val="00700790"/>
    <w:rsid w:val="007007BD"/>
    <w:rsid w:val="00700A7E"/>
    <w:rsid w:val="00700ABD"/>
    <w:rsid w:val="00701524"/>
    <w:rsid w:val="00702801"/>
    <w:rsid w:val="00702AF7"/>
    <w:rsid w:val="0070304E"/>
    <w:rsid w:val="00703395"/>
    <w:rsid w:val="00703501"/>
    <w:rsid w:val="0070469F"/>
    <w:rsid w:val="007051A4"/>
    <w:rsid w:val="00706096"/>
    <w:rsid w:val="00706159"/>
    <w:rsid w:val="007064A8"/>
    <w:rsid w:val="007064B2"/>
    <w:rsid w:val="007065F2"/>
    <w:rsid w:val="007068AB"/>
    <w:rsid w:val="00707009"/>
    <w:rsid w:val="007074FD"/>
    <w:rsid w:val="0070755C"/>
    <w:rsid w:val="007076BB"/>
    <w:rsid w:val="00707FE7"/>
    <w:rsid w:val="00710038"/>
    <w:rsid w:val="00710041"/>
    <w:rsid w:val="00710652"/>
    <w:rsid w:val="00710718"/>
    <w:rsid w:val="007109D0"/>
    <w:rsid w:val="0071114A"/>
    <w:rsid w:val="007116E6"/>
    <w:rsid w:val="00711733"/>
    <w:rsid w:val="007127DF"/>
    <w:rsid w:val="00712F80"/>
    <w:rsid w:val="00712FC1"/>
    <w:rsid w:val="0071301B"/>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74"/>
    <w:rsid w:val="00716DBF"/>
    <w:rsid w:val="00716EA3"/>
    <w:rsid w:val="00716EA5"/>
    <w:rsid w:val="007171A3"/>
    <w:rsid w:val="0071736D"/>
    <w:rsid w:val="00717481"/>
    <w:rsid w:val="00717BC0"/>
    <w:rsid w:val="007200C7"/>
    <w:rsid w:val="0072015D"/>
    <w:rsid w:val="00720494"/>
    <w:rsid w:val="00720DCA"/>
    <w:rsid w:val="00720E60"/>
    <w:rsid w:val="00720F7B"/>
    <w:rsid w:val="00721747"/>
    <w:rsid w:val="00722486"/>
    <w:rsid w:val="00722AC1"/>
    <w:rsid w:val="00723114"/>
    <w:rsid w:val="007236CC"/>
    <w:rsid w:val="00724300"/>
    <w:rsid w:val="0072437E"/>
    <w:rsid w:val="0072438F"/>
    <w:rsid w:val="00724407"/>
    <w:rsid w:val="007248EE"/>
    <w:rsid w:val="00724A6F"/>
    <w:rsid w:val="00724AE9"/>
    <w:rsid w:val="0072518F"/>
    <w:rsid w:val="007257E0"/>
    <w:rsid w:val="00725B73"/>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43B6"/>
    <w:rsid w:val="007346AA"/>
    <w:rsid w:val="00734801"/>
    <w:rsid w:val="00734E00"/>
    <w:rsid w:val="007352D5"/>
    <w:rsid w:val="00735378"/>
    <w:rsid w:val="00735726"/>
    <w:rsid w:val="007359B3"/>
    <w:rsid w:val="00735CB8"/>
    <w:rsid w:val="00735F1C"/>
    <w:rsid w:val="00736116"/>
    <w:rsid w:val="007368ED"/>
    <w:rsid w:val="00737E3B"/>
    <w:rsid w:val="007400A5"/>
    <w:rsid w:val="00740258"/>
    <w:rsid w:val="00740C09"/>
    <w:rsid w:val="00741830"/>
    <w:rsid w:val="007419A5"/>
    <w:rsid w:val="00742331"/>
    <w:rsid w:val="00742668"/>
    <w:rsid w:val="00742C4B"/>
    <w:rsid w:val="00742CC1"/>
    <w:rsid w:val="00742DE2"/>
    <w:rsid w:val="00743375"/>
    <w:rsid w:val="00743BE2"/>
    <w:rsid w:val="00744210"/>
    <w:rsid w:val="00744687"/>
    <w:rsid w:val="0074477F"/>
    <w:rsid w:val="00744989"/>
    <w:rsid w:val="00744E34"/>
    <w:rsid w:val="00745888"/>
    <w:rsid w:val="00745B23"/>
    <w:rsid w:val="0074601D"/>
    <w:rsid w:val="00747528"/>
    <w:rsid w:val="00747738"/>
    <w:rsid w:val="00747AE8"/>
    <w:rsid w:val="00747EB9"/>
    <w:rsid w:val="007501BA"/>
    <w:rsid w:val="0075025C"/>
    <w:rsid w:val="00750391"/>
    <w:rsid w:val="007506A7"/>
    <w:rsid w:val="00750AD6"/>
    <w:rsid w:val="00750ED6"/>
    <w:rsid w:val="007521DE"/>
    <w:rsid w:val="007538BD"/>
    <w:rsid w:val="00753A3E"/>
    <w:rsid w:val="007543C4"/>
    <w:rsid w:val="00754E08"/>
    <w:rsid w:val="00754EE7"/>
    <w:rsid w:val="00755668"/>
    <w:rsid w:val="00755801"/>
    <w:rsid w:val="00755B1F"/>
    <w:rsid w:val="00755F9C"/>
    <w:rsid w:val="007575BE"/>
    <w:rsid w:val="00757B82"/>
    <w:rsid w:val="00757CCA"/>
    <w:rsid w:val="007602A1"/>
    <w:rsid w:val="007606F9"/>
    <w:rsid w:val="00760CC4"/>
    <w:rsid w:val="00760D45"/>
    <w:rsid w:val="0076147E"/>
    <w:rsid w:val="007614F6"/>
    <w:rsid w:val="0076159C"/>
    <w:rsid w:val="007618DB"/>
    <w:rsid w:val="00761997"/>
    <w:rsid w:val="00761B4A"/>
    <w:rsid w:val="00761D23"/>
    <w:rsid w:val="00761F26"/>
    <w:rsid w:val="007625A6"/>
    <w:rsid w:val="007626C2"/>
    <w:rsid w:val="0076281B"/>
    <w:rsid w:val="007629E5"/>
    <w:rsid w:val="00763A8E"/>
    <w:rsid w:val="00763E10"/>
    <w:rsid w:val="00764642"/>
    <w:rsid w:val="00764B37"/>
    <w:rsid w:val="00764C22"/>
    <w:rsid w:val="007652A6"/>
    <w:rsid w:val="0076535B"/>
    <w:rsid w:val="00765847"/>
    <w:rsid w:val="0076592B"/>
    <w:rsid w:val="007659FE"/>
    <w:rsid w:val="0076609A"/>
    <w:rsid w:val="00766280"/>
    <w:rsid w:val="00766318"/>
    <w:rsid w:val="007664A8"/>
    <w:rsid w:val="00766FED"/>
    <w:rsid w:val="00767F95"/>
    <w:rsid w:val="00770AD5"/>
    <w:rsid w:val="00770C02"/>
    <w:rsid w:val="0077101D"/>
    <w:rsid w:val="007714C1"/>
    <w:rsid w:val="00771832"/>
    <w:rsid w:val="00771EAB"/>
    <w:rsid w:val="00772163"/>
    <w:rsid w:val="007732FA"/>
    <w:rsid w:val="0077362A"/>
    <w:rsid w:val="00774252"/>
    <w:rsid w:val="00774E52"/>
    <w:rsid w:val="007750B5"/>
    <w:rsid w:val="007750D3"/>
    <w:rsid w:val="00775127"/>
    <w:rsid w:val="007759A5"/>
    <w:rsid w:val="00776179"/>
    <w:rsid w:val="007763A0"/>
    <w:rsid w:val="007767CE"/>
    <w:rsid w:val="00777364"/>
    <w:rsid w:val="007777C4"/>
    <w:rsid w:val="00777B0A"/>
    <w:rsid w:val="00780770"/>
    <w:rsid w:val="00780BD0"/>
    <w:rsid w:val="00781FDF"/>
    <w:rsid w:val="0078201A"/>
    <w:rsid w:val="00782082"/>
    <w:rsid w:val="00782A60"/>
    <w:rsid w:val="00782BA7"/>
    <w:rsid w:val="00783491"/>
    <w:rsid w:val="00783ADB"/>
    <w:rsid w:val="00783B02"/>
    <w:rsid w:val="007840B0"/>
    <w:rsid w:val="007841F2"/>
    <w:rsid w:val="00784397"/>
    <w:rsid w:val="00784586"/>
    <w:rsid w:val="00784CBC"/>
    <w:rsid w:val="00785095"/>
    <w:rsid w:val="0078534A"/>
    <w:rsid w:val="00785585"/>
    <w:rsid w:val="00785604"/>
    <w:rsid w:val="007867AE"/>
    <w:rsid w:val="00787A23"/>
    <w:rsid w:val="00787BFF"/>
    <w:rsid w:val="0079006F"/>
    <w:rsid w:val="007903C6"/>
    <w:rsid w:val="00791613"/>
    <w:rsid w:val="00791628"/>
    <w:rsid w:val="00791DB6"/>
    <w:rsid w:val="00792912"/>
    <w:rsid w:val="00792A3D"/>
    <w:rsid w:val="007931DE"/>
    <w:rsid w:val="00793200"/>
    <w:rsid w:val="00793EE4"/>
    <w:rsid w:val="0079403F"/>
    <w:rsid w:val="00794216"/>
    <w:rsid w:val="0079432C"/>
    <w:rsid w:val="00794817"/>
    <w:rsid w:val="00795410"/>
    <w:rsid w:val="00795434"/>
    <w:rsid w:val="00795806"/>
    <w:rsid w:val="00795838"/>
    <w:rsid w:val="00795B30"/>
    <w:rsid w:val="00795C4D"/>
    <w:rsid w:val="00795FD8"/>
    <w:rsid w:val="00796222"/>
    <w:rsid w:val="0079626F"/>
    <w:rsid w:val="0079631B"/>
    <w:rsid w:val="00796374"/>
    <w:rsid w:val="00796A9F"/>
    <w:rsid w:val="00796B93"/>
    <w:rsid w:val="00797044"/>
    <w:rsid w:val="007976FC"/>
    <w:rsid w:val="00797805"/>
    <w:rsid w:val="00797986"/>
    <w:rsid w:val="00797B1D"/>
    <w:rsid w:val="00797D15"/>
    <w:rsid w:val="007A0203"/>
    <w:rsid w:val="007A080E"/>
    <w:rsid w:val="007A0FD4"/>
    <w:rsid w:val="007A1F4B"/>
    <w:rsid w:val="007A20BE"/>
    <w:rsid w:val="007A226C"/>
    <w:rsid w:val="007A23C4"/>
    <w:rsid w:val="007A2998"/>
    <w:rsid w:val="007A2B40"/>
    <w:rsid w:val="007A2BB2"/>
    <w:rsid w:val="007A2E52"/>
    <w:rsid w:val="007A3A38"/>
    <w:rsid w:val="007A3A94"/>
    <w:rsid w:val="007A4771"/>
    <w:rsid w:val="007A4FFC"/>
    <w:rsid w:val="007A5084"/>
    <w:rsid w:val="007A510C"/>
    <w:rsid w:val="007A58D8"/>
    <w:rsid w:val="007A5AEE"/>
    <w:rsid w:val="007A5D4B"/>
    <w:rsid w:val="007A5F17"/>
    <w:rsid w:val="007A6516"/>
    <w:rsid w:val="007A65DF"/>
    <w:rsid w:val="007A66F6"/>
    <w:rsid w:val="007A687C"/>
    <w:rsid w:val="007A6D88"/>
    <w:rsid w:val="007A724F"/>
    <w:rsid w:val="007A7679"/>
    <w:rsid w:val="007A7E3E"/>
    <w:rsid w:val="007B0889"/>
    <w:rsid w:val="007B0ABB"/>
    <w:rsid w:val="007B0B01"/>
    <w:rsid w:val="007B0DE0"/>
    <w:rsid w:val="007B1376"/>
    <w:rsid w:val="007B1558"/>
    <w:rsid w:val="007B1B06"/>
    <w:rsid w:val="007B227F"/>
    <w:rsid w:val="007B2534"/>
    <w:rsid w:val="007B3BFF"/>
    <w:rsid w:val="007B3DF1"/>
    <w:rsid w:val="007B4214"/>
    <w:rsid w:val="007B44B8"/>
    <w:rsid w:val="007B45C1"/>
    <w:rsid w:val="007B4664"/>
    <w:rsid w:val="007B4831"/>
    <w:rsid w:val="007B4990"/>
    <w:rsid w:val="007B4DD4"/>
    <w:rsid w:val="007B5376"/>
    <w:rsid w:val="007B5587"/>
    <w:rsid w:val="007B55B9"/>
    <w:rsid w:val="007B585A"/>
    <w:rsid w:val="007B5A6D"/>
    <w:rsid w:val="007B5C7D"/>
    <w:rsid w:val="007B5E69"/>
    <w:rsid w:val="007B63FF"/>
    <w:rsid w:val="007B6786"/>
    <w:rsid w:val="007B6821"/>
    <w:rsid w:val="007B6A27"/>
    <w:rsid w:val="007B7529"/>
    <w:rsid w:val="007B76E7"/>
    <w:rsid w:val="007C013F"/>
    <w:rsid w:val="007C015D"/>
    <w:rsid w:val="007C0726"/>
    <w:rsid w:val="007C0C1F"/>
    <w:rsid w:val="007C10D1"/>
    <w:rsid w:val="007C1B87"/>
    <w:rsid w:val="007C1C44"/>
    <w:rsid w:val="007C2126"/>
    <w:rsid w:val="007C238E"/>
    <w:rsid w:val="007C2646"/>
    <w:rsid w:val="007C27D7"/>
    <w:rsid w:val="007C27FA"/>
    <w:rsid w:val="007C2EC3"/>
    <w:rsid w:val="007C3384"/>
    <w:rsid w:val="007C35F1"/>
    <w:rsid w:val="007C3A16"/>
    <w:rsid w:val="007C3A9E"/>
    <w:rsid w:val="007C3DA7"/>
    <w:rsid w:val="007C4065"/>
    <w:rsid w:val="007C448C"/>
    <w:rsid w:val="007C44AA"/>
    <w:rsid w:val="007C4639"/>
    <w:rsid w:val="007C4BBE"/>
    <w:rsid w:val="007C59C2"/>
    <w:rsid w:val="007C5AF2"/>
    <w:rsid w:val="007C5C2C"/>
    <w:rsid w:val="007C5D77"/>
    <w:rsid w:val="007C62BE"/>
    <w:rsid w:val="007C63DA"/>
    <w:rsid w:val="007C6EE5"/>
    <w:rsid w:val="007C6F5A"/>
    <w:rsid w:val="007C6FF4"/>
    <w:rsid w:val="007C71B9"/>
    <w:rsid w:val="007C78C8"/>
    <w:rsid w:val="007C7FA7"/>
    <w:rsid w:val="007C7FE9"/>
    <w:rsid w:val="007D06D3"/>
    <w:rsid w:val="007D0CD0"/>
    <w:rsid w:val="007D0F0E"/>
    <w:rsid w:val="007D115A"/>
    <w:rsid w:val="007D11A7"/>
    <w:rsid w:val="007D1257"/>
    <w:rsid w:val="007D137D"/>
    <w:rsid w:val="007D283F"/>
    <w:rsid w:val="007D3707"/>
    <w:rsid w:val="007D38DD"/>
    <w:rsid w:val="007D3A93"/>
    <w:rsid w:val="007D3D4C"/>
    <w:rsid w:val="007D4371"/>
    <w:rsid w:val="007D447A"/>
    <w:rsid w:val="007D44A1"/>
    <w:rsid w:val="007D4571"/>
    <w:rsid w:val="007D45FB"/>
    <w:rsid w:val="007D462F"/>
    <w:rsid w:val="007D46A0"/>
    <w:rsid w:val="007D4881"/>
    <w:rsid w:val="007D48BD"/>
    <w:rsid w:val="007D4DC6"/>
    <w:rsid w:val="007D5743"/>
    <w:rsid w:val="007D610B"/>
    <w:rsid w:val="007D621F"/>
    <w:rsid w:val="007D6248"/>
    <w:rsid w:val="007D69A0"/>
    <w:rsid w:val="007D73B0"/>
    <w:rsid w:val="007D7952"/>
    <w:rsid w:val="007D7D13"/>
    <w:rsid w:val="007E0835"/>
    <w:rsid w:val="007E09AB"/>
    <w:rsid w:val="007E0B89"/>
    <w:rsid w:val="007E1454"/>
    <w:rsid w:val="007E22C2"/>
    <w:rsid w:val="007E27D4"/>
    <w:rsid w:val="007E2ADF"/>
    <w:rsid w:val="007E33ED"/>
    <w:rsid w:val="007E353A"/>
    <w:rsid w:val="007E3623"/>
    <w:rsid w:val="007E3993"/>
    <w:rsid w:val="007E3B8C"/>
    <w:rsid w:val="007E3E9F"/>
    <w:rsid w:val="007E3EB4"/>
    <w:rsid w:val="007E45A8"/>
    <w:rsid w:val="007E4B1B"/>
    <w:rsid w:val="007E4DEF"/>
    <w:rsid w:val="007E4E18"/>
    <w:rsid w:val="007E53C3"/>
    <w:rsid w:val="007E56CD"/>
    <w:rsid w:val="007E5755"/>
    <w:rsid w:val="007E5990"/>
    <w:rsid w:val="007E6A4F"/>
    <w:rsid w:val="007E793C"/>
    <w:rsid w:val="007E7CC4"/>
    <w:rsid w:val="007E7D7A"/>
    <w:rsid w:val="007E7E66"/>
    <w:rsid w:val="007F00A1"/>
    <w:rsid w:val="007F0648"/>
    <w:rsid w:val="007F0903"/>
    <w:rsid w:val="007F0CE1"/>
    <w:rsid w:val="007F0E6A"/>
    <w:rsid w:val="007F22A7"/>
    <w:rsid w:val="007F2434"/>
    <w:rsid w:val="007F24B7"/>
    <w:rsid w:val="007F2B53"/>
    <w:rsid w:val="007F2B91"/>
    <w:rsid w:val="007F2F5A"/>
    <w:rsid w:val="007F40B7"/>
    <w:rsid w:val="007F4EA3"/>
    <w:rsid w:val="007F4EFB"/>
    <w:rsid w:val="007F5590"/>
    <w:rsid w:val="007F55CB"/>
    <w:rsid w:val="007F5632"/>
    <w:rsid w:val="007F5806"/>
    <w:rsid w:val="007F5D34"/>
    <w:rsid w:val="007F5EDD"/>
    <w:rsid w:val="007F5F90"/>
    <w:rsid w:val="007F61D0"/>
    <w:rsid w:val="007F6E4E"/>
    <w:rsid w:val="007F75E9"/>
    <w:rsid w:val="007F77B4"/>
    <w:rsid w:val="007F7BDA"/>
    <w:rsid w:val="00800747"/>
    <w:rsid w:val="0080115A"/>
    <w:rsid w:val="0080116C"/>
    <w:rsid w:val="00801416"/>
    <w:rsid w:val="00801AEC"/>
    <w:rsid w:val="00801F1E"/>
    <w:rsid w:val="008023E5"/>
    <w:rsid w:val="008023F2"/>
    <w:rsid w:val="00802401"/>
    <w:rsid w:val="00802D01"/>
    <w:rsid w:val="00803082"/>
    <w:rsid w:val="0080310A"/>
    <w:rsid w:val="0080323A"/>
    <w:rsid w:val="008034DC"/>
    <w:rsid w:val="00803C0C"/>
    <w:rsid w:val="0080416C"/>
    <w:rsid w:val="008042E8"/>
    <w:rsid w:val="00805087"/>
    <w:rsid w:val="00805A45"/>
    <w:rsid w:val="008061DC"/>
    <w:rsid w:val="00806226"/>
    <w:rsid w:val="0080646F"/>
    <w:rsid w:val="008067BC"/>
    <w:rsid w:val="00807049"/>
    <w:rsid w:val="008072FA"/>
    <w:rsid w:val="00807444"/>
    <w:rsid w:val="00807470"/>
    <w:rsid w:val="00807562"/>
    <w:rsid w:val="00807B06"/>
    <w:rsid w:val="00807D59"/>
    <w:rsid w:val="0081009F"/>
    <w:rsid w:val="00810279"/>
    <w:rsid w:val="008103A5"/>
    <w:rsid w:val="00810518"/>
    <w:rsid w:val="008105B6"/>
    <w:rsid w:val="0081064D"/>
    <w:rsid w:val="00810B0F"/>
    <w:rsid w:val="00810D13"/>
    <w:rsid w:val="00810D68"/>
    <w:rsid w:val="00811016"/>
    <w:rsid w:val="00811CBB"/>
    <w:rsid w:val="008126C6"/>
    <w:rsid w:val="008127D8"/>
    <w:rsid w:val="00812968"/>
    <w:rsid w:val="00812A98"/>
    <w:rsid w:val="00812AB8"/>
    <w:rsid w:val="0081311D"/>
    <w:rsid w:val="0081367A"/>
    <w:rsid w:val="008136DE"/>
    <w:rsid w:val="0081399B"/>
    <w:rsid w:val="00813A0D"/>
    <w:rsid w:val="00813A50"/>
    <w:rsid w:val="00813EB6"/>
    <w:rsid w:val="00813F8F"/>
    <w:rsid w:val="00814109"/>
    <w:rsid w:val="008147D2"/>
    <w:rsid w:val="00814FE0"/>
    <w:rsid w:val="00815357"/>
    <w:rsid w:val="008154E0"/>
    <w:rsid w:val="00815F1A"/>
    <w:rsid w:val="0081674A"/>
    <w:rsid w:val="008168C4"/>
    <w:rsid w:val="008168E7"/>
    <w:rsid w:val="00816B0F"/>
    <w:rsid w:val="00816E01"/>
    <w:rsid w:val="008171D5"/>
    <w:rsid w:val="00817551"/>
    <w:rsid w:val="008201B4"/>
    <w:rsid w:val="00820698"/>
    <w:rsid w:val="0082093F"/>
    <w:rsid w:val="008209B5"/>
    <w:rsid w:val="00820A07"/>
    <w:rsid w:val="00820A81"/>
    <w:rsid w:val="00820B35"/>
    <w:rsid w:val="00820ECD"/>
    <w:rsid w:val="0082103D"/>
    <w:rsid w:val="00821A8D"/>
    <w:rsid w:val="00821ADD"/>
    <w:rsid w:val="00821B31"/>
    <w:rsid w:val="00821BB5"/>
    <w:rsid w:val="008221E8"/>
    <w:rsid w:val="00822289"/>
    <w:rsid w:val="00822549"/>
    <w:rsid w:val="0082269C"/>
    <w:rsid w:val="00822942"/>
    <w:rsid w:val="008230D5"/>
    <w:rsid w:val="00823120"/>
    <w:rsid w:val="00823295"/>
    <w:rsid w:val="008239FF"/>
    <w:rsid w:val="008242CB"/>
    <w:rsid w:val="00824608"/>
    <w:rsid w:val="00824CD4"/>
    <w:rsid w:val="00824EC3"/>
    <w:rsid w:val="00825167"/>
    <w:rsid w:val="00825314"/>
    <w:rsid w:val="008253A9"/>
    <w:rsid w:val="00825567"/>
    <w:rsid w:val="008259B2"/>
    <w:rsid w:val="00825A69"/>
    <w:rsid w:val="00826404"/>
    <w:rsid w:val="00826440"/>
    <w:rsid w:val="00826744"/>
    <w:rsid w:val="008267C1"/>
    <w:rsid w:val="00826831"/>
    <w:rsid w:val="00826BC5"/>
    <w:rsid w:val="008275C4"/>
    <w:rsid w:val="008278F3"/>
    <w:rsid w:val="00827FCD"/>
    <w:rsid w:val="0083008C"/>
    <w:rsid w:val="00830421"/>
    <w:rsid w:val="008309E7"/>
    <w:rsid w:val="00830C99"/>
    <w:rsid w:val="00830D22"/>
    <w:rsid w:val="0083118C"/>
    <w:rsid w:val="008311DE"/>
    <w:rsid w:val="008319B3"/>
    <w:rsid w:val="00831E3C"/>
    <w:rsid w:val="008323E6"/>
    <w:rsid w:val="00832835"/>
    <w:rsid w:val="00832AED"/>
    <w:rsid w:val="00832C8E"/>
    <w:rsid w:val="00833118"/>
    <w:rsid w:val="00833193"/>
    <w:rsid w:val="00833256"/>
    <w:rsid w:val="00833788"/>
    <w:rsid w:val="00833A3E"/>
    <w:rsid w:val="00833ABA"/>
    <w:rsid w:val="008341F0"/>
    <w:rsid w:val="00834A2D"/>
    <w:rsid w:val="00834AEF"/>
    <w:rsid w:val="0083535B"/>
    <w:rsid w:val="00835ADF"/>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21B0"/>
    <w:rsid w:val="00842934"/>
    <w:rsid w:val="00842D55"/>
    <w:rsid w:val="00843109"/>
    <w:rsid w:val="00843206"/>
    <w:rsid w:val="008432C8"/>
    <w:rsid w:val="008435D4"/>
    <w:rsid w:val="0084362D"/>
    <w:rsid w:val="00843788"/>
    <w:rsid w:val="00843918"/>
    <w:rsid w:val="00843B1C"/>
    <w:rsid w:val="00843B63"/>
    <w:rsid w:val="00843FD3"/>
    <w:rsid w:val="00843FD7"/>
    <w:rsid w:val="008446E6"/>
    <w:rsid w:val="00844943"/>
    <w:rsid w:val="008449D9"/>
    <w:rsid w:val="00844CCC"/>
    <w:rsid w:val="008459E2"/>
    <w:rsid w:val="00845E2F"/>
    <w:rsid w:val="008461B1"/>
    <w:rsid w:val="00846950"/>
    <w:rsid w:val="00846AB3"/>
    <w:rsid w:val="00847335"/>
    <w:rsid w:val="0084737B"/>
    <w:rsid w:val="0084755C"/>
    <w:rsid w:val="00847588"/>
    <w:rsid w:val="00847601"/>
    <w:rsid w:val="00847EEE"/>
    <w:rsid w:val="0085056C"/>
    <w:rsid w:val="008508F1"/>
    <w:rsid w:val="00851936"/>
    <w:rsid w:val="00851A3F"/>
    <w:rsid w:val="00852070"/>
    <w:rsid w:val="00852672"/>
    <w:rsid w:val="00853139"/>
    <w:rsid w:val="00854037"/>
    <w:rsid w:val="00854065"/>
    <w:rsid w:val="008542AA"/>
    <w:rsid w:val="0085433D"/>
    <w:rsid w:val="008546B0"/>
    <w:rsid w:val="00854994"/>
    <w:rsid w:val="00854999"/>
    <w:rsid w:val="00854E4B"/>
    <w:rsid w:val="008553F1"/>
    <w:rsid w:val="0085563C"/>
    <w:rsid w:val="008558B3"/>
    <w:rsid w:val="008558EF"/>
    <w:rsid w:val="00855A32"/>
    <w:rsid w:val="00855C5D"/>
    <w:rsid w:val="00855ED7"/>
    <w:rsid w:val="0085601B"/>
    <w:rsid w:val="00856AAC"/>
    <w:rsid w:val="00857BFA"/>
    <w:rsid w:val="00857C66"/>
    <w:rsid w:val="00857FCD"/>
    <w:rsid w:val="00860742"/>
    <w:rsid w:val="008607BE"/>
    <w:rsid w:val="00860B93"/>
    <w:rsid w:val="00860DEB"/>
    <w:rsid w:val="00860E0A"/>
    <w:rsid w:val="00860EF6"/>
    <w:rsid w:val="008617FD"/>
    <w:rsid w:val="00861BCC"/>
    <w:rsid w:val="008624BA"/>
    <w:rsid w:val="00863230"/>
    <w:rsid w:val="008641E6"/>
    <w:rsid w:val="0086494E"/>
    <w:rsid w:val="00864E2F"/>
    <w:rsid w:val="008651A3"/>
    <w:rsid w:val="008657BC"/>
    <w:rsid w:val="00865978"/>
    <w:rsid w:val="00865981"/>
    <w:rsid w:val="00865A84"/>
    <w:rsid w:val="008669A4"/>
    <w:rsid w:val="00866B3C"/>
    <w:rsid w:val="008672AC"/>
    <w:rsid w:val="00867423"/>
    <w:rsid w:val="00867ACD"/>
    <w:rsid w:val="00870067"/>
    <w:rsid w:val="008708C8"/>
    <w:rsid w:val="00870976"/>
    <w:rsid w:val="00870A00"/>
    <w:rsid w:val="00870FB5"/>
    <w:rsid w:val="0087153F"/>
    <w:rsid w:val="008715EF"/>
    <w:rsid w:val="008719FB"/>
    <w:rsid w:val="00871A31"/>
    <w:rsid w:val="008725D4"/>
    <w:rsid w:val="00872AB8"/>
    <w:rsid w:val="00872B73"/>
    <w:rsid w:val="00872B9C"/>
    <w:rsid w:val="00872EF5"/>
    <w:rsid w:val="008738E5"/>
    <w:rsid w:val="00873B21"/>
    <w:rsid w:val="00873DC0"/>
    <w:rsid w:val="00873F37"/>
    <w:rsid w:val="0087423F"/>
    <w:rsid w:val="0087479E"/>
    <w:rsid w:val="00875085"/>
    <w:rsid w:val="0087536B"/>
    <w:rsid w:val="00875A6A"/>
    <w:rsid w:val="00876684"/>
    <w:rsid w:val="00876AEE"/>
    <w:rsid w:val="008771D9"/>
    <w:rsid w:val="008772A6"/>
    <w:rsid w:val="00877A9E"/>
    <w:rsid w:val="00877D0D"/>
    <w:rsid w:val="00877E1B"/>
    <w:rsid w:val="00880D38"/>
    <w:rsid w:val="00881199"/>
    <w:rsid w:val="008814C7"/>
    <w:rsid w:val="008824E7"/>
    <w:rsid w:val="00882B16"/>
    <w:rsid w:val="00882CAB"/>
    <w:rsid w:val="00882DF9"/>
    <w:rsid w:val="0088361B"/>
    <w:rsid w:val="008837A4"/>
    <w:rsid w:val="008838FA"/>
    <w:rsid w:val="00883C5B"/>
    <w:rsid w:val="00883E43"/>
    <w:rsid w:val="008842CF"/>
    <w:rsid w:val="008849F3"/>
    <w:rsid w:val="00884E3A"/>
    <w:rsid w:val="00885187"/>
    <w:rsid w:val="008856FD"/>
    <w:rsid w:val="00885919"/>
    <w:rsid w:val="008859D2"/>
    <w:rsid w:val="00885D3A"/>
    <w:rsid w:val="00886581"/>
    <w:rsid w:val="0088673B"/>
    <w:rsid w:val="00886AD9"/>
    <w:rsid w:val="00886FF7"/>
    <w:rsid w:val="0088715F"/>
    <w:rsid w:val="008876D1"/>
    <w:rsid w:val="008877EA"/>
    <w:rsid w:val="00887ADF"/>
    <w:rsid w:val="00887AF2"/>
    <w:rsid w:val="00887F45"/>
    <w:rsid w:val="00890864"/>
    <w:rsid w:val="00890FB9"/>
    <w:rsid w:val="008915E6"/>
    <w:rsid w:val="00891B1F"/>
    <w:rsid w:val="00891BB5"/>
    <w:rsid w:val="0089253E"/>
    <w:rsid w:val="0089270C"/>
    <w:rsid w:val="00892A1F"/>
    <w:rsid w:val="00892C1E"/>
    <w:rsid w:val="00892F7D"/>
    <w:rsid w:val="008935A3"/>
    <w:rsid w:val="00893613"/>
    <w:rsid w:val="00893AB4"/>
    <w:rsid w:val="00893B38"/>
    <w:rsid w:val="00893C34"/>
    <w:rsid w:val="00893F76"/>
    <w:rsid w:val="00894534"/>
    <w:rsid w:val="00895559"/>
    <w:rsid w:val="008957BE"/>
    <w:rsid w:val="008957D4"/>
    <w:rsid w:val="00895F31"/>
    <w:rsid w:val="008963F5"/>
    <w:rsid w:val="008966E7"/>
    <w:rsid w:val="00896A63"/>
    <w:rsid w:val="00896EBD"/>
    <w:rsid w:val="00897CD0"/>
    <w:rsid w:val="00897E55"/>
    <w:rsid w:val="008A0071"/>
    <w:rsid w:val="008A0620"/>
    <w:rsid w:val="008A09F6"/>
    <w:rsid w:val="008A1204"/>
    <w:rsid w:val="008A14F6"/>
    <w:rsid w:val="008A1924"/>
    <w:rsid w:val="008A1F91"/>
    <w:rsid w:val="008A26B9"/>
    <w:rsid w:val="008A2970"/>
    <w:rsid w:val="008A3331"/>
    <w:rsid w:val="008A3406"/>
    <w:rsid w:val="008A360A"/>
    <w:rsid w:val="008A3A85"/>
    <w:rsid w:val="008A3B3D"/>
    <w:rsid w:val="008A3BEC"/>
    <w:rsid w:val="008A3C4A"/>
    <w:rsid w:val="008A420D"/>
    <w:rsid w:val="008A4431"/>
    <w:rsid w:val="008A4E03"/>
    <w:rsid w:val="008A541D"/>
    <w:rsid w:val="008A5544"/>
    <w:rsid w:val="008A5CB1"/>
    <w:rsid w:val="008A5DCB"/>
    <w:rsid w:val="008A6027"/>
    <w:rsid w:val="008A6936"/>
    <w:rsid w:val="008A70CD"/>
    <w:rsid w:val="008A77AB"/>
    <w:rsid w:val="008A7C3C"/>
    <w:rsid w:val="008A7C7C"/>
    <w:rsid w:val="008B0EFC"/>
    <w:rsid w:val="008B1447"/>
    <w:rsid w:val="008B161A"/>
    <w:rsid w:val="008B2D9C"/>
    <w:rsid w:val="008B2E14"/>
    <w:rsid w:val="008B2EEB"/>
    <w:rsid w:val="008B2F1E"/>
    <w:rsid w:val="008B3070"/>
    <w:rsid w:val="008B3124"/>
    <w:rsid w:val="008B3DEB"/>
    <w:rsid w:val="008B3E2D"/>
    <w:rsid w:val="008B469A"/>
    <w:rsid w:val="008B4C55"/>
    <w:rsid w:val="008B4F47"/>
    <w:rsid w:val="008B540D"/>
    <w:rsid w:val="008B57C1"/>
    <w:rsid w:val="008B59E0"/>
    <w:rsid w:val="008B5D62"/>
    <w:rsid w:val="008B5E00"/>
    <w:rsid w:val="008B5FD0"/>
    <w:rsid w:val="008B627A"/>
    <w:rsid w:val="008B6F62"/>
    <w:rsid w:val="008B712F"/>
    <w:rsid w:val="008B757D"/>
    <w:rsid w:val="008B782B"/>
    <w:rsid w:val="008B78E0"/>
    <w:rsid w:val="008C0238"/>
    <w:rsid w:val="008C0417"/>
    <w:rsid w:val="008C0CAC"/>
    <w:rsid w:val="008C0EAD"/>
    <w:rsid w:val="008C1538"/>
    <w:rsid w:val="008C1ACF"/>
    <w:rsid w:val="008C1DDC"/>
    <w:rsid w:val="008C29EA"/>
    <w:rsid w:val="008C3245"/>
    <w:rsid w:val="008C352E"/>
    <w:rsid w:val="008C3673"/>
    <w:rsid w:val="008C3B37"/>
    <w:rsid w:val="008C3C1F"/>
    <w:rsid w:val="008C3DEF"/>
    <w:rsid w:val="008C4230"/>
    <w:rsid w:val="008C43F8"/>
    <w:rsid w:val="008C4670"/>
    <w:rsid w:val="008C4A09"/>
    <w:rsid w:val="008C4D5D"/>
    <w:rsid w:val="008C5982"/>
    <w:rsid w:val="008C5A79"/>
    <w:rsid w:val="008C5F17"/>
    <w:rsid w:val="008C5FAB"/>
    <w:rsid w:val="008C6030"/>
    <w:rsid w:val="008C6389"/>
    <w:rsid w:val="008C6595"/>
    <w:rsid w:val="008C7549"/>
    <w:rsid w:val="008C790B"/>
    <w:rsid w:val="008C79D0"/>
    <w:rsid w:val="008D0572"/>
    <w:rsid w:val="008D0BB5"/>
    <w:rsid w:val="008D16C2"/>
    <w:rsid w:val="008D17B2"/>
    <w:rsid w:val="008D1A4D"/>
    <w:rsid w:val="008D22EA"/>
    <w:rsid w:val="008D24EF"/>
    <w:rsid w:val="008D2734"/>
    <w:rsid w:val="008D2F1C"/>
    <w:rsid w:val="008D3191"/>
    <w:rsid w:val="008D3818"/>
    <w:rsid w:val="008D4017"/>
    <w:rsid w:val="008D4285"/>
    <w:rsid w:val="008D4540"/>
    <w:rsid w:val="008D4EA1"/>
    <w:rsid w:val="008D5082"/>
    <w:rsid w:val="008D59D4"/>
    <w:rsid w:val="008D5F0D"/>
    <w:rsid w:val="008D67F2"/>
    <w:rsid w:val="008D6A49"/>
    <w:rsid w:val="008D6B69"/>
    <w:rsid w:val="008D6CE5"/>
    <w:rsid w:val="008D76BB"/>
    <w:rsid w:val="008D76F8"/>
    <w:rsid w:val="008D77FB"/>
    <w:rsid w:val="008D7D9D"/>
    <w:rsid w:val="008E0783"/>
    <w:rsid w:val="008E0A83"/>
    <w:rsid w:val="008E0E36"/>
    <w:rsid w:val="008E1222"/>
    <w:rsid w:val="008E18E6"/>
    <w:rsid w:val="008E1A9D"/>
    <w:rsid w:val="008E1ABE"/>
    <w:rsid w:val="008E2173"/>
    <w:rsid w:val="008E26E6"/>
    <w:rsid w:val="008E27A4"/>
    <w:rsid w:val="008E295D"/>
    <w:rsid w:val="008E2C90"/>
    <w:rsid w:val="008E2D58"/>
    <w:rsid w:val="008E301E"/>
    <w:rsid w:val="008E35CD"/>
    <w:rsid w:val="008E3FD5"/>
    <w:rsid w:val="008E40FE"/>
    <w:rsid w:val="008E4244"/>
    <w:rsid w:val="008E43A3"/>
    <w:rsid w:val="008E442C"/>
    <w:rsid w:val="008E46AB"/>
    <w:rsid w:val="008E4A38"/>
    <w:rsid w:val="008E4F57"/>
    <w:rsid w:val="008E549D"/>
    <w:rsid w:val="008E550A"/>
    <w:rsid w:val="008E666F"/>
    <w:rsid w:val="008E68EF"/>
    <w:rsid w:val="008E69CB"/>
    <w:rsid w:val="008E6F3C"/>
    <w:rsid w:val="008E7176"/>
    <w:rsid w:val="008E772F"/>
    <w:rsid w:val="008E77D4"/>
    <w:rsid w:val="008E7861"/>
    <w:rsid w:val="008E7DA1"/>
    <w:rsid w:val="008F025A"/>
    <w:rsid w:val="008F0291"/>
    <w:rsid w:val="008F031D"/>
    <w:rsid w:val="008F06F5"/>
    <w:rsid w:val="008F0A31"/>
    <w:rsid w:val="008F0ADA"/>
    <w:rsid w:val="008F0E73"/>
    <w:rsid w:val="008F11F9"/>
    <w:rsid w:val="008F1645"/>
    <w:rsid w:val="008F18E4"/>
    <w:rsid w:val="008F1C4B"/>
    <w:rsid w:val="008F2127"/>
    <w:rsid w:val="008F2219"/>
    <w:rsid w:val="008F2ADC"/>
    <w:rsid w:val="008F2DC7"/>
    <w:rsid w:val="008F2DD7"/>
    <w:rsid w:val="008F31BE"/>
    <w:rsid w:val="008F3866"/>
    <w:rsid w:val="008F39FB"/>
    <w:rsid w:val="008F3FA7"/>
    <w:rsid w:val="008F41EB"/>
    <w:rsid w:val="008F4264"/>
    <w:rsid w:val="008F44EA"/>
    <w:rsid w:val="008F4581"/>
    <w:rsid w:val="008F4D2F"/>
    <w:rsid w:val="008F573A"/>
    <w:rsid w:val="008F59DD"/>
    <w:rsid w:val="008F6034"/>
    <w:rsid w:val="008F6449"/>
    <w:rsid w:val="008F6591"/>
    <w:rsid w:val="008F65F8"/>
    <w:rsid w:val="008F6EF1"/>
    <w:rsid w:val="008F72F7"/>
    <w:rsid w:val="008F749F"/>
    <w:rsid w:val="008F74DE"/>
    <w:rsid w:val="00900384"/>
    <w:rsid w:val="00900BA7"/>
    <w:rsid w:val="00900C0E"/>
    <w:rsid w:val="00900D77"/>
    <w:rsid w:val="00901BE2"/>
    <w:rsid w:val="00902396"/>
    <w:rsid w:val="00902645"/>
    <w:rsid w:val="0090295D"/>
    <w:rsid w:val="00902D47"/>
    <w:rsid w:val="00902F49"/>
    <w:rsid w:val="00903257"/>
    <w:rsid w:val="00903695"/>
    <w:rsid w:val="009038E5"/>
    <w:rsid w:val="009038FB"/>
    <w:rsid w:val="00903C4F"/>
    <w:rsid w:val="00903E78"/>
    <w:rsid w:val="00903FA4"/>
    <w:rsid w:val="00904036"/>
    <w:rsid w:val="00904860"/>
    <w:rsid w:val="009049E3"/>
    <w:rsid w:val="0090510A"/>
    <w:rsid w:val="0090526F"/>
    <w:rsid w:val="009058ED"/>
    <w:rsid w:val="00905B43"/>
    <w:rsid w:val="00906A01"/>
    <w:rsid w:val="00906C18"/>
    <w:rsid w:val="00907163"/>
    <w:rsid w:val="009072C7"/>
    <w:rsid w:val="0090759A"/>
    <w:rsid w:val="0090788C"/>
    <w:rsid w:val="00907A06"/>
    <w:rsid w:val="00907F38"/>
    <w:rsid w:val="009105EB"/>
    <w:rsid w:val="009105FD"/>
    <w:rsid w:val="00910BF6"/>
    <w:rsid w:val="00910C1B"/>
    <w:rsid w:val="00910C34"/>
    <w:rsid w:val="0091100B"/>
    <w:rsid w:val="00911790"/>
    <w:rsid w:val="00911BE7"/>
    <w:rsid w:val="00912723"/>
    <w:rsid w:val="009128D6"/>
    <w:rsid w:val="00912FBA"/>
    <w:rsid w:val="00913284"/>
    <w:rsid w:val="00913C94"/>
    <w:rsid w:val="0091462B"/>
    <w:rsid w:val="00914727"/>
    <w:rsid w:val="0091477B"/>
    <w:rsid w:val="00914893"/>
    <w:rsid w:val="009149DC"/>
    <w:rsid w:val="00915030"/>
    <w:rsid w:val="009150A5"/>
    <w:rsid w:val="0091510C"/>
    <w:rsid w:val="00915251"/>
    <w:rsid w:val="00915640"/>
    <w:rsid w:val="0091567C"/>
    <w:rsid w:val="00915D6B"/>
    <w:rsid w:val="00916AC0"/>
    <w:rsid w:val="00916B92"/>
    <w:rsid w:val="00916BA3"/>
    <w:rsid w:val="00916D1F"/>
    <w:rsid w:val="00916FB7"/>
    <w:rsid w:val="00917067"/>
    <w:rsid w:val="00917593"/>
    <w:rsid w:val="009175C7"/>
    <w:rsid w:val="00917EF2"/>
    <w:rsid w:val="00917F58"/>
    <w:rsid w:val="00920F73"/>
    <w:rsid w:val="009210D2"/>
    <w:rsid w:val="00921569"/>
    <w:rsid w:val="00921676"/>
    <w:rsid w:val="00921760"/>
    <w:rsid w:val="009219F6"/>
    <w:rsid w:val="00921B00"/>
    <w:rsid w:val="00921E9A"/>
    <w:rsid w:val="009220D5"/>
    <w:rsid w:val="00922127"/>
    <w:rsid w:val="00922332"/>
    <w:rsid w:val="00922748"/>
    <w:rsid w:val="00922AAB"/>
    <w:rsid w:val="00922F6D"/>
    <w:rsid w:val="00923019"/>
    <w:rsid w:val="00923526"/>
    <w:rsid w:val="00923594"/>
    <w:rsid w:val="00923992"/>
    <w:rsid w:val="009239EA"/>
    <w:rsid w:val="00923B6B"/>
    <w:rsid w:val="00924007"/>
    <w:rsid w:val="00924042"/>
    <w:rsid w:val="0092432C"/>
    <w:rsid w:val="00925049"/>
    <w:rsid w:val="00926A16"/>
    <w:rsid w:val="009271FC"/>
    <w:rsid w:val="00927375"/>
    <w:rsid w:val="009278AF"/>
    <w:rsid w:val="00927919"/>
    <w:rsid w:val="00927AE3"/>
    <w:rsid w:val="009312EF"/>
    <w:rsid w:val="009313B1"/>
    <w:rsid w:val="009313FE"/>
    <w:rsid w:val="00932944"/>
    <w:rsid w:val="00932BA7"/>
    <w:rsid w:val="009333AA"/>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023"/>
    <w:rsid w:val="0093705F"/>
    <w:rsid w:val="0093749C"/>
    <w:rsid w:val="009402E1"/>
    <w:rsid w:val="009403DB"/>
    <w:rsid w:val="009404A4"/>
    <w:rsid w:val="0094062A"/>
    <w:rsid w:val="00940A1B"/>
    <w:rsid w:val="00940C72"/>
    <w:rsid w:val="00940EAA"/>
    <w:rsid w:val="00941197"/>
    <w:rsid w:val="00941252"/>
    <w:rsid w:val="00941631"/>
    <w:rsid w:val="0094172C"/>
    <w:rsid w:val="009420D1"/>
    <w:rsid w:val="00942A19"/>
    <w:rsid w:val="00942C0E"/>
    <w:rsid w:val="00942F38"/>
    <w:rsid w:val="00943071"/>
    <w:rsid w:val="00944342"/>
    <w:rsid w:val="00944B0A"/>
    <w:rsid w:val="00945045"/>
    <w:rsid w:val="009454BB"/>
    <w:rsid w:val="00945699"/>
    <w:rsid w:val="009456A4"/>
    <w:rsid w:val="00945F30"/>
    <w:rsid w:val="00946480"/>
    <w:rsid w:val="009464FC"/>
    <w:rsid w:val="009469F4"/>
    <w:rsid w:val="00946E7A"/>
    <w:rsid w:val="00947162"/>
    <w:rsid w:val="00947950"/>
    <w:rsid w:val="009501BA"/>
    <w:rsid w:val="00950AE4"/>
    <w:rsid w:val="00950E73"/>
    <w:rsid w:val="00950EB1"/>
    <w:rsid w:val="00951192"/>
    <w:rsid w:val="0095127F"/>
    <w:rsid w:val="00951537"/>
    <w:rsid w:val="009517C9"/>
    <w:rsid w:val="00951ACA"/>
    <w:rsid w:val="00952285"/>
    <w:rsid w:val="00952511"/>
    <w:rsid w:val="00952C41"/>
    <w:rsid w:val="00953614"/>
    <w:rsid w:val="00953689"/>
    <w:rsid w:val="00953E1B"/>
    <w:rsid w:val="0095425E"/>
    <w:rsid w:val="009543DE"/>
    <w:rsid w:val="00954441"/>
    <w:rsid w:val="009557AA"/>
    <w:rsid w:val="00955807"/>
    <w:rsid w:val="009562EA"/>
    <w:rsid w:val="0095646C"/>
    <w:rsid w:val="009568B4"/>
    <w:rsid w:val="00956ECE"/>
    <w:rsid w:val="0095708D"/>
    <w:rsid w:val="009574BC"/>
    <w:rsid w:val="009577BB"/>
    <w:rsid w:val="00957CFD"/>
    <w:rsid w:val="00957E29"/>
    <w:rsid w:val="00957E96"/>
    <w:rsid w:val="0096000A"/>
    <w:rsid w:val="00960089"/>
    <w:rsid w:val="00960295"/>
    <w:rsid w:val="00960324"/>
    <w:rsid w:val="00960330"/>
    <w:rsid w:val="00960931"/>
    <w:rsid w:val="00960B7A"/>
    <w:rsid w:val="00960DEF"/>
    <w:rsid w:val="00960E01"/>
    <w:rsid w:val="00960F98"/>
    <w:rsid w:val="009617D9"/>
    <w:rsid w:val="00961818"/>
    <w:rsid w:val="0096201C"/>
    <w:rsid w:val="00962041"/>
    <w:rsid w:val="009625DA"/>
    <w:rsid w:val="00962E26"/>
    <w:rsid w:val="009631B1"/>
    <w:rsid w:val="00963688"/>
    <w:rsid w:val="00963C62"/>
    <w:rsid w:val="00963D4F"/>
    <w:rsid w:val="0096407D"/>
    <w:rsid w:val="00964F9F"/>
    <w:rsid w:val="00965016"/>
    <w:rsid w:val="009651CF"/>
    <w:rsid w:val="009653E8"/>
    <w:rsid w:val="0096630C"/>
    <w:rsid w:val="00966312"/>
    <w:rsid w:val="00966482"/>
    <w:rsid w:val="00966650"/>
    <w:rsid w:val="00966CF5"/>
    <w:rsid w:val="0096746F"/>
    <w:rsid w:val="009678C4"/>
    <w:rsid w:val="00967CB0"/>
    <w:rsid w:val="00967FE2"/>
    <w:rsid w:val="0097064A"/>
    <w:rsid w:val="00970C3C"/>
    <w:rsid w:val="0097141D"/>
    <w:rsid w:val="00971A2F"/>
    <w:rsid w:val="00971AA9"/>
    <w:rsid w:val="00971F25"/>
    <w:rsid w:val="0097222A"/>
    <w:rsid w:val="00972BDD"/>
    <w:rsid w:val="00972CA1"/>
    <w:rsid w:val="00973028"/>
    <w:rsid w:val="009733FC"/>
    <w:rsid w:val="00973444"/>
    <w:rsid w:val="00974018"/>
    <w:rsid w:val="009740A5"/>
    <w:rsid w:val="0097464F"/>
    <w:rsid w:val="00974758"/>
    <w:rsid w:val="0097522B"/>
    <w:rsid w:val="009758D1"/>
    <w:rsid w:val="009762A9"/>
    <w:rsid w:val="0097638D"/>
    <w:rsid w:val="00976DE4"/>
    <w:rsid w:val="00977162"/>
    <w:rsid w:val="009773DE"/>
    <w:rsid w:val="009776D1"/>
    <w:rsid w:val="0097773E"/>
    <w:rsid w:val="009779EF"/>
    <w:rsid w:val="00977F18"/>
    <w:rsid w:val="009802BB"/>
    <w:rsid w:val="009805C6"/>
    <w:rsid w:val="00981433"/>
    <w:rsid w:val="00981778"/>
    <w:rsid w:val="00982479"/>
    <w:rsid w:val="009829A4"/>
    <w:rsid w:val="00982B6E"/>
    <w:rsid w:val="00982D59"/>
    <w:rsid w:val="0098352A"/>
    <w:rsid w:val="00983545"/>
    <w:rsid w:val="00983A97"/>
    <w:rsid w:val="00984143"/>
    <w:rsid w:val="00984243"/>
    <w:rsid w:val="009843AB"/>
    <w:rsid w:val="00985108"/>
    <w:rsid w:val="00985428"/>
    <w:rsid w:val="00985611"/>
    <w:rsid w:val="00985821"/>
    <w:rsid w:val="00985BD9"/>
    <w:rsid w:val="00985D0F"/>
    <w:rsid w:val="00986007"/>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9CB"/>
    <w:rsid w:val="00992EA5"/>
    <w:rsid w:val="00992F90"/>
    <w:rsid w:val="0099362A"/>
    <w:rsid w:val="0099377B"/>
    <w:rsid w:val="00993B1C"/>
    <w:rsid w:val="00993D26"/>
    <w:rsid w:val="00993ECF"/>
    <w:rsid w:val="009946BB"/>
    <w:rsid w:val="00994BB1"/>
    <w:rsid w:val="00994E9D"/>
    <w:rsid w:val="00995535"/>
    <w:rsid w:val="00995AE9"/>
    <w:rsid w:val="00996726"/>
    <w:rsid w:val="0099739B"/>
    <w:rsid w:val="009A01A1"/>
    <w:rsid w:val="009A0C05"/>
    <w:rsid w:val="009A0E40"/>
    <w:rsid w:val="009A10D0"/>
    <w:rsid w:val="009A1122"/>
    <w:rsid w:val="009A1243"/>
    <w:rsid w:val="009A15B3"/>
    <w:rsid w:val="009A1DF0"/>
    <w:rsid w:val="009A1E1C"/>
    <w:rsid w:val="009A2163"/>
    <w:rsid w:val="009A2328"/>
    <w:rsid w:val="009A2F20"/>
    <w:rsid w:val="009A30EB"/>
    <w:rsid w:val="009A31D1"/>
    <w:rsid w:val="009A3790"/>
    <w:rsid w:val="009A3C99"/>
    <w:rsid w:val="009A4832"/>
    <w:rsid w:val="009A4B16"/>
    <w:rsid w:val="009A4D68"/>
    <w:rsid w:val="009A52DC"/>
    <w:rsid w:val="009A53B3"/>
    <w:rsid w:val="009A54D4"/>
    <w:rsid w:val="009A5A00"/>
    <w:rsid w:val="009A5AAE"/>
    <w:rsid w:val="009A62DB"/>
    <w:rsid w:val="009A6414"/>
    <w:rsid w:val="009A66A9"/>
    <w:rsid w:val="009A7018"/>
    <w:rsid w:val="009A70DE"/>
    <w:rsid w:val="009A7834"/>
    <w:rsid w:val="009A7854"/>
    <w:rsid w:val="009A78FB"/>
    <w:rsid w:val="009B015B"/>
    <w:rsid w:val="009B0FB0"/>
    <w:rsid w:val="009B1029"/>
    <w:rsid w:val="009B166A"/>
    <w:rsid w:val="009B1A15"/>
    <w:rsid w:val="009B24D5"/>
    <w:rsid w:val="009B26F6"/>
    <w:rsid w:val="009B26FB"/>
    <w:rsid w:val="009B2B0D"/>
    <w:rsid w:val="009B2F6E"/>
    <w:rsid w:val="009B32AD"/>
    <w:rsid w:val="009B33EC"/>
    <w:rsid w:val="009B3516"/>
    <w:rsid w:val="009B3720"/>
    <w:rsid w:val="009B3A4B"/>
    <w:rsid w:val="009B3B9C"/>
    <w:rsid w:val="009B3E56"/>
    <w:rsid w:val="009B3FD1"/>
    <w:rsid w:val="009B44B5"/>
    <w:rsid w:val="009B4804"/>
    <w:rsid w:val="009B484B"/>
    <w:rsid w:val="009B5DC9"/>
    <w:rsid w:val="009B60B6"/>
    <w:rsid w:val="009B6675"/>
    <w:rsid w:val="009B6787"/>
    <w:rsid w:val="009B690E"/>
    <w:rsid w:val="009B6E1C"/>
    <w:rsid w:val="009B7452"/>
    <w:rsid w:val="009B7F9D"/>
    <w:rsid w:val="009C007F"/>
    <w:rsid w:val="009C029C"/>
    <w:rsid w:val="009C0DDC"/>
    <w:rsid w:val="009C1390"/>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6402"/>
    <w:rsid w:val="009C6E63"/>
    <w:rsid w:val="009C6F2D"/>
    <w:rsid w:val="009C7620"/>
    <w:rsid w:val="009C7B34"/>
    <w:rsid w:val="009C7F9B"/>
    <w:rsid w:val="009C7FD8"/>
    <w:rsid w:val="009D00C5"/>
    <w:rsid w:val="009D00F7"/>
    <w:rsid w:val="009D1315"/>
    <w:rsid w:val="009D142C"/>
    <w:rsid w:val="009D1F46"/>
    <w:rsid w:val="009D2192"/>
    <w:rsid w:val="009D2635"/>
    <w:rsid w:val="009D2843"/>
    <w:rsid w:val="009D289E"/>
    <w:rsid w:val="009D323A"/>
    <w:rsid w:val="009D3722"/>
    <w:rsid w:val="009D382C"/>
    <w:rsid w:val="009D43CE"/>
    <w:rsid w:val="009D43EF"/>
    <w:rsid w:val="009D48C5"/>
    <w:rsid w:val="009D537E"/>
    <w:rsid w:val="009D5782"/>
    <w:rsid w:val="009D5C56"/>
    <w:rsid w:val="009D5DAB"/>
    <w:rsid w:val="009D5FFA"/>
    <w:rsid w:val="009D609F"/>
    <w:rsid w:val="009D64EA"/>
    <w:rsid w:val="009D66C7"/>
    <w:rsid w:val="009D67E5"/>
    <w:rsid w:val="009D687C"/>
    <w:rsid w:val="009D6A81"/>
    <w:rsid w:val="009D7214"/>
    <w:rsid w:val="009D7A44"/>
    <w:rsid w:val="009D7D69"/>
    <w:rsid w:val="009D7F4E"/>
    <w:rsid w:val="009E0453"/>
    <w:rsid w:val="009E04C6"/>
    <w:rsid w:val="009E19F7"/>
    <w:rsid w:val="009E1CC4"/>
    <w:rsid w:val="009E1D13"/>
    <w:rsid w:val="009E2025"/>
    <w:rsid w:val="009E2544"/>
    <w:rsid w:val="009E298C"/>
    <w:rsid w:val="009E3203"/>
    <w:rsid w:val="009E33C4"/>
    <w:rsid w:val="009E3AF4"/>
    <w:rsid w:val="009E3CFA"/>
    <w:rsid w:val="009E3FDE"/>
    <w:rsid w:val="009E40B9"/>
    <w:rsid w:val="009E4869"/>
    <w:rsid w:val="009E4EA0"/>
    <w:rsid w:val="009E535E"/>
    <w:rsid w:val="009E56D7"/>
    <w:rsid w:val="009E57FD"/>
    <w:rsid w:val="009E5D0D"/>
    <w:rsid w:val="009E5DC6"/>
    <w:rsid w:val="009E5E8A"/>
    <w:rsid w:val="009E634A"/>
    <w:rsid w:val="009E6C56"/>
    <w:rsid w:val="009E6D63"/>
    <w:rsid w:val="009E7025"/>
    <w:rsid w:val="009E728C"/>
    <w:rsid w:val="009E7AFF"/>
    <w:rsid w:val="009E7C82"/>
    <w:rsid w:val="009E7EA6"/>
    <w:rsid w:val="009F040A"/>
    <w:rsid w:val="009F06C9"/>
    <w:rsid w:val="009F0F2A"/>
    <w:rsid w:val="009F10A1"/>
    <w:rsid w:val="009F18E0"/>
    <w:rsid w:val="009F1A41"/>
    <w:rsid w:val="009F1D0B"/>
    <w:rsid w:val="009F2B33"/>
    <w:rsid w:val="009F2D05"/>
    <w:rsid w:val="009F2F4E"/>
    <w:rsid w:val="009F3072"/>
    <w:rsid w:val="009F3148"/>
    <w:rsid w:val="009F3199"/>
    <w:rsid w:val="009F3A31"/>
    <w:rsid w:val="009F3C99"/>
    <w:rsid w:val="009F3D94"/>
    <w:rsid w:val="009F4895"/>
    <w:rsid w:val="009F491C"/>
    <w:rsid w:val="009F4B0B"/>
    <w:rsid w:val="009F4D1E"/>
    <w:rsid w:val="009F4EDD"/>
    <w:rsid w:val="009F57AB"/>
    <w:rsid w:val="009F5CBB"/>
    <w:rsid w:val="009F5FDA"/>
    <w:rsid w:val="009F6622"/>
    <w:rsid w:val="009F6B4C"/>
    <w:rsid w:val="009F6FD2"/>
    <w:rsid w:val="009F7224"/>
    <w:rsid w:val="009F7A1A"/>
    <w:rsid w:val="009F7EA2"/>
    <w:rsid w:val="00A00546"/>
    <w:rsid w:val="00A006E0"/>
    <w:rsid w:val="00A007C4"/>
    <w:rsid w:val="00A009A9"/>
    <w:rsid w:val="00A00B0A"/>
    <w:rsid w:val="00A00F74"/>
    <w:rsid w:val="00A011B4"/>
    <w:rsid w:val="00A012AF"/>
    <w:rsid w:val="00A015F6"/>
    <w:rsid w:val="00A01E64"/>
    <w:rsid w:val="00A02A8B"/>
    <w:rsid w:val="00A03433"/>
    <w:rsid w:val="00A034EA"/>
    <w:rsid w:val="00A03F47"/>
    <w:rsid w:val="00A0465F"/>
    <w:rsid w:val="00A0488C"/>
    <w:rsid w:val="00A04DF9"/>
    <w:rsid w:val="00A04E82"/>
    <w:rsid w:val="00A0504D"/>
    <w:rsid w:val="00A05433"/>
    <w:rsid w:val="00A05B36"/>
    <w:rsid w:val="00A05C7F"/>
    <w:rsid w:val="00A05E44"/>
    <w:rsid w:val="00A06282"/>
    <w:rsid w:val="00A062A0"/>
    <w:rsid w:val="00A062EC"/>
    <w:rsid w:val="00A06577"/>
    <w:rsid w:val="00A068FB"/>
    <w:rsid w:val="00A06EF3"/>
    <w:rsid w:val="00A0704D"/>
    <w:rsid w:val="00A07221"/>
    <w:rsid w:val="00A0732F"/>
    <w:rsid w:val="00A0780B"/>
    <w:rsid w:val="00A1021B"/>
    <w:rsid w:val="00A10599"/>
    <w:rsid w:val="00A10F47"/>
    <w:rsid w:val="00A112F1"/>
    <w:rsid w:val="00A11530"/>
    <w:rsid w:val="00A12268"/>
    <w:rsid w:val="00A1258F"/>
    <w:rsid w:val="00A129BB"/>
    <w:rsid w:val="00A12D58"/>
    <w:rsid w:val="00A138DC"/>
    <w:rsid w:val="00A13EEC"/>
    <w:rsid w:val="00A13F3B"/>
    <w:rsid w:val="00A13F97"/>
    <w:rsid w:val="00A14379"/>
    <w:rsid w:val="00A1438A"/>
    <w:rsid w:val="00A149CA"/>
    <w:rsid w:val="00A14C81"/>
    <w:rsid w:val="00A15016"/>
    <w:rsid w:val="00A156F2"/>
    <w:rsid w:val="00A15CB0"/>
    <w:rsid w:val="00A165BC"/>
    <w:rsid w:val="00A16D32"/>
    <w:rsid w:val="00A16E7A"/>
    <w:rsid w:val="00A171C4"/>
    <w:rsid w:val="00A173F8"/>
    <w:rsid w:val="00A17634"/>
    <w:rsid w:val="00A17CBE"/>
    <w:rsid w:val="00A20152"/>
    <w:rsid w:val="00A20F41"/>
    <w:rsid w:val="00A21FA8"/>
    <w:rsid w:val="00A22162"/>
    <w:rsid w:val="00A22418"/>
    <w:rsid w:val="00A22886"/>
    <w:rsid w:val="00A2299A"/>
    <w:rsid w:val="00A231C2"/>
    <w:rsid w:val="00A23E44"/>
    <w:rsid w:val="00A24204"/>
    <w:rsid w:val="00A24354"/>
    <w:rsid w:val="00A245F5"/>
    <w:rsid w:val="00A24C51"/>
    <w:rsid w:val="00A24C5F"/>
    <w:rsid w:val="00A251E2"/>
    <w:rsid w:val="00A25B82"/>
    <w:rsid w:val="00A25C1E"/>
    <w:rsid w:val="00A25DFB"/>
    <w:rsid w:val="00A26063"/>
    <w:rsid w:val="00A2647D"/>
    <w:rsid w:val="00A26736"/>
    <w:rsid w:val="00A26ADF"/>
    <w:rsid w:val="00A26D62"/>
    <w:rsid w:val="00A271E9"/>
    <w:rsid w:val="00A279D1"/>
    <w:rsid w:val="00A279EC"/>
    <w:rsid w:val="00A3027A"/>
    <w:rsid w:val="00A304F1"/>
    <w:rsid w:val="00A307E4"/>
    <w:rsid w:val="00A30F4C"/>
    <w:rsid w:val="00A3184C"/>
    <w:rsid w:val="00A31A23"/>
    <w:rsid w:val="00A31A8E"/>
    <w:rsid w:val="00A31D25"/>
    <w:rsid w:val="00A31D96"/>
    <w:rsid w:val="00A31D9F"/>
    <w:rsid w:val="00A31FFB"/>
    <w:rsid w:val="00A325D0"/>
    <w:rsid w:val="00A32977"/>
    <w:rsid w:val="00A32C00"/>
    <w:rsid w:val="00A32CBA"/>
    <w:rsid w:val="00A32E70"/>
    <w:rsid w:val="00A337BE"/>
    <w:rsid w:val="00A33CA3"/>
    <w:rsid w:val="00A33D68"/>
    <w:rsid w:val="00A33E94"/>
    <w:rsid w:val="00A347FA"/>
    <w:rsid w:val="00A34831"/>
    <w:rsid w:val="00A35380"/>
    <w:rsid w:val="00A35644"/>
    <w:rsid w:val="00A35B44"/>
    <w:rsid w:val="00A361BD"/>
    <w:rsid w:val="00A3648B"/>
    <w:rsid w:val="00A366EA"/>
    <w:rsid w:val="00A36832"/>
    <w:rsid w:val="00A36938"/>
    <w:rsid w:val="00A3699B"/>
    <w:rsid w:val="00A36E31"/>
    <w:rsid w:val="00A36FAF"/>
    <w:rsid w:val="00A370B9"/>
    <w:rsid w:val="00A3722E"/>
    <w:rsid w:val="00A37897"/>
    <w:rsid w:val="00A400D6"/>
    <w:rsid w:val="00A4046C"/>
    <w:rsid w:val="00A4083E"/>
    <w:rsid w:val="00A40ADB"/>
    <w:rsid w:val="00A417A6"/>
    <w:rsid w:val="00A41C63"/>
    <w:rsid w:val="00A41D40"/>
    <w:rsid w:val="00A420BA"/>
    <w:rsid w:val="00A420F9"/>
    <w:rsid w:val="00A42214"/>
    <w:rsid w:val="00A42830"/>
    <w:rsid w:val="00A42A0F"/>
    <w:rsid w:val="00A42EB4"/>
    <w:rsid w:val="00A43362"/>
    <w:rsid w:val="00A43650"/>
    <w:rsid w:val="00A44393"/>
    <w:rsid w:val="00A4454F"/>
    <w:rsid w:val="00A446F7"/>
    <w:rsid w:val="00A44AEB"/>
    <w:rsid w:val="00A4557C"/>
    <w:rsid w:val="00A45739"/>
    <w:rsid w:val="00A45907"/>
    <w:rsid w:val="00A45AD6"/>
    <w:rsid w:val="00A45FC4"/>
    <w:rsid w:val="00A46106"/>
    <w:rsid w:val="00A4686B"/>
    <w:rsid w:val="00A46F3D"/>
    <w:rsid w:val="00A47795"/>
    <w:rsid w:val="00A47D1A"/>
    <w:rsid w:val="00A47D5E"/>
    <w:rsid w:val="00A50328"/>
    <w:rsid w:val="00A503C6"/>
    <w:rsid w:val="00A50621"/>
    <w:rsid w:val="00A50D76"/>
    <w:rsid w:val="00A51487"/>
    <w:rsid w:val="00A51513"/>
    <w:rsid w:val="00A519CD"/>
    <w:rsid w:val="00A52ED9"/>
    <w:rsid w:val="00A52F78"/>
    <w:rsid w:val="00A53339"/>
    <w:rsid w:val="00A53407"/>
    <w:rsid w:val="00A53C18"/>
    <w:rsid w:val="00A5401C"/>
    <w:rsid w:val="00A54AFE"/>
    <w:rsid w:val="00A54B85"/>
    <w:rsid w:val="00A55330"/>
    <w:rsid w:val="00A555E6"/>
    <w:rsid w:val="00A55977"/>
    <w:rsid w:val="00A55DB6"/>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A30"/>
    <w:rsid w:val="00A64FC5"/>
    <w:rsid w:val="00A6515D"/>
    <w:rsid w:val="00A6653B"/>
    <w:rsid w:val="00A6685C"/>
    <w:rsid w:val="00A66914"/>
    <w:rsid w:val="00A66977"/>
    <w:rsid w:val="00A66ADF"/>
    <w:rsid w:val="00A671E8"/>
    <w:rsid w:val="00A6765F"/>
    <w:rsid w:val="00A70918"/>
    <w:rsid w:val="00A7095B"/>
    <w:rsid w:val="00A70984"/>
    <w:rsid w:val="00A70B30"/>
    <w:rsid w:val="00A71135"/>
    <w:rsid w:val="00A71AF4"/>
    <w:rsid w:val="00A72602"/>
    <w:rsid w:val="00A72EDC"/>
    <w:rsid w:val="00A73216"/>
    <w:rsid w:val="00A739E6"/>
    <w:rsid w:val="00A73BDE"/>
    <w:rsid w:val="00A73CB9"/>
    <w:rsid w:val="00A73FC5"/>
    <w:rsid w:val="00A742F3"/>
    <w:rsid w:val="00A74399"/>
    <w:rsid w:val="00A74B7A"/>
    <w:rsid w:val="00A74E0F"/>
    <w:rsid w:val="00A75B77"/>
    <w:rsid w:val="00A75B7B"/>
    <w:rsid w:val="00A766E4"/>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17C9"/>
    <w:rsid w:val="00A817FD"/>
    <w:rsid w:val="00A81961"/>
    <w:rsid w:val="00A82657"/>
    <w:rsid w:val="00A82836"/>
    <w:rsid w:val="00A82955"/>
    <w:rsid w:val="00A82D45"/>
    <w:rsid w:val="00A82F61"/>
    <w:rsid w:val="00A838D3"/>
    <w:rsid w:val="00A83E6F"/>
    <w:rsid w:val="00A8463C"/>
    <w:rsid w:val="00A8493A"/>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703B"/>
    <w:rsid w:val="00A87D7E"/>
    <w:rsid w:val="00A90058"/>
    <w:rsid w:val="00A9009B"/>
    <w:rsid w:val="00A904F1"/>
    <w:rsid w:val="00A90BE1"/>
    <w:rsid w:val="00A9110D"/>
    <w:rsid w:val="00A9124E"/>
    <w:rsid w:val="00A912A8"/>
    <w:rsid w:val="00A912F3"/>
    <w:rsid w:val="00A91A2D"/>
    <w:rsid w:val="00A920B2"/>
    <w:rsid w:val="00A9298B"/>
    <w:rsid w:val="00A92A99"/>
    <w:rsid w:val="00A92C11"/>
    <w:rsid w:val="00A93345"/>
    <w:rsid w:val="00A93561"/>
    <w:rsid w:val="00A94017"/>
    <w:rsid w:val="00A94563"/>
    <w:rsid w:val="00A94A22"/>
    <w:rsid w:val="00A94FC8"/>
    <w:rsid w:val="00A954E4"/>
    <w:rsid w:val="00A95A14"/>
    <w:rsid w:val="00A95A5B"/>
    <w:rsid w:val="00A9615B"/>
    <w:rsid w:val="00A96189"/>
    <w:rsid w:val="00A965F9"/>
    <w:rsid w:val="00A966C0"/>
    <w:rsid w:val="00A96C0E"/>
    <w:rsid w:val="00A96E4E"/>
    <w:rsid w:val="00A97DB8"/>
    <w:rsid w:val="00AA0CD9"/>
    <w:rsid w:val="00AA1327"/>
    <w:rsid w:val="00AA14D6"/>
    <w:rsid w:val="00AA155C"/>
    <w:rsid w:val="00AA1A24"/>
    <w:rsid w:val="00AA1A8B"/>
    <w:rsid w:val="00AA1BB4"/>
    <w:rsid w:val="00AA2491"/>
    <w:rsid w:val="00AA2617"/>
    <w:rsid w:val="00AA2F9F"/>
    <w:rsid w:val="00AA30B6"/>
    <w:rsid w:val="00AA341A"/>
    <w:rsid w:val="00AA3423"/>
    <w:rsid w:val="00AA372C"/>
    <w:rsid w:val="00AA3A9F"/>
    <w:rsid w:val="00AA4468"/>
    <w:rsid w:val="00AA49DB"/>
    <w:rsid w:val="00AA4BFD"/>
    <w:rsid w:val="00AA559E"/>
    <w:rsid w:val="00AA5A2C"/>
    <w:rsid w:val="00AA5CAB"/>
    <w:rsid w:val="00AA5D36"/>
    <w:rsid w:val="00AA6024"/>
    <w:rsid w:val="00AA6326"/>
    <w:rsid w:val="00AA641A"/>
    <w:rsid w:val="00AA7249"/>
    <w:rsid w:val="00AA74AA"/>
    <w:rsid w:val="00AA74B0"/>
    <w:rsid w:val="00AA7C4E"/>
    <w:rsid w:val="00AA7CCD"/>
    <w:rsid w:val="00AB028E"/>
    <w:rsid w:val="00AB047A"/>
    <w:rsid w:val="00AB055F"/>
    <w:rsid w:val="00AB062C"/>
    <w:rsid w:val="00AB06B2"/>
    <w:rsid w:val="00AB083B"/>
    <w:rsid w:val="00AB0D6F"/>
    <w:rsid w:val="00AB130D"/>
    <w:rsid w:val="00AB13F5"/>
    <w:rsid w:val="00AB16D8"/>
    <w:rsid w:val="00AB187B"/>
    <w:rsid w:val="00AB1F37"/>
    <w:rsid w:val="00AB2188"/>
    <w:rsid w:val="00AB2388"/>
    <w:rsid w:val="00AB29A7"/>
    <w:rsid w:val="00AB2B6A"/>
    <w:rsid w:val="00AB2F76"/>
    <w:rsid w:val="00AB3493"/>
    <w:rsid w:val="00AB38CA"/>
    <w:rsid w:val="00AB3B2A"/>
    <w:rsid w:val="00AB46BC"/>
    <w:rsid w:val="00AB491F"/>
    <w:rsid w:val="00AB4BDF"/>
    <w:rsid w:val="00AB5196"/>
    <w:rsid w:val="00AB51D4"/>
    <w:rsid w:val="00AB5430"/>
    <w:rsid w:val="00AB543E"/>
    <w:rsid w:val="00AB5C0F"/>
    <w:rsid w:val="00AB5F86"/>
    <w:rsid w:val="00AB616A"/>
    <w:rsid w:val="00AB64F9"/>
    <w:rsid w:val="00AB67FB"/>
    <w:rsid w:val="00AB6F0F"/>
    <w:rsid w:val="00AB725B"/>
    <w:rsid w:val="00AB75DE"/>
    <w:rsid w:val="00AB76D2"/>
    <w:rsid w:val="00AB799B"/>
    <w:rsid w:val="00AB7E41"/>
    <w:rsid w:val="00AC040D"/>
    <w:rsid w:val="00AC0492"/>
    <w:rsid w:val="00AC0610"/>
    <w:rsid w:val="00AC099F"/>
    <w:rsid w:val="00AC10B2"/>
    <w:rsid w:val="00AC17A3"/>
    <w:rsid w:val="00AC17C0"/>
    <w:rsid w:val="00AC1964"/>
    <w:rsid w:val="00AC19EF"/>
    <w:rsid w:val="00AC2893"/>
    <w:rsid w:val="00AC3983"/>
    <w:rsid w:val="00AC4494"/>
    <w:rsid w:val="00AC4DF0"/>
    <w:rsid w:val="00AC5FAA"/>
    <w:rsid w:val="00AC66D3"/>
    <w:rsid w:val="00AC67BE"/>
    <w:rsid w:val="00AC7084"/>
    <w:rsid w:val="00AC7399"/>
    <w:rsid w:val="00AC7841"/>
    <w:rsid w:val="00AD0D35"/>
    <w:rsid w:val="00AD139C"/>
    <w:rsid w:val="00AD15B3"/>
    <w:rsid w:val="00AD16AC"/>
    <w:rsid w:val="00AD1C1B"/>
    <w:rsid w:val="00AD1D90"/>
    <w:rsid w:val="00AD1DE2"/>
    <w:rsid w:val="00AD2BE3"/>
    <w:rsid w:val="00AD35A8"/>
    <w:rsid w:val="00AD3840"/>
    <w:rsid w:val="00AD3879"/>
    <w:rsid w:val="00AD40D7"/>
    <w:rsid w:val="00AD56B8"/>
    <w:rsid w:val="00AD5768"/>
    <w:rsid w:val="00AD632D"/>
    <w:rsid w:val="00AD656A"/>
    <w:rsid w:val="00AD6A7D"/>
    <w:rsid w:val="00AD7511"/>
    <w:rsid w:val="00AD7581"/>
    <w:rsid w:val="00AD7B90"/>
    <w:rsid w:val="00AD7FC7"/>
    <w:rsid w:val="00AE022A"/>
    <w:rsid w:val="00AE03FE"/>
    <w:rsid w:val="00AE0639"/>
    <w:rsid w:val="00AE0C64"/>
    <w:rsid w:val="00AE15F8"/>
    <w:rsid w:val="00AE16C8"/>
    <w:rsid w:val="00AE1CAE"/>
    <w:rsid w:val="00AE1DC4"/>
    <w:rsid w:val="00AE1E1D"/>
    <w:rsid w:val="00AE1EDF"/>
    <w:rsid w:val="00AE1F90"/>
    <w:rsid w:val="00AE2A0D"/>
    <w:rsid w:val="00AE2BBE"/>
    <w:rsid w:val="00AE2D88"/>
    <w:rsid w:val="00AE3DA7"/>
    <w:rsid w:val="00AE4705"/>
    <w:rsid w:val="00AE47E7"/>
    <w:rsid w:val="00AE47FD"/>
    <w:rsid w:val="00AE4B26"/>
    <w:rsid w:val="00AE4DF8"/>
    <w:rsid w:val="00AE4ED7"/>
    <w:rsid w:val="00AE503F"/>
    <w:rsid w:val="00AE53C6"/>
    <w:rsid w:val="00AE5554"/>
    <w:rsid w:val="00AE5635"/>
    <w:rsid w:val="00AE5906"/>
    <w:rsid w:val="00AE594C"/>
    <w:rsid w:val="00AE5F28"/>
    <w:rsid w:val="00AE638B"/>
    <w:rsid w:val="00AE66D7"/>
    <w:rsid w:val="00AE6830"/>
    <w:rsid w:val="00AE6CDD"/>
    <w:rsid w:val="00AE7153"/>
    <w:rsid w:val="00AE74E9"/>
    <w:rsid w:val="00AE74F2"/>
    <w:rsid w:val="00AE766A"/>
    <w:rsid w:val="00AE7CAF"/>
    <w:rsid w:val="00AF077A"/>
    <w:rsid w:val="00AF087D"/>
    <w:rsid w:val="00AF0AFA"/>
    <w:rsid w:val="00AF0E2E"/>
    <w:rsid w:val="00AF12CC"/>
    <w:rsid w:val="00AF193B"/>
    <w:rsid w:val="00AF1DF6"/>
    <w:rsid w:val="00AF21EF"/>
    <w:rsid w:val="00AF247F"/>
    <w:rsid w:val="00AF27DA"/>
    <w:rsid w:val="00AF2849"/>
    <w:rsid w:val="00AF3348"/>
    <w:rsid w:val="00AF342B"/>
    <w:rsid w:val="00AF3443"/>
    <w:rsid w:val="00AF3D6E"/>
    <w:rsid w:val="00AF40EA"/>
    <w:rsid w:val="00AF426C"/>
    <w:rsid w:val="00AF43AA"/>
    <w:rsid w:val="00AF460F"/>
    <w:rsid w:val="00AF4868"/>
    <w:rsid w:val="00AF5501"/>
    <w:rsid w:val="00AF558B"/>
    <w:rsid w:val="00AF56D8"/>
    <w:rsid w:val="00AF5891"/>
    <w:rsid w:val="00AF5895"/>
    <w:rsid w:val="00AF5904"/>
    <w:rsid w:val="00AF5909"/>
    <w:rsid w:val="00AF5CB8"/>
    <w:rsid w:val="00AF6231"/>
    <w:rsid w:val="00AF6429"/>
    <w:rsid w:val="00AF65AE"/>
    <w:rsid w:val="00AF6863"/>
    <w:rsid w:val="00AF695A"/>
    <w:rsid w:val="00AF77F8"/>
    <w:rsid w:val="00AF79F8"/>
    <w:rsid w:val="00AF7BE5"/>
    <w:rsid w:val="00B0058A"/>
    <w:rsid w:val="00B00AFB"/>
    <w:rsid w:val="00B013BA"/>
    <w:rsid w:val="00B017F5"/>
    <w:rsid w:val="00B01930"/>
    <w:rsid w:val="00B0234C"/>
    <w:rsid w:val="00B02355"/>
    <w:rsid w:val="00B02C51"/>
    <w:rsid w:val="00B0331D"/>
    <w:rsid w:val="00B0338D"/>
    <w:rsid w:val="00B0350F"/>
    <w:rsid w:val="00B035A8"/>
    <w:rsid w:val="00B037FE"/>
    <w:rsid w:val="00B038B0"/>
    <w:rsid w:val="00B03900"/>
    <w:rsid w:val="00B045FE"/>
    <w:rsid w:val="00B051F9"/>
    <w:rsid w:val="00B05792"/>
    <w:rsid w:val="00B061A9"/>
    <w:rsid w:val="00B062CD"/>
    <w:rsid w:val="00B06FB4"/>
    <w:rsid w:val="00B076F3"/>
    <w:rsid w:val="00B07877"/>
    <w:rsid w:val="00B07A1F"/>
    <w:rsid w:val="00B07B1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4D6"/>
    <w:rsid w:val="00B16AF9"/>
    <w:rsid w:val="00B16CE0"/>
    <w:rsid w:val="00B17598"/>
    <w:rsid w:val="00B17663"/>
    <w:rsid w:val="00B17683"/>
    <w:rsid w:val="00B177D7"/>
    <w:rsid w:val="00B17BF8"/>
    <w:rsid w:val="00B20043"/>
    <w:rsid w:val="00B2180F"/>
    <w:rsid w:val="00B21DA6"/>
    <w:rsid w:val="00B2218F"/>
    <w:rsid w:val="00B223BB"/>
    <w:rsid w:val="00B22CF9"/>
    <w:rsid w:val="00B22ED2"/>
    <w:rsid w:val="00B232EF"/>
    <w:rsid w:val="00B23AD0"/>
    <w:rsid w:val="00B23EDF"/>
    <w:rsid w:val="00B24335"/>
    <w:rsid w:val="00B2450C"/>
    <w:rsid w:val="00B2451A"/>
    <w:rsid w:val="00B249A8"/>
    <w:rsid w:val="00B25463"/>
    <w:rsid w:val="00B254C4"/>
    <w:rsid w:val="00B25918"/>
    <w:rsid w:val="00B25BEB"/>
    <w:rsid w:val="00B25EB4"/>
    <w:rsid w:val="00B25EE7"/>
    <w:rsid w:val="00B26024"/>
    <w:rsid w:val="00B26640"/>
    <w:rsid w:val="00B26EC4"/>
    <w:rsid w:val="00B2705C"/>
    <w:rsid w:val="00B27962"/>
    <w:rsid w:val="00B279FC"/>
    <w:rsid w:val="00B303C8"/>
    <w:rsid w:val="00B30825"/>
    <w:rsid w:val="00B312F6"/>
    <w:rsid w:val="00B3135E"/>
    <w:rsid w:val="00B3147B"/>
    <w:rsid w:val="00B314EF"/>
    <w:rsid w:val="00B32E3B"/>
    <w:rsid w:val="00B32EAA"/>
    <w:rsid w:val="00B33D05"/>
    <w:rsid w:val="00B33DDD"/>
    <w:rsid w:val="00B3527C"/>
    <w:rsid w:val="00B35A30"/>
    <w:rsid w:val="00B35CD3"/>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A2C"/>
    <w:rsid w:val="00B41D93"/>
    <w:rsid w:val="00B41DC2"/>
    <w:rsid w:val="00B42CBD"/>
    <w:rsid w:val="00B42E1D"/>
    <w:rsid w:val="00B43299"/>
    <w:rsid w:val="00B4330E"/>
    <w:rsid w:val="00B43FE6"/>
    <w:rsid w:val="00B44D14"/>
    <w:rsid w:val="00B44E28"/>
    <w:rsid w:val="00B44FF1"/>
    <w:rsid w:val="00B45090"/>
    <w:rsid w:val="00B453D7"/>
    <w:rsid w:val="00B46160"/>
    <w:rsid w:val="00B4694C"/>
    <w:rsid w:val="00B47640"/>
    <w:rsid w:val="00B47B38"/>
    <w:rsid w:val="00B47E1D"/>
    <w:rsid w:val="00B50176"/>
    <w:rsid w:val="00B50413"/>
    <w:rsid w:val="00B506D7"/>
    <w:rsid w:val="00B50A43"/>
    <w:rsid w:val="00B50E35"/>
    <w:rsid w:val="00B511AC"/>
    <w:rsid w:val="00B51C87"/>
    <w:rsid w:val="00B5233E"/>
    <w:rsid w:val="00B523D7"/>
    <w:rsid w:val="00B52874"/>
    <w:rsid w:val="00B52A8F"/>
    <w:rsid w:val="00B52BE9"/>
    <w:rsid w:val="00B531CA"/>
    <w:rsid w:val="00B5325C"/>
    <w:rsid w:val="00B5391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DD2"/>
    <w:rsid w:val="00B55F3E"/>
    <w:rsid w:val="00B56267"/>
    <w:rsid w:val="00B56A78"/>
    <w:rsid w:val="00B56B69"/>
    <w:rsid w:val="00B572E8"/>
    <w:rsid w:val="00B57483"/>
    <w:rsid w:val="00B579A6"/>
    <w:rsid w:val="00B57D90"/>
    <w:rsid w:val="00B57F6D"/>
    <w:rsid w:val="00B60240"/>
    <w:rsid w:val="00B60410"/>
    <w:rsid w:val="00B60ABC"/>
    <w:rsid w:val="00B60DE6"/>
    <w:rsid w:val="00B61143"/>
    <w:rsid w:val="00B61323"/>
    <w:rsid w:val="00B61446"/>
    <w:rsid w:val="00B615D5"/>
    <w:rsid w:val="00B6185F"/>
    <w:rsid w:val="00B619F8"/>
    <w:rsid w:val="00B62136"/>
    <w:rsid w:val="00B62C1C"/>
    <w:rsid w:val="00B62F66"/>
    <w:rsid w:val="00B63BB8"/>
    <w:rsid w:val="00B63EA6"/>
    <w:rsid w:val="00B64229"/>
    <w:rsid w:val="00B64672"/>
    <w:rsid w:val="00B6472A"/>
    <w:rsid w:val="00B65021"/>
    <w:rsid w:val="00B654C2"/>
    <w:rsid w:val="00B65CAD"/>
    <w:rsid w:val="00B65D5D"/>
    <w:rsid w:val="00B6641C"/>
    <w:rsid w:val="00B66803"/>
    <w:rsid w:val="00B66A0D"/>
    <w:rsid w:val="00B66D72"/>
    <w:rsid w:val="00B67478"/>
    <w:rsid w:val="00B67890"/>
    <w:rsid w:val="00B678AC"/>
    <w:rsid w:val="00B67B81"/>
    <w:rsid w:val="00B701DC"/>
    <w:rsid w:val="00B70544"/>
    <w:rsid w:val="00B70B1F"/>
    <w:rsid w:val="00B718D1"/>
    <w:rsid w:val="00B71F5D"/>
    <w:rsid w:val="00B721A1"/>
    <w:rsid w:val="00B722A1"/>
    <w:rsid w:val="00B72535"/>
    <w:rsid w:val="00B72637"/>
    <w:rsid w:val="00B72750"/>
    <w:rsid w:val="00B727A3"/>
    <w:rsid w:val="00B72C4B"/>
    <w:rsid w:val="00B7317A"/>
    <w:rsid w:val="00B73BFD"/>
    <w:rsid w:val="00B74E5C"/>
    <w:rsid w:val="00B7550F"/>
    <w:rsid w:val="00B758D2"/>
    <w:rsid w:val="00B7697D"/>
    <w:rsid w:val="00B76A2E"/>
    <w:rsid w:val="00B77226"/>
    <w:rsid w:val="00B775CE"/>
    <w:rsid w:val="00B77932"/>
    <w:rsid w:val="00B77FAA"/>
    <w:rsid w:val="00B803DB"/>
    <w:rsid w:val="00B804DB"/>
    <w:rsid w:val="00B80617"/>
    <w:rsid w:val="00B80643"/>
    <w:rsid w:val="00B80656"/>
    <w:rsid w:val="00B80A49"/>
    <w:rsid w:val="00B80CE1"/>
    <w:rsid w:val="00B81CE1"/>
    <w:rsid w:val="00B822F5"/>
    <w:rsid w:val="00B827A7"/>
    <w:rsid w:val="00B82808"/>
    <w:rsid w:val="00B8358C"/>
    <w:rsid w:val="00B83764"/>
    <w:rsid w:val="00B83782"/>
    <w:rsid w:val="00B83964"/>
    <w:rsid w:val="00B83A77"/>
    <w:rsid w:val="00B83A84"/>
    <w:rsid w:val="00B83DD1"/>
    <w:rsid w:val="00B83F04"/>
    <w:rsid w:val="00B84373"/>
    <w:rsid w:val="00B84F51"/>
    <w:rsid w:val="00B8510F"/>
    <w:rsid w:val="00B851DC"/>
    <w:rsid w:val="00B85A1D"/>
    <w:rsid w:val="00B85D81"/>
    <w:rsid w:val="00B8651F"/>
    <w:rsid w:val="00B865E2"/>
    <w:rsid w:val="00B86A33"/>
    <w:rsid w:val="00B86C39"/>
    <w:rsid w:val="00B86E84"/>
    <w:rsid w:val="00B86FC3"/>
    <w:rsid w:val="00B870E8"/>
    <w:rsid w:val="00B8785B"/>
    <w:rsid w:val="00B87B27"/>
    <w:rsid w:val="00B87BA4"/>
    <w:rsid w:val="00B87CBA"/>
    <w:rsid w:val="00B87DAA"/>
    <w:rsid w:val="00B87F60"/>
    <w:rsid w:val="00B90324"/>
    <w:rsid w:val="00B90535"/>
    <w:rsid w:val="00B90DB4"/>
    <w:rsid w:val="00B90DE4"/>
    <w:rsid w:val="00B90E39"/>
    <w:rsid w:val="00B915F7"/>
    <w:rsid w:val="00B917C1"/>
    <w:rsid w:val="00B9195F"/>
    <w:rsid w:val="00B91BF4"/>
    <w:rsid w:val="00B921CF"/>
    <w:rsid w:val="00B923E9"/>
    <w:rsid w:val="00B924EA"/>
    <w:rsid w:val="00B92691"/>
    <w:rsid w:val="00B9415C"/>
    <w:rsid w:val="00B941BA"/>
    <w:rsid w:val="00B94387"/>
    <w:rsid w:val="00B9480B"/>
    <w:rsid w:val="00B94997"/>
    <w:rsid w:val="00B94AFE"/>
    <w:rsid w:val="00B94BC8"/>
    <w:rsid w:val="00B94D3A"/>
    <w:rsid w:val="00B950F7"/>
    <w:rsid w:val="00B9582A"/>
    <w:rsid w:val="00B958B1"/>
    <w:rsid w:val="00B95B8C"/>
    <w:rsid w:val="00B95C32"/>
    <w:rsid w:val="00B95D49"/>
    <w:rsid w:val="00B963EB"/>
    <w:rsid w:val="00B979B5"/>
    <w:rsid w:val="00B97A92"/>
    <w:rsid w:val="00B97C1F"/>
    <w:rsid w:val="00B97E48"/>
    <w:rsid w:val="00BA04AA"/>
    <w:rsid w:val="00BA0BAD"/>
    <w:rsid w:val="00BA0E9C"/>
    <w:rsid w:val="00BA125E"/>
    <w:rsid w:val="00BA129C"/>
    <w:rsid w:val="00BA1711"/>
    <w:rsid w:val="00BA1765"/>
    <w:rsid w:val="00BA17FE"/>
    <w:rsid w:val="00BA1DD3"/>
    <w:rsid w:val="00BA21A4"/>
    <w:rsid w:val="00BA21B0"/>
    <w:rsid w:val="00BA2679"/>
    <w:rsid w:val="00BA2FF7"/>
    <w:rsid w:val="00BA31F1"/>
    <w:rsid w:val="00BA32E3"/>
    <w:rsid w:val="00BA345D"/>
    <w:rsid w:val="00BA34D4"/>
    <w:rsid w:val="00BA3700"/>
    <w:rsid w:val="00BA41AA"/>
    <w:rsid w:val="00BA4D29"/>
    <w:rsid w:val="00BA500C"/>
    <w:rsid w:val="00BA54B7"/>
    <w:rsid w:val="00BA5915"/>
    <w:rsid w:val="00BA5D15"/>
    <w:rsid w:val="00BA5DFB"/>
    <w:rsid w:val="00BA609F"/>
    <w:rsid w:val="00BA6E28"/>
    <w:rsid w:val="00BA711F"/>
    <w:rsid w:val="00BA719B"/>
    <w:rsid w:val="00BA7954"/>
    <w:rsid w:val="00BA7A10"/>
    <w:rsid w:val="00BA7E0C"/>
    <w:rsid w:val="00BB0D0A"/>
    <w:rsid w:val="00BB157A"/>
    <w:rsid w:val="00BB1D8E"/>
    <w:rsid w:val="00BB1DFF"/>
    <w:rsid w:val="00BB21D0"/>
    <w:rsid w:val="00BB2523"/>
    <w:rsid w:val="00BB253F"/>
    <w:rsid w:val="00BB256C"/>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228"/>
    <w:rsid w:val="00BB53B9"/>
    <w:rsid w:val="00BB5614"/>
    <w:rsid w:val="00BB5639"/>
    <w:rsid w:val="00BB5902"/>
    <w:rsid w:val="00BB608B"/>
    <w:rsid w:val="00BB639F"/>
    <w:rsid w:val="00BB6B51"/>
    <w:rsid w:val="00BB6E31"/>
    <w:rsid w:val="00BB71D7"/>
    <w:rsid w:val="00BB73EB"/>
    <w:rsid w:val="00BB755A"/>
    <w:rsid w:val="00BB7A08"/>
    <w:rsid w:val="00BB7BC9"/>
    <w:rsid w:val="00BC0226"/>
    <w:rsid w:val="00BC08F5"/>
    <w:rsid w:val="00BC0D27"/>
    <w:rsid w:val="00BC0F44"/>
    <w:rsid w:val="00BC1835"/>
    <w:rsid w:val="00BC1A54"/>
    <w:rsid w:val="00BC21DC"/>
    <w:rsid w:val="00BC24E2"/>
    <w:rsid w:val="00BC26E8"/>
    <w:rsid w:val="00BC29CE"/>
    <w:rsid w:val="00BC2FD6"/>
    <w:rsid w:val="00BC310B"/>
    <w:rsid w:val="00BC34AC"/>
    <w:rsid w:val="00BC38DC"/>
    <w:rsid w:val="00BC39D3"/>
    <w:rsid w:val="00BC3B6B"/>
    <w:rsid w:val="00BC5A2D"/>
    <w:rsid w:val="00BC5D85"/>
    <w:rsid w:val="00BC60C9"/>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2164"/>
    <w:rsid w:val="00BD253A"/>
    <w:rsid w:val="00BD299C"/>
    <w:rsid w:val="00BD2C3B"/>
    <w:rsid w:val="00BD2E93"/>
    <w:rsid w:val="00BD2F6F"/>
    <w:rsid w:val="00BD3A40"/>
    <w:rsid w:val="00BD4ECE"/>
    <w:rsid w:val="00BD53A7"/>
    <w:rsid w:val="00BD5439"/>
    <w:rsid w:val="00BD5756"/>
    <w:rsid w:val="00BD57A5"/>
    <w:rsid w:val="00BD693B"/>
    <w:rsid w:val="00BD6A23"/>
    <w:rsid w:val="00BD702F"/>
    <w:rsid w:val="00BD786C"/>
    <w:rsid w:val="00BD7D46"/>
    <w:rsid w:val="00BD7FC9"/>
    <w:rsid w:val="00BE06C9"/>
    <w:rsid w:val="00BE0EC2"/>
    <w:rsid w:val="00BE13BF"/>
    <w:rsid w:val="00BE1849"/>
    <w:rsid w:val="00BE1CB1"/>
    <w:rsid w:val="00BE1EA9"/>
    <w:rsid w:val="00BE237B"/>
    <w:rsid w:val="00BE2A43"/>
    <w:rsid w:val="00BE2C32"/>
    <w:rsid w:val="00BE4914"/>
    <w:rsid w:val="00BE4928"/>
    <w:rsid w:val="00BE4B43"/>
    <w:rsid w:val="00BE59F2"/>
    <w:rsid w:val="00BE5D52"/>
    <w:rsid w:val="00BE6106"/>
    <w:rsid w:val="00BE63F6"/>
    <w:rsid w:val="00BE642D"/>
    <w:rsid w:val="00BE669E"/>
    <w:rsid w:val="00BE6C5F"/>
    <w:rsid w:val="00BE6CD9"/>
    <w:rsid w:val="00BE75D5"/>
    <w:rsid w:val="00BF06F4"/>
    <w:rsid w:val="00BF0B87"/>
    <w:rsid w:val="00BF0C2D"/>
    <w:rsid w:val="00BF1429"/>
    <w:rsid w:val="00BF1616"/>
    <w:rsid w:val="00BF199A"/>
    <w:rsid w:val="00BF237C"/>
    <w:rsid w:val="00BF24F5"/>
    <w:rsid w:val="00BF2980"/>
    <w:rsid w:val="00BF2E5A"/>
    <w:rsid w:val="00BF352D"/>
    <w:rsid w:val="00BF3606"/>
    <w:rsid w:val="00BF3799"/>
    <w:rsid w:val="00BF3854"/>
    <w:rsid w:val="00BF3E51"/>
    <w:rsid w:val="00BF3E89"/>
    <w:rsid w:val="00BF4006"/>
    <w:rsid w:val="00BF48A6"/>
    <w:rsid w:val="00BF4975"/>
    <w:rsid w:val="00BF4BCB"/>
    <w:rsid w:val="00BF4E65"/>
    <w:rsid w:val="00BF500D"/>
    <w:rsid w:val="00BF5184"/>
    <w:rsid w:val="00BF5608"/>
    <w:rsid w:val="00BF575A"/>
    <w:rsid w:val="00BF5B26"/>
    <w:rsid w:val="00BF5C77"/>
    <w:rsid w:val="00BF6420"/>
    <w:rsid w:val="00BF66C1"/>
    <w:rsid w:val="00BF68CC"/>
    <w:rsid w:val="00BF6CAE"/>
    <w:rsid w:val="00BF6D3D"/>
    <w:rsid w:val="00BF704A"/>
    <w:rsid w:val="00BF729B"/>
    <w:rsid w:val="00BF7739"/>
    <w:rsid w:val="00BF7914"/>
    <w:rsid w:val="00BF7922"/>
    <w:rsid w:val="00BF7E1C"/>
    <w:rsid w:val="00BF7EE5"/>
    <w:rsid w:val="00C0011A"/>
    <w:rsid w:val="00C001B3"/>
    <w:rsid w:val="00C007A9"/>
    <w:rsid w:val="00C0092B"/>
    <w:rsid w:val="00C00B3E"/>
    <w:rsid w:val="00C00CC2"/>
    <w:rsid w:val="00C0108B"/>
    <w:rsid w:val="00C027D0"/>
    <w:rsid w:val="00C02822"/>
    <w:rsid w:val="00C029BE"/>
    <w:rsid w:val="00C02DAA"/>
    <w:rsid w:val="00C0453D"/>
    <w:rsid w:val="00C046A1"/>
    <w:rsid w:val="00C048C0"/>
    <w:rsid w:val="00C04A35"/>
    <w:rsid w:val="00C05055"/>
    <w:rsid w:val="00C05131"/>
    <w:rsid w:val="00C0539C"/>
    <w:rsid w:val="00C055F0"/>
    <w:rsid w:val="00C05684"/>
    <w:rsid w:val="00C05DDB"/>
    <w:rsid w:val="00C06278"/>
    <w:rsid w:val="00C06537"/>
    <w:rsid w:val="00C06B67"/>
    <w:rsid w:val="00C06CB8"/>
    <w:rsid w:val="00C102B2"/>
    <w:rsid w:val="00C10517"/>
    <w:rsid w:val="00C106A0"/>
    <w:rsid w:val="00C1071E"/>
    <w:rsid w:val="00C1073C"/>
    <w:rsid w:val="00C108FA"/>
    <w:rsid w:val="00C10A4C"/>
    <w:rsid w:val="00C10D11"/>
    <w:rsid w:val="00C1100B"/>
    <w:rsid w:val="00C11534"/>
    <w:rsid w:val="00C11C09"/>
    <w:rsid w:val="00C12907"/>
    <w:rsid w:val="00C129A0"/>
    <w:rsid w:val="00C1325F"/>
    <w:rsid w:val="00C133F9"/>
    <w:rsid w:val="00C1340C"/>
    <w:rsid w:val="00C13C87"/>
    <w:rsid w:val="00C13D35"/>
    <w:rsid w:val="00C13E4B"/>
    <w:rsid w:val="00C141CB"/>
    <w:rsid w:val="00C1498A"/>
    <w:rsid w:val="00C15214"/>
    <w:rsid w:val="00C15318"/>
    <w:rsid w:val="00C1642B"/>
    <w:rsid w:val="00C16B5D"/>
    <w:rsid w:val="00C17252"/>
    <w:rsid w:val="00C1754C"/>
    <w:rsid w:val="00C177BE"/>
    <w:rsid w:val="00C1792F"/>
    <w:rsid w:val="00C179B5"/>
    <w:rsid w:val="00C200B8"/>
    <w:rsid w:val="00C205F5"/>
    <w:rsid w:val="00C2162E"/>
    <w:rsid w:val="00C21737"/>
    <w:rsid w:val="00C21A72"/>
    <w:rsid w:val="00C21B52"/>
    <w:rsid w:val="00C222ED"/>
    <w:rsid w:val="00C227AE"/>
    <w:rsid w:val="00C22AFB"/>
    <w:rsid w:val="00C22C26"/>
    <w:rsid w:val="00C230CE"/>
    <w:rsid w:val="00C23145"/>
    <w:rsid w:val="00C23397"/>
    <w:rsid w:val="00C2354D"/>
    <w:rsid w:val="00C23BFA"/>
    <w:rsid w:val="00C2414E"/>
    <w:rsid w:val="00C24256"/>
    <w:rsid w:val="00C24441"/>
    <w:rsid w:val="00C2476B"/>
    <w:rsid w:val="00C24956"/>
    <w:rsid w:val="00C24AA5"/>
    <w:rsid w:val="00C24D48"/>
    <w:rsid w:val="00C2579F"/>
    <w:rsid w:val="00C26059"/>
    <w:rsid w:val="00C26C4E"/>
    <w:rsid w:val="00C27169"/>
    <w:rsid w:val="00C27170"/>
    <w:rsid w:val="00C27D05"/>
    <w:rsid w:val="00C27FC4"/>
    <w:rsid w:val="00C301A0"/>
    <w:rsid w:val="00C3125E"/>
    <w:rsid w:val="00C316B4"/>
    <w:rsid w:val="00C31B0A"/>
    <w:rsid w:val="00C32159"/>
    <w:rsid w:val="00C326B9"/>
    <w:rsid w:val="00C32EF5"/>
    <w:rsid w:val="00C32F90"/>
    <w:rsid w:val="00C3361F"/>
    <w:rsid w:val="00C3369A"/>
    <w:rsid w:val="00C341FB"/>
    <w:rsid w:val="00C34757"/>
    <w:rsid w:val="00C347A0"/>
    <w:rsid w:val="00C3628C"/>
    <w:rsid w:val="00C3661C"/>
    <w:rsid w:val="00C36769"/>
    <w:rsid w:val="00C36787"/>
    <w:rsid w:val="00C369DC"/>
    <w:rsid w:val="00C36B2C"/>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382A"/>
    <w:rsid w:val="00C43DCF"/>
    <w:rsid w:val="00C445EC"/>
    <w:rsid w:val="00C4540A"/>
    <w:rsid w:val="00C45770"/>
    <w:rsid w:val="00C45C10"/>
    <w:rsid w:val="00C45C86"/>
    <w:rsid w:val="00C4648B"/>
    <w:rsid w:val="00C470ED"/>
    <w:rsid w:val="00C47983"/>
    <w:rsid w:val="00C47AF7"/>
    <w:rsid w:val="00C47B9A"/>
    <w:rsid w:val="00C503A5"/>
    <w:rsid w:val="00C50486"/>
    <w:rsid w:val="00C50986"/>
    <w:rsid w:val="00C50C26"/>
    <w:rsid w:val="00C5220A"/>
    <w:rsid w:val="00C52A21"/>
    <w:rsid w:val="00C52EAD"/>
    <w:rsid w:val="00C532EA"/>
    <w:rsid w:val="00C534A4"/>
    <w:rsid w:val="00C537D2"/>
    <w:rsid w:val="00C53990"/>
    <w:rsid w:val="00C53A95"/>
    <w:rsid w:val="00C53DE9"/>
    <w:rsid w:val="00C53FCB"/>
    <w:rsid w:val="00C54D51"/>
    <w:rsid w:val="00C55D90"/>
    <w:rsid w:val="00C565C6"/>
    <w:rsid w:val="00C56E05"/>
    <w:rsid w:val="00C57035"/>
    <w:rsid w:val="00C57804"/>
    <w:rsid w:val="00C578F3"/>
    <w:rsid w:val="00C57C5E"/>
    <w:rsid w:val="00C60839"/>
    <w:rsid w:val="00C609DD"/>
    <w:rsid w:val="00C60B8F"/>
    <w:rsid w:val="00C60EC2"/>
    <w:rsid w:val="00C61FB0"/>
    <w:rsid w:val="00C6270F"/>
    <w:rsid w:val="00C62CC2"/>
    <w:rsid w:val="00C631EF"/>
    <w:rsid w:val="00C63298"/>
    <w:rsid w:val="00C637C5"/>
    <w:rsid w:val="00C6383D"/>
    <w:rsid w:val="00C639B8"/>
    <w:rsid w:val="00C639F6"/>
    <w:rsid w:val="00C63EED"/>
    <w:rsid w:val="00C6453A"/>
    <w:rsid w:val="00C650BA"/>
    <w:rsid w:val="00C65AF4"/>
    <w:rsid w:val="00C66029"/>
    <w:rsid w:val="00C6608C"/>
    <w:rsid w:val="00C66BC1"/>
    <w:rsid w:val="00C6733E"/>
    <w:rsid w:val="00C67726"/>
    <w:rsid w:val="00C67BD9"/>
    <w:rsid w:val="00C70292"/>
    <w:rsid w:val="00C706B7"/>
    <w:rsid w:val="00C70ACA"/>
    <w:rsid w:val="00C710C3"/>
    <w:rsid w:val="00C71B8C"/>
    <w:rsid w:val="00C71D2A"/>
    <w:rsid w:val="00C72A00"/>
    <w:rsid w:val="00C72B2F"/>
    <w:rsid w:val="00C72BE2"/>
    <w:rsid w:val="00C72CDC"/>
    <w:rsid w:val="00C73211"/>
    <w:rsid w:val="00C738C7"/>
    <w:rsid w:val="00C73A56"/>
    <w:rsid w:val="00C73D7D"/>
    <w:rsid w:val="00C7442E"/>
    <w:rsid w:val="00C7454B"/>
    <w:rsid w:val="00C74937"/>
    <w:rsid w:val="00C74FEF"/>
    <w:rsid w:val="00C751FE"/>
    <w:rsid w:val="00C757C2"/>
    <w:rsid w:val="00C75C9E"/>
    <w:rsid w:val="00C75EE9"/>
    <w:rsid w:val="00C75F0A"/>
    <w:rsid w:val="00C7622D"/>
    <w:rsid w:val="00C76772"/>
    <w:rsid w:val="00C76806"/>
    <w:rsid w:val="00C76861"/>
    <w:rsid w:val="00C7687D"/>
    <w:rsid w:val="00C76AA1"/>
    <w:rsid w:val="00C76D20"/>
    <w:rsid w:val="00C76D47"/>
    <w:rsid w:val="00C77263"/>
    <w:rsid w:val="00C77E2F"/>
    <w:rsid w:val="00C77EC9"/>
    <w:rsid w:val="00C77FB2"/>
    <w:rsid w:val="00C8083A"/>
    <w:rsid w:val="00C80B48"/>
    <w:rsid w:val="00C80D7E"/>
    <w:rsid w:val="00C81102"/>
    <w:rsid w:val="00C81635"/>
    <w:rsid w:val="00C828F1"/>
    <w:rsid w:val="00C82900"/>
    <w:rsid w:val="00C82B9B"/>
    <w:rsid w:val="00C831D7"/>
    <w:rsid w:val="00C8327A"/>
    <w:rsid w:val="00C83BFC"/>
    <w:rsid w:val="00C83E94"/>
    <w:rsid w:val="00C83EA7"/>
    <w:rsid w:val="00C8412F"/>
    <w:rsid w:val="00C842BD"/>
    <w:rsid w:val="00C8556F"/>
    <w:rsid w:val="00C857F2"/>
    <w:rsid w:val="00C85CE5"/>
    <w:rsid w:val="00C86456"/>
    <w:rsid w:val="00C865DB"/>
    <w:rsid w:val="00C86AA6"/>
    <w:rsid w:val="00C8709A"/>
    <w:rsid w:val="00C8728D"/>
    <w:rsid w:val="00C873FD"/>
    <w:rsid w:val="00C87C53"/>
    <w:rsid w:val="00C87E56"/>
    <w:rsid w:val="00C9020F"/>
    <w:rsid w:val="00C905B6"/>
    <w:rsid w:val="00C90799"/>
    <w:rsid w:val="00C90BC8"/>
    <w:rsid w:val="00C90BF7"/>
    <w:rsid w:val="00C90F77"/>
    <w:rsid w:val="00C91102"/>
    <w:rsid w:val="00C91407"/>
    <w:rsid w:val="00C91628"/>
    <w:rsid w:val="00C9186A"/>
    <w:rsid w:val="00C91CB0"/>
    <w:rsid w:val="00C91E22"/>
    <w:rsid w:val="00C92206"/>
    <w:rsid w:val="00C9290A"/>
    <w:rsid w:val="00C929B3"/>
    <w:rsid w:val="00C92DAC"/>
    <w:rsid w:val="00C92F28"/>
    <w:rsid w:val="00C94827"/>
    <w:rsid w:val="00C94C93"/>
    <w:rsid w:val="00C9544F"/>
    <w:rsid w:val="00C96011"/>
    <w:rsid w:val="00C9637D"/>
    <w:rsid w:val="00C963F4"/>
    <w:rsid w:val="00C965B9"/>
    <w:rsid w:val="00C9709D"/>
    <w:rsid w:val="00C977C8"/>
    <w:rsid w:val="00C979B2"/>
    <w:rsid w:val="00CA02EE"/>
    <w:rsid w:val="00CA08BF"/>
    <w:rsid w:val="00CA0956"/>
    <w:rsid w:val="00CA0A9E"/>
    <w:rsid w:val="00CA0B2F"/>
    <w:rsid w:val="00CA171E"/>
    <w:rsid w:val="00CA1C60"/>
    <w:rsid w:val="00CA1EED"/>
    <w:rsid w:val="00CA2162"/>
    <w:rsid w:val="00CA3045"/>
    <w:rsid w:val="00CA3246"/>
    <w:rsid w:val="00CA32D0"/>
    <w:rsid w:val="00CA3941"/>
    <w:rsid w:val="00CA3F16"/>
    <w:rsid w:val="00CA4281"/>
    <w:rsid w:val="00CA431F"/>
    <w:rsid w:val="00CA5087"/>
    <w:rsid w:val="00CA50D7"/>
    <w:rsid w:val="00CA5562"/>
    <w:rsid w:val="00CA5642"/>
    <w:rsid w:val="00CA5659"/>
    <w:rsid w:val="00CA59FA"/>
    <w:rsid w:val="00CA5BCC"/>
    <w:rsid w:val="00CA5CAB"/>
    <w:rsid w:val="00CA60C1"/>
    <w:rsid w:val="00CA61EB"/>
    <w:rsid w:val="00CA6D29"/>
    <w:rsid w:val="00CA7210"/>
    <w:rsid w:val="00CA7A16"/>
    <w:rsid w:val="00CB006D"/>
    <w:rsid w:val="00CB033E"/>
    <w:rsid w:val="00CB04EF"/>
    <w:rsid w:val="00CB04F1"/>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036"/>
    <w:rsid w:val="00CB577C"/>
    <w:rsid w:val="00CB6549"/>
    <w:rsid w:val="00CB6D3F"/>
    <w:rsid w:val="00CB73F0"/>
    <w:rsid w:val="00CB76BD"/>
    <w:rsid w:val="00CB7969"/>
    <w:rsid w:val="00CB79F5"/>
    <w:rsid w:val="00CB7A50"/>
    <w:rsid w:val="00CB7E2D"/>
    <w:rsid w:val="00CC08A7"/>
    <w:rsid w:val="00CC1259"/>
    <w:rsid w:val="00CC153C"/>
    <w:rsid w:val="00CC179A"/>
    <w:rsid w:val="00CC1F9D"/>
    <w:rsid w:val="00CC269A"/>
    <w:rsid w:val="00CC2738"/>
    <w:rsid w:val="00CC2766"/>
    <w:rsid w:val="00CC2BAC"/>
    <w:rsid w:val="00CC350D"/>
    <w:rsid w:val="00CC3E9B"/>
    <w:rsid w:val="00CC3EBD"/>
    <w:rsid w:val="00CC41E8"/>
    <w:rsid w:val="00CC4669"/>
    <w:rsid w:val="00CC4C6D"/>
    <w:rsid w:val="00CC531A"/>
    <w:rsid w:val="00CC55D4"/>
    <w:rsid w:val="00CC57E3"/>
    <w:rsid w:val="00CC5A08"/>
    <w:rsid w:val="00CC5CA5"/>
    <w:rsid w:val="00CC5E01"/>
    <w:rsid w:val="00CC682D"/>
    <w:rsid w:val="00CC697E"/>
    <w:rsid w:val="00CC6FC9"/>
    <w:rsid w:val="00CC7236"/>
    <w:rsid w:val="00CC73D1"/>
    <w:rsid w:val="00CC7B78"/>
    <w:rsid w:val="00CD0DEE"/>
    <w:rsid w:val="00CD1752"/>
    <w:rsid w:val="00CD1874"/>
    <w:rsid w:val="00CD1B2E"/>
    <w:rsid w:val="00CD1BE3"/>
    <w:rsid w:val="00CD1EBB"/>
    <w:rsid w:val="00CD24E7"/>
    <w:rsid w:val="00CD2703"/>
    <w:rsid w:val="00CD2C14"/>
    <w:rsid w:val="00CD2E4A"/>
    <w:rsid w:val="00CD3246"/>
    <w:rsid w:val="00CD3524"/>
    <w:rsid w:val="00CD3AD3"/>
    <w:rsid w:val="00CD46EA"/>
    <w:rsid w:val="00CD499C"/>
    <w:rsid w:val="00CD4DFE"/>
    <w:rsid w:val="00CD51BA"/>
    <w:rsid w:val="00CD581F"/>
    <w:rsid w:val="00CD5987"/>
    <w:rsid w:val="00CD5B05"/>
    <w:rsid w:val="00CD5E67"/>
    <w:rsid w:val="00CD60FB"/>
    <w:rsid w:val="00CD66C2"/>
    <w:rsid w:val="00CD66F5"/>
    <w:rsid w:val="00CD69D3"/>
    <w:rsid w:val="00CD69D4"/>
    <w:rsid w:val="00CD6C6D"/>
    <w:rsid w:val="00CD6E7B"/>
    <w:rsid w:val="00CD6F8C"/>
    <w:rsid w:val="00CD70E5"/>
    <w:rsid w:val="00CD720B"/>
    <w:rsid w:val="00CD7553"/>
    <w:rsid w:val="00CD7647"/>
    <w:rsid w:val="00CD7C15"/>
    <w:rsid w:val="00CD7EEE"/>
    <w:rsid w:val="00CE066A"/>
    <w:rsid w:val="00CE06D1"/>
    <w:rsid w:val="00CE0791"/>
    <w:rsid w:val="00CE0FFB"/>
    <w:rsid w:val="00CE1077"/>
    <w:rsid w:val="00CE1217"/>
    <w:rsid w:val="00CE125F"/>
    <w:rsid w:val="00CE1321"/>
    <w:rsid w:val="00CE161B"/>
    <w:rsid w:val="00CE17CA"/>
    <w:rsid w:val="00CE1C6F"/>
    <w:rsid w:val="00CE1DF9"/>
    <w:rsid w:val="00CE220C"/>
    <w:rsid w:val="00CE26DD"/>
    <w:rsid w:val="00CE2BF4"/>
    <w:rsid w:val="00CE2F42"/>
    <w:rsid w:val="00CE3E91"/>
    <w:rsid w:val="00CE4078"/>
    <w:rsid w:val="00CE43B7"/>
    <w:rsid w:val="00CE43E7"/>
    <w:rsid w:val="00CE44AE"/>
    <w:rsid w:val="00CE4B3A"/>
    <w:rsid w:val="00CE4EBF"/>
    <w:rsid w:val="00CE4FD7"/>
    <w:rsid w:val="00CE5F47"/>
    <w:rsid w:val="00CE67FC"/>
    <w:rsid w:val="00CE69F8"/>
    <w:rsid w:val="00CE6CCE"/>
    <w:rsid w:val="00CE6D5A"/>
    <w:rsid w:val="00CE73EF"/>
    <w:rsid w:val="00CE75BC"/>
    <w:rsid w:val="00CE7D88"/>
    <w:rsid w:val="00CF00B2"/>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4952"/>
    <w:rsid w:val="00CF574A"/>
    <w:rsid w:val="00CF5767"/>
    <w:rsid w:val="00CF5804"/>
    <w:rsid w:val="00CF5BAF"/>
    <w:rsid w:val="00CF6219"/>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2E6"/>
    <w:rsid w:val="00D0174A"/>
    <w:rsid w:val="00D0186C"/>
    <w:rsid w:val="00D01A64"/>
    <w:rsid w:val="00D01D3B"/>
    <w:rsid w:val="00D02053"/>
    <w:rsid w:val="00D02344"/>
    <w:rsid w:val="00D02509"/>
    <w:rsid w:val="00D02618"/>
    <w:rsid w:val="00D02965"/>
    <w:rsid w:val="00D03A5E"/>
    <w:rsid w:val="00D03B2A"/>
    <w:rsid w:val="00D03ECC"/>
    <w:rsid w:val="00D05186"/>
    <w:rsid w:val="00D054F0"/>
    <w:rsid w:val="00D05686"/>
    <w:rsid w:val="00D05741"/>
    <w:rsid w:val="00D05E49"/>
    <w:rsid w:val="00D076CE"/>
    <w:rsid w:val="00D077B2"/>
    <w:rsid w:val="00D077BD"/>
    <w:rsid w:val="00D077D8"/>
    <w:rsid w:val="00D07C62"/>
    <w:rsid w:val="00D07F36"/>
    <w:rsid w:val="00D11C05"/>
    <w:rsid w:val="00D11F93"/>
    <w:rsid w:val="00D12C18"/>
    <w:rsid w:val="00D12FF9"/>
    <w:rsid w:val="00D13212"/>
    <w:rsid w:val="00D1368A"/>
    <w:rsid w:val="00D13889"/>
    <w:rsid w:val="00D13BEF"/>
    <w:rsid w:val="00D141B1"/>
    <w:rsid w:val="00D14D28"/>
    <w:rsid w:val="00D14DB9"/>
    <w:rsid w:val="00D14F95"/>
    <w:rsid w:val="00D15396"/>
    <w:rsid w:val="00D1545B"/>
    <w:rsid w:val="00D15623"/>
    <w:rsid w:val="00D15835"/>
    <w:rsid w:val="00D16168"/>
    <w:rsid w:val="00D16B06"/>
    <w:rsid w:val="00D1753D"/>
    <w:rsid w:val="00D1762C"/>
    <w:rsid w:val="00D20B06"/>
    <w:rsid w:val="00D20CC6"/>
    <w:rsid w:val="00D215AC"/>
    <w:rsid w:val="00D21883"/>
    <w:rsid w:val="00D218D4"/>
    <w:rsid w:val="00D21B79"/>
    <w:rsid w:val="00D21C1E"/>
    <w:rsid w:val="00D21DAC"/>
    <w:rsid w:val="00D226C7"/>
    <w:rsid w:val="00D226DF"/>
    <w:rsid w:val="00D227C5"/>
    <w:rsid w:val="00D22EC9"/>
    <w:rsid w:val="00D23674"/>
    <w:rsid w:val="00D23CB0"/>
    <w:rsid w:val="00D24052"/>
    <w:rsid w:val="00D241EE"/>
    <w:rsid w:val="00D24C87"/>
    <w:rsid w:val="00D24D13"/>
    <w:rsid w:val="00D24EDB"/>
    <w:rsid w:val="00D252A3"/>
    <w:rsid w:val="00D2551D"/>
    <w:rsid w:val="00D25C43"/>
    <w:rsid w:val="00D261C3"/>
    <w:rsid w:val="00D2622A"/>
    <w:rsid w:val="00D2625E"/>
    <w:rsid w:val="00D263B5"/>
    <w:rsid w:val="00D2683D"/>
    <w:rsid w:val="00D27206"/>
    <w:rsid w:val="00D274EB"/>
    <w:rsid w:val="00D27802"/>
    <w:rsid w:val="00D278E7"/>
    <w:rsid w:val="00D30488"/>
    <w:rsid w:val="00D30514"/>
    <w:rsid w:val="00D3056D"/>
    <w:rsid w:val="00D30849"/>
    <w:rsid w:val="00D30D84"/>
    <w:rsid w:val="00D313BF"/>
    <w:rsid w:val="00D31DC8"/>
    <w:rsid w:val="00D31E33"/>
    <w:rsid w:val="00D32B02"/>
    <w:rsid w:val="00D33429"/>
    <w:rsid w:val="00D33878"/>
    <w:rsid w:val="00D33CCE"/>
    <w:rsid w:val="00D33EB9"/>
    <w:rsid w:val="00D340D7"/>
    <w:rsid w:val="00D34D99"/>
    <w:rsid w:val="00D34DD3"/>
    <w:rsid w:val="00D3561C"/>
    <w:rsid w:val="00D356B9"/>
    <w:rsid w:val="00D35914"/>
    <w:rsid w:val="00D35B2E"/>
    <w:rsid w:val="00D35BBE"/>
    <w:rsid w:val="00D35CC1"/>
    <w:rsid w:val="00D36404"/>
    <w:rsid w:val="00D36751"/>
    <w:rsid w:val="00D368A0"/>
    <w:rsid w:val="00D369E3"/>
    <w:rsid w:val="00D36DA2"/>
    <w:rsid w:val="00D36E9B"/>
    <w:rsid w:val="00D373E1"/>
    <w:rsid w:val="00D3751A"/>
    <w:rsid w:val="00D377D8"/>
    <w:rsid w:val="00D379EC"/>
    <w:rsid w:val="00D37D45"/>
    <w:rsid w:val="00D37E67"/>
    <w:rsid w:val="00D400F9"/>
    <w:rsid w:val="00D40435"/>
    <w:rsid w:val="00D4059A"/>
    <w:rsid w:val="00D408E2"/>
    <w:rsid w:val="00D412EE"/>
    <w:rsid w:val="00D413E6"/>
    <w:rsid w:val="00D41509"/>
    <w:rsid w:val="00D417CE"/>
    <w:rsid w:val="00D41BAC"/>
    <w:rsid w:val="00D41EE0"/>
    <w:rsid w:val="00D41F78"/>
    <w:rsid w:val="00D425BB"/>
    <w:rsid w:val="00D427F1"/>
    <w:rsid w:val="00D42B8C"/>
    <w:rsid w:val="00D43010"/>
    <w:rsid w:val="00D43674"/>
    <w:rsid w:val="00D43693"/>
    <w:rsid w:val="00D4390D"/>
    <w:rsid w:val="00D43A3E"/>
    <w:rsid w:val="00D43C35"/>
    <w:rsid w:val="00D43F92"/>
    <w:rsid w:val="00D4453A"/>
    <w:rsid w:val="00D44D0B"/>
    <w:rsid w:val="00D44F32"/>
    <w:rsid w:val="00D44F89"/>
    <w:rsid w:val="00D44FE6"/>
    <w:rsid w:val="00D45020"/>
    <w:rsid w:val="00D45984"/>
    <w:rsid w:val="00D45CA3"/>
    <w:rsid w:val="00D4618B"/>
    <w:rsid w:val="00D46254"/>
    <w:rsid w:val="00D468A4"/>
    <w:rsid w:val="00D468BF"/>
    <w:rsid w:val="00D468EC"/>
    <w:rsid w:val="00D46FAE"/>
    <w:rsid w:val="00D4717E"/>
    <w:rsid w:val="00D47859"/>
    <w:rsid w:val="00D47F92"/>
    <w:rsid w:val="00D50671"/>
    <w:rsid w:val="00D50CC5"/>
    <w:rsid w:val="00D50E2E"/>
    <w:rsid w:val="00D5109E"/>
    <w:rsid w:val="00D51316"/>
    <w:rsid w:val="00D516AB"/>
    <w:rsid w:val="00D51B0D"/>
    <w:rsid w:val="00D51B4A"/>
    <w:rsid w:val="00D5270E"/>
    <w:rsid w:val="00D53271"/>
    <w:rsid w:val="00D534D7"/>
    <w:rsid w:val="00D53EE9"/>
    <w:rsid w:val="00D53F2D"/>
    <w:rsid w:val="00D54184"/>
    <w:rsid w:val="00D548C5"/>
    <w:rsid w:val="00D54E52"/>
    <w:rsid w:val="00D54F0D"/>
    <w:rsid w:val="00D55B18"/>
    <w:rsid w:val="00D56244"/>
    <w:rsid w:val="00D56332"/>
    <w:rsid w:val="00D5670E"/>
    <w:rsid w:val="00D56754"/>
    <w:rsid w:val="00D5679A"/>
    <w:rsid w:val="00D567FD"/>
    <w:rsid w:val="00D5682D"/>
    <w:rsid w:val="00D56EE3"/>
    <w:rsid w:val="00D572EC"/>
    <w:rsid w:val="00D5753B"/>
    <w:rsid w:val="00D5760A"/>
    <w:rsid w:val="00D579F2"/>
    <w:rsid w:val="00D57A5C"/>
    <w:rsid w:val="00D607EE"/>
    <w:rsid w:val="00D608D0"/>
    <w:rsid w:val="00D61407"/>
    <w:rsid w:val="00D616D3"/>
    <w:rsid w:val="00D61BA9"/>
    <w:rsid w:val="00D620FB"/>
    <w:rsid w:val="00D62A70"/>
    <w:rsid w:val="00D62BCF"/>
    <w:rsid w:val="00D6312D"/>
    <w:rsid w:val="00D63348"/>
    <w:rsid w:val="00D6472A"/>
    <w:rsid w:val="00D64E73"/>
    <w:rsid w:val="00D64F97"/>
    <w:rsid w:val="00D653C1"/>
    <w:rsid w:val="00D65471"/>
    <w:rsid w:val="00D65979"/>
    <w:rsid w:val="00D66081"/>
    <w:rsid w:val="00D66185"/>
    <w:rsid w:val="00D666CD"/>
    <w:rsid w:val="00D66B68"/>
    <w:rsid w:val="00D66DB6"/>
    <w:rsid w:val="00D67095"/>
    <w:rsid w:val="00D67105"/>
    <w:rsid w:val="00D67329"/>
    <w:rsid w:val="00D67A0B"/>
    <w:rsid w:val="00D701E8"/>
    <w:rsid w:val="00D708D9"/>
    <w:rsid w:val="00D70968"/>
    <w:rsid w:val="00D70BB4"/>
    <w:rsid w:val="00D70F1D"/>
    <w:rsid w:val="00D717AB"/>
    <w:rsid w:val="00D71891"/>
    <w:rsid w:val="00D718EA"/>
    <w:rsid w:val="00D71DA1"/>
    <w:rsid w:val="00D72356"/>
    <w:rsid w:val="00D723C3"/>
    <w:rsid w:val="00D72528"/>
    <w:rsid w:val="00D7346D"/>
    <w:rsid w:val="00D7355B"/>
    <w:rsid w:val="00D7362D"/>
    <w:rsid w:val="00D73A89"/>
    <w:rsid w:val="00D73CA3"/>
    <w:rsid w:val="00D73E12"/>
    <w:rsid w:val="00D74309"/>
    <w:rsid w:val="00D745D4"/>
    <w:rsid w:val="00D74632"/>
    <w:rsid w:val="00D749CF"/>
    <w:rsid w:val="00D74B4B"/>
    <w:rsid w:val="00D75053"/>
    <w:rsid w:val="00D750E6"/>
    <w:rsid w:val="00D75261"/>
    <w:rsid w:val="00D7561D"/>
    <w:rsid w:val="00D75BEC"/>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49C"/>
    <w:rsid w:val="00D8479A"/>
    <w:rsid w:val="00D84980"/>
    <w:rsid w:val="00D84AE8"/>
    <w:rsid w:val="00D84D23"/>
    <w:rsid w:val="00D8608A"/>
    <w:rsid w:val="00D86BB2"/>
    <w:rsid w:val="00D86FAE"/>
    <w:rsid w:val="00D874B5"/>
    <w:rsid w:val="00D87721"/>
    <w:rsid w:val="00D878DB"/>
    <w:rsid w:val="00D87A13"/>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8A2"/>
    <w:rsid w:val="00D92DD9"/>
    <w:rsid w:val="00D9349D"/>
    <w:rsid w:val="00D934D4"/>
    <w:rsid w:val="00D936AB"/>
    <w:rsid w:val="00D93EE7"/>
    <w:rsid w:val="00D947A4"/>
    <w:rsid w:val="00D94871"/>
    <w:rsid w:val="00D9487D"/>
    <w:rsid w:val="00D94BA4"/>
    <w:rsid w:val="00D958FA"/>
    <w:rsid w:val="00D95CF2"/>
    <w:rsid w:val="00D96149"/>
    <w:rsid w:val="00D96D4E"/>
    <w:rsid w:val="00D976A9"/>
    <w:rsid w:val="00D977E9"/>
    <w:rsid w:val="00D9781D"/>
    <w:rsid w:val="00DA012B"/>
    <w:rsid w:val="00DA0C5C"/>
    <w:rsid w:val="00DA0E98"/>
    <w:rsid w:val="00DA0EFA"/>
    <w:rsid w:val="00DA1030"/>
    <w:rsid w:val="00DA1308"/>
    <w:rsid w:val="00DA1367"/>
    <w:rsid w:val="00DA161F"/>
    <w:rsid w:val="00DA1EEE"/>
    <w:rsid w:val="00DA2A13"/>
    <w:rsid w:val="00DA340E"/>
    <w:rsid w:val="00DA349B"/>
    <w:rsid w:val="00DA3A5B"/>
    <w:rsid w:val="00DA3AE5"/>
    <w:rsid w:val="00DA442D"/>
    <w:rsid w:val="00DA4622"/>
    <w:rsid w:val="00DA46A9"/>
    <w:rsid w:val="00DA56BA"/>
    <w:rsid w:val="00DA5A00"/>
    <w:rsid w:val="00DA5A11"/>
    <w:rsid w:val="00DA5FDF"/>
    <w:rsid w:val="00DA6305"/>
    <w:rsid w:val="00DA6751"/>
    <w:rsid w:val="00DA792F"/>
    <w:rsid w:val="00DA7AFF"/>
    <w:rsid w:val="00DB03EB"/>
    <w:rsid w:val="00DB07AD"/>
    <w:rsid w:val="00DB0DDA"/>
    <w:rsid w:val="00DB0E78"/>
    <w:rsid w:val="00DB1068"/>
    <w:rsid w:val="00DB245E"/>
    <w:rsid w:val="00DB2867"/>
    <w:rsid w:val="00DB2999"/>
    <w:rsid w:val="00DB2F1D"/>
    <w:rsid w:val="00DB3604"/>
    <w:rsid w:val="00DB3960"/>
    <w:rsid w:val="00DB4317"/>
    <w:rsid w:val="00DB45A8"/>
    <w:rsid w:val="00DB46FE"/>
    <w:rsid w:val="00DB475D"/>
    <w:rsid w:val="00DB4892"/>
    <w:rsid w:val="00DB4B03"/>
    <w:rsid w:val="00DB4C9B"/>
    <w:rsid w:val="00DB53DE"/>
    <w:rsid w:val="00DB5C63"/>
    <w:rsid w:val="00DB5CC5"/>
    <w:rsid w:val="00DB5D91"/>
    <w:rsid w:val="00DB5F28"/>
    <w:rsid w:val="00DB6214"/>
    <w:rsid w:val="00DB75D8"/>
    <w:rsid w:val="00DB7915"/>
    <w:rsid w:val="00DB7A8B"/>
    <w:rsid w:val="00DB7C0A"/>
    <w:rsid w:val="00DB7C23"/>
    <w:rsid w:val="00DB7F14"/>
    <w:rsid w:val="00DC00DD"/>
    <w:rsid w:val="00DC076C"/>
    <w:rsid w:val="00DC09B2"/>
    <w:rsid w:val="00DC0FB0"/>
    <w:rsid w:val="00DC1220"/>
    <w:rsid w:val="00DC2D95"/>
    <w:rsid w:val="00DC35D2"/>
    <w:rsid w:val="00DC3648"/>
    <w:rsid w:val="00DC451B"/>
    <w:rsid w:val="00DC4789"/>
    <w:rsid w:val="00DC4C92"/>
    <w:rsid w:val="00DC5128"/>
    <w:rsid w:val="00DC5EA8"/>
    <w:rsid w:val="00DC5FCC"/>
    <w:rsid w:val="00DC6B23"/>
    <w:rsid w:val="00DC716A"/>
    <w:rsid w:val="00DC75A4"/>
    <w:rsid w:val="00DC76C4"/>
    <w:rsid w:val="00DC7979"/>
    <w:rsid w:val="00DC7FB9"/>
    <w:rsid w:val="00DD06DA"/>
    <w:rsid w:val="00DD0761"/>
    <w:rsid w:val="00DD0ED2"/>
    <w:rsid w:val="00DD0F8F"/>
    <w:rsid w:val="00DD10B4"/>
    <w:rsid w:val="00DD1AE2"/>
    <w:rsid w:val="00DD1C93"/>
    <w:rsid w:val="00DD1D99"/>
    <w:rsid w:val="00DD278E"/>
    <w:rsid w:val="00DD2934"/>
    <w:rsid w:val="00DD2BE9"/>
    <w:rsid w:val="00DD3184"/>
    <w:rsid w:val="00DD3684"/>
    <w:rsid w:val="00DD4577"/>
    <w:rsid w:val="00DD4632"/>
    <w:rsid w:val="00DD4647"/>
    <w:rsid w:val="00DD5956"/>
    <w:rsid w:val="00DD5CA0"/>
    <w:rsid w:val="00DD5DC7"/>
    <w:rsid w:val="00DD61E8"/>
    <w:rsid w:val="00DD62C1"/>
    <w:rsid w:val="00DD668C"/>
    <w:rsid w:val="00DD66E5"/>
    <w:rsid w:val="00DD69EF"/>
    <w:rsid w:val="00DD747B"/>
    <w:rsid w:val="00DD76B9"/>
    <w:rsid w:val="00DE01BA"/>
    <w:rsid w:val="00DE0AAD"/>
    <w:rsid w:val="00DE0B29"/>
    <w:rsid w:val="00DE0F16"/>
    <w:rsid w:val="00DE1511"/>
    <w:rsid w:val="00DE17B3"/>
    <w:rsid w:val="00DE2235"/>
    <w:rsid w:val="00DE23E6"/>
    <w:rsid w:val="00DE2C70"/>
    <w:rsid w:val="00DE2D66"/>
    <w:rsid w:val="00DE3139"/>
    <w:rsid w:val="00DE3375"/>
    <w:rsid w:val="00DE3C0D"/>
    <w:rsid w:val="00DE47C5"/>
    <w:rsid w:val="00DE48FF"/>
    <w:rsid w:val="00DE51B8"/>
    <w:rsid w:val="00DE52AD"/>
    <w:rsid w:val="00DE53DA"/>
    <w:rsid w:val="00DE58C9"/>
    <w:rsid w:val="00DE5FC8"/>
    <w:rsid w:val="00DE67E2"/>
    <w:rsid w:val="00DE6977"/>
    <w:rsid w:val="00DE70F9"/>
    <w:rsid w:val="00DE714B"/>
    <w:rsid w:val="00DE71F5"/>
    <w:rsid w:val="00DE7284"/>
    <w:rsid w:val="00DE72CD"/>
    <w:rsid w:val="00DE7385"/>
    <w:rsid w:val="00DE76FA"/>
    <w:rsid w:val="00DE7D3F"/>
    <w:rsid w:val="00DE7E1A"/>
    <w:rsid w:val="00DF0095"/>
    <w:rsid w:val="00DF00D3"/>
    <w:rsid w:val="00DF0221"/>
    <w:rsid w:val="00DF0E4D"/>
    <w:rsid w:val="00DF1504"/>
    <w:rsid w:val="00DF1BFF"/>
    <w:rsid w:val="00DF20A6"/>
    <w:rsid w:val="00DF20CC"/>
    <w:rsid w:val="00DF24E8"/>
    <w:rsid w:val="00DF2DF6"/>
    <w:rsid w:val="00DF2F00"/>
    <w:rsid w:val="00DF321F"/>
    <w:rsid w:val="00DF40E0"/>
    <w:rsid w:val="00DF44E9"/>
    <w:rsid w:val="00DF4E10"/>
    <w:rsid w:val="00DF57F3"/>
    <w:rsid w:val="00DF5F60"/>
    <w:rsid w:val="00DF651B"/>
    <w:rsid w:val="00DF66E7"/>
    <w:rsid w:val="00DF6805"/>
    <w:rsid w:val="00DF6889"/>
    <w:rsid w:val="00DF6B2F"/>
    <w:rsid w:val="00DF71A3"/>
    <w:rsid w:val="00DF7201"/>
    <w:rsid w:val="00DF77EC"/>
    <w:rsid w:val="00E0014A"/>
    <w:rsid w:val="00E00633"/>
    <w:rsid w:val="00E00A7C"/>
    <w:rsid w:val="00E0119E"/>
    <w:rsid w:val="00E0137F"/>
    <w:rsid w:val="00E01AB7"/>
    <w:rsid w:val="00E01AD9"/>
    <w:rsid w:val="00E01E22"/>
    <w:rsid w:val="00E01FA3"/>
    <w:rsid w:val="00E02084"/>
    <w:rsid w:val="00E02418"/>
    <w:rsid w:val="00E033F6"/>
    <w:rsid w:val="00E03BFE"/>
    <w:rsid w:val="00E03C67"/>
    <w:rsid w:val="00E03C8B"/>
    <w:rsid w:val="00E040E7"/>
    <w:rsid w:val="00E04309"/>
    <w:rsid w:val="00E043DC"/>
    <w:rsid w:val="00E048CD"/>
    <w:rsid w:val="00E04982"/>
    <w:rsid w:val="00E04C3B"/>
    <w:rsid w:val="00E04E73"/>
    <w:rsid w:val="00E04EC2"/>
    <w:rsid w:val="00E04ECC"/>
    <w:rsid w:val="00E05308"/>
    <w:rsid w:val="00E0531F"/>
    <w:rsid w:val="00E05AAF"/>
    <w:rsid w:val="00E06209"/>
    <w:rsid w:val="00E0649A"/>
    <w:rsid w:val="00E067A4"/>
    <w:rsid w:val="00E06A01"/>
    <w:rsid w:val="00E06A98"/>
    <w:rsid w:val="00E06CB7"/>
    <w:rsid w:val="00E07B37"/>
    <w:rsid w:val="00E102BE"/>
    <w:rsid w:val="00E110B6"/>
    <w:rsid w:val="00E11BED"/>
    <w:rsid w:val="00E11C50"/>
    <w:rsid w:val="00E11E12"/>
    <w:rsid w:val="00E12057"/>
    <w:rsid w:val="00E12736"/>
    <w:rsid w:val="00E1287F"/>
    <w:rsid w:val="00E12982"/>
    <w:rsid w:val="00E12B6A"/>
    <w:rsid w:val="00E12BF5"/>
    <w:rsid w:val="00E12CA0"/>
    <w:rsid w:val="00E13540"/>
    <w:rsid w:val="00E1418E"/>
    <w:rsid w:val="00E14370"/>
    <w:rsid w:val="00E1552C"/>
    <w:rsid w:val="00E155DC"/>
    <w:rsid w:val="00E15D27"/>
    <w:rsid w:val="00E15D2E"/>
    <w:rsid w:val="00E16BD8"/>
    <w:rsid w:val="00E171ED"/>
    <w:rsid w:val="00E17305"/>
    <w:rsid w:val="00E1757B"/>
    <w:rsid w:val="00E20255"/>
    <w:rsid w:val="00E204ED"/>
    <w:rsid w:val="00E20526"/>
    <w:rsid w:val="00E20963"/>
    <w:rsid w:val="00E209F6"/>
    <w:rsid w:val="00E21662"/>
    <w:rsid w:val="00E2166B"/>
    <w:rsid w:val="00E22121"/>
    <w:rsid w:val="00E223E2"/>
    <w:rsid w:val="00E22EEE"/>
    <w:rsid w:val="00E24A4D"/>
    <w:rsid w:val="00E24F8C"/>
    <w:rsid w:val="00E25827"/>
    <w:rsid w:val="00E2582E"/>
    <w:rsid w:val="00E265D1"/>
    <w:rsid w:val="00E268F7"/>
    <w:rsid w:val="00E26C71"/>
    <w:rsid w:val="00E27822"/>
    <w:rsid w:val="00E27F85"/>
    <w:rsid w:val="00E27FBD"/>
    <w:rsid w:val="00E307FF"/>
    <w:rsid w:val="00E308B6"/>
    <w:rsid w:val="00E3103E"/>
    <w:rsid w:val="00E31B04"/>
    <w:rsid w:val="00E31F49"/>
    <w:rsid w:val="00E31F8F"/>
    <w:rsid w:val="00E3299C"/>
    <w:rsid w:val="00E329CC"/>
    <w:rsid w:val="00E32E99"/>
    <w:rsid w:val="00E33361"/>
    <w:rsid w:val="00E33B9E"/>
    <w:rsid w:val="00E33DD9"/>
    <w:rsid w:val="00E34559"/>
    <w:rsid w:val="00E34EEC"/>
    <w:rsid w:val="00E351AA"/>
    <w:rsid w:val="00E3552E"/>
    <w:rsid w:val="00E36258"/>
    <w:rsid w:val="00E363D1"/>
    <w:rsid w:val="00E36931"/>
    <w:rsid w:val="00E3699B"/>
    <w:rsid w:val="00E369D5"/>
    <w:rsid w:val="00E36A1E"/>
    <w:rsid w:val="00E36F47"/>
    <w:rsid w:val="00E372C0"/>
    <w:rsid w:val="00E375DF"/>
    <w:rsid w:val="00E3771F"/>
    <w:rsid w:val="00E37E08"/>
    <w:rsid w:val="00E406F8"/>
    <w:rsid w:val="00E4085A"/>
    <w:rsid w:val="00E40874"/>
    <w:rsid w:val="00E4111F"/>
    <w:rsid w:val="00E411B1"/>
    <w:rsid w:val="00E4136C"/>
    <w:rsid w:val="00E414F4"/>
    <w:rsid w:val="00E41C63"/>
    <w:rsid w:val="00E41E7B"/>
    <w:rsid w:val="00E421C5"/>
    <w:rsid w:val="00E42565"/>
    <w:rsid w:val="00E42691"/>
    <w:rsid w:val="00E42925"/>
    <w:rsid w:val="00E42E62"/>
    <w:rsid w:val="00E43A71"/>
    <w:rsid w:val="00E43DD4"/>
    <w:rsid w:val="00E43EE1"/>
    <w:rsid w:val="00E44305"/>
    <w:rsid w:val="00E444F7"/>
    <w:rsid w:val="00E446A7"/>
    <w:rsid w:val="00E44F76"/>
    <w:rsid w:val="00E451F4"/>
    <w:rsid w:val="00E45C0F"/>
    <w:rsid w:val="00E46187"/>
    <w:rsid w:val="00E4678B"/>
    <w:rsid w:val="00E46A43"/>
    <w:rsid w:val="00E46AC7"/>
    <w:rsid w:val="00E46CDC"/>
    <w:rsid w:val="00E46DD0"/>
    <w:rsid w:val="00E47952"/>
    <w:rsid w:val="00E47B69"/>
    <w:rsid w:val="00E47DE5"/>
    <w:rsid w:val="00E47FE6"/>
    <w:rsid w:val="00E5003B"/>
    <w:rsid w:val="00E50C0D"/>
    <w:rsid w:val="00E5111D"/>
    <w:rsid w:val="00E51285"/>
    <w:rsid w:val="00E5165F"/>
    <w:rsid w:val="00E51808"/>
    <w:rsid w:val="00E51AC3"/>
    <w:rsid w:val="00E51FD6"/>
    <w:rsid w:val="00E52D71"/>
    <w:rsid w:val="00E535BE"/>
    <w:rsid w:val="00E54268"/>
    <w:rsid w:val="00E54B3E"/>
    <w:rsid w:val="00E54DD9"/>
    <w:rsid w:val="00E5520B"/>
    <w:rsid w:val="00E555DB"/>
    <w:rsid w:val="00E55A1E"/>
    <w:rsid w:val="00E5603E"/>
    <w:rsid w:val="00E560D7"/>
    <w:rsid w:val="00E564DE"/>
    <w:rsid w:val="00E56748"/>
    <w:rsid w:val="00E56850"/>
    <w:rsid w:val="00E56A42"/>
    <w:rsid w:val="00E56E04"/>
    <w:rsid w:val="00E57399"/>
    <w:rsid w:val="00E5744A"/>
    <w:rsid w:val="00E57B17"/>
    <w:rsid w:val="00E57BF7"/>
    <w:rsid w:val="00E60236"/>
    <w:rsid w:val="00E60294"/>
    <w:rsid w:val="00E606B4"/>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DAD"/>
    <w:rsid w:val="00E64FDC"/>
    <w:rsid w:val="00E65001"/>
    <w:rsid w:val="00E6516B"/>
    <w:rsid w:val="00E65472"/>
    <w:rsid w:val="00E65C0B"/>
    <w:rsid w:val="00E65EE5"/>
    <w:rsid w:val="00E66891"/>
    <w:rsid w:val="00E672F9"/>
    <w:rsid w:val="00E6737E"/>
    <w:rsid w:val="00E67538"/>
    <w:rsid w:val="00E67C6D"/>
    <w:rsid w:val="00E70007"/>
    <w:rsid w:val="00E70085"/>
    <w:rsid w:val="00E70ABC"/>
    <w:rsid w:val="00E70BE9"/>
    <w:rsid w:val="00E70DF1"/>
    <w:rsid w:val="00E7116B"/>
    <w:rsid w:val="00E714BC"/>
    <w:rsid w:val="00E7179E"/>
    <w:rsid w:val="00E721B1"/>
    <w:rsid w:val="00E7230D"/>
    <w:rsid w:val="00E725EE"/>
    <w:rsid w:val="00E7297A"/>
    <w:rsid w:val="00E72FE9"/>
    <w:rsid w:val="00E732D1"/>
    <w:rsid w:val="00E7330A"/>
    <w:rsid w:val="00E7386D"/>
    <w:rsid w:val="00E73882"/>
    <w:rsid w:val="00E74221"/>
    <w:rsid w:val="00E74670"/>
    <w:rsid w:val="00E7483D"/>
    <w:rsid w:val="00E759F4"/>
    <w:rsid w:val="00E75B44"/>
    <w:rsid w:val="00E765B0"/>
    <w:rsid w:val="00E76604"/>
    <w:rsid w:val="00E7795B"/>
    <w:rsid w:val="00E77E92"/>
    <w:rsid w:val="00E8018B"/>
    <w:rsid w:val="00E8030E"/>
    <w:rsid w:val="00E80E8F"/>
    <w:rsid w:val="00E81263"/>
    <w:rsid w:val="00E81501"/>
    <w:rsid w:val="00E81978"/>
    <w:rsid w:val="00E82160"/>
    <w:rsid w:val="00E829A0"/>
    <w:rsid w:val="00E82F56"/>
    <w:rsid w:val="00E830BF"/>
    <w:rsid w:val="00E83314"/>
    <w:rsid w:val="00E83438"/>
    <w:rsid w:val="00E8356D"/>
    <w:rsid w:val="00E839DF"/>
    <w:rsid w:val="00E83A07"/>
    <w:rsid w:val="00E83A7E"/>
    <w:rsid w:val="00E83C48"/>
    <w:rsid w:val="00E83E3E"/>
    <w:rsid w:val="00E843A8"/>
    <w:rsid w:val="00E8442B"/>
    <w:rsid w:val="00E845A9"/>
    <w:rsid w:val="00E8495B"/>
    <w:rsid w:val="00E849FD"/>
    <w:rsid w:val="00E851FA"/>
    <w:rsid w:val="00E85219"/>
    <w:rsid w:val="00E8546A"/>
    <w:rsid w:val="00E8546F"/>
    <w:rsid w:val="00E854EB"/>
    <w:rsid w:val="00E854EF"/>
    <w:rsid w:val="00E85E89"/>
    <w:rsid w:val="00E8601A"/>
    <w:rsid w:val="00E860A7"/>
    <w:rsid w:val="00E86D41"/>
    <w:rsid w:val="00E8711C"/>
    <w:rsid w:val="00E871A4"/>
    <w:rsid w:val="00E871B3"/>
    <w:rsid w:val="00E871F8"/>
    <w:rsid w:val="00E87A0A"/>
    <w:rsid w:val="00E87D1B"/>
    <w:rsid w:val="00E90243"/>
    <w:rsid w:val="00E908F9"/>
    <w:rsid w:val="00E90C9E"/>
    <w:rsid w:val="00E913EB"/>
    <w:rsid w:val="00E913F9"/>
    <w:rsid w:val="00E91BCD"/>
    <w:rsid w:val="00E91EF6"/>
    <w:rsid w:val="00E92277"/>
    <w:rsid w:val="00E925EE"/>
    <w:rsid w:val="00E92737"/>
    <w:rsid w:val="00E92754"/>
    <w:rsid w:val="00E92B43"/>
    <w:rsid w:val="00E92B87"/>
    <w:rsid w:val="00E92C1F"/>
    <w:rsid w:val="00E92E2D"/>
    <w:rsid w:val="00E938E5"/>
    <w:rsid w:val="00E94F82"/>
    <w:rsid w:val="00E956BC"/>
    <w:rsid w:val="00E957EE"/>
    <w:rsid w:val="00E95D2B"/>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36A0"/>
    <w:rsid w:val="00EA4122"/>
    <w:rsid w:val="00EA41D6"/>
    <w:rsid w:val="00EA44A0"/>
    <w:rsid w:val="00EA48EE"/>
    <w:rsid w:val="00EA4A39"/>
    <w:rsid w:val="00EA50F2"/>
    <w:rsid w:val="00EA5410"/>
    <w:rsid w:val="00EA5428"/>
    <w:rsid w:val="00EA5890"/>
    <w:rsid w:val="00EA599D"/>
    <w:rsid w:val="00EA59F7"/>
    <w:rsid w:val="00EA5B0B"/>
    <w:rsid w:val="00EA5B71"/>
    <w:rsid w:val="00EA5CD9"/>
    <w:rsid w:val="00EA65D8"/>
    <w:rsid w:val="00EA6C1C"/>
    <w:rsid w:val="00EA70FD"/>
    <w:rsid w:val="00EA7892"/>
    <w:rsid w:val="00EA7BE1"/>
    <w:rsid w:val="00EB019B"/>
    <w:rsid w:val="00EB077F"/>
    <w:rsid w:val="00EB0E7C"/>
    <w:rsid w:val="00EB0FE9"/>
    <w:rsid w:val="00EB107B"/>
    <w:rsid w:val="00EB10B4"/>
    <w:rsid w:val="00EB1159"/>
    <w:rsid w:val="00EB11AD"/>
    <w:rsid w:val="00EB1BC9"/>
    <w:rsid w:val="00EB215A"/>
    <w:rsid w:val="00EB23BE"/>
    <w:rsid w:val="00EB2AD5"/>
    <w:rsid w:val="00EB2E56"/>
    <w:rsid w:val="00EB302D"/>
    <w:rsid w:val="00EB357F"/>
    <w:rsid w:val="00EB35E8"/>
    <w:rsid w:val="00EB3814"/>
    <w:rsid w:val="00EB3946"/>
    <w:rsid w:val="00EB3BAB"/>
    <w:rsid w:val="00EB4695"/>
    <w:rsid w:val="00EB4D02"/>
    <w:rsid w:val="00EB54F2"/>
    <w:rsid w:val="00EB5812"/>
    <w:rsid w:val="00EB595D"/>
    <w:rsid w:val="00EB6295"/>
    <w:rsid w:val="00EB68E4"/>
    <w:rsid w:val="00EB693B"/>
    <w:rsid w:val="00EB6CA3"/>
    <w:rsid w:val="00EB6CD4"/>
    <w:rsid w:val="00EB7135"/>
    <w:rsid w:val="00EB719E"/>
    <w:rsid w:val="00EB7474"/>
    <w:rsid w:val="00EB7AAA"/>
    <w:rsid w:val="00EB7B66"/>
    <w:rsid w:val="00EC0EAE"/>
    <w:rsid w:val="00EC0EEB"/>
    <w:rsid w:val="00EC114D"/>
    <w:rsid w:val="00EC150B"/>
    <w:rsid w:val="00EC167D"/>
    <w:rsid w:val="00EC214D"/>
    <w:rsid w:val="00EC24A6"/>
    <w:rsid w:val="00EC25DB"/>
    <w:rsid w:val="00EC2B01"/>
    <w:rsid w:val="00EC2C90"/>
    <w:rsid w:val="00EC2EAE"/>
    <w:rsid w:val="00EC30FA"/>
    <w:rsid w:val="00EC341C"/>
    <w:rsid w:val="00EC43FC"/>
    <w:rsid w:val="00EC4408"/>
    <w:rsid w:val="00EC4452"/>
    <w:rsid w:val="00EC4461"/>
    <w:rsid w:val="00EC504C"/>
    <w:rsid w:val="00EC5BAC"/>
    <w:rsid w:val="00EC5D5F"/>
    <w:rsid w:val="00EC5F67"/>
    <w:rsid w:val="00EC6244"/>
    <w:rsid w:val="00EC63E4"/>
    <w:rsid w:val="00EC68F4"/>
    <w:rsid w:val="00EC6A0B"/>
    <w:rsid w:val="00EC6EFF"/>
    <w:rsid w:val="00EC72E9"/>
    <w:rsid w:val="00EC746A"/>
    <w:rsid w:val="00EC7B45"/>
    <w:rsid w:val="00EC7EF9"/>
    <w:rsid w:val="00ED0364"/>
    <w:rsid w:val="00ED057F"/>
    <w:rsid w:val="00ED07F0"/>
    <w:rsid w:val="00ED113D"/>
    <w:rsid w:val="00ED1831"/>
    <w:rsid w:val="00ED1D85"/>
    <w:rsid w:val="00ED232D"/>
    <w:rsid w:val="00ED2C4F"/>
    <w:rsid w:val="00ED305A"/>
    <w:rsid w:val="00ED36C1"/>
    <w:rsid w:val="00ED374B"/>
    <w:rsid w:val="00ED37C0"/>
    <w:rsid w:val="00ED3811"/>
    <w:rsid w:val="00ED38A4"/>
    <w:rsid w:val="00ED3AB5"/>
    <w:rsid w:val="00ED477E"/>
    <w:rsid w:val="00ED4A3F"/>
    <w:rsid w:val="00ED4EFB"/>
    <w:rsid w:val="00ED5334"/>
    <w:rsid w:val="00ED5819"/>
    <w:rsid w:val="00ED5D29"/>
    <w:rsid w:val="00ED622C"/>
    <w:rsid w:val="00ED62EE"/>
    <w:rsid w:val="00ED62FC"/>
    <w:rsid w:val="00ED660F"/>
    <w:rsid w:val="00ED73FA"/>
    <w:rsid w:val="00ED7A2F"/>
    <w:rsid w:val="00ED7B38"/>
    <w:rsid w:val="00ED7EC8"/>
    <w:rsid w:val="00EE007E"/>
    <w:rsid w:val="00EE03BC"/>
    <w:rsid w:val="00EE08C8"/>
    <w:rsid w:val="00EE08F2"/>
    <w:rsid w:val="00EE0F4A"/>
    <w:rsid w:val="00EE14B4"/>
    <w:rsid w:val="00EE168C"/>
    <w:rsid w:val="00EE16EF"/>
    <w:rsid w:val="00EE1AE0"/>
    <w:rsid w:val="00EE1D1B"/>
    <w:rsid w:val="00EE1E99"/>
    <w:rsid w:val="00EE23C1"/>
    <w:rsid w:val="00EE273D"/>
    <w:rsid w:val="00EE2B86"/>
    <w:rsid w:val="00EE2E1A"/>
    <w:rsid w:val="00EE320F"/>
    <w:rsid w:val="00EE3BEC"/>
    <w:rsid w:val="00EE412D"/>
    <w:rsid w:val="00EE4176"/>
    <w:rsid w:val="00EE447B"/>
    <w:rsid w:val="00EE471B"/>
    <w:rsid w:val="00EE4CF7"/>
    <w:rsid w:val="00EE4CFA"/>
    <w:rsid w:val="00EE51F2"/>
    <w:rsid w:val="00EE5570"/>
    <w:rsid w:val="00EE5604"/>
    <w:rsid w:val="00EE5AAB"/>
    <w:rsid w:val="00EE5D87"/>
    <w:rsid w:val="00EE6861"/>
    <w:rsid w:val="00EE6F51"/>
    <w:rsid w:val="00EE7274"/>
    <w:rsid w:val="00EE72E3"/>
    <w:rsid w:val="00EE75AD"/>
    <w:rsid w:val="00EE761F"/>
    <w:rsid w:val="00EE7A37"/>
    <w:rsid w:val="00EF00E8"/>
    <w:rsid w:val="00EF0162"/>
    <w:rsid w:val="00EF064C"/>
    <w:rsid w:val="00EF07EE"/>
    <w:rsid w:val="00EF1A32"/>
    <w:rsid w:val="00EF2903"/>
    <w:rsid w:val="00EF2999"/>
    <w:rsid w:val="00EF36DB"/>
    <w:rsid w:val="00EF37C9"/>
    <w:rsid w:val="00EF38D5"/>
    <w:rsid w:val="00EF3B18"/>
    <w:rsid w:val="00EF3E68"/>
    <w:rsid w:val="00EF3F49"/>
    <w:rsid w:val="00EF4336"/>
    <w:rsid w:val="00EF49A2"/>
    <w:rsid w:val="00EF4D8D"/>
    <w:rsid w:val="00EF53C7"/>
    <w:rsid w:val="00EF5650"/>
    <w:rsid w:val="00EF5AF1"/>
    <w:rsid w:val="00EF64AB"/>
    <w:rsid w:val="00EF702F"/>
    <w:rsid w:val="00EF706B"/>
    <w:rsid w:val="00EF719A"/>
    <w:rsid w:val="00EF73DC"/>
    <w:rsid w:val="00EF7A6C"/>
    <w:rsid w:val="00EF7D05"/>
    <w:rsid w:val="00F00188"/>
    <w:rsid w:val="00F00F15"/>
    <w:rsid w:val="00F013FF"/>
    <w:rsid w:val="00F0181F"/>
    <w:rsid w:val="00F02284"/>
    <w:rsid w:val="00F02E10"/>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944"/>
    <w:rsid w:val="00F06FC0"/>
    <w:rsid w:val="00F077B0"/>
    <w:rsid w:val="00F07A76"/>
    <w:rsid w:val="00F10004"/>
    <w:rsid w:val="00F10615"/>
    <w:rsid w:val="00F1069E"/>
    <w:rsid w:val="00F10B5B"/>
    <w:rsid w:val="00F110A3"/>
    <w:rsid w:val="00F11350"/>
    <w:rsid w:val="00F113AC"/>
    <w:rsid w:val="00F115B6"/>
    <w:rsid w:val="00F11E08"/>
    <w:rsid w:val="00F12611"/>
    <w:rsid w:val="00F12B59"/>
    <w:rsid w:val="00F12D35"/>
    <w:rsid w:val="00F133A4"/>
    <w:rsid w:val="00F13AB0"/>
    <w:rsid w:val="00F13D21"/>
    <w:rsid w:val="00F1401F"/>
    <w:rsid w:val="00F14123"/>
    <w:rsid w:val="00F14814"/>
    <w:rsid w:val="00F14A6E"/>
    <w:rsid w:val="00F14FE2"/>
    <w:rsid w:val="00F15042"/>
    <w:rsid w:val="00F150DB"/>
    <w:rsid w:val="00F15600"/>
    <w:rsid w:val="00F15749"/>
    <w:rsid w:val="00F16372"/>
    <w:rsid w:val="00F16CEC"/>
    <w:rsid w:val="00F16FD8"/>
    <w:rsid w:val="00F17055"/>
    <w:rsid w:val="00F1707E"/>
    <w:rsid w:val="00F175E3"/>
    <w:rsid w:val="00F17645"/>
    <w:rsid w:val="00F17C7F"/>
    <w:rsid w:val="00F201A9"/>
    <w:rsid w:val="00F20A06"/>
    <w:rsid w:val="00F20F9A"/>
    <w:rsid w:val="00F21495"/>
    <w:rsid w:val="00F214E8"/>
    <w:rsid w:val="00F21EF2"/>
    <w:rsid w:val="00F22B53"/>
    <w:rsid w:val="00F2310A"/>
    <w:rsid w:val="00F2356B"/>
    <w:rsid w:val="00F2375F"/>
    <w:rsid w:val="00F23809"/>
    <w:rsid w:val="00F23912"/>
    <w:rsid w:val="00F24461"/>
    <w:rsid w:val="00F244A4"/>
    <w:rsid w:val="00F24520"/>
    <w:rsid w:val="00F246B6"/>
    <w:rsid w:val="00F25190"/>
    <w:rsid w:val="00F2537E"/>
    <w:rsid w:val="00F25627"/>
    <w:rsid w:val="00F261D5"/>
    <w:rsid w:val="00F2655B"/>
    <w:rsid w:val="00F26601"/>
    <w:rsid w:val="00F26D14"/>
    <w:rsid w:val="00F2710E"/>
    <w:rsid w:val="00F2737A"/>
    <w:rsid w:val="00F27830"/>
    <w:rsid w:val="00F300F7"/>
    <w:rsid w:val="00F30553"/>
    <w:rsid w:val="00F30939"/>
    <w:rsid w:val="00F30A36"/>
    <w:rsid w:val="00F30F8C"/>
    <w:rsid w:val="00F3177E"/>
    <w:rsid w:val="00F3189C"/>
    <w:rsid w:val="00F327CF"/>
    <w:rsid w:val="00F329DD"/>
    <w:rsid w:val="00F32DE2"/>
    <w:rsid w:val="00F332D5"/>
    <w:rsid w:val="00F33531"/>
    <w:rsid w:val="00F33CAF"/>
    <w:rsid w:val="00F340E2"/>
    <w:rsid w:val="00F3419A"/>
    <w:rsid w:val="00F34869"/>
    <w:rsid w:val="00F3486F"/>
    <w:rsid w:val="00F34873"/>
    <w:rsid w:val="00F34EA6"/>
    <w:rsid w:val="00F352D1"/>
    <w:rsid w:val="00F355E8"/>
    <w:rsid w:val="00F358D6"/>
    <w:rsid w:val="00F35CBC"/>
    <w:rsid w:val="00F361E5"/>
    <w:rsid w:val="00F36C0C"/>
    <w:rsid w:val="00F36D54"/>
    <w:rsid w:val="00F36EA2"/>
    <w:rsid w:val="00F37002"/>
    <w:rsid w:val="00F371B0"/>
    <w:rsid w:val="00F37FEF"/>
    <w:rsid w:val="00F4097B"/>
    <w:rsid w:val="00F40A89"/>
    <w:rsid w:val="00F40BCC"/>
    <w:rsid w:val="00F4259B"/>
    <w:rsid w:val="00F42716"/>
    <w:rsid w:val="00F4282F"/>
    <w:rsid w:val="00F4293C"/>
    <w:rsid w:val="00F4315E"/>
    <w:rsid w:val="00F43CAC"/>
    <w:rsid w:val="00F43CE7"/>
    <w:rsid w:val="00F43D41"/>
    <w:rsid w:val="00F44234"/>
    <w:rsid w:val="00F45177"/>
    <w:rsid w:val="00F45202"/>
    <w:rsid w:val="00F4538A"/>
    <w:rsid w:val="00F45442"/>
    <w:rsid w:val="00F459F0"/>
    <w:rsid w:val="00F45C57"/>
    <w:rsid w:val="00F45C7C"/>
    <w:rsid w:val="00F461A5"/>
    <w:rsid w:val="00F463F9"/>
    <w:rsid w:val="00F47057"/>
    <w:rsid w:val="00F472BD"/>
    <w:rsid w:val="00F4758F"/>
    <w:rsid w:val="00F501B9"/>
    <w:rsid w:val="00F505EE"/>
    <w:rsid w:val="00F50DBC"/>
    <w:rsid w:val="00F5177A"/>
    <w:rsid w:val="00F52150"/>
    <w:rsid w:val="00F522B6"/>
    <w:rsid w:val="00F52CC1"/>
    <w:rsid w:val="00F533E0"/>
    <w:rsid w:val="00F53693"/>
    <w:rsid w:val="00F5383A"/>
    <w:rsid w:val="00F53957"/>
    <w:rsid w:val="00F5450D"/>
    <w:rsid w:val="00F5522F"/>
    <w:rsid w:val="00F55279"/>
    <w:rsid w:val="00F553EC"/>
    <w:rsid w:val="00F558F1"/>
    <w:rsid w:val="00F55FA4"/>
    <w:rsid w:val="00F5676D"/>
    <w:rsid w:val="00F57292"/>
    <w:rsid w:val="00F57304"/>
    <w:rsid w:val="00F5740B"/>
    <w:rsid w:val="00F576F3"/>
    <w:rsid w:val="00F60D85"/>
    <w:rsid w:val="00F61231"/>
    <w:rsid w:val="00F61E2B"/>
    <w:rsid w:val="00F620FC"/>
    <w:rsid w:val="00F621EC"/>
    <w:rsid w:val="00F62FA2"/>
    <w:rsid w:val="00F63164"/>
    <w:rsid w:val="00F636F5"/>
    <w:rsid w:val="00F641EA"/>
    <w:rsid w:val="00F64E7A"/>
    <w:rsid w:val="00F65139"/>
    <w:rsid w:val="00F65677"/>
    <w:rsid w:val="00F66AAB"/>
    <w:rsid w:val="00F66DDC"/>
    <w:rsid w:val="00F672FE"/>
    <w:rsid w:val="00F67B93"/>
    <w:rsid w:val="00F705FD"/>
    <w:rsid w:val="00F706A4"/>
    <w:rsid w:val="00F70C8C"/>
    <w:rsid w:val="00F714AD"/>
    <w:rsid w:val="00F7172C"/>
    <w:rsid w:val="00F71D13"/>
    <w:rsid w:val="00F71E4A"/>
    <w:rsid w:val="00F72579"/>
    <w:rsid w:val="00F729AF"/>
    <w:rsid w:val="00F729D2"/>
    <w:rsid w:val="00F730B4"/>
    <w:rsid w:val="00F737EA"/>
    <w:rsid w:val="00F7422B"/>
    <w:rsid w:val="00F75082"/>
    <w:rsid w:val="00F76235"/>
    <w:rsid w:val="00F76CAD"/>
    <w:rsid w:val="00F76FAE"/>
    <w:rsid w:val="00F773BC"/>
    <w:rsid w:val="00F77526"/>
    <w:rsid w:val="00F77661"/>
    <w:rsid w:val="00F77F8C"/>
    <w:rsid w:val="00F803C7"/>
    <w:rsid w:val="00F80D98"/>
    <w:rsid w:val="00F80F1C"/>
    <w:rsid w:val="00F81100"/>
    <w:rsid w:val="00F8126A"/>
    <w:rsid w:val="00F81640"/>
    <w:rsid w:val="00F81A9B"/>
    <w:rsid w:val="00F81AEE"/>
    <w:rsid w:val="00F81DDA"/>
    <w:rsid w:val="00F8211C"/>
    <w:rsid w:val="00F8245A"/>
    <w:rsid w:val="00F824C5"/>
    <w:rsid w:val="00F82BDE"/>
    <w:rsid w:val="00F82D6C"/>
    <w:rsid w:val="00F82EE9"/>
    <w:rsid w:val="00F83147"/>
    <w:rsid w:val="00F832F9"/>
    <w:rsid w:val="00F83E58"/>
    <w:rsid w:val="00F83EA4"/>
    <w:rsid w:val="00F84287"/>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15C"/>
    <w:rsid w:val="00F873AF"/>
    <w:rsid w:val="00F87558"/>
    <w:rsid w:val="00F87571"/>
    <w:rsid w:val="00F875BC"/>
    <w:rsid w:val="00F876C7"/>
    <w:rsid w:val="00F900C0"/>
    <w:rsid w:val="00F90503"/>
    <w:rsid w:val="00F9054D"/>
    <w:rsid w:val="00F91972"/>
    <w:rsid w:val="00F91B56"/>
    <w:rsid w:val="00F91EF4"/>
    <w:rsid w:val="00F922D7"/>
    <w:rsid w:val="00F926CA"/>
    <w:rsid w:val="00F92794"/>
    <w:rsid w:val="00F92F14"/>
    <w:rsid w:val="00F932C5"/>
    <w:rsid w:val="00F9369D"/>
    <w:rsid w:val="00F93DBC"/>
    <w:rsid w:val="00F94189"/>
    <w:rsid w:val="00F9429F"/>
    <w:rsid w:val="00F946B3"/>
    <w:rsid w:val="00F94E95"/>
    <w:rsid w:val="00F94EE6"/>
    <w:rsid w:val="00F951EA"/>
    <w:rsid w:val="00F951FC"/>
    <w:rsid w:val="00F95806"/>
    <w:rsid w:val="00F95A33"/>
    <w:rsid w:val="00F96160"/>
    <w:rsid w:val="00F9632F"/>
    <w:rsid w:val="00F96946"/>
    <w:rsid w:val="00F96D9D"/>
    <w:rsid w:val="00F96FFE"/>
    <w:rsid w:val="00F97212"/>
    <w:rsid w:val="00F97239"/>
    <w:rsid w:val="00F9740C"/>
    <w:rsid w:val="00F97606"/>
    <w:rsid w:val="00F97725"/>
    <w:rsid w:val="00F97ED9"/>
    <w:rsid w:val="00FA0FAC"/>
    <w:rsid w:val="00FA1143"/>
    <w:rsid w:val="00FA21E2"/>
    <w:rsid w:val="00FA2986"/>
    <w:rsid w:val="00FA32A4"/>
    <w:rsid w:val="00FA3AD8"/>
    <w:rsid w:val="00FA3AFC"/>
    <w:rsid w:val="00FA3CAE"/>
    <w:rsid w:val="00FA43A8"/>
    <w:rsid w:val="00FA4853"/>
    <w:rsid w:val="00FA4B13"/>
    <w:rsid w:val="00FA54F1"/>
    <w:rsid w:val="00FA5645"/>
    <w:rsid w:val="00FA57F9"/>
    <w:rsid w:val="00FA5E3B"/>
    <w:rsid w:val="00FA6B2D"/>
    <w:rsid w:val="00FA715E"/>
    <w:rsid w:val="00FA76A7"/>
    <w:rsid w:val="00FB02F0"/>
    <w:rsid w:val="00FB0728"/>
    <w:rsid w:val="00FB13A4"/>
    <w:rsid w:val="00FB14B8"/>
    <w:rsid w:val="00FB1B8E"/>
    <w:rsid w:val="00FB1FD0"/>
    <w:rsid w:val="00FB1FDC"/>
    <w:rsid w:val="00FB24B5"/>
    <w:rsid w:val="00FB24BA"/>
    <w:rsid w:val="00FB2722"/>
    <w:rsid w:val="00FB35DF"/>
    <w:rsid w:val="00FB3DFE"/>
    <w:rsid w:val="00FB3FFE"/>
    <w:rsid w:val="00FB426B"/>
    <w:rsid w:val="00FB451F"/>
    <w:rsid w:val="00FB480D"/>
    <w:rsid w:val="00FB48E1"/>
    <w:rsid w:val="00FB4E0D"/>
    <w:rsid w:val="00FB524B"/>
    <w:rsid w:val="00FB53C7"/>
    <w:rsid w:val="00FB5827"/>
    <w:rsid w:val="00FB5962"/>
    <w:rsid w:val="00FB5981"/>
    <w:rsid w:val="00FB6258"/>
    <w:rsid w:val="00FB6759"/>
    <w:rsid w:val="00FB676E"/>
    <w:rsid w:val="00FB67CE"/>
    <w:rsid w:val="00FB6CE3"/>
    <w:rsid w:val="00FB6CF9"/>
    <w:rsid w:val="00FB77FD"/>
    <w:rsid w:val="00FB7A40"/>
    <w:rsid w:val="00FB7BD7"/>
    <w:rsid w:val="00FC036A"/>
    <w:rsid w:val="00FC05F4"/>
    <w:rsid w:val="00FC073B"/>
    <w:rsid w:val="00FC0C36"/>
    <w:rsid w:val="00FC1BCF"/>
    <w:rsid w:val="00FC2066"/>
    <w:rsid w:val="00FC22A8"/>
    <w:rsid w:val="00FC26D5"/>
    <w:rsid w:val="00FC2745"/>
    <w:rsid w:val="00FC30F1"/>
    <w:rsid w:val="00FC3578"/>
    <w:rsid w:val="00FC35BA"/>
    <w:rsid w:val="00FC3691"/>
    <w:rsid w:val="00FC38EB"/>
    <w:rsid w:val="00FC3B04"/>
    <w:rsid w:val="00FC3F33"/>
    <w:rsid w:val="00FC3F89"/>
    <w:rsid w:val="00FC41B0"/>
    <w:rsid w:val="00FC42D6"/>
    <w:rsid w:val="00FC45FF"/>
    <w:rsid w:val="00FC49A8"/>
    <w:rsid w:val="00FC5512"/>
    <w:rsid w:val="00FC60E6"/>
    <w:rsid w:val="00FC6C19"/>
    <w:rsid w:val="00FC6CD4"/>
    <w:rsid w:val="00FC6F6A"/>
    <w:rsid w:val="00FC74A1"/>
    <w:rsid w:val="00FC7618"/>
    <w:rsid w:val="00FC7AE2"/>
    <w:rsid w:val="00FC7D69"/>
    <w:rsid w:val="00FC7D74"/>
    <w:rsid w:val="00FC7E78"/>
    <w:rsid w:val="00FD0442"/>
    <w:rsid w:val="00FD1CE1"/>
    <w:rsid w:val="00FD22D5"/>
    <w:rsid w:val="00FD29B2"/>
    <w:rsid w:val="00FD29B4"/>
    <w:rsid w:val="00FD2AD2"/>
    <w:rsid w:val="00FD2F73"/>
    <w:rsid w:val="00FD30C5"/>
    <w:rsid w:val="00FD30F1"/>
    <w:rsid w:val="00FD4A16"/>
    <w:rsid w:val="00FD4C96"/>
    <w:rsid w:val="00FD61F8"/>
    <w:rsid w:val="00FD6386"/>
    <w:rsid w:val="00FD6504"/>
    <w:rsid w:val="00FD772E"/>
    <w:rsid w:val="00FD7AC7"/>
    <w:rsid w:val="00FD7B31"/>
    <w:rsid w:val="00FD7CE8"/>
    <w:rsid w:val="00FD7F56"/>
    <w:rsid w:val="00FE095B"/>
    <w:rsid w:val="00FE09AF"/>
    <w:rsid w:val="00FE0D97"/>
    <w:rsid w:val="00FE0F16"/>
    <w:rsid w:val="00FE1259"/>
    <w:rsid w:val="00FE1307"/>
    <w:rsid w:val="00FE16CC"/>
    <w:rsid w:val="00FE19ED"/>
    <w:rsid w:val="00FE2066"/>
    <w:rsid w:val="00FE250E"/>
    <w:rsid w:val="00FE273C"/>
    <w:rsid w:val="00FE2B4B"/>
    <w:rsid w:val="00FE2D16"/>
    <w:rsid w:val="00FE2E74"/>
    <w:rsid w:val="00FE2ED2"/>
    <w:rsid w:val="00FE31A2"/>
    <w:rsid w:val="00FE32D2"/>
    <w:rsid w:val="00FE3691"/>
    <w:rsid w:val="00FE3761"/>
    <w:rsid w:val="00FE3FF3"/>
    <w:rsid w:val="00FE41F5"/>
    <w:rsid w:val="00FE452A"/>
    <w:rsid w:val="00FE4547"/>
    <w:rsid w:val="00FE461A"/>
    <w:rsid w:val="00FE4D7B"/>
    <w:rsid w:val="00FE50D6"/>
    <w:rsid w:val="00FE5C13"/>
    <w:rsid w:val="00FE5C39"/>
    <w:rsid w:val="00FE6393"/>
    <w:rsid w:val="00FE643C"/>
    <w:rsid w:val="00FE66D9"/>
    <w:rsid w:val="00FE6BD0"/>
    <w:rsid w:val="00FE7CBB"/>
    <w:rsid w:val="00FE7D80"/>
    <w:rsid w:val="00FF01A0"/>
    <w:rsid w:val="00FF05B0"/>
    <w:rsid w:val="00FF07A8"/>
    <w:rsid w:val="00FF09C6"/>
    <w:rsid w:val="00FF1247"/>
    <w:rsid w:val="00FF137C"/>
    <w:rsid w:val="00FF1946"/>
    <w:rsid w:val="00FF1E34"/>
    <w:rsid w:val="00FF1FCA"/>
    <w:rsid w:val="00FF20E9"/>
    <w:rsid w:val="00FF210B"/>
    <w:rsid w:val="00FF2855"/>
    <w:rsid w:val="00FF3820"/>
    <w:rsid w:val="00FF40C2"/>
    <w:rsid w:val="00FF4769"/>
    <w:rsid w:val="00FF4C75"/>
    <w:rsid w:val="00FF4EF4"/>
    <w:rsid w:val="00FF54D7"/>
    <w:rsid w:val="00FF591D"/>
    <w:rsid w:val="00FF6A1C"/>
    <w:rsid w:val="00FF7522"/>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60679"/>
  <w15:chartTrackingRefBased/>
  <w15:docId w15:val="{32E476B9-8F2B-4FB4-9918-D925B8D7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caption" w:semiHidden="1" w:uiPriority="35" w:unhideWhenUsed="1" w:qFormat="1"/>
    <w:lsdException w:name="endnote reference" w:uiPriority="99"/>
    <w:lsdException w:name="endnote text" w:uiPriority="99"/>
    <w:lsdException w:name="toa heading" w:uiPriority="99"/>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1EBB"/>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CD1EBB"/>
    <w:pPr>
      <w:keepNext/>
      <w:keepLines/>
      <w:numPr>
        <w:numId w:val="37"/>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D1EB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D1EB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D1EB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D1EBB"/>
    <w:pPr>
      <w:keepNext/>
      <w:numPr>
        <w:numId w:val="18"/>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D1EB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D1EB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D1EBB"/>
    <w:pPr>
      <w:ind w:left="993"/>
      <w:outlineLvl w:val="7"/>
    </w:pPr>
    <w:rPr>
      <w:color w:val="321547"/>
      <w:szCs w:val="22"/>
      <w:u w:val="dotDotDash"/>
    </w:rPr>
  </w:style>
  <w:style w:type="paragraph" w:styleId="Ttulo9">
    <w:name w:val="heading 9"/>
    <w:basedOn w:val="Ttulo8"/>
    <w:next w:val="Normal"/>
    <w:link w:val="Ttulo9Car"/>
    <w:uiPriority w:val="9"/>
    <w:unhideWhenUsed/>
    <w:qFormat/>
    <w:rsid w:val="00CD1EB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D1EB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D1EBB"/>
  </w:style>
  <w:style w:type="paragraph" w:styleId="Piedepgina">
    <w:name w:val="footer"/>
    <w:basedOn w:val="Normal"/>
    <w:link w:val="PiedepginaCar"/>
    <w:uiPriority w:val="99"/>
    <w:rsid w:val="006D3501"/>
    <w:pPr>
      <w:tabs>
        <w:tab w:val="center" w:pos="4252"/>
        <w:tab w:val="right" w:pos="8504"/>
      </w:tabs>
    </w:pPr>
  </w:style>
  <w:style w:type="character" w:customStyle="1" w:styleId="PiedepginaCar">
    <w:name w:val="Pie de página Car"/>
    <w:link w:val="Piedepgina"/>
    <w:uiPriority w:val="99"/>
    <w:rsid w:val="00524BE9"/>
    <w:rPr>
      <w:sz w:val="24"/>
      <w:szCs w:val="24"/>
    </w:rPr>
  </w:style>
  <w:style w:type="character" w:styleId="Nmerodepgina">
    <w:name w:val="page number"/>
    <w:uiPriority w:val="99"/>
    <w:rsid w:val="006D3501"/>
    <w:rPr>
      <w:rFonts w:cs="Times New Roman"/>
    </w:rPr>
  </w:style>
  <w:style w:type="character" w:styleId="Hipervnculo">
    <w:name w:val="Hyperlink"/>
    <w:basedOn w:val="Fuentedeprrafopredeter"/>
    <w:uiPriority w:val="99"/>
    <w:unhideWhenUsed/>
    <w:rsid w:val="00CD1EBB"/>
    <w:rPr>
      <w:color w:val="0563C1" w:themeColor="hyperlink"/>
      <w:u w:val="single"/>
    </w:rPr>
  </w:style>
  <w:style w:type="paragraph" w:styleId="Textonotapie">
    <w:name w:val="footnote text"/>
    <w:aliases w:val="Nota a pie de página"/>
    <w:basedOn w:val="Normal"/>
    <w:link w:val="TextonotapieCar"/>
    <w:uiPriority w:val="99"/>
    <w:unhideWhenUsed/>
    <w:qFormat/>
    <w:rsid w:val="00CD1EBB"/>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CD1EBB"/>
    <w:rPr>
      <w:rFonts w:ascii="Palatino Linotype" w:eastAsiaTheme="minorHAnsi" w:hAnsi="Palatino Linotype" w:cstheme="minorBidi"/>
      <w:sz w:val="16"/>
      <w:lang w:eastAsia="en-US"/>
    </w:rPr>
  </w:style>
  <w:style w:type="character" w:styleId="Refdenotaalpie">
    <w:name w:val="footnote reference"/>
    <w:basedOn w:val="Fuentedeprrafopredeter"/>
    <w:uiPriority w:val="99"/>
    <w:unhideWhenUsed/>
    <w:rsid w:val="00CD1EBB"/>
    <w:rPr>
      <w:vertAlign w:val="superscript"/>
    </w:rPr>
  </w:style>
  <w:style w:type="table" w:styleId="Tablaconcuadrcula">
    <w:name w:val="Table Grid"/>
    <w:basedOn w:val="Tablanormal"/>
    <w:uiPriority w:val="39"/>
    <w:rsid w:val="00CD1EBB"/>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C96011"/>
    <w:rPr>
      <w:rFonts w:cs="Times New Roman"/>
      <w:sz w:val="16"/>
      <w:szCs w:val="16"/>
    </w:rPr>
  </w:style>
  <w:style w:type="paragraph" w:styleId="Textocomentario">
    <w:name w:val="annotation text"/>
    <w:basedOn w:val="Normal"/>
    <w:link w:val="TextocomentarioCar"/>
    <w:uiPriority w:val="99"/>
    <w:semiHidden/>
    <w:rsid w:val="00C96011"/>
    <w:rPr>
      <w:sz w:val="20"/>
      <w:szCs w:val="20"/>
    </w:rPr>
  </w:style>
  <w:style w:type="character" w:customStyle="1" w:styleId="TextocomentarioCar">
    <w:name w:val="Texto comentario Car"/>
    <w:basedOn w:val="Fuentedeprrafopredeter"/>
    <w:link w:val="Textocomentario"/>
    <w:uiPriority w:val="99"/>
    <w:semiHidden/>
    <w:rsid w:val="00524BE9"/>
  </w:style>
  <w:style w:type="paragraph" w:styleId="Asuntodelcomentario">
    <w:name w:val="annotation subject"/>
    <w:basedOn w:val="Textocomentario"/>
    <w:next w:val="Textocomentario"/>
    <w:link w:val="AsuntodelcomentarioCar"/>
    <w:uiPriority w:val="99"/>
    <w:semiHidden/>
    <w:rsid w:val="00C96011"/>
    <w:rPr>
      <w:b/>
      <w:bCs/>
    </w:rPr>
  </w:style>
  <w:style w:type="character" w:customStyle="1" w:styleId="AsuntodelcomentarioCar">
    <w:name w:val="Asunto del comentario Car"/>
    <w:link w:val="Asuntodelcomentario"/>
    <w:uiPriority w:val="99"/>
    <w:semiHidden/>
    <w:rsid w:val="00524BE9"/>
    <w:rPr>
      <w:b/>
      <w:bCs/>
    </w:rPr>
  </w:style>
  <w:style w:type="paragraph" w:styleId="Textodeglobo">
    <w:name w:val="Balloon Text"/>
    <w:basedOn w:val="Normal"/>
    <w:link w:val="TextodegloboCar"/>
    <w:uiPriority w:val="99"/>
    <w:semiHidden/>
    <w:unhideWhenUsed/>
    <w:rsid w:val="00CD1EB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1EBB"/>
    <w:rPr>
      <w:rFonts w:ascii="Segoe UI" w:eastAsiaTheme="minorHAnsi" w:hAnsi="Segoe UI" w:cs="Segoe UI"/>
      <w:sz w:val="18"/>
      <w:szCs w:val="18"/>
      <w:lang w:eastAsia="en-US"/>
    </w:rPr>
  </w:style>
  <w:style w:type="paragraph" w:styleId="Prrafodelista">
    <w:name w:val="List Paragraph"/>
    <w:basedOn w:val="Normal"/>
    <w:uiPriority w:val="34"/>
    <w:rsid w:val="00CD1EBB"/>
    <w:pPr>
      <w:ind w:left="720"/>
      <w:contextualSpacing/>
    </w:pPr>
  </w:style>
  <w:style w:type="character" w:customStyle="1" w:styleId="Ttulo1Car">
    <w:name w:val="Título 1 Car"/>
    <w:basedOn w:val="Fuentedeprrafopredeter"/>
    <w:link w:val="Ttulo1"/>
    <w:uiPriority w:val="9"/>
    <w:rsid w:val="00CD1EBB"/>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CD1EBB"/>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CD1EBB"/>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CD1EBB"/>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CD1EBB"/>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CD1EBB"/>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CD1EBB"/>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CD1EBB"/>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CD1EBB"/>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CD1EBB"/>
    <w:pPr>
      <w:tabs>
        <w:tab w:val="center" w:pos="4252"/>
        <w:tab w:val="right" w:pos="8504"/>
      </w:tabs>
    </w:pPr>
  </w:style>
  <w:style w:type="character" w:customStyle="1" w:styleId="EncabezadoCar">
    <w:name w:val="Encabezado Car"/>
    <w:basedOn w:val="Fuentedeprrafopredeter"/>
    <w:link w:val="Encabezado"/>
    <w:uiPriority w:val="99"/>
    <w:rsid w:val="00CD1EBB"/>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CD1EBB"/>
    <w:rPr>
      <w:rFonts w:ascii="Garamond" w:hAnsi="Garamond"/>
      <w:lang w:val="es-ES"/>
    </w:rPr>
  </w:style>
  <w:style w:type="character" w:customStyle="1" w:styleId="FooterChar">
    <w:name w:val="Footer Char"/>
    <w:basedOn w:val="Fuentedeprrafopredeter"/>
    <w:uiPriority w:val="99"/>
    <w:rsid w:val="00CD1EBB"/>
    <w:rPr>
      <w:rFonts w:ascii="Garamond" w:hAnsi="Garamond"/>
      <w:lang w:val="es-ES"/>
    </w:rPr>
  </w:style>
  <w:style w:type="character" w:styleId="Textodelmarcadordeposicin">
    <w:name w:val="Placeholder Text"/>
    <w:basedOn w:val="Fuentedeprrafopredeter"/>
    <w:uiPriority w:val="99"/>
    <w:semiHidden/>
    <w:rsid w:val="00CD1EBB"/>
    <w:rPr>
      <w:color w:val="808080"/>
    </w:rPr>
  </w:style>
  <w:style w:type="paragraph" w:styleId="Ttulo">
    <w:name w:val="Title"/>
    <w:basedOn w:val="Normal"/>
    <w:next w:val="Normal"/>
    <w:link w:val="TtuloCar"/>
    <w:uiPriority w:val="10"/>
    <w:qFormat/>
    <w:rsid w:val="00CD1EB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CD1EBB"/>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CD1EB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D1EB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D1EBB"/>
    <w:pPr>
      <w:numPr>
        <w:ilvl w:val="1"/>
        <w:numId w:val="15"/>
      </w:numPr>
      <w:spacing w:after="100"/>
      <w:ind w:left="1049" w:hanging="198"/>
      <w:contextualSpacing/>
    </w:pPr>
  </w:style>
  <w:style w:type="character" w:customStyle="1" w:styleId="Heading2Char">
    <w:name w:val="Heading 2 Char"/>
    <w:basedOn w:val="Fuentedeprrafopredeter"/>
    <w:uiPriority w:val="9"/>
    <w:rsid w:val="00CD1EB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D1EB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CD1EB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D1EBB"/>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CD1EBB"/>
    <w:rPr>
      <w:rFonts w:ascii="Garamond" w:hAnsi="Garamond"/>
      <w:i/>
      <w:iCs/>
      <w:color w:val="5F2987"/>
      <w:u w:val="single"/>
      <w:lang w:val="es-ES"/>
    </w:rPr>
  </w:style>
  <w:style w:type="paragraph" w:styleId="TDC3">
    <w:name w:val="toc 3"/>
    <w:basedOn w:val="Normal"/>
    <w:next w:val="FinTDC"/>
    <w:autoRedefine/>
    <w:uiPriority w:val="39"/>
    <w:unhideWhenUsed/>
    <w:rsid w:val="00CD1EB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D1EB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D1EB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D1EBB"/>
    <w:rPr>
      <w:color w:val="7F7F7F" w:themeColor="text1" w:themeTint="80"/>
      <w:sz w:val="16"/>
    </w:rPr>
  </w:style>
  <w:style w:type="character" w:customStyle="1" w:styleId="NocantarChar">
    <w:name w:val="No cantar Char"/>
    <w:basedOn w:val="Fuentedeprrafopredeter"/>
    <w:link w:val="Nocantar"/>
    <w:rsid w:val="00CD1EBB"/>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CD1EBB"/>
    <w:pPr>
      <w:numPr>
        <w:numId w:val="0"/>
      </w:numPr>
      <w:ind w:firstLine="142"/>
    </w:pPr>
  </w:style>
  <w:style w:type="character" w:customStyle="1" w:styleId="IntroduccinyconclusinChar">
    <w:name w:val="Introducción y conclusión Char"/>
    <w:basedOn w:val="Ttulo1Car"/>
    <w:link w:val="Introduccinyconclusin"/>
    <w:rsid w:val="00CD1EBB"/>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CD1EBB"/>
    <w:pPr>
      <w:numPr>
        <w:numId w:val="21"/>
      </w:numPr>
    </w:pPr>
  </w:style>
  <w:style w:type="paragraph" w:customStyle="1" w:styleId="Nivel1">
    <w:name w:val="Nivel 1"/>
    <w:basedOn w:val="Normal"/>
    <w:qFormat/>
    <w:rsid w:val="00CD1EBB"/>
    <w:pPr>
      <w:numPr>
        <w:numId w:val="15"/>
      </w:numPr>
      <w:spacing w:before="100" w:after="100"/>
      <w:ind w:left="623" w:hanging="198"/>
    </w:pPr>
  </w:style>
  <w:style w:type="paragraph" w:customStyle="1" w:styleId="Nivel3">
    <w:name w:val="Nivel 3"/>
    <w:basedOn w:val="Nivel2"/>
    <w:link w:val="Nivel3Car"/>
    <w:qFormat/>
    <w:rsid w:val="00CD1EBB"/>
    <w:pPr>
      <w:numPr>
        <w:ilvl w:val="2"/>
      </w:numPr>
      <w:spacing w:after="0"/>
      <w:ind w:left="1474" w:hanging="198"/>
    </w:pPr>
  </w:style>
  <w:style w:type="paragraph" w:customStyle="1" w:styleId="Letra">
    <w:name w:val="Letra"/>
    <w:basedOn w:val="Nivel1"/>
    <w:qFormat/>
    <w:rsid w:val="00CD1EBB"/>
    <w:pPr>
      <w:numPr>
        <w:numId w:val="23"/>
      </w:numPr>
      <w:spacing w:before="0" w:after="40"/>
      <w:ind w:left="936" w:hanging="227"/>
    </w:pPr>
  </w:style>
  <w:style w:type="paragraph" w:customStyle="1" w:styleId="Nmero">
    <w:name w:val="Número"/>
    <w:basedOn w:val="Normal"/>
    <w:qFormat/>
    <w:rsid w:val="00CD1EBB"/>
    <w:pPr>
      <w:numPr>
        <w:numId w:val="24"/>
      </w:numPr>
      <w:spacing w:after="40"/>
      <w:ind w:left="936" w:hanging="227"/>
    </w:pPr>
  </w:style>
  <w:style w:type="character" w:customStyle="1" w:styleId="BalloonTextChar">
    <w:name w:val="Balloon Text Char"/>
    <w:basedOn w:val="Fuentedeprrafopredeter"/>
    <w:uiPriority w:val="99"/>
    <w:semiHidden/>
    <w:rsid w:val="00CD1EBB"/>
    <w:rPr>
      <w:rFonts w:ascii="Segoe UI" w:hAnsi="Segoe UI" w:cs="Segoe UI"/>
      <w:sz w:val="18"/>
      <w:szCs w:val="18"/>
      <w:lang w:val="es-ES"/>
    </w:rPr>
  </w:style>
  <w:style w:type="paragraph" w:customStyle="1" w:styleId="Notaalopositor">
    <w:name w:val="Nota al opositor"/>
    <w:basedOn w:val="Normal"/>
    <w:link w:val="NotaalopositorChar"/>
    <w:qFormat/>
    <w:rsid w:val="00CD1EB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D1EBB"/>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CD1EBB"/>
    <w:rPr>
      <w:rFonts w:ascii="Garamond" w:hAnsi="Garamond"/>
      <w:sz w:val="16"/>
      <w:szCs w:val="20"/>
      <w:lang w:val="es-ES"/>
    </w:rPr>
  </w:style>
  <w:style w:type="character" w:customStyle="1" w:styleId="Heading6Char">
    <w:name w:val="Heading 6 Char"/>
    <w:basedOn w:val="Fuentedeprrafopredeter"/>
    <w:uiPriority w:val="9"/>
    <w:semiHidden/>
    <w:rsid w:val="00CD1EB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D1EB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CD1EBB"/>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CD1EBB"/>
    <w:rPr>
      <w:rFonts w:ascii="Garamond" w:eastAsiaTheme="minorEastAsia" w:hAnsi="Garamond"/>
      <w:smallCaps/>
      <w:color w:val="5A5A5A" w:themeColor="text1" w:themeTint="A5"/>
      <w:lang w:val="es-ES"/>
    </w:rPr>
  </w:style>
  <w:style w:type="paragraph" w:customStyle="1" w:styleId="Nivel1SM">
    <w:name w:val="Nivel 1 SM"/>
    <w:basedOn w:val="Nivel1"/>
    <w:qFormat/>
    <w:rsid w:val="00CD1EBB"/>
    <w:pPr>
      <w:ind w:left="0"/>
    </w:pPr>
  </w:style>
  <w:style w:type="paragraph" w:customStyle="1" w:styleId="Nivel2SM">
    <w:name w:val="Nivel 2 SM"/>
    <w:basedOn w:val="Nivel2"/>
    <w:qFormat/>
    <w:rsid w:val="00CD1EBB"/>
    <w:pPr>
      <w:ind w:left="567"/>
    </w:pPr>
  </w:style>
  <w:style w:type="paragraph" w:customStyle="1" w:styleId="Nivel3SM">
    <w:name w:val="Nivel 3 SM"/>
    <w:basedOn w:val="Nivel3"/>
    <w:qFormat/>
    <w:rsid w:val="00CD1EBB"/>
    <w:pPr>
      <w:ind w:left="963"/>
    </w:pPr>
  </w:style>
  <w:style w:type="paragraph" w:styleId="Encabezadodelista">
    <w:name w:val="toa heading"/>
    <w:basedOn w:val="Normal"/>
    <w:next w:val="Normal"/>
    <w:uiPriority w:val="99"/>
    <w:unhideWhenUsed/>
    <w:rsid w:val="00CD1EB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D1EB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D1EB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D1EBB"/>
    <w:rPr>
      <w:rFonts w:ascii="Palatino Linotype" w:eastAsiaTheme="minorHAnsi" w:hAnsi="Palatino Linotype" w:cstheme="minorBidi"/>
      <w:sz w:val="22"/>
      <w:szCs w:val="22"/>
      <w:shd w:val="clear" w:color="auto" w:fill="E7E6E6" w:themeFill="background2"/>
      <w:lang w:eastAsia="en-US"/>
    </w:rPr>
  </w:style>
  <w:style w:type="character" w:styleId="Mencinsinresolver">
    <w:name w:val="Unresolved Mention"/>
    <w:basedOn w:val="Fuentedeprrafopredeter"/>
    <w:uiPriority w:val="99"/>
    <w:semiHidden/>
    <w:unhideWhenUsed/>
    <w:rsid w:val="00CD1EBB"/>
    <w:rPr>
      <w:color w:val="605E5C"/>
      <w:shd w:val="clear" w:color="auto" w:fill="E1DFDD"/>
    </w:rPr>
  </w:style>
  <w:style w:type="paragraph" w:styleId="TDC5">
    <w:name w:val="toc 5"/>
    <w:basedOn w:val="Normal"/>
    <w:next w:val="FinTDC"/>
    <w:autoRedefine/>
    <w:uiPriority w:val="39"/>
    <w:unhideWhenUsed/>
    <w:rsid w:val="00CD1EB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D1EB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D1EB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D1EBB"/>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CD1EBB"/>
    <w:pPr>
      <w:spacing w:line="240" w:lineRule="auto"/>
      <w:ind w:left="567" w:hanging="567"/>
    </w:pPr>
  </w:style>
  <w:style w:type="paragraph" w:customStyle="1" w:styleId="Ttuloimagen">
    <w:name w:val="Título imagen"/>
    <w:basedOn w:val="PiedeImagen"/>
    <w:next w:val="Imagen"/>
    <w:link w:val="TtuloimagenCar"/>
    <w:qFormat/>
    <w:rsid w:val="00CD1EBB"/>
    <w:pPr>
      <w:keepNext/>
      <w:spacing w:after="0"/>
    </w:pPr>
    <w:rPr>
      <w:i w:val="0"/>
      <w:smallCaps/>
      <w:sz w:val="20"/>
    </w:rPr>
  </w:style>
  <w:style w:type="character" w:customStyle="1" w:styleId="TtuloimagenCar">
    <w:name w:val="Título imagen Car"/>
    <w:basedOn w:val="ImagenCar"/>
    <w:link w:val="Ttuloimagen"/>
    <w:rsid w:val="00CD1EBB"/>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CD1EBB"/>
    <w:pPr>
      <w:ind w:left="1100"/>
    </w:pPr>
  </w:style>
  <w:style w:type="paragraph" w:styleId="Sinespaciado">
    <w:name w:val="No Spacing"/>
    <w:link w:val="SinespaciadoCar"/>
    <w:uiPriority w:val="1"/>
    <w:qFormat/>
    <w:rsid w:val="00CD1EBB"/>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CD1EBB"/>
    <w:rPr>
      <w:rFonts w:asciiTheme="minorHAnsi" w:eastAsiaTheme="minorEastAsia" w:hAnsiTheme="minorHAnsi" w:cstheme="minorBidi"/>
      <w:sz w:val="22"/>
      <w:szCs w:val="22"/>
    </w:rPr>
  </w:style>
  <w:style w:type="paragraph" w:customStyle="1" w:styleId="Nmeroromano">
    <w:name w:val="Número romano"/>
    <w:basedOn w:val="Prrafodelista"/>
    <w:qFormat/>
    <w:rsid w:val="00CD1EBB"/>
    <w:pPr>
      <w:numPr>
        <w:numId w:val="42"/>
      </w:numPr>
      <w:spacing w:after="100"/>
      <w:ind w:left="567" w:hanging="113"/>
    </w:pPr>
  </w:style>
  <w:style w:type="paragraph" w:customStyle="1" w:styleId="Saltodettulos">
    <w:name w:val="Salto de títulos"/>
    <w:basedOn w:val="Normal"/>
    <w:rsid w:val="00CD1EBB"/>
    <w:pPr>
      <w:spacing w:after="0" w:line="240" w:lineRule="auto"/>
    </w:pPr>
    <w:rPr>
      <w:color w:val="FFFFFF"/>
      <w:sz w:val="2"/>
    </w:rPr>
  </w:style>
  <w:style w:type="paragraph" w:styleId="TDC7">
    <w:name w:val="toc 7"/>
    <w:basedOn w:val="Normal"/>
    <w:next w:val="FinTDC"/>
    <w:autoRedefine/>
    <w:uiPriority w:val="39"/>
    <w:unhideWhenUsed/>
    <w:rsid w:val="00CD1EBB"/>
    <w:pPr>
      <w:spacing w:after="0" w:line="20" w:lineRule="atLeast"/>
      <w:ind w:left="1418"/>
      <w:jc w:val="left"/>
    </w:pPr>
    <w:rPr>
      <w:i/>
      <w:color w:val="5F2987"/>
      <w:sz w:val="12"/>
    </w:rPr>
  </w:style>
  <w:style w:type="paragraph" w:customStyle="1" w:styleId="FinTDC">
    <w:name w:val="FinTDC"/>
    <w:basedOn w:val="Nivel1"/>
    <w:qFormat/>
    <w:rsid w:val="00CD1EBB"/>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CD1EBB"/>
    <w:pPr>
      <w:spacing w:after="0" w:line="240" w:lineRule="auto"/>
      <w:jc w:val="left"/>
    </w:pPr>
    <w:rPr>
      <w:sz w:val="15"/>
    </w:rPr>
  </w:style>
  <w:style w:type="paragraph" w:styleId="TDC9">
    <w:name w:val="toc 9"/>
    <w:basedOn w:val="TDC8"/>
    <w:next w:val="FinTDC"/>
    <w:autoRedefine/>
    <w:uiPriority w:val="39"/>
    <w:unhideWhenUsed/>
    <w:rsid w:val="00CD1EBB"/>
    <w:pPr>
      <w:ind w:left="1760"/>
    </w:pPr>
  </w:style>
  <w:style w:type="paragraph" w:customStyle="1" w:styleId="Apartado0">
    <w:name w:val="Apartado 0"/>
    <w:basedOn w:val="Ttulo1"/>
    <w:next w:val="Normal"/>
    <w:link w:val="Apartado0Car"/>
    <w:qFormat/>
    <w:rsid w:val="00CD1EBB"/>
    <w:pPr>
      <w:numPr>
        <w:numId w:val="41"/>
      </w:numPr>
      <w:ind w:left="357" w:hanging="357"/>
    </w:pPr>
  </w:style>
  <w:style w:type="character" w:customStyle="1" w:styleId="Apartado0Car">
    <w:name w:val="Apartado 0 Car"/>
    <w:basedOn w:val="Ttulo1Car"/>
    <w:link w:val="Apartado0"/>
    <w:rsid w:val="00CD1EBB"/>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CD1EBB"/>
    <w:pPr>
      <w:numPr>
        <w:ilvl w:val="3"/>
      </w:numPr>
      <w:ind w:left="1899" w:hanging="198"/>
    </w:pPr>
  </w:style>
  <w:style w:type="paragraph" w:customStyle="1" w:styleId="Nivel5">
    <w:name w:val="Nivel 5"/>
    <w:basedOn w:val="Nivel4"/>
    <w:link w:val="Nivel5Car"/>
    <w:qFormat/>
    <w:rsid w:val="00CD1EBB"/>
    <w:pPr>
      <w:numPr>
        <w:ilvl w:val="4"/>
      </w:numPr>
      <w:ind w:left="2155" w:hanging="170"/>
    </w:pPr>
  </w:style>
  <w:style w:type="character" w:customStyle="1" w:styleId="Nivel2Car">
    <w:name w:val="Nivel 2 Car"/>
    <w:basedOn w:val="Fuentedeprrafopredeter"/>
    <w:link w:val="Nivel2"/>
    <w:rsid w:val="00CD1EBB"/>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CD1EBB"/>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CD1EBB"/>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CD1EBB"/>
    <w:pPr>
      <w:numPr>
        <w:ilvl w:val="5"/>
      </w:numPr>
      <w:ind w:left="2438" w:hanging="227"/>
    </w:pPr>
  </w:style>
  <w:style w:type="character" w:customStyle="1" w:styleId="Nivel5Car">
    <w:name w:val="Nivel 5 Car"/>
    <w:basedOn w:val="Nivel4Car"/>
    <w:link w:val="Nivel5"/>
    <w:rsid w:val="00CD1EBB"/>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CD1EBB"/>
    <w:pPr>
      <w:numPr>
        <w:ilvl w:val="6"/>
      </w:numPr>
      <w:ind w:left="2722" w:hanging="170"/>
    </w:pPr>
  </w:style>
  <w:style w:type="character" w:customStyle="1" w:styleId="Nivel6Car">
    <w:name w:val="Nivel 6 Car"/>
    <w:basedOn w:val="Nivel5Car"/>
    <w:link w:val="Nivel6"/>
    <w:rsid w:val="00CD1EBB"/>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CD1EBB"/>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CD1EBB"/>
    <w:pPr>
      <w:spacing w:after="200" w:line="240" w:lineRule="auto"/>
    </w:pPr>
    <w:rPr>
      <w:i/>
      <w:iCs/>
      <w:color w:val="44546A" w:themeColor="text2"/>
      <w:sz w:val="18"/>
      <w:szCs w:val="18"/>
    </w:rPr>
  </w:style>
  <w:style w:type="paragraph" w:customStyle="1" w:styleId="Ttulo10">
    <w:name w:val="Título 10"/>
    <w:basedOn w:val="Ttulo9"/>
    <w:link w:val="Ttulo10Car"/>
    <w:qFormat/>
    <w:rsid w:val="00CD1EBB"/>
    <w:pPr>
      <w:ind w:left="1276"/>
    </w:pPr>
    <w:rPr>
      <w:w w:val="97"/>
    </w:rPr>
  </w:style>
  <w:style w:type="character" w:customStyle="1" w:styleId="Ttulo10Car">
    <w:name w:val="Título 10 Car"/>
    <w:basedOn w:val="Ttulo9Car"/>
    <w:link w:val="Ttulo10"/>
    <w:rsid w:val="00CD1EBB"/>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CD1EB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D1EBB"/>
    <w:pPr>
      <w:numPr>
        <w:ilvl w:val="7"/>
      </w:numPr>
      <w:ind w:left="3005" w:hanging="170"/>
    </w:pPr>
  </w:style>
  <w:style w:type="character" w:customStyle="1" w:styleId="Nivel8Car">
    <w:name w:val="Nivel 8 Car"/>
    <w:basedOn w:val="Nivel7Car"/>
    <w:link w:val="Nivel8"/>
    <w:rsid w:val="00CD1EBB"/>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CD1EB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D1EBB"/>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CD1EBB"/>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CD1EBB"/>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CD1EBB"/>
    <w:rPr>
      <w:vertAlign w:val="superscript"/>
    </w:rPr>
  </w:style>
  <w:style w:type="character" w:styleId="Hipervnculovisitado">
    <w:name w:val="FollowedHyperlink"/>
    <w:basedOn w:val="Fuentedeprrafopredeter"/>
    <w:rsid w:val="00CD49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27273">
      <w:bodyDiv w:val="1"/>
      <w:marLeft w:val="0"/>
      <w:marRight w:val="0"/>
      <w:marTop w:val="0"/>
      <w:marBottom w:val="0"/>
      <w:divBdr>
        <w:top w:val="none" w:sz="0" w:space="0" w:color="auto"/>
        <w:left w:val="none" w:sz="0" w:space="0" w:color="auto"/>
        <w:bottom w:val="none" w:sz="0" w:space="0" w:color="auto"/>
        <w:right w:val="none" w:sz="0" w:space="0" w:color="auto"/>
      </w:divBdr>
    </w:div>
    <w:div w:id="184756970">
      <w:bodyDiv w:val="1"/>
      <w:marLeft w:val="0"/>
      <w:marRight w:val="0"/>
      <w:marTop w:val="0"/>
      <w:marBottom w:val="0"/>
      <w:divBdr>
        <w:top w:val="none" w:sz="0" w:space="0" w:color="auto"/>
        <w:left w:val="none" w:sz="0" w:space="0" w:color="auto"/>
        <w:bottom w:val="none" w:sz="0" w:space="0" w:color="auto"/>
        <w:right w:val="none" w:sz="0" w:space="0" w:color="auto"/>
      </w:divBdr>
      <w:divsChild>
        <w:div w:id="1969120300">
          <w:marLeft w:val="480"/>
          <w:marRight w:val="0"/>
          <w:marTop w:val="0"/>
          <w:marBottom w:val="0"/>
          <w:divBdr>
            <w:top w:val="none" w:sz="0" w:space="0" w:color="auto"/>
            <w:left w:val="none" w:sz="0" w:space="0" w:color="auto"/>
            <w:bottom w:val="none" w:sz="0" w:space="0" w:color="auto"/>
            <w:right w:val="none" w:sz="0" w:space="0" w:color="auto"/>
          </w:divBdr>
          <w:divsChild>
            <w:div w:id="41847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98942">
      <w:bodyDiv w:val="1"/>
      <w:marLeft w:val="0"/>
      <w:marRight w:val="0"/>
      <w:marTop w:val="0"/>
      <w:marBottom w:val="0"/>
      <w:divBdr>
        <w:top w:val="none" w:sz="0" w:space="0" w:color="auto"/>
        <w:left w:val="none" w:sz="0" w:space="0" w:color="auto"/>
        <w:bottom w:val="none" w:sz="0" w:space="0" w:color="auto"/>
        <w:right w:val="none" w:sz="0" w:space="0" w:color="auto"/>
      </w:divBdr>
    </w:div>
    <w:div w:id="1984844423">
      <w:bodyDiv w:val="1"/>
      <w:marLeft w:val="0"/>
      <w:marRight w:val="0"/>
      <w:marTop w:val="0"/>
      <w:marBottom w:val="0"/>
      <w:divBdr>
        <w:top w:val="none" w:sz="0" w:space="0" w:color="auto"/>
        <w:left w:val="none" w:sz="0" w:space="0" w:color="auto"/>
        <w:bottom w:val="none" w:sz="0" w:space="0" w:color="auto"/>
        <w:right w:val="none" w:sz="0" w:space="0" w:color="auto"/>
      </w:divBdr>
    </w:div>
    <w:div w:id="2028020043">
      <w:marLeft w:val="0"/>
      <w:marRight w:val="0"/>
      <w:marTop w:val="0"/>
      <w:marBottom w:val="0"/>
      <w:divBdr>
        <w:top w:val="none" w:sz="0" w:space="0" w:color="auto"/>
        <w:left w:val="none" w:sz="0" w:space="0" w:color="auto"/>
        <w:bottom w:val="none" w:sz="0" w:space="0" w:color="auto"/>
        <w:right w:val="none" w:sz="0" w:space="0" w:color="auto"/>
      </w:divBdr>
      <w:divsChild>
        <w:div w:id="2028020054">
          <w:marLeft w:val="0"/>
          <w:marRight w:val="0"/>
          <w:marTop w:val="0"/>
          <w:marBottom w:val="0"/>
          <w:divBdr>
            <w:top w:val="none" w:sz="0" w:space="0" w:color="auto"/>
            <w:left w:val="none" w:sz="0" w:space="0" w:color="auto"/>
            <w:bottom w:val="none" w:sz="0" w:space="0" w:color="auto"/>
            <w:right w:val="none" w:sz="0" w:space="0" w:color="auto"/>
          </w:divBdr>
          <w:divsChild>
            <w:div w:id="2028020040">
              <w:marLeft w:val="0"/>
              <w:marRight w:val="0"/>
              <w:marTop w:val="0"/>
              <w:marBottom w:val="0"/>
              <w:divBdr>
                <w:top w:val="none" w:sz="0" w:space="0" w:color="auto"/>
                <w:left w:val="none" w:sz="0" w:space="0" w:color="auto"/>
                <w:bottom w:val="none" w:sz="0" w:space="0" w:color="auto"/>
                <w:right w:val="none" w:sz="0" w:space="0" w:color="auto"/>
              </w:divBdr>
              <w:divsChild>
                <w:div w:id="2028020051">
                  <w:marLeft w:val="0"/>
                  <w:marRight w:val="0"/>
                  <w:marTop w:val="0"/>
                  <w:marBottom w:val="0"/>
                  <w:divBdr>
                    <w:top w:val="none" w:sz="0" w:space="0" w:color="auto"/>
                    <w:left w:val="none" w:sz="0" w:space="0" w:color="auto"/>
                    <w:bottom w:val="none" w:sz="0" w:space="0" w:color="auto"/>
                    <w:right w:val="none" w:sz="0" w:space="0" w:color="auto"/>
                  </w:divBdr>
                  <w:divsChild>
                    <w:div w:id="2028020042">
                      <w:marLeft w:val="0"/>
                      <w:marRight w:val="0"/>
                      <w:marTop w:val="0"/>
                      <w:marBottom w:val="0"/>
                      <w:divBdr>
                        <w:top w:val="none" w:sz="0" w:space="0" w:color="auto"/>
                        <w:left w:val="none" w:sz="0" w:space="0" w:color="auto"/>
                        <w:bottom w:val="none" w:sz="0" w:space="0" w:color="auto"/>
                        <w:right w:val="none" w:sz="0" w:space="0" w:color="auto"/>
                      </w:divBdr>
                      <w:divsChild>
                        <w:div w:id="2028020050">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28020045">
      <w:marLeft w:val="0"/>
      <w:marRight w:val="0"/>
      <w:marTop w:val="0"/>
      <w:marBottom w:val="0"/>
      <w:divBdr>
        <w:top w:val="none" w:sz="0" w:space="0" w:color="auto"/>
        <w:left w:val="none" w:sz="0" w:space="0" w:color="auto"/>
        <w:bottom w:val="none" w:sz="0" w:space="0" w:color="auto"/>
        <w:right w:val="none" w:sz="0" w:space="0" w:color="auto"/>
      </w:divBdr>
      <w:divsChild>
        <w:div w:id="2028020055">
          <w:marLeft w:val="0"/>
          <w:marRight w:val="0"/>
          <w:marTop w:val="0"/>
          <w:marBottom w:val="0"/>
          <w:divBdr>
            <w:top w:val="none" w:sz="0" w:space="0" w:color="auto"/>
            <w:left w:val="none" w:sz="0" w:space="0" w:color="auto"/>
            <w:bottom w:val="none" w:sz="0" w:space="0" w:color="auto"/>
            <w:right w:val="none" w:sz="0" w:space="0" w:color="auto"/>
          </w:divBdr>
          <w:divsChild>
            <w:div w:id="2028020052">
              <w:marLeft w:val="0"/>
              <w:marRight w:val="0"/>
              <w:marTop w:val="0"/>
              <w:marBottom w:val="0"/>
              <w:divBdr>
                <w:top w:val="none" w:sz="0" w:space="0" w:color="auto"/>
                <w:left w:val="none" w:sz="0" w:space="0" w:color="auto"/>
                <w:bottom w:val="none" w:sz="0" w:space="0" w:color="auto"/>
                <w:right w:val="none" w:sz="0" w:space="0" w:color="auto"/>
              </w:divBdr>
              <w:divsChild>
                <w:div w:id="2028020044">
                  <w:marLeft w:val="0"/>
                  <w:marRight w:val="0"/>
                  <w:marTop w:val="0"/>
                  <w:marBottom w:val="0"/>
                  <w:divBdr>
                    <w:top w:val="none" w:sz="0" w:space="0" w:color="auto"/>
                    <w:left w:val="none" w:sz="0" w:space="0" w:color="auto"/>
                    <w:bottom w:val="none" w:sz="0" w:space="0" w:color="auto"/>
                    <w:right w:val="none" w:sz="0" w:space="0" w:color="auto"/>
                  </w:divBdr>
                  <w:divsChild>
                    <w:div w:id="20280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020053">
      <w:marLeft w:val="0"/>
      <w:marRight w:val="0"/>
      <w:marTop w:val="0"/>
      <w:marBottom w:val="0"/>
      <w:divBdr>
        <w:top w:val="none" w:sz="0" w:space="0" w:color="auto"/>
        <w:left w:val="none" w:sz="0" w:space="0" w:color="auto"/>
        <w:bottom w:val="none" w:sz="0" w:space="0" w:color="auto"/>
        <w:right w:val="none" w:sz="0" w:space="0" w:color="auto"/>
      </w:divBdr>
      <w:divsChild>
        <w:div w:id="2028020048">
          <w:marLeft w:val="0"/>
          <w:marRight w:val="0"/>
          <w:marTop w:val="0"/>
          <w:marBottom w:val="0"/>
          <w:divBdr>
            <w:top w:val="none" w:sz="0" w:space="0" w:color="auto"/>
            <w:left w:val="none" w:sz="0" w:space="0" w:color="auto"/>
            <w:bottom w:val="none" w:sz="0" w:space="0" w:color="auto"/>
            <w:right w:val="none" w:sz="0" w:space="0" w:color="auto"/>
          </w:divBdr>
          <w:divsChild>
            <w:div w:id="2028020047">
              <w:marLeft w:val="0"/>
              <w:marRight w:val="0"/>
              <w:marTop w:val="0"/>
              <w:marBottom w:val="0"/>
              <w:divBdr>
                <w:top w:val="none" w:sz="0" w:space="0" w:color="auto"/>
                <w:left w:val="none" w:sz="0" w:space="0" w:color="auto"/>
                <w:bottom w:val="none" w:sz="0" w:space="0" w:color="auto"/>
                <w:right w:val="none" w:sz="0" w:space="0" w:color="auto"/>
              </w:divBdr>
              <w:divsChild>
                <w:div w:id="2028020049">
                  <w:marLeft w:val="0"/>
                  <w:marRight w:val="0"/>
                  <w:marTop w:val="0"/>
                  <w:marBottom w:val="0"/>
                  <w:divBdr>
                    <w:top w:val="none" w:sz="0" w:space="0" w:color="auto"/>
                    <w:left w:val="none" w:sz="0" w:space="0" w:color="auto"/>
                    <w:bottom w:val="none" w:sz="0" w:space="0" w:color="auto"/>
                    <w:right w:val="none" w:sz="0" w:space="0" w:color="auto"/>
                  </w:divBdr>
                  <w:divsChild>
                    <w:div w:id="202802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15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3479/3004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hyperlink" Target="https://www.bde.es/webbe/es/estadisticas/compartido/docs/EnBreve_Estadisticas_Sector_Exterior_ES.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bde.es/webbde/es/estadis/infoest/htmls/notamet/notametBpPii.pdf" TargetMode="Externa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bde.es/f/webbe/SES/Secciones/Publicaciones/InformesBoletinesRevistas/BoletinEconomico/23/T2/Fich/be2302-art05.pdf" TargetMode="External"/><Relationship Id="rId1" Type="http://schemas.openxmlformats.org/officeDocument/2006/relationships/hyperlink" Target="https://www.bde.es/webbe/es/estadisticas/compartido/docs/notaNGE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D3737A50D19458996970208D7F51B8C"/>
        <w:category>
          <w:name w:val="General"/>
          <w:gallery w:val="placeholder"/>
        </w:category>
        <w:types>
          <w:type w:val="bbPlcHdr"/>
        </w:types>
        <w:behaviors>
          <w:behavior w:val="content"/>
        </w:behaviors>
        <w:guid w:val="{7BDF4752-D473-464B-844D-62F4A58E2E5C}"/>
      </w:docPartPr>
      <w:docPartBody>
        <w:p w:rsidR="00D14A41" w:rsidRDefault="00D14A41" w:rsidP="00D14A41">
          <w:pPr>
            <w:pStyle w:val="4D3737A50D19458996970208D7F51B8C"/>
          </w:pPr>
          <w:r w:rsidRPr="00722470">
            <w:rPr>
              <w:rStyle w:val="Textodelmarcadordeposicin"/>
            </w:rPr>
            <w:t>[Título]</w:t>
          </w:r>
        </w:p>
      </w:docPartBody>
    </w:docPart>
    <w:docPart>
      <w:docPartPr>
        <w:name w:val="C6E15CC6040043FD857D25B5C742C88E"/>
        <w:category>
          <w:name w:val="General"/>
          <w:gallery w:val="placeholder"/>
        </w:category>
        <w:types>
          <w:type w:val="bbPlcHdr"/>
        </w:types>
        <w:behaviors>
          <w:behavior w:val="content"/>
        </w:behaviors>
        <w:guid w:val="{0D5B295D-C8CF-4CA0-88C1-B59008E18684}"/>
      </w:docPartPr>
      <w:docPartBody>
        <w:p w:rsidR="006A24B4" w:rsidRDefault="00953D6A" w:rsidP="00953D6A">
          <w:pPr>
            <w:pStyle w:val="C6E15CC6040043FD857D25B5C742C88E"/>
          </w:pPr>
          <w:r w:rsidRPr="001B5103">
            <w:rPr>
              <w:rStyle w:val="Textodelmarcadordeposicin"/>
            </w:rPr>
            <w:t>[Title]</w:t>
          </w:r>
        </w:p>
      </w:docPartBody>
    </w:docPart>
    <w:docPart>
      <w:docPartPr>
        <w:name w:val="2FC42DAD41C640CA8113E477074EA2EF"/>
        <w:category>
          <w:name w:val="General"/>
          <w:gallery w:val="placeholder"/>
        </w:category>
        <w:types>
          <w:type w:val="bbPlcHdr"/>
        </w:types>
        <w:behaviors>
          <w:behavior w:val="content"/>
        </w:behaviors>
        <w:guid w:val="{B7D62F78-FDEC-46D2-9CD5-E3F085BEF1E4}"/>
      </w:docPartPr>
      <w:docPartBody>
        <w:p w:rsidR="006A24B4" w:rsidRDefault="00953D6A" w:rsidP="00953D6A">
          <w:pPr>
            <w:pStyle w:val="2FC42DAD41C640CA8113E477074EA2EF"/>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A41"/>
    <w:rsid w:val="00010A96"/>
    <w:rsid w:val="0010231E"/>
    <w:rsid w:val="001432EE"/>
    <w:rsid w:val="001B6688"/>
    <w:rsid w:val="002E3D4F"/>
    <w:rsid w:val="00385877"/>
    <w:rsid w:val="00443721"/>
    <w:rsid w:val="00465408"/>
    <w:rsid w:val="00495EFB"/>
    <w:rsid w:val="006176AE"/>
    <w:rsid w:val="0067230D"/>
    <w:rsid w:val="00686F4A"/>
    <w:rsid w:val="006A24B4"/>
    <w:rsid w:val="009503E7"/>
    <w:rsid w:val="00953D6A"/>
    <w:rsid w:val="00AB6EBA"/>
    <w:rsid w:val="00B03621"/>
    <w:rsid w:val="00BD6AEC"/>
    <w:rsid w:val="00C57D9B"/>
    <w:rsid w:val="00D14A41"/>
    <w:rsid w:val="00D14CC0"/>
    <w:rsid w:val="00E04884"/>
    <w:rsid w:val="00EA5DF3"/>
    <w:rsid w:val="00F30959"/>
    <w:rsid w:val="00FE79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53D6A"/>
    <w:rPr>
      <w:color w:val="808080"/>
    </w:rPr>
  </w:style>
  <w:style w:type="paragraph" w:customStyle="1" w:styleId="4D3737A50D19458996970208D7F51B8C">
    <w:name w:val="4D3737A50D19458996970208D7F51B8C"/>
    <w:rsid w:val="00D14A41"/>
  </w:style>
  <w:style w:type="paragraph" w:customStyle="1" w:styleId="C6E15CC6040043FD857D25B5C742C88E">
    <w:name w:val="C6E15CC6040043FD857D25B5C742C88E"/>
    <w:rsid w:val="00953D6A"/>
  </w:style>
  <w:style w:type="paragraph" w:customStyle="1" w:styleId="2FC42DAD41C640CA8113E477074EA2EF">
    <w:name w:val="2FC42DAD41C640CA8113E477074EA2EF"/>
    <w:rsid w:val="00953D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CE2DD-01E3-4ECD-B11D-EECBA784B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844</TotalTime>
  <Pages>25</Pages>
  <Words>9974</Words>
  <Characters>54860</Characters>
  <Application>Microsoft Office Word</Application>
  <DocSecurity>0</DocSecurity>
  <Lines>457</Lines>
  <Paragraphs>129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4.A.24</vt:lpstr>
      <vt:lpstr>TEORÍA NEOCLASICA DE LA DEMANDA DEL CONSUMIDOR</vt:lpstr>
    </vt:vector>
  </TitlesOfParts>
  <Company/>
  <LinksUpToDate>false</LinksUpToDate>
  <CharactersWithSpaces>64705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4.A.24</dc:title>
  <dc:subject>Análisis de la evolución de la balanza de pagos española. La financiación de la economía española.</dc:subject>
  <dc:creator>Víctor Gutiérrez Marcos</dc:creator>
  <cp:keywords/>
  <cp:lastModifiedBy>Víctor Gutiérrez Marcos</cp:lastModifiedBy>
  <dcterms:created xsi:type="dcterms:W3CDTF">2023-09-29T16:36:00Z</dcterms:created>
  <dcterms:modified xsi:type="dcterms:W3CDTF">2024-09-23T18:33:00Z</dcterms:modified>
</cp:coreProperties>
</file>