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5" w:name="_Hlk146106845"/>
    <w:p w14:paraId="4A617B97" w14:textId="7C4CE0E1" w:rsidR="00165C36" w:rsidRPr="00D14D4B" w:rsidRDefault="00000000" w:rsidP="00165C36">
      <w:pPr>
        <w:pStyle w:val="Ttulo"/>
      </w:pPr>
      <w:sdt>
        <w:sdtPr>
          <w:rPr>
            <w:i/>
            <w:u w:val="single"/>
          </w:rPr>
          <w:alias w:val="Title"/>
          <w:tag w:val=""/>
          <w:id w:val="-780801520"/>
          <w:placeholder>
            <w:docPart w:val="22045C92439349A4B82A8ABD9AB0B2CD"/>
          </w:placeholder>
          <w:dataBinding w:prefixMappings="xmlns:ns0='http://purl.org/dc/elements/1.1/' xmlns:ns1='http://schemas.openxmlformats.org/package/2006/metadata/core-properties' " w:xpath="/ns1:coreProperties[1]/ns0:title[1]" w:storeItemID="{6C3C8BC8-F283-45AE-878A-BAB7291924A1}"/>
          <w:text/>
        </w:sdtPr>
        <w:sdtContent>
          <w:r w:rsidR="00165C36">
            <w:rPr>
              <w:i/>
              <w:u w:val="single"/>
            </w:rPr>
            <w:t>4.A.18</w:t>
          </w:r>
        </w:sdtContent>
      </w:sdt>
      <w:r w:rsidR="00165C36">
        <w:t xml:space="preserve"> :</w:t>
      </w:r>
      <w:r w:rsidR="00165C36" w:rsidRPr="004C0C34">
        <w:t xml:space="preserve"> </w:t>
      </w:r>
      <w:sdt>
        <w:sdtPr>
          <w:rPr>
            <w:spacing w:val="-6"/>
          </w:rPr>
          <w:alias w:val="Subject"/>
          <w:tag w:val=""/>
          <w:id w:val="-1903059896"/>
          <w:placeholder>
            <w:docPart w:val="C5C69B3F80D842CD90D32600B5E12894"/>
          </w:placeholder>
          <w:dataBinding w:prefixMappings="xmlns:ns0='http://purl.org/dc/elements/1.1/' xmlns:ns1='http://schemas.openxmlformats.org/package/2006/metadata/core-properties' " w:xpath="/ns1:coreProperties[1]/ns0:subject[1]" w:storeItemID="{6C3C8BC8-F283-45AE-878A-BAB7291924A1}"/>
          <w:text/>
        </w:sdtPr>
        <w:sdtContent>
          <w:r w:rsidR="00165C36">
            <w:rPr>
              <w:spacing w:val="-6"/>
            </w:rPr>
            <w:t>El sistema financiero español (I). Evolución hasta la actualidad. Instituciones y agentes.</w:t>
          </w:r>
        </w:sdtContent>
      </w:sdt>
    </w:p>
    <w:p w14:paraId="18CF2427" w14:textId="77777777" w:rsidR="00165C36" w:rsidRDefault="00165C36" w:rsidP="00165C36">
      <w:pPr>
        <w:pStyle w:val="Introduccinyconclusin"/>
      </w:pPr>
      <w:bookmarkStart w:id="6" w:name="_Hlk146784968"/>
      <w:bookmarkEnd w:id="5"/>
      <w:r w:rsidRPr="0007492B">
        <w:t>INTRODUCCION</w:t>
      </w:r>
    </w:p>
    <w:p w14:paraId="6A320A67" w14:textId="396918FA" w:rsidR="00CF0695" w:rsidRDefault="00000000" w:rsidP="00CF0695">
      <w:pPr>
        <w:pStyle w:val="Cajadeanotaciones"/>
      </w:pPr>
      <w:hyperlink r:id="rId8" w:history="1">
        <w:r w:rsidR="00CF0695" w:rsidRPr="00846872">
          <w:rPr>
            <w:rStyle w:val="Hipervnculo"/>
          </w:rPr>
          <w:t>http://www.revistasice.com/index.php/ICE/article/view/7153/7168</w:t>
        </w:r>
      </w:hyperlink>
    </w:p>
    <w:p w14:paraId="00AD74A4" w14:textId="0424C89E" w:rsidR="00CF0695" w:rsidRDefault="00000000" w:rsidP="00CF0695">
      <w:pPr>
        <w:pStyle w:val="Cajadeanotaciones"/>
      </w:pPr>
      <w:hyperlink r:id="rId9" w:history="1">
        <w:r w:rsidR="00CF0695" w:rsidRPr="00846872">
          <w:rPr>
            <w:rStyle w:val="Hipervnculo"/>
          </w:rPr>
          <w:t>http://www.revistasice.com/index.php/ICE/article/view/7160/7176</w:t>
        </w:r>
      </w:hyperlink>
    </w:p>
    <w:p w14:paraId="1CC5F18E" w14:textId="7D6DB3B5" w:rsidR="00CF0695" w:rsidRDefault="00000000" w:rsidP="00CF0695">
      <w:pPr>
        <w:pStyle w:val="Cajadeanotaciones"/>
      </w:pPr>
      <w:hyperlink r:id="rId10" w:history="1">
        <w:r w:rsidR="00CF0695" w:rsidRPr="00846872">
          <w:rPr>
            <w:rStyle w:val="Hipervnculo"/>
          </w:rPr>
          <w:t>http://www.revistasice.com/index.php/ICE/article/view/7155/7170</w:t>
        </w:r>
      </w:hyperlink>
    </w:p>
    <w:p w14:paraId="70D089C8" w14:textId="73B86A89" w:rsidR="00CF0695" w:rsidRDefault="00000000" w:rsidP="00CF0695">
      <w:pPr>
        <w:pStyle w:val="Cajadeanotaciones"/>
      </w:pPr>
      <w:hyperlink r:id="rId11" w:history="1">
        <w:r w:rsidR="00CF0695" w:rsidRPr="00846872">
          <w:rPr>
            <w:rStyle w:val="Hipervnculo"/>
          </w:rPr>
          <w:t>http://www.revistasice.com/index.php/ICE/article/view/7156/7171</w:t>
        </w:r>
      </w:hyperlink>
    </w:p>
    <w:p w14:paraId="5DDF8E76" w14:textId="0951DD61" w:rsidR="00CF0695" w:rsidRPr="00CF0695" w:rsidRDefault="00000000" w:rsidP="00CF0695">
      <w:pPr>
        <w:pStyle w:val="Cajadeanotaciones"/>
      </w:pPr>
      <w:hyperlink r:id="rId12" w:history="1">
        <w:r w:rsidR="00CF0695" w:rsidRPr="00846872">
          <w:rPr>
            <w:rStyle w:val="Hipervnculo"/>
          </w:rPr>
          <w:t>http://www.revistasice.com/index.php/ICE/article/view/7162/7172</w:t>
        </w:r>
      </w:hyperlink>
    </w:p>
    <w:p w14:paraId="5DAAACE8" w14:textId="77777777" w:rsidR="00165C36" w:rsidRDefault="00165C36" w:rsidP="00165C36">
      <w:pPr>
        <w:pStyle w:val="Nivel1"/>
        <w:keepNext/>
        <w:spacing w:before="0" w:after="0"/>
      </w:pPr>
      <w:r>
        <w:rPr>
          <w:b/>
          <w:bCs/>
          <w:i/>
          <w:iCs/>
        </w:rPr>
        <w:t>Enganche</w:t>
      </w:r>
      <w:r>
        <w:t>:</w:t>
      </w:r>
    </w:p>
    <w:p w14:paraId="5967F85F" w14:textId="77777777" w:rsidR="00C11CAE" w:rsidRDefault="00C11CAE" w:rsidP="00C11CAE">
      <w:pPr>
        <w:pStyle w:val="Nivel2"/>
      </w:pPr>
      <w:bookmarkStart w:id="7" w:name="_Hlk124407223"/>
      <w:r>
        <w:t>Imaginemos a un individuo que actualmente trabaja y recibe una renta por ello, pero que no desea gastarla completamente para poder continuar consumiendo sus bienes preferidos en el futuro y le gustaría obtener una rentabilidad por su ahorro.</w:t>
      </w:r>
    </w:p>
    <w:p w14:paraId="04B03BFE" w14:textId="77777777" w:rsidR="00C11CAE" w:rsidRPr="00DE4328" w:rsidRDefault="00C11CAE" w:rsidP="00C11CAE">
      <w:pPr>
        <w:pStyle w:val="Nivel2"/>
        <w:keepNext/>
        <w:spacing w:after="0"/>
        <w:rPr>
          <w:spacing w:val="-3"/>
        </w:rPr>
      </w:pPr>
      <w:r w:rsidRPr="00DE4328">
        <w:rPr>
          <w:spacing w:val="-3"/>
        </w:rPr>
        <w:t>Imaginemos una empresa que acaba de idear un nuevo producto, pero que necesita de liquidez para poder comprar la maquinaria necesaria para poder hacer su proyecto realidad.</w:t>
      </w:r>
    </w:p>
    <w:p w14:paraId="77FA2CD4" w14:textId="77777777" w:rsidR="00C11CAE" w:rsidRDefault="00C11CAE" w:rsidP="00C11CAE">
      <w:pPr>
        <w:pStyle w:val="Nivel3"/>
        <w:keepNext/>
      </w:pPr>
      <w:r>
        <w:t>Si este individuo pudiera prestar a la empresa a cambio de obtener la rentabilidad deseada en el futuro, ambos agentes saldrían beneficiados de la operación.</w:t>
      </w:r>
    </w:p>
    <w:p w14:paraId="5396ABA3" w14:textId="77777777" w:rsidR="00C11CAE" w:rsidRDefault="00C11CAE" w:rsidP="00C11CAE">
      <w:pPr>
        <w:pStyle w:val="Nivel4"/>
      </w:pPr>
      <w:r>
        <w:t>El individuo obtendría una rentabilidad positiva de sus ahorros en el futuro.</w:t>
      </w:r>
    </w:p>
    <w:p w14:paraId="56437856" w14:textId="77777777" w:rsidR="00C11CAE" w:rsidRDefault="00C11CAE" w:rsidP="00C11CAE">
      <w:pPr>
        <w:pStyle w:val="Nivel4"/>
      </w:pPr>
      <w:r>
        <w:t>La empresa conseguiría la liquidez necesaria para poder llevar a cabo su proyecto hoy y obtener beneficios por ello.</w:t>
      </w:r>
    </w:p>
    <w:p w14:paraId="756C5933" w14:textId="77777777" w:rsidR="00C11CAE" w:rsidRDefault="00C11CAE" w:rsidP="00C11CAE">
      <w:pPr>
        <w:pStyle w:val="Nivel2"/>
      </w:pPr>
      <w:bookmarkStart w:id="8" w:name="_Hlk143097545"/>
      <w:bookmarkEnd w:id="7"/>
      <w:r>
        <w:t>E</w:t>
      </w:r>
      <w:r w:rsidRPr="008D6988">
        <w:t xml:space="preserve">n sentido general, el </w:t>
      </w:r>
      <w:r w:rsidRPr="00B027A2">
        <w:rPr>
          <w:i/>
          <w:iCs/>
        </w:rPr>
        <w:t>sistema financiero</w:t>
      </w:r>
      <w:r w:rsidRPr="008D6988">
        <w:t xml:space="preserve"> está formado por el conjunto de instituciones, medios y mercados, cuyo fin primordial es canalizar el ahorro que generan las unidades de gasto con superávit hacia los prestatarios o unidades de gasto con déficit.</w:t>
      </w:r>
      <w:r>
        <w:t xml:space="preserve"> Del estudio de estas cuestiones se encarga la </w:t>
      </w:r>
      <w:r w:rsidRPr="00B027A2">
        <w:rPr>
          <w:b/>
          <w:bCs/>
          <w:i/>
          <w:iCs/>
        </w:rPr>
        <w:t>economía financiera</w:t>
      </w:r>
      <w:r>
        <w:t>.</w:t>
      </w:r>
    </w:p>
    <w:bookmarkEnd w:id="8"/>
    <w:p w14:paraId="58A6F130" w14:textId="77777777" w:rsidR="00C11CAE" w:rsidRDefault="00C11CAE" w:rsidP="00C11CAE">
      <w:pPr>
        <w:pStyle w:val="Nivel2"/>
        <w:keepNext/>
        <w:spacing w:after="0"/>
      </w:pPr>
      <w:r>
        <w:t xml:space="preserve">En los </w:t>
      </w:r>
      <w:r w:rsidRPr="006454BF">
        <w:rPr>
          <w:i/>
          <w:iCs/>
          <w:u w:val="single"/>
        </w:rPr>
        <w:t>mercados financieros</w:t>
      </w:r>
      <w:r>
        <w:t xml:space="preserve"> se encuentran distintos tipos de agentes:</w:t>
      </w:r>
    </w:p>
    <w:p w14:paraId="177F9B6D" w14:textId="77777777" w:rsidR="00C11CAE" w:rsidRPr="00BD7C5D" w:rsidRDefault="00C11CAE" w:rsidP="00C11CAE">
      <w:pPr>
        <w:pStyle w:val="Nivel3"/>
        <w:ind w:left="1560"/>
      </w:pPr>
      <w:r w:rsidRPr="00BD7C5D">
        <w:t xml:space="preserve">Por un lado, existen agentes que poseen ahorros y que desean invertir, por lo que toman </w:t>
      </w:r>
      <w:r w:rsidRPr="00BD7C5D">
        <w:rPr>
          <w:b/>
          <w:bCs/>
        </w:rPr>
        <w:t>decisiones de inversión</w:t>
      </w:r>
      <w:r w:rsidRPr="00BD7C5D">
        <w:t xml:space="preserve"> en activos financieros</w:t>
      </w:r>
      <w:r>
        <w:rPr>
          <w:rStyle w:val="Refdenotaalpie"/>
        </w:rPr>
        <w:footnoteReference w:id="2"/>
      </w:r>
      <w:r w:rsidRPr="00BD7C5D">
        <w:t>.</w:t>
      </w:r>
    </w:p>
    <w:p w14:paraId="157A6809" w14:textId="77777777" w:rsidR="00C11CAE" w:rsidRPr="00946D45" w:rsidRDefault="00C11CAE" w:rsidP="00C11CAE">
      <w:pPr>
        <w:pStyle w:val="Nivel3"/>
        <w:ind w:left="1560"/>
        <w:rPr>
          <w:spacing w:val="-5"/>
        </w:rPr>
      </w:pPr>
      <w:r w:rsidRPr="00946D45">
        <w:rPr>
          <w:spacing w:val="-5"/>
        </w:rPr>
        <w:t xml:space="preserve">Por otro lado, existen un conjunto de agentes que demandan liquidez y buscan financiación, por lo que toman </w:t>
      </w:r>
      <w:r w:rsidRPr="00946D45">
        <w:rPr>
          <w:b/>
          <w:bCs/>
          <w:spacing w:val="-5"/>
        </w:rPr>
        <w:t>decisiones de financiación</w:t>
      </w:r>
      <w:r w:rsidRPr="00946D45">
        <w:rPr>
          <w:spacing w:val="-5"/>
        </w:rPr>
        <w:t xml:space="preserve"> mediante activos financieros.</w:t>
      </w:r>
    </w:p>
    <w:p w14:paraId="13F5E708" w14:textId="77777777" w:rsidR="00C11CAE" w:rsidRDefault="00C11CAE" w:rsidP="00C11CAE">
      <w:pPr>
        <w:pStyle w:val="Nivel2"/>
        <w:keepNext/>
        <w:spacing w:after="0"/>
      </w:pPr>
      <w:r>
        <w:t>Comúnmente, distinguimos 3 tipos de activos financieros:</w:t>
      </w:r>
    </w:p>
    <w:p w14:paraId="5BACD580" w14:textId="77777777" w:rsidR="00C11CAE" w:rsidRDefault="00C11CAE" w:rsidP="00C11CAE">
      <w:pPr>
        <w:pStyle w:val="Nivel3"/>
      </w:pPr>
      <w:bookmarkStart w:id="9" w:name="_Hlk94901612"/>
      <w:r w:rsidRPr="008330D9">
        <w:rPr>
          <w:i/>
          <w:iCs/>
          <w:u w:val="single"/>
        </w:rPr>
        <w:t>Activos financieros de renta variable</w:t>
      </w:r>
      <w:r w:rsidRPr="009E04AF">
        <w:t xml:space="preserve"> </w:t>
      </w:r>
      <w:r w:rsidRPr="002058C9">
        <w:rPr>
          <w:color w:val="767171" w:themeColor="background2" w:themeShade="80"/>
          <w:sz w:val="19"/>
          <w:szCs w:val="19"/>
        </w:rPr>
        <w:t>[</w:t>
      </w:r>
      <w:r>
        <w:rPr>
          <w:color w:val="767171" w:themeColor="background2" w:themeShade="80"/>
          <w:sz w:val="19"/>
          <w:szCs w:val="19"/>
        </w:rPr>
        <w:t>3.B.25</w:t>
      </w:r>
      <w:r w:rsidRPr="002058C9">
        <w:rPr>
          <w:color w:val="767171" w:themeColor="background2" w:themeShade="80"/>
          <w:sz w:val="19"/>
          <w:szCs w:val="19"/>
        </w:rPr>
        <w:t>]</w:t>
      </w:r>
      <w:r>
        <w:t>:</w:t>
      </w:r>
      <w:r w:rsidRPr="008330D9">
        <w:t xml:space="preserve"> </w:t>
      </w:r>
      <w:r>
        <w:t>C</w:t>
      </w:r>
      <w:r w:rsidRPr="008330D9">
        <w:t>onllevan derechos de propiedad y su remuneración depende de la evolución económico-financiera del emisor.</w:t>
      </w:r>
    </w:p>
    <w:p w14:paraId="1087872A" w14:textId="77777777" w:rsidR="00C11CAE" w:rsidRDefault="00C11CAE" w:rsidP="00C11CAE">
      <w:pPr>
        <w:pStyle w:val="Nivel3"/>
      </w:pPr>
      <w:r w:rsidRPr="008330D9">
        <w:rPr>
          <w:i/>
          <w:iCs/>
          <w:u w:val="single"/>
        </w:rPr>
        <w:t>Activos financieros de renta fija</w:t>
      </w:r>
      <w:r w:rsidRPr="009E04AF">
        <w:t xml:space="preserve"> </w:t>
      </w:r>
      <w:r w:rsidRPr="002058C9">
        <w:rPr>
          <w:color w:val="767171" w:themeColor="background2" w:themeShade="80"/>
          <w:sz w:val="19"/>
          <w:szCs w:val="19"/>
        </w:rPr>
        <w:t>[</w:t>
      </w:r>
      <w:r>
        <w:rPr>
          <w:color w:val="767171" w:themeColor="background2" w:themeShade="80"/>
          <w:sz w:val="19"/>
          <w:szCs w:val="19"/>
        </w:rPr>
        <w:t>3.B.26</w:t>
      </w:r>
      <w:r w:rsidRPr="002058C9">
        <w:rPr>
          <w:color w:val="767171" w:themeColor="background2" w:themeShade="80"/>
          <w:sz w:val="19"/>
          <w:szCs w:val="19"/>
        </w:rPr>
        <w:t>]</w:t>
      </w:r>
      <w:r>
        <w:t xml:space="preserve">: </w:t>
      </w:r>
      <w:r>
        <w:rPr>
          <w:spacing w:val="-4"/>
        </w:rPr>
        <w:t>N</w:t>
      </w:r>
      <w:r w:rsidRPr="00BD18ED">
        <w:rPr>
          <w:spacing w:val="-4"/>
        </w:rPr>
        <w:t>o</w:t>
      </w:r>
      <w:r w:rsidRPr="008330D9">
        <w:rPr>
          <w:spacing w:val="-4"/>
        </w:rPr>
        <w:t xml:space="preserve"> conllevan derechos de propiedad y su remuneración </w:t>
      </w:r>
      <w:r w:rsidRPr="005B6BD6">
        <w:t>no</w:t>
      </w:r>
      <w:r w:rsidRPr="004D196A">
        <w:t xml:space="preserve"> depende de la evolución económico-financiera del emisor</w:t>
      </w:r>
      <w:r>
        <w:t>, sino que viene especificada por una fórmula</w:t>
      </w:r>
      <w:r w:rsidRPr="004D196A">
        <w:t>.</w:t>
      </w:r>
    </w:p>
    <w:p w14:paraId="3A590CCE" w14:textId="77777777" w:rsidR="00C11CAE" w:rsidRDefault="00C11CAE" w:rsidP="00C11CAE">
      <w:pPr>
        <w:pStyle w:val="Nivel3"/>
      </w:pPr>
      <w:r>
        <w:rPr>
          <w:i/>
          <w:iCs/>
          <w:u w:val="single"/>
        </w:rPr>
        <w:t>Instrumentos d</w:t>
      </w:r>
      <w:r w:rsidRPr="00737BBA">
        <w:rPr>
          <w:i/>
          <w:iCs/>
          <w:u w:val="single"/>
        </w:rPr>
        <w:t>erivados</w:t>
      </w:r>
      <w:r w:rsidRPr="009E04AF">
        <w:t xml:space="preserve"> </w:t>
      </w:r>
      <w:r w:rsidRPr="002058C9">
        <w:rPr>
          <w:color w:val="767171" w:themeColor="background2" w:themeShade="80"/>
          <w:sz w:val="19"/>
          <w:szCs w:val="19"/>
        </w:rPr>
        <w:t>[</w:t>
      </w:r>
      <w:r>
        <w:rPr>
          <w:color w:val="767171" w:themeColor="background2" w:themeShade="80"/>
          <w:sz w:val="19"/>
          <w:szCs w:val="19"/>
        </w:rPr>
        <w:t>3.B.27</w:t>
      </w:r>
      <w:r w:rsidRPr="002058C9">
        <w:rPr>
          <w:color w:val="767171" w:themeColor="background2" w:themeShade="80"/>
          <w:sz w:val="19"/>
          <w:szCs w:val="19"/>
        </w:rPr>
        <w:t>]</w:t>
      </w:r>
      <w:r>
        <w:t xml:space="preserve">: </w:t>
      </w:r>
      <w:bookmarkStart w:id="10" w:name="_Hlk94901835"/>
      <w:r>
        <w:t xml:space="preserve">Son instrumentos financieros cuyo valor está en función (se deriva) de la rentabilidad o valor de otro activo llamado </w:t>
      </w:r>
      <w:r>
        <w:rPr>
          <w:i/>
          <w:iCs/>
        </w:rPr>
        <w:t>subyacente</w:t>
      </w:r>
      <w:r>
        <w:t>.</w:t>
      </w:r>
      <w:bookmarkEnd w:id="9"/>
      <w:bookmarkEnd w:id="10"/>
    </w:p>
    <w:p w14:paraId="6C72ED12" w14:textId="77777777" w:rsidR="00165C36" w:rsidRDefault="00165C36" w:rsidP="00165C36">
      <w:pPr>
        <w:pStyle w:val="Nivel1"/>
        <w:keepNext/>
        <w:spacing w:after="0"/>
      </w:pPr>
      <w:r>
        <w:rPr>
          <w:b/>
          <w:bCs/>
          <w:i/>
          <w:iCs/>
        </w:rPr>
        <w:lastRenderedPageBreak/>
        <w:t>Relevancia</w:t>
      </w:r>
      <w:bookmarkStart w:id="11" w:name="_Hlk145917891"/>
      <w:r>
        <w:t>:</w:t>
      </w:r>
      <w:bookmarkEnd w:id="11"/>
    </w:p>
    <w:p w14:paraId="7997338B" w14:textId="77777777" w:rsidR="00D31243" w:rsidRDefault="00D31243" w:rsidP="00D31243">
      <w:pPr>
        <w:pStyle w:val="Nivel2"/>
        <w:keepNext/>
        <w:spacing w:after="0"/>
      </w:pPr>
      <w:bookmarkStart w:id="12" w:name="_Hlk150073735"/>
      <w:r>
        <w:t>Podemos considerar que esta materia es de doble importancia:</w:t>
      </w:r>
    </w:p>
    <w:p w14:paraId="38A16211" w14:textId="77777777" w:rsidR="00D31243" w:rsidRDefault="00D31243" w:rsidP="00D31243">
      <w:pPr>
        <w:pStyle w:val="Nivel3"/>
        <w:keepNext/>
        <w:ind w:left="1560"/>
      </w:pPr>
      <w:r w:rsidRPr="00116C0C">
        <w:rPr>
          <w:i/>
          <w:iCs/>
          <w:u w:val="single"/>
        </w:rPr>
        <w:t>A nivel microeconómico</w:t>
      </w:r>
      <w:r>
        <w:t>, ya que los mercados financieros van a jugar un papel fundamental a la hora de permitir a los agentes transferir recursos entre periodos.</w:t>
      </w:r>
    </w:p>
    <w:p w14:paraId="223C08B5" w14:textId="77777777" w:rsidR="00D31243" w:rsidRDefault="00D31243" w:rsidP="00D31243">
      <w:pPr>
        <w:pStyle w:val="Nivel4"/>
      </w:pPr>
      <w:r>
        <w:t xml:space="preserve">Esto implicará que las inversiones dependan fundamentalmente de 2 conceptos económicos fundamentales: el </w:t>
      </w:r>
      <w:r>
        <w:rPr>
          <w:i/>
          <w:iCs/>
        </w:rPr>
        <w:t>tiempo</w:t>
      </w:r>
      <w:r>
        <w:t xml:space="preserve"> y el </w:t>
      </w:r>
      <w:r>
        <w:rPr>
          <w:i/>
          <w:iCs/>
        </w:rPr>
        <w:t>riesgo</w:t>
      </w:r>
      <w:r>
        <w:t>.</w:t>
      </w:r>
    </w:p>
    <w:p w14:paraId="7426DC1F" w14:textId="77777777" w:rsidR="00D31243" w:rsidRPr="00065E48" w:rsidRDefault="00D31243" w:rsidP="00D31243">
      <w:pPr>
        <w:pStyle w:val="Nivel3"/>
        <w:ind w:left="1560"/>
      </w:pPr>
      <w:r>
        <w:rPr>
          <w:i/>
          <w:iCs/>
          <w:u w:val="single"/>
        </w:rPr>
        <w:t xml:space="preserve">A </w:t>
      </w:r>
      <w:r w:rsidRPr="00116C0C">
        <w:rPr>
          <w:i/>
          <w:iCs/>
          <w:u w:val="single"/>
        </w:rPr>
        <w:t>nivel macroeconómico</w:t>
      </w:r>
      <w:r>
        <w:t>, ya que a nivel agregado estos mercados pueden ser claves para la evolución de los agregados económicos y en última instancia para el bienestar de los individuos.</w:t>
      </w:r>
    </w:p>
    <w:bookmarkEnd w:id="12"/>
    <w:p w14:paraId="1336AF89" w14:textId="77777777" w:rsidR="00165C36" w:rsidRDefault="00165C36" w:rsidP="00165C36">
      <w:pPr>
        <w:pStyle w:val="Nivel1"/>
        <w:keepNext/>
        <w:spacing w:after="0"/>
      </w:pPr>
      <w:r>
        <w:rPr>
          <w:b/>
          <w:bCs/>
          <w:i/>
          <w:iCs/>
        </w:rPr>
        <w:t>Contextualización</w:t>
      </w:r>
      <w:r>
        <w:t>:</w:t>
      </w:r>
    </w:p>
    <w:p w14:paraId="33F8E2DA" w14:textId="77777777" w:rsidR="00165C36" w:rsidRPr="004F0012" w:rsidRDefault="00165C36" w:rsidP="00165C36">
      <w:pPr>
        <w:pStyle w:val="Nivel2"/>
        <w:keepNext/>
        <w:spacing w:after="0"/>
        <w:rPr>
          <w:spacing w:val="-2"/>
        </w:rPr>
      </w:pPr>
      <w:r w:rsidRPr="004F0012">
        <w:rPr>
          <w:spacing w:val="-2"/>
        </w:rPr>
        <w:t xml:space="preserve">La economía española ha experimentado un importante cambio a lo largo de las últimas </w:t>
      </w:r>
      <w:r>
        <w:rPr>
          <w:spacing w:val="-2"/>
        </w:rPr>
        <w:t>7</w:t>
      </w:r>
      <w:r w:rsidRPr="004F0012">
        <w:rPr>
          <w:spacing w:val="-2"/>
        </w:rPr>
        <w:t> décadas tanto desde un punto de vista político como desde un punto de vista económico.</w:t>
      </w:r>
    </w:p>
    <w:p w14:paraId="6E2394FE" w14:textId="77777777" w:rsidR="00165C36" w:rsidRDefault="00165C36" w:rsidP="00165C36">
      <w:pPr>
        <w:pStyle w:val="Nivel3"/>
      </w:pPr>
      <w:r>
        <w:t>Desde un punto de vista político, el país ha pasado de un régimen autoritario a un régimen democrático.</w:t>
      </w:r>
    </w:p>
    <w:p w14:paraId="6617BF45" w14:textId="77777777" w:rsidR="00165C36" w:rsidRDefault="00165C36" w:rsidP="00165C36">
      <w:pPr>
        <w:pStyle w:val="Nivel3"/>
        <w:keepNext/>
      </w:pPr>
      <w:r>
        <w:t>Desde un punto de vista económico, ha pasado a estar caracterizado por un régimen de autarquía a formar parte del proceso de integración más avanzado del mundo: La Unión Económica y Monetaria Europea.</w:t>
      </w:r>
    </w:p>
    <w:p w14:paraId="3811A298" w14:textId="77777777" w:rsidR="00165C36" w:rsidRDefault="00165C36" w:rsidP="00165C36">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1797639C" w14:textId="7AF108D3" w:rsidR="00194D02" w:rsidRDefault="00194D02" w:rsidP="00194D02">
      <w:pPr>
        <w:pStyle w:val="Nivel4"/>
      </w:pPr>
      <w:r w:rsidRPr="00C045F9">
        <w:t>El caso del sector del sector financiero no ha sido una excepción experimentando por ejemplo el sector de crédito y de valores un enorme cambio.</w:t>
      </w:r>
    </w:p>
    <w:p w14:paraId="33F8C9E9" w14:textId="77777777" w:rsidR="00165C36" w:rsidRDefault="00165C36" w:rsidP="00165C36">
      <w:pPr>
        <w:pStyle w:val="Nivel1"/>
        <w:keepNext/>
        <w:spacing w:after="0"/>
      </w:pPr>
      <w:r>
        <w:rPr>
          <w:b/>
          <w:bCs/>
          <w:i/>
          <w:iCs/>
        </w:rPr>
        <w:t>Problemática</w:t>
      </w:r>
      <w:r>
        <w:t>:</w:t>
      </w:r>
    </w:p>
    <w:p w14:paraId="6A66B181" w14:textId="13D65565" w:rsidR="00165C36" w:rsidRDefault="00165C36" w:rsidP="008D3B6F">
      <w:pPr>
        <w:pStyle w:val="Nivel2"/>
        <w:keepNext/>
        <w:spacing w:after="0"/>
      </w:pPr>
      <w:r w:rsidRPr="008E3100">
        <w:t>El objetivo de est</w:t>
      </w:r>
      <w:r>
        <w:t>a</w:t>
      </w:r>
      <w:r w:rsidRPr="008E3100">
        <w:t xml:space="preserve"> </w:t>
      </w:r>
      <w:r>
        <w:t>exposición</w:t>
      </w:r>
      <w:r w:rsidRPr="008E3100">
        <w:t xml:space="preserve"> será llevar a cabo un análisis algo más en profundidad del </w:t>
      </w:r>
      <w:r>
        <w:t xml:space="preserve">sector financiero </w:t>
      </w:r>
      <w:r w:rsidR="00C11CAE">
        <w:t>español, que consta de una serie de instituciones, agentes, mercados e instrumentos</w:t>
      </w:r>
      <w:r>
        <w:t>.</w:t>
      </w:r>
    </w:p>
    <w:p w14:paraId="1535C957" w14:textId="21AC11D8" w:rsidR="008D3B6F" w:rsidRDefault="008D3B6F" w:rsidP="007207B1">
      <w:pPr>
        <w:pStyle w:val="Nivel3"/>
      </w:pPr>
      <w:bookmarkStart w:id="13" w:name="_Hlk150074256"/>
      <w:r>
        <w:t xml:space="preserve">El sector financiero español no sólo es relevante en términos </w:t>
      </w:r>
      <w:r w:rsidR="007207B1">
        <w:t>cuantitativos</w:t>
      </w:r>
      <w:r>
        <w:t xml:space="preserve"> (</w:t>
      </w:r>
      <w:r w:rsidR="007207B1">
        <w:t>representa un 4</w:t>
      </w:r>
      <w:r>
        <w:t>,</w:t>
      </w:r>
      <w:r w:rsidR="007207B1">
        <w:t>3</w:t>
      </w:r>
      <w:r>
        <w:t xml:space="preserve"> % del </w:t>
      </w:r>
      <w:r w:rsidR="007207B1">
        <w:t xml:space="preserve">VAB </w:t>
      </w:r>
      <w:r>
        <w:t>total</w:t>
      </w:r>
      <w:r w:rsidR="007207B1">
        <w:t xml:space="preserve"> y un 2,3 % del empleo</w:t>
      </w:r>
      <w:r w:rsidR="002E3863">
        <w:t xml:space="preserve"> en 2022</w:t>
      </w:r>
      <w:r w:rsidR="002E3863">
        <w:rPr>
          <w:rStyle w:val="Refdenotaalpie"/>
        </w:rPr>
        <w:footnoteReference w:id="3"/>
      </w:r>
      <w:r>
        <w:t xml:space="preserve">), </w:t>
      </w:r>
      <w:r w:rsidRPr="008D3B6F">
        <w:rPr>
          <w:spacing w:val="-4"/>
        </w:rPr>
        <w:t>sino que es importante para toda la economía porque todos los sectores hacen uso de él.</w:t>
      </w:r>
    </w:p>
    <w:bookmarkEnd w:id="13"/>
    <w:p w14:paraId="00B4951B" w14:textId="77777777" w:rsidR="00165C36" w:rsidRDefault="00165C36" w:rsidP="008D3B6F">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165C36" w14:paraId="5F3195C5" w14:textId="77777777" w:rsidTr="00A40A7D">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7B225A4" w14:textId="77777777" w:rsidR="00165C36" w:rsidRPr="00A40A7D" w:rsidRDefault="00165C36" w:rsidP="00A40A7D">
      <w:pPr>
        <w:spacing w:after="0"/>
        <w:rPr>
          <w:sz w:val="2"/>
          <w:szCs w:val="2"/>
        </w:rPr>
      </w:pPr>
      <w:r w:rsidRPr="00A40A7D">
        <w:rPr>
          <w:sz w:val="2"/>
          <w:szCs w:val="2"/>
        </w:rPr>
        <w:br w:type="page"/>
      </w:r>
    </w:p>
    <w:p w14:paraId="56299BB8" w14:textId="6A484A1F" w:rsidR="002F05BC" w:rsidRPr="00165C36" w:rsidRDefault="002F05BC" w:rsidP="0051726D">
      <w:pPr>
        <w:pStyle w:val="Apartado0"/>
      </w:pPr>
      <w:bookmarkStart w:id="14" w:name="_Hlk146889297"/>
      <w:bookmarkStart w:id="15" w:name="_Toc178010305"/>
      <w:bookmarkEnd w:id="6"/>
      <w:r w:rsidRPr="00C045F9">
        <w:lastRenderedPageBreak/>
        <w:t>INTRODUCCIÓN AL SISTEMA FINANCIERO ESPAÑOL</w:t>
      </w:r>
      <w:bookmarkEnd w:id="15"/>
    </w:p>
    <w:p w14:paraId="7E8D1C7F" w14:textId="3C2F513A" w:rsidR="002F05BC" w:rsidRPr="00C045F9" w:rsidRDefault="002F05BC" w:rsidP="00F02263">
      <w:pPr>
        <w:pStyle w:val="Ttulo2"/>
        <w:numPr>
          <w:ilvl w:val="1"/>
          <w:numId w:val="43"/>
        </w:numPr>
        <w:ind w:left="788" w:hanging="431"/>
      </w:pPr>
      <w:bookmarkStart w:id="16" w:name="_Toc178010306"/>
      <w:r w:rsidRPr="00C045F9">
        <w:t>Definición</w:t>
      </w:r>
      <w:bookmarkEnd w:id="16"/>
    </w:p>
    <w:p w14:paraId="6FD59831" w14:textId="1BBE1F8C" w:rsidR="00565945" w:rsidRPr="00BB5880" w:rsidRDefault="00565945" w:rsidP="00565945">
      <w:pPr>
        <w:pStyle w:val="Nivel1SM"/>
        <w:keepNext/>
        <w:spacing w:before="0" w:after="0"/>
      </w:pPr>
      <w:r w:rsidRPr="00BB5880">
        <w:t xml:space="preserve">El </w:t>
      </w:r>
      <w:r w:rsidRPr="00BB5880">
        <w:rPr>
          <w:b/>
          <w:bCs/>
        </w:rPr>
        <w:t>sistema financiero</w:t>
      </w:r>
      <w:r w:rsidRPr="00BB5880">
        <w:t xml:space="preserve"> </w:t>
      </w:r>
      <w:r>
        <w:t>puede definirse como el conjunto de instituciones, medios y mercados que cumplen</w:t>
      </w:r>
      <w:r w:rsidRPr="00BB5880">
        <w:t xml:space="preserve"> </w:t>
      </w:r>
      <w:r>
        <w:t>3 </w:t>
      </w:r>
      <w:r w:rsidRPr="00BB5880">
        <w:t xml:space="preserve">funciones básicas: </w:t>
      </w:r>
      <w:r w:rsidRPr="00BB5880">
        <w:rPr>
          <w:i/>
          <w:iCs/>
          <w:color w:val="0070C0"/>
        </w:rPr>
        <w:t>transformar plazos</w:t>
      </w:r>
      <w:r w:rsidRPr="00BB5880">
        <w:t xml:space="preserve">, </w:t>
      </w:r>
      <w:r w:rsidRPr="00BB5880">
        <w:rPr>
          <w:i/>
          <w:iCs/>
          <w:color w:val="C00000"/>
        </w:rPr>
        <w:t>transferir riesgos</w:t>
      </w:r>
      <w:r w:rsidRPr="00BB5880">
        <w:t xml:space="preserve"> y </w:t>
      </w:r>
      <w:r w:rsidRPr="00BB5880">
        <w:rPr>
          <w:i/>
          <w:iCs/>
          <w:color w:val="538135" w:themeColor="accent6" w:themeShade="BF"/>
        </w:rPr>
        <w:t>transferir fondos</w:t>
      </w:r>
      <w:r w:rsidRPr="00BB5880">
        <w:t>.</w:t>
      </w:r>
    </w:p>
    <w:p w14:paraId="703C7447" w14:textId="77777777" w:rsidR="00565945" w:rsidRPr="002D4E5C" w:rsidRDefault="00565945" w:rsidP="00565945">
      <w:pPr>
        <w:pStyle w:val="Prrafodelista"/>
        <w:keepNext/>
        <w:numPr>
          <w:ilvl w:val="0"/>
          <w:numId w:val="33"/>
        </w:numPr>
        <w:spacing w:after="0"/>
        <w:ind w:left="568" w:hanging="284"/>
        <w:rPr>
          <w:spacing w:val="-3"/>
        </w:rPr>
      </w:pPr>
      <w:r w:rsidRPr="002D4E5C">
        <w:rPr>
          <w:i/>
          <w:iCs/>
          <w:color w:val="0070C0"/>
          <w:spacing w:val="-3"/>
          <w:u w:val="single"/>
        </w:rPr>
        <w:t>Transformar plazos</w:t>
      </w:r>
      <w:r w:rsidRPr="002D4E5C">
        <w:rPr>
          <w:spacing w:val="-3"/>
        </w:rPr>
        <w:t>: La transformación de plazos se lleva a cabo por los intermediarios financieros, especialmente los bancos, que toman prestado a corto plazo y prestan a largo plazo. Así, canalizan el ahorro hacia inversiones productivas y compatibilizan el deseo de los ahorradores de disponer de su ahorro en el corto plazo con la preferencia de los inversores por el crédito a largo plazo.</w:t>
      </w:r>
    </w:p>
    <w:p w14:paraId="5A45B7F6" w14:textId="77777777" w:rsidR="00565945" w:rsidRPr="00BB5880" w:rsidRDefault="00565945" w:rsidP="00565945">
      <w:pPr>
        <w:pStyle w:val="Nivel3SM"/>
      </w:pPr>
      <w:r w:rsidRPr="00BB5880">
        <w:t>Ahorradores quieren disponibilidad a corto plazo</w:t>
      </w:r>
      <w:r>
        <w:t>.</w:t>
      </w:r>
    </w:p>
    <w:p w14:paraId="3FAF2F0F" w14:textId="77777777" w:rsidR="00565945" w:rsidRPr="00BB5880" w:rsidRDefault="00565945" w:rsidP="00565945">
      <w:pPr>
        <w:pStyle w:val="Nivel3SM"/>
        <w:keepNext/>
      </w:pPr>
      <w:r w:rsidRPr="00BB5880">
        <w:t>Inversores quieren financiarse a largo plazo</w:t>
      </w:r>
      <w:r>
        <w:t>.</w:t>
      </w:r>
    </w:p>
    <w:p w14:paraId="5E4C4978" w14:textId="77777777" w:rsidR="00565945" w:rsidRPr="00BB5880" w:rsidRDefault="00565945" w:rsidP="008D3B6F">
      <w:pPr>
        <w:pStyle w:val="Nivel4"/>
        <w:ind w:left="1474"/>
      </w:pPr>
      <w:r w:rsidRPr="00BB5880">
        <w:t xml:space="preserve">Esta diferencia de liquidez del ahorro y la inversión da lugar al llamado </w:t>
      </w:r>
      <w:proofErr w:type="spellStart"/>
      <w:r w:rsidRPr="00BB5880">
        <w:rPr>
          <w:i/>
          <w:iCs/>
        </w:rPr>
        <w:t>maturity</w:t>
      </w:r>
      <w:proofErr w:type="spellEnd"/>
      <w:r w:rsidRPr="00BB5880">
        <w:rPr>
          <w:i/>
          <w:iCs/>
        </w:rPr>
        <w:t xml:space="preserve"> </w:t>
      </w:r>
      <w:proofErr w:type="spellStart"/>
      <w:r w:rsidRPr="00BB5880">
        <w:rPr>
          <w:i/>
          <w:iCs/>
        </w:rPr>
        <w:t>mismatch</w:t>
      </w:r>
      <w:proofErr w:type="spellEnd"/>
      <w:r w:rsidRPr="00BB5880">
        <w:t xml:space="preserve"> y debe ser gestionado por el banco y, a su vez, éste debe ser supervisado por el regulador para reducir los riesgos de pánico bancario.</w:t>
      </w:r>
    </w:p>
    <w:p w14:paraId="2FAB6200" w14:textId="77777777" w:rsidR="00565945" w:rsidRPr="00BB5880" w:rsidRDefault="00565945" w:rsidP="00565945">
      <w:pPr>
        <w:pStyle w:val="Prrafodelista"/>
        <w:keepNext/>
        <w:numPr>
          <w:ilvl w:val="0"/>
          <w:numId w:val="33"/>
        </w:numPr>
        <w:spacing w:after="0"/>
        <w:ind w:left="568" w:hanging="284"/>
      </w:pPr>
      <w:r w:rsidRPr="00BB5880">
        <w:rPr>
          <w:i/>
          <w:iCs/>
          <w:color w:val="C00000"/>
          <w:u w:val="single"/>
        </w:rPr>
        <w:t>Transferir</w:t>
      </w:r>
      <w:r>
        <w:rPr>
          <w:i/>
          <w:iCs/>
          <w:color w:val="C00000"/>
          <w:u w:val="single"/>
        </w:rPr>
        <w:t> </w:t>
      </w:r>
      <w:r w:rsidRPr="00BB5880">
        <w:rPr>
          <w:i/>
          <w:iCs/>
          <w:color w:val="C00000"/>
          <w:u w:val="single"/>
        </w:rPr>
        <w:t>riesgos</w:t>
      </w:r>
      <w:r w:rsidRPr="00BB5880">
        <w:t>:</w:t>
      </w:r>
    </w:p>
    <w:p w14:paraId="5CDB78EF" w14:textId="77777777" w:rsidR="00565945" w:rsidRPr="00BB5880" w:rsidRDefault="00565945" w:rsidP="00565945">
      <w:pPr>
        <w:pStyle w:val="Nivel3SM"/>
        <w:keepNext/>
      </w:pPr>
      <w:r w:rsidRPr="00BB5880">
        <w:t>Transmisión del riesgo de las inversiones desde los ahorradores a los intermediarios financieros y otros agentes menos aversos al riesgo, de manera que el ahorro efectivamente se canalice hacia proyectos de inversión arriesgados.</w:t>
      </w:r>
    </w:p>
    <w:p w14:paraId="6ABB47FB" w14:textId="77777777" w:rsidR="00565945" w:rsidRDefault="00565945" w:rsidP="00565945">
      <w:pPr>
        <w:pStyle w:val="Nivel4"/>
        <w:ind w:left="1475"/>
      </w:pPr>
      <w:r w:rsidRPr="00BB5880">
        <w:t>Los intermediarios asumen el riesgo de contrapartida a cambio de un diferencial.</w:t>
      </w:r>
    </w:p>
    <w:p w14:paraId="2DC55C40" w14:textId="77777777" w:rsidR="00565945" w:rsidRPr="00BB5880" w:rsidRDefault="00565945" w:rsidP="00565945">
      <w:pPr>
        <w:pStyle w:val="Nivel4"/>
        <w:ind w:left="1475"/>
      </w:pPr>
      <w:r w:rsidRPr="00BB5880">
        <w:t>Además, la especialización de los intermediarios financieros en la valoración del riesgo de default asociado a los deudores reduce los costes de información</w:t>
      </w:r>
      <w:r>
        <w:t xml:space="preserve"> (</w:t>
      </w:r>
      <w:r w:rsidRPr="00BB5880">
        <w:t>conocer la solvencia de un prestatario potencial es costoso y está sujeto a múltiples asimetrías de información</w:t>
      </w:r>
      <w:r>
        <w:t>)</w:t>
      </w:r>
      <w:r w:rsidRPr="00BB5880">
        <w:t>.</w:t>
      </w:r>
    </w:p>
    <w:p w14:paraId="0770C497" w14:textId="77777777" w:rsidR="00565945" w:rsidRPr="00BB5880" w:rsidRDefault="00565945" w:rsidP="00565945">
      <w:pPr>
        <w:pStyle w:val="Prrafodelista"/>
        <w:keepNext/>
        <w:numPr>
          <w:ilvl w:val="0"/>
          <w:numId w:val="33"/>
        </w:numPr>
        <w:spacing w:after="0"/>
        <w:ind w:left="568" w:hanging="284"/>
        <w:rPr>
          <w:i/>
          <w:iCs/>
          <w:u w:val="single"/>
        </w:rPr>
      </w:pPr>
      <w:r w:rsidRPr="00BB5880">
        <w:rPr>
          <w:i/>
          <w:iCs/>
          <w:color w:val="538135" w:themeColor="accent6" w:themeShade="BF"/>
          <w:u w:val="single"/>
        </w:rPr>
        <w:t>Transferir</w:t>
      </w:r>
      <w:r>
        <w:rPr>
          <w:i/>
          <w:iCs/>
          <w:color w:val="538135" w:themeColor="accent6" w:themeShade="BF"/>
          <w:u w:val="single"/>
        </w:rPr>
        <w:t> </w:t>
      </w:r>
      <w:r w:rsidRPr="00BB5880">
        <w:rPr>
          <w:i/>
          <w:iCs/>
          <w:color w:val="538135" w:themeColor="accent6" w:themeShade="BF"/>
          <w:u w:val="single"/>
        </w:rPr>
        <w:t>fondos</w:t>
      </w:r>
      <w:r w:rsidRPr="00BB5880">
        <w:t xml:space="preserve"> (sistema de pagos):</w:t>
      </w:r>
    </w:p>
    <w:p w14:paraId="0C329752" w14:textId="77777777" w:rsidR="00565945" w:rsidRPr="00BB5880" w:rsidRDefault="00565945" w:rsidP="00565945">
      <w:pPr>
        <w:pStyle w:val="Nivel3SM"/>
        <w:keepNext/>
      </w:pPr>
      <w:r w:rsidRPr="00BB5880">
        <w:t>Canalización de transferencias financieras que el sistema permite.</w:t>
      </w:r>
    </w:p>
    <w:p w14:paraId="0BE3DCB0" w14:textId="77777777" w:rsidR="00565945" w:rsidRPr="00BB5880" w:rsidRDefault="00565945" w:rsidP="00565945">
      <w:pPr>
        <w:pStyle w:val="Nivel4"/>
        <w:ind w:left="1475"/>
      </w:pPr>
      <w:r w:rsidRPr="00BB5880">
        <w:t>Bancos y otras instituciones financieras permiten a partes alejadas físicamente obligarse y transferir capacidad de compra, asegurando la ejecución efectiva de las transferencias y con ello, permitiendo el tráfico económico.</w:t>
      </w:r>
    </w:p>
    <w:p w14:paraId="10A12D8D" w14:textId="77777777" w:rsidR="003D73DF" w:rsidRDefault="003D73DF" w:rsidP="003D73DF">
      <w:pPr>
        <w:pStyle w:val="Nivel1SM"/>
      </w:pPr>
      <w:r>
        <w:t xml:space="preserve">De este modo, es deseable la existencia de </w:t>
      </w:r>
      <w:r w:rsidRPr="00C11CAE">
        <w:rPr>
          <w:i/>
          <w:iCs/>
        </w:rPr>
        <w:t xml:space="preserve">mercados financieros </w:t>
      </w:r>
      <w:r>
        <w:rPr>
          <w:i/>
          <w:iCs/>
        </w:rPr>
        <w:t>amplios,</w:t>
      </w:r>
      <w:r w:rsidRPr="00C11CAE">
        <w:rPr>
          <w:i/>
          <w:iCs/>
        </w:rPr>
        <w:t xml:space="preserve"> profundos</w:t>
      </w:r>
      <w:r>
        <w:rPr>
          <w:i/>
          <w:iCs/>
        </w:rPr>
        <w:t>, transparentes y con libre acceso al mercado</w:t>
      </w:r>
      <w:r>
        <w:t>.</w:t>
      </w:r>
    </w:p>
    <w:p w14:paraId="38B1C064" w14:textId="64CD6B8E" w:rsidR="002F05BC" w:rsidRPr="00165C36" w:rsidRDefault="002F05BC" w:rsidP="00F02263">
      <w:pPr>
        <w:pStyle w:val="Ttulo2"/>
        <w:numPr>
          <w:ilvl w:val="1"/>
          <w:numId w:val="43"/>
        </w:numPr>
        <w:ind w:left="788" w:hanging="431"/>
      </w:pPr>
      <w:bookmarkStart w:id="17" w:name="_Toc178010307"/>
      <w:r w:rsidRPr="00C045F9">
        <w:t>Importancia</w:t>
      </w:r>
      <w:r w:rsidR="0051726D">
        <w:t xml:space="preserve"> y deseabilidad de regulación y supervisión financiera</w:t>
      </w:r>
      <w:bookmarkEnd w:id="17"/>
    </w:p>
    <w:p w14:paraId="1BD23A27" w14:textId="77777777" w:rsidR="00984446" w:rsidRPr="00C045F9" w:rsidRDefault="00984446" w:rsidP="00984446">
      <w:pPr>
        <w:pStyle w:val="Nivel1SM"/>
        <w:keepNext/>
        <w:spacing w:before="0" w:after="0"/>
      </w:pPr>
      <w:r w:rsidRPr="00C045F9">
        <w:t xml:space="preserve">La </w:t>
      </w:r>
      <w:r w:rsidRPr="00D31243">
        <w:rPr>
          <w:b/>
          <w:bCs/>
        </w:rPr>
        <w:t>importancia económica</w:t>
      </w:r>
      <w:r w:rsidRPr="00C045F9">
        <w:t xml:space="preserve"> del sistema financiero es considerable debido a:</w:t>
      </w:r>
    </w:p>
    <w:p w14:paraId="6B0D9E77" w14:textId="77777777" w:rsidR="00984446" w:rsidRPr="00C045F9" w:rsidRDefault="00984446" w:rsidP="00984446">
      <w:pPr>
        <w:pStyle w:val="Nivel2SM"/>
      </w:pPr>
      <w:r w:rsidRPr="00D31243">
        <w:rPr>
          <w:i/>
          <w:iCs/>
          <w:u w:val="single"/>
        </w:rPr>
        <w:t>Buen funcionamiento de la economía</w:t>
      </w:r>
      <w:r w:rsidRPr="00D31243">
        <w:t>:</w:t>
      </w:r>
      <w:r>
        <w:t xml:space="preserve"> </w:t>
      </w:r>
      <w:r w:rsidRPr="00C045F9">
        <w:t>Resulta clave para el buen funcionamiento de una economía, ya que permite la transferencia de fondos y de riesgo entre los agentes económicos y la transformación de plazos.</w:t>
      </w:r>
    </w:p>
    <w:p w14:paraId="04853332" w14:textId="77777777" w:rsidR="00984446" w:rsidRPr="00C045F9" w:rsidRDefault="00984446" w:rsidP="00984446">
      <w:pPr>
        <w:pStyle w:val="Nivel2SM"/>
        <w:keepNext/>
        <w:spacing w:after="0"/>
      </w:pPr>
      <w:r w:rsidRPr="00E408E1">
        <w:rPr>
          <w:i/>
          <w:iCs/>
          <w:u w:val="single"/>
        </w:rPr>
        <w:t>Efectos positivos sobre el crecimiento económico</w:t>
      </w:r>
      <w:r>
        <w:t>:</w:t>
      </w:r>
    </w:p>
    <w:p w14:paraId="0509B14D" w14:textId="77777777" w:rsidR="00984446" w:rsidRPr="00C045F9" w:rsidRDefault="00984446" w:rsidP="00984446">
      <w:pPr>
        <w:pStyle w:val="Nivel3SM"/>
      </w:pPr>
      <w:r w:rsidRPr="00C045F9">
        <w:t>Posibilita que un mayor volumen de recursos se canalice hacia la inversión productiva.</w:t>
      </w:r>
    </w:p>
    <w:p w14:paraId="5FE389EC" w14:textId="77777777" w:rsidR="00984446" w:rsidRPr="00C045F9" w:rsidRDefault="00984446" w:rsidP="00984446">
      <w:pPr>
        <w:pStyle w:val="Nivel3SM"/>
      </w:pPr>
      <w:r w:rsidRPr="00C045F9">
        <w:t>Garantiza la selección de los mejores proyectos de inversión, mejorando la eficiencia asignativa.</w:t>
      </w:r>
    </w:p>
    <w:p w14:paraId="372F105B" w14:textId="77777777" w:rsidR="00984446" w:rsidRPr="00C045F9" w:rsidRDefault="00984446" w:rsidP="00984446">
      <w:pPr>
        <w:pStyle w:val="Nivel2SM"/>
      </w:pPr>
      <w:r w:rsidRPr="00D31243">
        <w:t>Afecta a la instrumentación de la política fiscal y monetaria</w:t>
      </w:r>
      <w:r w:rsidRPr="00C045F9">
        <w:t>, y tiene importantes efectos sobre la economía real.</w:t>
      </w:r>
    </w:p>
    <w:p w14:paraId="239342EF" w14:textId="77777777" w:rsidR="00984446" w:rsidRDefault="00984446" w:rsidP="00984446">
      <w:pPr>
        <w:pStyle w:val="Nivel1SM"/>
      </w:pPr>
      <w:bookmarkStart w:id="18" w:name="_Toc146803798"/>
      <w:bookmarkStart w:id="19" w:name="_Toc150113216"/>
      <w:r>
        <w:t>Por lo tanto</w:t>
      </w:r>
      <w:r w:rsidRPr="00C045F9">
        <w:t xml:space="preserve">, </w:t>
      </w:r>
      <w:r w:rsidRPr="007E45A1">
        <w:t>un funcionamiento inadecuado del sistema financiero puede tener consecuencias muy negativas sobre la economía en su conjunto</w:t>
      </w:r>
      <w:r w:rsidRPr="00C045F9">
        <w:t>.</w:t>
      </w:r>
    </w:p>
    <w:p w14:paraId="637B966D" w14:textId="77777777" w:rsidR="00984446" w:rsidRDefault="00984446" w:rsidP="00984446">
      <w:pPr>
        <w:pStyle w:val="Ttulo2"/>
        <w:numPr>
          <w:ilvl w:val="1"/>
          <w:numId w:val="43"/>
        </w:numPr>
        <w:ind w:left="788" w:hanging="431"/>
      </w:pPr>
      <w:bookmarkStart w:id="20" w:name="_Toc178010308"/>
      <w:r>
        <w:lastRenderedPageBreak/>
        <w:t>¿Qué es regulación y supervisión financiera?</w:t>
      </w:r>
      <w:bookmarkEnd w:id="18"/>
      <w:bookmarkEnd w:id="19"/>
      <w:bookmarkEnd w:id="20"/>
    </w:p>
    <w:p w14:paraId="1746B801" w14:textId="77777777" w:rsidR="00984446" w:rsidRDefault="00984446" w:rsidP="00984446">
      <w:pPr>
        <w:pStyle w:val="Nivel1SM"/>
        <w:keepNext/>
        <w:keepLines/>
        <w:spacing w:before="0" w:after="0"/>
      </w:pPr>
      <w:r>
        <w:t xml:space="preserve">Como aclaración de partida debemos señalar que </w:t>
      </w:r>
      <w:r w:rsidRPr="00FD64F9">
        <w:rPr>
          <w:i/>
          <w:iCs/>
        </w:rPr>
        <w:t>“regulación”</w:t>
      </w:r>
      <w:r>
        <w:t xml:space="preserve"> y </w:t>
      </w:r>
      <w:r w:rsidRPr="00FD64F9">
        <w:rPr>
          <w:i/>
          <w:iCs/>
        </w:rPr>
        <w:t>“supervisión”</w:t>
      </w:r>
      <w:r>
        <w:t xml:space="preserve"> son frecuentemente tratadas de forma conjunta e incluso indistinta bajo la denominación </w:t>
      </w:r>
      <w:r w:rsidRPr="00FD64F9">
        <w:rPr>
          <w:i/>
          <w:iCs/>
        </w:rPr>
        <w:t>“regulación financiera”</w:t>
      </w:r>
      <w:r w:rsidRPr="00FD64F9">
        <w:rPr>
          <w:rStyle w:val="Refdenotaalpie"/>
        </w:rPr>
        <w:footnoteReference w:id="4"/>
      </w:r>
      <w:r>
        <w:t>, en la medida en que en la práctica ambas actividades suelen ser desarrolladas por la misma autoridad (ya sea sectorial (banca, valores, seguros) o transversal (para todos los sectores)):</w:t>
      </w:r>
    </w:p>
    <w:p w14:paraId="16225B73" w14:textId="77777777" w:rsidR="00056861" w:rsidRDefault="00056861" w:rsidP="00056861">
      <w:pPr>
        <w:pStyle w:val="Nivel2SM"/>
      </w:pPr>
      <w:r>
        <w:rPr>
          <w:i/>
          <w:iCs/>
          <w:u w:val="single"/>
        </w:rPr>
        <w:t>Regulación financiera</w:t>
      </w:r>
      <w:r w:rsidRPr="00FD64F9">
        <w:t>:</w:t>
      </w:r>
      <w:r>
        <w:t xml:space="preserve"> Podemos definirla como el conjunto de medidas aprobadas por las autoridades (nacionales e internacionales) para ordenar la actividad y alcanzar determinados objetivos públicos en los mercados financieros.</w:t>
      </w:r>
    </w:p>
    <w:p w14:paraId="3F1B0D77" w14:textId="77777777" w:rsidR="00056861" w:rsidRDefault="00056861" w:rsidP="00056861">
      <w:pPr>
        <w:pStyle w:val="Nivel2SM"/>
      </w:pPr>
      <w:r>
        <w:rPr>
          <w:i/>
          <w:iCs/>
          <w:u w:val="single"/>
        </w:rPr>
        <w:t>Supervisión financiera</w:t>
      </w:r>
      <w:r w:rsidRPr="00FD64F9">
        <w:t>:</w:t>
      </w:r>
      <w:r>
        <w:t xml:space="preserve"> Se puede definir como el seguimiento que las autoridades hacen de la situación financiera y de la conducta de las entidades, a través de peticiones de información e inspecciones, de las que puede derivarse la aplicación de sanciones.</w:t>
      </w:r>
    </w:p>
    <w:p w14:paraId="22F4B19C" w14:textId="77777777" w:rsidR="0051726D" w:rsidRDefault="0051726D" w:rsidP="0051726D">
      <w:pPr>
        <w:pStyle w:val="Nivel1SM"/>
        <w:keepNext/>
        <w:spacing w:after="0"/>
      </w:pPr>
      <w:r>
        <w:t xml:space="preserve">Por lo tanto, la regulación financiera persigue </w:t>
      </w:r>
      <w:r>
        <w:rPr>
          <w:b/>
          <w:bCs/>
        </w:rPr>
        <w:t>3 </w:t>
      </w:r>
      <w:r w:rsidRPr="0033476F">
        <w:rPr>
          <w:b/>
          <w:bCs/>
        </w:rPr>
        <w:t>objetivos fundamentales</w:t>
      </w:r>
      <w:r>
        <w:t>:</w:t>
      </w:r>
    </w:p>
    <w:p w14:paraId="204E60B3" w14:textId="77777777" w:rsidR="0051726D" w:rsidRDefault="0051726D" w:rsidP="0051726D">
      <w:pPr>
        <w:pStyle w:val="Nivel2SM"/>
        <w:keepNext/>
        <w:spacing w:after="0"/>
      </w:pPr>
      <w:r>
        <w:t xml:space="preserve">Por un lado, desde un </w:t>
      </w:r>
      <w:r w:rsidRPr="002770B3">
        <w:rPr>
          <w:b/>
          <w:bCs/>
        </w:rPr>
        <w:t>punto de vista microeconómico</w:t>
      </w:r>
      <w:r>
        <w:t>, la regulación persigue 2 objetivos:</w:t>
      </w:r>
    </w:p>
    <w:p w14:paraId="79E08140" w14:textId="77777777" w:rsidR="0051726D" w:rsidRDefault="0051726D" w:rsidP="0051726D">
      <w:pPr>
        <w:pStyle w:val="Prrafodelista"/>
        <w:keepLines/>
        <w:numPr>
          <w:ilvl w:val="0"/>
          <w:numId w:val="35"/>
        </w:numPr>
        <w:spacing w:after="100"/>
        <w:ind w:left="1134" w:hanging="113"/>
      </w:pPr>
      <w:r>
        <w:t xml:space="preserve">Garantizar la </w:t>
      </w:r>
      <w:r w:rsidRPr="002770B3">
        <w:rPr>
          <w:i/>
          <w:iCs/>
        </w:rPr>
        <w:t>capacidad de las entidades individuales para hacer frente a las obligaciones frente a sus acreedores</w:t>
      </w:r>
      <w:r>
        <w:t xml:space="preserve"> (depositantes, tenedores de deuda, accionistas, beneficiarios de seguros, partícipes en fondos de inversión y de pensiones). Este objetivo se alcanza mediante lo que se conoce como </w:t>
      </w:r>
      <w:r w:rsidRPr="002770B3">
        <w:rPr>
          <w:i/>
          <w:iCs/>
          <w:u w:val="single"/>
        </w:rPr>
        <w:t>regulación microprudencial</w:t>
      </w:r>
      <w:r>
        <w:t>, entre la que destaca el establecimiento de requisitos de recursos propios de las entidades (ratios de capital).</w:t>
      </w:r>
    </w:p>
    <w:p w14:paraId="34CB665E" w14:textId="77777777" w:rsidR="0051726D" w:rsidRPr="0033476F" w:rsidRDefault="0051726D" w:rsidP="00056861">
      <w:pPr>
        <w:pStyle w:val="Prrafodelista"/>
        <w:numPr>
          <w:ilvl w:val="0"/>
          <w:numId w:val="35"/>
        </w:numPr>
        <w:spacing w:after="0"/>
        <w:ind w:left="1134" w:hanging="113"/>
      </w:pPr>
      <w:bookmarkStart w:id="21" w:name="_Hlk150847046"/>
      <w:r>
        <w:t xml:space="preserve">Garantizar la adecuada </w:t>
      </w:r>
      <w:r w:rsidRPr="002770B3">
        <w:rPr>
          <w:i/>
          <w:iCs/>
        </w:rPr>
        <w:t>protección al consumidor financiero</w:t>
      </w:r>
      <w:r>
        <w:t xml:space="preserve"> mediante la fijación de </w:t>
      </w:r>
      <w:r w:rsidRPr="002770B3">
        <w:rPr>
          <w:i/>
          <w:iCs/>
          <w:u w:val="single"/>
        </w:rPr>
        <w:t>normas de conducta</w:t>
      </w:r>
      <w:r>
        <w:rPr>
          <w:rStyle w:val="Refdenotaalpie"/>
        </w:rPr>
        <w:footnoteReference w:id="5"/>
      </w:r>
      <w:r>
        <w:t>.</w:t>
      </w:r>
    </w:p>
    <w:p w14:paraId="7A22F033" w14:textId="77777777" w:rsidR="0051726D" w:rsidRDefault="0051726D" w:rsidP="00BA1416">
      <w:pPr>
        <w:pStyle w:val="Nivel2SM"/>
        <w:keepNext/>
        <w:numPr>
          <w:ilvl w:val="0"/>
          <w:numId w:val="0"/>
        </w:numPr>
        <w:spacing w:after="0"/>
        <w:ind w:left="567"/>
      </w:pPr>
      <w:r>
        <w:t>Podemos distinguir 2 tipos de sistemas de regulación/supervisión en función de la separación de las autoridades:</w:t>
      </w:r>
    </w:p>
    <w:p w14:paraId="2965BC61" w14:textId="77777777" w:rsidR="0051726D" w:rsidRDefault="0051726D" w:rsidP="00BA1416">
      <w:pPr>
        <w:pStyle w:val="Nivel3SM"/>
      </w:pPr>
      <w:r>
        <w:t xml:space="preserve">Si ambos objetivos son perseguidos por autoridades distintas son denominados </w:t>
      </w:r>
      <w:r>
        <w:rPr>
          <w:i/>
          <w:iCs/>
        </w:rPr>
        <w:t>“</w:t>
      </w:r>
      <w:proofErr w:type="spellStart"/>
      <w:r>
        <w:rPr>
          <w:i/>
          <w:iCs/>
        </w:rPr>
        <w:t>twin</w:t>
      </w:r>
      <w:proofErr w:type="spellEnd"/>
      <w:r>
        <w:rPr>
          <w:i/>
          <w:iCs/>
        </w:rPr>
        <w:t xml:space="preserve"> </w:t>
      </w:r>
      <w:proofErr w:type="spellStart"/>
      <w:r>
        <w:rPr>
          <w:i/>
          <w:iCs/>
        </w:rPr>
        <w:t>peaks</w:t>
      </w:r>
      <w:proofErr w:type="spellEnd"/>
      <w:r>
        <w:rPr>
          <w:i/>
          <w:iCs/>
        </w:rPr>
        <w:t>”</w:t>
      </w:r>
      <w:r>
        <w:t xml:space="preserve"> (o </w:t>
      </w:r>
      <w:r>
        <w:rPr>
          <w:i/>
          <w:iCs/>
        </w:rPr>
        <w:t>enfoque funcional</w:t>
      </w:r>
      <w:r>
        <w:t>)</w:t>
      </w:r>
      <w:r w:rsidRPr="0033476F">
        <w:rPr>
          <w:rStyle w:val="Refdenotaalpie"/>
        </w:rPr>
        <w:footnoteReference w:id="6"/>
      </w:r>
      <w:r>
        <w:t>. Señaladamente es el caso del Reino Unido</w:t>
      </w:r>
      <w:r>
        <w:rPr>
          <w:rStyle w:val="Refdenotaalpie"/>
        </w:rPr>
        <w:footnoteReference w:id="7"/>
      </w:r>
      <w:r>
        <w:t>.</w:t>
      </w:r>
    </w:p>
    <w:p w14:paraId="3EF8A5C9" w14:textId="77777777" w:rsidR="0051726D" w:rsidRPr="002770B3" w:rsidRDefault="0051726D" w:rsidP="00BA1416">
      <w:pPr>
        <w:pStyle w:val="Nivel3SM"/>
        <w:keepNext/>
      </w:pPr>
      <w:r w:rsidRPr="002770B3">
        <w:t>Sin embargo, hay que señalar que en la mayoría de jurisdicciones una misma autoridad lleva a cabo ambas actividades, frecuentemente por sectores (</w:t>
      </w:r>
      <w:r w:rsidRPr="002770B3">
        <w:rPr>
          <w:i/>
          <w:iCs/>
        </w:rPr>
        <w:t>enfoque sectorial</w:t>
      </w:r>
      <w:r w:rsidRPr="002770B3">
        <w:t>)</w:t>
      </w:r>
      <w:bookmarkStart w:id="22" w:name="_Ref125116996"/>
      <w:r w:rsidRPr="002770B3">
        <w:rPr>
          <w:rStyle w:val="Refdenotaalpie"/>
          <w:spacing w:val="-7"/>
        </w:rPr>
        <w:footnoteReference w:id="8"/>
      </w:r>
      <w:bookmarkEnd w:id="22"/>
      <w:r w:rsidRPr="002770B3">
        <w:t>.</w:t>
      </w:r>
    </w:p>
    <w:p w14:paraId="63FCF3F9" w14:textId="77777777" w:rsidR="0051726D" w:rsidRPr="002770B3" w:rsidRDefault="0051726D" w:rsidP="00BA1416">
      <w:pPr>
        <w:pStyle w:val="Nivel4"/>
        <w:keepNext/>
        <w:ind w:left="1474"/>
      </w:pPr>
      <w:r w:rsidRPr="002770B3">
        <w:t xml:space="preserve">Este último es el </w:t>
      </w:r>
      <w:r w:rsidRPr="002770B3">
        <w:rPr>
          <w:i/>
          <w:iCs/>
        </w:rPr>
        <w:t>caso de España</w:t>
      </w:r>
      <w:r w:rsidRPr="002770B3">
        <w:t>, donde existe una autoridad supervisora/reguladora prudencial y de conducta para cada sector:</w:t>
      </w:r>
    </w:p>
    <w:p w14:paraId="7A287D22" w14:textId="77777777" w:rsidR="0051726D" w:rsidRDefault="0051726D" w:rsidP="00BA1416">
      <w:pPr>
        <w:pStyle w:val="Nivel5"/>
        <w:ind w:left="1871"/>
      </w:pPr>
      <w:r>
        <w:t xml:space="preserve">Para </w:t>
      </w:r>
      <w:r w:rsidRPr="0033476F">
        <w:rPr>
          <w:i/>
          <w:iCs/>
        </w:rPr>
        <w:t>entidades de crédito</w:t>
      </w:r>
      <w:r>
        <w:t xml:space="preserve">: </w:t>
      </w:r>
      <w:r w:rsidRPr="00F00F66">
        <w:t>Banco de España</w:t>
      </w:r>
      <w:r>
        <w:t xml:space="preserve"> (BdE),</w:t>
      </w:r>
    </w:p>
    <w:p w14:paraId="7E556DD8" w14:textId="77777777" w:rsidR="0051726D" w:rsidRPr="002770B3" w:rsidRDefault="0051726D" w:rsidP="00BA1416">
      <w:pPr>
        <w:pStyle w:val="Nivel5"/>
        <w:ind w:left="1871"/>
      </w:pPr>
      <w:r w:rsidRPr="002770B3">
        <w:t xml:space="preserve">Para </w:t>
      </w:r>
      <w:r w:rsidRPr="002770B3">
        <w:rPr>
          <w:i/>
          <w:iCs/>
        </w:rPr>
        <w:t>mercados de valores</w:t>
      </w:r>
      <w:r w:rsidRPr="002770B3">
        <w:t>: Comisión Nacional del Mercado de Valores (CNMV); y</w:t>
      </w:r>
    </w:p>
    <w:p w14:paraId="2E63F846" w14:textId="77777777" w:rsidR="0051726D" w:rsidRDefault="0051726D" w:rsidP="00BA1416">
      <w:pPr>
        <w:pStyle w:val="Nivel5"/>
        <w:ind w:left="1871"/>
      </w:pPr>
      <w:r>
        <w:lastRenderedPageBreak/>
        <w:t xml:space="preserve">Para </w:t>
      </w:r>
      <w:r w:rsidRPr="0033476F">
        <w:rPr>
          <w:i/>
          <w:iCs/>
        </w:rPr>
        <w:t>aseguradoras y fondos de pensiones</w:t>
      </w:r>
      <w:r>
        <w:t>: Dirección General de Seguros y Fondos de Pensiones (DGSyFP), dentro del Ministerio de Asuntos Económicos y Transformación Digital.</w:t>
      </w:r>
    </w:p>
    <w:bookmarkEnd w:id="21"/>
    <w:p w14:paraId="4C385232" w14:textId="77777777" w:rsidR="0051726D" w:rsidRDefault="0051726D" w:rsidP="0051726D">
      <w:pPr>
        <w:pStyle w:val="Nivel2SM"/>
        <w:keepNext/>
        <w:spacing w:after="0"/>
      </w:pPr>
      <w:r>
        <w:t xml:space="preserve">Por otra parte, bajo una </w:t>
      </w:r>
      <w:r w:rsidRPr="002770B3">
        <w:rPr>
          <w:b/>
          <w:bCs/>
        </w:rPr>
        <w:t>perspectiva macroeconómica</w:t>
      </w:r>
      <w:r>
        <w:t>,</w:t>
      </w:r>
    </w:p>
    <w:p w14:paraId="27B62DEB" w14:textId="77777777" w:rsidR="0051726D" w:rsidRDefault="0051726D" w:rsidP="0051726D">
      <w:pPr>
        <w:pStyle w:val="Prrafodelista"/>
        <w:keepNext/>
        <w:numPr>
          <w:ilvl w:val="0"/>
          <w:numId w:val="35"/>
        </w:numPr>
        <w:spacing w:after="0"/>
        <w:ind w:left="1134" w:hanging="113"/>
      </w:pPr>
      <w:r>
        <w:t xml:space="preserve">La regulación financiera persigue el </w:t>
      </w:r>
      <w:r w:rsidRPr="00576DFF">
        <w:rPr>
          <w:i/>
          <w:iCs/>
        </w:rPr>
        <w:t>mantenimiento de la estabilidad financiera</w:t>
      </w:r>
      <w:r>
        <w:t xml:space="preserve">. Para este objetivo se lleva a cabo lo que se conoce como </w:t>
      </w:r>
      <w:r w:rsidRPr="002770B3">
        <w:rPr>
          <w:i/>
          <w:iCs/>
          <w:u w:val="single"/>
        </w:rPr>
        <w:t>regulación macroprudencial</w:t>
      </w:r>
      <w:r>
        <w:t>, bajo un análisis en el que se tiene en cuenta la situación no sólo de todos los mercados financieros en conjunto sino también de la economía en general</w:t>
      </w:r>
      <w:r>
        <w:rPr>
          <w:rStyle w:val="Refdenotaalpie"/>
        </w:rPr>
        <w:footnoteReference w:id="9"/>
      </w:r>
      <w:r>
        <w:t>.</w:t>
      </w:r>
    </w:p>
    <w:p w14:paraId="130C5D7A" w14:textId="77777777" w:rsidR="0051726D" w:rsidRPr="00FD64F9" w:rsidRDefault="0051726D" w:rsidP="0051726D">
      <w:pPr>
        <w:pStyle w:val="Nivel4"/>
        <w:ind w:left="1474"/>
      </w:pPr>
      <w:r>
        <w:t>Tradicionalmente perseguido por las propias autoridades reguladoras/supervisoras sectoriales o bajo la coordinación de estas por el Ministerio de Economía/Finanzas, a raíz de la crisis financiera global de 2008, se ha extendido el establecimiento de autoridades macroprudenciales específicas</w:t>
      </w:r>
      <w:r>
        <w:rPr>
          <w:rStyle w:val="Refdenotaalpie"/>
        </w:rPr>
        <w:footnoteReference w:id="10"/>
      </w:r>
      <w:r>
        <w:t>.</w:t>
      </w:r>
    </w:p>
    <w:p w14:paraId="7C7C01FD" w14:textId="77777777" w:rsidR="00694BC3" w:rsidRDefault="00694BC3" w:rsidP="00694BC3">
      <w:pPr>
        <w:pStyle w:val="Ttulo2"/>
        <w:numPr>
          <w:ilvl w:val="1"/>
          <w:numId w:val="43"/>
        </w:numPr>
        <w:ind w:left="788" w:hanging="431"/>
      </w:pPr>
      <w:bookmarkStart w:id="23" w:name="_Toc178010309"/>
      <w:r w:rsidRPr="00C045F9">
        <w:t>Rasgos básicos del sistema financiero español</w:t>
      </w:r>
      <w:bookmarkEnd w:id="23"/>
    </w:p>
    <w:p w14:paraId="3C65392D" w14:textId="77777777" w:rsidR="00694BC3" w:rsidRDefault="00694BC3" w:rsidP="00694BC3">
      <w:pPr>
        <w:pStyle w:val="Ttulo6"/>
        <w:spacing w:before="0"/>
      </w:pPr>
      <w:bookmarkStart w:id="24" w:name="_Toc147304409"/>
      <w:bookmarkStart w:id="25" w:name="_Toc178010310"/>
      <w:r>
        <w:t>Relevancia</w:t>
      </w:r>
      <w:bookmarkEnd w:id="24"/>
      <w:bookmarkEnd w:id="25"/>
    </w:p>
    <w:p w14:paraId="124F4D57" w14:textId="77777777" w:rsidR="00694BC3" w:rsidRDefault="00694BC3" w:rsidP="00694BC3">
      <w:pPr>
        <w:pStyle w:val="Nivel1SM"/>
        <w:spacing w:before="0"/>
      </w:pPr>
      <w:r>
        <w:t xml:space="preserve">Antes de nada, el sector financiero español no solo es </w:t>
      </w:r>
      <w:r w:rsidRPr="00473BE7">
        <w:rPr>
          <w:b/>
          <w:bCs/>
        </w:rPr>
        <w:t>relevante en términos de Valor Añadido Bruto</w:t>
      </w:r>
      <w:r>
        <w:t xml:space="preserve"> (~4 % del total), sino que es importante para toda la economía porque todos los sectores institucionales participan en él.</w:t>
      </w:r>
    </w:p>
    <w:p w14:paraId="0756BBDB" w14:textId="77777777" w:rsidR="00694BC3" w:rsidRDefault="00694BC3" w:rsidP="00694BC3">
      <w:pPr>
        <w:pStyle w:val="Ttulo6"/>
      </w:pPr>
      <w:bookmarkStart w:id="26" w:name="_Toc147304410"/>
      <w:bookmarkStart w:id="27" w:name="_Toc178010311"/>
      <w:r>
        <w:t>Características</w:t>
      </w:r>
      <w:bookmarkEnd w:id="26"/>
      <w:bookmarkEnd w:id="27"/>
    </w:p>
    <w:p w14:paraId="25716B58" w14:textId="77777777" w:rsidR="00694BC3" w:rsidRDefault="00694BC3" w:rsidP="00694BC3">
      <w:pPr>
        <w:pStyle w:val="Nivel1SM"/>
        <w:keepNext/>
        <w:spacing w:before="0" w:after="0"/>
      </w:pPr>
      <w:r>
        <w:t xml:space="preserve">Podemos identificar las siguientes </w:t>
      </w:r>
      <w:r w:rsidRPr="00473BE7">
        <w:rPr>
          <w:b/>
          <w:bCs/>
        </w:rPr>
        <w:t>características</w:t>
      </w:r>
      <w:r>
        <w:t xml:space="preserve"> del sistema financiero español:</w:t>
      </w:r>
    </w:p>
    <w:p w14:paraId="0B2FDDF2" w14:textId="77777777" w:rsidR="00694BC3" w:rsidRDefault="00694BC3" w:rsidP="00694BC3">
      <w:pPr>
        <w:pStyle w:val="Nivel2SM"/>
      </w:pPr>
      <w:r>
        <w:rPr>
          <w:i/>
          <w:iCs/>
          <w:u w:val="single"/>
        </w:rPr>
        <w:t>Nivel de productividad</w:t>
      </w:r>
      <w:r>
        <w:t>: Factor trabajo muy productivo en general.</w:t>
      </w:r>
    </w:p>
    <w:p w14:paraId="466251A0" w14:textId="77777777" w:rsidR="00694BC3" w:rsidRDefault="00694BC3" w:rsidP="00694BC3">
      <w:pPr>
        <w:pStyle w:val="Nivel2SM"/>
        <w:keepNext/>
        <w:spacing w:after="0"/>
      </w:pPr>
      <w:r>
        <w:rPr>
          <w:i/>
          <w:iCs/>
          <w:u w:val="single"/>
        </w:rPr>
        <w:t>Grado de competencia en el mercado</w:t>
      </w:r>
      <w:r>
        <w:t>:</w:t>
      </w:r>
    </w:p>
    <w:p w14:paraId="44E23041" w14:textId="77777777" w:rsidR="00694BC3" w:rsidRDefault="00694BC3" w:rsidP="00694BC3">
      <w:pPr>
        <w:pStyle w:val="Nivel3SM"/>
      </w:pPr>
      <w:r>
        <w:t xml:space="preserve">Se trata de un mercado atomizado </w:t>
      </w:r>
      <w:r w:rsidRPr="00473BE7">
        <w:rPr>
          <w:i/>
          <w:iCs/>
        </w:rPr>
        <w:t>por el lado de la demanda</w:t>
      </w:r>
      <w:r>
        <w:t xml:space="preserve"> (i.e. un elevado número de agentes buscan financiación en los mercados financieros).</w:t>
      </w:r>
    </w:p>
    <w:p w14:paraId="3462123E" w14:textId="77777777" w:rsidR="00694BC3" w:rsidRDefault="00694BC3" w:rsidP="00694BC3">
      <w:pPr>
        <w:pStyle w:val="Nivel3SM"/>
      </w:pPr>
      <w:r>
        <w:rPr>
          <w:i/>
          <w:iCs/>
        </w:rPr>
        <w:t>Por el lado de la oferta</w:t>
      </w:r>
      <w:r>
        <w:t xml:space="preserve"> ha aumentado el grado de concentración (medida por el </w:t>
      </w:r>
      <w:r w:rsidRPr="00473BE7">
        <w:t>índice Herfindahl-Hirschman (HHI)</w:t>
      </w:r>
      <w:r>
        <w:t>) y se produce un mayor grado de concentración que en países de nuestro entorno según el Banco de España.</w:t>
      </w:r>
    </w:p>
    <w:p w14:paraId="3162AC31" w14:textId="77777777" w:rsidR="00694BC3" w:rsidRPr="00A55D22" w:rsidRDefault="00694BC3" w:rsidP="00694BC3">
      <w:pPr>
        <w:pStyle w:val="Nivel2SM"/>
      </w:pPr>
      <w:r>
        <w:rPr>
          <w:i/>
          <w:iCs/>
          <w:u w:val="single"/>
        </w:rPr>
        <w:t>Prociclicidad</w:t>
      </w:r>
      <w:r>
        <w:t>: Existe una tendencia a booms de crédito en expansiones que vienen seguidos de contracciones de la oferta de crédito de las entidades financieras en recesiones. En definitiva, los sistemas financieros tienen una tendencia a exagerar o amplificar los ciclos económicos a través de su política de créditos.</w:t>
      </w:r>
    </w:p>
    <w:p w14:paraId="31749B35" w14:textId="77777777" w:rsidR="00694BC3" w:rsidRPr="00C045F9" w:rsidRDefault="00694BC3" w:rsidP="00694BC3">
      <w:pPr>
        <w:pStyle w:val="Ttulo6"/>
        <w:spacing w:before="0"/>
      </w:pPr>
      <w:bookmarkStart w:id="28" w:name="_Toc178010312"/>
      <w:r w:rsidRPr="00C045F9">
        <w:t>Sectores</w:t>
      </w:r>
      <w:bookmarkEnd w:id="28"/>
    </w:p>
    <w:p w14:paraId="61731E10" w14:textId="77777777" w:rsidR="00694BC3" w:rsidRPr="0009367D" w:rsidRDefault="00694BC3" w:rsidP="00694BC3">
      <w:pPr>
        <w:pStyle w:val="Nivel2SM"/>
      </w:pPr>
      <w:r w:rsidRPr="00C045F9">
        <w:t xml:space="preserve">El sistema financiero español se divide en </w:t>
      </w:r>
      <w:r w:rsidRPr="00C045F9">
        <w:rPr>
          <w:b/>
        </w:rPr>
        <w:t>3</w:t>
      </w:r>
      <w:r>
        <w:rPr>
          <w:b/>
        </w:rPr>
        <w:t> </w:t>
      </w:r>
      <w:r w:rsidRPr="00C045F9">
        <w:rPr>
          <w:b/>
        </w:rPr>
        <w:t>grandes sectores</w:t>
      </w:r>
      <w:r w:rsidRPr="00C045F9">
        <w:t xml:space="preserve"> (crédito, valores, y seguros y fondos de pensiones), cada uno de los cuales goza de una institución de control-supervisión y de múltiples agentes que participan en los mercados.</w:t>
      </w:r>
    </w:p>
    <w:p w14:paraId="1855358A" w14:textId="77777777" w:rsidR="00694BC3" w:rsidRDefault="00694BC3" w:rsidP="00694BC3">
      <w:pPr>
        <w:pStyle w:val="Ttulo6"/>
        <w:spacing w:before="0"/>
        <w:rPr>
          <w:u w:val="none"/>
        </w:rPr>
      </w:pPr>
      <w:bookmarkStart w:id="29" w:name="_Toc178010313"/>
      <w:r w:rsidRPr="00C045F9">
        <w:lastRenderedPageBreak/>
        <w:t>Modelo de financiación</w:t>
      </w:r>
      <w:r>
        <w:t xml:space="preserve"> continental</w:t>
      </w:r>
      <w:r w:rsidRPr="00207B01">
        <w:rPr>
          <w:u w:val="none"/>
        </w:rPr>
        <w:t xml:space="preserve"> (predomina la canalización de los recursos intermediada)</w:t>
      </w:r>
      <w:bookmarkEnd w:id="29"/>
    </w:p>
    <w:p w14:paraId="06668C96" w14:textId="648BEA8A" w:rsidR="008E2BAC" w:rsidRPr="008E2BAC" w:rsidRDefault="008E2BAC" w:rsidP="008E2BAC">
      <w:pPr>
        <w:pStyle w:val="Ttulo7"/>
        <w:spacing w:before="0"/>
      </w:pPr>
      <w:r>
        <w:t>Formas de canalización de recursos</w:t>
      </w:r>
    </w:p>
    <w:p w14:paraId="17F3ADED" w14:textId="77777777" w:rsidR="00694BC3" w:rsidRPr="00C045F9" w:rsidRDefault="00694BC3" w:rsidP="00694BC3">
      <w:pPr>
        <w:pStyle w:val="Nivel2SM"/>
        <w:keepNext/>
        <w:spacing w:after="0"/>
      </w:pPr>
      <w:r w:rsidRPr="00C045F9">
        <w:t xml:space="preserve">Dentro del sistema financiero podemos distinguir </w:t>
      </w:r>
      <w:r w:rsidRPr="00CF7DAB">
        <w:rPr>
          <w:b/>
          <w:bCs/>
        </w:rPr>
        <w:t>2 formas de canalización de los recursos</w:t>
      </w:r>
      <w:r>
        <w:t>:</w:t>
      </w:r>
    </w:p>
    <w:p w14:paraId="7A6418D0" w14:textId="77777777" w:rsidR="00694BC3" w:rsidRPr="00C045F9" w:rsidRDefault="00694BC3" w:rsidP="00694BC3">
      <w:pPr>
        <w:pStyle w:val="Nivel3SM"/>
        <w:keepNext/>
      </w:pPr>
      <w:r w:rsidRPr="0051726D">
        <w:rPr>
          <w:i/>
          <w:iCs/>
          <w:u w:val="single"/>
        </w:rPr>
        <w:t>Forma directa</w:t>
      </w:r>
      <w:r w:rsidRPr="00C045F9">
        <w:t>:</w:t>
      </w:r>
    </w:p>
    <w:p w14:paraId="6D18DAD9" w14:textId="77777777" w:rsidR="00694BC3" w:rsidRPr="00C045F9" w:rsidRDefault="00694BC3" w:rsidP="00694BC3">
      <w:pPr>
        <w:pStyle w:val="Nivel4"/>
        <w:keepNext/>
        <w:ind w:left="1474"/>
      </w:pPr>
      <w:r w:rsidRPr="00C045F9">
        <w:t xml:space="preserve">Tiene lugar en los </w:t>
      </w:r>
      <w:r w:rsidRPr="00C045F9">
        <w:rPr>
          <w:b/>
        </w:rPr>
        <w:t>mercados financieros</w:t>
      </w:r>
      <w:r w:rsidRPr="00C045F9">
        <w:t>, en los que los demandantes de financiación obtienen los fondos directamente de los ahorradores, mediante la emisión de activos financieros como acciones u obligaciones que otorgan a sus tenedores derechos sobre los ingresos futuros del prestatario.</w:t>
      </w:r>
    </w:p>
    <w:p w14:paraId="6D909743" w14:textId="77777777" w:rsidR="00694BC3" w:rsidRPr="00C045F9" w:rsidRDefault="00694BC3" w:rsidP="00694BC3">
      <w:pPr>
        <w:pStyle w:val="Nivel5"/>
        <w:ind w:left="1871"/>
      </w:pPr>
      <w:r>
        <w:t>(+) </w:t>
      </w:r>
      <w:r w:rsidRPr="00C045F9">
        <w:t>Así, el recurso a los mercados financieros reduce los costes de transacción y puede abaratar la obtención de financiación.</w:t>
      </w:r>
    </w:p>
    <w:p w14:paraId="5F07DCD9" w14:textId="77777777" w:rsidR="00694BC3" w:rsidRPr="00C045F9" w:rsidRDefault="00694BC3" w:rsidP="00694BC3">
      <w:pPr>
        <w:pStyle w:val="Nivel5"/>
        <w:ind w:left="1871"/>
      </w:pPr>
      <w:r>
        <w:t>(−) </w:t>
      </w:r>
      <w:r w:rsidRPr="00C045F9">
        <w:t xml:space="preserve">Pero al mismo tiempo los mercados presentan una mayor </w:t>
      </w:r>
      <w:r w:rsidRPr="00C045F9">
        <w:rPr>
          <w:b/>
        </w:rPr>
        <w:t>sensibilidad a los cambios sociopolíticos y económicos</w:t>
      </w:r>
      <w:r w:rsidRPr="00C045F9">
        <w:t>.</w:t>
      </w:r>
    </w:p>
    <w:p w14:paraId="4BB0663F" w14:textId="77777777" w:rsidR="00694BC3" w:rsidRPr="00C045F9" w:rsidRDefault="00694BC3" w:rsidP="00694BC3">
      <w:pPr>
        <w:pStyle w:val="Nivel3SM"/>
        <w:keepNext/>
      </w:pPr>
      <w:r w:rsidRPr="0051726D">
        <w:rPr>
          <w:i/>
          <w:iCs/>
          <w:u w:val="single"/>
        </w:rPr>
        <w:t xml:space="preserve">Forma </w:t>
      </w:r>
      <w:r>
        <w:rPr>
          <w:i/>
          <w:iCs/>
          <w:u w:val="single"/>
        </w:rPr>
        <w:t>intermediada</w:t>
      </w:r>
      <w:r w:rsidRPr="00C045F9">
        <w:t>:</w:t>
      </w:r>
    </w:p>
    <w:p w14:paraId="494F4A90" w14:textId="77777777" w:rsidR="00694BC3" w:rsidRPr="00C045F9" w:rsidRDefault="00694BC3" w:rsidP="00694BC3">
      <w:pPr>
        <w:pStyle w:val="Nivel4"/>
        <w:keepNext/>
        <w:ind w:left="1474"/>
      </w:pPr>
      <w:r w:rsidRPr="00C045F9">
        <w:t xml:space="preserve">Es llevada a cabo por los </w:t>
      </w:r>
      <w:r w:rsidRPr="00C045F9">
        <w:rPr>
          <w:b/>
        </w:rPr>
        <w:t>intermediarios financieros</w:t>
      </w:r>
      <w:r w:rsidRPr="00C045F9">
        <w:t>, que se sitúan entre ahorradores y demandantes de financiación, prestando a éstos últimos los fondos que a su vez han recibido de los primeros.</w:t>
      </w:r>
    </w:p>
    <w:p w14:paraId="01EC61B0" w14:textId="77777777" w:rsidR="00694BC3" w:rsidRPr="00C045F9" w:rsidRDefault="00694BC3" w:rsidP="00694BC3">
      <w:pPr>
        <w:pStyle w:val="Nivel5"/>
        <w:ind w:left="1871"/>
      </w:pPr>
      <w:r>
        <w:t>(+) </w:t>
      </w:r>
      <w:r w:rsidRPr="00C045F9">
        <w:t xml:space="preserve">Permite </w:t>
      </w:r>
      <w:r w:rsidRPr="00C045F9">
        <w:rPr>
          <w:b/>
        </w:rPr>
        <w:t>acceder</w:t>
      </w:r>
      <w:r w:rsidRPr="00C045F9">
        <w:t xml:space="preserve"> a la financiación a </w:t>
      </w:r>
      <w:r w:rsidRPr="00C045F9">
        <w:rPr>
          <w:b/>
        </w:rPr>
        <w:t>agentes que por su tamaño</w:t>
      </w:r>
      <w:r w:rsidRPr="00C045F9">
        <w:t xml:space="preserve"> no pueden acceder a la financiación de los mercados de capitales.</w:t>
      </w:r>
    </w:p>
    <w:p w14:paraId="646C5B93" w14:textId="77777777" w:rsidR="00694BC3" w:rsidRDefault="00694BC3" w:rsidP="00694BC3">
      <w:pPr>
        <w:pStyle w:val="Nivel5"/>
        <w:ind w:left="1871"/>
      </w:pPr>
      <w:r>
        <w:t>(−) </w:t>
      </w:r>
      <w:r w:rsidRPr="00C045F9">
        <w:t xml:space="preserve">Pero coloca a las </w:t>
      </w:r>
      <w:r w:rsidRPr="00C045F9">
        <w:rPr>
          <w:b/>
        </w:rPr>
        <w:t>empresas</w:t>
      </w:r>
      <w:r w:rsidRPr="00C045F9">
        <w:t xml:space="preserve"> en una situación de </w:t>
      </w:r>
      <w:r w:rsidRPr="00C045F9">
        <w:rPr>
          <w:b/>
        </w:rPr>
        <w:t>dependencia</w:t>
      </w:r>
      <w:r w:rsidRPr="00C045F9">
        <w:t xml:space="preserve"> del crédito bancario.</w:t>
      </w:r>
    </w:p>
    <w:p w14:paraId="76E788EE" w14:textId="30C504D8" w:rsidR="008E2BAC" w:rsidRPr="00C045F9" w:rsidRDefault="008E2BAC" w:rsidP="008E2BAC">
      <w:pPr>
        <w:pStyle w:val="Ttulo7"/>
      </w:pPr>
      <w:r>
        <w:t>Modelo predominante</w:t>
      </w:r>
    </w:p>
    <w:p w14:paraId="2C0210EA" w14:textId="77777777" w:rsidR="00694BC3" w:rsidRPr="00CF7DAB" w:rsidRDefault="00694BC3" w:rsidP="00694BC3">
      <w:pPr>
        <w:pStyle w:val="Nivel2SM"/>
        <w:keepNext/>
        <w:spacing w:after="0"/>
        <w:rPr>
          <w:spacing w:val="-2"/>
        </w:rPr>
      </w:pPr>
      <w:r w:rsidRPr="00CF7DAB">
        <w:rPr>
          <w:spacing w:val="-2"/>
        </w:rPr>
        <w:t xml:space="preserve">En los </w:t>
      </w:r>
      <w:r w:rsidRPr="00CF7DAB">
        <w:rPr>
          <w:i/>
          <w:iCs/>
          <w:spacing w:val="-2"/>
        </w:rPr>
        <w:t>países anglosajones</w:t>
      </w:r>
      <w:r w:rsidRPr="00CF7DAB">
        <w:rPr>
          <w:spacing w:val="-2"/>
        </w:rPr>
        <w:t xml:space="preserve"> (p.ej. Estados Unidos y Reino Unido) los mercados constituyen la principal fuente externa de financiación, y en los </w:t>
      </w:r>
      <w:r w:rsidRPr="00CF7DAB">
        <w:rPr>
          <w:i/>
          <w:iCs/>
          <w:spacing w:val="-2"/>
        </w:rPr>
        <w:t>países continentales</w:t>
      </w:r>
      <w:r w:rsidRPr="00CF7DAB">
        <w:rPr>
          <w:spacing w:val="-2"/>
        </w:rPr>
        <w:t xml:space="preserve"> son las entidades bancarias.</w:t>
      </w:r>
    </w:p>
    <w:p w14:paraId="664FAACF" w14:textId="77777777" w:rsidR="00694BC3" w:rsidRPr="0009367D" w:rsidRDefault="00694BC3" w:rsidP="00694BC3">
      <w:pPr>
        <w:pStyle w:val="Nivel3SM"/>
      </w:pPr>
      <w:r w:rsidRPr="00C045F9">
        <w:t>Pese a estas diferencias, los niveles de desarrollo económico alcanzados han sido similares en ambos casos, por lo que no parece un factor determinante.</w:t>
      </w:r>
    </w:p>
    <w:p w14:paraId="1958C42F" w14:textId="77777777" w:rsidR="00694BC3" w:rsidRPr="00C045F9" w:rsidRDefault="00694BC3" w:rsidP="00694BC3">
      <w:pPr>
        <w:pStyle w:val="Nivel2SM"/>
        <w:keepNext/>
        <w:spacing w:after="0"/>
        <w:rPr>
          <w:rStyle w:val="normaltextrun"/>
        </w:rPr>
      </w:pPr>
      <w:r w:rsidRPr="00C045F9">
        <w:t xml:space="preserve">Si algo ha caracterizado al sistema financiero español es seguir un </w:t>
      </w:r>
      <w:r w:rsidRPr="00C045F9">
        <w:rPr>
          <w:b/>
        </w:rPr>
        <w:t>modelo continental</w:t>
      </w:r>
      <w:r w:rsidRPr="00C045F9">
        <w:t xml:space="preserve">, con un </w:t>
      </w:r>
      <w:r w:rsidRPr="00CF7DAB">
        <w:rPr>
          <w:i/>
          <w:iCs/>
        </w:rPr>
        <w:t>gran peso de la financiación bancaria</w:t>
      </w:r>
      <w:r w:rsidRPr="00C045F9">
        <w:t>. De hecho, l</w:t>
      </w:r>
      <w:r w:rsidRPr="00C045F9">
        <w:rPr>
          <w:rStyle w:val="normaltextrun"/>
        </w:rPr>
        <w:t xml:space="preserve">as empresas españolas han sido tradicionalmente y son todavía en la actualidad muy dependientes de la </w:t>
      </w:r>
      <w:r w:rsidRPr="00C045F9">
        <w:rPr>
          <w:rStyle w:val="normaltextrun"/>
          <w:b/>
        </w:rPr>
        <w:t>financiación bancaria</w:t>
      </w:r>
      <w:r w:rsidRPr="00C045F9">
        <w:rPr>
          <w:rStyle w:val="normaltextrun"/>
        </w:rPr>
        <w:t>.</w:t>
      </w:r>
    </w:p>
    <w:p w14:paraId="7D6AF1A6" w14:textId="77777777" w:rsidR="00694BC3" w:rsidRPr="0009367D" w:rsidRDefault="00694BC3" w:rsidP="00694BC3">
      <w:pPr>
        <w:pStyle w:val="Nivel3SM"/>
      </w:pPr>
      <w:r w:rsidRPr="00C045F9">
        <w:t xml:space="preserve">En términos cuantitativos, los activos bancarios representan en España casi el </w:t>
      </w:r>
      <w:r w:rsidRPr="00C045F9">
        <w:rPr>
          <w:b/>
        </w:rPr>
        <w:t>350</w:t>
      </w:r>
      <w:r>
        <w:rPr>
          <w:b/>
        </w:rPr>
        <w:t> %</w:t>
      </w:r>
      <w:r w:rsidRPr="00C045F9">
        <w:rPr>
          <w:b/>
        </w:rPr>
        <w:t xml:space="preserve"> del PIB</w:t>
      </w:r>
      <w:r w:rsidRPr="00C045F9">
        <w:t xml:space="preserve">, frente al </w:t>
      </w:r>
      <w:r w:rsidRPr="00C045F9">
        <w:rPr>
          <w:b/>
        </w:rPr>
        <w:t>250</w:t>
      </w:r>
      <w:r>
        <w:rPr>
          <w:b/>
        </w:rPr>
        <w:t> %</w:t>
      </w:r>
      <w:r w:rsidRPr="00C045F9">
        <w:rPr>
          <w:b/>
        </w:rPr>
        <w:t xml:space="preserve"> de la eurozona</w:t>
      </w:r>
      <w:r w:rsidRPr="00C045F9">
        <w:t>.</w:t>
      </w:r>
    </w:p>
    <w:p w14:paraId="0AC55E73" w14:textId="5AE69F58" w:rsidR="00694BC3" w:rsidRPr="0009367D" w:rsidRDefault="00694BC3" w:rsidP="008E2BAC">
      <w:pPr>
        <w:pStyle w:val="Ttulo7"/>
      </w:pPr>
      <w:r w:rsidRPr="00C045F9">
        <w:t>Crecimiento de los mercados financieros</w:t>
      </w:r>
      <w:r w:rsidR="008E2BAC">
        <w:t xml:space="preserve"> y desarrollo de los intermediarios financieros no bancarios</w:t>
      </w:r>
    </w:p>
    <w:p w14:paraId="50C5200B" w14:textId="77777777" w:rsidR="00694BC3" w:rsidRPr="00C045F9" w:rsidRDefault="00694BC3" w:rsidP="00694BC3">
      <w:pPr>
        <w:pStyle w:val="Nivel2SM"/>
        <w:keepNext/>
        <w:spacing w:after="0"/>
      </w:pPr>
      <w:r w:rsidRPr="00C045F9">
        <w:t>La evolución del sistema financiero español durante los últimos 30</w:t>
      </w:r>
      <w:r>
        <w:t> </w:t>
      </w:r>
      <w:r w:rsidRPr="00C045F9">
        <w:t xml:space="preserve">años se podría caracterizar por un </w:t>
      </w:r>
      <w:r w:rsidRPr="00207B01">
        <w:rPr>
          <w:b/>
          <w:bCs/>
        </w:rPr>
        <w:t>importante crecimiento de la actividad financiera</w:t>
      </w:r>
      <w:r w:rsidRPr="00C045F9">
        <w:t xml:space="preserve"> que se ha visto reflejada en el </w:t>
      </w:r>
      <w:r w:rsidRPr="00207B01">
        <w:rPr>
          <w:b/>
          <w:bCs/>
        </w:rPr>
        <w:t>fuerte desarrollo de los mercados financieros</w:t>
      </w:r>
      <w:r w:rsidRPr="00C045F9">
        <w:t xml:space="preserve"> lo cual se ha debido principalmente a:</w:t>
      </w:r>
    </w:p>
    <w:p w14:paraId="356B1DAA" w14:textId="77777777" w:rsidR="00694BC3" w:rsidRPr="00C045F9" w:rsidRDefault="00694BC3" w:rsidP="00694BC3">
      <w:pPr>
        <w:pStyle w:val="Nivel3SM"/>
      </w:pPr>
      <w:r w:rsidRPr="00C045F9">
        <w:t>El mayor grado de desarrollo económico.</w:t>
      </w:r>
    </w:p>
    <w:p w14:paraId="695DCA2A" w14:textId="77777777" w:rsidR="00694BC3" w:rsidRPr="00C045F9" w:rsidRDefault="00694BC3" w:rsidP="00694BC3">
      <w:pPr>
        <w:pStyle w:val="Nivel3SM"/>
      </w:pPr>
      <w:r w:rsidRPr="00C045F9">
        <w:t>La creciente apertura al exterior.</w:t>
      </w:r>
    </w:p>
    <w:p w14:paraId="4E218B11" w14:textId="77777777" w:rsidR="00694BC3" w:rsidRPr="00C045F9" w:rsidRDefault="00694BC3" w:rsidP="00694BC3">
      <w:pPr>
        <w:pStyle w:val="Nivel3SM"/>
      </w:pPr>
      <w:r w:rsidRPr="00C045F9">
        <w:t>La propia modernización del sistema financiero.</w:t>
      </w:r>
    </w:p>
    <w:p w14:paraId="0C2000B6" w14:textId="77777777" w:rsidR="00694BC3" w:rsidRPr="00C045F9" w:rsidRDefault="00694BC3" w:rsidP="00694BC3">
      <w:pPr>
        <w:pStyle w:val="Nivel2SM"/>
        <w:keepNext/>
        <w:spacing w:after="0"/>
      </w:pPr>
      <w:r w:rsidRPr="00C045F9">
        <w:t xml:space="preserve">La expansión de los mercados financieros </w:t>
      </w:r>
      <w:r w:rsidRPr="00C045F9">
        <w:rPr>
          <w:b/>
          <w:u w:val="single"/>
        </w:rPr>
        <w:t>ha impulsado a su vez el desarrollo de los intermediarios financieros no</w:t>
      </w:r>
      <w:r>
        <w:rPr>
          <w:b/>
          <w:u w:val="single"/>
        </w:rPr>
        <w:t> </w:t>
      </w:r>
      <w:r w:rsidRPr="00C045F9">
        <w:rPr>
          <w:b/>
          <w:u w:val="single"/>
        </w:rPr>
        <w:t>bancarios</w:t>
      </w:r>
      <w:r w:rsidRPr="00C045F9">
        <w:t xml:space="preserve"> y, más concretamente, de sus </w:t>
      </w:r>
      <w:r>
        <w:t>3 </w:t>
      </w:r>
      <w:r w:rsidRPr="00C045F9">
        <w:t>modalidades más significativas:</w:t>
      </w:r>
    </w:p>
    <w:p w14:paraId="42C801FC" w14:textId="77777777" w:rsidR="00694BC3" w:rsidRPr="00C045F9" w:rsidRDefault="00694BC3" w:rsidP="00694BC3">
      <w:pPr>
        <w:pStyle w:val="Nivel3SM"/>
      </w:pPr>
      <w:r w:rsidRPr="00C045F9">
        <w:t>Los fondos de inversión.</w:t>
      </w:r>
    </w:p>
    <w:p w14:paraId="0E00FF69" w14:textId="77777777" w:rsidR="00694BC3" w:rsidRPr="00C045F9" w:rsidRDefault="00694BC3" w:rsidP="00694BC3">
      <w:pPr>
        <w:pStyle w:val="Nivel3SM"/>
      </w:pPr>
      <w:r w:rsidRPr="00C045F9">
        <w:t>Los fondos de pensiones.</w:t>
      </w:r>
    </w:p>
    <w:p w14:paraId="575310F9" w14:textId="77777777" w:rsidR="00694BC3" w:rsidRPr="00C045F9" w:rsidRDefault="00694BC3" w:rsidP="00694BC3">
      <w:pPr>
        <w:pStyle w:val="Nivel3SM"/>
      </w:pPr>
      <w:r w:rsidRPr="00C045F9">
        <w:t>Las compañías aseguradoras.</w:t>
      </w:r>
    </w:p>
    <w:p w14:paraId="28BEF248" w14:textId="5DDEFDC4" w:rsidR="00694BC3" w:rsidRPr="00C045F9" w:rsidRDefault="00694BC3" w:rsidP="00694BC3">
      <w:pPr>
        <w:pStyle w:val="Nivel2SM"/>
        <w:keepNext/>
        <w:spacing w:after="0"/>
      </w:pPr>
      <w:r w:rsidRPr="00C045F9">
        <w:t xml:space="preserve">No obstante, su </w:t>
      </w:r>
      <w:r w:rsidRPr="00207B01">
        <w:rPr>
          <w:b/>
          <w:bCs/>
        </w:rPr>
        <w:t>importancia relativa en España sigue siendo muy reducida</w:t>
      </w:r>
      <w:r>
        <w:rPr>
          <w:rStyle w:val="Refdenotaalpie"/>
        </w:rPr>
        <w:footnoteReference w:id="11"/>
      </w:r>
      <w:r>
        <w:t>.</w:t>
      </w:r>
    </w:p>
    <w:p w14:paraId="4061751F" w14:textId="77777777" w:rsidR="00694BC3" w:rsidRPr="00C045F9" w:rsidRDefault="00694BC3" w:rsidP="00694BC3">
      <w:pPr>
        <w:pStyle w:val="Nivel3SM"/>
      </w:pPr>
      <w:r w:rsidRPr="00C045F9">
        <w:rPr>
          <w:rStyle w:val="normaltextrun"/>
        </w:rPr>
        <w:t>En concreto, la</w:t>
      </w:r>
      <w:r>
        <w:rPr>
          <w:rStyle w:val="normaltextrun"/>
        </w:rPr>
        <w:t xml:space="preserve"> </w:t>
      </w:r>
      <w:r w:rsidRPr="00207B01">
        <w:rPr>
          <w:rStyle w:val="normaltextrun"/>
          <w:i/>
          <w:iCs/>
        </w:rPr>
        <w:t>proporción de financiación no bancaria en España se sit</w:t>
      </w:r>
      <w:r>
        <w:rPr>
          <w:rStyle w:val="normaltextrun"/>
          <w:i/>
          <w:iCs/>
        </w:rPr>
        <w:t>ú</w:t>
      </w:r>
      <w:r w:rsidRPr="00207B01">
        <w:rPr>
          <w:rStyle w:val="normaltextrun"/>
          <w:i/>
          <w:iCs/>
        </w:rPr>
        <w:t>a en el 20-30 %</w:t>
      </w:r>
      <w:r w:rsidRPr="00207B01">
        <w:rPr>
          <w:rStyle w:val="normaltextrun"/>
        </w:rPr>
        <w:t>, frente a un 70 % en Estados Unidos o un 50 % en Francia</w:t>
      </w:r>
      <w:r w:rsidRPr="00C045F9">
        <w:rPr>
          <w:rStyle w:val="normaltextrun"/>
        </w:rPr>
        <w:t>.</w:t>
      </w:r>
    </w:p>
    <w:p w14:paraId="75D6EC3E" w14:textId="373F3846" w:rsidR="00694BC3" w:rsidRPr="007E2EAD" w:rsidRDefault="00694BC3" w:rsidP="00694BC3">
      <w:pPr>
        <w:pStyle w:val="Nivel3SM"/>
        <w:rPr>
          <w:spacing w:val="-2"/>
        </w:rPr>
      </w:pPr>
      <w:r w:rsidRPr="007E2EAD">
        <w:rPr>
          <w:i/>
          <w:iCs/>
          <w:spacing w:val="-2"/>
        </w:rPr>
        <w:t>Sus activos representan el 75 % del PIB</w:t>
      </w:r>
      <w:r w:rsidR="007E2EAD">
        <w:rPr>
          <w:spacing w:val="-2"/>
        </w:rPr>
        <w:t>, frente al</w:t>
      </w:r>
      <w:r w:rsidRPr="007E2EAD">
        <w:rPr>
          <w:spacing w:val="-2"/>
        </w:rPr>
        <w:t xml:space="preserve"> 250-300 % en Estados Unidos y Reino Unido.</w:t>
      </w:r>
    </w:p>
    <w:p w14:paraId="495E0641" w14:textId="37E08ACA" w:rsidR="003C08B9" w:rsidRPr="0009367D" w:rsidRDefault="003C08B9" w:rsidP="00F02263">
      <w:pPr>
        <w:pStyle w:val="Ttulo2"/>
        <w:numPr>
          <w:ilvl w:val="1"/>
          <w:numId w:val="43"/>
        </w:numPr>
        <w:ind w:left="788" w:hanging="431"/>
      </w:pPr>
      <w:bookmarkStart w:id="30" w:name="_Toc178010314"/>
      <w:r w:rsidRPr="00C045F9">
        <w:lastRenderedPageBreak/>
        <w:t>Conclusión</w:t>
      </w:r>
      <w:bookmarkEnd w:id="30"/>
    </w:p>
    <w:p w14:paraId="3722BE09" w14:textId="77777777" w:rsidR="003C08B9" w:rsidRPr="00C045F9" w:rsidRDefault="003C08B9" w:rsidP="002D38D0">
      <w:pPr>
        <w:pStyle w:val="Nivel2SM"/>
      </w:pPr>
      <w:r w:rsidRPr="00C045F9">
        <w:t xml:space="preserve">De ahora en adelante, nos centraremos exclusivamente en el análisis de la </w:t>
      </w:r>
      <w:r w:rsidRPr="002D38D0">
        <w:rPr>
          <w:i/>
          <w:iCs/>
        </w:rPr>
        <w:t>evolución hasta la actualidad del sistema financiero</w:t>
      </w:r>
      <w:r w:rsidRPr="00C045F9">
        <w:t xml:space="preserve"> y de sus </w:t>
      </w:r>
      <w:r w:rsidRPr="002D38D0">
        <w:rPr>
          <w:i/>
          <w:iCs/>
        </w:rPr>
        <w:t>principales instituciones y agentes</w:t>
      </w:r>
      <w:r w:rsidRPr="00C045F9">
        <w:t>.</w:t>
      </w:r>
    </w:p>
    <w:p w14:paraId="684CAAFE" w14:textId="13F05E0A" w:rsidR="00A13EFE" w:rsidRDefault="00A13EFE" w:rsidP="00CA3371">
      <w:pPr>
        <w:pStyle w:val="Ttulo1"/>
      </w:pPr>
      <w:bookmarkStart w:id="31" w:name="_Toc178010315"/>
      <w:bookmarkEnd w:id="14"/>
      <w:r w:rsidRPr="00C045F9">
        <w:t>EVOLUCIÓN DEL SISTEMA FINANCIERO ESPAÑOL</w:t>
      </w:r>
      <w:bookmarkEnd w:id="31"/>
    </w:p>
    <w:p w14:paraId="7C36B2CA" w14:textId="3C478E31" w:rsidR="00914451" w:rsidRPr="0009367D" w:rsidRDefault="00A13EFE" w:rsidP="00CA3371">
      <w:pPr>
        <w:pStyle w:val="Ttulo2"/>
      </w:pPr>
      <w:bookmarkStart w:id="32" w:name="_Toc178010316"/>
      <w:r w:rsidRPr="00CA3371">
        <w:t>Evolución</w:t>
      </w:r>
      <w:r w:rsidRPr="00C045F9">
        <w:t xml:space="preserve"> del sistema financiero español hasta la crisis</w:t>
      </w:r>
      <w:bookmarkEnd w:id="32"/>
    </w:p>
    <w:p w14:paraId="1ADA11A9" w14:textId="378521B9" w:rsidR="009C0718" w:rsidRPr="0009367D" w:rsidRDefault="008B07C9" w:rsidP="00CA3371">
      <w:pPr>
        <w:pStyle w:val="Ttulo3"/>
        <w:spacing w:before="0"/>
      </w:pPr>
      <w:bookmarkStart w:id="33" w:name="_Toc178010317"/>
      <w:r w:rsidRPr="00C045F9">
        <w:t>Hasta 1959</w:t>
      </w:r>
      <w:bookmarkEnd w:id="33"/>
    </w:p>
    <w:p w14:paraId="3AE44148" w14:textId="77777777" w:rsidR="001814AE" w:rsidRPr="00C045F9" w:rsidRDefault="001814AE" w:rsidP="00207B01">
      <w:pPr>
        <w:pStyle w:val="Nivel2SM"/>
        <w:keepNext/>
        <w:spacing w:after="0"/>
      </w:pPr>
      <w:r w:rsidRPr="00C045F9">
        <w:t xml:space="preserve">Este periodo se caracteriza por: </w:t>
      </w:r>
    </w:p>
    <w:p w14:paraId="36E9F465" w14:textId="72D46DFA" w:rsidR="001814AE" w:rsidRDefault="001814AE" w:rsidP="00207B01">
      <w:pPr>
        <w:pStyle w:val="Nivel3SM"/>
      </w:pPr>
      <w:r w:rsidRPr="00207B01">
        <w:rPr>
          <w:i/>
          <w:iCs/>
          <w:u w:val="single"/>
        </w:rPr>
        <w:t xml:space="preserve">Decreto Echegaray </w:t>
      </w:r>
      <w:r w:rsidR="00207B01" w:rsidRPr="00207B01">
        <w:rPr>
          <w:i/>
          <w:iCs/>
          <w:u w:val="single"/>
        </w:rPr>
        <w:t>(</w:t>
      </w:r>
      <w:r w:rsidRPr="00207B01">
        <w:rPr>
          <w:i/>
          <w:iCs/>
          <w:u w:val="single"/>
        </w:rPr>
        <w:t>1874</w:t>
      </w:r>
      <w:r w:rsidR="00207B01" w:rsidRPr="00207B01">
        <w:rPr>
          <w:i/>
          <w:iCs/>
          <w:u w:val="single"/>
        </w:rPr>
        <w:t>)</w:t>
      </w:r>
      <w:r w:rsidR="00207B01" w:rsidRPr="00207B01">
        <w:t xml:space="preserve">: </w:t>
      </w:r>
      <w:r w:rsidRPr="00C045F9">
        <w:t>Concede el monopolio de emisión de billetes al B</w:t>
      </w:r>
      <w:r w:rsidR="00AC185C">
        <w:t xml:space="preserve">anco </w:t>
      </w:r>
      <w:r w:rsidRPr="00C045F9">
        <w:t>d</w:t>
      </w:r>
      <w:r w:rsidR="00AC185C">
        <w:t xml:space="preserve">e </w:t>
      </w:r>
      <w:r w:rsidRPr="00C045F9">
        <w:t>E</w:t>
      </w:r>
      <w:r w:rsidR="00AC185C">
        <w:t>spaña</w:t>
      </w:r>
      <w:r w:rsidR="00A06914">
        <w:t>.</w:t>
      </w:r>
    </w:p>
    <w:p w14:paraId="170ECBF9" w14:textId="77777777" w:rsidR="00A06914" w:rsidRDefault="00207B01" w:rsidP="00207B01">
      <w:pPr>
        <w:pStyle w:val="Nivel3SM"/>
        <w:rPr>
          <w:spacing w:val="-3"/>
        </w:rPr>
      </w:pPr>
      <w:r>
        <w:rPr>
          <w:i/>
          <w:iCs/>
          <w:spacing w:val="-3"/>
          <w:u w:val="single"/>
        </w:rPr>
        <w:t>Ley de Ordenación Bancaria de 1921</w:t>
      </w:r>
      <w:r>
        <w:rPr>
          <w:spacing w:val="-3"/>
        </w:rPr>
        <w:t>: Comienza la regulación del sistema financiero español. Durante sus primeros años de vigencia tuvo lugar un crecimiento de la banca española que terminaría con la crisis de los años 30 y la Guerra Civil.</w:t>
      </w:r>
    </w:p>
    <w:p w14:paraId="5D62FF14" w14:textId="1F4A9D9C" w:rsidR="00A06914" w:rsidRDefault="00207B01" w:rsidP="00A06914">
      <w:pPr>
        <w:pStyle w:val="Nivel3SM"/>
        <w:keepNext/>
        <w:numPr>
          <w:ilvl w:val="0"/>
          <w:numId w:val="0"/>
        </w:numPr>
        <w:ind w:left="963"/>
      </w:pPr>
      <w:r>
        <w:t xml:space="preserve">Tras la contienda los legisladores aprobaron </w:t>
      </w:r>
      <w:r w:rsidR="00A06914">
        <w:t xml:space="preserve">una nueva </w:t>
      </w:r>
      <w:r w:rsidR="00A06914" w:rsidRPr="00A06914">
        <w:rPr>
          <w:i/>
          <w:iCs/>
          <w:u w:val="single"/>
        </w:rPr>
        <w:t>Ley de Ordenación Bancaria en 1946</w:t>
      </w:r>
      <w:r w:rsidR="00A06914">
        <w:t xml:space="preserve"> por la que:</w:t>
      </w:r>
    </w:p>
    <w:p w14:paraId="0BA6ED2F" w14:textId="77777777" w:rsidR="00A06914" w:rsidRDefault="00A06914" w:rsidP="00A06914">
      <w:pPr>
        <w:pStyle w:val="Nivel4"/>
        <w:ind w:left="1474"/>
      </w:pPr>
      <w:r>
        <w:t>Se reafirman los principios de la Ley de 1921; y</w:t>
      </w:r>
    </w:p>
    <w:p w14:paraId="6AC10F8B" w14:textId="1DE5EE41" w:rsidR="00207B01" w:rsidRDefault="00A06914" w:rsidP="00A06914">
      <w:pPr>
        <w:pStyle w:val="Nivel4"/>
        <w:ind w:left="1474"/>
      </w:pPr>
      <w:r>
        <w:t>Se establece un mayor control gubernamental de la actividad bancaria.</w:t>
      </w:r>
    </w:p>
    <w:p w14:paraId="5992BCC1" w14:textId="276DE9C8" w:rsidR="00A06914" w:rsidRDefault="00A06914" w:rsidP="00A06914">
      <w:pPr>
        <w:pStyle w:val="Nivel4"/>
        <w:ind w:left="1474"/>
      </w:pPr>
      <w:r>
        <w:t xml:space="preserve">Entre sus novedades incluía lo que se llamó </w:t>
      </w:r>
      <w:r w:rsidRPr="0012363B">
        <w:rPr>
          <w:i/>
          <w:iCs/>
        </w:rPr>
        <w:t>“status quo”</w:t>
      </w:r>
      <w:r>
        <w:t xml:space="preserve">, por el que se prohibía la creación de nuevos bancos, favoreciendo así la </w:t>
      </w:r>
      <w:r w:rsidRPr="00A06914">
        <w:rPr>
          <w:i/>
          <w:iCs/>
        </w:rPr>
        <w:t>concentración de la actividad bancaria</w:t>
      </w:r>
      <w:r>
        <w:t>.</w:t>
      </w:r>
    </w:p>
    <w:p w14:paraId="188D6CA2" w14:textId="53B77C86" w:rsidR="00A06914" w:rsidRPr="00C045F9" w:rsidRDefault="0012363B" w:rsidP="0012363B">
      <w:pPr>
        <w:pStyle w:val="Nivel2SM"/>
        <w:keepNext/>
        <w:spacing w:after="0"/>
      </w:pPr>
      <w:r>
        <w:t xml:space="preserve">Así, en esta etapa encontramos un </w:t>
      </w:r>
      <w:r w:rsidRPr="002903AF">
        <w:rPr>
          <w:b/>
          <w:bCs/>
        </w:rPr>
        <w:t>s</w:t>
      </w:r>
      <w:r w:rsidR="00A06914" w:rsidRPr="002903AF">
        <w:rPr>
          <w:b/>
          <w:bCs/>
        </w:rPr>
        <w:t>istema financiero altamente intervenido</w:t>
      </w:r>
      <w:r w:rsidR="00A06914" w:rsidRPr="00C045F9">
        <w:t xml:space="preserve"> </w:t>
      </w:r>
      <w:r w:rsidR="00A06914" w:rsidRPr="002903AF">
        <w:t>compuesto por</w:t>
      </w:r>
      <w:r w:rsidR="00A06914" w:rsidRPr="00C045F9">
        <w:t>:</w:t>
      </w:r>
    </w:p>
    <w:p w14:paraId="048D3E59" w14:textId="6BB8BB8D" w:rsidR="00A06914" w:rsidRPr="00A30298" w:rsidRDefault="00A06914" w:rsidP="0012363B">
      <w:pPr>
        <w:pStyle w:val="Nivel3SM"/>
        <w:rPr>
          <w:spacing w:val="-2"/>
        </w:rPr>
      </w:pPr>
      <w:r w:rsidRPr="00A30298">
        <w:rPr>
          <w:i/>
          <w:iCs/>
          <w:spacing w:val="-2"/>
        </w:rPr>
        <w:t>Banca privada nacional</w:t>
      </w:r>
      <w:r w:rsidRPr="00A30298">
        <w:rPr>
          <w:spacing w:val="-2"/>
        </w:rPr>
        <w:t>: Fuerte concentración en 5 grandes bancos (Banco Bilbao, Banco Central, Banco Hispanoamericano, Banco de Barcelona, y Banco Español de Crédito)</w:t>
      </w:r>
      <w:r w:rsidR="00A30298" w:rsidRPr="00A30298">
        <w:rPr>
          <w:spacing w:val="-2"/>
        </w:rPr>
        <w:t>, sometidos a una intensa regulación que limitaba la competencia y distorsionaba el mercado</w:t>
      </w:r>
      <w:r w:rsidRPr="00A30298">
        <w:rPr>
          <w:spacing w:val="-2"/>
        </w:rPr>
        <w:t>.</w:t>
      </w:r>
    </w:p>
    <w:p w14:paraId="399D985A" w14:textId="77777777" w:rsidR="00A06914" w:rsidRPr="00357DFB" w:rsidRDefault="00A06914" w:rsidP="0012363B">
      <w:pPr>
        <w:pStyle w:val="Nivel3SM"/>
        <w:rPr>
          <w:spacing w:val="-5"/>
        </w:rPr>
      </w:pPr>
      <w:r w:rsidRPr="00357DFB">
        <w:rPr>
          <w:i/>
          <w:iCs/>
          <w:spacing w:val="-5"/>
        </w:rPr>
        <w:t>Cajas de ahorro</w:t>
      </w:r>
      <w:r w:rsidRPr="00357DFB">
        <w:rPr>
          <w:spacing w:val="-5"/>
        </w:rPr>
        <w:t>: Para entonces, también existían numerosas cajas de ahorro con un carácter marcadamente social y con el fin de conceder préstamos sin intereses a los más desfavorecidos.</w:t>
      </w:r>
    </w:p>
    <w:p w14:paraId="6DEA7B20" w14:textId="77777777" w:rsidR="00A06914" w:rsidRPr="00C045F9" w:rsidRDefault="00A06914" w:rsidP="0012363B">
      <w:pPr>
        <w:pStyle w:val="Nivel3SM"/>
      </w:pPr>
      <w:r w:rsidRPr="00207B01">
        <w:rPr>
          <w:i/>
          <w:iCs/>
        </w:rPr>
        <w:t>Entidades oficiales de crédito</w:t>
      </w:r>
      <w:r>
        <w:t xml:space="preserve">: </w:t>
      </w:r>
      <w:r w:rsidRPr="00C045F9">
        <w:t>En la década de 1920, se crearon las principales entidades oficiales de crédito: Banco Hipotecario de España, Banco de Crédito Industrial, Banco de Crédito Agrícola, etc.</w:t>
      </w:r>
    </w:p>
    <w:p w14:paraId="1457FBA0" w14:textId="5174CF05" w:rsidR="008B07C9" w:rsidRPr="0009367D" w:rsidRDefault="008B07C9" w:rsidP="00CA3371">
      <w:pPr>
        <w:pStyle w:val="Ttulo3"/>
      </w:pPr>
      <w:bookmarkStart w:id="34" w:name="_Toc178010318"/>
      <w:r w:rsidRPr="00C045F9">
        <w:t>El Plan de Estabilización</w:t>
      </w:r>
      <w:r w:rsidR="00421CAC">
        <w:t xml:space="preserve"> de</w:t>
      </w:r>
      <w:r w:rsidRPr="00C045F9">
        <w:t xml:space="preserve"> 1959</w:t>
      </w:r>
      <w:r w:rsidR="00421CAC">
        <w:t xml:space="preserve"> y la política desarrollista (1960-1973)</w:t>
      </w:r>
      <w:bookmarkEnd w:id="34"/>
    </w:p>
    <w:p w14:paraId="2BF3F24A" w14:textId="77777777" w:rsidR="00B7133A" w:rsidRDefault="008B07C9" w:rsidP="00B7133A">
      <w:pPr>
        <w:pStyle w:val="Nivel2SM"/>
        <w:keepNext/>
        <w:spacing w:after="0"/>
      </w:pPr>
      <w:r w:rsidRPr="00C045F9">
        <w:t xml:space="preserve">El periodo de autarquía provoca </w:t>
      </w:r>
      <w:r w:rsidRPr="00A06914">
        <w:rPr>
          <w:i/>
          <w:iCs/>
          <w:u w:val="single"/>
        </w:rPr>
        <w:t>desequilibrios internos</w:t>
      </w:r>
      <w:r w:rsidR="00A06914">
        <w:rPr>
          <w:i/>
          <w:iCs/>
          <w:u w:val="single"/>
        </w:rPr>
        <w:t xml:space="preserve"> y externos</w:t>
      </w:r>
      <w:r w:rsidRPr="00C045F9">
        <w:t xml:space="preserve"> </w:t>
      </w:r>
      <w:r w:rsidR="009F1CFA" w:rsidRPr="00C045F9">
        <w:t xml:space="preserve">(elevada inflación y crisis de la </w:t>
      </w:r>
      <w:r w:rsidR="00A06914">
        <w:t xml:space="preserve">balanza </w:t>
      </w:r>
      <w:r w:rsidR="009F1CFA" w:rsidRPr="00C045F9">
        <w:t>d</w:t>
      </w:r>
      <w:r w:rsidR="00A06914">
        <w:t>e pagos</w:t>
      </w:r>
      <w:r w:rsidR="009F1CFA" w:rsidRPr="00C045F9">
        <w:t xml:space="preserve">) </w:t>
      </w:r>
      <w:r w:rsidRPr="00C045F9">
        <w:t>en la economía española.</w:t>
      </w:r>
    </w:p>
    <w:p w14:paraId="1F47E66D" w14:textId="25F7BBFF" w:rsidR="008B07C9" w:rsidRPr="00C045F9" w:rsidRDefault="00B7133A" w:rsidP="00421CAC">
      <w:pPr>
        <w:pStyle w:val="Nivel3SM"/>
        <w:keepNext/>
      </w:pPr>
      <w:r>
        <w:t xml:space="preserve">En </w:t>
      </w:r>
      <w:r w:rsidRPr="00B7133A">
        <w:rPr>
          <w:b/>
          <w:bCs/>
        </w:rPr>
        <w:t>1959</w:t>
      </w:r>
      <w:r>
        <w:t>, con e</w:t>
      </w:r>
      <w:r w:rsidRPr="00C045F9">
        <w:t>l objetivo de solucionar estos desequilibrios</w:t>
      </w:r>
      <w:r>
        <w:t xml:space="preserve"> y siguiendo las recomendaciones de organismos internacionales como el FMI, se aprueba el </w:t>
      </w:r>
      <w:r>
        <w:rPr>
          <w:b/>
          <w:bCs/>
        </w:rPr>
        <w:t>Plan de Estabilización</w:t>
      </w:r>
      <w:r>
        <w:t>, por el que se inicia un proceso de liberalización económica tanto a nivel interno como a nivel externo y que da pie a una modernización del sistema financiero.</w:t>
      </w:r>
    </w:p>
    <w:p w14:paraId="245F9B45" w14:textId="77777777" w:rsidR="008B07C9" w:rsidRPr="00C045F9" w:rsidRDefault="001814AE" w:rsidP="00421CAC">
      <w:pPr>
        <w:pStyle w:val="Nivel4"/>
        <w:keepNext/>
        <w:ind w:left="1474"/>
      </w:pPr>
      <w:r w:rsidRPr="00B7133A">
        <w:t>Medidas que afectan al sector financiero</w:t>
      </w:r>
      <w:r w:rsidR="009F1CFA" w:rsidRPr="00B7133A">
        <w:t xml:space="preserve"> (sobre todo objetivo interno)</w:t>
      </w:r>
      <w:r w:rsidR="008B07C9" w:rsidRPr="00C045F9">
        <w:t>:</w:t>
      </w:r>
    </w:p>
    <w:p w14:paraId="6B33F840" w14:textId="77777777" w:rsidR="00421CAC" w:rsidRPr="00C045F9" w:rsidRDefault="00421CAC" w:rsidP="00421CAC">
      <w:pPr>
        <w:pStyle w:val="Nivel5"/>
        <w:ind w:left="1871"/>
      </w:pPr>
      <w:r w:rsidRPr="00C045F9">
        <w:t xml:space="preserve">Elevación de los tipos de interés aplicados por el </w:t>
      </w:r>
      <w:r>
        <w:t>Banco de España</w:t>
      </w:r>
      <w:r w:rsidRPr="00C045F9">
        <w:t>.</w:t>
      </w:r>
    </w:p>
    <w:p w14:paraId="2CFF5BAC" w14:textId="752AB2FC" w:rsidR="008B07C9" w:rsidRPr="00C045F9" w:rsidRDefault="008B07C9" w:rsidP="00421CAC">
      <w:pPr>
        <w:pStyle w:val="Nivel5"/>
        <w:ind w:left="1871"/>
      </w:pPr>
      <w:r w:rsidRPr="00C045F9">
        <w:t>Limitación de la emisión de deuda pignorable</w:t>
      </w:r>
      <w:r w:rsidR="00421CAC">
        <w:t xml:space="preserve"> y s</w:t>
      </w:r>
      <w:r w:rsidRPr="00C045F9">
        <w:t>upresión del derecho a la pignoración automática de dicha deuda en el Banco de España.</w:t>
      </w:r>
    </w:p>
    <w:p w14:paraId="5B6C9254" w14:textId="4EB24C97" w:rsidR="008B07C9" w:rsidRPr="00C045F9" w:rsidRDefault="008B07C9" w:rsidP="00421CAC">
      <w:pPr>
        <w:pStyle w:val="Nivel5"/>
        <w:ind w:left="1871"/>
      </w:pPr>
      <w:r w:rsidRPr="00C045F9">
        <w:t>Límite cuantitativo al crecimiento del crédito bancario para el año</w:t>
      </w:r>
      <w:r w:rsidR="00CA7AA8">
        <w:t> </w:t>
      </w:r>
      <w:r w:rsidRPr="00C045F9">
        <w:t>1959.</w:t>
      </w:r>
    </w:p>
    <w:p w14:paraId="035EFB61" w14:textId="7ADC714B" w:rsidR="00421CAC" w:rsidRDefault="00D70C22" w:rsidP="00421CAC">
      <w:pPr>
        <w:pStyle w:val="Nivel2SM"/>
        <w:keepNext/>
        <w:spacing w:after="0"/>
      </w:pPr>
      <w:r w:rsidRPr="00C045F9">
        <w:lastRenderedPageBreak/>
        <w:t>Las reformas de 1959 parecían suponer una cierta modernización de la política monetaria y del sistema financiero</w:t>
      </w:r>
      <w:r w:rsidR="00F1163E">
        <w:rPr>
          <w:rStyle w:val="Refdenotaalpie"/>
        </w:rPr>
        <w:footnoteReference w:id="12"/>
      </w:r>
      <w:r w:rsidRPr="00C045F9">
        <w:t>.</w:t>
      </w:r>
    </w:p>
    <w:p w14:paraId="6792A80E" w14:textId="31393F45" w:rsidR="00D70C22" w:rsidRDefault="00D70C22" w:rsidP="00E07E53">
      <w:pPr>
        <w:pStyle w:val="Nivel3SM"/>
        <w:keepNext/>
      </w:pPr>
      <w:r w:rsidRPr="00C045F9">
        <w:t>Sin embargo, durante los años</w:t>
      </w:r>
      <w:r w:rsidR="00CE52EC">
        <w:t> </w:t>
      </w:r>
      <w:r w:rsidRPr="00C045F9">
        <w:t xml:space="preserve">60, </w:t>
      </w:r>
      <w:r w:rsidRPr="00421CAC">
        <w:rPr>
          <w:i/>
          <w:iCs/>
        </w:rPr>
        <w:t>en la práctica</w:t>
      </w:r>
      <w:r w:rsidRPr="00C045F9">
        <w:t xml:space="preserve"> </w:t>
      </w:r>
      <w:r w:rsidRPr="00421CAC">
        <w:rPr>
          <w:i/>
          <w:iCs/>
        </w:rPr>
        <w:t xml:space="preserve">la política monetaria </w:t>
      </w:r>
      <w:r w:rsidR="00BE1F0C" w:rsidRPr="00421CAC">
        <w:rPr>
          <w:i/>
          <w:iCs/>
        </w:rPr>
        <w:t xml:space="preserve">y el sistema financiero </w:t>
      </w:r>
      <w:r w:rsidRPr="00421CAC">
        <w:rPr>
          <w:i/>
          <w:iCs/>
        </w:rPr>
        <w:t>seguirá</w:t>
      </w:r>
      <w:r w:rsidR="00BE1F0C" w:rsidRPr="00421CAC">
        <w:rPr>
          <w:i/>
          <w:iCs/>
        </w:rPr>
        <w:t>n</w:t>
      </w:r>
      <w:r w:rsidRPr="00421CAC">
        <w:rPr>
          <w:i/>
          <w:iCs/>
        </w:rPr>
        <w:t xml:space="preserve"> estando subordinad</w:t>
      </w:r>
      <w:r w:rsidR="00BE1F0C" w:rsidRPr="00421CAC">
        <w:rPr>
          <w:i/>
          <w:iCs/>
        </w:rPr>
        <w:t>os</w:t>
      </w:r>
      <w:r w:rsidRPr="00421CAC">
        <w:rPr>
          <w:i/>
          <w:iCs/>
        </w:rPr>
        <w:t xml:space="preserve"> a otros objetivos</w:t>
      </w:r>
      <w:r w:rsidRPr="00C045F9">
        <w:t xml:space="preserve"> (concretamente, al objetivo de desarrollo económico)</w:t>
      </w:r>
      <w:r w:rsidR="00835182" w:rsidRPr="00C045F9">
        <w:t xml:space="preserve"> por ejemplo mediante l</w:t>
      </w:r>
      <w:r w:rsidR="00E07E53">
        <w:t xml:space="preserve">a </w:t>
      </w:r>
      <w:r w:rsidR="00E07E53" w:rsidRPr="00E07E53">
        <w:rPr>
          <w:i/>
          <w:iCs/>
          <w:u w:val="single"/>
        </w:rPr>
        <w:t>monetización indirecta</w:t>
      </w:r>
      <w:r w:rsidR="00E07E53">
        <w:t xml:space="preserve"> y l</w:t>
      </w:r>
      <w:r w:rsidR="00835182" w:rsidRPr="00C045F9">
        <w:t xml:space="preserve">os </w:t>
      </w:r>
      <w:r w:rsidR="00835182" w:rsidRPr="00E07E53">
        <w:rPr>
          <w:i/>
          <w:iCs/>
          <w:u w:val="single"/>
        </w:rPr>
        <w:t>coeficientes de inversión</w:t>
      </w:r>
      <w:r w:rsidR="00A20739" w:rsidRPr="00E07E53">
        <w:rPr>
          <w:i/>
          <w:iCs/>
          <w:u w:val="single"/>
        </w:rPr>
        <w:t xml:space="preserve"> obligatoria</w:t>
      </w:r>
      <w:r w:rsidR="00E07E53">
        <w:t>.</w:t>
      </w:r>
    </w:p>
    <w:p w14:paraId="384B0183" w14:textId="77777777" w:rsidR="00E07E53" w:rsidRDefault="00E07E53" w:rsidP="00E07E53">
      <w:pPr>
        <w:pStyle w:val="Nivel4"/>
        <w:keepNext/>
        <w:ind w:left="1474"/>
      </w:pPr>
      <w:r w:rsidRPr="00E07E53">
        <w:rPr>
          <w:i/>
          <w:iCs/>
          <w:u w:val="single"/>
        </w:rPr>
        <w:t>Monetización indirecta</w:t>
      </w:r>
      <w:r>
        <w:t xml:space="preserve"> vía pignoración automática y redescuento especial:</w:t>
      </w:r>
    </w:p>
    <w:p w14:paraId="27C742C1" w14:textId="445AFB18" w:rsidR="00E07E53" w:rsidRDefault="000B3D2F" w:rsidP="00E07E53">
      <w:pPr>
        <w:pStyle w:val="Nivel5"/>
        <w:ind w:left="1871"/>
      </w:pPr>
      <w:r w:rsidRPr="000B3D2F">
        <w:t xml:space="preserve">La </w:t>
      </w:r>
      <w:r w:rsidRPr="000B3D2F">
        <w:rPr>
          <w:i/>
          <w:iCs/>
        </w:rPr>
        <w:t>pignoración automática de la deuda pública</w:t>
      </w:r>
      <w:r w:rsidRPr="000B3D2F">
        <w:t>, es la posibilidad que tienen los tenedores de títulos de deuda emitidos por el Estado, de acudir al banco central del país y obtener un crédito con la garantía de los propios títulos.</w:t>
      </w:r>
      <w:r>
        <w:t xml:space="preserve"> Es decir, l</w:t>
      </w:r>
      <w:r w:rsidR="00E07E53">
        <w:t xml:space="preserve">a </w:t>
      </w:r>
      <w:r w:rsidR="00E07E53" w:rsidRPr="000B3D2F">
        <w:t>pignoración</w:t>
      </w:r>
      <w:r w:rsidR="00E07E53">
        <w:t xml:space="preserve"> implicaba la posibilidad de llevar la deuda pública al Banco de España para su conversión en efectivo, lo cual en la práctica suponía la monetización indirecta de la deuda pública</w:t>
      </w:r>
      <w:r w:rsidR="00CA7AA8">
        <w:t xml:space="preserve"> (como decimos, esta práctica se vio limitada a partir de 1959)</w:t>
      </w:r>
      <w:r w:rsidR="00E07E53">
        <w:t>.</w:t>
      </w:r>
    </w:p>
    <w:p w14:paraId="2258A667" w14:textId="3B406F44" w:rsidR="00E07E53" w:rsidRDefault="00E07E53" w:rsidP="00E07E53">
      <w:pPr>
        <w:pStyle w:val="Nivel5"/>
        <w:keepNext/>
        <w:ind w:left="1871"/>
      </w:pPr>
      <w:r>
        <w:t xml:space="preserve">El </w:t>
      </w:r>
      <w:r w:rsidRPr="00E07E53">
        <w:rPr>
          <w:i/>
          <w:iCs/>
        </w:rPr>
        <w:t>redescuento especial</w:t>
      </w:r>
      <w:r>
        <w:t xml:space="preserve"> suponía la posibilidad de llevar determinados tipos de deuda especialmente seleccionada al Banco de España para su financiación.</w:t>
      </w:r>
    </w:p>
    <w:p w14:paraId="3E980772" w14:textId="2B57D9C1" w:rsidR="00E07E53" w:rsidRPr="00E07E53" w:rsidRDefault="00E07E53" w:rsidP="00E07E53">
      <w:pPr>
        <w:pStyle w:val="Nivel6"/>
        <w:ind w:left="2212"/>
      </w:pPr>
      <w:r>
        <w:t>Estas herramientas significaban que la cantidad de dinero en circulación dependía de la política de financiación de las AAPP. En consecuencia, las AAPP y el sector privado recurren masivamente a estas herramientas con lo que la inflación se dispara quedando fuera del control del Banco de España.</w:t>
      </w:r>
    </w:p>
    <w:p w14:paraId="3B2B199E" w14:textId="1AECFFDA" w:rsidR="00E07E53" w:rsidRDefault="00E07E53" w:rsidP="00E07E53">
      <w:pPr>
        <w:pStyle w:val="Nivel4"/>
        <w:keepNext/>
        <w:ind w:left="1474"/>
      </w:pPr>
      <w:r>
        <w:rPr>
          <w:i/>
          <w:iCs/>
          <w:u w:val="single"/>
        </w:rPr>
        <w:t>Coeficientes de inversión obligatoria</w:t>
      </w:r>
      <w:r>
        <w:t>:</w:t>
      </w:r>
    </w:p>
    <w:p w14:paraId="171D506E" w14:textId="72AA58F3" w:rsidR="00E07E53" w:rsidRDefault="00E07E53" w:rsidP="00E07E53">
      <w:pPr>
        <w:pStyle w:val="Nivel5"/>
        <w:ind w:left="1871"/>
      </w:pPr>
      <w:r>
        <w:t>Consisten en la obligación a entidades financieras a realizar determinadas operaciones crediticias dirigidas a ciertos sectores designados como estratégicos.</w:t>
      </w:r>
    </w:p>
    <w:p w14:paraId="42441480" w14:textId="671CDE61" w:rsidR="00E07E53" w:rsidRDefault="00E07E53" w:rsidP="00E07E53">
      <w:pPr>
        <w:pStyle w:val="Nivel5"/>
        <w:ind w:left="1871"/>
      </w:pPr>
      <w:r>
        <w:t>La crisis de los años 70 fue más intensa en estos sectores estratégicos, de modo que la banca se vio arrastrada a una sobreexposición a activos de mala calidad crediticia.</w:t>
      </w:r>
    </w:p>
    <w:p w14:paraId="19F70DE8" w14:textId="29593437" w:rsidR="001202A6" w:rsidRDefault="00614F9C" w:rsidP="00CA3371">
      <w:pPr>
        <w:pStyle w:val="Ttulo3"/>
      </w:pPr>
      <w:bookmarkStart w:id="35" w:name="_Toc178010319"/>
      <w:r>
        <w:t>Desde la crisis del petróleo hasta la entrada en la CEE: r</w:t>
      </w:r>
      <w:r w:rsidR="00D70C22" w:rsidRPr="00C045F9">
        <w:t xml:space="preserve">eformas y crisis bancarias </w:t>
      </w:r>
      <w:r w:rsidR="001202A6" w:rsidRPr="00C045F9">
        <w:t>(197</w:t>
      </w:r>
      <w:r w:rsidR="00A20739">
        <w:t>3</w:t>
      </w:r>
      <w:r w:rsidR="001202A6" w:rsidRPr="00C045F9">
        <w:t>-198</w:t>
      </w:r>
      <w:r w:rsidR="00A20739">
        <w:t>6</w:t>
      </w:r>
      <w:r w:rsidR="001202A6" w:rsidRPr="00C045F9">
        <w:t>)</w:t>
      </w:r>
      <w:bookmarkEnd w:id="35"/>
    </w:p>
    <w:p w14:paraId="2E98B14A" w14:textId="77777777" w:rsidR="00C87B3D" w:rsidRDefault="00A20739" w:rsidP="00C87B3D">
      <w:pPr>
        <w:pStyle w:val="Nivel1SM"/>
        <w:keepNext/>
        <w:spacing w:before="0" w:after="0"/>
      </w:pPr>
      <w:r>
        <w:t xml:space="preserve">Las crisis del petróleo se manifiestan con especial virulencia en España y una de las causas residía </w:t>
      </w:r>
      <w:r w:rsidR="00E178D4">
        <w:t xml:space="preserve">precisamente </w:t>
      </w:r>
      <w:r>
        <w:t xml:space="preserve">en </w:t>
      </w:r>
      <w:r w:rsidR="00E178D4">
        <w:t>los coeficientes de inversión obligatoria</w:t>
      </w:r>
      <w:r w:rsidR="00C87B3D">
        <w:t>.</w:t>
      </w:r>
    </w:p>
    <w:p w14:paraId="0C05BB30" w14:textId="60A67AD7" w:rsidR="00A20739" w:rsidRPr="00A20739" w:rsidRDefault="00C87B3D" w:rsidP="00C87B3D">
      <w:pPr>
        <w:pStyle w:val="Nivel2SM"/>
      </w:pPr>
      <w:r>
        <w:t xml:space="preserve">En aquel momento </w:t>
      </w:r>
      <w:r w:rsidR="00A20739">
        <w:t>la intervención de las AAPP del sector financiero</w:t>
      </w:r>
      <w:r>
        <w:t xml:space="preserve"> quedaba </w:t>
      </w:r>
      <w:r w:rsidR="00A20739">
        <w:t>regulad</w:t>
      </w:r>
      <w:r>
        <w:t>a</w:t>
      </w:r>
      <w:r w:rsidR="00A20739">
        <w:t xml:space="preserve"> en la </w:t>
      </w:r>
      <w:r w:rsidR="00A20739" w:rsidRPr="00581DD5">
        <w:rPr>
          <w:i/>
          <w:iCs/>
          <w:u w:val="single"/>
        </w:rPr>
        <w:t>Ley de Bases de Ordenación del Crédito y la Banca</w:t>
      </w:r>
      <w:r w:rsidR="00A20739">
        <w:t xml:space="preserve"> (1962).</w:t>
      </w:r>
    </w:p>
    <w:p w14:paraId="048A0127" w14:textId="0B9A288A" w:rsidR="009F1CFA" w:rsidRPr="00C045F9" w:rsidRDefault="009F1CFA" w:rsidP="00A13EFE">
      <w:pPr>
        <w:pStyle w:val="Ttulo6"/>
        <w:spacing w:before="0"/>
      </w:pPr>
      <w:bookmarkStart w:id="36" w:name="_Toc178010320"/>
      <w:r w:rsidRPr="00C045F9">
        <w:lastRenderedPageBreak/>
        <w:t>Liberalización</w:t>
      </w:r>
      <w:bookmarkEnd w:id="36"/>
    </w:p>
    <w:p w14:paraId="3D5AF635" w14:textId="2DA19622" w:rsidR="00EA61B2" w:rsidRPr="00C045F9" w:rsidRDefault="001202A6" w:rsidP="00B7133A">
      <w:pPr>
        <w:pStyle w:val="Nivel2SM"/>
        <w:keepNext/>
        <w:spacing w:after="0"/>
      </w:pPr>
      <w:r w:rsidRPr="00C045F9">
        <w:t xml:space="preserve">Por ello, desde finales de los 70 tiene lugar un </w:t>
      </w:r>
      <w:r w:rsidRPr="00581DD5">
        <w:rPr>
          <w:i/>
          <w:iCs/>
          <w:u w:val="single"/>
        </w:rPr>
        <w:t>intenso proceso</w:t>
      </w:r>
      <w:r w:rsidR="00581DD5" w:rsidRPr="00581DD5">
        <w:rPr>
          <w:i/>
          <w:iCs/>
          <w:u w:val="single"/>
        </w:rPr>
        <w:t xml:space="preserve"> de reformas</w:t>
      </w:r>
      <w:r w:rsidRPr="00C045F9">
        <w:t xml:space="preserve"> destinad</w:t>
      </w:r>
      <w:r w:rsidR="00581DD5">
        <w:t>as</w:t>
      </w:r>
      <w:r w:rsidRPr="00C045F9">
        <w:t xml:space="preserve"> a introducir una </w:t>
      </w:r>
      <w:r w:rsidRPr="002C6417">
        <w:rPr>
          <w:i/>
          <w:iCs/>
        </w:rPr>
        <w:t>mayor competencia</w:t>
      </w:r>
      <w:r w:rsidRPr="00581DD5">
        <w:t xml:space="preserve"> y </w:t>
      </w:r>
      <w:r w:rsidRPr="002C6417">
        <w:rPr>
          <w:i/>
          <w:iCs/>
        </w:rPr>
        <w:t>mejorar la eficiencia asignativa</w:t>
      </w:r>
      <w:r w:rsidRPr="00C045F9">
        <w:t>.</w:t>
      </w:r>
    </w:p>
    <w:p w14:paraId="1BB6398E" w14:textId="6A33BA30" w:rsidR="00B7133A" w:rsidRDefault="00835182" w:rsidP="00B7133A">
      <w:pPr>
        <w:pStyle w:val="Nivel3SM"/>
        <w:keepNext/>
      </w:pPr>
      <w:r w:rsidRPr="00C045F9">
        <w:t xml:space="preserve">Caben destacar </w:t>
      </w:r>
      <w:r w:rsidRPr="002C6417">
        <w:rPr>
          <w:b/>
          <w:bCs/>
        </w:rPr>
        <w:t>4</w:t>
      </w:r>
      <w:r w:rsidR="00B7133A" w:rsidRPr="002C6417">
        <w:rPr>
          <w:b/>
          <w:bCs/>
        </w:rPr>
        <w:t> </w:t>
      </w:r>
      <w:r w:rsidRPr="002C6417">
        <w:rPr>
          <w:b/>
          <w:bCs/>
        </w:rPr>
        <w:t>reformas</w:t>
      </w:r>
      <w:r w:rsidRPr="00C045F9">
        <w:t xml:space="preserve"> clave</w:t>
      </w:r>
      <w:r w:rsidR="008C1FC6">
        <w:rPr>
          <w:rStyle w:val="Refdenotaalpie"/>
        </w:rPr>
        <w:footnoteReference w:id="13"/>
      </w:r>
      <w:r w:rsidRPr="00C045F9">
        <w:t>:</w:t>
      </w:r>
    </w:p>
    <w:p w14:paraId="1338C6CE" w14:textId="49D2DC80" w:rsidR="00B7133A" w:rsidRDefault="00B7133A" w:rsidP="00290B06">
      <w:pPr>
        <w:pStyle w:val="Nivel4"/>
        <w:keepNext/>
        <w:ind w:left="1474"/>
      </w:pPr>
      <w:r>
        <w:t>L</w:t>
      </w:r>
      <w:r w:rsidR="00835182" w:rsidRPr="00C045F9">
        <w:t xml:space="preserve">a reforma de </w:t>
      </w:r>
      <w:r w:rsidR="00835182" w:rsidRPr="00B7133A">
        <w:rPr>
          <w:smallCaps/>
        </w:rPr>
        <w:t xml:space="preserve">Barrera de </w:t>
      </w:r>
      <w:proofErr w:type="spellStart"/>
      <w:r w:rsidR="00835182" w:rsidRPr="00B7133A">
        <w:rPr>
          <w:smallCaps/>
        </w:rPr>
        <w:t>Irimo</w:t>
      </w:r>
      <w:proofErr w:type="spellEnd"/>
      <w:r w:rsidR="00835182" w:rsidRPr="00C045F9">
        <w:t xml:space="preserve"> de 1974</w:t>
      </w:r>
      <w:r w:rsidR="002C6417">
        <w:t>;</w:t>
      </w:r>
    </w:p>
    <w:p w14:paraId="5C06016D" w14:textId="7505D089" w:rsidR="00B7133A" w:rsidRDefault="00B7133A" w:rsidP="00290B06">
      <w:pPr>
        <w:pStyle w:val="Nivel4"/>
        <w:keepNext/>
        <w:ind w:left="1474"/>
      </w:pPr>
      <w:r>
        <w:t>L</w:t>
      </w:r>
      <w:r w:rsidR="00835182" w:rsidRPr="00C045F9">
        <w:t xml:space="preserve">a reforma de </w:t>
      </w:r>
      <w:r w:rsidR="00835182" w:rsidRPr="00B7133A">
        <w:rPr>
          <w:smallCaps/>
        </w:rPr>
        <w:t>Fuentes Quintana</w:t>
      </w:r>
      <w:r w:rsidR="00835182" w:rsidRPr="00C045F9">
        <w:t xml:space="preserve"> de 1977</w:t>
      </w:r>
      <w:r w:rsidR="002C6417">
        <w:t>;</w:t>
      </w:r>
    </w:p>
    <w:p w14:paraId="106A6982" w14:textId="77777777" w:rsidR="00B7133A" w:rsidRDefault="00B7133A" w:rsidP="00290B06">
      <w:pPr>
        <w:pStyle w:val="Nivel4"/>
        <w:keepNext/>
        <w:ind w:left="1474"/>
      </w:pPr>
      <w:r>
        <w:t>L</w:t>
      </w:r>
      <w:r w:rsidR="00835182" w:rsidRPr="00C045F9">
        <w:t>a reforma de 1981</w:t>
      </w:r>
      <w:r>
        <w:t xml:space="preserve">; </w:t>
      </w:r>
      <w:r w:rsidR="00835182" w:rsidRPr="00C045F9">
        <w:t>y</w:t>
      </w:r>
    </w:p>
    <w:p w14:paraId="63DAE5A2" w14:textId="3E6424E3" w:rsidR="00024DA2" w:rsidRPr="00C045F9" w:rsidRDefault="00B7133A" w:rsidP="00B7133A">
      <w:pPr>
        <w:pStyle w:val="Nivel4"/>
        <w:ind w:left="1474"/>
      </w:pPr>
      <w:r>
        <w:t>L</w:t>
      </w:r>
      <w:r w:rsidR="00835182" w:rsidRPr="00C045F9">
        <w:t>a reforma de 1985.</w:t>
      </w:r>
    </w:p>
    <w:p w14:paraId="59FEE631" w14:textId="6A5FF706" w:rsidR="009F1CFA" w:rsidRPr="00C045F9" w:rsidRDefault="009F1CFA" w:rsidP="00A9777D">
      <w:pPr>
        <w:pStyle w:val="Ttulo6"/>
      </w:pPr>
      <w:bookmarkStart w:id="37" w:name="_Toc178010321"/>
      <w:r w:rsidRPr="00C045F9">
        <w:t>Crisis</w:t>
      </w:r>
      <w:r w:rsidR="00980B22">
        <w:t xml:space="preserve"> bancaria 1977-1985</w:t>
      </w:r>
      <w:bookmarkEnd w:id="37"/>
    </w:p>
    <w:p w14:paraId="7339730C" w14:textId="3AA44E02" w:rsidR="00B75BD0" w:rsidRDefault="00522385" w:rsidP="00B75BD0">
      <w:pPr>
        <w:pStyle w:val="Nivel2SM"/>
        <w:keepNext/>
        <w:spacing w:after="0"/>
      </w:pPr>
      <w:r w:rsidRPr="00C045F9">
        <w:t>No obstante</w:t>
      </w:r>
      <w:r w:rsidR="004C033C">
        <w:t>,</w:t>
      </w:r>
      <w:r w:rsidRPr="00C045F9">
        <w:t xml:space="preserve"> el rápido y amplio proceso de liberalización </w:t>
      </w:r>
      <w:r w:rsidR="004C033C" w:rsidRPr="004C033C">
        <w:rPr>
          <w:bCs/>
        </w:rPr>
        <w:t>no</w:t>
      </w:r>
      <w:r w:rsidRPr="00C045F9">
        <w:t xml:space="preserve"> fue acompañad</w:t>
      </w:r>
      <w:r w:rsidR="00660316">
        <w:t>o</w:t>
      </w:r>
      <w:r w:rsidRPr="00C045F9">
        <w:t xml:space="preserve"> por un proceso de regulación y supe</w:t>
      </w:r>
      <w:r w:rsidRPr="004C033C">
        <w:t>rvisión apropiado</w:t>
      </w:r>
      <w:r w:rsidR="004C033C">
        <w:rPr>
          <w:rStyle w:val="Refdenotaalpie"/>
        </w:rPr>
        <w:footnoteReference w:id="14"/>
      </w:r>
      <w:r w:rsidRPr="004C033C">
        <w:t xml:space="preserve"> lo que llevó a la mayor crisis bancaria conocida hasta entonces</w:t>
      </w:r>
      <w:r w:rsidR="00B75BD0">
        <w:t xml:space="preserve"> con duras consecuencias:</w:t>
      </w:r>
    </w:p>
    <w:p w14:paraId="1F232435" w14:textId="1B946325" w:rsidR="00B75BD0" w:rsidRPr="007E7408" w:rsidRDefault="00B75BD0" w:rsidP="00B75BD0">
      <w:pPr>
        <w:pStyle w:val="Nivel3SM"/>
        <w:rPr>
          <w:spacing w:val="-2"/>
        </w:rPr>
      </w:pPr>
      <w:r w:rsidRPr="007E7408">
        <w:rPr>
          <w:spacing w:val="-2"/>
        </w:rPr>
        <w:t>Esta crisis afectó a numerosas empresas de las que los bancos eran acreedores y en muchos casos accionistas, iniciándose así un círculo vicioso que afectó a 58 bancos (52 % del total) que representaban el 27 % de la dimensión económica del sector. Nada más iniciarse la crisis y para proteger a los ahorradores particulares se creó el Fondo de Garantía de Depósitos.</w:t>
      </w:r>
    </w:p>
    <w:p w14:paraId="661EAC50" w14:textId="1AA15B3B" w:rsidR="00B2132D" w:rsidRDefault="00B75BD0" w:rsidP="00B75BD0">
      <w:pPr>
        <w:pStyle w:val="Nivel3SM"/>
      </w:pPr>
      <w:r>
        <w:t>R</w:t>
      </w:r>
      <w:r w:rsidR="00835182" w:rsidRPr="00C045F9">
        <w:t xml:space="preserve">eestructuración del sistema (proceso de concentración </w:t>
      </w:r>
      <w:r>
        <w:t>mediante fusiones bancarias</w:t>
      </w:r>
      <w:r w:rsidR="00835182" w:rsidRPr="00C045F9">
        <w:t>).</w:t>
      </w:r>
    </w:p>
    <w:p w14:paraId="7D981163" w14:textId="75C6B43A" w:rsidR="00B75BD0" w:rsidRDefault="00B75BD0" w:rsidP="00B75BD0">
      <w:pPr>
        <w:pStyle w:val="Nivel3SM"/>
      </w:pPr>
      <w:r>
        <w:t>Acrecentó el papel de las cajas en nuestro sector financiero.</w:t>
      </w:r>
    </w:p>
    <w:p w14:paraId="4E8DC59A" w14:textId="74F05099" w:rsidR="00D1303F" w:rsidRPr="0009367D" w:rsidRDefault="00CE240D" w:rsidP="00CA3371">
      <w:pPr>
        <w:pStyle w:val="Ttulo3"/>
      </w:pPr>
      <w:bookmarkStart w:id="38" w:name="_Toc178010322"/>
      <w:r w:rsidRPr="00C045F9">
        <w:t>Desde la Adhesión</w:t>
      </w:r>
      <w:r w:rsidR="00A311B2" w:rsidRPr="00C045F9">
        <w:t xml:space="preserve"> en 1986</w:t>
      </w:r>
      <w:r w:rsidRPr="00C045F9">
        <w:t xml:space="preserve"> hasta 2007</w:t>
      </w:r>
      <w:bookmarkEnd w:id="38"/>
    </w:p>
    <w:p w14:paraId="17BA20A0" w14:textId="4F166ECB" w:rsidR="00CE240D" w:rsidRPr="00C045F9" w:rsidRDefault="00CE240D" w:rsidP="00B7133A">
      <w:pPr>
        <w:pStyle w:val="Nivel2SM"/>
        <w:keepNext/>
        <w:spacing w:after="0"/>
      </w:pPr>
      <w:r w:rsidRPr="00C045F9">
        <w:t>La Adhesión a la CEE en 1986 y la posterior integración en la UEM en 1999 ha supuesto profundos cambios en 3</w:t>
      </w:r>
      <w:r w:rsidR="00B7133A">
        <w:t> </w:t>
      </w:r>
      <w:r w:rsidRPr="00C045F9">
        <w:t>áreas fundamentales:</w:t>
      </w:r>
    </w:p>
    <w:p w14:paraId="5A82693F" w14:textId="3BE8F0CA" w:rsidR="00A311B2" w:rsidRPr="00C045F9" w:rsidRDefault="000A5A18" w:rsidP="00B7133A">
      <w:pPr>
        <w:pStyle w:val="Nivel3SM"/>
      </w:pPr>
      <w:r>
        <w:t>R</w:t>
      </w:r>
      <w:r w:rsidR="00A311B2" w:rsidRPr="00C045F9">
        <w:t>eforma del sistema financiero.</w:t>
      </w:r>
    </w:p>
    <w:p w14:paraId="5646AA6D" w14:textId="60AB7FE8" w:rsidR="009818DF" w:rsidRDefault="00CE240D" w:rsidP="00B7133A">
      <w:pPr>
        <w:pStyle w:val="Nivel3SM"/>
      </w:pPr>
      <w:r w:rsidRPr="00C045F9">
        <w:t>El desarrollo de los mercados financieros.</w:t>
      </w:r>
    </w:p>
    <w:p w14:paraId="00ACED48" w14:textId="77777777" w:rsidR="007A5A52" w:rsidRPr="00C045F9" w:rsidRDefault="007A5A52" w:rsidP="007A5A52">
      <w:pPr>
        <w:pStyle w:val="Nivel3SM"/>
      </w:pPr>
      <w:r w:rsidRPr="00C045F9">
        <w:t xml:space="preserve">La gestión de la </w:t>
      </w:r>
      <w:r>
        <w:t>política monetaria</w:t>
      </w:r>
      <w:r w:rsidRPr="00C045F9">
        <w:t>.</w:t>
      </w:r>
    </w:p>
    <w:p w14:paraId="0D1034ED" w14:textId="48CCCB8D" w:rsidR="00A311B2" w:rsidRPr="00C045F9" w:rsidRDefault="00A311B2" w:rsidP="0009367D">
      <w:pPr>
        <w:pStyle w:val="Ttulo6"/>
      </w:pPr>
      <w:bookmarkStart w:id="39" w:name="_Toc178010323"/>
      <w:r w:rsidRPr="00C045F9">
        <w:t>Reforma del sistema financiero</w:t>
      </w:r>
      <w:bookmarkEnd w:id="39"/>
    </w:p>
    <w:p w14:paraId="41CB1F2C" w14:textId="1DC61A66" w:rsidR="00A311B2" w:rsidRPr="00C045F9" w:rsidRDefault="00A311B2" w:rsidP="009F03BF">
      <w:pPr>
        <w:pStyle w:val="Nivel2SM"/>
        <w:keepNext/>
        <w:spacing w:after="0"/>
      </w:pPr>
      <w:r w:rsidRPr="00C045F9">
        <w:t xml:space="preserve">La </w:t>
      </w:r>
      <w:r w:rsidRPr="000E2105">
        <w:rPr>
          <w:b/>
          <w:bCs/>
        </w:rPr>
        <w:t>reforma del sistema financiero</w:t>
      </w:r>
      <w:r w:rsidRPr="00C045F9">
        <w:t xml:space="preserve"> se dio en </w:t>
      </w:r>
      <w:r w:rsidR="000E2105">
        <w:t>3 </w:t>
      </w:r>
      <w:r w:rsidRPr="00C045F9">
        <w:t>ámbitos</w:t>
      </w:r>
      <w:r w:rsidR="000E2105">
        <w:t>:</w:t>
      </w:r>
    </w:p>
    <w:p w14:paraId="1089950C" w14:textId="48FBD791" w:rsidR="00A311B2" w:rsidRDefault="00A311B2" w:rsidP="000E2105">
      <w:pPr>
        <w:pStyle w:val="Nivel3SM"/>
      </w:pPr>
      <w:r w:rsidRPr="000E2105">
        <w:rPr>
          <w:i/>
          <w:iCs/>
          <w:u w:val="single"/>
        </w:rPr>
        <w:t>Armonización de la legislación</w:t>
      </w:r>
      <w:r w:rsidR="000E2105">
        <w:t xml:space="preserve">: </w:t>
      </w:r>
      <w:r w:rsidRPr="00C045F9">
        <w:t xml:space="preserve">Sobre todo financiera, destacando el conocido como </w:t>
      </w:r>
      <w:r w:rsidRPr="000E2105">
        <w:rPr>
          <w:b/>
        </w:rPr>
        <w:t>“pasaporte europeo”,</w:t>
      </w:r>
      <w:r w:rsidRPr="00C045F9">
        <w:t xml:space="preserve"> según el cual las entidades de crédito que estén establecidas en un país miembro </w:t>
      </w:r>
      <w:r w:rsidRPr="000E2105">
        <w:rPr>
          <w:b/>
        </w:rPr>
        <w:t>pueden operar en otros países sin necesidad de autorización previa</w:t>
      </w:r>
      <w:r w:rsidRPr="00C045F9">
        <w:t>.</w:t>
      </w:r>
    </w:p>
    <w:p w14:paraId="106C669D" w14:textId="77777777" w:rsidR="000F7159" w:rsidRPr="00C045F9" w:rsidRDefault="000F7159" w:rsidP="000F7159">
      <w:pPr>
        <w:pStyle w:val="Nivel3SM"/>
        <w:keepNext/>
      </w:pPr>
      <w:r w:rsidRPr="000E2105">
        <w:rPr>
          <w:i/>
          <w:iCs/>
          <w:u w:val="single"/>
        </w:rPr>
        <w:t>Mayor competencia</w:t>
      </w:r>
      <w:r>
        <w:t>:</w:t>
      </w:r>
    </w:p>
    <w:p w14:paraId="29A959D2" w14:textId="14509846" w:rsidR="000F7159" w:rsidRPr="00C045F9" w:rsidRDefault="002F7412" w:rsidP="000F7159">
      <w:pPr>
        <w:pStyle w:val="Nivel4"/>
        <w:ind w:left="1474"/>
      </w:pPr>
      <w:r>
        <w:t>A nivel interno, d</w:t>
      </w:r>
      <w:r w:rsidR="000F7159" w:rsidRPr="00C045F9">
        <w:t>estaca la eliminación de los límites a la expansión geográfica y operativa de las Cajas de Ahorro</w:t>
      </w:r>
      <w:r w:rsidR="009E25CF">
        <w:rPr>
          <w:rStyle w:val="Refdenotaalpie"/>
        </w:rPr>
        <w:footnoteReference w:id="15"/>
      </w:r>
      <w:r w:rsidR="000F7159" w:rsidRPr="00C045F9">
        <w:t>.</w:t>
      </w:r>
    </w:p>
    <w:p w14:paraId="60E79D63" w14:textId="2064BAFC" w:rsidR="000F7159" w:rsidRDefault="002F7412" w:rsidP="002F7412">
      <w:pPr>
        <w:pStyle w:val="Nivel4"/>
        <w:keepNext/>
        <w:ind w:left="1474"/>
      </w:pPr>
      <w:r>
        <w:t>A nivel externo, e</w:t>
      </w:r>
      <w:r w:rsidR="000F7159" w:rsidRPr="00C045F9">
        <w:t>n 1992 se permitió el libre establecimiento en España de toda clase de instituciones financieras comunitarias.</w:t>
      </w:r>
    </w:p>
    <w:p w14:paraId="6474219C" w14:textId="73773BC9" w:rsidR="006A5529" w:rsidRPr="0009367D" w:rsidRDefault="006A5529" w:rsidP="002F7412">
      <w:pPr>
        <w:pStyle w:val="Nivel5"/>
        <w:ind w:left="1871"/>
      </w:pPr>
      <w:r>
        <w:t>Como consecuencia se produce una mayor concentración bancaria y una mayor internacionalización (p.ej. Banco Santander y BBVA).</w:t>
      </w:r>
    </w:p>
    <w:p w14:paraId="0927A735" w14:textId="7907EB8E" w:rsidR="00A311B2" w:rsidRPr="00C045F9" w:rsidRDefault="00A311B2" w:rsidP="000E2105">
      <w:pPr>
        <w:pStyle w:val="Nivel3SM"/>
        <w:keepNext/>
      </w:pPr>
      <w:r w:rsidRPr="000E2105">
        <w:rPr>
          <w:i/>
          <w:iCs/>
          <w:u w:val="single"/>
        </w:rPr>
        <w:lastRenderedPageBreak/>
        <w:t>Liberalización</w:t>
      </w:r>
      <w:r w:rsidR="000E2105">
        <w:t>:</w:t>
      </w:r>
    </w:p>
    <w:p w14:paraId="5146586C" w14:textId="77777777" w:rsidR="00A311B2" w:rsidRPr="00C045F9" w:rsidRDefault="00A311B2" w:rsidP="000E2105">
      <w:pPr>
        <w:pStyle w:val="Nivel4"/>
        <w:ind w:left="1474"/>
      </w:pPr>
      <w:r w:rsidRPr="00C045F9">
        <w:t xml:space="preserve">Liberalización total de los </w:t>
      </w:r>
      <w:r w:rsidRPr="00C045F9">
        <w:rPr>
          <w:b/>
        </w:rPr>
        <w:t>tipos de interés</w:t>
      </w:r>
      <w:r w:rsidRPr="00C045F9">
        <w:t xml:space="preserve"> desde 1987 (que da lugar a una guerra del pasivo).</w:t>
      </w:r>
    </w:p>
    <w:p w14:paraId="12BAFB9B" w14:textId="77777777" w:rsidR="00A311B2" w:rsidRPr="00C045F9" w:rsidRDefault="00A311B2" w:rsidP="000E2105">
      <w:pPr>
        <w:pStyle w:val="Nivel4"/>
        <w:ind w:left="1474"/>
      </w:pPr>
      <w:r w:rsidRPr="00C045F9">
        <w:t xml:space="preserve">Eliminación de los </w:t>
      </w:r>
      <w:r w:rsidRPr="00C045F9">
        <w:rPr>
          <w:b/>
        </w:rPr>
        <w:t>coeficientes de inversión obligatoria</w:t>
      </w:r>
      <w:r w:rsidRPr="00C045F9">
        <w:t xml:space="preserve"> en 1992.</w:t>
      </w:r>
    </w:p>
    <w:p w14:paraId="2A533104" w14:textId="0DA98AC7" w:rsidR="00A311B2" w:rsidRPr="00C045F9" w:rsidRDefault="00A311B2" w:rsidP="000E2105">
      <w:pPr>
        <w:pStyle w:val="Nivel4"/>
        <w:ind w:left="1474"/>
      </w:pPr>
      <w:r w:rsidRPr="00C045F9">
        <w:t xml:space="preserve">Reducción progresiva del </w:t>
      </w:r>
      <w:r w:rsidRPr="00C045F9">
        <w:rPr>
          <w:b/>
        </w:rPr>
        <w:t>coeficiente de reservas</w:t>
      </w:r>
      <w:r w:rsidRPr="00C045F9">
        <w:t>: del 17</w:t>
      </w:r>
      <w:r w:rsidR="00165C36">
        <w:t> %</w:t>
      </w:r>
      <w:r w:rsidRPr="00C045F9">
        <w:t xml:space="preserve"> en 1986 al 2</w:t>
      </w:r>
      <w:r w:rsidR="00165C36">
        <w:t> %</w:t>
      </w:r>
      <w:r w:rsidRPr="00C045F9">
        <w:t xml:space="preserve"> en 1992.</w:t>
      </w:r>
    </w:p>
    <w:p w14:paraId="3B8CC3F0" w14:textId="09E9AC65" w:rsidR="000F2CD0" w:rsidRPr="0009367D" w:rsidRDefault="00661E7C" w:rsidP="0009367D">
      <w:pPr>
        <w:pStyle w:val="Ttulo6"/>
      </w:pPr>
      <w:bookmarkStart w:id="40" w:name="_Toc178010324"/>
      <w:r>
        <w:t>D</w:t>
      </w:r>
      <w:r w:rsidR="00C1557F" w:rsidRPr="00C045F9">
        <w:t>esarrollo de los mercados financieros</w:t>
      </w:r>
      <w:bookmarkEnd w:id="40"/>
    </w:p>
    <w:p w14:paraId="22459B11" w14:textId="497F3B87" w:rsidR="00162CD6" w:rsidRPr="00C045F9" w:rsidRDefault="00162CD6" w:rsidP="009F03BF">
      <w:pPr>
        <w:pStyle w:val="Nivel2SM"/>
        <w:keepNext/>
        <w:spacing w:after="0"/>
      </w:pPr>
      <w:r w:rsidRPr="00C045F9">
        <w:t>Al fuerte desarrollo de los mercados financieros contribuyeron:</w:t>
      </w:r>
    </w:p>
    <w:p w14:paraId="0401C8AA" w14:textId="4FB36806" w:rsidR="00162CD6" w:rsidRPr="009F03BF" w:rsidRDefault="00162CD6" w:rsidP="009F03BF">
      <w:pPr>
        <w:pStyle w:val="Nivel3SM"/>
      </w:pPr>
      <w:r w:rsidRPr="009F03BF">
        <w:rPr>
          <w:i/>
          <w:iCs/>
          <w:u w:val="single"/>
        </w:rPr>
        <w:t>R</w:t>
      </w:r>
      <w:r w:rsidR="00A311B2" w:rsidRPr="009F03BF">
        <w:rPr>
          <w:i/>
          <w:iCs/>
          <w:u w:val="single"/>
        </w:rPr>
        <w:t xml:space="preserve">eal </w:t>
      </w:r>
      <w:r w:rsidRPr="009F03BF">
        <w:rPr>
          <w:i/>
          <w:iCs/>
          <w:u w:val="single"/>
        </w:rPr>
        <w:t>D</w:t>
      </w:r>
      <w:r w:rsidR="00A311B2" w:rsidRPr="009F03BF">
        <w:rPr>
          <w:i/>
          <w:iCs/>
          <w:u w:val="single"/>
        </w:rPr>
        <w:t>ecreto</w:t>
      </w:r>
      <w:r w:rsidRPr="009F03BF">
        <w:rPr>
          <w:i/>
          <w:iCs/>
          <w:u w:val="single"/>
        </w:rPr>
        <w:t xml:space="preserve"> sobre Inversiones Extranjeras en España</w:t>
      </w:r>
      <w:r w:rsidR="00D03982" w:rsidRPr="009F03BF">
        <w:t xml:space="preserve">: </w:t>
      </w:r>
      <w:r w:rsidRPr="009F03BF">
        <w:t xml:space="preserve">Implica la plena </w:t>
      </w:r>
      <w:r w:rsidR="00C1557F" w:rsidRPr="009F03BF">
        <w:t xml:space="preserve">eliminación de las restricciones a la </w:t>
      </w:r>
      <w:r w:rsidR="00115C84">
        <w:t>libre circulación de capitales</w:t>
      </w:r>
      <w:r w:rsidR="00C1557F" w:rsidRPr="009F03BF">
        <w:t>, culminada en España.</w:t>
      </w:r>
      <w:r w:rsidR="009F03BF" w:rsidRPr="009F03BF">
        <w:t xml:space="preserve"> </w:t>
      </w:r>
      <w:r w:rsidRPr="009F03BF">
        <w:t>La liberalización alcanzó, además, a las transacciones con todos los países, y no solo con los comunitarios, de forma que España fue más allá de sus compromisos adquiridos.</w:t>
      </w:r>
    </w:p>
    <w:p w14:paraId="4DE470AC" w14:textId="3B1F9383" w:rsidR="00AC3A2D" w:rsidRPr="009F03BF" w:rsidRDefault="00162CD6" w:rsidP="009F03BF">
      <w:pPr>
        <w:pStyle w:val="Nivel3SM"/>
      </w:pPr>
      <w:r w:rsidRPr="009F03BF">
        <w:rPr>
          <w:i/>
          <w:iCs/>
          <w:u w:val="single"/>
        </w:rPr>
        <w:t>Ley del mercado de valores 1988</w:t>
      </w:r>
      <w:r w:rsidRPr="009F03BF">
        <w:t xml:space="preserve"> (vigente hasta 2015)</w:t>
      </w:r>
      <w:r w:rsidR="009F03BF" w:rsidRPr="009F03BF">
        <w:t xml:space="preserve">: </w:t>
      </w:r>
      <w:r w:rsidRPr="009F03BF">
        <w:t>Gracias a ella y a sus sucesivas reformas se reforzaron las medidas dirigidas a la protección de los inversores; y se mejoró enormemente la supervisión de los mercados, creándose la CNMV.</w:t>
      </w:r>
    </w:p>
    <w:p w14:paraId="0E470DCE" w14:textId="7856B6B3" w:rsidR="00CA4F2A" w:rsidRPr="009F03BF" w:rsidRDefault="00024DA2" w:rsidP="009F03BF">
      <w:pPr>
        <w:pStyle w:val="Nivel3SM"/>
      </w:pPr>
      <w:r w:rsidRPr="009F03BF">
        <w:rPr>
          <w:i/>
          <w:iCs/>
          <w:u w:val="single"/>
        </w:rPr>
        <w:t>Mercado Continuo e IBEX</w:t>
      </w:r>
      <w:r w:rsidR="00C71420">
        <w:rPr>
          <w:i/>
          <w:iCs/>
          <w:u w:val="single"/>
        </w:rPr>
        <w:t>-</w:t>
      </w:r>
      <w:r w:rsidRPr="009F03BF">
        <w:rPr>
          <w:i/>
          <w:iCs/>
          <w:u w:val="single"/>
        </w:rPr>
        <w:t>35</w:t>
      </w:r>
      <w:r w:rsidR="009F03BF" w:rsidRPr="009F03BF">
        <w:t xml:space="preserve">: </w:t>
      </w:r>
      <w:r w:rsidR="00162CD6" w:rsidRPr="009F03BF">
        <w:t>Por último</w:t>
      </w:r>
      <w:r w:rsidR="00C87831">
        <w:t>,</w:t>
      </w:r>
      <w:r w:rsidR="00162CD6" w:rsidRPr="009F03BF">
        <w:t xml:space="preserve"> también </w:t>
      </w:r>
      <w:r w:rsidR="00C87831" w:rsidRPr="009F03BF">
        <w:t xml:space="preserve">contribuyeron </w:t>
      </w:r>
      <w:r w:rsidR="00C87831">
        <w:t xml:space="preserve">al desarrollo de los mercados financieros </w:t>
      </w:r>
      <w:r w:rsidR="00162CD6" w:rsidRPr="009F03BF">
        <w:t>la inauguración del Mercado Continuo en 1988 y la creación del IBEX-35</w:t>
      </w:r>
      <w:r w:rsidR="00C87831" w:rsidRPr="00C87831">
        <w:t xml:space="preserve"> </w:t>
      </w:r>
      <w:r w:rsidR="00C87831" w:rsidRPr="009F03BF">
        <w:t>en 1992</w:t>
      </w:r>
      <w:r w:rsidR="00162CD6" w:rsidRPr="009F03BF">
        <w:t>, principal índice bursátil de referencia de la bolsa española aún vigente en la actualidad.</w:t>
      </w:r>
    </w:p>
    <w:p w14:paraId="058A380E" w14:textId="77777777" w:rsidR="007A5A52" w:rsidRPr="0009367D" w:rsidRDefault="007A5A52" w:rsidP="007A5A52">
      <w:pPr>
        <w:pStyle w:val="Ttulo6"/>
      </w:pPr>
      <w:bookmarkStart w:id="41" w:name="_Toc178010325"/>
      <w:r>
        <w:t>G</w:t>
      </w:r>
      <w:r w:rsidRPr="00C045F9">
        <w:t xml:space="preserve">estión de la </w:t>
      </w:r>
      <w:r>
        <w:t>p</w:t>
      </w:r>
      <w:r w:rsidRPr="00C045F9">
        <w:t xml:space="preserve">olítica </w:t>
      </w:r>
      <w:r>
        <w:t>m</w:t>
      </w:r>
      <w:r w:rsidRPr="00C045F9">
        <w:t>onetaria</w:t>
      </w:r>
      <w:bookmarkEnd w:id="41"/>
    </w:p>
    <w:p w14:paraId="2295217E" w14:textId="77777777" w:rsidR="007A5A52" w:rsidRDefault="007A5A52" w:rsidP="007A5A52">
      <w:pPr>
        <w:pStyle w:val="Nivel2SM"/>
        <w:keepNext/>
        <w:spacing w:after="0"/>
      </w:pPr>
      <w:r w:rsidRPr="00C045F9">
        <w:t>Tras la adhesión a la UEM</w:t>
      </w:r>
      <w:r>
        <w:t>,</w:t>
      </w:r>
      <w:r w:rsidRPr="00C045F9">
        <w:t xml:space="preserve"> la pérdida de la autonomía de la </w:t>
      </w:r>
      <w:r>
        <w:t>política monetaria</w:t>
      </w:r>
      <w:r w:rsidRPr="00C045F9">
        <w:t xml:space="preserve"> provocó a principios de la década de los 2000 una </w:t>
      </w:r>
      <w:r w:rsidRPr="00C045F9">
        <w:rPr>
          <w:b/>
        </w:rPr>
        <w:t>asincronía de ciclos</w:t>
      </w:r>
      <w:r w:rsidRPr="00C045F9">
        <w:t xml:space="preserve">, esto es, para España la política monetaria del BCE fue más expansiva de lo que aconsejaba su perfil cíclico, lo que produjo un </w:t>
      </w:r>
      <w:r w:rsidRPr="00C045F9">
        <w:rPr>
          <w:b/>
        </w:rPr>
        <w:t>sobrecalentamiento</w:t>
      </w:r>
      <w:r w:rsidRPr="00C045F9">
        <w:t xml:space="preserve"> de la economía que se manifestó en una </w:t>
      </w:r>
      <w:r w:rsidRPr="00C045F9">
        <w:rPr>
          <w:b/>
        </w:rPr>
        <w:t>inflación próxima al 4</w:t>
      </w:r>
      <w:r>
        <w:rPr>
          <w:b/>
        </w:rPr>
        <w:t> %</w:t>
      </w:r>
      <w:r w:rsidRPr="00C045F9">
        <w:t xml:space="preserve"> y a una </w:t>
      </w:r>
      <w:r w:rsidRPr="00C045F9">
        <w:rPr>
          <w:b/>
        </w:rPr>
        <w:t>burbuja de crédito</w:t>
      </w:r>
      <w:r w:rsidRPr="00C045F9">
        <w:t xml:space="preserve"> por los reducidos tipos de interés, que condujeron a un </w:t>
      </w:r>
      <w:r w:rsidRPr="00C045F9">
        <w:rPr>
          <w:b/>
        </w:rPr>
        <w:t>boom inmobiliario</w:t>
      </w:r>
      <w:r w:rsidRPr="00C045F9">
        <w:t xml:space="preserve"> y a </w:t>
      </w:r>
      <w:r w:rsidRPr="00C045F9">
        <w:rPr>
          <w:b/>
        </w:rPr>
        <w:t xml:space="preserve">un elevado apalancamiento </w:t>
      </w:r>
      <w:r w:rsidRPr="00C045F9">
        <w:t>el sector privado</w:t>
      </w:r>
      <w:r>
        <w:rPr>
          <w:rStyle w:val="Refdenotaalpie"/>
        </w:rPr>
        <w:footnoteReference w:id="16"/>
      </w:r>
      <w:r w:rsidRPr="00C045F9">
        <w:t>.</w:t>
      </w:r>
    </w:p>
    <w:p w14:paraId="4E329F49" w14:textId="77777777" w:rsidR="007A5A52" w:rsidRDefault="007A5A52" w:rsidP="007A5A52">
      <w:pPr>
        <w:pStyle w:val="Nivel3SM"/>
        <w:keepNext/>
      </w:pPr>
      <w:r>
        <w:t>La entrada en la UEM tuvo numerosas y muy relevantes implicaciones para el sistema bancario español:</w:t>
      </w:r>
    </w:p>
    <w:p w14:paraId="07159C6C" w14:textId="77777777" w:rsidR="007A5A52" w:rsidRDefault="007A5A52" w:rsidP="007A5A52">
      <w:pPr>
        <w:pStyle w:val="Nivel4"/>
        <w:ind w:left="1474"/>
      </w:pPr>
      <w:r>
        <w:t>Participación en el mercado único interbancario y uso del EURIBOR como tipo de interés de referencia.</w:t>
      </w:r>
    </w:p>
    <w:p w14:paraId="631E9A19" w14:textId="77777777" w:rsidR="007A5A52" w:rsidRDefault="007A5A52" w:rsidP="007A5A52">
      <w:pPr>
        <w:pStyle w:val="Nivel4"/>
        <w:ind w:left="1474"/>
      </w:pPr>
      <w:r>
        <w:t>Caída progresiva de los tipos de interés al converger con la media comunitaria.</w:t>
      </w:r>
    </w:p>
    <w:p w14:paraId="280A9A22" w14:textId="77777777" w:rsidR="007A5A52" w:rsidRPr="00C045F9" w:rsidRDefault="007A5A52" w:rsidP="007A5A52">
      <w:pPr>
        <w:pStyle w:val="Nivel4"/>
        <w:ind w:left="1474"/>
      </w:pPr>
      <w:r>
        <w:t>Diversificación de las actividades (caída del peso del negocio bancario tradicional).</w:t>
      </w:r>
    </w:p>
    <w:p w14:paraId="3BB35339" w14:textId="77777777" w:rsidR="00CA3371" w:rsidRDefault="00CA3371" w:rsidP="00CA3371">
      <w:pPr>
        <w:pStyle w:val="Ttulo3"/>
      </w:pPr>
      <w:bookmarkStart w:id="42" w:name="_Toc178010326"/>
      <w:r>
        <w:t>Situación previa a la crisis</w:t>
      </w:r>
      <w:bookmarkEnd w:id="42"/>
    </w:p>
    <w:p w14:paraId="58F36332" w14:textId="3CF75D9E" w:rsidR="00CA3371" w:rsidRDefault="00CA3371" w:rsidP="00CA3371">
      <w:pPr>
        <w:pStyle w:val="Nivel1SM"/>
        <w:keepNext/>
        <w:spacing w:before="0" w:after="0"/>
      </w:pPr>
      <w:r>
        <w:t>Entre 1994 y 2008 se produce un período de 15 años de crecimiento ininterrumpido del PIB, los que da lugar al siguiente cuadro macrofinanciero en España:</w:t>
      </w:r>
    </w:p>
    <w:p w14:paraId="423DBD3D" w14:textId="4F27B83B" w:rsidR="00CA3371" w:rsidRDefault="00CA3371" w:rsidP="00CA3371">
      <w:pPr>
        <w:pStyle w:val="Nivel2SM"/>
        <w:keepNext/>
        <w:spacing w:after="0"/>
      </w:pPr>
      <w:r>
        <w:t>(+):</w:t>
      </w:r>
    </w:p>
    <w:p w14:paraId="3CA2FA4A" w14:textId="77A932EC" w:rsidR="00493D24" w:rsidRDefault="00493D24" w:rsidP="00CA3371">
      <w:pPr>
        <w:pStyle w:val="Nivel3SM"/>
      </w:pPr>
      <w:r>
        <w:t xml:space="preserve">Convergencia del </w:t>
      </w:r>
      <w:r w:rsidRPr="00493D24">
        <w:rPr>
          <w:i/>
          <w:iCs/>
        </w:rPr>
        <w:t>PIB per cápita</w:t>
      </w:r>
      <w:r>
        <w:t xml:space="preserve"> a la media de la UE-1</w:t>
      </w:r>
      <w:r w:rsidR="00AA0CEE">
        <w:t>2</w:t>
      </w:r>
      <w:r>
        <w:t xml:space="preserve"> (era cercano al 75 % en 1986).</w:t>
      </w:r>
    </w:p>
    <w:p w14:paraId="6E8A8E77" w14:textId="4ED781FF" w:rsidR="00CA3371" w:rsidRDefault="00CA3371" w:rsidP="00CA3371">
      <w:pPr>
        <w:pStyle w:val="Nivel3SM"/>
      </w:pPr>
      <w:r>
        <w:t xml:space="preserve">La </w:t>
      </w:r>
      <w:r w:rsidRPr="00CA3371">
        <w:rPr>
          <w:i/>
          <w:iCs/>
        </w:rPr>
        <w:t>deuda pública</w:t>
      </w:r>
      <w:r>
        <w:t xml:space="preserve"> se sitúa en el 35 % del PIB en 2007 (cuando la media europea era del 60 %).</w:t>
      </w:r>
    </w:p>
    <w:p w14:paraId="6601D798" w14:textId="6B21A7B6" w:rsidR="00CA3371" w:rsidRPr="00CA3371" w:rsidRDefault="00CA3371" w:rsidP="00CA3371">
      <w:pPr>
        <w:pStyle w:val="Nivel3SM"/>
      </w:pPr>
      <w:r>
        <w:t xml:space="preserve">La </w:t>
      </w:r>
      <w:r>
        <w:rPr>
          <w:i/>
          <w:iCs/>
        </w:rPr>
        <w:t>tasa de desempleo</w:t>
      </w:r>
      <w:r w:rsidRPr="00CA3371">
        <w:t xml:space="preserve"> era del 8,5 %</w:t>
      </w:r>
      <w:r>
        <w:t xml:space="preserve"> (a priori no es un dato muy positivo, pero sí que lo es teniendo en cuenta la evolución del mercado laboral español </w:t>
      </w:r>
      <w:r w:rsidRPr="00CA3371">
        <w:rPr>
          <w:color w:val="767171" w:themeColor="background2" w:themeShade="80"/>
          <w:sz w:val="19"/>
          <w:szCs w:val="19"/>
        </w:rPr>
        <w:t>[ver tema 4.A.17]</w:t>
      </w:r>
      <w:r>
        <w:t>)</w:t>
      </w:r>
      <w:r w:rsidRPr="00CA3371">
        <w:t>.</w:t>
      </w:r>
    </w:p>
    <w:p w14:paraId="0D2100FC" w14:textId="69C7CD3F" w:rsidR="00CA3371" w:rsidRDefault="00CA3371" w:rsidP="00CA3371">
      <w:pPr>
        <w:pStyle w:val="Nivel2SM"/>
        <w:keepNext/>
        <w:spacing w:after="0"/>
      </w:pPr>
      <w:r>
        <w:t>(−):</w:t>
      </w:r>
    </w:p>
    <w:p w14:paraId="5E645083" w14:textId="2E9D0B7C" w:rsidR="00CA3371" w:rsidRPr="00CA3371" w:rsidRDefault="00CA3371" w:rsidP="00CA3371">
      <w:pPr>
        <w:pStyle w:val="Nivel3SM"/>
      </w:pPr>
      <w:r>
        <w:t xml:space="preserve">Sin embargo, dicho crecimiento económico engendra una serie de </w:t>
      </w:r>
      <w:r w:rsidRPr="00CA3371">
        <w:rPr>
          <w:i/>
          <w:iCs/>
        </w:rPr>
        <w:t>desequilibrios</w:t>
      </w:r>
      <w:r>
        <w:t xml:space="preserve"> que provocan que la crisis financiera global se manifieste con especial virulencia en España.</w:t>
      </w:r>
    </w:p>
    <w:p w14:paraId="5128B4A5" w14:textId="0B0527D8" w:rsidR="00FE745B" w:rsidRPr="0009367D" w:rsidRDefault="00A13EFE" w:rsidP="00CA3371">
      <w:pPr>
        <w:pStyle w:val="Ttulo2"/>
      </w:pPr>
      <w:bookmarkStart w:id="43" w:name="_Toc178010327"/>
      <w:r w:rsidRPr="00CA3371">
        <w:lastRenderedPageBreak/>
        <w:t>Evolución</w:t>
      </w:r>
      <w:r>
        <w:t xml:space="preserve"> </w:t>
      </w:r>
      <w:r w:rsidRPr="00C045F9">
        <w:t>desde la crisis hasta la actualidad: reestructuración</w:t>
      </w:r>
      <w:bookmarkEnd w:id="43"/>
    </w:p>
    <w:p w14:paraId="09FB3099" w14:textId="2D9F440B" w:rsidR="00DB5FD0" w:rsidRPr="00C045F9" w:rsidRDefault="00DB5FD0" w:rsidP="007F78E9">
      <w:pPr>
        <w:pStyle w:val="Nivel1SM"/>
        <w:keepNext/>
        <w:spacing w:before="0" w:after="0"/>
      </w:pPr>
      <w:r w:rsidRPr="00C045F9">
        <w:t>A la hora de hablar de la crisis</w:t>
      </w:r>
      <w:r w:rsidR="00AA5C56">
        <w:t xml:space="preserve"> financiera internacional</w:t>
      </w:r>
      <w:r w:rsidRPr="00C045F9">
        <w:t>,</w:t>
      </w:r>
      <w:r w:rsidR="00AA5C56">
        <w:t xml:space="preserve"> es habitual mencionar que fue una crisis de </w:t>
      </w:r>
      <w:r w:rsidR="00AA5C56">
        <w:rPr>
          <w:i/>
          <w:iCs/>
        </w:rPr>
        <w:t>“</w:t>
      </w:r>
      <w:proofErr w:type="spellStart"/>
      <w:r w:rsidR="00AA5C56">
        <w:rPr>
          <w:i/>
          <w:iCs/>
        </w:rPr>
        <w:t>double</w:t>
      </w:r>
      <w:proofErr w:type="spellEnd"/>
      <w:r w:rsidR="00AA5C56">
        <w:rPr>
          <w:i/>
          <w:iCs/>
        </w:rPr>
        <w:t xml:space="preserve"> </w:t>
      </w:r>
      <w:proofErr w:type="spellStart"/>
      <w:r w:rsidR="00AA5C56">
        <w:rPr>
          <w:i/>
          <w:iCs/>
        </w:rPr>
        <w:t>dip</w:t>
      </w:r>
      <w:proofErr w:type="spellEnd"/>
      <w:r w:rsidR="00AA5C56">
        <w:rPr>
          <w:i/>
          <w:iCs/>
        </w:rPr>
        <w:t>”</w:t>
      </w:r>
      <w:r w:rsidR="00AA5C56">
        <w:t xml:space="preserve"> o recesión en</w:t>
      </w:r>
      <w:r w:rsidRPr="00C045F9">
        <w:t xml:space="preserve"> </w:t>
      </w:r>
      <w:r w:rsidR="00AA5C56">
        <w:t>forma de “W”. H</w:t>
      </w:r>
      <w:r w:rsidRPr="00C045F9">
        <w:t xml:space="preserve">ay que distinguir entre </w:t>
      </w:r>
      <w:r w:rsidR="00AA5C56">
        <w:rPr>
          <w:b/>
          <w:bCs/>
        </w:rPr>
        <w:t>2 </w:t>
      </w:r>
      <w:r w:rsidRPr="00CA3371">
        <w:rPr>
          <w:b/>
          <w:bCs/>
        </w:rPr>
        <w:t>crisis</w:t>
      </w:r>
      <w:r w:rsidRPr="00C045F9">
        <w:t xml:space="preserve"> que se </w:t>
      </w:r>
      <w:r w:rsidR="00AA5C56">
        <w:t xml:space="preserve">solapan con </w:t>
      </w:r>
      <w:r w:rsidRPr="00C045F9">
        <w:t xml:space="preserve">diferentes </w:t>
      </w:r>
      <w:r w:rsidR="00AA5C56" w:rsidRPr="00C045F9">
        <w:t xml:space="preserve">efectos </w:t>
      </w:r>
      <w:r w:rsidRPr="00C045F9">
        <w:t>sobre el sistema financiero español:</w:t>
      </w:r>
    </w:p>
    <w:p w14:paraId="048421EC" w14:textId="77777777" w:rsidR="00DB5FD0" w:rsidRPr="00C045F9" w:rsidRDefault="00DB5FD0" w:rsidP="007F78E9">
      <w:pPr>
        <w:pStyle w:val="Nivel2SM"/>
      </w:pPr>
      <w:r w:rsidRPr="00C045F9">
        <w:t>Crisis financiera internacional.</w:t>
      </w:r>
    </w:p>
    <w:p w14:paraId="4384C684" w14:textId="029FB55D" w:rsidR="00DB5FD0" w:rsidRPr="0009367D" w:rsidRDefault="00DB5FD0" w:rsidP="007F78E9">
      <w:pPr>
        <w:pStyle w:val="Nivel2SM"/>
      </w:pPr>
      <w:r w:rsidRPr="00C045F9">
        <w:t>Sucesivas crisis de deuda soberana en Europa.</w:t>
      </w:r>
    </w:p>
    <w:p w14:paraId="113991D8" w14:textId="1AA2F889" w:rsidR="00DB5FD0" w:rsidRPr="0009367D" w:rsidRDefault="00DB5FD0" w:rsidP="00CA3371">
      <w:pPr>
        <w:pStyle w:val="Ttulo3"/>
      </w:pPr>
      <w:bookmarkStart w:id="44" w:name="_Toc178010328"/>
      <w:r w:rsidRPr="00C045F9">
        <w:t>Crisis financiera internacional</w:t>
      </w:r>
      <w:bookmarkEnd w:id="44"/>
    </w:p>
    <w:p w14:paraId="2ECF47F8" w14:textId="673B3AEE" w:rsidR="00DB5FD0" w:rsidRDefault="00DB5FD0" w:rsidP="002B462A">
      <w:pPr>
        <w:pStyle w:val="Nivel1SM"/>
        <w:spacing w:before="0"/>
      </w:pPr>
      <w:r w:rsidRPr="00C045F9">
        <w:t xml:space="preserve">Esta crisis se inició en el verano de 2007, pero se agravó con la quiebra de </w:t>
      </w:r>
      <w:r w:rsidRPr="00C045F9">
        <w:rPr>
          <w:b/>
          <w:u w:val="single"/>
        </w:rPr>
        <w:t>Lehman Brothers</w:t>
      </w:r>
      <w:r w:rsidRPr="00C045F9">
        <w:t xml:space="preserve"> en septiembre de 2008. La crisis llevó al colapso a importantes bancos de diversos países, expuestos a las </w:t>
      </w:r>
      <w:r w:rsidRPr="00C045F9">
        <w:rPr>
          <w:b/>
        </w:rPr>
        <w:t>hipotecas subprime</w:t>
      </w:r>
      <w:r w:rsidRPr="00C045F9">
        <w:t>.</w:t>
      </w:r>
    </w:p>
    <w:p w14:paraId="437F649D" w14:textId="1A088F3D" w:rsidR="00CA3371" w:rsidRDefault="00AA5C56" w:rsidP="00A9777D">
      <w:pPr>
        <w:pStyle w:val="Ttulo6"/>
      </w:pPr>
      <w:bookmarkStart w:id="45" w:name="_Toc178010329"/>
      <w:r>
        <w:t>Desequilibrio acumulados</w:t>
      </w:r>
      <w:bookmarkEnd w:id="45"/>
    </w:p>
    <w:p w14:paraId="638E15F7" w14:textId="7E151858" w:rsidR="00460179" w:rsidRPr="00460179" w:rsidRDefault="00460179" w:rsidP="00460179">
      <w:pPr>
        <w:pStyle w:val="Nivel1SM"/>
        <w:keepNext/>
        <w:spacing w:before="0" w:after="0"/>
      </w:pPr>
      <w:r>
        <w:t>Podemos distinguir entre causas comunes a otros países y problemas específicos de España:</w:t>
      </w:r>
    </w:p>
    <w:p w14:paraId="2EFF2FB8" w14:textId="77777777" w:rsidR="00460179" w:rsidRDefault="00CA3371" w:rsidP="00460179">
      <w:pPr>
        <w:pStyle w:val="Ttulo7"/>
        <w:spacing w:before="0"/>
      </w:pPr>
      <w:r>
        <w:t>En común con otro</w:t>
      </w:r>
      <w:r w:rsidR="00460179">
        <w:t>s países</w:t>
      </w:r>
    </w:p>
    <w:p w14:paraId="04279330" w14:textId="18F808B9" w:rsidR="00460179" w:rsidRDefault="0049622C" w:rsidP="0049622C">
      <w:pPr>
        <w:pStyle w:val="Prrafodelista"/>
        <w:numPr>
          <w:ilvl w:val="0"/>
          <w:numId w:val="40"/>
        </w:numPr>
        <w:spacing w:after="100"/>
        <w:ind w:left="568" w:hanging="284"/>
      </w:pPr>
      <w:r>
        <w:rPr>
          <w:i/>
          <w:iCs/>
          <w:u w:val="single"/>
        </w:rPr>
        <w:t>Problemas de regulación bancaria</w:t>
      </w:r>
      <w:r>
        <w:t>: Las Directivas relacionadas con los Acuerdos de Basilea con el fin de exigir mayor capital y nivel de solvencia a los bancos se enfrentan a problemas como la minusvaloración de ciertos riesgos (riesgo de liquidez, visión más global de la asunción de riesgo, riesgo de arbitraje regulatorio…</w:t>
      </w:r>
      <w:r>
        <w:rPr>
          <w:rStyle w:val="Refdenotaalpie"/>
        </w:rPr>
        <w:footnoteReference w:id="17"/>
      </w:r>
      <w:r>
        <w:t>)</w:t>
      </w:r>
      <w:r w:rsidR="007D5FCC">
        <w:t>.</w:t>
      </w:r>
    </w:p>
    <w:p w14:paraId="18D58C21" w14:textId="45621BE3" w:rsidR="0049622C" w:rsidRDefault="0049622C" w:rsidP="00661E7C">
      <w:pPr>
        <w:pStyle w:val="Prrafodelista"/>
        <w:keepNext/>
        <w:numPr>
          <w:ilvl w:val="0"/>
          <w:numId w:val="40"/>
        </w:numPr>
        <w:spacing w:after="0"/>
        <w:ind w:left="568" w:hanging="284"/>
      </w:pPr>
      <w:r>
        <w:rPr>
          <w:i/>
          <w:iCs/>
          <w:u w:val="single"/>
        </w:rPr>
        <w:t>Gran masa de ahorro global, bajos tipos de interés y fallos de diseño en la Eurozona</w:t>
      </w:r>
      <w:r>
        <w:t>:</w:t>
      </w:r>
      <w:r w:rsidR="007D5FCC">
        <w:t xml:space="preserve"> Operan en el mismo sentido: mayor entrada de capitales en España. La política monetaria acomodaticia del BCE genera desequilibrios, pues la política monetaria es demasiado expansiva para países como España debido a la peor coyuntura en Francia, Alemania e Italia (</w:t>
      </w:r>
      <w:proofErr w:type="spellStart"/>
      <w:r w:rsidR="007D5FCC">
        <w:rPr>
          <w:i/>
          <w:iCs/>
        </w:rPr>
        <w:t>one</w:t>
      </w:r>
      <w:proofErr w:type="spellEnd"/>
      <w:r w:rsidR="007D5FCC">
        <w:rPr>
          <w:i/>
          <w:iCs/>
        </w:rPr>
        <w:t xml:space="preserve"> </w:t>
      </w:r>
      <w:proofErr w:type="spellStart"/>
      <w:r w:rsidR="007D5FCC">
        <w:rPr>
          <w:i/>
          <w:iCs/>
        </w:rPr>
        <w:t>size</w:t>
      </w:r>
      <w:proofErr w:type="spellEnd"/>
      <w:r w:rsidR="007D5FCC">
        <w:rPr>
          <w:i/>
          <w:iCs/>
        </w:rPr>
        <w:t xml:space="preserve"> </w:t>
      </w:r>
      <w:proofErr w:type="spellStart"/>
      <w:r w:rsidR="007D5FCC">
        <w:rPr>
          <w:i/>
          <w:iCs/>
        </w:rPr>
        <w:t>does</w:t>
      </w:r>
      <w:proofErr w:type="spellEnd"/>
      <w:r w:rsidR="007D5FCC">
        <w:rPr>
          <w:i/>
          <w:iCs/>
        </w:rPr>
        <w:t xml:space="preserve"> </w:t>
      </w:r>
      <w:proofErr w:type="spellStart"/>
      <w:r w:rsidR="007D5FCC">
        <w:rPr>
          <w:i/>
          <w:iCs/>
        </w:rPr>
        <w:t>not</w:t>
      </w:r>
      <w:proofErr w:type="spellEnd"/>
      <w:r w:rsidR="007D5FCC">
        <w:rPr>
          <w:i/>
          <w:iCs/>
        </w:rPr>
        <w:t xml:space="preserve"> </w:t>
      </w:r>
      <w:proofErr w:type="spellStart"/>
      <w:r w:rsidR="007D5FCC">
        <w:rPr>
          <w:i/>
          <w:iCs/>
        </w:rPr>
        <w:t>fit</w:t>
      </w:r>
      <w:proofErr w:type="spellEnd"/>
      <w:r w:rsidR="007D5FCC">
        <w:rPr>
          <w:i/>
          <w:iCs/>
        </w:rPr>
        <w:t xml:space="preserve"> </w:t>
      </w:r>
      <w:proofErr w:type="spellStart"/>
      <w:r w:rsidR="007D5FCC">
        <w:rPr>
          <w:i/>
          <w:iCs/>
        </w:rPr>
        <w:t>all</w:t>
      </w:r>
      <w:proofErr w:type="spellEnd"/>
      <w:r w:rsidR="007D5FCC">
        <w:t>)</w:t>
      </w:r>
      <w:r w:rsidR="007D5FCC">
        <w:rPr>
          <w:rStyle w:val="Refdenotaalpie"/>
        </w:rPr>
        <w:footnoteReference w:id="18"/>
      </w:r>
      <w:r w:rsidR="007D5FCC">
        <w:t xml:space="preserve">. </w:t>
      </w:r>
    </w:p>
    <w:p w14:paraId="4021F1F3" w14:textId="3FE32189" w:rsidR="00661E7C" w:rsidRDefault="00661E7C" w:rsidP="00661E7C">
      <w:pPr>
        <w:pStyle w:val="Nivel3SM"/>
      </w:pPr>
      <w:r>
        <w:rPr>
          <w:smallCaps/>
        </w:rPr>
        <w:t>Garicano</w:t>
      </w:r>
      <w:r>
        <w:t xml:space="preserve">, </w:t>
      </w:r>
      <w:r w:rsidRPr="005A0E3A">
        <w:rPr>
          <w:smallCaps/>
        </w:rPr>
        <w:t>Fernández-Villaverde</w:t>
      </w:r>
      <w:r>
        <w:t xml:space="preserve"> y </w:t>
      </w:r>
      <w:r>
        <w:rPr>
          <w:smallCaps/>
        </w:rPr>
        <w:t>Tano Santos</w:t>
      </w:r>
      <w:r>
        <w:t xml:space="preserve"> en </w:t>
      </w:r>
      <w:r>
        <w:rPr>
          <w:i/>
          <w:iCs/>
        </w:rPr>
        <w:t>“</w:t>
      </w:r>
      <w:proofErr w:type="spellStart"/>
      <w:r>
        <w:rPr>
          <w:i/>
          <w:iCs/>
        </w:rPr>
        <w:t>Political</w:t>
      </w:r>
      <w:proofErr w:type="spellEnd"/>
      <w:r>
        <w:rPr>
          <w:i/>
          <w:iCs/>
        </w:rPr>
        <w:t xml:space="preserve"> </w:t>
      </w:r>
      <w:proofErr w:type="spellStart"/>
      <w:r>
        <w:rPr>
          <w:i/>
          <w:iCs/>
        </w:rPr>
        <w:t>Credit</w:t>
      </w:r>
      <w:proofErr w:type="spellEnd"/>
      <w:r>
        <w:rPr>
          <w:i/>
          <w:iCs/>
        </w:rPr>
        <w:t xml:space="preserve"> </w:t>
      </w:r>
      <w:proofErr w:type="spellStart"/>
      <w:r>
        <w:rPr>
          <w:i/>
          <w:iCs/>
        </w:rPr>
        <w:t>Cycles</w:t>
      </w:r>
      <w:proofErr w:type="spellEnd"/>
      <w:r>
        <w:rPr>
          <w:i/>
          <w:iCs/>
        </w:rPr>
        <w:t xml:space="preserve">: </w:t>
      </w:r>
      <w:proofErr w:type="spellStart"/>
      <w:r>
        <w:rPr>
          <w:i/>
          <w:iCs/>
        </w:rPr>
        <w:t>The</w:t>
      </w:r>
      <w:proofErr w:type="spellEnd"/>
      <w:r>
        <w:rPr>
          <w:i/>
          <w:iCs/>
        </w:rPr>
        <w:t xml:space="preserve"> Case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Eurozone</w:t>
      </w:r>
      <w:proofErr w:type="spellEnd"/>
      <w:r>
        <w:rPr>
          <w:i/>
          <w:iCs/>
        </w:rPr>
        <w:t>”</w:t>
      </w:r>
      <w:r>
        <w:t xml:space="preserve"> señalan que las mejores condiciones financieras derivadas de la caída de los costes de financiación por una política monetaria acomodaticia del BCE y la eliminación del riesgo de tipo de cambio llevó a una situación de boom económico y a desincentivar en vez de empujar la realización de reformas estructurales. En lugar de mayor disciplina de mercado como señala el Informe Delors en 1989, las condiciones creadas van en contra de la disciplina (no hay incentivos a la reforma institucional sino al derroche de recursos por la mayor recaudación generada).</w:t>
      </w:r>
    </w:p>
    <w:p w14:paraId="403A7689" w14:textId="4D24549B" w:rsidR="001928E5" w:rsidRPr="00460179" w:rsidRDefault="001928E5" w:rsidP="001928E5">
      <w:pPr>
        <w:pStyle w:val="Prrafodelista"/>
        <w:numPr>
          <w:ilvl w:val="0"/>
          <w:numId w:val="40"/>
        </w:numPr>
        <w:spacing w:after="100"/>
        <w:ind w:left="568" w:hanging="284"/>
      </w:pPr>
      <w:r>
        <w:rPr>
          <w:i/>
          <w:iCs/>
          <w:u w:val="single"/>
        </w:rPr>
        <w:t>Riesgo moral</w:t>
      </w:r>
      <w:r>
        <w:t>: Incentivos a la toma</w:t>
      </w:r>
      <w:r w:rsidR="003639E2">
        <w:t xml:space="preserve"> </w:t>
      </w:r>
      <w:r>
        <w:t>de riesgos en las entidades financieras en vistas de una socialización de pérdidas.</w:t>
      </w:r>
    </w:p>
    <w:p w14:paraId="3E72175A" w14:textId="3B0A3BD5" w:rsidR="0049622C" w:rsidRDefault="0049622C" w:rsidP="0049622C">
      <w:pPr>
        <w:pStyle w:val="Prrafodelista"/>
        <w:numPr>
          <w:ilvl w:val="0"/>
          <w:numId w:val="40"/>
        </w:numPr>
        <w:spacing w:after="100"/>
        <w:ind w:left="568" w:hanging="284"/>
      </w:pPr>
      <w:r>
        <w:rPr>
          <w:i/>
          <w:iCs/>
          <w:u w:val="single"/>
        </w:rPr>
        <w:t>Incremento de la incertidumbre</w:t>
      </w:r>
      <w:r>
        <w:t>:</w:t>
      </w:r>
      <w:r w:rsidR="001928E5">
        <w:t xml:space="preserve"> La caída de la actividad económica en 2007 y 2008 y el aumento de la morosidad dieron lugar a una mayor aversión al riesgo y a la paralización de los mercados interbancarios, lo que bloqueó los mecanismos de financiación. La crisis se agrava evidentemente con la crisis de deuda soberana de la zona euro, que encarece mucho el coste de financiación de las entidades bancarias y agrava los problemas.</w:t>
      </w:r>
    </w:p>
    <w:p w14:paraId="0722742B" w14:textId="696625EA" w:rsidR="00CA3371" w:rsidRDefault="00460179" w:rsidP="00E23C68">
      <w:pPr>
        <w:pStyle w:val="Ttulo7"/>
        <w:tabs>
          <w:tab w:val="left" w:pos="3286"/>
        </w:tabs>
      </w:pPr>
      <w:r>
        <w:t>Específicas de España</w:t>
      </w:r>
    </w:p>
    <w:p w14:paraId="300BFCDD" w14:textId="0EAEB448" w:rsidR="00F91983" w:rsidRDefault="00E23C68" w:rsidP="00F91983">
      <w:pPr>
        <w:pStyle w:val="Prrafodelista"/>
        <w:numPr>
          <w:ilvl w:val="0"/>
          <w:numId w:val="41"/>
        </w:numPr>
        <w:spacing w:after="100"/>
        <w:ind w:left="568" w:hanging="284"/>
      </w:pPr>
      <w:r>
        <w:rPr>
          <w:i/>
          <w:iCs/>
          <w:u w:val="single"/>
        </w:rPr>
        <w:t>Desequilibrios en el mercado inmobiliario</w:t>
      </w:r>
      <w:r>
        <w:t>:</w:t>
      </w:r>
      <w:r w:rsidR="00F91983">
        <w:t xml:space="preserve"> Numerosos economistas advirtieron de la burbuja de la construcción. No sólo eso, la Comisión Europea señaló en repetidas ocasiones que el </w:t>
      </w:r>
      <w:r w:rsidR="00F91983">
        <w:lastRenderedPageBreak/>
        <w:t>mercado de la vivienda en España parecía recalentado y que un grave reajuste era posible. Algunos trabajos del Banco de España hablaban de sobrevaloración de la vivienda</w:t>
      </w:r>
      <w:r w:rsidR="00F91983">
        <w:rPr>
          <w:rStyle w:val="Refdenotaalpie"/>
        </w:rPr>
        <w:footnoteReference w:id="19"/>
      </w:r>
      <w:r w:rsidR="00F91983">
        <w:t>.</w:t>
      </w:r>
    </w:p>
    <w:p w14:paraId="4A1A2902" w14:textId="25576528" w:rsidR="00E23C68" w:rsidRDefault="00E23C68" w:rsidP="00E23C68">
      <w:pPr>
        <w:pStyle w:val="Prrafodelista"/>
        <w:numPr>
          <w:ilvl w:val="0"/>
          <w:numId w:val="41"/>
        </w:numPr>
        <w:spacing w:after="100"/>
        <w:ind w:left="568" w:hanging="284"/>
      </w:pPr>
      <w:r>
        <w:rPr>
          <w:i/>
          <w:iCs/>
          <w:u w:val="single"/>
        </w:rPr>
        <w:t>Cajas de ahorro</w:t>
      </w:r>
      <w:r>
        <w:t>:</w:t>
      </w:r>
      <w:r w:rsidR="00F91983">
        <w:t xml:space="preserve"> Fue una causa diferencial en la crisis. Se produce una fuerte expansión de la cuota de mercado de las cajas de ahorro, que contaban con una elevada exposición al sector inmobiliario (lo que alentó la burbuja en la construcción) debido al rol crucial de los promotores en instigar la concesión de crédito.</w:t>
      </w:r>
    </w:p>
    <w:p w14:paraId="02B78675" w14:textId="0D46620E" w:rsidR="00E23C68" w:rsidRDefault="00E23C68" w:rsidP="00E23C68">
      <w:pPr>
        <w:pStyle w:val="Prrafodelista"/>
        <w:numPr>
          <w:ilvl w:val="0"/>
          <w:numId w:val="41"/>
        </w:numPr>
        <w:spacing w:after="100"/>
        <w:ind w:left="568" w:hanging="284"/>
      </w:pPr>
      <w:r>
        <w:rPr>
          <w:i/>
          <w:iCs/>
          <w:u w:val="single"/>
        </w:rPr>
        <w:t>Bancos</w:t>
      </w:r>
      <w:r w:rsidRPr="00E23C68">
        <w:t>:</w:t>
      </w:r>
      <w:r w:rsidR="00F91983">
        <w:t xml:space="preserve"> En España, los problemas de incentivos también llegaron a los bancos. Hubo gestores que fueron cesados por la exigencia de seguir una catera de imitación con las cajas de ahorro y llevar una política más agresiva de concesión de crédito para evitar perder cuota de mercado.</w:t>
      </w:r>
    </w:p>
    <w:p w14:paraId="758AAD5D" w14:textId="24E38558" w:rsidR="00E23C68" w:rsidRDefault="00E23C68" w:rsidP="00E23C68">
      <w:pPr>
        <w:pStyle w:val="Prrafodelista"/>
        <w:numPr>
          <w:ilvl w:val="0"/>
          <w:numId w:val="41"/>
        </w:numPr>
        <w:spacing w:after="100"/>
        <w:ind w:left="568" w:hanging="284"/>
      </w:pPr>
      <w:r>
        <w:rPr>
          <w:i/>
          <w:iCs/>
          <w:u w:val="single"/>
        </w:rPr>
        <w:t>Banco de España</w:t>
      </w:r>
      <w:r w:rsidRPr="00E23C68">
        <w:t>:</w:t>
      </w:r>
      <w:r w:rsidR="00847ADC">
        <w:t xml:space="preserve"> Muestra reticencia al afloramiento temprano y creíble de las pérdidas en el sector bancario entre 2008 y 2012. Esperó demasiado en atajar el problema.</w:t>
      </w:r>
    </w:p>
    <w:p w14:paraId="32204C9C" w14:textId="3D4855C9" w:rsidR="00AA4F38" w:rsidRPr="0009367D" w:rsidRDefault="00AA4F38" w:rsidP="00AA5C56">
      <w:pPr>
        <w:pStyle w:val="Ttulo6"/>
      </w:pPr>
      <w:bookmarkStart w:id="46" w:name="_Toc178010330"/>
      <w:r w:rsidRPr="00C045F9">
        <w:t>Crisis económica en España</w:t>
      </w:r>
      <w:bookmarkEnd w:id="46"/>
    </w:p>
    <w:p w14:paraId="00E4C432" w14:textId="0FE695BE" w:rsidR="007F78E9" w:rsidRDefault="007F78E9" w:rsidP="007F78E9">
      <w:pPr>
        <w:pStyle w:val="Ttulo7"/>
        <w:spacing w:before="0"/>
      </w:pPr>
      <w:r>
        <w:t>Descripción: Estallido de la crisis</w:t>
      </w:r>
    </w:p>
    <w:p w14:paraId="63477287" w14:textId="77777777" w:rsidR="007F78E9" w:rsidRDefault="007F78E9" w:rsidP="007F78E9">
      <w:pPr>
        <w:pStyle w:val="Nivel1SM"/>
        <w:keepNext/>
        <w:spacing w:before="0" w:after="0"/>
      </w:pPr>
      <w:r>
        <w:t xml:space="preserve">El inicio de la crisis comienza a visualizarse en 2007 con un </w:t>
      </w:r>
      <w:r w:rsidRPr="00AA5C56">
        <w:rPr>
          <w:i/>
          <w:iCs/>
        </w:rPr>
        <w:t>aumento de las ratios de impago en la economía americana</w:t>
      </w:r>
      <w:r>
        <w:t xml:space="preserve">. Esto lleva al hundimiento de la valoración de los instrumentos de titulización (empezando por los subprime y continuando con tramos más senior), lo que a su vez, provoca el </w:t>
      </w:r>
      <w:r w:rsidRPr="00AA5C56">
        <w:rPr>
          <w:i/>
          <w:iCs/>
        </w:rPr>
        <w:t>estallido de la burbuja inmobiliaria</w:t>
      </w:r>
      <w:r>
        <w:t xml:space="preserve"> y una </w:t>
      </w:r>
      <w:r w:rsidRPr="00AA5C56">
        <w:rPr>
          <w:i/>
          <w:iCs/>
        </w:rPr>
        <w:t>crisis de confianza</w:t>
      </w:r>
      <w:r>
        <w:t xml:space="preserve"> que drena los mercados monetarios con un gran impacto para entidades financieras de tamaño global, llevando a la quiebra de Lehman Brothers en septiembre de 2008.</w:t>
      </w:r>
    </w:p>
    <w:p w14:paraId="47018002" w14:textId="77777777" w:rsidR="007F78E9" w:rsidRDefault="007F78E9" w:rsidP="007F78E9">
      <w:pPr>
        <w:pStyle w:val="Nivel2SM"/>
        <w:keepNext/>
        <w:spacing w:after="0"/>
      </w:pPr>
      <w:r>
        <w:t xml:space="preserve">Las </w:t>
      </w:r>
      <w:r w:rsidRPr="00AA5C56">
        <w:rPr>
          <w:b/>
          <w:bCs/>
        </w:rPr>
        <w:t>crisis financiera</w:t>
      </w:r>
      <w:r>
        <w:t xml:space="preserve"> se convierte en una </w:t>
      </w:r>
      <w:r w:rsidRPr="00AA5C56">
        <w:rPr>
          <w:b/>
          <w:bCs/>
        </w:rPr>
        <w:t>crisis del sector real</w:t>
      </w:r>
      <w:r>
        <w:t xml:space="preserve"> de la economía debido a la contracción de liquidez a nivel global y la consiguiente disminución de la disponibilidad de crédito para los sectores productivos. Esto se manifiesta en:</w:t>
      </w:r>
    </w:p>
    <w:p w14:paraId="1F989F4D" w14:textId="77777777" w:rsidR="007F78E9" w:rsidRDefault="007F78E9" w:rsidP="007F78E9">
      <w:pPr>
        <w:pStyle w:val="Nivel3SM"/>
      </w:pPr>
      <w:r>
        <w:t>Una fuerte caída de los precios de los activos reales y financieros.</w:t>
      </w:r>
    </w:p>
    <w:p w14:paraId="3D2406E5" w14:textId="77777777" w:rsidR="007F78E9" w:rsidRDefault="007F78E9" w:rsidP="007F78E9">
      <w:pPr>
        <w:pStyle w:val="Nivel3SM"/>
      </w:pPr>
      <w:r>
        <w:t>Una fuerte contracción de la producción a nivel global.</w:t>
      </w:r>
    </w:p>
    <w:p w14:paraId="2A294254" w14:textId="77777777" w:rsidR="007F78E9" w:rsidRDefault="007F78E9" w:rsidP="007F78E9">
      <w:pPr>
        <w:pStyle w:val="Nivel3SM"/>
      </w:pPr>
      <w:r>
        <w:t>Una reducción de los flujos comerciales internacionales.</w:t>
      </w:r>
    </w:p>
    <w:p w14:paraId="7D8AC814" w14:textId="77777777" w:rsidR="00B76B91" w:rsidRPr="0009367D" w:rsidRDefault="00B76B91" w:rsidP="00B76B91">
      <w:pPr>
        <w:pStyle w:val="Ttulo7"/>
      </w:pPr>
      <w:r w:rsidRPr="00C045F9">
        <w:t>Impacto</w:t>
      </w:r>
    </w:p>
    <w:p w14:paraId="502A9CC1" w14:textId="77777777" w:rsidR="00B76B91" w:rsidRPr="00C045F9" w:rsidRDefault="00B76B91" w:rsidP="00B76B91">
      <w:pPr>
        <w:pStyle w:val="Nivel2SM"/>
        <w:keepNext/>
        <w:spacing w:after="0"/>
      </w:pPr>
      <w:r w:rsidRPr="00C045F9">
        <w:t>Reducido impacto directo pero importante impacto indirecto:</w:t>
      </w:r>
    </w:p>
    <w:p w14:paraId="0DCC6AC3" w14:textId="77777777" w:rsidR="00B76B91" w:rsidRPr="002B462A" w:rsidRDefault="00B76B91" w:rsidP="00B76B91">
      <w:pPr>
        <w:pStyle w:val="Nivel3SM"/>
        <w:rPr>
          <w:spacing w:val="-2"/>
        </w:rPr>
      </w:pPr>
      <w:r w:rsidRPr="002B462A">
        <w:rPr>
          <w:i/>
          <w:iCs/>
          <w:spacing w:val="-2"/>
          <w:u w:val="single"/>
        </w:rPr>
        <w:t>Impacto directo</w:t>
      </w:r>
      <w:r w:rsidRPr="002B462A">
        <w:rPr>
          <w:spacing w:val="-2"/>
        </w:rPr>
        <w:t>: El impacto directo de esta crisis en la solvencia de la banca española fue limitado, gracias al modelo de negocio de las entidades nacionales (banca tradicional minorista de originar para mantener) y a la exigente regulación y supervisión del Banco de España (p.ej. prohibición de implementación de un modelo de tipo originar para distribuir).</w:t>
      </w:r>
    </w:p>
    <w:p w14:paraId="76287BBA" w14:textId="64BBA90D" w:rsidR="00B76B91" w:rsidRPr="00C045F9" w:rsidRDefault="00B76B91" w:rsidP="00B76B91">
      <w:pPr>
        <w:pStyle w:val="Nivel3SM"/>
        <w:keepNext/>
      </w:pPr>
      <w:r w:rsidRPr="00F06316">
        <w:rPr>
          <w:i/>
          <w:iCs/>
          <w:u w:val="single"/>
        </w:rPr>
        <w:t>Impacto indirecto</w:t>
      </w:r>
      <w:r>
        <w:t xml:space="preserve">: </w:t>
      </w:r>
      <w:r w:rsidRPr="00C045F9">
        <w:t>No obstante</w:t>
      </w:r>
      <w:r>
        <w:t>,</w:t>
      </w:r>
      <w:r w:rsidRPr="00C045F9">
        <w:t xml:space="preserve"> el impacto indirecto de la crisis financiera internacional fue importante</w:t>
      </w:r>
      <w:r>
        <w:t>.</w:t>
      </w:r>
      <w:r w:rsidRPr="00C045F9">
        <w:t xml:space="preserve"> La caída de L</w:t>
      </w:r>
      <w:r>
        <w:t xml:space="preserve">ehman </w:t>
      </w:r>
      <w:r w:rsidRPr="00C045F9">
        <w:t>B</w:t>
      </w:r>
      <w:r>
        <w:t>rothers</w:t>
      </w:r>
      <w:r w:rsidRPr="00C045F9">
        <w:t xml:space="preserve"> generó un problema de </w:t>
      </w:r>
      <w:r w:rsidRPr="005D1A83">
        <w:rPr>
          <w:i/>
          <w:iCs/>
        </w:rPr>
        <w:t>racionamiento de crédito</w:t>
      </w:r>
      <w:r w:rsidRPr="00C045F9">
        <w:t xml:space="preserve"> en los mercados interbancarios, donde éstos representaban la </w:t>
      </w:r>
      <w:r w:rsidRPr="000E2105">
        <w:rPr>
          <w:u w:val="single"/>
        </w:rPr>
        <w:t>principal fuente de financiación del sector financiero nacional</w:t>
      </w:r>
      <w:r w:rsidRPr="00C045F9">
        <w:t>.</w:t>
      </w:r>
    </w:p>
    <w:p w14:paraId="0A1F73F4" w14:textId="2775B2B5" w:rsidR="00B76B91" w:rsidRDefault="00B76B91" w:rsidP="00B76B91">
      <w:pPr>
        <w:pStyle w:val="Nivel4"/>
        <w:ind w:left="1474"/>
      </w:pPr>
      <w:r>
        <w:t>Los bajos tipos de interés antes de la crisis había</w:t>
      </w:r>
      <w:r w:rsidR="00021653">
        <w:t>n</w:t>
      </w:r>
      <w:r>
        <w:t xml:space="preserve"> llevado a un elevado crecimiento de los balances bancarios, especialmente ligados al crecimiento del crédito hipotecario. Las elevadas tasas de creación del crédito, unido al estancamiento de sus fuentes de recursos tradicionales (los depósitos de la población), llevaron a que las entidades españolas buscasen otras fuentes de financiación, fundamentalmente el </w:t>
      </w:r>
      <w:r>
        <w:lastRenderedPageBreak/>
        <w:t>endeudamiento en los mercados de la Eurozona, con el recurso al mercado interbancario europeo</w:t>
      </w:r>
      <w:r>
        <w:rPr>
          <w:rStyle w:val="Refdenotaalpie"/>
        </w:rPr>
        <w:footnoteReference w:id="20"/>
      </w:r>
      <w:r>
        <w:t>.</w:t>
      </w:r>
    </w:p>
    <w:p w14:paraId="73B001F9" w14:textId="77777777" w:rsidR="00B76B91" w:rsidRPr="0009367D" w:rsidRDefault="00B76B91" w:rsidP="00B76B91">
      <w:pPr>
        <w:pStyle w:val="Nivel2SM"/>
      </w:pPr>
      <w:r w:rsidRPr="00C045F9">
        <w:t xml:space="preserve">La congelación de los mercados financieros internacionales </w:t>
      </w:r>
      <w:r w:rsidRPr="00C045F9">
        <w:rPr>
          <w:u w:val="single"/>
        </w:rPr>
        <w:t xml:space="preserve">provocó una </w:t>
      </w:r>
      <w:r w:rsidRPr="00C045F9">
        <w:rPr>
          <w:b/>
          <w:u w:val="single"/>
        </w:rPr>
        <w:t>disminución de la financiación bancaria a sectores clave</w:t>
      </w:r>
      <w:r w:rsidRPr="00C045F9">
        <w:t xml:space="preserve"> del crecimiento nacional como la </w:t>
      </w:r>
      <w:r w:rsidRPr="00C045F9">
        <w:rPr>
          <w:b/>
        </w:rPr>
        <w:t>construcción y la promoción inmobiliaria</w:t>
      </w:r>
      <w:r w:rsidRPr="00C045F9">
        <w:t>.</w:t>
      </w:r>
    </w:p>
    <w:p w14:paraId="247216CF" w14:textId="77777777" w:rsidR="00AA4F38" w:rsidRPr="00C045F9" w:rsidRDefault="00EB180D" w:rsidP="005309C1">
      <w:pPr>
        <w:pStyle w:val="Nivel2SM"/>
        <w:keepNext/>
        <w:spacing w:after="0"/>
      </w:pPr>
      <w:r w:rsidRPr="00C045F9">
        <w:t xml:space="preserve">Y es que el </w:t>
      </w:r>
      <w:r w:rsidRPr="00C045F9">
        <w:rPr>
          <w:b/>
          <w:u w:val="single"/>
        </w:rPr>
        <w:t>racionamiento crediticio</w:t>
      </w:r>
      <w:r w:rsidRPr="00C045F9">
        <w:t xml:space="preserve"> supuso </w:t>
      </w:r>
      <w:r w:rsidR="00C20E6A" w:rsidRPr="00C045F9">
        <w:t xml:space="preserve">el </w:t>
      </w:r>
      <w:r w:rsidR="00C20E6A" w:rsidRPr="00C045F9">
        <w:rPr>
          <w:b/>
        </w:rPr>
        <w:t xml:space="preserve">pinchazo de la burbuja inmobiliaria </w:t>
      </w:r>
      <w:r w:rsidR="00C20E6A" w:rsidRPr="00C045F9">
        <w:t xml:space="preserve">y </w:t>
      </w:r>
      <w:r w:rsidR="00AA4F38" w:rsidRPr="00C045F9">
        <w:t xml:space="preserve">un </w:t>
      </w:r>
      <w:r w:rsidR="00AA4F38" w:rsidRPr="00C045F9">
        <w:rPr>
          <w:u w:val="single"/>
        </w:rPr>
        <w:t>importante deterioro</w:t>
      </w:r>
      <w:r w:rsidR="00AA4F38" w:rsidRPr="00C045F9">
        <w:t xml:space="preserve"> de la calidad de los activos (i.e. morosidad), </w:t>
      </w:r>
      <w:r w:rsidR="00C20E6A" w:rsidRPr="00C045F9">
        <w:t xml:space="preserve">pero </w:t>
      </w:r>
      <w:r w:rsidR="00AA4F38" w:rsidRPr="00C045F9">
        <w:t xml:space="preserve">especialmente de los </w:t>
      </w:r>
      <w:r w:rsidR="00AA4F38" w:rsidRPr="00C045F9">
        <w:rPr>
          <w:b/>
          <w:u w:val="single"/>
        </w:rPr>
        <w:t xml:space="preserve">activos de </w:t>
      </w:r>
      <w:r w:rsidR="00B87BED" w:rsidRPr="00C045F9">
        <w:rPr>
          <w:b/>
          <w:u w:val="single"/>
        </w:rPr>
        <w:t xml:space="preserve">construcción y </w:t>
      </w:r>
      <w:r w:rsidR="00AA4F38" w:rsidRPr="00C045F9">
        <w:rPr>
          <w:b/>
          <w:u w:val="single"/>
        </w:rPr>
        <w:t>promoción inmobiliaria</w:t>
      </w:r>
      <w:r w:rsidR="00AA4F38" w:rsidRPr="00C045F9">
        <w:t>.</w:t>
      </w:r>
    </w:p>
    <w:p w14:paraId="39189D4C" w14:textId="5F99AB83" w:rsidR="00C20E6A" w:rsidRPr="00C045F9" w:rsidRDefault="00AA4F38" w:rsidP="002B462A">
      <w:pPr>
        <w:pStyle w:val="Nivel3SM"/>
      </w:pPr>
      <w:r w:rsidRPr="00C045F9">
        <w:t>En efecto, en contra de lo que se piensa habitualmente, la cartera de hipotecas minoristas de los bancos no fue excesivamente problemática, sino que las dificultades provinieron de la cartera de construcción y promoción inmobiliaria, que perdió valor muy rápidamente.</w:t>
      </w:r>
    </w:p>
    <w:p w14:paraId="7FB2A96E" w14:textId="77777777" w:rsidR="007F78E9" w:rsidRDefault="00B76B91" w:rsidP="00B76B91">
      <w:pPr>
        <w:pStyle w:val="Ttulo7"/>
      </w:pPr>
      <w:r w:rsidRPr="00C045F9">
        <w:t>Medidas</w:t>
      </w:r>
    </w:p>
    <w:p w14:paraId="0E2D6550" w14:textId="3E9BF27E" w:rsidR="00B76B91" w:rsidRPr="00C045F9" w:rsidRDefault="00B76B91" w:rsidP="007F78E9">
      <w:pPr>
        <w:pStyle w:val="Ttulo8"/>
        <w:spacing w:before="0"/>
      </w:pPr>
      <w:r w:rsidRPr="00C045F9">
        <w:t>Fondo de Adquisición de Activos Financieros</w:t>
      </w:r>
    </w:p>
    <w:p w14:paraId="7E946475" w14:textId="77777777" w:rsidR="00B76B91" w:rsidRPr="00C045F9" w:rsidRDefault="00B76B91" w:rsidP="00B76B91">
      <w:pPr>
        <w:pStyle w:val="Nivel2SM"/>
        <w:keepNext/>
        <w:spacing w:after="0"/>
      </w:pPr>
      <w:r w:rsidRPr="00C045F9">
        <w:t xml:space="preserve">Se creó el </w:t>
      </w:r>
      <w:r w:rsidRPr="005309C1">
        <w:rPr>
          <w:i/>
          <w:iCs/>
        </w:rPr>
        <w:t>Fondo de Adquisición de Activos Financieros</w:t>
      </w:r>
      <w:r>
        <w:rPr>
          <w:i/>
          <w:iCs/>
        </w:rPr>
        <w:t xml:space="preserve"> (FAAF)</w:t>
      </w:r>
      <w:r>
        <w:t>.</w:t>
      </w:r>
    </w:p>
    <w:p w14:paraId="1DDED7C3" w14:textId="77777777" w:rsidR="00B76B91" w:rsidRPr="00C045F9" w:rsidRDefault="00B76B91" w:rsidP="00B76B91">
      <w:pPr>
        <w:pStyle w:val="Nivel3SM"/>
      </w:pPr>
      <w:r w:rsidRPr="00C045F9">
        <w:t>Objetivo: Garantizar la liquidez.</w:t>
      </w:r>
    </w:p>
    <w:p w14:paraId="0908260A" w14:textId="77777777" w:rsidR="00B76B91" w:rsidRPr="00C045F9" w:rsidRDefault="00B76B91" w:rsidP="00B76B91">
      <w:pPr>
        <w:pStyle w:val="Nivel3SM"/>
      </w:pPr>
      <w:r w:rsidRPr="00C045F9">
        <w:t xml:space="preserve">Se trató de un fondo </w:t>
      </w:r>
      <w:r w:rsidRPr="00C045F9">
        <w:rPr>
          <w:b/>
        </w:rPr>
        <w:t>sin personalidad jurídica propia</w:t>
      </w:r>
      <w:r w:rsidRPr="00C045F9">
        <w:t xml:space="preserve">, adscrito al Ministerio de Economía y dotado con </w:t>
      </w:r>
      <w:r w:rsidRPr="00C045F9">
        <w:rPr>
          <w:b/>
        </w:rPr>
        <w:t>30</w:t>
      </w:r>
      <w:r>
        <w:rPr>
          <w:b/>
        </w:rPr>
        <w:t>.</w:t>
      </w:r>
      <w:r w:rsidRPr="00C045F9">
        <w:rPr>
          <w:b/>
        </w:rPr>
        <w:t>000</w:t>
      </w:r>
      <w:r>
        <w:rPr>
          <w:b/>
        </w:rPr>
        <w:t> </w:t>
      </w:r>
      <w:r w:rsidRPr="00C045F9">
        <w:rPr>
          <w:b/>
        </w:rPr>
        <w:t>millones de euros</w:t>
      </w:r>
      <w:r w:rsidRPr="00C045F9">
        <w:t xml:space="preserve">, que se creó con vigencia temporal para adquirir títulos de </w:t>
      </w:r>
      <w:r w:rsidRPr="00C045F9">
        <w:rPr>
          <w:b/>
        </w:rPr>
        <w:t xml:space="preserve">alta calidad crediticia </w:t>
      </w:r>
      <w:r w:rsidRPr="00C045F9">
        <w:t>(no activos tóxicos) de entidades de crédito, permitiendo, por tanto, que éstas pudieran obtener liquidez ante la sequía del mercado interbancario.</w:t>
      </w:r>
    </w:p>
    <w:p w14:paraId="26536501" w14:textId="22F66AB1" w:rsidR="00B76B91" w:rsidRPr="00C045F9" w:rsidRDefault="00B76B91" w:rsidP="00B76B91">
      <w:pPr>
        <w:pStyle w:val="Nivel2SM"/>
      </w:pPr>
      <w:r w:rsidRPr="00C045F9">
        <w:t>A pesar de las medidas del FAAF la reducción del crédito puso de manifiesto los importantes desequilibrios tanto externos como internos de la economía nacional.</w:t>
      </w:r>
    </w:p>
    <w:p w14:paraId="0FA99C1E" w14:textId="5DBF8A8F" w:rsidR="00CA4F2A" w:rsidRDefault="00AA4F38" w:rsidP="007F78E9">
      <w:pPr>
        <w:pStyle w:val="Ttulo8"/>
      </w:pPr>
      <w:r w:rsidRPr="00C045F9">
        <w:t>Creación del FROB</w:t>
      </w:r>
    </w:p>
    <w:p w14:paraId="44C3F942" w14:textId="77777777" w:rsidR="00B76B91" w:rsidRPr="00C045F9" w:rsidRDefault="00B76B91" w:rsidP="00B76B91">
      <w:pPr>
        <w:pStyle w:val="Nivel2SM"/>
      </w:pPr>
      <w:r w:rsidRPr="00C045F9">
        <w:t xml:space="preserve">Los </w:t>
      </w:r>
      <w:r w:rsidRPr="00C045F9">
        <w:rPr>
          <w:b/>
        </w:rPr>
        <w:t>problemas de hoja de balance</w:t>
      </w:r>
      <w:r w:rsidRPr="00C045F9">
        <w:t xml:space="preserve"> hicieron necesario crear un fondo de restructuración que ayudase al proceso de integración que estaba por llegar en el sector.</w:t>
      </w:r>
    </w:p>
    <w:p w14:paraId="78D6D561" w14:textId="64911469" w:rsidR="00AE4CB2" w:rsidRPr="002B462A" w:rsidRDefault="00AE4CB2" w:rsidP="002B462A">
      <w:pPr>
        <w:pStyle w:val="Nivel2SM"/>
        <w:keepNext/>
        <w:spacing w:after="0"/>
        <w:rPr>
          <w:u w:val="single"/>
        </w:rPr>
      </w:pPr>
      <w:r w:rsidRPr="00132890">
        <w:rPr>
          <w:b/>
          <w:bCs/>
        </w:rPr>
        <w:t>Definición</w:t>
      </w:r>
      <w:r w:rsidR="00132890">
        <w:t>:</w:t>
      </w:r>
    </w:p>
    <w:p w14:paraId="71546384" w14:textId="1EEA60D1" w:rsidR="002749C8" w:rsidRPr="00C045F9" w:rsidRDefault="00AA4F38" w:rsidP="002B462A">
      <w:pPr>
        <w:pStyle w:val="Nivel3SM"/>
      </w:pPr>
      <w:r w:rsidRPr="00C045F9">
        <w:t xml:space="preserve">Se creó el Fondo de Reestructuración Ordenada Bancaria (FROB) para apoyar los </w:t>
      </w:r>
      <w:r w:rsidRPr="00C045F9">
        <w:rPr>
          <w:u w:val="single"/>
        </w:rPr>
        <w:t>procesos de reestructuración, integración y recapitalización</w:t>
      </w:r>
      <w:r w:rsidRPr="00C045F9">
        <w:t xml:space="preserve"> de las entidades de crédito. El FROB ha sido un instrumento clave en todas las fases de la crisis financiera, como veremos.</w:t>
      </w:r>
    </w:p>
    <w:p w14:paraId="4D7ABAE2" w14:textId="736D0CC7" w:rsidR="00AA4F38" w:rsidRPr="00C045F9" w:rsidRDefault="00AA4F38" w:rsidP="002B462A">
      <w:pPr>
        <w:pStyle w:val="Nivel2SM"/>
        <w:keepNext/>
        <w:spacing w:after="0"/>
      </w:pPr>
      <w:r w:rsidRPr="00132890">
        <w:rPr>
          <w:b/>
          <w:bCs/>
        </w:rPr>
        <w:t>Funcionamiento del proceso</w:t>
      </w:r>
      <w:r w:rsidRPr="00C045F9">
        <w:t>.</w:t>
      </w:r>
    </w:p>
    <w:p w14:paraId="23855741" w14:textId="0E45D271" w:rsidR="001E5CE1" w:rsidRPr="00C045F9" w:rsidRDefault="00AA4F38" w:rsidP="002B462A">
      <w:pPr>
        <w:pStyle w:val="Nivel3SM"/>
      </w:pPr>
      <w:r w:rsidRPr="00132890">
        <w:rPr>
          <w:i/>
          <w:iCs/>
          <w:u w:val="single"/>
        </w:rPr>
        <w:t>Búsqueda de una solución privada</w:t>
      </w:r>
      <w:r w:rsidR="002B462A" w:rsidRPr="002B462A">
        <w:t xml:space="preserve">: </w:t>
      </w:r>
      <w:r w:rsidR="001E5CE1" w:rsidRPr="00C045F9">
        <w:t>P</w:t>
      </w:r>
      <w:r w:rsidRPr="00C045F9">
        <w:t>or parte de la propia entidad de crédito para reforzar su solvencia.</w:t>
      </w:r>
    </w:p>
    <w:p w14:paraId="4D712FC1" w14:textId="2C48166D" w:rsidR="001E5CE1" w:rsidRPr="00C045F9" w:rsidRDefault="001E5CE1" w:rsidP="002B462A">
      <w:pPr>
        <w:pStyle w:val="Nivel3SM"/>
        <w:keepNext/>
        <w:rPr>
          <w:u w:val="single"/>
        </w:rPr>
      </w:pPr>
      <w:r w:rsidRPr="00132890">
        <w:rPr>
          <w:i/>
          <w:iCs/>
          <w:u w:val="single"/>
        </w:rPr>
        <w:t>Intervención del FROB</w:t>
      </w:r>
      <w:r w:rsidR="00A53613" w:rsidRPr="00132890">
        <w:rPr>
          <w:i/>
          <w:iCs/>
          <w:u w:val="single"/>
        </w:rPr>
        <w:t xml:space="preserve"> (si no hay solución privada)</w:t>
      </w:r>
      <w:r w:rsidR="00132890">
        <w:rPr>
          <w:u w:val="single"/>
        </w:rPr>
        <w:t>:</w:t>
      </w:r>
    </w:p>
    <w:p w14:paraId="0A41E279" w14:textId="014F7A2F" w:rsidR="001E5CE1" w:rsidRPr="00C045F9" w:rsidRDefault="001E5CE1" w:rsidP="002B462A">
      <w:pPr>
        <w:pStyle w:val="Nivel4"/>
        <w:keepNext/>
        <w:ind w:left="1474"/>
      </w:pPr>
      <w:r w:rsidRPr="00C045F9">
        <w:t xml:space="preserve">Con plan de </w:t>
      </w:r>
      <w:r w:rsidR="00A9284F" w:rsidRPr="00C045F9">
        <w:t>reestructuración</w:t>
      </w:r>
      <w:r w:rsidR="00132890">
        <w:t>:</w:t>
      </w:r>
    </w:p>
    <w:p w14:paraId="1C99E9E4" w14:textId="12EBF62B" w:rsidR="001E5CE1" w:rsidRPr="00C045F9" w:rsidRDefault="001E5CE1" w:rsidP="002B462A">
      <w:pPr>
        <w:pStyle w:val="Nivel5"/>
        <w:ind w:left="1871"/>
      </w:pPr>
      <w:r w:rsidRPr="00C045F9">
        <w:t>Obliga a la entidad a presentar un plan de viabilidad en el que se detallen las actuaciones para su reestructuración, que suelen implicar proyectos de fusión o absorción por otra entidad.</w:t>
      </w:r>
    </w:p>
    <w:p w14:paraId="57AE9091" w14:textId="72E097CC" w:rsidR="001E5CE1" w:rsidRPr="00C045F9" w:rsidRDefault="001E5CE1" w:rsidP="002B462A">
      <w:pPr>
        <w:pStyle w:val="Nivel5"/>
        <w:keepNext/>
        <w:ind w:left="1871"/>
      </w:pPr>
      <w:r w:rsidRPr="00C045F9">
        <w:t>El FROB apoya estas actuaciones por 2</w:t>
      </w:r>
      <w:r w:rsidR="000E2105">
        <w:t> </w:t>
      </w:r>
      <w:r w:rsidRPr="00C045F9">
        <w:t>vías:</w:t>
      </w:r>
    </w:p>
    <w:p w14:paraId="5EECE21E" w14:textId="77777777" w:rsidR="001E5CE1" w:rsidRPr="00C045F9" w:rsidRDefault="001E5CE1" w:rsidP="002B462A">
      <w:pPr>
        <w:pStyle w:val="Nivel6"/>
        <w:ind w:left="2212"/>
      </w:pPr>
      <w:r w:rsidRPr="00C045F9">
        <w:t>Aportaciones de fondos.</w:t>
      </w:r>
    </w:p>
    <w:p w14:paraId="40AB71C4" w14:textId="77777777" w:rsidR="001E5CE1" w:rsidRPr="00C045F9" w:rsidRDefault="001E5CE1" w:rsidP="002B462A">
      <w:pPr>
        <w:pStyle w:val="Nivel6"/>
        <w:ind w:left="2212"/>
      </w:pPr>
      <w:r w:rsidRPr="00C045F9">
        <w:t>Adquisición de acciones o cuotas participativas.</w:t>
      </w:r>
    </w:p>
    <w:p w14:paraId="0C383004" w14:textId="610F1724" w:rsidR="001E5CE1" w:rsidRPr="00C045F9" w:rsidRDefault="001E5CE1" w:rsidP="002B462A">
      <w:pPr>
        <w:pStyle w:val="Nivel4"/>
        <w:keepNext/>
        <w:ind w:left="1474"/>
      </w:pPr>
      <w:r w:rsidRPr="00C045F9">
        <w:t xml:space="preserve">Sin plan de </w:t>
      </w:r>
      <w:r w:rsidR="00A9284F" w:rsidRPr="00C045F9">
        <w:t>reestructuración</w:t>
      </w:r>
      <w:r w:rsidR="00132890">
        <w:t>:</w:t>
      </w:r>
    </w:p>
    <w:p w14:paraId="6296CBB0" w14:textId="3D987701" w:rsidR="001E5CE1" w:rsidRPr="00C045F9" w:rsidRDefault="001E5CE1" w:rsidP="002B462A">
      <w:pPr>
        <w:pStyle w:val="Nivel5"/>
        <w:ind w:left="1871"/>
      </w:pPr>
      <w:r w:rsidRPr="00C045F9">
        <w:t>El FROB interviene la entidad, reemplazando a sus administradores y elaborando un plan de reestructuración.</w:t>
      </w:r>
    </w:p>
    <w:p w14:paraId="4E110EA8" w14:textId="77777777" w:rsidR="001E5CE1" w:rsidRPr="00C045F9" w:rsidRDefault="001E5CE1" w:rsidP="002B462A">
      <w:pPr>
        <w:pStyle w:val="Nivel5"/>
        <w:keepNext/>
        <w:ind w:left="1871"/>
      </w:pPr>
      <w:r w:rsidRPr="00C045F9">
        <w:lastRenderedPageBreak/>
        <w:t>La intervención de la entidad finaliza con:</w:t>
      </w:r>
    </w:p>
    <w:p w14:paraId="7F6C1633" w14:textId="17A9B6C8" w:rsidR="001E5CE1" w:rsidRPr="00C045F9" w:rsidRDefault="001E5CE1" w:rsidP="002B462A">
      <w:pPr>
        <w:pStyle w:val="Nivel6"/>
        <w:ind w:left="2212"/>
      </w:pPr>
      <w:r w:rsidRPr="00C045F9">
        <w:t>Su integración con otra entidad</w:t>
      </w:r>
      <w:r w:rsidR="004F2602">
        <w:t>; o</w:t>
      </w:r>
    </w:p>
    <w:p w14:paraId="709C9431" w14:textId="77777777" w:rsidR="001E5CE1" w:rsidRPr="00C045F9" w:rsidRDefault="001E5CE1" w:rsidP="002B462A">
      <w:pPr>
        <w:pStyle w:val="Nivel6"/>
        <w:ind w:left="2212"/>
      </w:pPr>
      <w:r w:rsidRPr="00C045F9">
        <w:t>Su saneamiento y posterior subasta.</w:t>
      </w:r>
    </w:p>
    <w:p w14:paraId="41EE0AC5" w14:textId="70C30725" w:rsidR="001E5CE1" w:rsidRPr="00C045F9" w:rsidRDefault="001E5CE1" w:rsidP="00132890">
      <w:pPr>
        <w:pStyle w:val="Nivel2SM"/>
        <w:keepNext/>
        <w:spacing w:after="0"/>
      </w:pPr>
      <w:r w:rsidRPr="00132890">
        <w:rPr>
          <w:b/>
          <w:bCs/>
        </w:rPr>
        <w:t>Resultado</w:t>
      </w:r>
      <w:r w:rsidR="00B76B91">
        <w:t>:</w:t>
      </w:r>
    </w:p>
    <w:p w14:paraId="642001DA" w14:textId="4AD08C05" w:rsidR="001E5CE1" w:rsidRPr="00B76B91" w:rsidRDefault="001E5CE1" w:rsidP="00132890">
      <w:pPr>
        <w:pStyle w:val="Nivel3SM"/>
      </w:pPr>
      <w:r w:rsidRPr="00B76B91">
        <w:rPr>
          <w:u w:val="single"/>
        </w:rPr>
        <w:t>33</w:t>
      </w:r>
      <w:r w:rsidR="000E2105" w:rsidRPr="00B76B91">
        <w:rPr>
          <w:u w:val="single"/>
        </w:rPr>
        <w:t> </w:t>
      </w:r>
      <w:r w:rsidRPr="00B76B91">
        <w:rPr>
          <w:u w:val="single"/>
        </w:rPr>
        <w:t>entidades</w:t>
      </w:r>
      <w:r w:rsidRPr="00B76B91">
        <w:t xml:space="preserve"> (principalmente, cajas de ahorros) presentaron planes de reestructuración.</w:t>
      </w:r>
    </w:p>
    <w:p w14:paraId="3AF403AE" w14:textId="2522C7DE" w:rsidR="00AA4F38" w:rsidRPr="00C045F9" w:rsidRDefault="00AA4F38" w:rsidP="00132890">
      <w:pPr>
        <w:pStyle w:val="Nivel3SM"/>
      </w:pPr>
      <w:r w:rsidRPr="00C045F9">
        <w:rPr>
          <w:u w:val="single"/>
        </w:rPr>
        <w:t>El FROB concedió ayudas a 7</w:t>
      </w:r>
      <w:r w:rsidR="000E2105">
        <w:rPr>
          <w:u w:val="single"/>
        </w:rPr>
        <w:t> </w:t>
      </w:r>
      <w:r w:rsidRPr="00C045F9">
        <w:rPr>
          <w:u w:val="single"/>
        </w:rPr>
        <w:t>entidades</w:t>
      </w:r>
      <w:r w:rsidRPr="00C045F9">
        <w:t>.</w:t>
      </w:r>
    </w:p>
    <w:p w14:paraId="3E3DEAE0" w14:textId="61799324" w:rsidR="00AA4F38" w:rsidRPr="00C045F9" w:rsidRDefault="00AA4F38" w:rsidP="00132890">
      <w:pPr>
        <w:pStyle w:val="Nivel3SM"/>
        <w:keepNext/>
      </w:pPr>
      <w:r w:rsidRPr="00C045F9">
        <w:rPr>
          <w:u w:val="single"/>
        </w:rPr>
        <w:t>El FROB intervino 5</w:t>
      </w:r>
      <w:r w:rsidR="000E2105">
        <w:rPr>
          <w:u w:val="single"/>
        </w:rPr>
        <w:t> </w:t>
      </w:r>
      <w:r w:rsidRPr="00C045F9">
        <w:rPr>
          <w:u w:val="single"/>
        </w:rPr>
        <w:t>entidades</w:t>
      </w:r>
      <w:r w:rsidRPr="00C045F9">
        <w:t>:</w:t>
      </w:r>
    </w:p>
    <w:p w14:paraId="07CB58D2" w14:textId="2C4D56DD" w:rsidR="00AA4F38" w:rsidRPr="0009367D" w:rsidRDefault="00AA4F38" w:rsidP="00132890">
      <w:pPr>
        <w:pStyle w:val="Nivel4"/>
        <w:ind w:left="1474"/>
      </w:pPr>
      <w:r w:rsidRPr="00C045F9">
        <w:t xml:space="preserve">Caja Castilla-La Macha (antes de la creación del FROB), Bankia, Catalunya Caixa, </w:t>
      </w:r>
      <w:proofErr w:type="spellStart"/>
      <w:r w:rsidRPr="00C045F9">
        <w:t>Novagalicia</w:t>
      </w:r>
      <w:proofErr w:type="spellEnd"/>
      <w:r w:rsidRPr="00C045F9">
        <w:t xml:space="preserve"> y Banco Mare Nostrum.</w:t>
      </w:r>
    </w:p>
    <w:p w14:paraId="63C35F32" w14:textId="72C8A14D" w:rsidR="000E2105" w:rsidRDefault="000E2105" w:rsidP="00CA3371">
      <w:pPr>
        <w:pStyle w:val="Ttulo3"/>
      </w:pPr>
      <w:bookmarkStart w:id="47" w:name="_Toc178010331"/>
      <w:r>
        <w:t>Crisis de deuda soberana en Europa</w:t>
      </w:r>
      <w:bookmarkEnd w:id="47"/>
    </w:p>
    <w:p w14:paraId="719C2C53" w14:textId="282D0FC9" w:rsidR="00AA4F38" w:rsidRPr="0009367D" w:rsidRDefault="00AA4F38" w:rsidP="000E2105">
      <w:pPr>
        <w:pStyle w:val="Ttulo6"/>
        <w:spacing w:before="0"/>
      </w:pPr>
      <w:bookmarkStart w:id="48" w:name="_Toc178010332"/>
      <w:r w:rsidRPr="00C045F9">
        <w:t>Primer episodio de la crisis de deuda soberana: Grecia, mayo 2010</w:t>
      </w:r>
      <w:bookmarkEnd w:id="48"/>
    </w:p>
    <w:p w14:paraId="0EB0C9C5" w14:textId="5044DFE0" w:rsidR="002749C8" w:rsidRPr="00C045F9" w:rsidRDefault="00AA4F38" w:rsidP="000E2105">
      <w:pPr>
        <w:pStyle w:val="Ttulo7"/>
        <w:spacing w:before="0"/>
      </w:pPr>
      <w:r w:rsidRPr="00C045F9">
        <w:t>Descripción</w:t>
      </w:r>
    </w:p>
    <w:p w14:paraId="2F394F0D" w14:textId="2EDF6E6B" w:rsidR="001A1B5B" w:rsidRPr="00C045F9" w:rsidRDefault="00C20E6A" w:rsidP="006C2665">
      <w:pPr>
        <w:pStyle w:val="Nivel2SM"/>
        <w:keepNext/>
        <w:spacing w:after="0"/>
      </w:pPr>
      <w:r w:rsidRPr="00C045F9">
        <w:t>La publicación de unas cuentas fal</w:t>
      </w:r>
      <w:r w:rsidR="00B87BED" w:rsidRPr="00C045F9">
        <w:t>s</w:t>
      </w:r>
      <w:r w:rsidRPr="00C045F9">
        <w:t xml:space="preserve">as por parte de las AAPP griegas, asistidas a su vez </w:t>
      </w:r>
      <w:r w:rsidR="00B87BED" w:rsidRPr="00C045F9">
        <w:t xml:space="preserve">para su falsificación </w:t>
      </w:r>
      <w:r w:rsidRPr="00C045F9">
        <w:t>por Goldman Sachs</w:t>
      </w:r>
      <w:r w:rsidR="00B87BED" w:rsidRPr="00C045F9">
        <w:t>,</w:t>
      </w:r>
      <w:r w:rsidR="001A1B5B" w:rsidRPr="00C045F9">
        <w:t xml:space="preserve"> tuvo efectos contagio muy negativos para el conjunto del euro y sus </w:t>
      </w:r>
      <w:r w:rsidR="007F78E9">
        <w:t>Estados miembros</w:t>
      </w:r>
      <w:r w:rsidR="001A1B5B" w:rsidRPr="00C045F9">
        <w:t>. Para España:</w:t>
      </w:r>
    </w:p>
    <w:p w14:paraId="449A8050" w14:textId="219B6C4B" w:rsidR="001A1B5B" w:rsidRPr="00C045F9" w:rsidRDefault="001A1B5B" w:rsidP="006C2665">
      <w:pPr>
        <w:pStyle w:val="Nivel3SM"/>
      </w:pPr>
      <w:r w:rsidRPr="00C045F9">
        <w:t>R</w:t>
      </w:r>
      <w:r w:rsidR="00C20E6A" w:rsidRPr="00C045F9">
        <w:t xml:space="preserve">ápido contagio </w:t>
      </w:r>
      <w:r w:rsidRPr="00C045F9">
        <w:t xml:space="preserve">sobre el coste de financiación y deuda de </w:t>
      </w:r>
      <w:r w:rsidR="00C20E6A" w:rsidRPr="00C045F9">
        <w:t>España.</w:t>
      </w:r>
    </w:p>
    <w:p w14:paraId="0E8027D9" w14:textId="26839943" w:rsidR="00AA4F38" w:rsidRPr="00C045F9" w:rsidRDefault="00C20E6A" w:rsidP="006C2665">
      <w:pPr>
        <w:pStyle w:val="Nivel3SM"/>
      </w:pPr>
      <w:r w:rsidRPr="00C045F9">
        <w:t>A su vez, dada la importante exposición a la deuda soberana de las entidades financieras nacionales éstas sufrieron de nuevo problemas de hojas de balance.</w:t>
      </w:r>
    </w:p>
    <w:p w14:paraId="4814ACD2" w14:textId="41774CD2" w:rsidR="002749C8" w:rsidRPr="0009367D" w:rsidRDefault="0049320C" w:rsidP="000E2105">
      <w:pPr>
        <w:pStyle w:val="Ttulo7"/>
      </w:pPr>
      <w:r w:rsidRPr="00C045F9">
        <w:t>Impacto</w:t>
      </w:r>
    </w:p>
    <w:p w14:paraId="5C36D445" w14:textId="0F123755" w:rsidR="00A90163" w:rsidRPr="00BC1829" w:rsidRDefault="0095392E" w:rsidP="006C2665">
      <w:pPr>
        <w:pStyle w:val="Nivel2SM"/>
        <w:keepNext/>
        <w:spacing w:after="0"/>
      </w:pPr>
      <w:r w:rsidRPr="00BC1829">
        <w:rPr>
          <w:i/>
          <w:iCs/>
          <w:u w:val="single"/>
        </w:rPr>
        <w:t>A nivel nacional</w:t>
      </w:r>
      <w:r w:rsidRPr="00BC1829">
        <w:t>: C</w:t>
      </w:r>
      <w:r w:rsidR="002F3049" w:rsidRPr="00BC1829">
        <w:t xml:space="preserve">írculo </w:t>
      </w:r>
      <w:r w:rsidR="00A90163" w:rsidRPr="00BC1829">
        <w:t xml:space="preserve">vicioso entre la deuda del </w:t>
      </w:r>
      <w:r w:rsidR="000E6F48">
        <w:t>E</w:t>
      </w:r>
      <w:r w:rsidR="00A90163" w:rsidRPr="00BC1829">
        <w:t>stado y la deuda bancaria</w:t>
      </w:r>
      <w:r w:rsidR="00BC1829" w:rsidRPr="00BC1829">
        <w:t xml:space="preserve"> (</w:t>
      </w:r>
      <w:proofErr w:type="spellStart"/>
      <w:r w:rsidR="00BC1829" w:rsidRPr="00BC1829">
        <w:rPr>
          <w:i/>
          <w:iCs/>
        </w:rPr>
        <w:t>doom</w:t>
      </w:r>
      <w:proofErr w:type="spellEnd"/>
      <w:r w:rsidR="00BC1829" w:rsidRPr="00BC1829">
        <w:rPr>
          <w:i/>
          <w:iCs/>
        </w:rPr>
        <w:t xml:space="preserve"> </w:t>
      </w:r>
      <w:proofErr w:type="spellStart"/>
      <w:r w:rsidR="00BC1829" w:rsidRPr="00BC1829">
        <w:rPr>
          <w:i/>
          <w:iCs/>
        </w:rPr>
        <w:t>loop</w:t>
      </w:r>
      <w:proofErr w:type="spellEnd"/>
      <w:r w:rsidR="00BC1829" w:rsidRPr="00BC1829">
        <w:t>)</w:t>
      </w:r>
      <w:r w:rsidR="00A90163" w:rsidRPr="00BC1829">
        <w:t>:</w:t>
      </w:r>
    </w:p>
    <w:p w14:paraId="3E7A4F0E" w14:textId="21547E20" w:rsidR="00B87BED" w:rsidRPr="00C045F9" w:rsidRDefault="00A90163" w:rsidP="006C2665">
      <w:pPr>
        <w:pStyle w:val="Nivel3SM"/>
        <w:keepNext/>
        <w:rPr>
          <w:b/>
        </w:rPr>
      </w:pPr>
      <w:r w:rsidRPr="00C045F9">
        <w:t>Paso</w:t>
      </w:r>
      <w:r w:rsidR="0009367D">
        <w:t> </w:t>
      </w:r>
      <w:r w:rsidRPr="00C045F9">
        <w:t>1:</w:t>
      </w:r>
    </w:p>
    <w:p w14:paraId="7537ACD1" w14:textId="780052F8" w:rsidR="00A90163" w:rsidRPr="00C045F9" w:rsidRDefault="00A90163" w:rsidP="006C2665">
      <w:pPr>
        <w:pStyle w:val="Nivel4"/>
        <w:ind w:left="1474"/>
        <w:rPr>
          <w:b/>
        </w:rPr>
      </w:pPr>
      <w:r w:rsidRPr="00C045F9">
        <w:t>El shock de solvencia crea una pérdida de credibilidad en la sosteni</w:t>
      </w:r>
      <w:r w:rsidR="00B87BED" w:rsidRPr="00C045F9">
        <w:t xml:space="preserve">bilidad de la deuda del </w:t>
      </w:r>
      <w:r w:rsidR="00BC1829">
        <w:t>E</w:t>
      </w:r>
      <w:r w:rsidR="00B87BED" w:rsidRPr="00C045F9">
        <w:t>stado por lo que el gobierno pierde acceso a los mercados de capitales.</w:t>
      </w:r>
    </w:p>
    <w:p w14:paraId="73EDBADE" w14:textId="3565E6D0" w:rsidR="0095392E" w:rsidRPr="00C045F9" w:rsidRDefault="0095392E" w:rsidP="006C2665">
      <w:pPr>
        <w:pStyle w:val="Nivel4"/>
        <w:ind w:left="1474"/>
        <w:rPr>
          <w:b/>
        </w:rPr>
      </w:pPr>
      <w:r w:rsidRPr="00C045F9">
        <w:t>El sector público acude por tanto al sector bancario para la financiación de su deuda.</w:t>
      </w:r>
    </w:p>
    <w:p w14:paraId="0226DB0D" w14:textId="35C59EF4" w:rsidR="00A90163" w:rsidRPr="00C045F9" w:rsidRDefault="00A90163" w:rsidP="006C2665">
      <w:pPr>
        <w:pStyle w:val="Nivel3SM"/>
        <w:keepNext/>
        <w:rPr>
          <w:b/>
        </w:rPr>
      </w:pPr>
      <w:r w:rsidRPr="00C045F9">
        <w:t>Paso</w:t>
      </w:r>
      <w:r w:rsidR="0009367D">
        <w:t> </w:t>
      </w:r>
      <w:r w:rsidRPr="00C045F9">
        <w:t>2:</w:t>
      </w:r>
    </w:p>
    <w:p w14:paraId="27AE33B4" w14:textId="7A9D8C81" w:rsidR="0095392E" w:rsidRPr="00C045F9" w:rsidRDefault="0095392E" w:rsidP="006C2665">
      <w:pPr>
        <w:pStyle w:val="Nivel4"/>
        <w:ind w:left="1474"/>
        <w:rPr>
          <w:b/>
        </w:rPr>
      </w:pPr>
      <w:r w:rsidRPr="00C045F9">
        <w:t xml:space="preserve">El sector bancario compra los bonos emitidos por el gobierno y sufre importantes </w:t>
      </w:r>
      <w:r w:rsidRPr="00C045F9">
        <w:rPr>
          <w:b/>
        </w:rPr>
        <w:t>pérdidas por problemas de hojas de balance</w:t>
      </w:r>
      <w:r w:rsidRPr="00C045F9">
        <w:t xml:space="preserve"> (la pérdida de credibilidad en los mercados provoca una disminución del precio de los bonos).</w:t>
      </w:r>
    </w:p>
    <w:p w14:paraId="610239C9" w14:textId="77777777" w:rsidR="00A90163" w:rsidRPr="00C045F9" w:rsidRDefault="0095392E" w:rsidP="006C2665">
      <w:pPr>
        <w:pStyle w:val="Nivel4"/>
        <w:ind w:left="1474"/>
        <w:rPr>
          <w:b/>
        </w:rPr>
      </w:pPr>
      <w:r w:rsidRPr="00C045F9">
        <w:t>Debido a las pérdidas los bancos también pierden su acceso a los mercados financieros por lo que</w:t>
      </w:r>
      <w:r w:rsidR="00A90163" w:rsidRPr="00C045F9">
        <w:t xml:space="preserve"> </w:t>
      </w:r>
      <w:r w:rsidRPr="00C045F9">
        <w:t>acuden al sector público.</w:t>
      </w:r>
    </w:p>
    <w:p w14:paraId="2D6FCA1C" w14:textId="4D24C431" w:rsidR="00A90163" w:rsidRPr="00C045F9" w:rsidRDefault="00A90163" w:rsidP="006C2665">
      <w:pPr>
        <w:pStyle w:val="Nivel3SM"/>
        <w:keepNext/>
        <w:rPr>
          <w:b/>
        </w:rPr>
      </w:pPr>
      <w:r w:rsidRPr="00C045F9">
        <w:t>Paso</w:t>
      </w:r>
      <w:r w:rsidR="006C2665">
        <w:t> </w:t>
      </w:r>
      <w:r w:rsidR="0095392E" w:rsidRPr="00C045F9">
        <w:t>3</w:t>
      </w:r>
      <w:r w:rsidRPr="00C045F9">
        <w:t>:</w:t>
      </w:r>
    </w:p>
    <w:p w14:paraId="5EB56B63" w14:textId="2D719CEA" w:rsidR="002749C8" w:rsidRPr="0009367D" w:rsidRDefault="00A90163" w:rsidP="006C2665">
      <w:pPr>
        <w:pStyle w:val="Nivel4"/>
        <w:ind w:left="1474"/>
      </w:pPr>
      <w:r w:rsidRPr="00C045F9">
        <w:t>Esto aumentaría de nuevo las necesidades de endeudamiento del sector público lo que volvería a reiniciar el círculo vicioso.</w:t>
      </w:r>
    </w:p>
    <w:p w14:paraId="70E59D56" w14:textId="51C3AB0B" w:rsidR="0049320C" w:rsidRPr="00C045F9" w:rsidRDefault="00AA4F38" w:rsidP="006C2665">
      <w:pPr>
        <w:pStyle w:val="Nivel2SM"/>
        <w:keepNext/>
        <w:spacing w:after="0"/>
      </w:pPr>
      <w:r w:rsidRPr="00BC1829">
        <w:rPr>
          <w:i/>
          <w:iCs/>
          <w:u w:val="single"/>
        </w:rPr>
        <w:t>A nivel europeo</w:t>
      </w:r>
      <w:r w:rsidR="0049320C" w:rsidRPr="00C045F9">
        <w:t>:</w:t>
      </w:r>
    </w:p>
    <w:p w14:paraId="33D1ED6B" w14:textId="0E82FA29" w:rsidR="0049320C" w:rsidRPr="00C045F9" w:rsidRDefault="0049320C" w:rsidP="00DF34EE">
      <w:pPr>
        <w:pStyle w:val="Nivel3SM"/>
      </w:pPr>
      <w:r w:rsidRPr="00C045F9">
        <w:t>C</w:t>
      </w:r>
      <w:r w:rsidR="00AA4F38" w:rsidRPr="00C045F9">
        <w:t>ambio de paradigma en la política económica, dando un giro de 180º: de los programas coordinados de estímulos públicos, a la austeridad y las reformas estructurales.</w:t>
      </w:r>
    </w:p>
    <w:p w14:paraId="3DD8BCF6" w14:textId="26130063" w:rsidR="00AA4F38" w:rsidRPr="00C045F9" w:rsidRDefault="002F3049" w:rsidP="00DF34EE">
      <w:pPr>
        <w:pStyle w:val="Nivel3SM"/>
      </w:pPr>
      <w:r w:rsidRPr="00BC1829">
        <w:t>Además</w:t>
      </w:r>
      <w:r w:rsidR="00BC1829" w:rsidRPr="00BC1829">
        <w:t>,</w:t>
      </w:r>
      <w:r w:rsidRPr="00C045F9">
        <w:t xml:space="preserve"> s</w:t>
      </w:r>
      <w:r w:rsidR="00AA4F38" w:rsidRPr="00C045F9">
        <w:t>e crearon mecanismos de rescate europeos y se puso en marcha el programa de compra de deuda del BCE.</w:t>
      </w:r>
    </w:p>
    <w:p w14:paraId="32432591" w14:textId="54A7F36F" w:rsidR="00AA4F38" w:rsidRPr="00C045F9" w:rsidRDefault="0049320C" w:rsidP="000E2105">
      <w:pPr>
        <w:pStyle w:val="Ttulo7"/>
      </w:pPr>
      <w:r w:rsidRPr="00C045F9">
        <w:t>Medidas</w:t>
      </w:r>
    </w:p>
    <w:p w14:paraId="5504F854" w14:textId="214BCC7A" w:rsidR="002749C8" w:rsidRPr="006C2665" w:rsidRDefault="00A9284F" w:rsidP="006C2665">
      <w:pPr>
        <w:pStyle w:val="Nivel2SM"/>
        <w:keepNext/>
        <w:spacing w:after="0"/>
        <w:rPr>
          <w:u w:val="single"/>
        </w:rPr>
      </w:pPr>
      <w:r w:rsidRPr="006C2665">
        <w:rPr>
          <w:u w:val="single"/>
        </w:rPr>
        <w:t>Test</w:t>
      </w:r>
      <w:r w:rsidR="002749C8" w:rsidRPr="006C2665">
        <w:rPr>
          <w:u w:val="single"/>
        </w:rPr>
        <w:t xml:space="preserve"> de estrés</w:t>
      </w:r>
    </w:p>
    <w:p w14:paraId="3AB78163" w14:textId="78224999" w:rsidR="00E32DF0" w:rsidRPr="006C2665" w:rsidRDefault="002749C8" w:rsidP="00DF34EE">
      <w:pPr>
        <w:pStyle w:val="Nivel3SM"/>
        <w:rPr>
          <w:spacing w:val="-5"/>
        </w:rPr>
      </w:pPr>
      <w:r w:rsidRPr="006C2665">
        <w:rPr>
          <w:spacing w:val="-5"/>
        </w:rPr>
        <w:t xml:space="preserve">Consisten en simular el comportamiento de los balances bancarios en escenarios muy adversos. Estos escenarios fueron muy exigentes (más incluso que en EEUU), y </w:t>
      </w:r>
      <w:r w:rsidRPr="006C2665">
        <w:rPr>
          <w:b/>
          <w:spacing w:val="-5"/>
          <w:u w:val="single"/>
        </w:rPr>
        <w:t>mostraron la solidez del sistema bancario</w:t>
      </w:r>
      <w:r w:rsidRPr="006C2665">
        <w:rPr>
          <w:spacing w:val="-5"/>
        </w:rPr>
        <w:t xml:space="preserve"> español, lo que les permitió el retorno a los mercados de capitales.</w:t>
      </w:r>
    </w:p>
    <w:p w14:paraId="62EA537D" w14:textId="60E4555C" w:rsidR="00A90163" w:rsidRPr="00C045F9" w:rsidRDefault="00E32DF0" w:rsidP="00DF34EE">
      <w:pPr>
        <w:pStyle w:val="Nivel3SM"/>
      </w:pPr>
      <w:r w:rsidRPr="00C045F9">
        <w:t xml:space="preserve">No obstante puso en evidencia la </w:t>
      </w:r>
      <w:r w:rsidRPr="00C045F9">
        <w:rPr>
          <w:b/>
          <w:u w:val="single"/>
        </w:rPr>
        <w:t>situación de las cajas de ahorro</w:t>
      </w:r>
      <w:r w:rsidRPr="00C045F9">
        <w:t>.</w:t>
      </w:r>
    </w:p>
    <w:p w14:paraId="5291DA85" w14:textId="20B3CEB2" w:rsidR="002749C8" w:rsidRPr="00C045F9" w:rsidRDefault="002749C8" w:rsidP="006C2665">
      <w:pPr>
        <w:pStyle w:val="Nivel2SM"/>
        <w:keepNext/>
        <w:spacing w:after="0"/>
      </w:pPr>
      <w:r w:rsidRPr="006C2665">
        <w:rPr>
          <w:u w:val="single"/>
        </w:rPr>
        <w:lastRenderedPageBreak/>
        <w:t>Reforma del sistema de cajas de ahorro</w:t>
      </w:r>
      <w:r w:rsidRPr="00C045F9">
        <w:t>.</w:t>
      </w:r>
    </w:p>
    <w:p w14:paraId="407900AD" w14:textId="77777777" w:rsidR="002749C8" w:rsidRPr="00C045F9" w:rsidRDefault="002749C8" w:rsidP="006C2665">
      <w:pPr>
        <w:pStyle w:val="Nivel3SM"/>
        <w:keepNext/>
      </w:pPr>
      <w:r w:rsidRPr="00C045F9">
        <w:t xml:space="preserve">Se llevó a cabo una reforma para </w:t>
      </w:r>
      <w:r w:rsidRPr="00C045F9">
        <w:rPr>
          <w:b/>
          <w:u w:val="single"/>
        </w:rPr>
        <w:t>poner coto a la actividad bancaria</w:t>
      </w:r>
      <w:r w:rsidRPr="00C045F9">
        <w:t xml:space="preserve"> de las cajas de ahorros, dándoles a elegir entre:</w:t>
      </w:r>
    </w:p>
    <w:p w14:paraId="2B467AC5" w14:textId="26C72A9A" w:rsidR="002749C8" w:rsidRPr="00C045F9" w:rsidRDefault="002749C8" w:rsidP="006C2665">
      <w:pPr>
        <w:pStyle w:val="Nivel4"/>
        <w:ind w:left="1474"/>
      </w:pPr>
      <w:r w:rsidRPr="00BC1829">
        <w:rPr>
          <w:i/>
          <w:iCs/>
        </w:rPr>
        <w:t>Continuar como cajas de ahorro</w:t>
      </w:r>
      <w:r w:rsidR="00DF34EE" w:rsidRPr="00DF34EE">
        <w:t xml:space="preserve">: </w:t>
      </w:r>
      <w:r w:rsidR="00C20E6A" w:rsidRPr="00C045F9">
        <w:t>E</w:t>
      </w:r>
      <w:r w:rsidRPr="00C045F9">
        <w:t>n cuyo caso su objeto debía ser puramente social y benéfico (sólo dos de tamaño pequeño optaron por esta opción: Caixa Ontinyent y Caixa Pollença).</w:t>
      </w:r>
    </w:p>
    <w:p w14:paraId="2F01A8E6" w14:textId="1ED87264" w:rsidR="00E32DF0" w:rsidRPr="00BC1829" w:rsidRDefault="002749C8" w:rsidP="006C2665">
      <w:pPr>
        <w:pStyle w:val="Nivel4"/>
        <w:ind w:left="1474"/>
      </w:pPr>
      <w:r w:rsidRPr="00BC1829">
        <w:rPr>
          <w:i/>
          <w:iCs/>
        </w:rPr>
        <w:t>Transformarse en bancos</w:t>
      </w:r>
      <w:r w:rsidR="00DF34EE" w:rsidRPr="00DF34EE">
        <w:t xml:space="preserve">: </w:t>
      </w:r>
      <w:r w:rsidR="00C20E6A" w:rsidRPr="00C045F9">
        <w:t>L</w:t>
      </w:r>
      <w:r w:rsidRPr="00C045F9">
        <w:t xml:space="preserve">o cual hicieron constituyéndose como </w:t>
      </w:r>
      <w:r w:rsidRPr="00BC1829">
        <w:rPr>
          <w:b/>
        </w:rPr>
        <w:t>fundaciones bancarias</w:t>
      </w:r>
      <w:r w:rsidR="00C20E6A" w:rsidRPr="00C045F9">
        <w:t>:</w:t>
      </w:r>
      <w:r w:rsidRPr="00C045F9">
        <w:t xml:space="preserve"> </w:t>
      </w:r>
      <w:r w:rsidR="00C20E6A" w:rsidRPr="00C045F9">
        <w:t>A</w:t>
      </w:r>
      <w:r w:rsidRPr="00C045F9">
        <w:t xml:space="preserve">quellas que mantienen una </w:t>
      </w:r>
      <w:r w:rsidRPr="00BC1829">
        <w:t xml:space="preserve">participación directa o indirecta en una entidad de crédito de, al menos, el </w:t>
      </w:r>
      <w:r w:rsidRPr="00BC1829">
        <w:rPr>
          <w:b/>
        </w:rPr>
        <w:t>10</w:t>
      </w:r>
      <w:r w:rsidR="00165C36" w:rsidRPr="00BC1829">
        <w:rPr>
          <w:b/>
        </w:rPr>
        <w:t> %</w:t>
      </w:r>
      <w:r w:rsidRPr="00BC1829">
        <w:rPr>
          <w:b/>
        </w:rPr>
        <w:t xml:space="preserve"> del capital</w:t>
      </w:r>
      <w:r w:rsidRPr="00BC1829">
        <w:t>. Además, se promovió que esta transformación se realizase en el seno de fusiones y adquisiciones con otras entidades.</w:t>
      </w:r>
    </w:p>
    <w:p w14:paraId="7762CEFE" w14:textId="353F8AA3" w:rsidR="002749C8" w:rsidRPr="0009367D" w:rsidRDefault="00E32DF0" w:rsidP="000409A8">
      <w:pPr>
        <w:pStyle w:val="Nivel2SM"/>
      </w:pPr>
      <w:r w:rsidRPr="00C045F9">
        <w:t xml:space="preserve">Las medidas anteriores llevaron a un </w:t>
      </w:r>
      <w:r w:rsidRPr="00C045F9">
        <w:rPr>
          <w:b/>
        </w:rPr>
        <w:t>cierto periodo de estabilización</w:t>
      </w:r>
      <w:r w:rsidRPr="00C045F9">
        <w:t>.</w:t>
      </w:r>
    </w:p>
    <w:p w14:paraId="73259783" w14:textId="631D7EAF" w:rsidR="00FE745B" w:rsidRPr="00C045F9" w:rsidRDefault="00AA4F38" w:rsidP="000E2105">
      <w:pPr>
        <w:pStyle w:val="Ttulo6"/>
      </w:pPr>
      <w:bookmarkStart w:id="49" w:name="_Toc178010333"/>
      <w:r w:rsidRPr="00C045F9">
        <w:t>Segundo episodio de la crisis de deuda soberana: Irlanda, noviembre 2010</w:t>
      </w:r>
      <w:bookmarkEnd w:id="49"/>
    </w:p>
    <w:p w14:paraId="1C948FFB" w14:textId="787E4BA7" w:rsidR="002749C8" w:rsidRPr="00C045F9" w:rsidRDefault="00AA4F38" w:rsidP="000E2105">
      <w:pPr>
        <w:pStyle w:val="Ttulo7"/>
        <w:spacing w:before="0"/>
      </w:pPr>
      <w:r w:rsidRPr="00C045F9">
        <w:t>Descripción</w:t>
      </w:r>
    </w:p>
    <w:p w14:paraId="44FD0B20" w14:textId="2F087A40" w:rsidR="00AA4F38" w:rsidRPr="00C045F9" w:rsidRDefault="00AA4976" w:rsidP="000409A8">
      <w:pPr>
        <w:pStyle w:val="Nivel2SM"/>
      </w:pPr>
      <w:r w:rsidRPr="00C045F9">
        <w:t>No obstante, esta fase de recuperación se interrumpió en noviembre de ese mismo año 2010 con el segundo episodio de la crisis de deuda soberana</w:t>
      </w:r>
      <w:r w:rsidR="00E32DF0" w:rsidRPr="00C045F9">
        <w:t>:</w:t>
      </w:r>
      <w:r w:rsidRPr="00C045F9">
        <w:t xml:space="preserve"> </w:t>
      </w:r>
      <w:r w:rsidR="00E32DF0" w:rsidRPr="00C045F9">
        <w:rPr>
          <w:u w:val="single"/>
        </w:rPr>
        <w:t>El rescate de Irlanda debido al pinchazo de la burbuja inmobiliaria</w:t>
      </w:r>
      <w:r w:rsidR="00E32DF0" w:rsidRPr="00C045F9">
        <w:t>.</w:t>
      </w:r>
    </w:p>
    <w:p w14:paraId="3F56A077" w14:textId="267B15E1" w:rsidR="002749C8" w:rsidRPr="0009367D" w:rsidRDefault="00E32DF0" w:rsidP="000E2105">
      <w:pPr>
        <w:pStyle w:val="Ttulo7"/>
      </w:pPr>
      <w:r w:rsidRPr="00C045F9">
        <w:t>Impacto</w:t>
      </w:r>
    </w:p>
    <w:p w14:paraId="1010F135" w14:textId="21827376" w:rsidR="00B4422D" w:rsidRPr="00C045F9" w:rsidRDefault="00AA4F38" w:rsidP="00C51A57">
      <w:pPr>
        <w:pStyle w:val="Nivel2SM"/>
      </w:pPr>
      <w:r w:rsidRPr="00C045F9">
        <w:t>Se acentúa la desconfianza en las finanzas públicas españolas y en la solidez del sistema financiero español</w:t>
      </w:r>
      <w:r w:rsidR="00E32DF0" w:rsidRPr="00C045F9">
        <w:t xml:space="preserve"> debido a</w:t>
      </w:r>
      <w:r w:rsidR="00C20E6A" w:rsidRPr="00C045F9">
        <w:t xml:space="preserve"> la aún elevada </w:t>
      </w:r>
      <w:r w:rsidR="00E32DF0" w:rsidRPr="00C045F9">
        <w:t>exposición tanto del modelo económico nacional como el sector financiero al sector inmobiliario.</w:t>
      </w:r>
    </w:p>
    <w:p w14:paraId="73933E10" w14:textId="64E9536A" w:rsidR="002749C8" w:rsidRPr="00C045F9" w:rsidRDefault="00AA4F38" w:rsidP="000E2105">
      <w:pPr>
        <w:pStyle w:val="Ttulo7"/>
      </w:pPr>
      <w:r w:rsidRPr="00C045F9">
        <w:t>Medidas</w:t>
      </w:r>
    </w:p>
    <w:p w14:paraId="72C0EB1D" w14:textId="67C47A64" w:rsidR="00A90163" w:rsidRPr="00C045F9" w:rsidRDefault="00C20E6A" w:rsidP="00BC1829">
      <w:pPr>
        <w:pStyle w:val="Ttulo8"/>
        <w:spacing w:before="0"/>
      </w:pPr>
      <w:r w:rsidRPr="00C51A57">
        <w:t xml:space="preserve">Ratios de Capital: </w:t>
      </w:r>
      <w:r w:rsidR="00AA4F38" w:rsidRPr="00C51A57">
        <w:t>Decreto-Ley de febrero de 2011</w:t>
      </w:r>
      <w:r w:rsidR="00C51A57">
        <w:t>:</w:t>
      </w:r>
    </w:p>
    <w:p w14:paraId="5D3EB945" w14:textId="71572796" w:rsidR="00A90163" w:rsidRPr="00C045F9" w:rsidRDefault="00A90163" w:rsidP="00C51A57">
      <w:pPr>
        <w:pStyle w:val="Nivel3SM"/>
      </w:pPr>
      <w:r w:rsidRPr="00C045F9">
        <w:t>E</w:t>
      </w:r>
      <w:r w:rsidR="00AA4F38" w:rsidRPr="00C045F9">
        <w:t xml:space="preserve">levó fuertemente los requerimientos de capital para reforzar la confianza en el sistema financiero español. Se establecieron requerimientos de capital por encima, incluso, de los exigidos por </w:t>
      </w:r>
      <w:r w:rsidR="003917EE">
        <w:t>Basilea I</w:t>
      </w:r>
      <w:r w:rsidR="00AA4F38" w:rsidRPr="00C045F9">
        <w:t xml:space="preserve">II: </w:t>
      </w:r>
      <w:r w:rsidR="00B4422D" w:rsidRPr="00C045F9">
        <w:rPr>
          <w:b/>
        </w:rPr>
        <w:t>C</w:t>
      </w:r>
      <w:r w:rsidR="00AA4F38" w:rsidRPr="00C045F9">
        <w:rPr>
          <w:b/>
        </w:rPr>
        <w:t xml:space="preserve">ore capital o </w:t>
      </w:r>
      <w:proofErr w:type="spellStart"/>
      <w:r w:rsidR="00AA4F38" w:rsidRPr="00C045F9">
        <w:rPr>
          <w:b/>
        </w:rPr>
        <w:t>Tier</w:t>
      </w:r>
      <w:proofErr w:type="spellEnd"/>
      <w:r w:rsidR="00B9073A">
        <w:rPr>
          <w:b/>
        </w:rPr>
        <w:t> </w:t>
      </w:r>
      <w:r w:rsidR="00AA4F38" w:rsidRPr="00C045F9">
        <w:rPr>
          <w:b/>
        </w:rPr>
        <w:t xml:space="preserve">1 de </w:t>
      </w:r>
      <w:r w:rsidR="00AA4F38" w:rsidRPr="00C045F9">
        <w:rPr>
          <w:b/>
          <w:u w:val="single"/>
        </w:rPr>
        <w:t>hasta el 10</w:t>
      </w:r>
      <w:r w:rsidR="00165C36">
        <w:rPr>
          <w:b/>
          <w:u w:val="single"/>
        </w:rPr>
        <w:t> %</w:t>
      </w:r>
      <w:r w:rsidR="008765E4" w:rsidRPr="00C045F9">
        <w:t>.</w:t>
      </w:r>
    </w:p>
    <w:p w14:paraId="4A567F15" w14:textId="507B12F3" w:rsidR="00A90163" w:rsidRPr="00C045F9" w:rsidRDefault="00A90163" w:rsidP="00BC1829">
      <w:pPr>
        <w:pStyle w:val="Ttulo8"/>
      </w:pPr>
      <w:r w:rsidRPr="00C51A57">
        <w:t>Recapitalización</w:t>
      </w:r>
      <w:r w:rsidR="00C51A57">
        <w:t>:</w:t>
      </w:r>
    </w:p>
    <w:p w14:paraId="73561B7F" w14:textId="45817E7D" w:rsidR="00A90163" w:rsidRPr="00C045F9" w:rsidRDefault="00AA4F38" w:rsidP="00C51A57">
      <w:pPr>
        <w:pStyle w:val="Nivel3SM"/>
      </w:pPr>
      <w:r w:rsidRPr="00C045F9">
        <w:rPr>
          <w:b/>
        </w:rPr>
        <w:t>El Banco de España</w:t>
      </w:r>
      <w:r w:rsidRPr="00C045F9">
        <w:t xml:space="preserve"> examinó qué entidades cumplían con los nuevos requerimientos, concluyendo que </w:t>
      </w:r>
      <w:r w:rsidRPr="00C045F9">
        <w:rPr>
          <w:b/>
        </w:rPr>
        <w:t>12 de ellas debían mejorar sus ratios</w:t>
      </w:r>
      <w:r w:rsidRPr="00C045F9">
        <w:t xml:space="preserve">, lo que hicieron con </w:t>
      </w:r>
      <w:r w:rsidRPr="00C045F9">
        <w:rPr>
          <w:b/>
        </w:rPr>
        <w:t>aumentos de capital (Barclays)</w:t>
      </w:r>
      <w:r w:rsidRPr="00C045F9">
        <w:t xml:space="preserve">, </w:t>
      </w:r>
      <w:r w:rsidRPr="00C045F9">
        <w:rPr>
          <w:b/>
        </w:rPr>
        <w:t>salidas a bolsa (Bankia)</w:t>
      </w:r>
      <w:r w:rsidRPr="00C045F9">
        <w:t>, etc.</w:t>
      </w:r>
    </w:p>
    <w:p w14:paraId="7BDBBD55" w14:textId="17B8E286" w:rsidR="00AA4F38" w:rsidRPr="00C045F9" w:rsidRDefault="00AA4F38" w:rsidP="00C51A57">
      <w:pPr>
        <w:pStyle w:val="Nivel3SM"/>
      </w:pPr>
      <w:r w:rsidRPr="00C045F9">
        <w:t xml:space="preserve">Quienes </w:t>
      </w:r>
      <w:r w:rsidRPr="00C045F9">
        <w:rPr>
          <w:b/>
        </w:rPr>
        <w:t>no consiguieron captar los capitales</w:t>
      </w:r>
      <w:r w:rsidRPr="00C045F9">
        <w:t xml:space="preserve"> necesarios debieron </w:t>
      </w:r>
      <w:r w:rsidRPr="00C045F9">
        <w:rPr>
          <w:u w:val="single"/>
        </w:rPr>
        <w:t>acudir al FROB</w:t>
      </w:r>
      <w:r w:rsidRPr="00C045F9">
        <w:t>.</w:t>
      </w:r>
    </w:p>
    <w:p w14:paraId="37FB64F5" w14:textId="10BF3D9E" w:rsidR="00FE745B" w:rsidRPr="00C045F9" w:rsidRDefault="00FE745B" w:rsidP="00C51A57">
      <w:pPr>
        <w:pStyle w:val="Nivel2SM"/>
        <w:keepNext/>
        <w:spacing w:after="0"/>
      </w:pPr>
      <w:r w:rsidRPr="00C51A57">
        <w:rPr>
          <w:u w:val="single"/>
        </w:rPr>
        <w:t>Pero medidas insuficientes</w:t>
      </w:r>
      <w:r w:rsidRPr="00C045F9">
        <w:t>:</w:t>
      </w:r>
    </w:p>
    <w:p w14:paraId="425CE73E" w14:textId="799BF28D" w:rsidR="00220FF1" w:rsidRPr="00C045F9" w:rsidRDefault="00E32DF0" w:rsidP="00C51A57">
      <w:pPr>
        <w:pStyle w:val="Nivel3SM"/>
      </w:pPr>
      <w:r w:rsidRPr="00C045F9">
        <w:t>N</w:t>
      </w:r>
      <w:r w:rsidR="00220FF1" w:rsidRPr="00C045F9">
        <w:t>o hubo un criterio claro que guiara la reforma.</w:t>
      </w:r>
    </w:p>
    <w:p w14:paraId="43ACEEF8" w14:textId="5CDB36D7" w:rsidR="00B4422D" w:rsidRPr="00C045F9" w:rsidRDefault="00220FF1" w:rsidP="00C51A57">
      <w:pPr>
        <w:pStyle w:val="Nivel3SM"/>
      </w:pPr>
      <w:r w:rsidRPr="00C045F9">
        <w:t>El resultado fue una sucesión de medidas parciales que no permitieron acometer la reestructuración completa del sector.</w:t>
      </w:r>
    </w:p>
    <w:p w14:paraId="49590250" w14:textId="0BC1D8F7" w:rsidR="00FE745B" w:rsidRPr="00AB7CB1" w:rsidRDefault="00B4422D" w:rsidP="000E2105">
      <w:pPr>
        <w:pStyle w:val="Ttulo6"/>
      </w:pPr>
      <w:bookmarkStart w:id="50" w:name="_Toc178010334"/>
      <w:r w:rsidRPr="00C045F9">
        <w:t>Tercer episodio de la crisis de deuda soberana: Rescate del sistema bancario español</w:t>
      </w:r>
      <w:bookmarkEnd w:id="50"/>
    </w:p>
    <w:p w14:paraId="6FBA2F8D" w14:textId="031FE150" w:rsidR="00B4422D" w:rsidRPr="00C045F9" w:rsidRDefault="00B4422D" w:rsidP="000E2105">
      <w:pPr>
        <w:pStyle w:val="Ttulo7"/>
        <w:spacing w:before="0"/>
      </w:pPr>
      <w:r w:rsidRPr="00C045F9">
        <w:t>Descripción</w:t>
      </w:r>
    </w:p>
    <w:p w14:paraId="44682112" w14:textId="5C433192" w:rsidR="002749C8" w:rsidRPr="00C045F9" w:rsidRDefault="001A1B5B" w:rsidP="000409A8">
      <w:pPr>
        <w:pStyle w:val="Nivel2SM"/>
      </w:pPr>
      <w:r w:rsidRPr="00C045F9">
        <w:t xml:space="preserve">Pero el contagio sobre la economía española y sobre el sector financiero no cesaron. Es más </w:t>
      </w:r>
      <w:r w:rsidR="002749C8" w:rsidRPr="00C045F9">
        <w:t xml:space="preserve">se recrudecieron, </w:t>
      </w:r>
      <w:r w:rsidRPr="00C045F9">
        <w:t xml:space="preserve">alcanzando </w:t>
      </w:r>
      <w:r w:rsidR="002749C8" w:rsidRPr="00C045F9">
        <w:t xml:space="preserve">la prima de riesgo máximos históricos: </w:t>
      </w:r>
      <w:r w:rsidR="002749C8" w:rsidRPr="00C045F9">
        <w:rPr>
          <w:u w:val="single"/>
        </w:rPr>
        <w:t>el 23 de julio de 2012 llegó a alcanzar 630</w:t>
      </w:r>
      <w:r w:rsidR="000409A8">
        <w:rPr>
          <w:u w:val="single"/>
        </w:rPr>
        <w:t> </w:t>
      </w:r>
      <w:r w:rsidR="002749C8" w:rsidRPr="00C045F9">
        <w:rPr>
          <w:u w:val="single"/>
        </w:rPr>
        <w:t>puntos</w:t>
      </w:r>
      <w:r w:rsidR="002749C8" w:rsidRPr="00C045F9">
        <w:t>.</w:t>
      </w:r>
    </w:p>
    <w:p w14:paraId="74E7318D" w14:textId="67F094CA" w:rsidR="00B4422D" w:rsidRPr="00AB7CB1" w:rsidRDefault="00E32DF0" w:rsidP="000E2105">
      <w:pPr>
        <w:pStyle w:val="Ttulo7"/>
      </w:pPr>
      <w:r w:rsidRPr="00C045F9">
        <w:t>Impacto</w:t>
      </w:r>
    </w:p>
    <w:p w14:paraId="6464F0E5" w14:textId="2554C513" w:rsidR="002F3049" w:rsidRPr="00C045F9" w:rsidRDefault="00700A68" w:rsidP="00DF34EE">
      <w:pPr>
        <w:pStyle w:val="Nivel2SM"/>
        <w:keepNext/>
        <w:spacing w:after="0"/>
      </w:pPr>
      <w:r>
        <w:t>Esto provocó 2 </w:t>
      </w:r>
      <w:r w:rsidR="002F3049" w:rsidRPr="00700A68">
        <w:rPr>
          <w:b/>
          <w:bCs/>
        </w:rPr>
        <w:t>efectos sobre el sector financiero</w:t>
      </w:r>
      <w:r w:rsidR="002F3049" w:rsidRPr="00C045F9">
        <w:t>:</w:t>
      </w:r>
    </w:p>
    <w:p w14:paraId="6880DFD8" w14:textId="3F6487AE" w:rsidR="002F3049" w:rsidRPr="00C045F9" w:rsidRDefault="001A1B5B" w:rsidP="00DF34EE">
      <w:pPr>
        <w:pStyle w:val="Nivel3SM"/>
      </w:pPr>
      <w:r w:rsidRPr="00700A68">
        <w:rPr>
          <w:i/>
          <w:iCs/>
          <w:u w:val="single"/>
        </w:rPr>
        <w:t>Circulo vicioso</w:t>
      </w:r>
      <w:r w:rsidR="00DF34EE" w:rsidRPr="00DF34EE">
        <w:t xml:space="preserve">: </w:t>
      </w:r>
      <w:r w:rsidR="002F3049" w:rsidRPr="00C045F9">
        <w:t xml:space="preserve">Intensificación del problema del círculo vicioso de la deuda bancaria y del </w:t>
      </w:r>
      <w:r w:rsidR="00700A68">
        <w:t>E</w:t>
      </w:r>
      <w:r w:rsidR="002F3049" w:rsidRPr="00C045F9">
        <w:t>stado.</w:t>
      </w:r>
    </w:p>
    <w:p w14:paraId="7E295BD3" w14:textId="7ABEE1EB" w:rsidR="00B4422D" w:rsidRPr="00700A68" w:rsidRDefault="0095392E" w:rsidP="00DF34EE">
      <w:pPr>
        <w:pStyle w:val="Nivel3SM"/>
      </w:pPr>
      <w:r w:rsidRPr="00700A68">
        <w:rPr>
          <w:i/>
          <w:iCs/>
          <w:u w:val="single"/>
        </w:rPr>
        <w:lastRenderedPageBreak/>
        <w:t>P</w:t>
      </w:r>
      <w:r w:rsidR="001A1B5B" w:rsidRPr="00700A68">
        <w:rPr>
          <w:i/>
          <w:iCs/>
          <w:u w:val="single"/>
        </w:rPr>
        <w:t>roblema de hojas de balance</w:t>
      </w:r>
      <w:r w:rsidR="001A1B5B" w:rsidRPr="00C045F9">
        <w:t xml:space="preserve">: </w:t>
      </w:r>
      <w:r w:rsidR="00700A68">
        <w:t>Esto se r</w:t>
      </w:r>
      <w:r w:rsidR="001A1B5B" w:rsidRPr="00C045F9">
        <w:t>eflej</w:t>
      </w:r>
      <w:r w:rsidR="00700A68">
        <w:t>a</w:t>
      </w:r>
      <w:r w:rsidR="001A1B5B" w:rsidRPr="00C045F9">
        <w:t xml:space="preserve"> </w:t>
      </w:r>
      <w:r w:rsidR="00700A68">
        <w:t xml:space="preserve">en la </w:t>
      </w:r>
      <w:r w:rsidR="00700A68" w:rsidRPr="00700A68">
        <w:t>s</w:t>
      </w:r>
      <w:r w:rsidR="008765E4" w:rsidRPr="00700A68">
        <w:t>olicitud de Bankia de convertir en capital los 4</w:t>
      </w:r>
      <w:r w:rsidR="006C2665" w:rsidRPr="00700A68">
        <w:t>.</w:t>
      </w:r>
      <w:r w:rsidR="008765E4" w:rsidRPr="00700A68">
        <w:t>5</w:t>
      </w:r>
      <w:r w:rsidRPr="00700A68">
        <w:t>00</w:t>
      </w:r>
      <w:r w:rsidR="006C2665" w:rsidRPr="00700A68">
        <w:t> millones</w:t>
      </w:r>
      <w:r w:rsidR="008765E4" w:rsidRPr="00700A68">
        <w:t xml:space="preserve"> de euros en participaciones preferentes y </w:t>
      </w:r>
      <w:r w:rsidR="002F3049" w:rsidRPr="00700A68">
        <w:t>pedir</w:t>
      </w:r>
      <w:r w:rsidR="00E32DF0" w:rsidRPr="00700A68">
        <w:t xml:space="preserve"> en los mercados financieros</w:t>
      </w:r>
      <w:r w:rsidR="002F3049" w:rsidRPr="00700A68">
        <w:t xml:space="preserve"> </w:t>
      </w:r>
      <w:r w:rsidR="008765E4" w:rsidRPr="00700A68">
        <w:t>19</w:t>
      </w:r>
      <w:r w:rsidR="006C2665" w:rsidRPr="00700A68">
        <w:t>.</w:t>
      </w:r>
      <w:r w:rsidR="008765E4" w:rsidRPr="00700A68">
        <w:t>000</w:t>
      </w:r>
      <w:r w:rsidR="006C2665" w:rsidRPr="00700A68">
        <w:t> </w:t>
      </w:r>
      <w:r w:rsidR="008765E4" w:rsidRPr="00700A68">
        <w:t xml:space="preserve">millones </w:t>
      </w:r>
      <w:r w:rsidR="006C2665" w:rsidRPr="00700A68">
        <w:t xml:space="preserve">de euros </w:t>
      </w:r>
      <w:r w:rsidR="008765E4" w:rsidRPr="00700A68">
        <w:t>adicionales para completar su recapitalización.</w:t>
      </w:r>
    </w:p>
    <w:p w14:paraId="131ED4F9" w14:textId="77777777" w:rsidR="00270953" w:rsidRDefault="00B4422D" w:rsidP="000E2105">
      <w:pPr>
        <w:pStyle w:val="Ttulo7"/>
      </w:pPr>
      <w:r w:rsidRPr="00C045F9">
        <w:t>Medidas</w:t>
      </w:r>
    </w:p>
    <w:p w14:paraId="1450A9F6" w14:textId="17D64B98" w:rsidR="002749C8" w:rsidRPr="00C045F9" w:rsidRDefault="00B4422D" w:rsidP="00270953">
      <w:pPr>
        <w:pStyle w:val="Ttulo8"/>
        <w:spacing w:before="0"/>
      </w:pPr>
      <w:r w:rsidRPr="00C045F9">
        <w:t>Rescate del sistema bancario español</w:t>
      </w:r>
    </w:p>
    <w:p w14:paraId="7248A75E" w14:textId="7656E2AF" w:rsidR="002749C8" w:rsidRPr="00C045F9" w:rsidRDefault="008765E4" w:rsidP="000409A8">
      <w:pPr>
        <w:pStyle w:val="Nivel2SM"/>
      </w:pPr>
      <w:r w:rsidRPr="00C045F9">
        <w:t>Consumidos la mayor parte de los recursos tanto de FROB como del Fondo de Garantía de Depósitos, e</w:t>
      </w:r>
      <w:r w:rsidR="002749C8" w:rsidRPr="00C045F9">
        <w:t xml:space="preserve">l 20 de julio de 2012, el Gobierno español solicitó a las autoridades comunitarias asistencia financiera para llevar a cabo el proceso de reestructuración y recapitalización del sector bancario. </w:t>
      </w:r>
      <w:r w:rsidR="002749C8" w:rsidRPr="00C045F9">
        <w:rPr>
          <w:b/>
        </w:rPr>
        <w:t xml:space="preserve">En total, </w:t>
      </w:r>
      <w:r w:rsidR="0095392E" w:rsidRPr="00C045F9">
        <w:rPr>
          <w:b/>
        </w:rPr>
        <w:t xml:space="preserve">las autoridades europeas </w:t>
      </w:r>
      <w:r w:rsidR="002749C8" w:rsidRPr="00C045F9">
        <w:rPr>
          <w:b/>
        </w:rPr>
        <w:t>concedieron a España ~40.000</w:t>
      </w:r>
      <w:r w:rsidR="00AB7CB1">
        <w:rPr>
          <w:b/>
        </w:rPr>
        <w:t> </w:t>
      </w:r>
      <w:r w:rsidR="002749C8" w:rsidRPr="00C045F9">
        <w:rPr>
          <w:b/>
        </w:rPr>
        <w:t>M€</w:t>
      </w:r>
      <w:r w:rsidR="002749C8" w:rsidRPr="00C045F9">
        <w:t>.</w:t>
      </w:r>
    </w:p>
    <w:p w14:paraId="6849A639" w14:textId="3A460D36" w:rsidR="00B4422D" w:rsidRPr="00C045F9" w:rsidRDefault="00B4422D" w:rsidP="00DF34EE">
      <w:pPr>
        <w:pStyle w:val="Nivel2SM"/>
        <w:keepNext/>
        <w:spacing w:after="0"/>
      </w:pPr>
      <w:r w:rsidRPr="00C045F9">
        <w:t>Este programa implementó una estricta condicionalidad basada en:</w:t>
      </w:r>
    </w:p>
    <w:p w14:paraId="6C7ADA41" w14:textId="29D70E23" w:rsidR="00B4422D" w:rsidRPr="00C045F9" w:rsidRDefault="00B4422D" w:rsidP="00BC1829">
      <w:pPr>
        <w:pStyle w:val="Nivel3SM"/>
        <w:keepNext/>
      </w:pPr>
      <w:r w:rsidRPr="000E0AB5">
        <w:rPr>
          <w:i/>
          <w:iCs/>
          <w:u w:val="single"/>
        </w:rPr>
        <w:t>Implementación de un mecanismo de segregación de activos conocido como un banco malo (SAREB)</w:t>
      </w:r>
      <w:r w:rsidRPr="00C045F9">
        <w:t>.</w:t>
      </w:r>
    </w:p>
    <w:p w14:paraId="583752D9" w14:textId="4D0492B7" w:rsidR="00B4422D" w:rsidRPr="00C045F9" w:rsidRDefault="00B4422D" w:rsidP="00072A41">
      <w:pPr>
        <w:pStyle w:val="Nivel4"/>
        <w:ind w:left="1474"/>
      </w:pPr>
      <w:r w:rsidRPr="00032974">
        <w:t>Objetivo</w:t>
      </w:r>
      <w:r w:rsidRPr="00C045F9">
        <w:t>:</w:t>
      </w:r>
      <w:r w:rsidR="00072A41">
        <w:t xml:space="preserve"> </w:t>
      </w:r>
      <w:r w:rsidRPr="00C045F9">
        <w:t>Absorber los activos de mala calidad de las entidades.</w:t>
      </w:r>
    </w:p>
    <w:p w14:paraId="7ED4488F" w14:textId="25E04867" w:rsidR="00B4422D" w:rsidRPr="00C045F9" w:rsidRDefault="00B4422D" w:rsidP="00072A41">
      <w:pPr>
        <w:pStyle w:val="Nivel4"/>
        <w:ind w:left="1474"/>
      </w:pPr>
      <w:r w:rsidRPr="00032974">
        <w:t>Perímetro del balance</w:t>
      </w:r>
      <w:r w:rsidR="007B474C">
        <w:t>:</w:t>
      </w:r>
      <w:r w:rsidRPr="00C045F9">
        <w:t xml:space="preserve"> 90</w:t>
      </w:r>
      <w:r w:rsidR="00032974">
        <w:t>.</w:t>
      </w:r>
      <w:r w:rsidRPr="00C045F9">
        <w:t>000</w:t>
      </w:r>
      <w:r w:rsidR="00032974">
        <w:t> </w:t>
      </w:r>
      <w:r w:rsidRPr="00C045F9">
        <w:t>millones como máximo.</w:t>
      </w:r>
    </w:p>
    <w:p w14:paraId="30F09507" w14:textId="77777777" w:rsidR="00B4422D" w:rsidRPr="00C045F9" w:rsidRDefault="00B4422D" w:rsidP="00BC1829">
      <w:pPr>
        <w:pStyle w:val="Nivel4"/>
        <w:keepNext/>
        <w:ind w:left="1474"/>
      </w:pPr>
      <w:r w:rsidRPr="00032974">
        <w:t>Tipología de los activos inmobiliarios que se podrían transferir</w:t>
      </w:r>
      <w:r w:rsidRPr="00C045F9">
        <w:t>.</w:t>
      </w:r>
    </w:p>
    <w:p w14:paraId="189209C8" w14:textId="48E8786C" w:rsidR="00B4422D" w:rsidRPr="00C045F9" w:rsidRDefault="00B4422D" w:rsidP="00072A41">
      <w:pPr>
        <w:pStyle w:val="Nivel5"/>
        <w:ind w:left="1871"/>
      </w:pPr>
      <w:r w:rsidRPr="00C045F9">
        <w:t>Préstamos a promotores</w:t>
      </w:r>
      <w:r w:rsidR="001A1B5B" w:rsidRPr="00C045F9">
        <w:t xml:space="preserve"> (80</w:t>
      </w:r>
      <w:r w:rsidR="00165C36">
        <w:t> %</w:t>
      </w:r>
      <w:r w:rsidR="001A1B5B" w:rsidRPr="00C045F9">
        <w:t>) e inmuebles de toda naturaleza (20</w:t>
      </w:r>
      <w:r w:rsidR="00165C36">
        <w:t> %</w:t>
      </w:r>
      <w:r w:rsidR="001A1B5B" w:rsidRPr="00C045F9">
        <w:t>)</w:t>
      </w:r>
      <w:r w:rsidRPr="00C045F9">
        <w:t>.</w:t>
      </w:r>
    </w:p>
    <w:p w14:paraId="358E0823" w14:textId="7027B758" w:rsidR="00167DB4" w:rsidRPr="00C045F9" w:rsidRDefault="00167DB4" w:rsidP="00072A41">
      <w:pPr>
        <w:pStyle w:val="Nivel5"/>
        <w:ind w:left="1871"/>
      </w:pPr>
      <w:r w:rsidRPr="00C045F9">
        <w:t xml:space="preserve">Los activos permanecerán en el balance </w:t>
      </w:r>
      <w:r w:rsidR="00700A68">
        <w:t>15 </w:t>
      </w:r>
      <w:r w:rsidRPr="00C045F9">
        <w:t>años para evitar más pérdidas por venta a precios reducidos.</w:t>
      </w:r>
    </w:p>
    <w:p w14:paraId="24DAEF53" w14:textId="73953E32" w:rsidR="00B4422D" w:rsidRPr="00C045F9" w:rsidRDefault="00E32DF0" w:rsidP="00BC1829">
      <w:pPr>
        <w:pStyle w:val="Nivel4"/>
        <w:keepNext/>
        <w:ind w:left="1474"/>
      </w:pPr>
      <w:r w:rsidRPr="00032974">
        <w:t>Estructura de capital</w:t>
      </w:r>
      <w:r w:rsidR="00B4422D" w:rsidRPr="00C045F9">
        <w:t>.</w:t>
      </w:r>
    </w:p>
    <w:p w14:paraId="7E1BF700" w14:textId="29993D83" w:rsidR="00167DB4" w:rsidRPr="00C045F9" w:rsidRDefault="00167DB4" w:rsidP="00BC1829">
      <w:pPr>
        <w:pStyle w:val="Nivel5"/>
        <w:keepNext/>
        <w:ind w:left="1871"/>
      </w:pPr>
      <w:r w:rsidRPr="00C045F9">
        <w:t>Deuda</w:t>
      </w:r>
      <w:r w:rsidR="000E0AB5">
        <w:t>:</w:t>
      </w:r>
    </w:p>
    <w:p w14:paraId="11DFAF84" w14:textId="076EB99B" w:rsidR="001A1B5B" w:rsidRPr="00315B16" w:rsidRDefault="001A1B5B" w:rsidP="00072A41">
      <w:pPr>
        <w:pStyle w:val="Nivel6"/>
        <w:ind w:left="2212"/>
        <w:rPr>
          <w:bCs/>
        </w:rPr>
      </w:pPr>
      <w:r w:rsidRPr="00C045F9">
        <w:t xml:space="preserve">La Sareb emitió deuda privada para adquirir su cartera. Estos bonos fueron entregados a las entidades rescatadas pero cuentan </w:t>
      </w:r>
      <w:r w:rsidRPr="00315B16">
        <w:rPr>
          <w:bCs/>
        </w:rPr>
        <w:t>con el aval del gobierno.</w:t>
      </w:r>
    </w:p>
    <w:p w14:paraId="4D5D1FD0" w14:textId="7CC195B5" w:rsidR="00167DB4" w:rsidRPr="00C045F9" w:rsidRDefault="00167DB4" w:rsidP="00BC1829">
      <w:pPr>
        <w:pStyle w:val="Nivel5"/>
        <w:keepNext/>
        <w:ind w:left="1871"/>
      </w:pPr>
      <w:r w:rsidRPr="00C045F9">
        <w:t>Fondos propios</w:t>
      </w:r>
      <w:r w:rsidR="000E0AB5">
        <w:t>:</w:t>
      </w:r>
    </w:p>
    <w:p w14:paraId="089A45A2" w14:textId="77777777" w:rsidR="00167DB4" w:rsidRPr="00C045F9" w:rsidRDefault="00167DB4" w:rsidP="00072A41">
      <w:pPr>
        <w:pStyle w:val="Nivel6"/>
        <w:ind w:left="2212"/>
      </w:pPr>
      <w:r w:rsidRPr="00C045F9">
        <w:t>La mayoría del capital de Sareb está en manos privadas (bancos, aseguradoras, una inmobiliaria y un grupo eléctrico).</w:t>
      </w:r>
    </w:p>
    <w:p w14:paraId="216E0DE1" w14:textId="01A83A9A" w:rsidR="00167DB4" w:rsidRPr="00C045F9" w:rsidRDefault="00167DB4" w:rsidP="00072A41">
      <w:pPr>
        <w:pStyle w:val="Nivel6"/>
        <w:ind w:left="2212"/>
      </w:pPr>
      <w:r w:rsidRPr="00C045F9">
        <w:t>El 45,9</w:t>
      </w:r>
      <w:r w:rsidR="00165C36">
        <w:t> %</w:t>
      </w:r>
      <w:r w:rsidRPr="00C045F9">
        <w:t xml:space="preserve"> pertenece al Estado, a través del Fondo de Reestructuración Ordenada Bancaria (FROB).</w:t>
      </w:r>
    </w:p>
    <w:p w14:paraId="161722CB" w14:textId="309F68FF" w:rsidR="00B4422D" w:rsidRPr="000E0AB5" w:rsidRDefault="00B4422D" w:rsidP="00BC1829">
      <w:pPr>
        <w:pStyle w:val="Nivel3SM"/>
        <w:keepNext/>
        <w:rPr>
          <w:lang w:val="en-US"/>
        </w:rPr>
      </w:pPr>
      <w:proofErr w:type="spellStart"/>
      <w:r w:rsidRPr="000E0AB5">
        <w:rPr>
          <w:i/>
          <w:iCs/>
          <w:u w:val="single"/>
          <w:lang w:val="en-US"/>
        </w:rPr>
        <w:t>Memorando</w:t>
      </w:r>
      <w:proofErr w:type="spellEnd"/>
      <w:r w:rsidRPr="000E0AB5">
        <w:rPr>
          <w:i/>
          <w:iCs/>
          <w:u w:val="single"/>
          <w:lang w:val="en-US"/>
        </w:rPr>
        <w:t xml:space="preserve"> de </w:t>
      </w:r>
      <w:proofErr w:type="spellStart"/>
      <w:r w:rsidRPr="000E0AB5">
        <w:rPr>
          <w:i/>
          <w:iCs/>
          <w:u w:val="single"/>
          <w:lang w:val="en-US"/>
        </w:rPr>
        <w:t>Entendimiento</w:t>
      </w:r>
      <w:proofErr w:type="spellEnd"/>
      <w:r w:rsidR="000E0AB5" w:rsidRPr="000E0AB5">
        <w:rPr>
          <w:i/>
          <w:iCs/>
          <w:u w:val="single"/>
          <w:lang w:val="en-US"/>
        </w:rPr>
        <w:t xml:space="preserve"> (Memorand</w:t>
      </w:r>
      <w:r w:rsidR="00032974">
        <w:rPr>
          <w:i/>
          <w:iCs/>
          <w:u w:val="single"/>
          <w:lang w:val="en-US"/>
        </w:rPr>
        <w:t>u</w:t>
      </w:r>
      <w:r w:rsidR="000E0AB5" w:rsidRPr="000E0AB5">
        <w:rPr>
          <w:i/>
          <w:iCs/>
          <w:u w:val="single"/>
          <w:lang w:val="en-US"/>
        </w:rPr>
        <w:t xml:space="preserve">m of </w:t>
      </w:r>
      <w:r w:rsidR="000E0AB5">
        <w:rPr>
          <w:i/>
          <w:iCs/>
          <w:u w:val="single"/>
          <w:lang w:val="en-US"/>
        </w:rPr>
        <w:t>U</w:t>
      </w:r>
      <w:r w:rsidR="000E0AB5" w:rsidRPr="000E0AB5">
        <w:rPr>
          <w:i/>
          <w:iCs/>
          <w:u w:val="single"/>
          <w:lang w:val="en-US"/>
        </w:rPr>
        <w:t>nderstanding, MOU)</w:t>
      </w:r>
      <w:r w:rsidRPr="000E0AB5">
        <w:rPr>
          <w:lang w:val="en-US"/>
        </w:rPr>
        <w:t>.</w:t>
      </w:r>
    </w:p>
    <w:p w14:paraId="109E861D" w14:textId="20913F13" w:rsidR="00B4422D" w:rsidRPr="00C045F9" w:rsidRDefault="00B4422D" w:rsidP="000E0AB5">
      <w:pPr>
        <w:pStyle w:val="Nivel4"/>
        <w:keepNext/>
        <w:ind w:left="1474"/>
      </w:pPr>
      <w:r w:rsidRPr="00C045F9">
        <w:t>Condicionalidad en el sector financiero</w:t>
      </w:r>
      <w:r w:rsidR="00A57EEC">
        <w:t>:</w:t>
      </w:r>
    </w:p>
    <w:p w14:paraId="2C8BBB23" w14:textId="620E7A10" w:rsidR="00B4422D" w:rsidRPr="00C045F9" w:rsidRDefault="00B4422D" w:rsidP="000E0AB5">
      <w:pPr>
        <w:pStyle w:val="Nivel5"/>
        <w:ind w:left="1871"/>
      </w:pPr>
      <w:r w:rsidRPr="00C045F9">
        <w:t>Prohibición del pago de dividendos y de altos salarios a aquellos bancos que hayan sido rescatados por el MEDE.</w:t>
      </w:r>
    </w:p>
    <w:p w14:paraId="0796F4D3" w14:textId="149CF85A" w:rsidR="00B4422D" w:rsidRPr="00C045F9" w:rsidRDefault="00B4422D" w:rsidP="000E0AB5">
      <w:pPr>
        <w:pStyle w:val="Nivel5"/>
        <w:ind w:left="1871"/>
      </w:pPr>
      <w:r w:rsidRPr="00C045F9">
        <w:t xml:space="preserve">Cláusulas </w:t>
      </w:r>
      <w:proofErr w:type="spellStart"/>
      <w:r w:rsidRPr="00463282">
        <w:rPr>
          <w:i/>
          <w:iCs/>
        </w:rPr>
        <w:t>bail</w:t>
      </w:r>
      <w:proofErr w:type="spellEnd"/>
      <w:r w:rsidRPr="00463282">
        <w:rPr>
          <w:i/>
          <w:iCs/>
        </w:rPr>
        <w:t>-in</w:t>
      </w:r>
      <w:r w:rsidRPr="00C045F9">
        <w:t>.</w:t>
      </w:r>
    </w:p>
    <w:p w14:paraId="453B0497" w14:textId="31141B00" w:rsidR="00B4422D" w:rsidRPr="00C045F9" w:rsidRDefault="00B4422D" w:rsidP="000E0AB5">
      <w:pPr>
        <w:pStyle w:val="Nivel5"/>
        <w:ind w:left="1871"/>
      </w:pPr>
      <w:r w:rsidRPr="00C045F9">
        <w:t>Fomento de la financiación no</w:t>
      </w:r>
      <w:r w:rsidR="00315B16">
        <w:t> </w:t>
      </w:r>
      <w:r w:rsidRPr="00C045F9">
        <w:t>bancaria.</w:t>
      </w:r>
    </w:p>
    <w:p w14:paraId="238AFEAF" w14:textId="055B7481" w:rsidR="00B4422D" w:rsidRPr="00AB7CB1" w:rsidRDefault="00B4422D" w:rsidP="000E0AB5">
      <w:pPr>
        <w:pStyle w:val="Nivel4"/>
        <w:ind w:left="1474"/>
      </w:pPr>
      <w:r w:rsidRPr="00C045F9">
        <w:t>Condicionalidad a nivel macroeconómico</w:t>
      </w:r>
      <w:r w:rsidR="00A57EEC">
        <w:t>.</w:t>
      </w:r>
    </w:p>
    <w:p w14:paraId="4A60E4DB" w14:textId="51BF1BBD" w:rsidR="00A04F20" w:rsidRPr="00AB7CB1" w:rsidRDefault="00A04F20" w:rsidP="00270953">
      <w:pPr>
        <w:pStyle w:val="Ttulo8"/>
      </w:pPr>
      <w:r w:rsidRPr="00C045F9">
        <w:t>Medidas a nivel europeo con fuerte repercusión nacional</w:t>
      </w:r>
    </w:p>
    <w:p w14:paraId="02387E81" w14:textId="5BFB77EA" w:rsidR="004B1D2E" w:rsidRPr="00C045F9" w:rsidRDefault="004B1D2E" w:rsidP="00C51A57">
      <w:pPr>
        <w:pStyle w:val="Nivel2SM"/>
        <w:keepNext/>
        <w:spacing w:after="0"/>
      </w:pPr>
      <w:r w:rsidRPr="00C045F9">
        <w:t>Además, en ese año 2012 se emp</w:t>
      </w:r>
      <w:r w:rsidR="00167DB4" w:rsidRPr="00C045F9">
        <w:t xml:space="preserve">ezó a fraguar la Unión Bancaria </w:t>
      </w:r>
      <w:r w:rsidR="00D917E9" w:rsidRPr="00C045F9">
        <w:t>a nivel europeo con las siguientes características:</w:t>
      </w:r>
    </w:p>
    <w:p w14:paraId="4C59BF47" w14:textId="04EA17A0" w:rsidR="00D917E9" w:rsidRPr="00C045F9" w:rsidRDefault="00D917E9" w:rsidP="000E0AB5">
      <w:pPr>
        <w:pStyle w:val="Nivel3SM"/>
        <w:keepNext/>
      </w:pPr>
      <w:r w:rsidRPr="00270953">
        <w:rPr>
          <w:i/>
          <w:iCs/>
          <w:u w:val="single"/>
        </w:rPr>
        <w:t>Estructura</w:t>
      </w:r>
      <w:r w:rsidR="000E0AB5">
        <w:t>:</w:t>
      </w:r>
    </w:p>
    <w:p w14:paraId="2A0BEB47" w14:textId="2A2EF0E6" w:rsidR="00D917E9" w:rsidRPr="00C045F9" w:rsidRDefault="000409A8" w:rsidP="000E0AB5">
      <w:pPr>
        <w:pStyle w:val="Nivel4"/>
        <w:keepNext/>
        <w:ind w:left="1474"/>
      </w:pPr>
      <w:r>
        <w:t>3 </w:t>
      </w:r>
      <w:r w:rsidR="00D917E9" w:rsidRPr="00C045F9">
        <w:t>pilares:</w:t>
      </w:r>
    </w:p>
    <w:p w14:paraId="264DBD2A" w14:textId="0DF8CC22" w:rsidR="00D917E9" w:rsidRPr="00C045F9" w:rsidRDefault="00D917E9" w:rsidP="000E0AB5">
      <w:pPr>
        <w:pStyle w:val="Nivel5"/>
        <w:ind w:left="1871"/>
      </w:pPr>
      <w:r w:rsidRPr="00C045F9">
        <w:t xml:space="preserve">Mecanismo </w:t>
      </w:r>
      <w:r w:rsidR="004224FD">
        <w:t>Ú</w:t>
      </w:r>
      <w:r w:rsidRPr="00C045F9">
        <w:t xml:space="preserve">nico de </w:t>
      </w:r>
      <w:r w:rsidR="004224FD">
        <w:t>S</w:t>
      </w:r>
      <w:r w:rsidRPr="00C045F9">
        <w:t>upervisión (MUS).</w:t>
      </w:r>
    </w:p>
    <w:p w14:paraId="0F5EBAD8" w14:textId="7F160E9C" w:rsidR="00D917E9" w:rsidRPr="00C045F9" w:rsidRDefault="00D917E9" w:rsidP="000E0AB5">
      <w:pPr>
        <w:pStyle w:val="Nivel5"/>
        <w:ind w:left="1871"/>
      </w:pPr>
      <w:r w:rsidRPr="00C045F9">
        <w:t xml:space="preserve">Mecanismo </w:t>
      </w:r>
      <w:r w:rsidR="004224FD">
        <w:t>Ú</w:t>
      </w:r>
      <w:r w:rsidRPr="00C045F9">
        <w:t xml:space="preserve">nico de </w:t>
      </w:r>
      <w:r w:rsidR="004224FD">
        <w:t>R</w:t>
      </w:r>
      <w:r w:rsidRPr="00C045F9">
        <w:t>esolución (MUR).</w:t>
      </w:r>
    </w:p>
    <w:p w14:paraId="4032A7FE" w14:textId="394D6F37" w:rsidR="00D917E9" w:rsidRPr="00C045F9" w:rsidRDefault="00D917E9" w:rsidP="000E0AB5">
      <w:pPr>
        <w:pStyle w:val="Nivel5"/>
        <w:ind w:left="1871"/>
      </w:pPr>
      <w:r w:rsidRPr="00C045F9">
        <w:t xml:space="preserve">Sistema de </w:t>
      </w:r>
      <w:r w:rsidR="004224FD">
        <w:t>G</w:t>
      </w:r>
      <w:r w:rsidRPr="00C045F9">
        <w:t xml:space="preserve">arantía de </w:t>
      </w:r>
      <w:r w:rsidR="004224FD">
        <w:t>D</w:t>
      </w:r>
      <w:r w:rsidRPr="00C045F9">
        <w:t>epósitos (SGD).</w:t>
      </w:r>
    </w:p>
    <w:p w14:paraId="72638599" w14:textId="3DB8D672" w:rsidR="00D917E9" w:rsidRPr="00C045F9" w:rsidRDefault="00D917E9" w:rsidP="000E0AB5">
      <w:pPr>
        <w:pStyle w:val="Nivel4"/>
        <w:ind w:left="1474"/>
      </w:pPr>
      <w:r w:rsidRPr="00C045F9">
        <w:t>Código único de implementación</w:t>
      </w:r>
      <w:r w:rsidR="00A24652">
        <w:t xml:space="preserve"> (</w:t>
      </w:r>
      <w:r w:rsidR="00A24652">
        <w:rPr>
          <w:i/>
          <w:iCs/>
        </w:rPr>
        <w:t>single rulebook</w:t>
      </w:r>
      <w:r w:rsidR="00A24652">
        <w:t>)</w:t>
      </w:r>
      <w:r w:rsidRPr="00C045F9">
        <w:t>.</w:t>
      </w:r>
    </w:p>
    <w:p w14:paraId="6F0945FA" w14:textId="6F122E2E" w:rsidR="00D917E9" w:rsidRPr="00C045F9" w:rsidRDefault="00D917E9" w:rsidP="000E0AB5">
      <w:pPr>
        <w:pStyle w:val="Nivel4"/>
        <w:keepNext/>
        <w:ind w:left="1474"/>
      </w:pPr>
      <w:r w:rsidRPr="001E14F1">
        <w:rPr>
          <w:i/>
          <w:iCs/>
        </w:rPr>
        <w:t>Backstop fiscal</w:t>
      </w:r>
      <w:r w:rsidRPr="00C045F9">
        <w:t>:</w:t>
      </w:r>
    </w:p>
    <w:p w14:paraId="51CE6A5A" w14:textId="27A371B2" w:rsidR="00D917E9" w:rsidRPr="00C045F9" w:rsidRDefault="00D917E9" w:rsidP="000E0AB5">
      <w:pPr>
        <w:pStyle w:val="Nivel5"/>
        <w:ind w:left="1871"/>
      </w:pPr>
      <w:r w:rsidRPr="00C045F9">
        <w:t>Apoyo financiero y público de última instancia que haga creíble la unión bancaria.</w:t>
      </w:r>
    </w:p>
    <w:p w14:paraId="76D2D323" w14:textId="6CD9E68E" w:rsidR="00D917E9" w:rsidRPr="00C045F9" w:rsidRDefault="000E0AB5" w:rsidP="000E0AB5">
      <w:pPr>
        <w:pStyle w:val="Nivel3SM"/>
        <w:keepNext/>
      </w:pPr>
      <w:r w:rsidRPr="00270953">
        <w:rPr>
          <w:i/>
          <w:iCs/>
          <w:u w:val="single"/>
        </w:rPr>
        <w:lastRenderedPageBreak/>
        <w:t>O</w:t>
      </w:r>
      <w:r w:rsidR="00D917E9" w:rsidRPr="00270953">
        <w:rPr>
          <w:i/>
          <w:iCs/>
          <w:u w:val="single"/>
        </w:rPr>
        <w:t>bjetivo</w:t>
      </w:r>
      <w:r w:rsidR="00D917E9" w:rsidRPr="00C045F9">
        <w:t>:</w:t>
      </w:r>
    </w:p>
    <w:p w14:paraId="10FADAC2" w14:textId="444D9321" w:rsidR="00E32DF0" w:rsidRPr="00C045F9" w:rsidRDefault="00D917E9" w:rsidP="000E0AB5">
      <w:pPr>
        <w:pStyle w:val="Nivel4"/>
        <w:ind w:left="1474"/>
      </w:pPr>
      <w:r w:rsidRPr="00C045F9">
        <w:t xml:space="preserve">Su principal objetivo es </w:t>
      </w:r>
      <w:r w:rsidRPr="000E0AB5">
        <w:rPr>
          <w:i/>
          <w:iCs/>
        </w:rPr>
        <w:t>poner fin al riesgo del círculo vicioso existente entre deuda soberana y deuda bancaria</w:t>
      </w:r>
      <w:r w:rsidRPr="00C045F9">
        <w:t xml:space="preserve"> a la vez que se garantiza un marco de supervisión y seguridad financiera adecuado y se minimiza el coste al contribuyente.</w:t>
      </w:r>
    </w:p>
    <w:p w14:paraId="02A6ED77" w14:textId="5B4254A9" w:rsidR="00D917E9" w:rsidRPr="00C045F9" w:rsidRDefault="00D917E9" w:rsidP="000E0AB5">
      <w:pPr>
        <w:pStyle w:val="Nivel3SM"/>
        <w:keepNext/>
      </w:pPr>
      <w:r w:rsidRPr="00270953">
        <w:rPr>
          <w:i/>
          <w:iCs/>
          <w:u w:val="single"/>
        </w:rPr>
        <w:t>Valoración</w:t>
      </w:r>
      <w:r w:rsidR="000E0AB5">
        <w:t>:</w:t>
      </w:r>
    </w:p>
    <w:p w14:paraId="248676C3" w14:textId="68F4CF97" w:rsidR="00167DB4" w:rsidRPr="00270953" w:rsidRDefault="00D917E9" w:rsidP="000E0AB5">
      <w:pPr>
        <w:pStyle w:val="Nivel4"/>
        <w:ind w:left="1474"/>
      </w:pPr>
      <w:r w:rsidRPr="00C045F9">
        <w:t>Tanto el MUS como el MUR están operativos. No obstante</w:t>
      </w:r>
      <w:r w:rsidR="00146CAB">
        <w:t>,</w:t>
      </w:r>
      <w:r w:rsidRPr="00C045F9">
        <w:t xml:space="preserve"> un acuerdo en materia de garantía de depósitos está lejos de materializarse debido principalmente a la negativa de Alemania de crear una </w:t>
      </w:r>
      <w:r w:rsidRPr="00270953">
        <w:t>red de apoyo fiscal común (</w:t>
      </w:r>
      <w:r w:rsidRPr="00146CAB">
        <w:rPr>
          <w:i/>
          <w:iCs/>
        </w:rPr>
        <w:t>backstop fiscal</w:t>
      </w:r>
      <w:r w:rsidRPr="00270953">
        <w:t>), que haga frente a posibles shocks asimétricos y que por ende dote de credibilidad a dicho Sistema Europeo de Garantía de Depósitos</w:t>
      </w:r>
      <w:r w:rsidR="00146CAB">
        <w:t xml:space="preserve"> (EDIS)</w:t>
      </w:r>
      <w:r w:rsidRPr="00270953">
        <w:t>.</w:t>
      </w:r>
    </w:p>
    <w:p w14:paraId="3464998A" w14:textId="670D823A" w:rsidR="00E5524C" w:rsidRPr="00C045F9" w:rsidRDefault="00332810" w:rsidP="00CA3371">
      <w:pPr>
        <w:pStyle w:val="Ttulo3"/>
      </w:pPr>
      <w:bookmarkStart w:id="51" w:name="_Toc178010335"/>
      <w:r w:rsidRPr="00C045F9">
        <w:t>Resultado de la reforma del sector financiero</w:t>
      </w:r>
      <w:bookmarkEnd w:id="51"/>
    </w:p>
    <w:p w14:paraId="1263176E" w14:textId="5E66D46F" w:rsidR="00E10423" w:rsidRPr="00C045F9" w:rsidRDefault="00E10423" w:rsidP="00C51A57">
      <w:pPr>
        <w:pStyle w:val="Nivel2SM"/>
        <w:keepNext/>
        <w:spacing w:after="0"/>
      </w:pPr>
      <w:r w:rsidRPr="00C045F9">
        <w:t>La reforma del sistema financiero en la reciente crisis ha provocado:</w:t>
      </w:r>
    </w:p>
    <w:p w14:paraId="0C768579" w14:textId="0AD91847" w:rsidR="00E10423" w:rsidRPr="00C045F9" w:rsidRDefault="00E10423" w:rsidP="00072A41">
      <w:pPr>
        <w:pStyle w:val="Nivel3SM"/>
      </w:pPr>
      <w:r w:rsidRPr="00072A41">
        <w:rPr>
          <w:i/>
          <w:iCs/>
          <w:u w:val="single"/>
        </w:rPr>
        <w:t>Homogeneidad</w:t>
      </w:r>
      <w:r w:rsidR="00072A41">
        <w:t xml:space="preserve">: </w:t>
      </w:r>
      <w:r w:rsidRPr="00C045F9">
        <w:t xml:space="preserve">Se ha resuelto la dicotomía </w:t>
      </w:r>
      <w:r w:rsidRPr="00270953">
        <w:rPr>
          <w:i/>
          <w:iCs/>
        </w:rPr>
        <w:t>sui generis</w:t>
      </w:r>
      <w:r w:rsidRPr="00C045F9">
        <w:t xml:space="preserve"> bancos–cajas de ahorros, que provocaba numerosas distorsiones.</w:t>
      </w:r>
    </w:p>
    <w:p w14:paraId="2E14256B" w14:textId="288AB8FC" w:rsidR="00072A41" w:rsidRDefault="00E10423" w:rsidP="00072A41">
      <w:pPr>
        <w:pStyle w:val="Nivel3SM"/>
        <w:keepNext/>
      </w:pPr>
      <w:r w:rsidRPr="00072A41">
        <w:rPr>
          <w:i/>
          <w:iCs/>
          <w:u w:val="single"/>
        </w:rPr>
        <w:t>Solvencia</w:t>
      </w:r>
      <w:r w:rsidR="00072A41">
        <w:t xml:space="preserve">: </w:t>
      </w:r>
      <w:r w:rsidRPr="00C045F9">
        <w:t xml:space="preserve">Ha aumentado la solvencia y solidez del sector, con los exigentes requerimientos de capital, de manera que avanzamos hacia </w:t>
      </w:r>
      <w:r w:rsidR="003917EE">
        <w:rPr>
          <w:b/>
        </w:rPr>
        <w:t>Basilea I</w:t>
      </w:r>
      <w:r w:rsidRPr="00072A41">
        <w:rPr>
          <w:b/>
        </w:rPr>
        <w:t>II</w:t>
      </w:r>
      <w:r w:rsidRPr="00C045F9">
        <w:t xml:space="preserve"> antes que otros países.</w:t>
      </w:r>
    </w:p>
    <w:p w14:paraId="1759B657" w14:textId="43FBCDD4" w:rsidR="00E10423" w:rsidRPr="00C045F9" w:rsidRDefault="00167DB4" w:rsidP="00072A41">
      <w:pPr>
        <w:pStyle w:val="Nivel4"/>
        <w:ind w:left="1474"/>
      </w:pPr>
      <w:r w:rsidRPr="00C045F9">
        <w:t>S</w:t>
      </w:r>
      <w:r w:rsidR="00E10423" w:rsidRPr="00C045F9">
        <w:t xml:space="preserve">e calcula que, desde que comenzó la crisis, la banca española ha realizado </w:t>
      </w:r>
      <w:r w:rsidR="00E10423" w:rsidRPr="00072A41">
        <w:rPr>
          <w:b/>
        </w:rPr>
        <w:t>provisiones y saneamientos por valor del 30</w:t>
      </w:r>
      <w:r w:rsidR="00165C36" w:rsidRPr="00072A41">
        <w:rPr>
          <w:b/>
        </w:rPr>
        <w:t> %</w:t>
      </w:r>
      <w:r w:rsidR="00E10423" w:rsidRPr="00072A41">
        <w:rPr>
          <w:b/>
        </w:rPr>
        <w:t xml:space="preserve"> del PIB</w:t>
      </w:r>
      <w:r w:rsidR="00E10423" w:rsidRPr="00C045F9">
        <w:t>.</w:t>
      </w:r>
    </w:p>
    <w:p w14:paraId="239B3FE5" w14:textId="07E04E84" w:rsidR="00E10423" w:rsidRPr="00C045F9" w:rsidRDefault="00E10423" w:rsidP="00072A41">
      <w:pPr>
        <w:pStyle w:val="Nivel3SM"/>
        <w:keepNext/>
      </w:pPr>
      <w:r w:rsidRPr="00072A41">
        <w:rPr>
          <w:i/>
          <w:iCs/>
          <w:u w:val="single"/>
        </w:rPr>
        <w:t>Eficiencia</w:t>
      </w:r>
      <w:r w:rsidR="00072A41">
        <w:t xml:space="preserve">: </w:t>
      </w:r>
      <w:r w:rsidRPr="00C045F9">
        <w:t xml:space="preserve">Ha aumentado la eficiencia con la </w:t>
      </w:r>
      <w:r w:rsidRPr="00072A41">
        <w:rPr>
          <w:b/>
        </w:rPr>
        <w:t>concentración del sector</w:t>
      </w:r>
      <w:r w:rsidRPr="00C045F9">
        <w:t>, disminuyendo el exceso de capacidad instalada.</w:t>
      </w:r>
    </w:p>
    <w:p w14:paraId="15EEEAE4" w14:textId="4671D718" w:rsidR="00E10423" w:rsidRPr="00C045F9" w:rsidRDefault="00E10423" w:rsidP="00072A41">
      <w:pPr>
        <w:pStyle w:val="Nivel4"/>
        <w:ind w:left="1474"/>
      </w:pPr>
      <w:r w:rsidRPr="00C045F9">
        <w:t xml:space="preserve">El número de bancos y cajas de ahorros se ha reducido </w:t>
      </w:r>
      <w:r w:rsidR="00167DB4" w:rsidRPr="00C045F9">
        <w:t>un 50</w:t>
      </w:r>
      <w:r w:rsidR="00165C36">
        <w:t> %</w:t>
      </w:r>
      <w:r w:rsidRPr="00C045F9">
        <w:t>, el de oficinas ha disminuido en un 30</w:t>
      </w:r>
      <w:r w:rsidR="00165C36">
        <w:t> %</w:t>
      </w:r>
      <w:r w:rsidRPr="00C045F9">
        <w:t xml:space="preserve"> y el número de empleados, en un 25</w:t>
      </w:r>
      <w:r w:rsidR="00165C36">
        <w:t> %</w:t>
      </w:r>
      <w:r w:rsidRPr="00C045F9">
        <w:t>.</w:t>
      </w:r>
    </w:p>
    <w:p w14:paraId="24DA7A70" w14:textId="158C3F81" w:rsidR="00E10423" w:rsidRPr="00C045F9" w:rsidRDefault="00E10423" w:rsidP="00072A41">
      <w:pPr>
        <w:pStyle w:val="Nivel3SM"/>
      </w:pPr>
      <w:r w:rsidRPr="00072A41">
        <w:rPr>
          <w:i/>
          <w:iCs/>
          <w:u w:val="single"/>
        </w:rPr>
        <w:t>Pérdida de soberanía</w:t>
      </w:r>
      <w:r w:rsidR="00072A41" w:rsidRPr="00072A41">
        <w:t>:</w:t>
      </w:r>
      <w:r w:rsidR="00072A41">
        <w:t xml:space="preserve"> </w:t>
      </w:r>
      <w:r w:rsidRPr="00C045F9">
        <w:t>En favor de instituciones europeas.</w:t>
      </w:r>
    </w:p>
    <w:p w14:paraId="17796B2C" w14:textId="704615DE" w:rsidR="00167DB4" w:rsidRPr="00072A41" w:rsidRDefault="00E10423" w:rsidP="00072A41">
      <w:pPr>
        <w:pStyle w:val="Nivel3SM"/>
        <w:rPr>
          <w:u w:val="single"/>
        </w:rPr>
      </w:pPr>
      <w:r w:rsidRPr="00072A41">
        <w:rPr>
          <w:i/>
          <w:iCs/>
          <w:u w:val="single"/>
        </w:rPr>
        <w:t>Fuerte inyección de dinero público</w:t>
      </w:r>
      <w:r w:rsidR="00072A41">
        <w:t>:</w:t>
      </w:r>
    </w:p>
    <w:p w14:paraId="38BB9E54" w14:textId="12FFCE6E" w:rsidR="00167DB4" w:rsidRPr="00C045F9" w:rsidRDefault="00165C36" w:rsidP="00AB7CB1">
      <w:pPr>
        <w:ind w:left="709"/>
        <w:jc w:val="center"/>
      </w:pPr>
      <w:r w:rsidRPr="00C045F9">
        <w:rPr>
          <w:noProof/>
        </w:rPr>
        <w:drawing>
          <wp:inline distT="0" distB="0" distL="0" distR="0" wp14:anchorId="27774B79" wp14:editId="4FA556E1">
            <wp:extent cx="3026276" cy="1932106"/>
            <wp:effectExtent l="19050" t="19050" r="22225" b="1143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1717" cy="1935580"/>
                    </a:xfrm>
                    <a:prstGeom prst="rect">
                      <a:avLst/>
                    </a:prstGeom>
                    <a:noFill/>
                    <a:ln w="6350" cmpd="sng">
                      <a:solidFill>
                        <a:srgbClr val="000000"/>
                      </a:solidFill>
                      <a:miter lim="800000"/>
                      <a:headEnd/>
                      <a:tailEnd/>
                    </a:ln>
                    <a:effectLst/>
                  </pic:spPr>
                </pic:pic>
              </a:graphicData>
            </a:graphic>
          </wp:inline>
        </w:drawing>
      </w:r>
    </w:p>
    <w:p w14:paraId="10B5D2E9" w14:textId="77777777" w:rsidR="004A4137" w:rsidRPr="00C045F9" w:rsidRDefault="004A4137" w:rsidP="00072A41">
      <w:pPr>
        <w:pStyle w:val="Nivel4"/>
        <w:keepNext/>
        <w:ind w:left="1474"/>
      </w:pPr>
      <w:r w:rsidRPr="00072A41">
        <w:rPr>
          <w:i/>
          <w:iCs/>
        </w:rPr>
        <w:t>Capital</w:t>
      </w:r>
      <w:r w:rsidRPr="00C045F9">
        <w:t>:</w:t>
      </w:r>
    </w:p>
    <w:p w14:paraId="2A68F8AE" w14:textId="4D75F7EB" w:rsidR="00E10423" w:rsidRPr="00C045F9" w:rsidRDefault="00E10423" w:rsidP="00072A41">
      <w:pPr>
        <w:pStyle w:val="Nivel5"/>
        <w:ind w:left="1871"/>
      </w:pPr>
      <w:r w:rsidRPr="00C045F9">
        <w:t>50.000</w:t>
      </w:r>
      <w:r w:rsidR="00DF34EE">
        <w:t> millones de euros</w:t>
      </w:r>
      <w:r w:rsidRPr="00C045F9">
        <w:t xml:space="preserve"> aportados por el FROB, de los que ~40.000</w:t>
      </w:r>
      <w:r w:rsidR="00DF34EE">
        <w:t> millones de euros</w:t>
      </w:r>
      <w:r w:rsidRPr="00C045F9">
        <w:t xml:space="preserve"> procedieron del rescate bancario.</w:t>
      </w:r>
    </w:p>
    <w:p w14:paraId="1819025B" w14:textId="7ADD3DE8" w:rsidR="00E10423" w:rsidRPr="00C045F9" w:rsidRDefault="00E10423" w:rsidP="00072A41">
      <w:pPr>
        <w:pStyle w:val="Nivel5"/>
        <w:keepNext/>
        <w:ind w:left="1871"/>
      </w:pPr>
      <w:r w:rsidRPr="00C045F9">
        <w:t>De esos 50.000</w:t>
      </w:r>
      <w:r w:rsidR="00DF34EE">
        <w:t> millones de euros</w:t>
      </w:r>
      <w:r w:rsidRPr="00C045F9">
        <w:t>, el Estado sólo ha recuperado de momento 3.000</w:t>
      </w:r>
      <w:r w:rsidR="00DF34EE">
        <w:t> millones de euros</w:t>
      </w:r>
      <w:r w:rsidRPr="00C045F9">
        <w:t>.</w:t>
      </w:r>
    </w:p>
    <w:p w14:paraId="127C1A0E" w14:textId="41B4D4AD" w:rsidR="00E10423" w:rsidRPr="00C045F9" w:rsidRDefault="00E10423" w:rsidP="00072A41">
      <w:pPr>
        <w:pStyle w:val="Nivel6"/>
        <w:ind w:left="2212"/>
      </w:pPr>
      <w:r w:rsidRPr="00C045F9">
        <w:t>La clave para recobrar el dinero será la privatización de Bankia, donde el Estado tiene invertidos 22.000</w:t>
      </w:r>
      <w:r w:rsidR="00DF34EE">
        <w:t> millones de euros</w:t>
      </w:r>
      <w:r w:rsidRPr="00C045F9">
        <w:t>.</w:t>
      </w:r>
    </w:p>
    <w:p w14:paraId="3E003904" w14:textId="25B823CA" w:rsidR="00167DB4" w:rsidRPr="00C045F9" w:rsidRDefault="00167DB4" w:rsidP="00072A41">
      <w:pPr>
        <w:pStyle w:val="Nivel5"/>
        <w:ind w:left="1871"/>
      </w:pPr>
      <w:r w:rsidRPr="00C045F9">
        <w:t>E</w:t>
      </w:r>
      <w:r w:rsidR="00E10423" w:rsidRPr="00C045F9">
        <w:t>l Gobierno ha admitido en privado que da por perdidos 26.000</w:t>
      </w:r>
      <w:r w:rsidR="00DF34EE">
        <w:t> millones de euros</w:t>
      </w:r>
      <w:r w:rsidRPr="00C045F9">
        <w:t>.</w:t>
      </w:r>
    </w:p>
    <w:p w14:paraId="2998358E" w14:textId="3E5F0D7D" w:rsidR="00432465" w:rsidRPr="00C045F9" w:rsidRDefault="00167DB4" w:rsidP="00072A41">
      <w:pPr>
        <w:pStyle w:val="Nivel5"/>
        <w:ind w:left="1871"/>
      </w:pPr>
      <w:r w:rsidRPr="00C045F9">
        <w:t>E</w:t>
      </w:r>
      <w:r w:rsidR="00E10423" w:rsidRPr="00C045F9">
        <w:t>l Tribunal de Cuentas eleva esa cantidad a 40.000</w:t>
      </w:r>
      <w:r w:rsidR="00DF34EE">
        <w:t> millones de euros</w:t>
      </w:r>
      <w:r w:rsidR="00E10423" w:rsidRPr="00C045F9">
        <w:t xml:space="preserve">. </w:t>
      </w:r>
    </w:p>
    <w:p w14:paraId="4F4B6007" w14:textId="77777777" w:rsidR="00E10423" w:rsidRPr="00C045F9" w:rsidRDefault="00E10423" w:rsidP="00072A41">
      <w:pPr>
        <w:pStyle w:val="Nivel5"/>
        <w:ind w:left="1871"/>
      </w:pPr>
      <w:r w:rsidRPr="00C045F9">
        <w:t>En cualquier caso, no se podrá saber la cifra exacta hasta la venta de las entidades en manos del FROB y la desinversión de la Sareb.</w:t>
      </w:r>
    </w:p>
    <w:p w14:paraId="19AFC569" w14:textId="28E3A40C" w:rsidR="004A4137" w:rsidRPr="00072A41" w:rsidRDefault="004A4137" w:rsidP="00072A41">
      <w:pPr>
        <w:pStyle w:val="Nivel4"/>
        <w:keepNext/>
        <w:ind w:left="1474"/>
        <w:rPr>
          <w:i/>
          <w:iCs/>
        </w:rPr>
      </w:pPr>
      <w:r w:rsidRPr="00072A41">
        <w:rPr>
          <w:i/>
          <w:iCs/>
        </w:rPr>
        <w:lastRenderedPageBreak/>
        <w:t>Otros apoyos financieros</w:t>
      </w:r>
      <w:r w:rsidR="00072A41">
        <w:t>:</w:t>
      </w:r>
    </w:p>
    <w:p w14:paraId="19D8493E" w14:textId="5D7D2C2D" w:rsidR="00E10423" w:rsidRPr="00C045F9" w:rsidRDefault="004A4137" w:rsidP="00072A41">
      <w:pPr>
        <w:pStyle w:val="Nivel5"/>
        <w:ind w:left="1871"/>
      </w:pPr>
      <w:r w:rsidRPr="00C045F9">
        <w:t>Ahora bien, si además de las ayudas en forma de inyección de capital incluimos también las ayudas en forma de avales y otros créditos urgentes, el total de apoyos financieros del Estado ronda los 220.000</w:t>
      </w:r>
      <w:r w:rsidR="00DF34EE">
        <w:t> </w:t>
      </w:r>
      <w:r w:rsidRPr="00C045F9">
        <w:t>millones de euros (50.000</w:t>
      </w:r>
      <w:r w:rsidR="00DF34EE">
        <w:t> </w:t>
      </w:r>
      <w:r w:rsidRPr="00C045F9">
        <w:t>millones rescate más 170.000 otros apoyos).</w:t>
      </w:r>
    </w:p>
    <w:p w14:paraId="28BBC2E9" w14:textId="717AD093" w:rsidR="00E10423" w:rsidRPr="00C045F9" w:rsidRDefault="00167DB4" w:rsidP="00CA3371">
      <w:pPr>
        <w:pStyle w:val="Ttulo3"/>
      </w:pPr>
      <w:bookmarkStart w:id="52" w:name="_Toc178010336"/>
      <w:r w:rsidRPr="00C045F9">
        <w:t>Otros acontecimientos relevantes recientes</w:t>
      </w:r>
      <w:bookmarkEnd w:id="52"/>
    </w:p>
    <w:p w14:paraId="680945CE" w14:textId="71BF7B7D" w:rsidR="00167DB4" w:rsidRPr="00FA5C5E" w:rsidRDefault="00167DB4" w:rsidP="00A13EFE">
      <w:pPr>
        <w:pStyle w:val="Ttulo6"/>
        <w:spacing w:before="0"/>
      </w:pPr>
      <w:bookmarkStart w:id="53" w:name="_Toc178010337"/>
      <w:r w:rsidRPr="00C045F9">
        <w:t>Rescate del Popular</w:t>
      </w:r>
      <w:bookmarkEnd w:id="53"/>
    </w:p>
    <w:p w14:paraId="46C7E972" w14:textId="17D53A27" w:rsidR="00432465" w:rsidRPr="0037372A" w:rsidRDefault="00432465" w:rsidP="00C51A57">
      <w:pPr>
        <w:pStyle w:val="Nivel2SM"/>
        <w:keepNext/>
        <w:spacing w:after="0"/>
      </w:pPr>
      <w:r w:rsidRPr="00C045F9">
        <w:t xml:space="preserve">En junio de 2017 el Banco Popular fue adquirido por el Banco Santander por </w:t>
      </w:r>
      <w:r w:rsidR="00094B9A" w:rsidRPr="0037372A">
        <w:t>1 €</w:t>
      </w:r>
      <w:r w:rsidRPr="0037372A">
        <w:t xml:space="preserve">. Esta operación </w:t>
      </w:r>
      <w:r w:rsidR="00094B9A" w:rsidRPr="0037372A">
        <w:t>fue</w:t>
      </w:r>
      <w:r w:rsidRPr="0037372A">
        <w:t xml:space="preserve"> la primera que se ha emprendido por el Mecanismo Único de Resolución.</w:t>
      </w:r>
    </w:p>
    <w:p w14:paraId="66490058" w14:textId="6FFAA7DC" w:rsidR="00D917E9" w:rsidRPr="00C045F9" w:rsidRDefault="00432465" w:rsidP="00DF34EE">
      <w:pPr>
        <w:pStyle w:val="Nivel3SM"/>
      </w:pPr>
      <w:r w:rsidRPr="00C045F9">
        <w:t xml:space="preserve">Para sanear el balance del </w:t>
      </w:r>
      <w:r w:rsidR="00094B9A">
        <w:t>B</w:t>
      </w:r>
      <w:r w:rsidRPr="00C045F9">
        <w:t xml:space="preserve">anco </w:t>
      </w:r>
      <w:r w:rsidR="00094B9A">
        <w:t>P</w:t>
      </w:r>
      <w:r w:rsidRPr="00C045F9">
        <w:t>opular, el Banco Santander amplió capital por un total de 7</w:t>
      </w:r>
      <w:r w:rsidR="00FA5C5E">
        <w:t>.</w:t>
      </w:r>
      <w:r w:rsidRPr="00C045F9">
        <w:t>000</w:t>
      </w:r>
      <w:r w:rsidR="00FA5C5E">
        <w:t> </w:t>
      </w:r>
      <w:r w:rsidRPr="00C045F9">
        <w:t>millones de euros.</w:t>
      </w:r>
    </w:p>
    <w:p w14:paraId="0A1C2444" w14:textId="216A43D8" w:rsidR="00D917E9" w:rsidRPr="00C045F9" w:rsidRDefault="00D917E9" w:rsidP="000409A8">
      <w:pPr>
        <w:pStyle w:val="Nivel2SM"/>
      </w:pPr>
      <w:r w:rsidRPr="00C045F9">
        <w:t>No obstante</w:t>
      </w:r>
      <w:r w:rsidR="00094B9A">
        <w:t>,</w:t>
      </w:r>
      <w:r w:rsidRPr="00C045F9">
        <w:t xml:space="preserve"> el secretismo y la falta de transparencia con la que se ha llevado a cabo desde el MUR dicho rescate</w:t>
      </w:r>
      <w:r w:rsidR="00094B9A">
        <w:t>…</w:t>
      </w:r>
    </w:p>
    <w:p w14:paraId="69BDDBD5" w14:textId="78343030" w:rsidR="00332810" w:rsidRPr="00FA5C5E" w:rsidRDefault="00945BAC" w:rsidP="00A13EFE">
      <w:pPr>
        <w:pStyle w:val="Ttulo6"/>
      </w:pPr>
      <w:bookmarkStart w:id="54" w:name="_Toc178010338"/>
      <w:r w:rsidRPr="00C045F9">
        <w:t>Reforma de la Ley del Mercado de Valores</w:t>
      </w:r>
      <w:bookmarkEnd w:id="54"/>
    </w:p>
    <w:p w14:paraId="33A75A83" w14:textId="4CA58A17" w:rsidR="00D53A0F" w:rsidRPr="00C045F9" w:rsidRDefault="00945BAC" w:rsidP="00C51A57">
      <w:pPr>
        <w:pStyle w:val="Nivel2SM"/>
        <w:keepNext/>
        <w:spacing w:after="0"/>
        <w:rPr>
          <w:u w:val="single"/>
        </w:rPr>
      </w:pPr>
      <w:r w:rsidRPr="00C045F9">
        <w:t xml:space="preserve">La Ley del Mercado de Valores de 1988 permaneció vigente hasta el 2007 </w:t>
      </w:r>
      <w:r w:rsidR="003830EE" w:rsidRPr="00C045F9">
        <w:t>cuando</w:t>
      </w:r>
      <w:r w:rsidRPr="00C045F9">
        <w:t xml:space="preserve"> se sustituyó por la </w:t>
      </w:r>
      <w:r w:rsidRPr="00C045F9">
        <w:rPr>
          <w:u w:val="single"/>
        </w:rPr>
        <w:t>Ley de 2007</w:t>
      </w:r>
      <w:r w:rsidRPr="00C045F9">
        <w:t xml:space="preserve"> que incorporó diversas Directivas europeas y en particular la Directiva 2004</w:t>
      </w:r>
      <w:r w:rsidR="00D53A0F" w:rsidRPr="00C045F9">
        <w:t xml:space="preserve"> también conocida como </w:t>
      </w:r>
      <w:proofErr w:type="spellStart"/>
      <w:r w:rsidR="00A13EFE">
        <w:t>MiFID</w:t>
      </w:r>
      <w:proofErr w:type="spellEnd"/>
      <w:r w:rsidR="00A13EFE">
        <w:t> I</w:t>
      </w:r>
      <w:r w:rsidR="00D53A0F" w:rsidRPr="00C045F9">
        <w:t xml:space="preserve">, la cual supuso una </w:t>
      </w:r>
      <w:r w:rsidR="00D53A0F" w:rsidRPr="00C045F9">
        <w:rPr>
          <w:u w:val="single"/>
        </w:rPr>
        <w:t>verdadera revolución en términos de armonización de los mercados de valores europeos</w:t>
      </w:r>
      <w:r w:rsidR="00D53A0F" w:rsidRPr="00C045F9">
        <w:t>.</w:t>
      </w:r>
    </w:p>
    <w:p w14:paraId="0A45C3A9" w14:textId="07855C9B" w:rsidR="00332810" w:rsidRPr="00C045F9" w:rsidRDefault="00D53A0F" w:rsidP="00DF34EE">
      <w:pPr>
        <w:pStyle w:val="Nivel3SM"/>
      </w:pPr>
      <w:r w:rsidRPr="00C045F9">
        <w:t xml:space="preserve">En septiembre 2018 se reforma la Ley de 2007 y se adapta a la nueva directiva </w:t>
      </w:r>
      <w:proofErr w:type="spellStart"/>
      <w:r w:rsidR="00A13EFE">
        <w:t>MiFID</w:t>
      </w:r>
      <w:proofErr w:type="spellEnd"/>
      <w:r w:rsidR="00A13EFE">
        <w:t> I</w:t>
      </w:r>
      <w:r w:rsidRPr="00C045F9">
        <w:t>I</w:t>
      </w:r>
      <w:r w:rsidR="00C219DE" w:rsidRPr="00C045F9">
        <w:t xml:space="preserve"> del 2014</w:t>
      </w:r>
      <w:r w:rsidRPr="00C045F9">
        <w:t>, los cuales refuerzan la armonización de los mercados de valores europeos y aumentan aún más la producción del inversor.</w:t>
      </w:r>
    </w:p>
    <w:p w14:paraId="2E99436A" w14:textId="2FBE7C17" w:rsidR="00332810" w:rsidRPr="00FA5C5E" w:rsidRDefault="00332810" w:rsidP="00A9777D">
      <w:pPr>
        <w:pStyle w:val="Ttulo6"/>
      </w:pPr>
      <w:bookmarkStart w:id="55" w:name="_Toc178010339"/>
      <w:r w:rsidRPr="00C045F9">
        <w:t>La Unión del Mercado de Capitales</w:t>
      </w:r>
      <w:bookmarkEnd w:id="55"/>
    </w:p>
    <w:p w14:paraId="48BC00FD" w14:textId="530C5AC7" w:rsidR="00332810" w:rsidRPr="00C045F9" w:rsidRDefault="00332810" w:rsidP="00C51A57">
      <w:pPr>
        <w:pStyle w:val="Nivel2SM"/>
        <w:keepNext/>
        <w:spacing w:after="0"/>
        <w:rPr>
          <w:rStyle w:val="normaltextrun"/>
        </w:rPr>
      </w:pPr>
      <w:r w:rsidRPr="00C045F9">
        <w:rPr>
          <w:rStyle w:val="normaltextrun"/>
        </w:rPr>
        <w:t>La idea de una Unión de los Mercados de Capitales Europeos fue presentada por el Presidente de</w:t>
      </w:r>
      <w:r w:rsidR="000409A8">
        <w:rPr>
          <w:rStyle w:val="normaltextrun"/>
        </w:rPr>
        <w:t xml:space="preserve"> </w:t>
      </w:r>
      <w:r w:rsidRPr="00C045F9">
        <w:rPr>
          <w:rStyle w:val="normaltextrun"/>
        </w:rPr>
        <w:t xml:space="preserve">la Comisión </w:t>
      </w:r>
      <w:r w:rsidRPr="000409A8">
        <w:rPr>
          <w:rStyle w:val="normaltextrun"/>
          <w:smallCaps/>
        </w:rPr>
        <w:t>J</w:t>
      </w:r>
      <w:r w:rsidR="000409A8">
        <w:rPr>
          <w:rStyle w:val="normaltextrun"/>
          <w:smallCaps/>
        </w:rPr>
        <w:t xml:space="preserve">ean </w:t>
      </w:r>
      <w:r w:rsidRPr="000409A8">
        <w:rPr>
          <w:rStyle w:val="normaltextrun"/>
          <w:smallCaps/>
        </w:rPr>
        <w:t>C</w:t>
      </w:r>
      <w:r w:rsidR="000409A8">
        <w:rPr>
          <w:rStyle w:val="normaltextrun"/>
          <w:smallCaps/>
        </w:rPr>
        <w:t>laude</w:t>
      </w:r>
      <w:r w:rsidRPr="000409A8">
        <w:rPr>
          <w:rStyle w:val="normaltextrun"/>
          <w:smallCaps/>
        </w:rPr>
        <w:t xml:space="preserve"> Juncker</w:t>
      </w:r>
      <w:r w:rsidRPr="00C045F9">
        <w:rPr>
          <w:rStyle w:val="normaltextrun"/>
        </w:rPr>
        <w:t xml:space="preserve"> en 2014, tras lo cual se publicó un “Libro Verde</w:t>
      </w:r>
      <w:r w:rsidR="00D53A0F" w:rsidRPr="00C045F9">
        <w:rPr>
          <w:rStyle w:val="normaltextrun"/>
        </w:rPr>
        <w:t xml:space="preserve">” en 2015 y tiene como principal objetivo reducir la dependencia de la economía a la financiación bancaria disminuyendo así el riesgo sistémico de las entidades financieras. </w:t>
      </w:r>
    </w:p>
    <w:p w14:paraId="6ECC1B8A" w14:textId="5F99F0F9" w:rsidR="00332810" w:rsidRPr="00FA5C5E" w:rsidRDefault="00D53A0F" w:rsidP="00DF34EE">
      <w:pPr>
        <w:pStyle w:val="Nivel3SM"/>
      </w:pPr>
      <w:r w:rsidRPr="00C045F9">
        <w:t>Para alcanzar estos objetivos, la Comisión Europea ha propuesto un plan de acción con una serie de medidas para la construcción progresiva de una Unión de mercados de capitales que se completará en 2019.</w:t>
      </w:r>
    </w:p>
    <w:p w14:paraId="455ACC07" w14:textId="68DC01EA" w:rsidR="007C7D28" w:rsidRPr="00C045F9" w:rsidRDefault="007C7D28" w:rsidP="00A9777D">
      <w:pPr>
        <w:pStyle w:val="Ttulo6"/>
      </w:pPr>
      <w:bookmarkStart w:id="56" w:name="_Toc178010340"/>
      <w:r w:rsidRPr="00C045F9">
        <w:t>Nueva Ley de Crédito Inmobiliario: Febrero 2019</w:t>
      </w:r>
      <w:bookmarkEnd w:id="56"/>
    </w:p>
    <w:p w14:paraId="3290BFFD" w14:textId="6E5B6C4D" w:rsidR="007C7D28" w:rsidRPr="00C045F9" w:rsidRDefault="007C7D28" w:rsidP="000409A8">
      <w:pPr>
        <w:pStyle w:val="Nivel2SM"/>
      </w:pPr>
      <w:r w:rsidRPr="00C045F9">
        <w:t>El Congreso apr</w:t>
      </w:r>
      <w:r w:rsidR="00EF06C5">
        <w:t>ueba</w:t>
      </w:r>
      <w:r w:rsidRPr="00C045F9">
        <w:t xml:space="preserve"> en </w:t>
      </w:r>
      <w:r w:rsidR="00EF06C5">
        <w:rPr>
          <w:b/>
        </w:rPr>
        <w:t>f</w:t>
      </w:r>
      <w:r w:rsidRPr="00C045F9">
        <w:rPr>
          <w:b/>
        </w:rPr>
        <w:t xml:space="preserve">ebrero </w:t>
      </w:r>
      <w:r w:rsidR="00EF06C5">
        <w:rPr>
          <w:b/>
        </w:rPr>
        <w:t xml:space="preserve">de 2019 </w:t>
      </w:r>
      <w:r w:rsidRPr="00C045F9">
        <w:rPr>
          <w:b/>
        </w:rPr>
        <w:t>la nueva ley hipotecaria</w:t>
      </w:r>
      <w:r w:rsidRPr="00C045F9">
        <w:t xml:space="preserve">, una transposición de una directiva europea </w:t>
      </w:r>
      <w:r w:rsidR="00D53A0F" w:rsidRPr="00C045F9">
        <w:t xml:space="preserve">con </w:t>
      </w:r>
      <w:r w:rsidR="004A7C62">
        <w:t>3 </w:t>
      </w:r>
      <w:r w:rsidRPr="00C045F9">
        <w:t>años de retraso y sobre la que existía la amenaza de una multa de Bruselas por 105.000</w:t>
      </w:r>
      <w:r w:rsidR="00A13EFE">
        <w:t> </w:t>
      </w:r>
      <w:r w:rsidRPr="00C045F9">
        <w:t>euros al día.</w:t>
      </w:r>
    </w:p>
    <w:p w14:paraId="76220CBF" w14:textId="3F9EE040" w:rsidR="007C7D28" w:rsidRPr="00C045F9" w:rsidRDefault="007C7D28" w:rsidP="00EF06C5">
      <w:pPr>
        <w:pStyle w:val="Nivel2SM"/>
        <w:keepNext/>
        <w:spacing w:after="0"/>
      </w:pPr>
      <w:r w:rsidRPr="00C045F9">
        <w:t>Los principales aspectos de la nueva ley incluyen:</w:t>
      </w:r>
    </w:p>
    <w:p w14:paraId="7D0F31A3" w14:textId="63FF6509" w:rsidR="007C7D28" w:rsidRPr="00C045F9" w:rsidRDefault="007C7D28" w:rsidP="00EF06C5">
      <w:pPr>
        <w:pStyle w:val="Nivel3SM"/>
      </w:pPr>
      <w:r w:rsidRPr="00072A41">
        <w:rPr>
          <w:i/>
          <w:iCs/>
          <w:u w:val="single"/>
        </w:rPr>
        <w:t>Mayor dificultad de embargar</w:t>
      </w:r>
      <w:r w:rsidR="00EF06C5">
        <w:t xml:space="preserve">: </w:t>
      </w:r>
      <w:r w:rsidRPr="00C045F9">
        <w:t xml:space="preserve">Aumentan las cantidades impagadas necesarias para que se pueda iniciar el procedimiento de ejecución de la hipoteca que acaba, en última instancia, con el desahucio. En lugar de dejar de pagar tres cuotas como dictaba hasta ahora la ley, hará falta el impago de entre </w:t>
      </w:r>
      <w:r w:rsidRPr="00EF06C5">
        <w:rPr>
          <w:b/>
        </w:rPr>
        <w:t>12 y 15</w:t>
      </w:r>
      <w:r w:rsidR="00A13EFE" w:rsidRPr="00EF06C5">
        <w:rPr>
          <w:b/>
        </w:rPr>
        <w:t> </w:t>
      </w:r>
      <w:r w:rsidRPr="00EF06C5">
        <w:rPr>
          <w:b/>
        </w:rPr>
        <w:t>mensualidades o entre un 3</w:t>
      </w:r>
      <w:r w:rsidR="00165C36" w:rsidRPr="00EF06C5">
        <w:rPr>
          <w:b/>
        </w:rPr>
        <w:t> %</w:t>
      </w:r>
      <w:r w:rsidRPr="00EF06C5">
        <w:rPr>
          <w:b/>
        </w:rPr>
        <w:t xml:space="preserve"> y un 7</w:t>
      </w:r>
      <w:r w:rsidR="00165C36" w:rsidRPr="00EF06C5">
        <w:rPr>
          <w:b/>
        </w:rPr>
        <w:t> %</w:t>
      </w:r>
      <w:r w:rsidRPr="00C045F9">
        <w:t xml:space="preserve"> del valor del </w:t>
      </w:r>
      <w:r w:rsidRPr="00EF06C5">
        <w:rPr>
          <w:b/>
        </w:rPr>
        <w:t>préstamo</w:t>
      </w:r>
      <w:r w:rsidRPr="00C045F9">
        <w:t>.</w:t>
      </w:r>
    </w:p>
    <w:p w14:paraId="7A0FAE72" w14:textId="75A07BF5" w:rsidR="007C7D28" w:rsidRPr="00C045F9" w:rsidRDefault="007C7D28" w:rsidP="00EF06C5">
      <w:pPr>
        <w:pStyle w:val="Nivel3SM"/>
      </w:pPr>
      <w:r w:rsidRPr="00072A41">
        <w:rPr>
          <w:i/>
          <w:iCs/>
          <w:u w:val="single"/>
        </w:rPr>
        <w:t>Rebaja los intereses de demora</w:t>
      </w:r>
      <w:r w:rsidR="00EF06C5">
        <w:t xml:space="preserve">: </w:t>
      </w:r>
      <w:r w:rsidRPr="00C045F9">
        <w:t xml:space="preserve">Con la legislación anterior los </w:t>
      </w:r>
      <w:r w:rsidRPr="00EF06C5">
        <w:rPr>
          <w:b/>
        </w:rPr>
        <w:t>intereses de demora se pactaban entre las partes y podían alcanzar el 25</w:t>
      </w:r>
      <w:r w:rsidR="00165C36" w:rsidRPr="00EF06C5">
        <w:rPr>
          <w:b/>
        </w:rPr>
        <w:t> %</w:t>
      </w:r>
      <w:r w:rsidRPr="00C045F9">
        <w:t>. Semejantes tipos fueron considerados excesivos por el Supremo, que destacó que no debían superar el 2</w:t>
      </w:r>
      <w:r w:rsidR="00165C36">
        <w:t> %</w:t>
      </w:r>
      <w:r w:rsidRPr="00C045F9">
        <w:t xml:space="preserve"> de recargo sobre el tipo contratado. La legislación finalmente lo ha dejado en un </w:t>
      </w:r>
      <w:r w:rsidRPr="00EF06C5">
        <w:rPr>
          <w:b/>
        </w:rPr>
        <w:t>recargo del 3</w:t>
      </w:r>
      <w:r w:rsidR="00165C36" w:rsidRPr="00EF06C5">
        <w:rPr>
          <w:b/>
        </w:rPr>
        <w:t> %</w:t>
      </w:r>
      <w:r w:rsidRPr="00C045F9">
        <w:t>. Como resultado, en las hipotecas nuevas se aplicará el 3</w:t>
      </w:r>
      <w:r w:rsidR="00165C36">
        <w:t> %</w:t>
      </w:r>
      <w:r w:rsidRPr="00C045F9">
        <w:t xml:space="preserve"> y en las antiguas el 2</w:t>
      </w:r>
      <w:r w:rsidR="00165C36">
        <w:t> %</w:t>
      </w:r>
      <w:r w:rsidRPr="00C045F9">
        <w:t>.</w:t>
      </w:r>
    </w:p>
    <w:p w14:paraId="247206B3" w14:textId="02E63273" w:rsidR="007C7D28" w:rsidRPr="00C045F9" w:rsidRDefault="007C7D28" w:rsidP="00EF06C5">
      <w:pPr>
        <w:pStyle w:val="Nivel3SM"/>
      </w:pPr>
      <w:r w:rsidRPr="00072A41">
        <w:rPr>
          <w:i/>
          <w:iCs/>
          <w:u w:val="single"/>
        </w:rPr>
        <w:lastRenderedPageBreak/>
        <w:t>Reparto de los costes de la hipoteca</w:t>
      </w:r>
      <w:r w:rsidR="00EF06C5">
        <w:t xml:space="preserve">: </w:t>
      </w:r>
      <w:r w:rsidRPr="00C045F9">
        <w:t xml:space="preserve">Los clientes no tendrán que abonar ninguno salvo la </w:t>
      </w:r>
      <w:r w:rsidRPr="00EF06C5">
        <w:rPr>
          <w:b/>
        </w:rPr>
        <w:t>tasación</w:t>
      </w:r>
      <w:r w:rsidRPr="00C045F9">
        <w:t>. El impuesto de Actos Jurídicos Documentados, los gastos del notario, el registro y la gestoría correrán a cuenta de las entidades.</w:t>
      </w:r>
    </w:p>
    <w:p w14:paraId="21EEEA01" w14:textId="4EDFC9FB" w:rsidR="007C7D28" w:rsidRPr="00C045F9" w:rsidRDefault="007C7D28" w:rsidP="00EF06C5">
      <w:pPr>
        <w:pStyle w:val="Nivel3SM"/>
      </w:pPr>
      <w:r w:rsidRPr="00072A41">
        <w:rPr>
          <w:i/>
          <w:iCs/>
          <w:u w:val="single"/>
        </w:rPr>
        <w:t>Facilita el cambio de una hipoteca variable a una fija</w:t>
      </w:r>
      <w:r w:rsidR="00EF06C5">
        <w:t xml:space="preserve">: </w:t>
      </w:r>
      <w:r w:rsidR="00432465" w:rsidRPr="00C045F9">
        <w:t xml:space="preserve">En </w:t>
      </w:r>
      <w:r w:rsidRPr="00C045F9">
        <w:t>el fondo lo que hace la ley es allanar el camino para cambiar a un banco que ofrezca el tipo fijo, fomentando la competencia entre entidades. Para ello, abaratará las comisiones de cancelación y los aranceles notariales y registrales.</w:t>
      </w:r>
    </w:p>
    <w:p w14:paraId="769BDF4C" w14:textId="63993423" w:rsidR="007C7D28" w:rsidRPr="00C045F9" w:rsidRDefault="007C7D28" w:rsidP="00EF06C5">
      <w:pPr>
        <w:pStyle w:val="Nivel3SM"/>
      </w:pPr>
      <w:r w:rsidRPr="00072A41">
        <w:rPr>
          <w:i/>
          <w:iCs/>
          <w:u w:val="single"/>
        </w:rPr>
        <w:t>Remuneración de los trabajadores</w:t>
      </w:r>
      <w:r w:rsidR="00EF06C5" w:rsidRPr="00EF06C5">
        <w:t xml:space="preserve">: </w:t>
      </w:r>
      <w:r w:rsidRPr="00C045F9">
        <w:t>Prohibición de remunerar a los trabajadores de las entidades bancarias en función del número de hipotecas concedidas.</w:t>
      </w:r>
    </w:p>
    <w:p w14:paraId="25BF36E5" w14:textId="3BD3933B" w:rsidR="007C7D28" w:rsidRPr="00EF06C5" w:rsidRDefault="007C7D28" w:rsidP="00EF06C5">
      <w:pPr>
        <w:pStyle w:val="Nivel3SM"/>
        <w:rPr>
          <w:u w:val="single"/>
        </w:rPr>
      </w:pPr>
      <w:r w:rsidRPr="00072A41">
        <w:rPr>
          <w:i/>
          <w:iCs/>
          <w:u w:val="single"/>
        </w:rPr>
        <w:t>Formación de los comerciales de hipotecas</w:t>
      </w:r>
      <w:r w:rsidR="00EF06C5">
        <w:t xml:space="preserve">: </w:t>
      </w:r>
      <w:r w:rsidRPr="00C045F9">
        <w:t>Economía exige formación anual a los comerciales de hipotecas exigiendo 50</w:t>
      </w:r>
      <w:r w:rsidR="00072A41">
        <w:t> </w:t>
      </w:r>
      <w:r w:rsidRPr="00C045F9">
        <w:t xml:space="preserve">horas a la plantilla. </w:t>
      </w:r>
    </w:p>
    <w:p w14:paraId="1310AF67" w14:textId="546058D5" w:rsidR="00D53A0F" w:rsidRPr="00C045F9" w:rsidRDefault="00D53A0F" w:rsidP="00EF06C5">
      <w:pPr>
        <w:pStyle w:val="Nivel3SM"/>
      </w:pPr>
      <w:r w:rsidRPr="00072A41">
        <w:rPr>
          <w:i/>
          <w:iCs/>
          <w:u w:val="single"/>
        </w:rPr>
        <w:t>Examen de solvencia al cliente</w:t>
      </w:r>
      <w:r w:rsidR="00EF06C5">
        <w:t xml:space="preserve">: </w:t>
      </w:r>
      <w:r w:rsidRPr="00C045F9">
        <w:t>Los bancos tendrán que hacer un examen de la solvencia del cliente en función de su capacidad de pago, y no del previsible incremento del valor de la vivienda, los avalistas o unas garantías adicionales.</w:t>
      </w:r>
    </w:p>
    <w:p w14:paraId="588DCAA0" w14:textId="7FC6276A" w:rsidR="002C3AAC" w:rsidRPr="00C045F9" w:rsidRDefault="00D53A0F" w:rsidP="00EF06C5">
      <w:pPr>
        <w:pStyle w:val="Nivel3SM"/>
      </w:pPr>
      <w:r w:rsidRPr="00072A41">
        <w:rPr>
          <w:i/>
          <w:iCs/>
          <w:u w:val="single"/>
        </w:rPr>
        <w:t>Cláusulas suelo</w:t>
      </w:r>
      <w:r w:rsidR="00EF06C5">
        <w:t xml:space="preserve">: </w:t>
      </w:r>
      <w:r w:rsidR="007C7D28" w:rsidRPr="00C045F9">
        <w:t>Prohíbe las cláusulas suelo.</w:t>
      </w:r>
    </w:p>
    <w:p w14:paraId="5CB5BB3E" w14:textId="12178B16" w:rsidR="00332810" w:rsidRPr="00C045F9" w:rsidRDefault="002C3AAC" w:rsidP="00CA3371">
      <w:pPr>
        <w:pStyle w:val="Ttulo3"/>
      </w:pPr>
      <w:bookmarkStart w:id="57" w:name="_Toc178010341"/>
      <w:r w:rsidRPr="00C045F9">
        <w:t>Principales riesgos para la estabilidad del sistema financiero español</w:t>
      </w:r>
      <w:bookmarkEnd w:id="57"/>
    </w:p>
    <w:p w14:paraId="38B50C02" w14:textId="6634C933" w:rsidR="002C3AAC" w:rsidRPr="00C045F9" w:rsidRDefault="002C3AAC" w:rsidP="000409A8">
      <w:pPr>
        <w:pStyle w:val="Nivel2SM"/>
      </w:pPr>
      <w:r w:rsidRPr="00C045F9">
        <w:t xml:space="preserve">Acabamos esta sección haciendo mención </w:t>
      </w:r>
      <w:proofErr w:type="gramStart"/>
      <w:r w:rsidRPr="00C045F9">
        <w:t>a</w:t>
      </w:r>
      <w:proofErr w:type="gramEnd"/>
      <w:r w:rsidRPr="00C045F9">
        <w:t xml:space="preserve"> los principales riesgos para la estabilidad del sistema financiero español en la actualidad </w:t>
      </w:r>
      <w:r w:rsidRPr="00C045F9">
        <w:rPr>
          <w:b/>
          <w:u w:val="single"/>
        </w:rPr>
        <w:t>de acuerdo al último informe de estabilidad financiera publicado por el BdE en mayo de 2019</w:t>
      </w:r>
      <w:r w:rsidRPr="00C045F9">
        <w:t>.</w:t>
      </w:r>
    </w:p>
    <w:p w14:paraId="149A69D8" w14:textId="101F7B78" w:rsidR="002C3AAC" w:rsidRPr="00C045F9" w:rsidRDefault="002C3AAC" w:rsidP="00DF34EE">
      <w:pPr>
        <w:pStyle w:val="Nivel2SM"/>
        <w:keepNext/>
        <w:spacing w:after="0"/>
      </w:pPr>
      <w:r w:rsidRPr="00C045F9">
        <w:t xml:space="preserve">De acuerdo a la entidad en los últimos </w:t>
      </w:r>
      <w:r w:rsidR="00187ADB">
        <w:t>6 </w:t>
      </w:r>
      <w:r w:rsidRPr="00C045F9">
        <w:t>meses los riesgos para la estabilidad del sistema financiero español han aumentado:</w:t>
      </w:r>
    </w:p>
    <w:p w14:paraId="2DF49DCE" w14:textId="002D865E" w:rsidR="002C3AAC" w:rsidRPr="00C045F9" w:rsidRDefault="002C3AAC" w:rsidP="00DF34EE">
      <w:pPr>
        <w:pStyle w:val="Nivel3SM"/>
      </w:pPr>
      <w:r w:rsidRPr="00187ADB">
        <w:rPr>
          <w:i/>
          <w:iCs/>
          <w:u w:val="single"/>
        </w:rPr>
        <w:t>Ralentización económica</w:t>
      </w:r>
      <w:r w:rsidR="00DF34EE">
        <w:t xml:space="preserve">: </w:t>
      </w:r>
      <w:r w:rsidRPr="00C045F9">
        <w:t xml:space="preserve">La ralentización económica global y, en particular, europea y china, junto a una mayor incertidumbre geopolítica, puede suponer un aumento significativo de las </w:t>
      </w:r>
      <w:r w:rsidRPr="00DF34EE">
        <w:rPr>
          <w:b/>
        </w:rPr>
        <w:t>primas de riesgo</w:t>
      </w:r>
      <w:r w:rsidRPr="00C045F9">
        <w:t xml:space="preserve"> que </w:t>
      </w:r>
      <w:r w:rsidRPr="00DF34EE">
        <w:rPr>
          <w:b/>
        </w:rPr>
        <w:t>impacte negativamente</w:t>
      </w:r>
      <w:r w:rsidRPr="00C045F9">
        <w:t xml:space="preserve"> en el precio de los activos financieros, tanto de renta fija, privada y pública, como variable. </w:t>
      </w:r>
    </w:p>
    <w:p w14:paraId="444BB550" w14:textId="2537F98D" w:rsidR="002C3AAC" w:rsidRPr="00C045F9" w:rsidRDefault="002C3AAC" w:rsidP="00DF34EE">
      <w:pPr>
        <w:pStyle w:val="Nivel3SM"/>
      </w:pPr>
      <w:r w:rsidRPr="00187ADB">
        <w:rPr>
          <w:i/>
          <w:iCs/>
          <w:u w:val="single"/>
        </w:rPr>
        <w:t>Presión adicional a los ya márgenes reducidos</w:t>
      </w:r>
      <w:r w:rsidR="00DF34EE" w:rsidRPr="00DF34EE">
        <w:t>:</w:t>
      </w:r>
      <w:r w:rsidR="00DF34EE">
        <w:t xml:space="preserve"> </w:t>
      </w:r>
      <w:r w:rsidRPr="00C045F9">
        <w:t xml:space="preserve">En un contexto de márgenes reducidos, la rentabilidad de los bancos españoles se verá sometida a una </w:t>
      </w:r>
      <w:r w:rsidRPr="00DF34EE">
        <w:rPr>
          <w:b/>
        </w:rPr>
        <w:t>presión adicional</w:t>
      </w:r>
      <w:r w:rsidRPr="00C045F9">
        <w:t xml:space="preserve"> por las consecuencias de la desaceleración económica. </w:t>
      </w:r>
    </w:p>
    <w:p w14:paraId="6CB6E7EC" w14:textId="11B626B9" w:rsidR="002C3AAC" w:rsidRDefault="002C3AAC" w:rsidP="00DF34EE">
      <w:pPr>
        <w:pStyle w:val="Nivel3SM"/>
      </w:pPr>
      <w:r w:rsidRPr="00187ADB">
        <w:rPr>
          <w:i/>
          <w:iCs/>
          <w:u w:val="single"/>
        </w:rPr>
        <w:t>Riesgo legal</w:t>
      </w:r>
      <w:r w:rsidR="00DF34EE" w:rsidRPr="00DF34EE">
        <w:t>:</w:t>
      </w:r>
      <w:r w:rsidR="00DF34EE">
        <w:t xml:space="preserve"> </w:t>
      </w:r>
      <w:r w:rsidRPr="00C045F9">
        <w:t xml:space="preserve">Las entidades de depósito españolas, con distinta intensidad, </w:t>
      </w:r>
      <w:r w:rsidRPr="00DF34EE">
        <w:rPr>
          <w:b/>
        </w:rPr>
        <w:t>afrontan un riesgo legal</w:t>
      </w:r>
      <w:r w:rsidRPr="00C045F9">
        <w:t xml:space="preserve"> derivado del </w:t>
      </w:r>
      <w:r w:rsidRPr="00DF34EE">
        <w:rPr>
          <w:b/>
        </w:rPr>
        <w:t>potencial incremento de las demandas judiciales contra ellas</w:t>
      </w:r>
      <w:r w:rsidR="00C42F58" w:rsidRPr="00C045F9">
        <w:t xml:space="preserve"> (</w:t>
      </w:r>
      <w:r w:rsidR="0045100D">
        <w:t>p.ej.</w:t>
      </w:r>
      <w:r w:rsidR="00C42F58" w:rsidRPr="00C045F9">
        <w:t xml:space="preserve"> ITPAJD).</w:t>
      </w:r>
    </w:p>
    <w:p w14:paraId="2D039DBE" w14:textId="3D79EDDE" w:rsidR="00187ADB" w:rsidRDefault="00000000" w:rsidP="00187ADB">
      <w:pPr>
        <w:pStyle w:val="Cajadeanotaciones"/>
      </w:pPr>
      <w:hyperlink r:id="rId14" w:history="1">
        <w:r w:rsidR="00187ADB" w:rsidRPr="00846872">
          <w:rPr>
            <w:rStyle w:val="Hipervnculo"/>
          </w:rPr>
          <w:t>https://youtu.be/_sLxSK1PxC0</w:t>
        </w:r>
      </w:hyperlink>
    </w:p>
    <w:p w14:paraId="4F61A217" w14:textId="6EA6CC7A" w:rsidR="00187ADB" w:rsidRPr="00FA5C5E" w:rsidRDefault="00000000" w:rsidP="00187ADB">
      <w:pPr>
        <w:pStyle w:val="Cajadeanotaciones"/>
      </w:pPr>
      <w:hyperlink r:id="rId15" w:history="1">
        <w:r w:rsidR="00187ADB" w:rsidRPr="00846872">
          <w:rPr>
            <w:rStyle w:val="Hipervnculo"/>
          </w:rPr>
          <w:t>https://www.bde.es/f/webbe/Secciones/Publicaciones/InformesBoletinesRevistas/InformesEstabilidadFinancera/23/IEF_Otono2023.pdf</w:t>
        </w:r>
      </w:hyperlink>
    </w:p>
    <w:p w14:paraId="5CC1EA79" w14:textId="77777777" w:rsidR="00303664" w:rsidRDefault="001D6515" w:rsidP="00CA3371">
      <w:pPr>
        <w:pStyle w:val="Ttulo1"/>
      </w:pPr>
      <w:bookmarkStart w:id="58" w:name="_Toc178010342"/>
      <w:r w:rsidRPr="00C045F9">
        <w:lastRenderedPageBreak/>
        <w:t>INSTITUCIONES Y AGENTES</w:t>
      </w:r>
      <w:r w:rsidR="00E5524C" w:rsidRPr="00C045F9">
        <w:t xml:space="preserve"> DEL SISTEMA FINANCIERO ESPAÑOL</w:t>
      </w:r>
      <w:bookmarkEnd w:id="58"/>
    </w:p>
    <w:p w14:paraId="665DD4DE" w14:textId="56BB3F3B" w:rsidR="001D6515" w:rsidRDefault="00303664" w:rsidP="009A0F97">
      <w:pPr>
        <w:pStyle w:val="Ttulo2"/>
        <w:numPr>
          <w:ilvl w:val="1"/>
          <w:numId w:val="50"/>
        </w:numPr>
      </w:pPr>
      <w:bookmarkStart w:id="59" w:name="_Toc178010343"/>
      <w:r>
        <w:t>Delimitación</w:t>
      </w:r>
      <w:bookmarkEnd w:id="59"/>
    </w:p>
    <w:p w14:paraId="1E4D6E2D" w14:textId="39F756C9" w:rsidR="00303664" w:rsidRPr="00303664" w:rsidRDefault="00303664" w:rsidP="00303664">
      <w:pPr>
        <w:pStyle w:val="Ttuloimagen"/>
      </w:pPr>
      <w:r>
        <w:t>Imagen </w:t>
      </w:r>
      <w:r>
        <w:fldChar w:fldCharType="begin"/>
      </w:r>
      <w:r>
        <w:instrText xml:space="preserve"> SEQ Ilustración \* ARABIC </w:instrText>
      </w:r>
      <w:r>
        <w:fldChar w:fldCharType="separate"/>
      </w:r>
      <w:r w:rsidR="00452F97">
        <w:t>1</w:t>
      </w:r>
      <w:r>
        <w:fldChar w:fldCharType="end"/>
      </w:r>
      <w:r w:rsidRPr="00303664">
        <w:rPr>
          <w:smallCaps w:val="0"/>
        </w:rPr>
        <w:t xml:space="preserve">.– </w:t>
      </w:r>
      <w:r>
        <w:rPr>
          <w:i/>
          <w:iCs/>
          <w:smallCaps w:val="0"/>
        </w:rPr>
        <w:t>Configuración del sistema financiero español</w:t>
      </w:r>
    </w:p>
    <w:p w14:paraId="64CDEA15" w14:textId="6A415BFA" w:rsidR="00303664" w:rsidRDefault="00303664" w:rsidP="00303664">
      <w:pPr>
        <w:pStyle w:val="Imagen"/>
      </w:pPr>
      <w:r>
        <w:drawing>
          <wp:inline distT="0" distB="0" distL="0" distR="0" wp14:anchorId="4AAF2B6B" wp14:editId="56039401">
            <wp:extent cx="6120130" cy="4124325"/>
            <wp:effectExtent l="0" t="0" r="0" b="9525"/>
            <wp:docPr id="25065620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56203" name="Imagen 1" descr="Diagrama&#10;&#10;Descripción generada automáticamente"/>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colorTemperature colorTemp="4700"/>
                              </a14:imgEffect>
                              <a14:imgEffect>
                                <a14:brightnessContrast bright="20000"/>
                              </a14:imgEffect>
                            </a14:imgLayer>
                          </a14:imgProps>
                        </a:ext>
                        <a:ext uri="{28A0092B-C50C-407E-A947-70E740481C1C}">
                          <a14:useLocalDpi xmlns:a14="http://schemas.microsoft.com/office/drawing/2010/main" val="0"/>
                        </a:ext>
                      </a:extLst>
                    </a:blip>
                    <a:srcRect b="5609"/>
                    <a:stretch/>
                  </pic:blipFill>
                  <pic:spPr bwMode="auto">
                    <a:xfrm>
                      <a:off x="0" y="0"/>
                      <a:ext cx="6120130" cy="4124325"/>
                    </a:xfrm>
                    <a:prstGeom prst="rect">
                      <a:avLst/>
                    </a:prstGeom>
                    <a:noFill/>
                    <a:ln>
                      <a:noFill/>
                    </a:ln>
                    <a:extLst>
                      <a:ext uri="{53640926-AAD7-44D8-BBD7-CCE9431645EC}">
                        <a14:shadowObscured xmlns:a14="http://schemas.microsoft.com/office/drawing/2010/main"/>
                      </a:ext>
                    </a:extLst>
                  </pic:spPr>
                </pic:pic>
              </a:graphicData>
            </a:graphic>
          </wp:inline>
        </w:drawing>
      </w:r>
    </w:p>
    <w:p w14:paraId="473EEFD2" w14:textId="30246A02" w:rsidR="00303664" w:rsidRPr="00303664" w:rsidRDefault="00303664" w:rsidP="00303664">
      <w:pPr>
        <w:pStyle w:val="PiedeImagen"/>
        <w:rPr>
          <w:i w:val="0"/>
          <w:iCs/>
        </w:rPr>
      </w:pPr>
      <w:r>
        <w:t>Fuente</w:t>
      </w:r>
      <w:r>
        <w:rPr>
          <w:i w:val="0"/>
          <w:iCs/>
        </w:rPr>
        <w:t>: Vicente, I.</w:t>
      </w:r>
      <w:r w:rsidR="004878A5">
        <w:rPr>
          <w:i w:val="0"/>
          <w:iCs/>
        </w:rPr>
        <w:t xml:space="preserve"> </w:t>
      </w:r>
      <w:r>
        <w:rPr>
          <w:i w:val="0"/>
          <w:iCs/>
        </w:rPr>
        <w:t xml:space="preserve">(2017). </w:t>
      </w:r>
      <w:r w:rsidRPr="00303664">
        <w:t>4.A.18. El sistema financiero español (I). Evolución hasta la actualidad. Instituciones y agentes</w:t>
      </w:r>
      <w:r>
        <w:rPr>
          <w:i w:val="0"/>
          <w:iCs/>
        </w:rPr>
        <w:t>.ICEX-CECO.</w:t>
      </w:r>
    </w:p>
    <w:p w14:paraId="24F9B049" w14:textId="4F9BED5C" w:rsidR="004878A5" w:rsidRDefault="004878A5" w:rsidP="004878A5">
      <w:pPr>
        <w:pStyle w:val="Nivel1SM"/>
      </w:pPr>
      <w:r>
        <w:t xml:space="preserve">Por lo que respecta al esquema institucional del sistema financiero en España hay que distinguir entre las instituciones encargadas de la </w:t>
      </w:r>
      <w:r w:rsidRPr="00094B9A">
        <w:rPr>
          <w:i/>
          <w:iCs/>
        </w:rPr>
        <w:t>función normativa</w:t>
      </w:r>
      <w:r>
        <w:t xml:space="preserve"> (i.e. regulación) y las que se encargan de las </w:t>
      </w:r>
      <w:r w:rsidRPr="00094B9A">
        <w:rPr>
          <w:i/>
          <w:iCs/>
        </w:rPr>
        <w:t>funciones de supervisión y control</w:t>
      </w:r>
      <w:r>
        <w:t>.</w:t>
      </w:r>
    </w:p>
    <w:p w14:paraId="6D10C321" w14:textId="77777777" w:rsidR="004878A5" w:rsidRDefault="004878A5" w:rsidP="004878A5">
      <w:pPr>
        <w:pStyle w:val="Ttulo2"/>
      </w:pPr>
      <w:bookmarkStart w:id="60" w:name="_Toc178010344"/>
      <w:r>
        <w:t>Regulación</w:t>
      </w:r>
      <w:bookmarkEnd w:id="60"/>
    </w:p>
    <w:p w14:paraId="74ABA99D" w14:textId="6FA0D73B" w:rsidR="004878A5" w:rsidRDefault="004878A5" w:rsidP="00DD3B8A">
      <w:pPr>
        <w:pStyle w:val="Nivel1SM"/>
        <w:keepNext/>
        <w:spacing w:before="0" w:after="0"/>
      </w:pPr>
      <w:r>
        <w:t xml:space="preserve">En el caso de la </w:t>
      </w:r>
      <w:r w:rsidRPr="00094B9A">
        <w:rPr>
          <w:b/>
          <w:bCs/>
        </w:rPr>
        <w:t>regulación</w:t>
      </w:r>
      <w:r>
        <w:t xml:space="preserve"> (</w:t>
      </w:r>
      <w:r w:rsidR="00094B9A">
        <w:t xml:space="preserve">i.e. </w:t>
      </w:r>
      <w:r>
        <w:t xml:space="preserve">función normativa), con la salvedad de las competencias que ostentan las </w:t>
      </w:r>
      <w:r w:rsidRPr="00094B9A">
        <w:rPr>
          <w:i/>
          <w:iCs/>
        </w:rPr>
        <w:t>CCAA</w:t>
      </w:r>
      <w:r>
        <w:t xml:space="preserve"> en materias de ámbito regional (p.ej. algunos temas relativos a las Cajas de Ahorro y cooperativas de crédito) esta se define </w:t>
      </w:r>
      <w:r w:rsidRPr="00094B9A">
        <w:rPr>
          <w:i/>
          <w:iCs/>
        </w:rPr>
        <w:t>a nivel nacional</w:t>
      </w:r>
      <w:r>
        <w:t xml:space="preserve">. Así, las funciones son ejercidas dentro del Gobierno por el </w:t>
      </w:r>
      <w:r w:rsidRPr="004878A5">
        <w:rPr>
          <w:b/>
          <w:bCs/>
        </w:rPr>
        <w:t>Ministerio de Asuntos Económicos y Transformación Digital</w:t>
      </w:r>
      <w:r>
        <w:t xml:space="preserve"> quien las desarrolla a través de la </w:t>
      </w:r>
      <w:r w:rsidRPr="004878A5">
        <w:rPr>
          <w:i/>
          <w:iCs/>
          <w:u w:val="single"/>
        </w:rPr>
        <w:t>Secr</w:t>
      </w:r>
      <w:r>
        <w:rPr>
          <w:i/>
          <w:iCs/>
          <w:u w:val="single"/>
        </w:rPr>
        <w:t>etaría General del Tesoro</w:t>
      </w:r>
      <w:r>
        <w:t>.</w:t>
      </w:r>
    </w:p>
    <w:p w14:paraId="1FB551CA" w14:textId="149F0EDB" w:rsidR="004878A5" w:rsidRPr="004878A5" w:rsidRDefault="004878A5" w:rsidP="00DD3B8A">
      <w:pPr>
        <w:pStyle w:val="Nivel2SM"/>
      </w:pPr>
      <w:r>
        <w:t>Se encarga de la elaboración y tramitación de normas relativas al sector financiero, (i.e. dirección, desarrollo y ordenación de la política financiera).</w:t>
      </w:r>
    </w:p>
    <w:p w14:paraId="67ECAF69" w14:textId="109AB432" w:rsidR="004878A5" w:rsidRDefault="004878A5" w:rsidP="004878A5">
      <w:pPr>
        <w:pStyle w:val="Ttulo2"/>
      </w:pPr>
      <w:bookmarkStart w:id="61" w:name="_Toc178010345"/>
      <w:r>
        <w:t>Supervisión y control</w:t>
      </w:r>
      <w:bookmarkEnd w:id="61"/>
    </w:p>
    <w:p w14:paraId="4F69A118" w14:textId="72555CB6" w:rsidR="009C4700" w:rsidRPr="00FA5C5E" w:rsidRDefault="002C3AAC" w:rsidP="00DD3B8A">
      <w:pPr>
        <w:pStyle w:val="Nivel1SM"/>
        <w:spacing w:before="0"/>
      </w:pPr>
      <w:r w:rsidRPr="00C045F9">
        <w:t>Como dijimos anteriormente, e</w:t>
      </w:r>
      <w:r w:rsidR="002C0F59" w:rsidRPr="00C045F9">
        <w:t>l sistema financiero español se divide en 3</w:t>
      </w:r>
      <w:r w:rsidR="0045100D">
        <w:t> </w:t>
      </w:r>
      <w:r w:rsidR="002C0F59" w:rsidRPr="00C045F9">
        <w:t>grandes sectores (crédito, valores y seguros y fondos de pensiones), cada uno de los cuales goza de una institución de control-supervisión y de múltiples agentes que participan en los mercados. Los comentamos en profundidad a continuación.</w:t>
      </w:r>
    </w:p>
    <w:p w14:paraId="53EE487A" w14:textId="6A7B77E4" w:rsidR="002C0F59" w:rsidRPr="00FA5C5E" w:rsidRDefault="002C0F59" w:rsidP="004878A5">
      <w:pPr>
        <w:pStyle w:val="Ttulo3"/>
      </w:pPr>
      <w:bookmarkStart w:id="62" w:name="_Toc178010346"/>
      <w:r w:rsidRPr="00CA3371">
        <w:t>Sector</w:t>
      </w:r>
      <w:r w:rsidRPr="00C045F9">
        <w:t xml:space="preserve"> del crédito</w:t>
      </w:r>
      <w:bookmarkEnd w:id="62"/>
    </w:p>
    <w:p w14:paraId="1E7EAF21" w14:textId="0FEF4D77" w:rsidR="002C0F59" w:rsidRPr="00FA5C5E" w:rsidRDefault="00432465" w:rsidP="00242CD0">
      <w:pPr>
        <w:pStyle w:val="Ttulo6"/>
        <w:spacing w:before="0"/>
      </w:pPr>
      <w:bookmarkStart w:id="63" w:name="_Toc178010347"/>
      <w:r w:rsidRPr="00C045F9">
        <w:t>Instituciones</w:t>
      </w:r>
      <w:bookmarkEnd w:id="63"/>
    </w:p>
    <w:p w14:paraId="7D113E28" w14:textId="03690C22" w:rsidR="002C0F59" w:rsidRPr="00C045F9" w:rsidRDefault="002C0F59" w:rsidP="003917EE">
      <w:pPr>
        <w:pStyle w:val="Ttulo7"/>
        <w:spacing w:before="0"/>
      </w:pPr>
      <w:r w:rsidRPr="00C045F9">
        <w:t>B</w:t>
      </w:r>
      <w:r w:rsidR="003917EE">
        <w:t>anco Central Europeo</w:t>
      </w:r>
      <w:r w:rsidR="001F1994">
        <w:t xml:space="preserve"> (BCE)</w:t>
      </w:r>
    </w:p>
    <w:p w14:paraId="6FBA2D25" w14:textId="6A04D4A8" w:rsidR="00A90163" w:rsidRPr="00C045F9" w:rsidRDefault="003917EE" w:rsidP="003917EE">
      <w:pPr>
        <w:pStyle w:val="Nivel2SM"/>
      </w:pPr>
      <w:r w:rsidRPr="003917EE">
        <w:rPr>
          <w:i/>
          <w:iCs/>
        </w:rPr>
        <w:t>Definición</w:t>
      </w:r>
      <w:r>
        <w:t xml:space="preserve">: </w:t>
      </w:r>
      <w:r w:rsidR="00A90163" w:rsidRPr="003917EE">
        <w:t>Institución</w:t>
      </w:r>
      <w:r w:rsidR="00A90163" w:rsidRPr="00C045F9">
        <w:t xml:space="preserve"> de la UE.</w:t>
      </w:r>
    </w:p>
    <w:p w14:paraId="0FC8F10A" w14:textId="77777777" w:rsidR="003917EE" w:rsidRDefault="003917EE" w:rsidP="003917EE">
      <w:pPr>
        <w:pStyle w:val="Nivel2SM"/>
        <w:keepNext/>
        <w:spacing w:after="0"/>
      </w:pPr>
      <w:r w:rsidRPr="003917EE">
        <w:rPr>
          <w:i/>
          <w:iCs/>
        </w:rPr>
        <w:t>Funciones</w:t>
      </w:r>
      <w:r>
        <w:t>:</w:t>
      </w:r>
    </w:p>
    <w:p w14:paraId="6FC80CD3" w14:textId="281D86CB" w:rsidR="00A90163" w:rsidRPr="00C045F9" w:rsidRDefault="00A90163" w:rsidP="003917EE">
      <w:pPr>
        <w:pStyle w:val="Nivel3SM"/>
      </w:pPr>
      <w:r w:rsidRPr="00C045F9">
        <w:t xml:space="preserve">Encargado de diseñar la </w:t>
      </w:r>
      <w:r w:rsidR="00EF06C5">
        <w:t>política monetaria</w:t>
      </w:r>
      <w:r w:rsidRPr="00C045F9">
        <w:t xml:space="preserve"> de la UEM.</w:t>
      </w:r>
    </w:p>
    <w:p w14:paraId="1758C449" w14:textId="16EB20FF" w:rsidR="00432465" w:rsidRPr="00C045F9" w:rsidRDefault="00A010C5" w:rsidP="003917EE">
      <w:pPr>
        <w:pStyle w:val="Nivel3SM"/>
      </w:pPr>
      <w:r w:rsidRPr="00C045F9">
        <w:lastRenderedPageBreak/>
        <w:t xml:space="preserve">De </w:t>
      </w:r>
      <w:r w:rsidR="002C0F59" w:rsidRPr="00C045F9">
        <w:t xml:space="preserve">acuerdo con la </w:t>
      </w:r>
      <w:r w:rsidR="00EF06C5">
        <w:t>Unión Bancaria</w:t>
      </w:r>
      <w:r w:rsidR="002C0F59" w:rsidRPr="00C045F9">
        <w:t xml:space="preserve"> y el MUS, el BCE también lleva a cabo una imp</w:t>
      </w:r>
      <w:r w:rsidR="00432465" w:rsidRPr="00C045F9">
        <w:t>ortante función de supervisión como comentamos anteriormente.</w:t>
      </w:r>
    </w:p>
    <w:p w14:paraId="436EEAE1" w14:textId="252A3484" w:rsidR="002C0F59" w:rsidRPr="00C045F9" w:rsidRDefault="003917EE" w:rsidP="003917EE">
      <w:pPr>
        <w:pStyle w:val="Ttulo7"/>
      </w:pPr>
      <w:r>
        <w:t>Banco de España</w:t>
      </w:r>
      <w:r w:rsidR="001F1994">
        <w:t xml:space="preserve"> (BdE)</w:t>
      </w:r>
    </w:p>
    <w:p w14:paraId="34FDAF9D" w14:textId="77777777" w:rsidR="00EF3233" w:rsidRDefault="00287D94" w:rsidP="00EF3233">
      <w:pPr>
        <w:pStyle w:val="Nivel2SM"/>
        <w:keepNext/>
        <w:spacing w:after="0"/>
      </w:pPr>
      <w:r w:rsidRPr="003917EE">
        <w:rPr>
          <w:i/>
          <w:iCs/>
        </w:rPr>
        <w:t>Definición</w:t>
      </w:r>
      <w:r w:rsidRPr="00C045F9">
        <w:t>:</w:t>
      </w:r>
    </w:p>
    <w:p w14:paraId="4CE4A389" w14:textId="6E9DC0E3" w:rsidR="00287D94" w:rsidRDefault="00287D94" w:rsidP="00EF3233">
      <w:pPr>
        <w:pStyle w:val="Nivel3SM"/>
      </w:pPr>
      <w:r w:rsidRPr="00C045F9">
        <w:t>El Banco de España es una entidad de derecho público con personalidad jurídica propia.</w:t>
      </w:r>
    </w:p>
    <w:p w14:paraId="79067E55" w14:textId="5F7F6B55" w:rsidR="00EF3233" w:rsidRDefault="00EF3233" w:rsidP="00EF3233">
      <w:pPr>
        <w:pStyle w:val="Nivel3SM"/>
      </w:pPr>
      <w:r>
        <w:t>Es, desde la Ley de Autonomía de 1994 un organismo independiente</w:t>
      </w:r>
      <w:r w:rsidR="007E26F6">
        <w:rPr>
          <w:rStyle w:val="Refdenotaalpie"/>
        </w:rPr>
        <w:footnoteReference w:id="21"/>
      </w:r>
      <w:r>
        <w:t>. Contablemente, el BdE es una sociedad financiera pública.</w:t>
      </w:r>
    </w:p>
    <w:p w14:paraId="53F63D64" w14:textId="47371982" w:rsidR="003917EE" w:rsidRPr="00C045F9" w:rsidRDefault="003917EE" w:rsidP="003917EE">
      <w:pPr>
        <w:pStyle w:val="Nivel2SM"/>
        <w:keepNext/>
        <w:spacing w:after="0"/>
      </w:pPr>
      <w:r w:rsidRPr="003917EE">
        <w:rPr>
          <w:i/>
          <w:iCs/>
        </w:rPr>
        <w:t>Funciones</w:t>
      </w:r>
      <w:r>
        <w:t>:</w:t>
      </w:r>
    </w:p>
    <w:p w14:paraId="7A629EAD" w14:textId="77777777" w:rsidR="00A9284F" w:rsidRPr="00C045F9" w:rsidRDefault="00A9284F" w:rsidP="003917EE">
      <w:pPr>
        <w:pStyle w:val="Nivel3SM"/>
        <w:keepNext/>
      </w:pPr>
      <w:r w:rsidRPr="00C045F9">
        <w:t>Funciones propias como miembro del Eurosistema:</w:t>
      </w:r>
    </w:p>
    <w:p w14:paraId="346E3FDF" w14:textId="61984ADD" w:rsidR="00A9284F" w:rsidRDefault="00A9284F" w:rsidP="003917EE">
      <w:pPr>
        <w:pStyle w:val="Nivel4"/>
        <w:ind w:left="1474"/>
      </w:pPr>
      <w:r w:rsidRPr="00C045F9">
        <w:t xml:space="preserve">Principalmente definir y ejecutar la política monetaria </w:t>
      </w:r>
      <w:r w:rsidR="00432465" w:rsidRPr="00C045F9">
        <w:t>de la UEM</w:t>
      </w:r>
      <w:r w:rsidR="00F7063C">
        <w:rPr>
          <w:rStyle w:val="Refdenotaalpie"/>
        </w:rPr>
        <w:footnoteReference w:id="22"/>
      </w:r>
      <w:r w:rsidRPr="00C045F9">
        <w:t>.</w:t>
      </w:r>
    </w:p>
    <w:p w14:paraId="33C2DDC2" w14:textId="4A3B11D4" w:rsidR="008269A8" w:rsidRDefault="008269A8" w:rsidP="003917EE">
      <w:pPr>
        <w:pStyle w:val="Nivel4"/>
        <w:ind w:left="1474"/>
      </w:pPr>
      <w:r>
        <w:t>Contribuir a la emisión de billetes.</w:t>
      </w:r>
    </w:p>
    <w:p w14:paraId="45AEBD25" w14:textId="0B75A818" w:rsidR="008945F4" w:rsidRDefault="008945F4" w:rsidP="003917EE">
      <w:pPr>
        <w:pStyle w:val="Nivel4"/>
        <w:ind w:left="1474"/>
      </w:pPr>
      <w:r>
        <w:t>P</w:t>
      </w:r>
      <w:r w:rsidR="00355113">
        <w:t>o</w:t>
      </w:r>
      <w:r>
        <w:t>seer y gestionar las reservas de divisas y metales preciosos no transferidas al BCE.</w:t>
      </w:r>
    </w:p>
    <w:p w14:paraId="04950C95" w14:textId="77777777" w:rsidR="00A9284F" w:rsidRPr="00C045F9" w:rsidRDefault="00A9284F" w:rsidP="003917EE">
      <w:pPr>
        <w:pStyle w:val="Nivel3SM"/>
        <w:keepNext/>
      </w:pPr>
      <w:r w:rsidRPr="00C045F9">
        <w:t>Funciones ajenas destacan:</w:t>
      </w:r>
    </w:p>
    <w:p w14:paraId="651056F1" w14:textId="593EA5BB" w:rsidR="00287D94" w:rsidRPr="00C045F9" w:rsidRDefault="00287D94" w:rsidP="003917EE">
      <w:pPr>
        <w:pStyle w:val="Nivel4"/>
        <w:keepNext/>
        <w:ind w:left="1474"/>
      </w:pPr>
      <w:r w:rsidRPr="00C045F9">
        <w:t>Supervisión</w:t>
      </w:r>
      <w:r w:rsidR="00CC3155">
        <w:t>:</w:t>
      </w:r>
    </w:p>
    <w:p w14:paraId="1CBE3049" w14:textId="77777777" w:rsidR="00C36825" w:rsidRDefault="00C36825" w:rsidP="00C36825">
      <w:pPr>
        <w:pStyle w:val="Nivel5"/>
        <w:keepNext/>
        <w:ind w:left="1871"/>
      </w:pPr>
      <w:r>
        <w:t>Supervisa 3 tipos de entidades:</w:t>
      </w:r>
    </w:p>
    <w:p w14:paraId="7B0DB1F0" w14:textId="0896AFA3" w:rsidR="00C36825" w:rsidRDefault="00C36825" w:rsidP="00C36825">
      <w:pPr>
        <w:pStyle w:val="Nivel6"/>
        <w:ind w:left="2212"/>
      </w:pPr>
      <w:r>
        <w:t>E</w:t>
      </w:r>
      <w:r w:rsidR="006817B4" w:rsidRPr="00C045F9">
        <w:t>ntidades no significativas de crédito</w:t>
      </w:r>
      <w:r>
        <w:t xml:space="preserve"> </w:t>
      </w:r>
      <w:r w:rsidRPr="00C36825">
        <w:rPr>
          <w:sz w:val="19"/>
          <w:szCs w:val="19"/>
        </w:rPr>
        <w:t>(banca, cajas de ahorro, cooperativas de crédito y el ICO)</w:t>
      </w:r>
      <w:r>
        <w:t>;</w:t>
      </w:r>
    </w:p>
    <w:p w14:paraId="62B22EFA" w14:textId="77777777" w:rsidR="00C36825" w:rsidRDefault="00C36825" w:rsidP="00C36825">
      <w:pPr>
        <w:pStyle w:val="Nivel6"/>
        <w:ind w:left="2212"/>
      </w:pPr>
      <w:r>
        <w:t>E</w:t>
      </w:r>
      <w:r w:rsidR="006817B4" w:rsidRPr="00C045F9">
        <w:t>stablecimientos financieros de crédito</w:t>
      </w:r>
      <w:r>
        <w:t xml:space="preserve">; </w:t>
      </w:r>
      <w:r w:rsidR="006817B4" w:rsidRPr="00C045F9">
        <w:t>y</w:t>
      </w:r>
    </w:p>
    <w:p w14:paraId="3EE438D6" w14:textId="6B77818F" w:rsidR="006817B4" w:rsidRPr="00C045F9" w:rsidRDefault="00C36825" w:rsidP="00C36825">
      <w:pPr>
        <w:pStyle w:val="Nivel6"/>
        <w:ind w:left="2212"/>
      </w:pPr>
      <w:r>
        <w:t>S</w:t>
      </w:r>
      <w:r w:rsidR="006817B4" w:rsidRPr="00C045F9">
        <w:t>ociedades de garantía recíproca.</w:t>
      </w:r>
    </w:p>
    <w:p w14:paraId="24F5C398" w14:textId="2FC8D7AE" w:rsidR="00C36825" w:rsidRDefault="00C36825" w:rsidP="00C36825">
      <w:pPr>
        <w:pStyle w:val="Nivel5"/>
        <w:keepNext/>
        <w:ind w:left="1871"/>
      </w:pPr>
      <w:r>
        <w:t>Supervisa 3 mercados:</w:t>
      </w:r>
    </w:p>
    <w:p w14:paraId="4B0E2C2D" w14:textId="77777777" w:rsidR="00C36825" w:rsidRDefault="001D63FA" w:rsidP="00C36825">
      <w:pPr>
        <w:pStyle w:val="Nivel6"/>
        <w:ind w:left="2212"/>
      </w:pPr>
      <w:r w:rsidRPr="00C045F9">
        <w:t>M</w:t>
      </w:r>
      <w:r w:rsidR="00287D94" w:rsidRPr="00C045F9">
        <w:t>ercado interbancario</w:t>
      </w:r>
      <w:r w:rsidR="00C36825">
        <w:t>;</w:t>
      </w:r>
    </w:p>
    <w:p w14:paraId="026685C0" w14:textId="77777777" w:rsidR="00C36825" w:rsidRDefault="00C36825" w:rsidP="00C36825">
      <w:pPr>
        <w:pStyle w:val="Nivel6"/>
        <w:ind w:left="2212"/>
      </w:pPr>
      <w:r>
        <w:t>M</w:t>
      </w:r>
      <w:r w:rsidR="00287D94" w:rsidRPr="00C045F9">
        <w:t>ercado de divisas</w:t>
      </w:r>
      <w:r>
        <w:t>; y</w:t>
      </w:r>
    </w:p>
    <w:p w14:paraId="5465490D" w14:textId="3225C5A8" w:rsidR="00287D94" w:rsidRPr="00C045F9" w:rsidRDefault="00C36825" w:rsidP="00C36825">
      <w:pPr>
        <w:pStyle w:val="Nivel6"/>
        <w:ind w:left="2212"/>
      </w:pPr>
      <w:r>
        <w:t>M</w:t>
      </w:r>
      <w:r w:rsidR="00287D94" w:rsidRPr="00C045F9">
        <w:t>ercado de deuda pública (en este caso, junto con la CNMV).</w:t>
      </w:r>
    </w:p>
    <w:p w14:paraId="4CB0535C" w14:textId="4000F0B2" w:rsidR="00A9284F" w:rsidRPr="00C045F9" w:rsidRDefault="00A9284F" w:rsidP="003917EE">
      <w:pPr>
        <w:pStyle w:val="Nivel4"/>
        <w:keepNext/>
        <w:ind w:left="1474"/>
      </w:pPr>
      <w:r w:rsidRPr="00C045F9">
        <w:t>Otras funciones:</w:t>
      </w:r>
    </w:p>
    <w:p w14:paraId="237ACFE2" w14:textId="000AF8AF" w:rsidR="00A9284F" w:rsidRPr="00C045F9" w:rsidRDefault="00A9284F" w:rsidP="003917EE">
      <w:pPr>
        <w:pStyle w:val="Nivel5"/>
        <w:ind w:left="1871"/>
      </w:pPr>
      <w:r w:rsidRPr="00C045F9">
        <w:t>Buen funcionamiento del sistema de pagos</w:t>
      </w:r>
      <w:r w:rsidR="008269A8">
        <w:rPr>
          <w:rStyle w:val="Refdenotaalpie"/>
        </w:rPr>
        <w:footnoteReference w:id="23"/>
      </w:r>
      <w:r w:rsidRPr="00C045F9">
        <w:t>.</w:t>
      </w:r>
    </w:p>
    <w:p w14:paraId="5E2ED847" w14:textId="091BAA70" w:rsidR="00A0567E" w:rsidRDefault="00A9284F" w:rsidP="003917EE">
      <w:pPr>
        <w:pStyle w:val="Nivel5"/>
        <w:ind w:left="1871"/>
      </w:pPr>
      <w:r w:rsidRPr="00C045F9">
        <w:t>Elaboración de informes y estadísticas.</w:t>
      </w:r>
    </w:p>
    <w:p w14:paraId="26BD0D69" w14:textId="1ACFDC29" w:rsidR="00BE7386" w:rsidRDefault="00BE7386" w:rsidP="003917EE">
      <w:pPr>
        <w:pStyle w:val="Nivel5"/>
        <w:ind w:left="1871"/>
      </w:pPr>
      <w:r>
        <w:t>Asesorar al gobierno.</w:t>
      </w:r>
    </w:p>
    <w:p w14:paraId="74701841" w14:textId="19296646" w:rsidR="007A0ECB" w:rsidRPr="00C045F9" w:rsidRDefault="007A0ECB" w:rsidP="003917EE">
      <w:pPr>
        <w:pStyle w:val="Nivel5"/>
        <w:ind w:left="1871"/>
      </w:pPr>
      <w:r>
        <w:t>Presta servicios de tesorería al Tesoro y actúa como agente financiero de la deuda pública</w:t>
      </w:r>
      <w:r>
        <w:rPr>
          <w:rStyle w:val="Refdenotaalpie"/>
        </w:rPr>
        <w:footnoteReference w:id="24"/>
      </w:r>
      <w:r>
        <w:t>.</w:t>
      </w:r>
    </w:p>
    <w:p w14:paraId="462C061E" w14:textId="081B495B" w:rsidR="002C0F59" w:rsidRPr="00C045F9" w:rsidRDefault="002C0F59" w:rsidP="003917EE">
      <w:pPr>
        <w:pStyle w:val="Nivel2SM"/>
        <w:keepNext/>
        <w:spacing w:after="0"/>
      </w:pPr>
      <w:r w:rsidRPr="003917EE">
        <w:rPr>
          <w:i/>
          <w:iCs/>
        </w:rPr>
        <w:t>Órganos rectores</w:t>
      </w:r>
      <w:r w:rsidR="003917EE">
        <w:t>:</w:t>
      </w:r>
    </w:p>
    <w:p w14:paraId="21F37D13" w14:textId="77777777" w:rsidR="00287D94" w:rsidRPr="00C045F9" w:rsidRDefault="002C0F59" w:rsidP="003917EE">
      <w:pPr>
        <w:pStyle w:val="Nivel3SM"/>
        <w:keepNext/>
      </w:pPr>
      <w:r w:rsidRPr="00C045F9">
        <w:t>Gobernador y Subgobernador:</w:t>
      </w:r>
    </w:p>
    <w:p w14:paraId="15120305" w14:textId="21C2B9BE" w:rsidR="002C0F59" w:rsidRPr="00DD3B8A" w:rsidRDefault="00287D94" w:rsidP="003917EE">
      <w:pPr>
        <w:pStyle w:val="Nivel4"/>
        <w:ind w:left="1474"/>
        <w:rPr>
          <w:spacing w:val="-6"/>
        </w:rPr>
      </w:pPr>
      <w:r w:rsidRPr="00DD3B8A">
        <w:rPr>
          <w:spacing w:val="-6"/>
        </w:rPr>
        <w:t>N</w:t>
      </w:r>
      <w:r w:rsidR="002C0F59" w:rsidRPr="00DD3B8A">
        <w:rPr>
          <w:spacing w:val="-6"/>
        </w:rPr>
        <w:t>ombrados por el Gobierno por un mandato no</w:t>
      </w:r>
      <w:r w:rsidR="00DD3B8A" w:rsidRPr="00DD3B8A">
        <w:rPr>
          <w:spacing w:val="-6"/>
        </w:rPr>
        <w:t> </w:t>
      </w:r>
      <w:r w:rsidR="002C0F59" w:rsidRPr="00DD3B8A">
        <w:rPr>
          <w:spacing w:val="-6"/>
        </w:rPr>
        <w:t>renovable de 6</w:t>
      </w:r>
      <w:r w:rsidR="00DD3B8A" w:rsidRPr="00DD3B8A">
        <w:rPr>
          <w:spacing w:val="-6"/>
        </w:rPr>
        <w:t> </w:t>
      </w:r>
      <w:r w:rsidR="002C0F59" w:rsidRPr="00DD3B8A">
        <w:rPr>
          <w:spacing w:val="-6"/>
        </w:rPr>
        <w:t xml:space="preserve">años. El actual gobernador es </w:t>
      </w:r>
      <w:r w:rsidRPr="00DD3B8A">
        <w:rPr>
          <w:smallCaps/>
          <w:spacing w:val="-6"/>
        </w:rPr>
        <w:t xml:space="preserve">Pablo </w:t>
      </w:r>
      <w:r w:rsidR="00A90163" w:rsidRPr="00DD3B8A">
        <w:rPr>
          <w:smallCaps/>
          <w:spacing w:val="-6"/>
        </w:rPr>
        <w:t>Hernández</w:t>
      </w:r>
      <w:r w:rsidRPr="00DD3B8A">
        <w:rPr>
          <w:smallCaps/>
          <w:spacing w:val="-6"/>
        </w:rPr>
        <w:t xml:space="preserve"> de Cos</w:t>
      </w:r>
      <w:r w:rsidR="008E2886" w:rsidRPr="00DD3B8A">
        <w:rPr>
          <w:rStyle w:val="Refdenotaalpie"/>
          <w:smallCaps/>
          <w:spacing w:val="-6"/>
        </w:rPr>
        <w:footnoteReference w:id="25"/>
      </w:r>
      <w:r w:rsidR="002C0F59" w:rsidRPr="00DD3B8A">
        <w:rPr>
          <w:spacing w:val="-6"/>
        </w:rPr>
        <w:t xml:space="preserve"> y </w:t>
      </w:r>
      <w:r w:rsidR="00DD3B8A" w:rsidRPr="00DD3B8A">
        <w:rPr>
          <w:spacing w:val="-6"/>
        </w:rPr>
        <w:t>la</w:t>
      </w:r>
      <w:r w:rsidR="002C0F59" w:rsidRPr="00DD3B8A">
        <w:rPr>
          <w:spacing w:val="-6"/>
        </w:rPr>
        <w:t xml:space="preserve"> subgobernador</w:t>
      </w:r>
      <w:r w:rsidR="00DD3B8A" w:rsidRPr="00DD3B8A">
        <w:rPr>
          <w:spacing w:val="-6"/>
        </w:rPr>
        <w:t>a es</w:t>
      </w:r>
      <w:r w:rsidR="002C0F59" w:rsidRPr="00DD3B8A">
        <w:rPr>
          <w:spacing w:val="-6"/>
        </w:rPr>
        <w:t xml:space="preserve"> </w:t>
      </w:r>
      <w:r w:rsidRPr="00DD3B8A">
        <w:rPr>
          <w:smallCaps/>
          <w:spacing w:val="-6"/>
        </w:rPr>
        <w:t>Margarita Delgado</w:t>
      </w:r>
      <w:r w:rsidR="002C0F59" w:rsidRPr="00DD3B8A">
        <w:rPr>
          <w:spacing w:val="-6"/>
        </w:rPr>
        <w:t>.</w:t>
      </w:r>
    </w:p>
    <w:p w14:paraId="6F0A845F" w14:textId="3959F85E" w:rsidR="00287D94" w:rsidRPr="00C045F9" w:rsidRDefault="002C0F59" w:rsidP="003917EE">
      <w:pPr>
        <w:pStyle w:val="Nivel3SM"/>
        <w:keepNext/>
      </w:pPr>
      <w:r w:rsidRPr="00C045F9">
        <w:t>Consejo de Gobierno</w:t>
      </w:r>
      <w:r w:rsidR="00A0567E" w:rsidRPr="00C045F9">
        <w:t>:</w:t>
      </w:r>
    </w:p>
    <w:p w14:paraId="01851B24" w14:textId="2593FCE7" w:rsidR="00A0567E" w:rsidRPr="00C045F9" w:rsidRDefault="00A0567E" w:rsidP="003917EE">
      <w:pPr>
        <w:pStyle w:val="Nivel4"/>
        <w:ind w:left="1474"/>
      </w:pPr>
      <w:r w:rsidRPr="00C045F9">
        <w:t>M</w:t>
      </w:r>
      <w:r w:rsidR="002C0F59" w:rsidRPr="00C045F9">
        <w:t>áximo órgano decisorio del Banco de España</w:t>
      </w:r>
      <w:r w:rsidRPr="00C045F9">
        <w:t>.</w:t>
      </w:r>
    </w:p>
    <w:p w14:paraId="6A6ED379" w14:textId="70C5B8E8" w:rsidR="002C0F59" w:rsidRPr="00637BF3" w:rsidRDefault="00A0567E" w:rsidP="003917EE">
      <w:pPr>
        <w:pStyle w:val="Nivel4"/>
        <w:ind w:left="1474"/>
        <w:rPr>
          <w:spacing w:val="-3"/>
        </w:rPr>
      </w:pPr>
      <w:r w:rsidRPr="00637BF3">
        <w:rPr>
          <w:spacing w:val="-3"/>
        </w:rPr>
        <w:t>C</w:t>
      </w:r>
      <w:r w:rsidR="002C0F59" w:rsidRPr="00637BF3">
        <w:rPr>
          <w:spacing w:val="-3"/>
        </w:rPr>
        <w:t xml:space="preserve">ompuesto por el gobernador, el subgobernador, </w:t>
      </w:r>
      <w:r w:rsidR="002C0F59" w:rsidRPr="00637BF3">
        <w:rPr>
          <w:bCs/>
          <w:spacing w:val="-3"/>
        </w:rPr>
        <w:t>6</w:t>
      </w:r>
      <w:r w:rsidR="00DD3B8A" w:rsidRPr="00637BF3">
        <w:rPr>
          <w:bCs/>
          <w:spacing w:val="-3"/>
        </w:rPr>
        <w:t> </w:t>
      </w:r>
      <w:r w:rsidR="002C0F59" w:rsidRPr="00637BF3">
        <w:rPr>
          <w:bCs/>
          <w:spacing w:val="-3"/>
        </w:rPr>
        <w:t>consejeros</w:t>
      </w:r>
      <w:r w:rsidR="002C0F59" w:rsidRPr="00637BF3">
        <w:rPr>
          <w:spacing w:val="-3"/>
        </w:rPr>
        <w:t xml:space="preserve"> </w:t>
      </w:r>
      <w:r w:rsidR="002C0F59" w:rsidRPr="00637BF3">
        <w:rPr>
          <w:spacing w:val="-3"/>
          <w:sz w:val="19"/>
          <w:szCs w:val="19"/>
        </w:rPr>
        <w:t>(nombrados por el Ministerio de Economía)</w:t>
      </w:r>
      <w:r w:rsidR="002C0F59" w:rsidRPr="00637BF3">
        <w:rPr>
          <w:spacing w:val="-3"/>
        </w:rPr>
        <w:t xml:space="preserve">, la </w:t>
      </w:r>
      <w:r w:rsidR="00DD3B8A" w:rsidRPr="00637BF3">
        <w:rPr>
          <w:spacing w:val="-3"/>
        </w:rPr>
        <w:t>S</w:t>
      </w:r>
      <w:r w:rsidR="002C0F59" w:rsidRPr="00637BF3">
        <w:rPr>
          <w:spacing w:val="-3"/>
        </w:rPr>
        <w:t xml:space="preserve">ecretaria </w:t>
      </w:r>
      <w:r w:rsidR="00DD3B8A" w:rsidRPr="00637BF3">
        <w:rPr>
          <w:spacing w:val="-3"/>
        </w:rPr>
        <w:t>G</w:t>
      </w:r>
      <w:r w:rsidR="002C0F59" w:rsidRPr="00637BF3">
        <w:rPr>
          <w:spacing w:val="-3"/>
        </w:rPr>
        <w:t>eneral del Tesoro, y la vicepresidenta de la CNMV.</w:t>
      </w:r>
    </w:p>
    <w:p w14:paraId="38B3A6EB" w14:textId="559DE62C" w:rsidR="00287D94" w:rsidRPr="00C045F9" w:rsidRDefault="002C0F59" w:rsidP="003917EE">
      <w:pPr>
        <w:pStyle w:val="Nivel3SM"/>
        <w:keepNext/>
      </w:pPr>
      <w:r w:rsidRPr="00C045F9">
        <w:t>Comisión Ejecutiva</w:t>
      </w:r>
      <w:r w:rsidR="00A0567E" w:rsidRPr="00C045F9">
        <w:t>:</w:t>
      </w:r>
    </w:p>
    <w:p w14:paraId="1F1C873F" w14:textId="5A992F5F" w:rsidR="00287D94" w:rsidRPr="00C045F9" w:rsidRDefault="002C0F59" w:rsidP="003917EE">
      <w:pPr>
        <w:pStyle w:val="Nivel4"/>
        <w:ind w:left="1474"/>
      </w:pPr>
      <w:r w:rsidRPr="00C045F9">
        <w:t>Ejecuta la política monetaria del BCE. Está compuesto por el gobernador, el subgobernador y 2</w:t>
      </w:r>
      <w:r w:rsidR="003917EE">
        <w:t> </w:t>
      </w:r>
      <w:r w:rsidRPr="00C045F9">
        <w:t>consejeros (nombrados por el Ministerio de Economía).</w:t>
      </w:r>
    </w:p>
    <w:p w14:paraId="76267F8F" w14:textId="3438DC3A" w:rsidR="00E01F8D" w:rsidRDefault="00A0567E" w:rsidP="00A9777D">
      <w:pPr>
        <w:pStyle w:val="Ttulo6"/>
      </w:pPr>
      <w:bookmarkStart w:id="64" w:name="_Toc178010348"/>
      <w:r w:rsidRPr="00C045F9">
        <w:lastRenderedPageBreak/>
        <w:t>Agentes</w:t>
      </w:r>
      <w:bookmarkEnd w:id="64"/>
    </w:p>
    <w:tbl>
      <w:tblPr>
        <w:tblStyle w:val="Tablaconcuadrcula"/>
        <w:tblW w:w="10768" w:type="dxa"/>
        <w:jc w:val="center"/>
        <w:tblLook w:val="04A0" w:firstRow="1" w:lastRow="0" w:firstColumn="1" w:lastColumn="0" w:noHBand="0" w:noVBand="1"/>
      </w:tblPr>
      <w:tblGrid>
        <w:gridCol w:w="1413"/>
        <w:gridCol w:w="2410"/>
        <w:gridCol w:w="2835"/>
        <w:gridCol w:w="4110"/>
      </w:tblGrid>
      <w:tr w:rsidR="00DE3060" w:rsidRPr="00EC0D4F" w14:paraId="2C5E22CA" w14:textId="77777777" w:rsidTr="005D5404">
        <w:trPr>
          <w:tblHeader/>
          <w:jc w:val="center"/>
        </w:trPr>
        <w:tc>
          <w:tcPr>
            <w:tcW w:w="10768" w:type="dxa"/>
            <w:gridSpan w:val="4"/>
            <w:tcBorders>
              <w:top w:val="single" w:sz="12" w:space="0" w:color="auto"/>
              <w:left w:val="nil"/>
              <w:bottom w:val="single" w:sz="12" w:space="0" w:color="auto"/>
              <w:right w:val="nil"/>
            </w:tcBorders>
          </w:tcPr>
          <w:p w14:paraId="6FD3D34D" w14:textId="16F769DB" w:rsidR="00DE3060" w:rsidRPr="00EC0D4F" w:rsidRDefault="00DE3060" w:rsidP="00DE3060">
            <w:pPr>
              <w:keepNext/>
              <w:spacing w:after="0"/>
              <w:jc w:val="center"/>
              <w:rPr>
                <w:lang w:val="es-ES"/>
              </w:rPr>
            </w:pPr>
            <w:r w:rsidRPr="00EC0D4F">
              <w:rPr>
                <w:b/>
                <w:bCs/>
                <w:lang w:val="es-ES"/>
              </w:rPr>
              <w:t>Agentes y mercados supervisados por el Banco de España</w:t>
            </w:r>
          </w:p>
        </w:tc>
      </w:tr>
      <w:tr w:rsidR="00DE3060" w:rsidRPr="00EC0D4F" w14:paraId="63909C70" w14:textId="77777777" w:rsidTr="005D5404">
        <w:trPr>
          <w:jc w:val="center"/>
        </w:trPr>
        <w:tc>
          <w:tcPr>
            <w:tcW w:w="1413" w:type="dxa"/>
            <w:vMerge w:val="restart"/>
            <w:tcBorders>
              <w:top w:val="single" w:sz="12" w:space="0" w:color="auto"/>
              <w:left w:val="nil"/>
              <w:right w:val="single" w:sz="2" w:space="0" w:color="auto"/>
            </w:tcBorders>
            <w:vAlign w:val="center"/>
          </w:tcPr>
          <w:p w14:paraId="0B6FB52D" w14:textId="744E7AEB" w:rsidR="00DE3060" w:rsidRPr="00EC0D4F" w:rsidRDefault="00DE3060" w:rsidP="00DE3060">
            <w:pPr>
              <w:spacing w:after="0"/>
              <w:jc w:val="left"/>
              <w:rPr>
                <w:lang w:val="es-ES"/>
              </w:rPr>
            </w:pPr>
            <w:r w:rsidRPr="00EC0D4F">
              <w:rPr>
                <w:lang w:val="es-ES"/>
              </w:rPr>
              <w:t>Agentes</w:t>
            </w:r>
          </w:p>
        </w:tc>
        <w:tc>
          <w:tcPr>
            <w:tcW w:w="2410" w:type="dxa"/>
            <w:vMerge w:val="restart"/>
            <w:tcBorders>
              <w:top w:val="single" w:sz="12" w:space="0" w:color="auto"/>
              <w:left w:val="single" w:sz="2" w:space="0" w:color="auto"/>
              <w:right w:val="single" w:sz="2" w:space="0" w:color="auto"/>
            </w:tcBorders>
            <w:vAlign w:val="center"/>
          </w:tcPr>
          <w:p w14:paraId="326975ED" w14:textId="4865FB8A" w:rsidR="00DE3060" w:rsidRPr="00EC0D4F" w:rsidRDefault="00DE3060" w:rsidP="00DE3060">
            <w:pPr>
              <w:spacing w:after="0"/>
              <w:jc w:val="left"/>
              <w:rPr>
                <w:lang w:val="es-ES"/>
              </w:rPr>
            </w:pPr>
            <w:r w:rsidRPr="00EC0D4F">
              <w:rPr>
                <w:lang w:val="es-ES"/>
              </w:rPr>
              <w:t>Entidades de crédito</w:t>
            </w:r>
          </w:p>
        </w:tc>
        <w:tc>
          <w:tcPr>
            <w:tcW w:w="2835" w:type="dxa"/>
            <w:vMerge w:val="restart"/>
            <w:tcBorders>
              <w:top w:val="single" w:sz="12" w:space="0" w:color="auto"/>
              <w:left w:val="single" w:sz="2" w:space="0" w:color="auto"/>
              <w:right w:val="single" w:sz="2" w:space="0" w:color="auto"/>
            </w:tcBorders>
            <w:vAlign w:val="center"/>
          </w:tcPr>
          <w:p w14:paraId="683F898B" w14:textId="1E75B583" w:rsidR="00DE3060" w:rsidRPr="00EC0D4F" w:rsidRDefault="00DE3060" w:rsidP="004716CD">
            <w:pPr>
              <w:spacing w:after="0"/>
              <w:jc w:val="left"/>
              <w:rPr>
                <w:lang w:val="es-ES"/>
              </w:rPr>
            </w:pPr>
            <w:r w:rsidRPr="00EC0D4F">
              <w:rPr>
                <w:lang w:val="es-ES"/>
              </w:rPr>
              <w:t>Entidades de depósito</w:t>
            </w:r>
          </w:p>
        </w:tc>
        <w:tc>
          <w:tcPr>
            <w:tcW w:w="4110" w:type="dxa"/>
            <w:tcBorders>
              <w:top w:val="single" w:sz="12" w:space="0" w:color="auto"/>
              <w:left w:val="single" w:sz="2" w:space="0" w:color="auto"/>
              <w:bottom w:val="single" w:sz="2" w:space="0" w:color="auto"/>
              <w:right w:val="nil"/>
            </w:tcBorders>
            <w:vAlign w:val="center"/>
          </w:tcPr>
          <w:p w14:paraId="12DDD713" w14:textId="5EA654EA" w:rsidR="00DE3060" w:rsidRPr="00EC0D4F" w:rsidRDefault="00DE3060" w:rsidP="00DE3060">
            <w:pPr>
              <w:spacing w:after="0"/>
              <w:jc w:val="left"/>
              <w:rPr>
                <w:lang w:val="es-ES"/>
              </w:rPr>
            </w:pPr>
            <w:r w:rsidRPr="00EC0D4F">
              <w:rPr>
                <w:lang w:val="es-ES"/>
              </w:rPr>
              <w:t>Bancos</w:t>
            </w:r>
          </w:p>
        </w:tc>
      </w:tr>
      <w:tr w:rsidR="00DE3060" w:rsidRPr="00EC0D4F" w14:paraId="6A318AE3" w14:textId="77777777" w:rsidTr="004716CD">
        <w:trPr>
          <w:jc w:val="center"/>
        </w:trPr>
        <w:tc>
          <w:tcPr>
            <w:tcW w:w="1413" w:type="dxa"/>
            <w:vMerge/>
            <w:tcBorders>
              <w:left w:val="nil"/>
              <w:right w:val="single" w:sz="2" w:space="0" w:color="auto"/>
            </w:tcBorders>
            <w:vAlign w:val="center"/>
          </w:tcPr>
          <w:p w14:paraId="54CE1E00" w14:textId="77777777" w:rsidR="00DE3060" w:rsidRPr="00EC0D4F" w:rsidRDefault="00DE3060" w:rsidP="00DE3060">
            <w:pPr>
              <w:spacing w:after="0"/>
              <w:jc w:val="left"/>
              <w:rPr>
                <w:lang w:val="es-ES"/>
              </w:rPr>
            </w:pPr>
          </w:p>
        </w:tc>
        <w:tc>
          <w:tcPr>
            <w:tcW w:w="2410" w:type="dxa"/>
            <w:vMerge/>
            <w:tcBorders>
              <w:left w:val="single" w:sz="2" w:space="0" w:color="auto"/>
              <w:right w:val="single" w:sz="2" w:space="0" w:color="auto"/>
            </w:tcBorders>
            <w:vAlign w:val="center"/>
          </w:tcPr>
          <w:p w14:paraId="3DCE58CB" w14:textId="5786433B" w:rsidR="00DE3060" w:rsidRPr="00EC0D4F" w:rsidRDefault="00DE3060" w:rsidP="00DE3060">
            <w:pPr>
              <w:spacing w:after="0"/>
              <w:jc w:val="center"/>
              <w:rPr>
                <w:lang w:val="es-ES"/>
              </w:rPr>
            </w:pPr>
          </w:p>
        </w:tc>
        <w:tc>
          <w:tcPr>
            <w:tcW w:w="2835" w:type="dxa"/>
            <w:vMerge/>
            <w:tcBorders>
              <w:left w:val="single" w:sz="2" w:space="0" w:color="auto"/>
              <w:right w:val="single" w:sz="2" w:space="0" w:color="auto"/>
            </w:tcBorders>
            <w:vAlign w:val="center"/>
          </w:tcPr>
          <w:p w14:paraId="7436621A" w14:textId="77777777" w:rsidR="00DE3060" w:rsidRPr="00EC0D4F" w:rsidRDefault="00DE3060" w:rsidP="004716CD">
            <w:pPr>
              <w:spacing w:after="0"/>
              <w:jc w:val="left"/>
              <w:rPr>
                <w:lang w:val="es-ES"/>
              </w:rPr>
            </w:pPr>
          </w:p>
        </w:tc>
        <w:tc>
          <w:tcPr>
            <w:tcW w:w="4110" w:type="dxa"/>
            <w:tcBorders>
              <w:top w:val="single" w:sz="2" w:space="0" w:color="auto"/>
              <w:left w:val="single" w:sz="2" w:space="0" w:color="auto"/>
              <w:bottom w:val="single" w:sz="2" w:space="0" w:color="auto"/>
              <w:right w:val="nil"/>
            </w:tcBorders>
            <w:vAlign w:val="center"/>
          </w:tcPr>
          <w:p w14:paraId="30313100" w14:textId="45C11D24" w:rsidR="00DE3060" w:rsidRPr="00EC0D4F" w:rsidRDefault="00DE3060" w:rsidP="00DE3060">
            <w:pPr>
              <w:spacing w:after="0"/>
              <w:jc w:val="left"/>
              <w:rPr>
                <w:lang w:val="es-ES"/>
              </w:rPr>
            </w:pPr>
            <w:r w:rsidRPr="00EC0D4F">
              <w:rPr>
                <w:lang w:val="es-ES"/>
              </w:rPr>
              <w:t>Cajas de ahorro</w:t>
            </w:r>
          </w:p>
        </w:tc>
      </w:tr>
      <w:tr w:rsidR="00DE3060" w:rsidRPr="00EC0D4F" w14:paraId="7C819A2A" w14:textId="77777777" w:rsidTr="004716CD">
        <w:trPr>
          <w:jc w:val="center"/>
        </w:trPr>
        <w:tc>
          <w:tcPr>
            <w:tcW w:w="1413" w:type="dxa"/>
            <w:vMerge/>
            <w:tcBorders>
              <w:left w:val="nil"/>
              <w:right w:val="single" w:sz="2" w:space="0" w:color="auto"/>
            </w:tcBorders>
            <w:vAlign w:val="center"/>
          </w:tcPr>
          <w:p w14:paraId="7DB2AE20" w14:textId="77777777" w:rsidR="00DE3060" w:rsidRPr="00EC0D4F" w:rsidRDefault="00DE3060" w:rsidP="00DE3060">
            <w:pPr>
              <w:spacing w:after="0"/>
              <w:jc w:val="left"/>
              <w:rPr>
                <w:lang w:val="es-ES"/>
              </w:rPr>
            </w:pPr>
          </w:p>
        </w:tc>
        <w:tc>
          <w:tcPr>
            <w:tcW w:w="2410" w:type="dxa"/>
            <w:vMerge/>
            <w:tcBorders>
              <w:left w:val="single" w:sz="2" w:space="0" w:color="auto"/>
              <w:right w:val="single" w:sz="2" w:space="0" w:color="auto"/>
            </w:tcBorders>
            <w:vAlign w:val="center"/>
          </w:tcPr>
          <w:p w14:paraId="09AA2805" w14:textId="0261D19A" w:rsidR="00DE3060" w:rsidRPr="00EC0D4F" w:rsidRDefault="00DE3060" w:rsidP="00DE3060">
            <w:pPr>
              <w:spacing w:after="0"/>
              <w:jc w:val="center"/>
              <w:rPr>
                <w:lang w:val="es-ES"/>
              </w:rPr>
            </w:pPr>
          </w:p>
        </w:tc>
        <w:tc>
          <w:tcPr>
            <w:tcW w:w="2835" w:type="dxa"/>
            <w:vMerge/>
            <w:tcBorders>
              <w:left w:val="single" w:sz="2" w:space="0" w:color="auto"/>
              <w:bottom w:val="single" w:sz="2" w:space="0" w:color="auto"/>
              <w:right w:val="single" w:sz="2" w:space="0" w:color="auto"/>
            </w:tcBorders>
            <w:vAlign w:val="center"/>
          </w:tcPr>
          <w:p w14:paraId="7528B6EA" w14:textId="77777777" w:rsidR="00DE3060" w:rsidRPr="00EC0D4F" w:rsidRDefault="00DE3060" w:rsidP="004716CD">
            <w:pPr>
              <w:spacing w:after="0"/>
              <w:jc w:val="left"/>
              <w:rPr>
                <w:lang w:val="es-ES"/>
              </w:rPr>
            </w:pPr>
          </w:p>
        </w:tc>
        <w:tc>
          <w:tcPr>
            <w:tcW w:w="4110" w:type="dxa"/>
            <w:tcBorders>
              <w:top w:val="single" w:sz="2" w:space="0" w:color="auto"/>
              <w:left w:val="single" w:sz="2" w:space="0" w:color="auto"/>
              <w:bottom w:val="single" w:sz="2" w:space="0" w:color="auto"/>
              <w:right w:val="nil"/>
            </w:tcBorders>
            <w:vAlign w:val="center"/>
          </w:tcPr>
          <w:p w14:paraId="5FCDFD77" w14:textId="21FB6E00" w:rsidR="00DE3060" w:rsidRPr="00EC0D4F" w:rsidRDefault="00DE3060" w:rsidP="00DE3060">
            <w:pPr>
              <w:spacing w:after="0"/>
              <w:jc w:val="left"/>
              <w:rPr>
                <w:lang w:val="es-ES"/>
              </w:rPr>
            </w:pPr>
            <w:r w:rsidRPr="00EC0D4F">
              <w:rPr>
                <w:lang w:val="es-ES"/>
              </w:rPr>
              <w:t>Cooperativas de crédito</w:t>
            </w:r>
          </w:p>
        </w:tc>
      </w:tr>
      <w:tr w:rsidR="00DE3060" w:rsidRPr="00EC0D4F" w14:paraId="0EB7C960" w14:textId="77777777" w:rsidTr="004716CD">
        <w:trPr>
          <w:jc w:val="center"/>
        </w:trPr>
        <w:tc>
          <w:tcPr>
            <w:tcW w:w="1413" w:type="dxa"/>
            <w:vMerge/>
            <w:tcBorders>
              <w:left w:val="nil"/>
              <w:right w:val="single" w:sz="2" w:space="0" w:color="auto"/>
            </w:tcBorders>
            <w:vAlign w:val="center"/>
          </w:tcPr>
          <w:p w14:paraId="7FD149EE" w14:textId="77777777" w:rsidR="00DE3060" w:rsidRPr="00EC0D4F" w:rsidRDefault="00DE3060" w:rsidP="00DE3060">
            <w:pPr>
              <w:spacing w:after="0"/>
              <w:jc w:val="left"/>
              <w:rPr>
                <w:lang w:val="es-ES"/>
              </w:rPr>
            </w:pPr>
          </w:p>
        </w:tc>
        <w:tc>
          <w:tcPr>
            <w:tcW w:w="2410" w:type="dxa"/>
            <w:vMerge/>
            <w:tcBorders>
              <w:left w:val="single" w:sz="2" w:space="0" w:color="auto"/>
              <w:right w:val="single" w:sz="2" w:space="0" w:color="auto"/>
            </w:tcBorders>
            <w:vAlign w:val="center"/>
          </w:tcPr>
          <w:p w14:paraId="13043898" w14:textId="4ACEEFC6" w:rsidR="00DE3060" w:rsidRPr="00EC0D4F" w:rsidRDefault="00DE3060" w:rsidP="00DE3060">
            <w:pPr>
              <w:spacing w:after="0"/>
              <w:jc w:val="center"/>
              <w:rPr>
                <w:lang w:val="es-ES"/>
              </w:rPr>
            </w:pPr>
          </w:p>
        </w:tc>
        <w:tc>
          <w:tcPr>
            <w:tcW w:w="2835" w:type="dxa"/>
            <w:tcBorders>
              <w:top w:val="single" w:sz="2" w:space="0" w:color="auto"/>
              <w:left w:val="single" w:sz="2" w:space="0" w:color="auto"/>
              <w:bottom w:val="single" w:sz="2" w:space="0" w:color="auto"/>
              <w:right w:val="single" w:sz="2" w:space="0" w:color="auto"/>
            </w:tcBorders>
            <w:vAlign w:val="center"/>
          </w:tcPr>
          <w:p w14:paraId="7118B6F3" w14:textId="0E84DEFA" w:rsidR="00DE3060" w:rsidRPr="00EC0D4F" w:rsidRDefault="00DE3060" w:rsidP="004716CD">
            <w:pPr>
              <w:spacing w:after="0"/>
              <w:jc w:val="left"/>
              <w:rPr>
                <w:lang w:val="es-ES"/>
              </w:rPr>
            </w:pPr>
            <w:r w:rsidRPr="00EC0D4F">
              <w:rPr>
                <w:lang w:val="es-ES"/>
              </w:rPr>
              <w:t>Entidades no de depósito</w:t>
            </w:r>
          </w:p>
        </w:tc>
        <w:tc>
          <w:tcPr>
            <w:tcW w:w="4110" w:type="dxa"/>
            <w:tcBorders>
              <w:top w:val="single" w:sz="2" w:space="0" w:color="auto"/>
              <w:left w:val="single" w:sz="2" w:space="0" w:color="auto"/>
              <w:bottom w:val="single" w:sz="2" w:space="0" w:color="auto"/>
              <w:right w:val="nil"/>
            </w:tcBorders>
            <w:vAlign w:val="center"/>
          </w:tcPr>
          <w:p w14:paraId="23FBD219" w14:textId="7BC50B33" w:rsidR="00DE3060" w:rsidRPr="00EC0D4F" w:rsidRDefault="00DE3060" w:rsidP="00DE3060">
            <w:pPr>
              <w:spacing w:after="0"/>
              <w:jc w:val="left"/>
              <w:rPr>
                <w:lang w:val="es-ES"/>
              </w:rPr>
            </w:pPr>
            <w:r w:rsidRPr="00EC0D4F">
              <w:rPr>
                <w:lang w:val="es-ES"/>
              </w:rPr>
              <w:t>Instituto de Crédito Oficial</w:t>
            </w:r>
          </w:p>
        </w:tc>
      </w:tr>
      <w:tr w:rsidR="00DE3060" w:rsidRPr="00EC0D4F" w14:paraId="7CEA3510" w14:textId="77777777" w:rsidTr="004716CD">
        <w:trPr>
          <w:jc w:val="center"/>
        </w:trPr>
        <w:tc>
          <w:tcPr>
            <w:tcW w:w="1413" w:type="dxa"/>
            <w:vMerge/>
            <w:tcBorders>
              <w:left w:val="nil"/>
              <w:right w:val="single" w:sz="2" w:space="0" w:color="auto"/>
            </w:tcBorders>
            <w:vAlign w:val="center"/>
          </w:tcPr>
          <w:p w14:paraId="0941CA34" w14:textId="77777777" w:rsidR="00DE3060" w:rsidRPr="00EC0D4F" w:rsidRDefault="00DE3060" w:rsidP="00DE3060">
            <w:pPr>
              <w:spacing w:after="0"/>
              <w:jc w:val="left"/>
              <w:rPr>
                <w:lang w:val="es-ES"/>
              </w:rPr>
            </w:pPr>
          </w:p>
        </w:tc>
        <w:tc>
          <w:tcPr>
            <w:tcW w:w="2410" w:type="dxa"/>
            <w:vMerge/>
            <w:tcBorders>
              <w:left w:val="single" w:sz="2" w:space="0" w:color="auto"/>
              <w:bottom w:val="single" w:sz="2" w:space="0" w:color="auto"/>
              <w:right w:val="single" w:sz="2" w:space="0" w:color="auto"/>
            </w:tcBorders>
            <w:vAlign w:val="center"/>
          </w:tcPr>
          <w:p w14:paraId="3BB51582" w14:textId="1B0E28D9" w:rsidR="00DE3060" w:rsidRPr="00EC0D4F" w:rsidRDefault="00DE3060" w:rsidP="00DE3060">
            <w:pPr>
              <w:spacing w:after="0"/>
              <w:jc w:val="center"/>
              <w:rPr>
                <w:lang w:val="es-ES"/>
              </w:rPr>
            </w:pPr>
          </w:p>
        </w:tc>
        <w:tc>
          <w:tcPr>
            <w:tcW w:w="2835" w:type="dxa"/>
            <w:tcBorders>
              <w:top w:val="single" w:sz="2" w:space="0" w:color="auto"/>
              <w:left w:val="single" w:sz="2" w:space="0" w:color="auto"/>
              <w:bottom w:val="single" w:sz="2" w:space="0" w:color="auto"/>
              <w:right w:val="single" w:sz="2" w:space="0" w:color="auto"/>
            </w:tcBorders>
          </w:tcPr>
          <w:p w14:paraId="22F8F205" w14:textId="77777777" w:rsidR="00DE3060" w:rsidRPr="00EC0D4F" w:rsidRDefault="00DE3060" w:rsidP="00DE3060">
            <w:pPr>
              <w:spacing w:after="0"/>
              <w:jc w:val="center"/>
              <w:rPr>
                <w:lang w:val="es-ES"/>
              </w:rPr>
            </w:pPr>
          </w:p>
        </w:tc>
        <w:tc>
          <w:tcPr>
            <w:tcW w:w="4110" w:type="dxa"/>
            <w:tcBorders>
              <w:top w:val="single" w:sz="2" w:space="0" w:color="auto"/>
              <w:left w:val="single" w:sz="2" w:space="0" w:color="auto"/>
              <w:right w:val="nil"/>
            </w:tcBorders>
            <w:vAlign w:val="center"/>
          </w:tcPr>
          <w:p w14:paraId="2D06E775" w14:textId="7D6CC974" w:rsidR="00DE3060" w:rsidRPr="00EC0D4F" w:rsidRDefault="00DE3060" w:rsidP="00DE3060">
            <w:pPr>
              <w:spacing w:after="0"/>
              <w:jc w:val="left"/>
              <w:rPr>
                <w:lang w:val="es-ES"/>
              </w:rPr>
            </w:pPr>
            <w:r w:rsidRPr="00EC0D4F">
              <w:rPr>
                <w:lang w:val="es-ES"/>
              </w:rPr>
              <w:t>Establecimientos financieros de crédito</w:t>
            </w:r>
          </w:p>
        </w:tc>
      </w:tr>
      <w:tr w:rsidR="00DE3060" w:rsidRPr="00EC0D4F" w14:paraId="3996392C" w14:textId="77777777" w:rsidTr="004716CD">
        <w:trPr>
          <w:jc w:val="center"/>
        </w:trPr>
        <w:tc>
          <w:tcPr>
            <w:tcW w:w="1413" w:type="dxa"/>
            <w:vMerge/>
            <w:tcBorders>
              <w:left w:val="nil"/>
              <w:right w:val="single" w:sz="2" w:space="0" w:color="auto"/>
            </w:tcBorders>
            <w:vAlign w:val="center"/>
          </w:tcPr>
          <w:p w14:paraId="07AE7779" w14:textId="77777777" w:rsidR="00DE3060" w:rsidRPr="00EC0D4F" w:rsidRDefault="00DE3060" w:rsidP="00DE3060">
            <w:pPr>
              <w:spacing w:after="0"/>
              <w:jc w:val="left"/>
              <w:rPr>
                <w:lang w:val="es-ES"/>
              </w:rPr>
            </w:pPr>
          </w:p>
        </w:tc>
        <w:tc>
          <w:tcPr>
            <w:tcW w:w="5245" w:type="dxa"/>
            <w:gridSpan w:val="2"/>
            <w:tcBorders>
              <w:top w:val="single" w:sz="2" w:space="0" w:color="auto"/>
              <w:left w:val="single" w:sz="2" w:space="0" w:color="auto"/>
              <w:right w:val="single" w:sz="2" w:space="0" w:color="auto"/>
            </w:tcBorders>
            <w:vAlign w:val="center"/>
          </w:tcPr>
          <w:p w14:paraId="6EFC58A8" w14:textId="3BF6D74D" w:rsidR="00DE3060" w:rsidRPr="00EC0D4F" w:rsidRDefault="00DE3060" w:rsidP="00DE3060">
            <w:pPr>
              <w:spacing w:after="0"/>
              <w:jc w:val="left"/>
              <w:rPr>
                <w:lang w:val="es-ES"/>
              </w:rPr>
            </w:pPr>
            <w:r w:rsidRPr="00EC0D4F">
              <w:rPr>
                <w:lang w:val="es-ES"/>
              </w:rPr>
              <w:t>Entidades no de crédito</w:t>
            </w:r>
          </w:p>
        </w:tc>
        <w:tc>
          <w:tcPr>
            <w:tcW w:w="4110" w:type="dxa"/>
            <w:tcBorders>
              <w:top w:val="single" w:sz="2" w:space="0" w:color="auto"/>
              <w:left w:val="single" w:sz="2" w:space="0" w:color="auto"/>
              <w:right w:val="nil"/>
            </w:tcBorders>
            <w:vAlign w:val="center"/>
          </w:tcPr>
          <w:p w14:paraId="61E216EC" w14:textId="4CDA0DAE" w:rsidR="00DE3060" w:rsidRPr="00EC0D4F" w:rsidRDefault="00DE3060" w:rsidP="00DE3060">
            <w:pPr>
              <w:spacing w:after="0"/>
              <w:jc w:val="left"/>
              <w:rPr>
                <w:lang w:val="es-ES"/>
              </w:rPr>
            </w:pPr>
            <w:r w:rsidRPr="00EC0D4F">
              <w:rPr>
                <w:lang w:val="es-ES"/>
              </w:rPr>
              <w:t>Sociedades de garantía recíproca</w:t>
            </w:r>
          </w:p>
        </w:tc>
      </w:tr>
      <w:tr w:rsidR="004716CD" w:rsidRPr="00EC0D4F" w14:paraId="641229F0" w14:textId="77777777" w:rsidTr="004716CD">
        <w:trPr>
          <w:trHeight w:val="295"/>
          <w:jc w:val="center"/>
        </w:trPr>
        <w:tc>
          <w:tcPr>
            <w:tcW w:w="1413" w:type="dxa"/>
            <w:vMerge w:val="restart"/>
            <w:tcBorders>
              <w:left w:val="nil"/>
              <w:right w:val="single" w:sz="2" w:space="0" w:color="auto"/>
            </w:tcBorders>
            <w:vAlign w:val="center"/>
          </w:tcPr>
          <w:p w14:paraId="27B124E7" w14:textId="1315B67E" w:rsidR="004716CD" w:rsidRPr="00EC0D4F" w:rsidRDefault="004716CD" w:rsidP="004716CD">
            <w:pPr>
              <w:spacing w:after="0"/>
              <w:jc w:val="left"/>
              <w:rPr>
                <w:lang w:val="es-ES"/>
              </w:rPr>
            </w:pPr>
            <w:r w:rsidRPr="00EC0D4F">
              <w:rPr>
                <w:lang w:val="es-ES"/>
              </w:rPr>
              <w:t>Mercados</w:t>
            </w:r>
          </w:p>
        </w:tc>
        <w:tc>
          <w:tcPr>
            <w:tcW w:w="5245" w:type="dxa"/>
            <w:gridSpan w:val="2"/>
            <w:tcBorders>
              <w:left w:val="single" w:sz="2" w:space="0" w:color="auto"/>
              <w:bottom w:val="single" w:sz="2" w:space="0" w:color="auto"/>
              <w:right w:val="nil"/>
            </w:tcBorders>
            <w:vAlign w:val="center"/>
          </w:tcPr>
          <w:p w14:paraId="61956D78" w14:textId="68A0B986" w:rsidR="004716CD" w:rsidRPr="00EC0D4F" w:rsidRDefault="004716CD" w:rsidP="004716CD">
            <w:pPr>
              <w:spacing w:after="0"/>
              <w:jc w:val="right"/>
              <w:rPr>
                <w:lang w:val="es-ES"/>
              </w:rPr>
            </w:pPr>
          </w:p>
        </w:tc>
        <w:tc>
          <w:tcPr>
            <w:tcW w:w="4110" w:type="dxa"/>
            <w:tcBorders>
              <w:left w:val="nil"/>
              <w:bottom w:val="single" w:sz="2" w:space="0" w:color="auto"/>
              <w:right w:val="nil"/>
            </w:tcBorders>
            <w:vAlign w:val="center"/>
          </w:tcPr>
          <w:p w14:paraId="4A7776B7" w14:textId="37AE04A9" w:rsidR="004716CD" w:rsidRPr="00EC0D4F" w:rsidRDefault="004716CD" w:rsidP="004716CD">
            <w:pPr>
              <w:spacing w:after="0"/>
              <w:jc w:val="left"/>
              <w:rPr>
                <w:lang w:val="es-ES"/>
              </w:rPr>
            </w:pPr>
            <w:r w:rsidRPr="00EC0D4F">
              <w:rPr>
                <w:lang w:val="es-ES"/>
              </w:rPr>
              <w:t>Mercado interbancario</w:t>
            </w:r>
          </w:p>
        </w:tc>
      </w:tr>
      <w:tr w:rsidR="004716CD" w:rsidRPr="00EC0D4F" w14:paraId="7D6470CC" w14:textId="77777777" w:rsidTr="005D5404">
        <w:trPr>
          <w:trHeight w:val="294"/>
          <w:jc w:val="center"/>
        </w:trPr>
        <w:tc>
          <w:tcPr>
            <w:tcW w:w="1413" w:type="dxa"/>
            <w:vMerge/>
            <w:tcBorders>
              <w:left w:val="nil"/>
              <w:bottom w:val="single" w:sz="12" w:space="0" w:color="auto"/>
              <w:right w:val="single" w:sz="2" w:space="0" w:color="auto"/>
            </w:tcBorders>
            <w:vAlign w:val="center"/>
          </w:tcPr>
          <w:p w14:paraId="6E250D8A" w14:textId="77777777" w:rsidR="004716CD" w:rsidRPr="00EC0D4F" w:rsidRDefault="004716CD" w:rsidP="004716CD">
            <w:pPr>
              <w:spacing w:after="0"/>
              <w:jc w:val="left"/>
              <w:rPr>
                <w:lang w:val="es-ES"/>
              </w:rPr>
            </w:pPr>
          </w:p>
        </w:tc>
        <w:tc>
          <w:tcPr>
            <w:tcW w:w="5245" w:type="dxa"/>
            <w:gridSpan w:val="2"/>
            <w:tcBorders>
              <w:top w:val="single" w:sz="2" w:space="0" w:color="auto"/>
              <w:left w:val="single" w:sz="2" w:space="0" w:color="auto"/>
              <w:bottom w:val="single" w:sz="12" w:space="0" w:color="auto"/>
              <w:right w:val="nil"/>
            </w:tcBorders>
            <w:vAlign w:val="center"/>
          </w:tcPr>
          <w:p w14:paraId="0EFA5024" w14:textId="77777777" w:rsidR="004716CD" w:rsidRPr="00EC0D4F" w:rsidRDefault="004716CD" w:rsidP="004716CD">
            <w:pPr>
              <w:spacing w:after="0"/>
              <w:jc w:val="right"/>
              <w:rPr>
                <w:lang w:val="es-ES"/>
              </w:rPr>
            </w:pPr>
          </w:p>
        </w:tc>
        <w:tc>
          <w:tcPr>
            <w:tcW w:w="4110" w:type="dxa"/>
            <w:tcBorders>
              <w:top w:val="single" w:sz="2" w:space="0" w:color="auto"/>
              <w:left w:val="nil"/>
              <w:bottom w:val="single" w:sz="12" w:space="0" w:color="auto"/>
              <w:right w:val="nil"/>
            </w:tcBorders>
            <w:vAlign w:val="center"/>
          </w:tcPr>
          <w:p w14:paraId="1E855D99" w14:textId="62A4F72C" w:rsidR="004716CD" w:rsidRPr="00EC0D4F" w:rsidRDefault="004716CD" w:rsidP="004716CD">
            <w:pPr>
              <w:spacing w:after="0"/>
              <w:jc w:val="left"/>
              <w:rPr>
                <w:lang w:val="es-ES"/>
              </w:rPr>
            </w:pPr>
            <w:r w:rsidRPr="00EC0D4F">
              <w:rPr>
                <w:lang w:val="es-ES"/>
              </w:rPr>
              <w:t>Mercado de deuda pública</w:t>
            </w:r>
            <w:r w:rsidRPr="00EC0D4F">
              <w:rPr>
                <w:lang w:val="es-ES"/>
              </w:rPr>
              <w:br/>
            </w:r>
            <w:r w:rsidRPr="00EC0D4F">
              <w:rPr>
                <w:sz w:val="19"/>
                <w:szCs w:val="19"/>
                <w:lang w:val="es-ES"/>
              </w:rPr>
              <w:t>(aunque puede cooperar con la CNMV)</w:t>
            </w:r>
          </w:p>
        </w:tc>
      </w:tr>
    </w:tbl>
    <w:p w14:paraId="0432F380" w14:textId="6355E878" w:rsidR="00287D94" w:rsidRPr="00FA5C5E" w:rsidRDefault="00287D94" w:rsidP="003648D8">
      <w:pPr>
        <w:pStyle w:val="Ttulo7"/>
        <w:numPr>
          <w:ilvl w:val="0"/>
          <w:numId w:val="43"/>
        </w:numPr>
        <w:spacing w:before="0"/>
        <w:ind w:left="851" w:hanging="284"/>
      </w:pPr>
      <w:r w:rsidRPr="00C045F9">
        <w:t>Bancos</w:t>
      </w:r>
    </w:p>
    <w:p w14:paraId="6A2CD29E" w14:textId="428FD09A" w:rsidR="00287D94" w:rsidRPr="00C045F9" w:rsidRDefault="00287D94" w:rsidP="003917EE">
      <w:pPr>
        <w:pStyle w:val="Nivel2SM"/>
      </w:pPr>
      <w:r w:rsidRPr="00C045F9">
        <w:t>Constituyen las principales entidades de crédito.</w:t>
      </w:r>
    </w:p>
    <w:p w14:paraId="069FB753" w14:textId="5E3E9B82" w:rsidR="00287D94" w:rsidRPr="00C045F9" w:rsidRDefault="00287D94" w:rsidP="003917EE">
      <w:pPr>
        <w:pStyle w:val="Nivel2SM"/>
      </w:pPr>
      <w:r w:rsidRPr="00FA428A">
        <w:t xml:space="preserve">En la actualidad, existen en España </w:t>
      </w:r>
      <w:r w:rsidRPr="00FA428A">
        <w:rPr>
          <w:u w:val="single"/>
        </w:rPr>
        <w:t>130</w:t>
      </w:r>
      <w:r w:rsidR="00EF06C5" w:rsidRPr="00FA428A">
        <w:rPr>
          <w:u w:val="single"/>
        </w:rPr>
        <w:t> </w:t>
      </w:r>
      <w:r w:rsidRPr="00FA428A">
        <w:rPr>
          <w:u w:val="single"/>
        </w:rPr>
        <w:t>bancos</w:t>
      </w:r>
      <w:r w:rsidRPr="00FA428A">
        <w:t xml:space="preserve">, con una </w:t>
      </w:r>
      <w:r w:rsidRPr="00FA428A">
        <w:rPr>
          <w:i/>
          <w:iCs/>
        </w:rPr>
        <w:t>elevada concentración</w:t>
      </w:r>
      <w:r w:rsidRPr="00FA428A">
        <w:t>: los 6</w:t>
      </w:r>
      <w:r w:rsidR="00BF2B91" w:rsidRPr="00FA428A">
        <w:t> </w:t>
      </w:r>
      <w:r w:rsidRPr="00FA428A">
        <w:t>primeros bancos acaparan 2/3 del balance bancario total en España</w:t>
      </w:r>
      <w:r w:rsidRPr="00C045F9">
        <w:t>.</w:t>
      </w:r>
    </w:p>
    <w:p w14:paraId="576FDBD6" w14:textId="4A1542F5" w:rsidR="00287D94" w:rsidRPr="00FA5C5E" w:rsidRDefault="00287D94" w:rsidP="003648D8">
      <w:pPr>
        <w:pStyle w:val="Ttulo7"/>
        <w:numPr>
          <w:ilvl w:val="0"/>
          <w:numId w:val="43"/>
        </w:numPr>
        <w:ind w:left="851" w:hanging="284"/>
      </w:pPr>
      <w:r w:rsidRPr="00C045F9">
        <w:t>Cajas de ahorro</w:t>
      </w:r>
    </w:p>
    <w:p w14:paraId="4881B926" w14:textId="70453A68" w:rsidR="00287D94" w:rsidRPr="00C045F9" w:rsidRDefault="00287D94" w:rsidP="003917EE">
      <w:pPr>
        <w:pStyle w:val="Nivel2SM"/>
      </w:pPr>
      <w:r w:rsidRPr="00C045F9">
        <w:t xml:space="preserve">Estas entidades tenían tradicionalmente </w:t>
      </w:r>
      <w:r w:rsidRPr="00FA428A">
        <w:rPr>
          <w:i/>
          <w:iCs/>
        </w:rPr>
        <w:t>carácter social</w:t>
      </w:r>
      <w:r w:rsidRPr="00C045F9">
        <w:t>, pero sus fines eran propios de una entidad de crédito.</w:t>
      </w:r>
      <w:r w:rsidR="00331C4F">
        <w:t xml:space="preserve"> Además, a diferencia de los bancos </w:t>
      </w:r>
      <w:r w:rsidR="00331C4F" w:rsidRPr="00331C4F">
        <w:rPr>
          <w:i/>
          <w:iCs/>
        </w:rPr>
        <w:t>no tienen capital ni títulos de propiedad</w:t>
      </w:r>
      <w:r w:rsidR="00331C4F">
        <w:t xml:space="preserve"> (existen cuotas participativas que equivalen a títulos de renta variable sin derechos políticos) </w:t>
      </w:r>
      <w:r w:rsidR="00331C4F" w:rsidRPr="00331C4F">
        <w:rPr>
          <w:i/>
          <w:iCs/>
        </w:rPr>
        <w:t>ni distribuyen dividendos</w:t>
      </w:r>
      <w:r w:rsidR="00331C4F">
        <w:t>.</w:t>
      </w:r>
    </w:p>
    <w:p w14:paraId="6F01286F" w14:textId="59AABD04" w:rsidR="00287D94" w:rsidRPr="00C045F9" w:rsidRDefault="00287D94" w:rsidP="003917EE">
      <w:pPr>
        <w:pStyle w:val="Nivel2SM"/>
      </w:pPr>
      <w:r w:rsidRPr="00C045F9">
        <w:t>Hoy en día, con la última crisis financiera, la casi totalidad de ellas se ha convertido en ban</w:t>
      </w:r>
      <w:r w:rsidR="001D63FA" w:rsidRPr="00C045F9">
        <w:t xml:space="preserve">cos existiendo únicamente </w:t>
      </w:r>
      <w:r w:rsidR="001D63FA" w:rsidRPr="00331C4F">
        <w:t>dos</w:t>
      </w:r>
      <w:r w:rsidR="001D63FA" w:rsidRPr="00C045F9">
        <w:t>.</w:t>
      </w:r>
    </w:p>
    <w:p w14:paraId="340E1E0D" w14:textId="24383259" w:rsidR="00287D94" w:rsidRPr="00C045F9" w:rsidRDefault="00287D94" w:rsidP="003648D8">
      <w:pPr>
        <w:pStyle w:val="Ttulo7"/>
        <w:numPr>
          <w:ilvl w:val="0"/>
          <w:numId w:val="43"/>
        </w:numPr>
        <w:ind w:left="851" w:hanging="284"/>
      </w:pPr>
      <w:r w:rsidRPr="00C045F9">
        <w:t>Cooperativas de crédito</w:t>
      </w:r>
    </w:p>
    <w:p w14:paraId="2EE56293" w14:textId="21966D29" w:rsidR="00287D94" w:rsidRPr="00455C7F" w:rsidRDefault="00A0567E" w:rsidP="003917EE">
      <w:pPr>
        <w:pStyle w:val="Nivel2SM"/>
      </w:pPr>
      <w:r w:rsidRPr="00C045F9">
        <w:t xml:space="preserve">Mediante las actividades propias de entidades de crédito (captar depósitos y emitir créditos) el objetivo de las cooperativas es </w:t>
      </w:r>
      <w:r w:rsidRPr="00455C7F">
        <w:t>servir las necesidades financieras de sus socios y de terceros.</w:t>
      </w:r>
    </w:p>
    <w:p w14:paraId="31037865" w14:textId="1F64AD74" w:rsidR="00287D94" w:rsidRPr="00C045F9" w:rsidRDefault="00287D94" w:rsidP="003917EE">
      <w:pPr>
        <w:pStyle w:val="Nivel2SM"/>
        <w:keepNext/>
        <w:spacing w:after="0"/>
      </w:pPr>
      <w:r w:rsidRPr="00C045F9">
        <w:t xml:space="preserve">Dentro de las cooperativas de crédito existen </w:t>
      </w:r>
      <w:r w:rsidRPr="00455C7F">
        <w:t>2</w:t>
      </w:r>
      <w:r w:rsidR="00BF2B91" w:rsidRPr="00455C7F">
        <w:t> </w:t>
      </w:r>
      <w:r w:rsidRPr="00455C7F">
        <w:t>modalidades:</w:t>
      </w:r>
    </w:p>
    <w:p w14:paraId="2E5B5EB6" w14:textId="0482BC9F" w:rsidR="00287D94" w:rsidRPr="00C045F9" w:rsidRDefault="00287D94" w:rsidP="003917EE">
      <w:pPr>
        <w:pStyle w:val="Nivel3SM"/>
      </w:pPr>
      <w:r w:rsidRPr="00455C7F">
        <w:rPr>
          <w:i/>
          <w:iCs/>
          <w:u w:val="single"/>
        </w:rPr>
        <w:t>Cajas rurales</w:t>
      </w:r>
      <w:r w:rsidR="003917EE">
        <w:t xml:space="preserve">: </w:t>
      </w:r>
      <w:r w:rsidR="001D63FA" w:rsidRPr="00C045F9">
        <w:t>L</w:t>
      </w:r>
      <w:r w:rsidRPr="00C045F9">
        <w:t>as más numerosas, que destinan sus actividades a financiar básicamente la agricultura, ganadería, silvicultura, etc.</w:t>
      </w:r>
    </w:p>
    <w:p w14:paraId="7D5310D9" w14:textId="1FD657AC" w:rsidR="00287D94" w:rsidRPr="00C045F9" w:rsidRDefault="00287D94" w:rsidP="003917EE">
      <w:pPr>
        <w:pStyle w:val="Nivel3SM"/>
      </w:pPr>
      <w:r w:rsidRPr="00455C7F">
        <w:rPr>
          <w:i/>
          <w:iCs/>
          <w:u w:val="single"/>
        </w:rPr>
        <w:t>Cooperativas de crédito populares y profesionales</w:t>
      </w:r>
      <w:r w:rsidR="003917EE">
        <w:t xml:space="preserve">: </w:t>
      </w:r>
      <w:r w:rsidR="001D63FA" w:rsidRPr="00C045F9">
        <w:t>Q</w:t>
      </w:r>
      <w:r w:rsidRPr="00C045F9">
        <w:t>ue tienen su origen en asociaciones gremiales y profesionales. Ejemplos: Cooperativa de Crédito de Ingenieros, Cooperativa de Crédito Laboral de Mondragón, etc.</w:t>
      </w:r>
    </w:p>
    <w:p w14:paraId="65011027" w14:textId="1C821C23" w:rsidR="0089422E" w:rsidRPr="00E56875" w:rsidRDefault="00287D94" w:rsidP="003648D8">
      <w:pPr>
        <w:pStyle w:val="Ttulo7"/>
        <w:numPr>
          <w:ilvl w:val="0"/>
          <w:numId w:val="43"/>
        </w:numPr>
        <w:ind w:left="851" w:hanging="284"/>
      </w:pPr>
      <w:r w:rsidRPr="00C045F9">
        <w:t>Instituto de Crédito Oficial</w:t>
      </w:r>
      <w:r w:rsidR="003648D8">
        <w:t xml:space="preserve"> (ICO)</w:t>
      </w:r>
    </w:p>
    <w:p w14:paraId="21C2287C" w14:textId="6753178F" w:rsidR="00A0567E" w:rsidRDefault="00287D94" w:rsidP="001248CF">
      <w:pPr>
        <w:pStyle w:val="Nivel2SM"/>
        <w:keepNext/>
        <w:spacing w:after="0"/>
      </w:pPr>
      <w:r w:rsidRPr="00C045F9">
        <w:t xml:space="preserve">El ICO </w:t>
      </w:r>
      <w:r w:rsidR="001248CF">
        <w:t>no es una entidad de depósito al no permitírsele captar depósitos (se financia en los mercados de renta fija) pero sí es una entidad de crédito, pues concede crédito.</w:t>
      </w:r>
    </w:p>
    <w:p w14:paraId="1CF27922" w14:textId="595ED5CD" w:rsidR="001248CF" w:rsidRPr="00C045F9" w:rsidRDefault="001248CF" w:rsidP="001248CF">
      <w:pPr>
        <w:pStyle w:val="Nivel3SM"/>
      </w:pPr>
      <w:r>
        <w:t>E</w:t>
      </w:r>
      <w:r w:rsidRPr="00C045F9">
        <w:t xml:space="preserve">s una entidad pública empresarial financiera, adscrita al Ministerio de </w:t>
      </w:r>
      <w:r w:rsidR="00F02759">
        <w:t>Asuntos Económicos y Transformación Digital a través de</w:t>
      </w:r>
      <w:r w:rsidR="00CA6D99">
        <w:t xml:space="preserve"> </w:t>
      </w:r>
      <w:r w:rsidR="00F02759">
        <w:t>la Secretaría de Estado de Economía y Apoyo a la Empresa</w:t>
      </w:r>
      <w:r w:rsidRPr="00C045F9">
        <w:t>, que goza de la garantía del Estado.</w:t>
      </w:r>
    </w:p>
    <w:p w14:paraId="3097D4A5" w14:textId="77777777" w:rsidR="00A0567E" w:rsidRPr="00C045F9" w:rsidRDefault="00A0567E" w:rsidP="00384410">
      <w:pPr>
        <w:pStyle w:val="Nivel2SM"/>
        <w:keepNext/>
        <w:spacing w:after="0"/>
      </w:pPr>
      <w:r w:rsidRPr="00C1255F">
        <w:rPr>
          <w:i/>
          <w:iCs/>
          <w:u w:val="single"/>
        </w:rPr>
        <w:t>Objetivo</w:t>
      </w:r>
      <w:r w:rsidRPr="00C045F9">
        <w:t>:</w:t>
      </w:r>
    </w:p>
    <w:p w14:paraId="7514F411" w14:textId="4C5FF05E" w:rsidR="0089422E" w:rsidRPr="00C045F9" w:rsidRDefault="00A0567E" w:rsidP="00C1255F">
      <w:pPr>
        <w:pStyle w:val="Nivel3SM"/>
      </w:pPr>
      <w:r w:rsidRPr="00C045F9">
        <w:t>E</w:t>
      </w:r>
      <w:r w:rsidR="00287D94" w:rsidRPr="00C045F9">
        <w:t>stá encargado de ofrecer financiación a largo plazo a aquellos sectores no cubiertos satisfactoriamente por el resto del sistema financiero.</w:t>
      </w:r>
    </w:p>
    <w:p w14:paraId="3FE4395F" w14:textId="77777777" w:rsidR="00287D94" w:rsidRPr="00C045F9" w:rsidRDefault="00287D94" w:rsidP="00123414">
      <w:pPr>
        <w:pStyle w:val="Nivel2SM"/>
        <w:keepNext/>
        <w:spacing w:after="0"/>
      </w:pPr>
      <w:r w:rsidRPr="00C1255F">
        <w:t>El ICO actúa en una doble vertiente</w:t>
      </w:r>
      <w:r w:rsidRPr="00C045F9">
        <w:t>:</w:t>
      </w:r>
    </w:p>
    <w:p w14:paraId="3179BB78" w14:textId="09800F58" w:rsidR="0089422E" w:rsidRPr="00C045F9" w:rsidRDefault="00287D94" w:rsidP="00123414">
      <w:pPr>
        <w:pStyle w:val="Nivel3SM"/>
        <w:keepNext/>
      </w:pPr>
      <w:r w:rsidRPr="001A42CD">
        <w:rPr>
          <w:i/>
          <w:iCs/>
          <w:u w:val="single"/>
        </w:rPr>
        <w:t>Agencia Financiera del Estado</w:t>
      </w:r>
      <w:r w:rsidRPr="00C045F9">
        <w:t>:</w:t>
      </w:r>
    </w:p>
    <w:p w14:paraId="2619A8C9" w14:textId="77777777" w:rsidR="00287D94" w:rsidRPr="00C045F9" w:rsidRDefault="00287D94" w:rsidP="00123414">
      <w:pPr>
        <w:pStyle w:val="Nivel4"/>
        <w:ind w:left="1474"/>
      </w:pPr>
      <w:r w:rsidRPr="00C045F9">
        <w:t xml:space="preserve">Se trata de operaciones </w:t>
      </w:r>
      <w:r w:rsidR="00A0567E" w:rsidRPr="00C045F9">
        <w:t>encomendadas específicamente por el gobierno</w:t>
      </w:r>
      <w:r w:rsidRPr="00C045F9">
        <w:t>.</w:t>
      </w:r>
    </w:p>
    <w:p w14:paraId="416CF7B8" w14:textId="5605ED8E" w:rsidR="0008086B" w:rsidRPr="00C045F9" w:rsidRDefault="0008086B" w:rsidP="00123414">
      <w:pPr>
        <w:pStyle w:val="Nivel4"/>
        <w:ind w:left="1474"/>
      </w:pPr>
      <w:r w:rsidRPr="001A42CD">
        <w:rPr>
          <w:i/>
          <w:iCs/>
        </w:rPr>
        <w:t xml:space="preserve">Ejemplo </w:t>
      </w:r>
      <w:r w:rsidR="001A42CD" w:rsidRPr="001A42CD">
        <w:rPr>
          <w:i/>
          <w:iCs/>
        </w:rPr>
        <w:t>medioambiente</w:t>
      </w:r>
      <w:r w:rsidRPr="00C045F9">
        <w:t>: El ICO lanzó a principios de abril de 2019 su primera emisión de bonos verdes por una cuantía de 500</w:t>
      </w:r>
      <w:r w:rsidR="009C12F5">
        <w:t> </w:t>
      </w:r>
      <w:r w:rsidRPr="00C045F9">
        <w:t xml:space="preserve">millones de euros para financiar proyectos que contribuyan a la lucha contra el </w:t>
      </w:r>
      <w:r w:rsidR="009C12F5">
        <w:t>cambio climático</w:t>
      </w:r>
      <w:r w:rsidRPr="00C045F9">
        <w:t>.</w:t>
      </w:r>
    </w:p>
    <w:p w14:paraId="0C681960" w14:textId="61796762" w:rsidR="0089422E" w:rsidRPr="00C045F9" w:rsidRDefault="00287D94" w:rsidP="00123414">
      <w:pPr>
        <w:pStyle w:val="Nivel3SM"/>
        <w:keepNext/>
      </w:pPr>
      <w:r w:rsidRPr="001A42CD">
        <w:rPr>
          <w:i/>
          <w:iCs/>
          <w:u w:val="single"/>
        </w:rPr>
        <w:lastRenderedPageBreak/>
        <w:t>Entidad de crédito especializada</w:t>
      </w:r>
      <w:r w:rsidRPr="00C045F9">
        <w:t>:</w:t>
      </w:r>
    </w:p>
    <w:p w14:paraId="10A22EF3" w14:textId="77777777" w:rsidR="00287D94" w:rsidRPr="00C045F9" w:rsidRDefault="00E01F8D" w:rsidP="00123414">
      <w:pPr>
        <w:pStyle w:val="Nivel4"/>
        <w:keepNext/>
        <w:ind w:left="1474"/>
      </w:pPr>
      <w:r w:rsidRPr="001A42CD">
        <w:t>A</w:t>
      </w:r>
      <w:r w:rsidR="00287D94" w:rsidRPr="001A42CD">
        <w:t>quí es el ICO quien decide las operaciones que desarrolla</w:t>
      </w:r>
      <w:r w:rsidR="00287D94" w:rsidRPr="00C045F9">
        <w:t>. Estas operaciones se clasifican, a su vez, en:</w:t>
      </w:r>
    </w:p>
    <w:p w14:paraId="6683E34A" w14:textId="4AF97776" w:rsidR="00287D94" w:rsidRPr="00C60C56" w:rsidRDefault="00C60C56" w:rsidP="00123414">
      <w:pPr>
        <w:pStyle w:val="Nivel5"/>
        <w:ind w:left="1871"/>
      </w:pPr>
      <w:r w:rsidRPr="00C60C56">
        <w:rPr>
          <w:i/>
          <w:iCs/>
        </w:rPr>
        <w:t>Líneas de mediación a las entidades de crédito</w:t>
      </w:r>
      <w:r w:rsidRPr="00C60C56">
        <w:t xml:space="preserve"> para que sean estas quien financi</w:t>
      </w:r>
      <w:r>
        <w:t>e</w:t>
      </w:r>
      <w:r w:rsidRPr="00C60C56">
        <w:t>n a las empresas.</w:t>
      </w:r>
    </w:p>
    <w:p w14:paraId="3FACBAE9" w14:textId="18815E1F" w:rsidR="0089422E" w:rsidRPr="00C045F9" w:rsidRDefault="00C60C56" w:rsidP="00123414">
      <w:pPr>
        <w:pStyle w:val="Nivel5"/>
        <w:ind w:left="1871"/>
      </w:pPr>
      <w:r w:rsidRPr="00C60C56">
        <w:rPr>
          <w:i/>
          <w:iCs/>
        </w:rPr>
        <w:t>O</w:t>
      </w:r>
      <w:r w:rsidR="00287D94" w:rsidRPr="00C60C56">
        <w:rPr>
          <w:i/>
          <w:iCs/>
        </w:rPr>
        <w:t>peraciones que realiza directamente el ICO</w:t>
      </w:r>
      <w:r>
        <w:t xml:space="preserve"> en inversiones productivas a medio y largo plazo,</w:t>
      </w:r>
      <w:r w:rsidR="00287D94" w:rsidRPr="00C045F9">
        <w:t xml:space="preserve"> para financiar grandes proyectos de infraestructuras, telecomunicaciones, energía o transportes.</w:t>
      </w:r>
    </w:p>
    <w:p w14:paraId="53C473F3" w14:textId="69C9433E" w:rsidR="0089422E" w:rsidRPr="00C045F9" w:rsidRDefault="00287D94" w:rsidP="003648D8">
      <w:pPr>
        <w:pStyle w:val="Ttulo7"/>
        <w:numPr>
          <w:ilvl w:val="0"/>
          <w:numId w:val="43"/>
        </w:numPr>
        <w:ind w:left="851" w:hanging="284"/>
      </w:pPr>
      <w:r w:rsidRPr="00C045F9">
        <w:t>Establecimientos financieros de crédito</w:t>
      </w:r>
    </w:p>
    <w:p w14:paraId="32A124BE" w14:textId="77777777" w:rsidR="00287D94" w:rsidRPr="00C045F9" w:rsidRDefault="00287D94" w:rsidP="003917EE">
      <w:pPr>
        <w:pStyle w:val="Nivel2SM"/>
      </w:pPr>
      <w:r w:rsidRPr="00C045F9">
        <w:t xml:space="preserve">Se trata de entidades que se caracterizan por realizar actividades de crédito al consumo, </w:t>
      </w:r>
      <w:r w:rsidRPr="00AF282C">
        <w:rPr>
          <w:i/>
          <w:iCs/>
        </w:rPr>
        <w:t>leasing</w:t>
      </w:r>
      <w:r w:rsidRPr="00C045F9">
        <w:t xml:space="preserve">, </w:t>
      </w:r>
      <w:r w:rsidRPr="00AF282C">
        <w:rPr>
          <w:i/>
          <w:iCs/>
        </w:rPr>
        <w:t>factoring</w:t>
      </w:r>
      <w:r w:rsidRPr="00C045F9">
        <w:t>, etc.</w:t>
      </w:r>
    </w:p>
    <w:p w14:paraId="2EEEE409" w14:textId="263D2918" w:rsidR="00287D94" w:rsidRPr="00C045F9" w:rsidRDefault="0089422E" w:rsidP="003648D8">
      <w:pPr>
        <w:pStyle w:val="Ttulo7"/>
        <w:numPr>
          <w:ilvl w:val="0"/>
          <w:numId w:val="43"/>
        </w:numPr>
        <w:ind w:left="851" w:hanging="284"/>
      </w:pPr>
      <w:r w:rsidRPr="00C045F9">
        <w:t>S</w:t>
      </w:r>
      <w:r w:rsidR="00287D94" w:rsidRPr="00C045F9">
        <w:t>ociedades de garantía recíproca</w:t>
      </w:r>
    </w:p>
    <w:p w14:paraId="5EEA0C41" w14:textId="77777777" w:rsidR="00287D94" w:rsidRPr="00C045F9" w:rsidRDefault="00287D94" w:rsidP="003917EE">
      <w:pPr>
        <w:pStyle w:val="Nivel2SM"/>
        <w:keepNext/>
        <w:spacing w:after="0"/>
      </w:pPr>
      <w:r w:rsidRPr="00C045F9">
        <w:t>Son entidades financieras cuyo objetivo es prestar apoyo financiero a las pymes mediante la concesión de avales.</w:t>
      </w:r>
    </w:p>
    <w:p w14:paraId="53E513AC" w14:textId="161AA859" w:rsidR="00287D94" w:rsidRPr="00EC0D4F" w:rsidRDefault="00287D94" w:rsidP="003917EE">
      <w:pPr>
        <w:pStyle w:val="Nivel3SM"/>
        <w:rPr>
          <w:spacing w:val="-2"/>
        </w:rPr>
      </w:pPr>
      <w:r w:rsidRPr="00EC0D4F">
        <w:rPr>
          <w:spacing w:val="-2"/>
        </w:rPr>
        <w:t>Número: 23</w:t>
      </w:r>
      <w:r w:rsidR="003917EE" w:rsidRPr="00EC0D4F">
        <w:rPr>
          <w:spacing w:val="-2"/>
        </w:rPr>
        <w:t> </w:t>
      </w:r>
      <w:r w:rsidRPr="00EC0D4F">
        <w:rPr>
          <w:spacing w:val="-2"/>
        </w:rPr>
        <w:t>sociedades de garantía recíproca en España, siendo el número muy estable a lo largo de los últimos años, teniendo la mayoría de estas sociedades un ámbito autonómico y carácter multisectorial, pues se dedican a la agricultura, la construcción, la metalurgia, etc.</w:t>
      </w:r>
    </w:p>
    <w:p w14:paraId="5E2633F0" w14:textId="77777777" w:rsidR="0089422E" w:rsidRPr="00C045F9" w:rsidRDefault="0089422E" w:rsidP="004878A5">
      <w:pPr>
        <w:pStyle w:val="Ttulo3"/>
      </w:pPr>
      <w:bookmarkStart w:id="65" w:name="_Toc178010349"/>
      <w:r w:rsidRPr="00C045F9">
        <w:t>Sector de valores</w:t>
      </w:r>
      <w:bookmarkEnd w:id="65"/>
    </w:p>
    <w:p w14:paraId="66DC7D11" w14:textId="40F7869B" w:rsidR="0089422E" w:rsidRPr="00C045F9" w:rsidRDefault="0089422E" w:rsidP="009C12F5">
      <w:pPr>
        <w:pStyle w:val="Ttulo6"/>
        <w:spacing w:before="0"/>
      </w:pPr>
      <w:bookmarkStart w:id="66" w:name="_Toc178010350"/>
      <w:r w:rsidRPr="00C045F9">
        <w:t>Institución: Comisión Nacional del Mercado de Valores</w:t>
      </w:r>
      <w:r w:rsidR="009C12F5">
        <w:t xml:space="preserve"> (CNMV)</w:t>
      </w:r>
      <w:bookmarkEnd w:id="66"/>
    </w:p>
    <w:p w14:paraId="0B1EB0DD" w14:textId="3295294B" w:rsidR="0089422E" w:rsidRPr="00C045F9" w:rsidRDefault="0089422E" w:rsidP="00BF2B91">
      <w:pPr>
        <w:pStyle w:val="Nivel2SM"/>
      </w:pPr>
      <w:r w:rsidRPr="00C045F9">
        <w:t>El órgano de control y de supervisión de</w:t>
      </w:r>
      <w:r w:rsidR="00F94AAA">
        <w:t>l sector de valores</w:t>
      </w:r>
      <w:r w:rsidRPr="00C045F9">
        <w:t xml:space="preserve"> es la </w:t>
      </w:r>
      <w:r w:rsidRPr="00F94AAA">
        <w:rPr>
          <w:b/>
          <w:bCs/>
        </w:rPr>
        <w:t>Comisión Nacional del Mercado de Valores</w:t>
      </w:r>
      <w:r w:rsidR="00F94AAA" w:rsidRPr="00F94AAA">
        <w:rPr>
          <w:b/>
          <w:bCs/>
        </w:rPr>
        <w:t xml:space="preserve"> (</w:t>
      </w:r>
      <w:r w:rsidR="00F94AAA">
        <w:rPr>
          <w:b/>
          <w:bCs/>
        </w:rPr>
        <w:t>CNMV</w:t>
      </w:r>
      <w:r w:rsidR="00F94AAA" w:rsidRPr="00F94AAA">
        <w:rPr>
          <w:b/>
          <w:bCs/>
        </w:rPr>
        <w:t>)</w:t>
      </w:r>
      <w:r w:rsidRPr="00C045F9">
        <w:t xml:space="preserve">, </w:t>
      </w:r>
      <w:r w:rsidR="00F94AAA">
        <w:t xml:space="preserve">creada en 1988 por la Ley del Mercado de Valores y </w:t>
      </w:r>
      <w:r w:rsidRPr="00C045F9">
        <w:t>adscrita al Ministerio de Economía.</w:t>
      </w:r>
    </w:p>
    <w:p w14:paraId="7D1C0DA5" w14:textId="77777777" w:rsidR="0089422E" w:rsidRPr="00C045F9" w:rsidRDefault="0089422E" w:rsidP="00BF2B91">
      <w:pPr>
        <w:pStyle w:val="Nivel2SM"/>
        <w:keepNext/>
        <w:spacing w:after="0"/>
      </w:pPr>
      <w:r w:rsidRPr="00C045F9">
        <w:t>La CNMV se encarga de la supervisión de:</w:t>
      </w:r>
    </w:p>
    <w:p w14:paraId="3FE9DF5E" w14:textId="77777777" w:rsidR="00F94AAA" w:rsidRPr="00C045F9" w:rsidRDefault="00F94AAA" w:rsidP="00F94AAA">
      <w:pPr>
        <w:pStyle w:val="Nivel3SM"/>
      </w:pPr>
      <w:r w:rsidRPr="00F94AAA">
        <w:rPr>
          <w:i/>
          <w:iCs/>
        </w:rPr>
        <w:t>Agentes</w:t>
      </w:r>
      <w:r w:rsidRPr="00C045F9">
        <w:t>: agentes participantes en el mercado de valores, que vemos a continuación.</w:t>
      </w:r>
    </w:p>
    <w:p w14:paraId="3844601D" w14:textId="77777777" w:rsidR="0089422E" w:rsidRPr="00C045F9" w:rsidRDefault="0089422E" w:rsidP="00BF2B91">
      <w:pPr>
        <w:pStyle w:val="Nivel3SM"/>
      </w:pPr>
      <w:r w:rsidRPr="00F94AAA">
        <w:rPr>
          <w:i/>
          <w:iCs/>
        </w:rPr>
        <w:t>Mercados</w:t>
      </w:r>
      <w:r w:rsidRPr="00C045F9">
        <w:t>: mercados de valores, tanto de renta fija como de renta variable, y tanto primarios como secundarios.</w:t>
      </w:r>
    </w:p>
    <w:p w14:paraId="358639B6" w14:textId="77777777" w:rsidR="0089422E" w:rsidRPr="00C045F9" w:rsidRDefault="0089422E" w:rsidP="00A9777D">
      <w:pPr>
        <w:pStyle w:val="Ttulo6"/>
      </w:pPr>
      <w:bookmarkStart w:id="67" w:name="_Toc178010351"/>
      <w:r w:rsidRPr="00C045F9">
        <w:t>Agentes</w:t>
      </w:r>
      <w:bookmarkEnd w:id="67"/>
    </w:p>
    <w:p w14:paraId="129A2F65" w14:textId="46C917EF" w:rsidR="0089422E" w:rsidRPr="00C045F9" w:rsidRDefault="0089422E" w:rsidP="00124C35">
      <w:pPr>
        <w:pStyle w:val="Ttulo7"/>
        <w:numPr>
          <w:ilvl w:val="0"/>
          <w:numId w:val="47"/>
        </w:numPr>
        <w:spacing w:before="0"/>
        <w:ind w:left="851" w:hanging="284"/>
      </w:pPr>
      <w:r w:rsidRPr="00C045F9">
        <w:t>Empresas de servicios de inversión</w:t>
      </w:r>
      <w:r w:rsidR="00A010C5" w:rsidRPr="00C045F9">
        <w:t xml:space="preserve"> (ESI)</w:t>
      </w:r>
    </w:p>
    <w:p w14:paraId="22457CDC" w14:textId="77777777" w:rsidR="0089422E" w:rsidRPr="00C045F9" w:rsidRDefault="0089422E" w:rsidP="00757718">
      <w:pPr>
        <w:pStyle w:val="Nivel2SM"/>
      </w:pPr>
      <w:r w:rsidRPr="00C045F9">
        <w:t>Se trata de entidades financieras cuya actividad principal consiste en prestar servicios de inversión con carácter profesional a terceros.</w:t>
      </w:r>
    </w:p>
    <w:p w14:paraId="0084F84D" w14:textId="77777777" w:rsidR="0089422E" w:rsidRPr="00C045F9" w:rsidRDefault="00C75AA9" w:rsidP="00757718">
      <w:pPr>
        <w:pStyle w:val="Nivel2SM"/>
        <w:keepNext/>
        <w:spacing w:after="0"/>
      </w:pPr>
      <w:r w:rsidRPr="00F94AAA">
        <w:rPr>
          <w:i/>
          <w:iCs/>
        </w:rPr>
        <w:t>Tipos</w:t>
      </w:r>
      <w:r w:rsidR="0089422E" w:rsidRPr="00C045F9">
        <w:t>:</w:t>
      </w:r>
    </w:p>
    <w:p w14:paraId="274250E9" w14:textId="532449AE" w:rsidR="0089422E" w:rsidRPr="00C045F9" w:rsidRDefault="0089422E" w:rsidP="00757718">
      <w:pPr>
        <w:pStyle w:val="Nivel3SM"/>
      </w:pPr>
      <w:r w:rsidRPr="00F94AAA">
        <w:rPr>
          <w:i/>
          <w:iCs/>
        </w:rPr>
        <w:t>Sociedades de valores</w:t>
      </w:r>
      <w:r w:rsidRPr="00C045F9">
        <w:t xml:space="preserve">: </w:t>
      </w:r>
      <w:r w:rsidR="00BE2E83">
        <w:t xml:space="preserve">Gestión discrecional de carteras de inversión. </w:t>
      </w:r>
      <w:r w:rsidR="00E01F8D" w:rsidRPr="00C045F9">
        <w:t>S</w:t>
      </w:r>
      <w:r w:rsidRPr="00C045F9">
        <w:t xml:space="preserve">on las únicas empresas de servicios de inversión que pueden realizar </w:t>
      </w:r>
      <w:r w:rsidRPr="00757718">
        <w:rPr>
          <w:b/>
        </w:rPr>
        <w:t>operaciones por cuenta propia</w:t>
      </w:r>
      <w:r w:rsidRPr="00C045F9">
        <w:t xml:space="preserve"> (i.e. actuar como </w:t>
      </w:r>
      <w:r w:rsidRPr="00BE2E83">
        <w:rPr>
          <w:i/>
          <w:iCs/>
        </w:rPr>
        <w:t>dealers</w:t>
      </w:r>
      <w:r w:rsidRPr="00C045F9">
        <w:t xml:space="preserve">), pues el resto sólo pueden realizar operaciones por cuenta ajena (i.e. </w:t>
      </w:r>
      <w:r w:rsidRPr="00BE2E83">
        <w:rPr>
          <w:i/>
          <w:iCs/>
        </w:rPr>
        <w:t>brokers</w:t>
      </w:r>
      <w:r w:rsidRPr="00C045F9">
        <w:t>).</w:t>
      </w:r>
    </w:p>
    <w:p w14:paraId="06D70725" w14:textId="2E292690" w:rsidR="0089422E" w:rsidRPr="00C045F9" w:rsidRDefault="0089422E" w:rsidP="00757718">
      <w:pPr>
        <w:pStyle w:val="Nivel3SM"/>
      </w:pPr>
      <w:r w:rsidRPr="00F94AAA">
        <w:rPr>
          <w:i/>
          <w:iCs/>
        </w:rPr>
        <w:t>Sociedades gestoras de carteras</w:t>
      </w:r>
      <w:r w:rsidRPr="00C045F9">
        <w:t xml:space="preserve">: </w:t>
      </w:r>
      <w:r w:rsidR="00C75AA9" w:rsidRPr="00C045F9">
        <w:t>G</w:t>
      </w:r>
      <w:r w:rsidRPr="00C045F9">
        <w:t>estión de carteras de inversión de acuerdo a los mandatos conferidos por los inversores.</w:t>
      </w:r>
    </w:p>
    <w:p w14:paraId="00401450" w14:textId="574D3A1C" w:rsidR="0089422E" w:rsidRPr="00C045F9" w:rsidRDefault="0089422E" w:rsidP="00757718">
      <w:pPr>
        <w:pStyle w:val="Nivel3SM"/>
      </w:pPr>
      <w:r w:rsidRPr="00F94AAA">
        <w:rPr>
          <w:i/>
          <w:iCs/>
        </w:rPr>
        <w:t>Empresas de asesoramiento financiero</w:t>
      </w:r>
      <w:r w:rsidRPr="00C045F9">
        <w:t xml:space="preserve">: </w:t>
      </w:r>
      <w:r w:rsidR="00C75AA9" w:rsidRPr="00C045F9">
        <w:t>A</w:t>
      </w:r>
      <w:r w:rsidRPr="00C045F9">
        <w:t>sesoramiento en decisiones de inversión.</w:t>
      </w:r>
    </w:p>
    <w:p w14:paraId="0811348B" w14:textId="4D81C1CA" w:rsidR="0089422E" w:rsidRPr="00C045F9" w:rsidRDefault="0089422E" w:rsidP="00124C35">
      <w:pPr>
        <w:pStyle w:val="Ttulo7"/>
        <w:numPr>
          <w:ilvl w:val="0"/>
          <w:numId w:val="47"/>
        </w:numPr>
        <w:ind w:left="851" w:hanging="284"/>
      </w:pPr>
      <w:r w:rsidRPr="00C045F9">
        <w:t>Instituciones de inversión colectiva</w:t>
      </w:r>
      <w:r w:rsidR="00E2516C">
        <w:t xml:space="preserve"> (IIC)</w:t>
      </w:r>
    </w:p>
    <w:p w14:paraId="1DBFB2E4" w14:textId="7A1933E6" w:rsidR="0089422E" w:rsidRDefault="0089422E" w:rsidP="00C3620B">
      <w:pPr>
        <w:pStyle w:val="Nivel2SM"/>
      </w:pPr>
      <w:r w:rsidRPr="00C045F9">
        <w:t xml:space="preserve">Se trata de entidades que ponen en común el patrimonio de múltiples inversores para realizar inversiones conjuntas, </w:t>
      </w:r>
      <w:r w:rsidR="00162451">
        <w:t>en activos de distinta naturaleza</w:t>
      </w:r>
      <w:r w:rsidR="00E2004D" w:rsidRPr="00C045F9">
        <w:t>.</w:t>
      </w:r>
    </w:p>
    <w:p w14:paraId="1FF095AB" w14:textId="35CB9E58" w:rsidR="00C3620B" w:rsidRPr="00C045F9" w:rsidRDefault="00C3620B" w:rsidP="00C3620B">
      <w:pPr>
        <w:pStyle w:val="Nivel2SM"/>
        <w:keepNext/>
        <w:spacing w:after="0"/>
      </w:pPr>
      <w:r w:rsidRPr="00C3620B">
        <w:rPr>
          <w:i/>
          <w:iCs/>
        </w:rPr>
        <w:t>Tipos</w:t>
      </w:r>
      <w:r w:rsidR="00BE2E83">
        <w:rPr>
          <w:i/>
          <w:iCs/>
        </w:rPr>
        <w:t xml:space="preserve"> en función de los activos en los que invierten</w:t>
      </w:r>
      <w:r>
        <w:t>:</w:t>
      </w:r>
    </w:p>
    <w:p w14:paraId="531C4FA7" w14:textId="3E21ECE9" w:rsidR="0089422E" w:rsidRPr="00C3620B" w:rsidRDefault="00E2004D" w:rsidP="00C3620B">
      <w:pPr>
        <w:pStyle w:val="Nivel3SM"/>
        <w:rPr>
          <w:spacing w:val="-2"/>
        </w:rPr>
      </w:pPr>
      <w:r w:rsidRPr="00F94AAA">
        <w:rPr>
          <w:i/>
          <w:iCs/>
          <w:spacing w:val="-2"/>
        </w:rPr>
        <w:t>IIC</w:t>
      </w:r>
      <w:r w:rsidR="00C3620B" w:rsidRPr="00F94AAA">
        <w:rPr>
          <w:i/>
          <w:iCs/>
          <w:spacing w:val="-2"/>
        </w:rPr>
        <w:t xml:space="preserve"> m</w:t>
      </w:r>
      <w:r w:rsidR="0089422E" w:rsidRPr="00F94AAA">
        <w:rPr>
          <w:i/>
          <w:iCs/>
          <w:spacing w:val="-2"/>
        </w:rPr>
        <w:t>obiliarios</w:t>
      </w:r>
      <w:r w:rsidR="0089422E" w:rsidRPr="00C3620B">
        <w:rPr>
          <w:spacing w:val="-2"/>
        </w:rPr>
        <w:t>:</w:t>
      </w:r>
      <w:r w:rsidR="00C3620B" w:rsidRPr="00C3620B">
        <w:rPr>
          <w:spacing w:val="-2"/>
        </w:rPr>
        <w:t xml:space="preserve"> </w:t>
      </w:r>
      <w:r w:rsidR="0089422E" w:rsidRPr="00C3620B">
        <w:rPr>
          <w:spacing w:val="-2"/>
        </w:rPr>
        <w:t>Invierten en instrumentos financieros (entre las que se incluyen las SICAV).</w:t>
      </w:r>
    </w:p>
    <w:p w14:paraId="39E7388D" w14:textId="65AEF206" w:rsidR="0089422E" w:rsidRPr="00C045F9" w:rsidRDefault="00E2004D" w:rsidP="00C3620B">
      <w:pPr>
        <w:pStyle w:val="Nivel3SM"/>
        <w:keepNext/>
      </w:pPr>
      <w:r w:rsidRPr="00F94AAA">
        <w:rPr>
          <w:i/>
          <w:iCs/>
        </w:rPr>
        <w:t xml:space="preserve">IIC </w:t>
      </w:r>
      <w:r w:rsidR="00C3620B" w:rsidRPr="00F94AAA">
        <w:rPr>
          <w:i/>
          <w:iCs/>
        </w:rPr>
        <w:t>i</w:t>
      </w:r>
      <w:r w:rsidR="0089422E" w:rsidRPr="00F94AAA">
        <w:rPr>
          <w:i/>
          <w:iCs/>
        </w:rPr>
        <w:t>nmobiliarios</w:t>
      </w:r>
      <w:r w:rsidR="0089422E" w:rsidRPr="00C045F9">
        <w:t>:</w:t>
      </w:r>
      <w:r w:rsidR="00C3620B">
        <w:t xml:space="preserve"> </w:t>
      </w:r>
      <w:r w:rsidR="0089422E" w:rsidRPr="00C045F9">
        <w:t>Invierten en bienes inmuebles (entre las que se incluyen las SOCIMIS).</w:t>
      </w:r>
    </w:p>
    <w:p w14:paraId="767157DB" w14:textId="38450CA9" w:rsidR="00C75AA9" w:rsidRPr="00C045F9" w:rsidRDefault="00C75AA9" w:rsidP="00C3620B">
      <w:pPr>
        <w:pStyle w:val="Nivel4"/>
        <w:ind w:left="1474"/>
      </w:pPr>
      <w:r w:rsidRPr="00C045F9">
        <w:t xml:space="preserve">España es el segundo país del mundo con más SOCIMIS. En </w:t>
      </w:r>
      <w:r w:rsidR="005B1213">
        <w:t>6 </w:t>
      </w:r>
      <w:r w:rsidRPr="00C045F9">
        <w:t xml:space="preserve">años España ha pasado de </w:t>
      </w:r>
      <w:r w:rsidR="005B1213">
        <w:t>0</w:t>
      </w:r>
      <w:r w:rsidRPr="00C045F9">
        <w:t xml:space="preserve"> a 72</w:t>
      </w:r>
      <w:r w:rsidR="00BF2B91">
        <w:t> </w:t>
      </w:r>
      <w:r w:rsidRPr="00C045F9">
        <w:t xml:space="preserve">compañías cotizadas en el mercado continuo y MAB. Las principales son Merlín, Colonial, Hispania y Lar España. </w:t>
      </w:r>
      <w:r w:rsidR="006F7FB0">
        <w:t>N</w:t>
      </w:r>
      <w:r w:rsidRPr="00C045F9">
        <w:t>o obstante</w:t>
      </w:r>
      <w:r w:rsidR="006F7FB0">
        <w:t>,</w:t>
      </w:r>
      <w:r w:rsidRPr="00C045F9">
        <w:t xml:space="preserve"> se prevé que se reduzca </w:t>
      </w:r>
      <w:r w:rsidR="006F7FB0">
        <w:t xml:space="preserve">el número </w:t>
      </w:r>
      <w:r w:rsidRPr="00C045F9">
        <w:t>en los siguientes años debido a la</w:t>
      </w:r>
      <w:r w:rsidR="00A010C5" w:rsidRPr="00C045F9">
        <w:t>s</w:t>
      </w:r>
      <w:r w:rsidRPr="00C045F9">
        <w:t xml:space="preserve"> ganancias de economías de escala.</w:t>
      </w:r>
    </w:p>
    <w:p w14:paraId="75445634" w14:textId="77777777" w:rsidR="0089422E" w:rsidRDefault="00C75AA9" w:rsidP="00C3620B">
      <w:pPr>
        <w:pStyle w:val="Nivel4"/>
        <w:ind w:left="1474"/>
      </w:pPr>
      <w:r w:rsidRPr="00C045F9">
        <w:lastRenderedPageBreak/>
        <w:t>El éxito de éstas se debe a los bajos requisitos, el interés de los inversores en dicho mercado y las ventajas fiscales.</w:t>
      </w:r>
    </w:p>
    <w:p w14:paraId="48476872" w14:textId="70C6A768" w:rsidR="00BE2E83" w:rsidRDefault="00BE2E83" w:rsidP="00BE2E83">
      <w:pPr>
        <w:pStyle w:val="Nivel2SM"/>
        <w:keepNext/>
        <w:spacing w:after="0"/>
      </w:pPr>
      <w:bookmarkStart w:id="68" w:name="_Hlk150109842"/>
      <w:r>
        <w:rPr>
          <w:i/>
          <w:iCs/>
        </w:rPr>
        <w:t>Tipos en función de la forma jurídica</w:t>
      </w:r>
      <w:r>
        <w:t>:</w:t>
      </w:r>
    </w:p>
    <w:p w14:paraId="7F13EB04" w14:textId="35FCFDFC" w:rsidR="00BE2E83" w:rsidRDefault="00BE2E83" w:rsidP="00BE2E83">
      <w:pPr>
        <w:pStyle w:val="Nivel3SM"/>
      </w:pPr>
      <w:r>
        <w:rPr>
          <w:i/>
          <w:iCs/>
        </w:rPr>
        <w:t>Sociedades de inversión colectiva</w:t>
      </w:r>
      <w:r>
        <w:t>:</w:t>
      </w:r>
      <w:r w:rsidR="00326C71">
        <w:t xml:space="preserve"> Sus inversores son accionistas de la propia entidad. Son las SICAVs y las SOCIMIs y están gobernadas por una junta general de accionistas y consejo de administración.</w:t>
      </w:r>
    </w:p>
    <w:p w14:paraId="7100DFCB" w14:textId="12D2F087" w:rsidR="00BE2E83" w:rsidRDefault="00BE2E83" w:rsidP="00BE2E83">
      <w:pPr>
        <w:pStyle w:val="Nivel3SM"/>
      </w:pPr>
      <w:r>
        <w:rPr>
          <w:i/>
          <w:iCs/>
        </w:rPr>
        <w:t>Fondos de inversión colectiva</w:t>
      </w:r>
      <w:r w:rsidRPr="00BE2E83">
        <w:t>:</w:t>
      </w:r>
      <w:r w:rsidR="00326C71">
        <w:t xml:space="preserve"> Sus inversores no son accionistas, sino partícipes, por lo que los fondos necesitan ser gestionados por un tercero. Carecen de personalidad jurídica.</w:t>
      </w:r>
    </w:p>
    <w:p w14:paraId="6AE9551E" w14:textId="0C1A30EA" w:rsidR="00326C71" w:rsidRPr="00326C71" w:rsidRDefault="00326C71" w:rsidP="00326C71">
      <w:pPr>
        <w:pStyle w:val="Nivel2SM"/>
        <w:keepNext/>
        <w:spacing w:after="0"/>
      </w:pPr>
      <w:r>
        <w:rPr>
          <w:i/>
          <w:iCs/>
        </w:rPr>
        <w:t>Tipos según</w:t>
      </w:r>
      <w:r w:rsidR="00DB3B40">
        <w:rPr>
          <w:i/>
          <w:iCs/>
        </w:rPr>
        <w:t xml:space="preserve"> la regulación</w:t>
      </w:r>
      <w:r>
        <w:t>:</w:t>
      </w:r>
    </w:p>
    <w:p w14:paraId="7F544E1B" w14:textId="08CA7A67" w:rsidR="00326C71" w:rsidRDefault="00326C71" w:rsidP="00BE2E83">
      <w:pPr>
        <w:pStyle w:val="Nivel3SM"/>
      </w:pPr>
      <w:r>
        <w:rPr>
          <w:i/>
          <w:iCs/>
        </w:rPr>
        <w:t>No l</w:t>
      </w:r>
      <w:r w:rsidRPr="00326C71">
        <w:rPr>
          <w:i/>
          <w:iCs/>
        </w:rPr>
        <w:t>ibres</w:t>
      </w:r>
      <w:r>
        <w:t xml:space="preserve"> (p.ej. fondos de inversión y SICAVs): Tienen determinadas restricciones.</w:t>
      </w:r>
    </w:p>
    <w:p w14:paraId="55D8160C" w14:textId="5FD19A01" w:rsidR="00326C71" w:rsidRPr="00326C71" w:rsidRDefault="00326C71" w:rsidP="00BE2E83">
      <w:pPr>
        <w:pStyle w:val="Nivel3SM"/>
      </w:pPr>
      <w:r w:rsidRPr="00326C71">
        <w:rPr>
          <w:i/>
          <w:iCs/>
        </w:rPr>
        <w:t>Libres</w:t>
      </w:r>
      <w:r w:rsidRPr="00326C71">
        <w:t xml:space="preserve"> (p.ej. </w:t>
      </w:r>
      <w:proofErr w:type="spellStart"/>
      <w:r w:rsidRPr="00326C71">
        <w:rPr>
          <w:i/>
          <w:iCs/>
        </w:rPr>
        <w:t>hedge</w:t>
      </w:r>
      <w:proofErr w:type="spellEnd"/>
      <w:r w:rsidRPr="00326C71">
        <w:rPr>
          <w:i/>
          <w:iCs/>
        </w:rPr>
        <w:t xml:space="preserve"> </w:t>
      </w:r>
      <w:proofErr w:type="spellStart"/>
      <w:r w:rsidRPr="00326C71">
        <w:rPr>
          <w:i/>
          <w:iCs/>
        </w:rPr>
        <w:t>funds</w:t>
      </w:r>
      <w:proofErr w:type="spellEnd"/>
      <w:r w:rsidRPr="00326C71">
        <w:t>): Están meno</w:t>
      </w:r>
      <w:r>
        <w:t>s regulados y su función principal es invertir en todo tipo de títulos.</w:t>
      </w:r>
    </w:p>
    <w:bookmarkEnd w:id="68"/>
    <w:p w14:paraId="389227B5" w14:textId="382D54FD" w:rsidR="00186027" w:rsidRPr="00C045F9" w:rsidRDefault="0089422E" w:rsidP="00124C35">
      <w:pPr>
        <w:pStyle w:val="Ttulo7"/>
        <w:numPr>
          <w:ilvl w:val="0"/>
          <w:numId w:val="47"/>
        </w:numPr>
        <w:ind w:left="851" w:hanging="284"/>
      </w:pPr>
      <w:r w:rsidRPr="00C045F9">
        <w:t>Fondos de capital riesgo</w:t>
      </w:r>
    </w:p>
    <w:p w14:paraId="0D6F2DA3" w14:textId="58E9E665" w:rsidR="0089422E" w:rsidRDefault="0089422E" w:rsidP="003917EE">
      <w:pPr>
        <w:pStyle w:val="Nivel2SM"/>
      </w:pPr>
      <w:r w:rsidRPr="00C045F9">
        <w:t>Se trata de entidades que toman participaciones temporales en empresas no</w:t>
      </w:r>
      <w:r w:rsidR="00162451">
        <w:t> </w:t>
      </w:r>
      <w:r w:rsidRPr="00C045F9">
        <w:t>financieras no</w:t>
      </w:r>
      <w:r w:rsidR="00162451">
        <w:t> </w:t>
      </w:r>
      <w:r w:rsidRPr="00C045F9">
        <w:t>cotizadas y que tienen dificultades para recurrir a otras fuentes de financiación, bien porque se han creado recientemente, bien porque desarrollan actividades con un alto grado de incertidumbre (p.ej. relacionadas con innovación tecnológica).</w:t>
      </w:r>
    </w:p>
    <w:p w14:paraId="352CE94F" w14:textId="32EFB0EF" w:rsidR="00162451" w:rsidRPr="00C045F9" w:rsidRDefault="00162451" w:rsidP="003917EE">
      <w:pPr>
        <w:pStyle w:val="Nivel2SM"/>
      </w:pPr>
      <w:r>
        <w:t>La idea es invertir en estos proyectos empresariales antes de la salida a bolsa con el objetivo de poder obtener altas rentabilidades en la desinversión. Es muy arriesgado, pero mantienen carteras muy diversificadas.</w:t>
      </w:r>
    </w:p>
    <w:p w14:paraId="2FBEB7C4" w14:textId="241F4FF2" w:rsidR="0089422E" w:rsidRPr="00C045F9" w:rsidRDefault="0089422E" w:rsidP="00124C35">
      <w:pPr>
        <w:pStyle w:val="Ttulo7"/>
        <w:numPr>
          <w:ilvl w:val="0"/>
          <w:numId w:val="47"/>
        </w:numPr>
        <w:ind w:left="851" w:hanging="284"/>
      </w:pPr>
      <w:r w:rsidRPr="00C045F9">
        <w:t>Fondos de titulización</w:t>
      </w:r>
    </w:p>
    <w:p w14:paraId="06FAAB81" w14:textId="2E09D263" w:rsidR="0089422E" w:rsidRDefault="0089422E" w:rsidP="003746D9">
      <w:pPr>
        <w:pStyle w:val="Nivel2SM"/>
        <w:keepNext/>
        <w:spacing w:after="0"/>
      </w:pPr>
      <w:r w:rsidRPr="00C045F9">
        <w:t>Se trata de instituciones que convierten activos no</w:t>
      </w:r>
      <w:r w:rsidR="003746D9">
        <w:t> </w:t>
      </w:r>
      <w:r w:rsidRPr="00C045F9">
        <w:t>negociables en otros que pueden ser objeto de transmisión en mercados secundarios.</w:t>
      </w:r>
    </w:p>
    <w:p w14:paraId="20706DFD" w14:textId="387AD2BE" w:rsidR="003746D9" w:rsidRPr="00C045F9" w:rsidRDefault="003746D9" w:rsidP="003746D9">
      <w:pPr>
        <w:pStyle w:val="Nivel3SM"/>
      </w:pPr>
      <w:r>
        <w:t>Por tanto, su activo está integrado por activos financieros poco líquidos y su pasivo por valores de renta fija que emitieron para poder adquirir dichos activos.</w:t>
      </w:r>
    </w:p>
    <w:p w14:paraId="54868299" w14:textId="77777777" w:rsidR="0089422E" w:rsidRPr="00C045F9" w:rsidRDefault="003A77B2" w:rsidP="009C12F5">
      <w:pPr>
        <w:pStyle w:val="Nivel2SM"/>
        <w:keepNext/>
        <w:spacing w:after="0"/>
      </w:pPr>
      <w:r w:rsidRPr="009C12F5">
        <w:rPr>
          <w:i/>
          <w:iCs/>
        </w:rPr>
        <w:t>Tipos</w:t>
      </w:r>
      <w:r w:rsidR="0089422E" w:rsidRPr="00C045F9">
        <w:t>:</w:t>
      </w:r>
    </w:p>
    <w:p w14:paraId="474D1521" w14:textId="77777777" w:rsidR="0089422E" w:rsidRPr="00C045F9" w:rsidRDefault="0089422E" w:rsidP="00F94AAA">
      <w:pPr>
        <w:pStyle w:val="Nivel3SM"/>
      </w:pPr>
      <w:r w:rsidRPr="00F94AAA">
        <w:rPr>
          <w:i/>
          <w:iCs/>
        </w:rPr>
        <w:t>Fondos de titulización hipotecaria</w:t>
      </w:r>
      <w:r w:rsidRPr="00C045F9">
        <w:t>, si los activos de respaldo de las emisiones son activos hipotecarios.</w:t>
      </w:r>
    </w:p>
    <w:p w14:paraId="73305BE4" w14:textId="77777777" w:rsidR="0089422E" w:rsidRPr="00C045F9" w:rsidRDefault="0089422E" w:rsidP="009C12F5">
      <w:pPr>
        <w:pStyle w:val="Nivel3SM"/>
      </w:pPr>
      <w:r w:rsidRPr="00F94AAA">
        <w:rPr>
          <w:i/>
          <w:iCs/>
        </w:rPr>
        <w:t>Fondos de titulización de activos</w:t>
      </w:r>
      <w:r w:rsidRPr="00C045F9">
        <w:t>, si los activos de respaldo de las emisiones son otros activos (p.ej. pagos pendientes de las tarjetas de crédito).</w:t>
      </w:r>
    </w:p>
    <w:p w14:paraId="0335080B" w14:textId="77777777" w:rsidR="003A77B2" w:rsidRPr="00C045F9" w:rsidRDefault="0052538E" w:rsidP="009C12F5">
      <w:pPr>
        <w:pStyle w:val="Nivel2SM"/>
        <w:keepNext/>
        <w:spacing w:after="0"/>
      </w:pPr>
      <w:r w:rsidRPr="009C12F5">
        <w:rPr>
          <w:i/>
          <w:iCs/>
        </w:rPr>
        <w:t>Ventajas</w:t>
      </w:r>
      <w:r w:rsidR="003A77B2" w:rsidRPr="00C045F9">
        <w:t>:</w:t>
      </w:r>
    </w:p>
    <w:p w14:paraId="24822DEB" w14:textId="4BAF5F5A" w:rsidR="0089422E" w:rsidRPr="00C045F9" w:rsidRDefault="0089422E" w:rsidP="009C12F5">
      <w:pPr>
        <w:pStyle w:val="Nivel3SM"/>
        <w:keepNext/>
      </w:pPr>
      <w:r w:rsidRPr="00C045F9">
        <w:t>Ventajas para el emisor original</w:t>
      </w:r>
      <w:r w:rsidR="009C12F5">
        <w:t>:</w:t>
      </w:r>
    </w:p>
    <w:p w14:paraId="31285263" w14:textId="77777777" w:rsidR="0089422E" w:rsidRPr="00C045F9" w:rsidRDefault="0089422E" w:rsidP="009C12F5">
      <w:pPr>
        <w:pStyle w:val="Nivel4"/>
        <w:ind w:left="1474"/>
      </w:pPr>
      <w:r w:rsidRPr="00C045F9">
        <w:t>Obtención de liquidez, pues permite convertir activos no líquidos en activos que pueden comercializarse en el mercado secundario.</w:t>
      </w:r>
    </w:p>
    <w:p w14:paraId="72ED6B6A" w14:textId="017EC2F8" w:rsidR="0089422E" w:rsidRPr="00C045F9" w:rsidRDefault="0089422E" w:rsidP="009C12F5">
      <w:pPr>
        <w:pStyle w:val="Nivel4"/>
        <w:ind w:left="1474"/>
      </w:pPr>
      <w:r w:rsidRPr="00C045F9">
        <w:t xml:space="preserve">Reducción del riesgo, pues, al titulizar un activo, su emisor original lo elimina de su balance, lo cual es muy importante dado que los requerimientos de capital de </w:t>
      </w:r>
      <w:r w:rsidR="003917EE">
        <w:t>Basilea I</w:t>
      </w:r>
      <w:r w:rsidRPr="00C045F9">
        <w:t>II ponderan los activos por riesgo.</w:t>
      </w:r>
    </w:p>
    <w:p w14:paraId="193EBE57" w14:textId="31C8C4D2" w:rsidR="00457603" w:rsidRPr="00C045F9" w:rsidRDefault="0089422E" w:rsidP="009C12F5">
      <w:pPr>
        <w:pStyle w:val="Nivel3SM"/>
        <w:keepNext/>
      </w:pPr>
      <w:r w:rsidRPr="00C045F9">
        <w:t>Ventaja para el inversor:</w:t>
      </w:r>
    </w:p>
    <w:p w14:paraId="1718DAC3" w14:textId="77777777" w:rsidR="0089422E" w:rsidRPr="00C045F9" w:rsidRDefault="003A77B2" w:rsidP="009C12F5">
      <w:pPr>
        <w:pStyle w:val="Nivel4"/>
        <w:ind w:left="1474"/>
      </w:pPr>
      <w:r w:rsidRPr="00C045F9">
        <w:t>F</w:t>
      </w:r>
      <w:r w:rsidR="0089422E" w:rsidRPr="00C045F9">
        <w:t>avorece la diversificación de su cartera.</w:t>
      </w:r>
    </w:p>
    <w:p w14:paraId="7A937315" w14:textId="747BD828" w:rsidR="0089422E" w:rsidRPr="00E56875" w:rsidRDefault="00C75AA9" w:rsidP="009C12F5">
      <w:pPr>
        <w:pStyle w:val="Nivel2SM"/>
      </w:pPr>
      <w:r w:rsidRPr="009C12F5">
        <w:rPr>
          <w:i/>
          <w:iCs/>
        </w:rPr>
        <w:t>Ejemplo de funcionamiento</w:t>
      </w:r>
      <w:r w:rsidRPr="00C045F9">
        <w:t xml:space="preserve">: Titulización hipotecaria </w:t>
      </w:r>
      <w:r w:rsidR="00F94AAA" w:rsidRPr="00F94AAA">
        <w:rPr>
          <w:color w:val="767171" w:themeColor="background2" w:themeShade="80"/>
          <w:sz w:val="19"/>
          <w:szCs w:val="19"/>
        </w:rPr>
        <w:t>[ver t</w:t>
      </w:r>
      <w:r w:rsidRPr="00F94AAA">
        <w:rPr>
          <w:color w:val="767171" w:themeColor="background2" w:themeShade="80"/>
          <w:sz w:val="19"/>
          <w:szCs w:val="19"/>
        </w:rPr>
        <w:t>ema 3</w:t>
      </w:r>
      <w:r w:rsidR="00F94AAA" w:rsidRPr="00F94AAA">
        <w:rPr>
          <w:color w:val="767171" w:themeColor="background2" w:themeShade="80"/>
          <w:sz w:val="19"/>
          <w:szCs w:val="19"/>
        </w:rPr>
        <w:t>.B.</w:t>
      </w:r>
      <w:r w:rsidRPr="00F94AAA">
        <w:rPr>
          <w:color w:val="767171" w:themeColor="background2" w:themeShade="80"/>
          <w:sz w:val="19"/>
          <w:szCs w:val="19"/>
        </w:rPr>
        <w:t>24</w:t>
      </w:r>
      <w:r w:rsidR="00F94AAA" w:rsidRPr="00F94AAA">
        <w:rPr>
          <w:color w:val="767171" w:themeColor="background2" w:themeShade="80"/>
          <w:sz w:val="19"/>
          <w:szCs w:val="19"/>
        </w:rPr>
        <w:t>]</w:t>
      </w:r>
      <w:r w:rsidR="00F94AAA">
        <w:t>.</w:t>
      </w:r>
    </w:p>
    <w:p w14:paraId="05B2DE73" w14:textId="69D9F52E" w:rsidR="0089422E" w:rsidRPr="00C045F9" w:rsidRDefault="0089422E" w:rsidP="00124C35">
      <w:pPr>
        <w:pStyle w:val="Ttulo7"/>
        <w:numPr>
          <w:ilvl w:val="0"/>
          <w:numId w:val="47"/>
        </w:numPr>
        <w:ind w:left="851" w:hanging="284"/>
      </w:pPr>
      <w:r w:rsidRPr="00C045F9">
        <w:t>Plataformas de financiación participativa</w:t>
      </w:r>
    </w:p>
    <w:p w14:paraId="19239720" w14:textId="77777777" w:rsidR="006977CB" w:rsidRDefault="006977CB" w:rsidP="006977CB">
      <w:pPr>
        <w:pStyle w:val="Nivel2SM"/>
        <w:keepNext/>
        <w:spacing w:after="0"/>
      </w:pPr>
      <w:r w:rsidRPr="00AB4600">
        <w:t xml:space="preserve">Las plataformas de financiación participativa (PFP), denominadas en inglés </w:t>
      </w:r>
      <w:r w:rsidRPr="00DC2EF3">
        <w:rPr>
          <w:i/>
          <w:iCs/>
        </w:rPr>
        <w:t>crowdfunding</w:t>
      </w:r>
      <w:r w:rsidRPr="00AB4600">
        <w:t xml:space="preserve"> constituyen un</w:t>
      </w:r>
      <w:r w:rsidRPr="004D4D66">
        <w:t xml:space="preserve"> </w:t>
      </w:r>
      <w:r w:rsidRPr="004D4D66">
        <w:rPr>
          <w:i/>
          <w:iCs/>
          <w:u w:val="single"/>
        </w:rPr>
        <w:t>mecanismo de canalización directa del ahorro a la inversión productiva</w:t>
      </w:r>
      <w:r w:rsidRPr="00385CE2">
        <w:rPr>
          <w:u w:val="single"/>
        </w:rPr>
        <w:t xml:space="preserve"> </w:t>
      </w:r>
      <w:r w:rsidRPr="00AB4600">
        <w:t>complementario al que tiene lugar a través de las bolsas y de los mercados alternativos.</w:t>
      </w:r>
    </w:p>
    <w:p w14:paraId="05697767" w14:textId="77777777" w:rsidR="006977CB" w:rsidRDefault="006977CB" w:rsidP="006977CB">
      <w:pPr>
        <w:pStyle w:val="Nivel3SM"/>
      </w:pPr>
      <w:r>
        <w:t xml:space="preserve">Consiste en la financiación colectiva de un negocio o proyecto, para lo que se publica la iniciativa en una plataforma, por lo general ubicada en Internet, proponiendo un objetivo de financiación durante un período de tiempo. Habitualmente, si durante ese período de </w:t>
      </w:r>
      <w:r>
        <w:lastRenderedPageBreak/>
        <w:t>tiempo no se alcanza el 100 % del objetivo, se entiende que el proyecto no ha suscitado el suficiente interés como para hacerlo viable, anulándose todos los compromisos de pago.</w:t>
      </w:r>
    </w:p>
    <w:p w14:paraId="3A16568D" w14:textId="77777777" w:rsidR="006977CB" w:rsidRDefault="006977CB" w:rsidP="006977CB">
      <w:pPr>
        <w:pStyle w:val="Nivel3SM"/>
      </w:pPr>
      <w:r>
        <w:t xml:space="preserve">El </w:t>
      </w:r>
      <w:r w:rsidRPr="004D4D66">
        <w:rPr>
          <w:i/>
          <w:iCs/>
        </w:rPr>
        <w:t>crowdfunding</w:t>
      </w:r>
      <w:r>
        <w:t xml:space="preserve"> surge propulsado por un nuevo entorno en el que cobran mayor importancia la </w:t>
      </w:r>
      <w:r w:rsidRPr="00385CE2">
        <w:rPr>
          <w:u w:val="single"/>
        </w:rPr>
        <w:t>digitalización</w:t>
      </w:r>
      <w:r w:rsidRPr="004D4D66">
        <w:t xml:space="preserve"> y la </w:t>
      </w:r>
      <w:r w:rsidRPr="00385CE2">
        <w:rPr>
          <w:u w:val="single"/>
        </w:rPr>
        <w:t>interacción social</w:t>
      </w:r>
      <w:r>
        <w:t>.</w:t>
      </w:r>
    </w:p>
    <w:p w14:paraId="76C8D13E" w14:textId="2C96CBF5" w:rsidR="006977CB" w:rsidRDefault="006977CB" w:rsidP="006977CB">
      <w:pPr>
        <w:pStyle w:val="Nivel3SM"/>
      </w:pPr>
      <w:r w:rsidRPr="00C045F9">
        <w:t xml:space="preserve">Se trata de entidades reguladas por primera vez en España por la Ley </w:t>
      </w:r>
      <w:r>
        <w:t>05/</w:t>
      </w:r>
      <w:r w:rsidRPr="00C045F9">
        <w:t>2015 de Fomento de la Financiación Empresarial</w:t>
      </w:r>
      <w:r>
        <w:t>.</w:t>
      </w:r>
    </w:p>
    <w:p w14:paraId="0603388B" w14:textId="77777777" w:rsidR="006977CB" w:rsidRDefault="006977CB" w:rsidP="006977CB">
      <w:pPr>
        <w:pStyle w:val="Nivel2SM"/>
        <w:keepNext/>
        <w:spacing w:after="0"/>
      </w:pPr>
      <w:r>
        <w:t xml:space="preserve">En cuanto al coste de financiación del </w:t>
      </w:r>
      <w:r w:rsidRPr="00D3059B">
        <w:rPr>
          <w:i/>
          <w:iCs/>
        </w:rPr>
        <w:t>crowdfunding</w:t>
      </w:r>
      <w:r>
        <w:t xml:space="preserve"> (además del porcentaje que recibe la plataforma en concepto de gestión), depende de la modalidad de </w:t>
      </w:r>
      <w:r>
        <w:rPr>
          <w:i/>
          <w:iCs/>
        </w:rPr>
        <w:t>crowdfunding</w:t>
      </w:r>
      <w:r w:rsidRPr="00D3059B">
        <w:t xml:space="preserve"> </w:t>
      </w:r>
      <w:r>
        <w:t xml:space="preserve">utilizada. </w:t>
      </w:r>
      <w:r w:rsidRPr="00D3059B">
        <w:t>En</w:t>
      </w:r>
      <w:r w:rsidRPr="00AB4600">
        <w:t xml:space="preserve"> particular, se diferencia entre</w:t>
      </w:r>
      <w:r>
        <w:t>:</w:t>
      </w:r>
    </w:p>
    <w:p w14:paraId="449CCD64" w14:textId="77777777" w:rsidR="006977CB" w:rsidRDefault="006977CB" w:rsidP="006977CB">
      <w:pPr>
        <w:pStyle w:val="Nivel3SM"/>
      </w:pPr>
      <w:r w:rsidRPr="00356D9A">
        <w:rPr>
          <w:i/>
          <w:iCs/>
          <w:u w:val="single"/>
        </w:rPr>
        <w:t>Equity crowdfunding</w:t>
      </w:r>
      <w:r w:rsidRPr="00A475B7">
        <w:t>:</w:t>
      </w:r>
      <w:r>
        <w:t xml:space="preserve"> D</w:t>
      </w:r>
      <w:r w:rsidRPr="00AB4600">
        <w:t>onde la obtención de fondos se canaliza a través de capital</w:t>
      </w:r>
      <w:r>
        <w:t>.</w:t>
      </w:r>
    </w:p>
    <w:p w14:paraId="4E804533" w14:textId="77777777" w:rsidR="006977CB" w:rsidRDefault="006977CB" w:rsidP="006977CB">
      <w:pPr>
        <w:pStyle w:val="Nivel3SM"/>
        <w:keepNext/>
      </w:pPr>
      <w:r w:rsidRPr="00356D9A">
        <w:rPr>
          <w:i/>
          <w:iCs/>
          <w:u w:val="single"/>
        </w:rPr>
        <w:t>Crowdlending</w:t>
      </w:r>
      <w:r w:rsidRPr="00A475B7">
        <w:t xml:space="preserve">: </w:t>
      </w:r>
      <w:r>
        <w:t>D</w:t>
      </w:r>
      <w:r w:rsidRPr="00AB4600">
        <w:t>onde el instrumento utilizado es la deuda.</w:t>
      </w:r>
    </w:p>
    <w:p w14:paraId="2F5CE0AA" w14:textId="29EBA77F" w:rsidR="006977CB" w:rsidRDefault="006977CB" w:rsidP="006977CB">
      <w:pPr>
        <w:pStyle w:val="Nivel2SM"/>
        <w:keepNext/>
        <w:spacing w:after="0"/>
      </w:pPr>
      <w:r>
        <w:t>A finales de 2020</w:t>
      </w:r>
      <w:r w:rsidRPr="00AB4600">
        <w:t xml:space="preserve">, la CNMV había autorizado </w:t>
      </w:r>
      <w:r w:rsidRPr="00385CE2">
        <w:rPr>
          <w:b/>
        </w:rPr>
        <w:t>2</w:t>
      </w:r>
      <w:r>
        <w:rPr>
          <w:b/>
        </w:rPr>
        <w:t>8</w:t>
      </w:r>
      <w:r w:rsidRPr="00385CE2">
        <w:rPr>
          <w:b/>
        </w:rPr>
        <w:t> PFP</w:t>
      </w:r>
    </w:p>
    <w:p w14:paraId="5A385E4C" w14:textId="171C3F73" w:rsidR="00B4484B" w:rsidRPr="00C045F9" w:rsidRDefault="00B4484B" w:rsidP="00EF3233">
      <w:pPr>
        <w:pStyle w:val="Nivel2SM"/>
        <w:keepNext/>
        <w:spacing w:after="0"/>
      </w:pPr>
      <w:r w:rsidRPr="00C045F9">
        <w:t xml:space="preserve">Liberbank ha alcanzado un acuerdo con la empresa financiera tecnológica o </w:t>
      </w:r>
      <w:r w:rsidR="00126344">
        <w:t>“Fintech”</w:t>
      </w:r>
      <w:r w:rsidRPr="00C045F9">
        <w:t xml:space="preserve"> </w:t>
      </w:r>
      <w:proofErr w:type="spellStart"/>
      <w:r w:rsidRPr="00C045F9">
        <w:t>October</w:t>
      </w:r>
      <w:proofErr w:type="spellEnd"/>
      <w:r w:rsidR="00461762" w:rsidRPr="00C045F9">
        <w:t xml:space="preserve"> en abril de 2019</w:t>
      </w:r>
      <w:r w:rsidRPr="00C045F9">
        <w:t>, para potenciar la financiación de las pymes,</w:t>
      </w:r>
    </w:p>
    <w:p w14:paraId="21D5C220" w14:textId="75A5FEB0" w:rsidR="0089422E" w:rsidRPr="00C045F9" w:rsidRDefault="00B4484B" w:rsidP="00EF3233">
      <w:pPr>
        <w:pStyle w:val="Nivel3SM"/>
      </w:pPr>
      <w:r w:rsidRPr="00C045F9">
        <w:t xml:space="preserve">Este acuerdo supone </w:t>
      </w:r>
      <w:r w:rsidRPr="00C045F9">
        <w:rPr>
          <w:u w:val="single"/>
        </w:rPr>
        <w:t>la primera alianza estratégica</w:t>
      </w:r>
      <w:r w:rsidRPr="00C045F9">
        <w:t xml:space="preserve"> en España entre un banco y una financiera tecnológica de crowdlending (préstamos entre particulares y empresas). Además representa el primer acuerdo de colaboración alcanzado tres años después de la aprobación de la Ley de Fomento de la Financiación Empresarial.</w:t>
      </w:r>
    </w:p>
    <w:p w14:paraId="28A5A87F" w14:textId="3FD352AE" w:rsidR="0089422E" w:rsidRPr="00E56875" w:rsidRDefault="0089422E" w:rsidP="004878A5">
      <w:pPr>
        <w:pStyle w:val="Ttulo3"/>
      </w:pPr>
      <w:bookmarkStart w:id="69" w:name="_Toc178010352"/>
      <w:r w:rsidRPr="00C045F9">
        <w:t>Sector de seguros y fondos de pensione</w:t>
      </w:r>
      <w:r w:rsidR="00E56875">
        <w:t>s</w:t>
      </w:r>
      <w:bookmarkEnd w:id="69"/>
    </w:p>
    <w:p w14:paraId="40292EC9" w14:textId="2917A19F" w:rsidR="00CA4F2A" w:rsidRPr="00C045F9" w:rsidRDefault="0089422E" w:rsidP="004878A5">
      <w:pPr>
        <w:pStyle w:val="Ttulo6"/>
        <w:spacing w:before="0"/>
      </w:pPr>
      <w:bookmarkStart w:id="70" w:name="_Toc178010353"/>
      <w:r w:rsidRPr="00C045F9">
        <w:t>Institución</w:t>
      </w:r>
      <w:r w:rsidR="00CA4F2A" w:rsidRPr="00C045F9">
        <w:t>:</w:t>
      </w:r>
      <w:r w:rsidRPr="00C045F9">
        <w:t xml:space="preserve"> Dirección General de Seguros y Fondos de Pensiones</w:t>
      </w:r>
      <w:bookmarkEnd w:id="70"/>
    </w:p>
    <w:p w14:paraId="7440FB74" w14:textId="5A990A0B" w:rsidR="0089422E" w:rsidRPr="00C045F9" w:rsidRDefault="0089422E" w:rsidP="00126344">
      <w:pPr>
        <w:pStyle w:val="Nivel2SM"/>
      </w:pPr>
      <w:r w:rsidRPr="00C045F9">
        <w:t>El órgano de control y de supervisión de este sector es la Dirección General de Seguros y Fondos de Pensiones, dependiente del Ministerio de Economía</w:t>
      </w:r>
      <w:r w:rsidR="001100EE">
        <w:t>.</w:t>
      </w:r>
    </w:p>
    <w:p w14:paraId="7A6E8C75" w14:textId="5B2B2593" w:rsidR="0089422E" w:rsidRPr="00E56875" w:rsidRDefault="0089422E" w:rsidP="00A9777D">
      <w:pPr>
        <w:pStyle w:val="Ttulo6"/>
      </w:pPr>
      <w:bookmarkStart w:id="71" w:name="_Toc178010354"/>
      <w:r w:rsidRPr="00C045F9">
        <w:t>Agentes</w:t>
      </w:r>
      <w:bookmarkEnd w:id="71"/>
    </w:p>
    <w:p w14:paraId="7E0F600F" w14:textId="532BF29A" w:rsidR="0089422E" w:rsidRPr="00C045F9" w:rsidRDefault="0089422E" w:rsidP="00F65E5D">
      <w:pPr>
        <w:pStyle w:val="Ttulo7"/>
        <w:numPr>
          <w:ilvl w:val="0"/>
          <w:numId w:val="45"/>
        </w:numPr>
        <w:spacing w:before="0"/>
        <w:ind w:left="851" w:hanging="284"/>
      </w:pPr>
      <w:r w:rsidRPr="00C045F9">
        <w:t>Compañías de seguros</w:t>
      </w:r>
    </w:p>
    <w:p w14:paraId="24447AB7" w14:textId="77777777" w:rsidR="0089422E" w:rsidRPr="00C045F9" w:rsidRDefault="0089422E" w:rsidP="003917EE">
      <w:pPr>
        <w:pStyle w:val="Nivel2SM"/>
        <w:keepNext/>
        <w:spacing w:after="0"/>
      </w:pPr>
      <w:r w:rsidRPr="00C045F9">
        <w:t>Se trata de entidades que prestan cobertura a determinados riesgos a cambio de primas.</w:t>
      </w:r>
      <w:r w:rsidR="00186027" w:rsidRPr="00C045F9">
        <w:t xml:space="preserve"> </w:t>
      </w:r>
      <w:r w:rsidRPr="00C045F9">
        <w:t>Pueden ser:</w:t>
      </w:r>
    </w:p>
    <w:p w14:paraId="72247853" w14:textId="77777777" w:rsidR="0089422E" w:rsidRPr="00C045F9" w:rsidRDefault="0089422E" w:rsidP="003917EE">
      <w:pPr>
        <w:pStyle w:val="Nivel3SM"/>
      </w:pPr>
      <w:r w:rsidRPr="000B3424">
        <w:rPr>
          <w:i/>
          <w:iCs/>
          <w:u w:val="single"/>
        </w:rPr>
        <w:t>Entidades privadas</w:t>
      </w:r>
      <w:r w:rsidRPr="00C045F9">
        <w:t xml:space="preserve">: </w:t>
      </w:r>
      <w:r w:rsidR="000B3BC0" w:rsidRPr="00C045F9">
        <w:t>D</w:t>
      </w:r>
      <w:r w:rsidRPr="00C045F9">
        <w:t>ominan el sector.</w:t>
      </w:r>
    </w:p>
    <w:p w14:paraId="7C28EAAE" w14:textId="402BF5D0" w:rsidR="0089422E" w:rsidRPr="00C045F9" w:rsidRDefault="0089422E" w:rsidP="003917EE">
      <w:pPr>
        <w:pStyle w:val="Nivel3SM"/>
      </w:pPr>
      <w:r w:rsidRPr="000B3424">
        <w:rPr>
          <w:i/>
          <w:iCs/>
          <w:u w:val="single"/>
        </w:rPr>
        <w:t>Mutualidades de previsión social</w:t>
      </w:r>
      <w:r w:rsidRPr="000B3424">
        <w:t xml:space="preserve">: </w:t>
      </w:r>
      <w:r w:rsidR="000B3424">
        <w:t>N</w:t>
      </w:r>
      <w:r w:rsidRPr="000B3424">
        <w:t>o tienen ánimo de lucro, y ejercen una función aseguradora complementaria</w:t>
      </w:r>
      <w:r w:rsidRPr="00C045F9">
        <w:t xml:space="preserve"> a la de la Seguridad Social.</w:t>
      </w:r>
    </w:p>
    <w:p w14:paraId="0B335E92" w14:textId="5CA958E3" w:rsidR="00CA4F2A" w:rsidRPr="00C045F9" w:rsidRDefault="00CA4F2A" w:rsidP="00F65E5D">
      <w:pPr>
        <w:pStyle w:val="Ttulo7"/>
        <w:numPr>
          <w:ilvl w:val="0"/>
          <w:numId w:val="45"/>
        </w:numPr>
        <w:ind w:left="851" w:hanging="284"/>
      </w:pPr>
      <w:r w:rsidRPr="00C045F9">
        <w:t>Fondos de pensiones</w:t>
      </w:r>
    </w:p>
    <w:p w14:paraId="71D651F6" w14:textId="40D58A65" w:rsidR="00CA4F2A" w:rsidRPr="00C045F9" w:rsidRDefault="00CA4F2A" w:rsidP="003917EE">
      <w:pPr>
        <w:pStyle w:val="Nivel2SM"/>
        <w:keepNext/>
        <w:spacing w:after="0"/>
      </w:pPr>
      <w:r w:rsidRPr="00C045F9">
        <w:t>Los fondos de pensiones tienen por objetivo recoger aportaciones de trabajadores y/o empresarios con el fin de asegurar una prestación económica futura una vez acaecido un suc</w:t>
      </w:r>
      <w:r w:rsidR="003A77B2" w:rsidRPr="00C045F9">
        <w:t>eso (jubilación, invalidez</w:t>
      </w:r>
      <w:r w:rsidR="00E56875">
        <w:t>…</w:t>
      </w:r>
      <w:r w:rsidRPr="00C045F9">
        <w:t>).</w:t>
      </w:r>
    </w:p>
    <w:p w14:paraId="46132DDF" w14:textId="77777777" w:rsidR="002C0F59" w:rsidRPr="00C045F9" w:rsidRDefault="00CA4F2A" w:rsidP="003917EE">
      <w:pPr>
        <w:pStyle w:val="Nivel3SM"/>
      </w:pPr>
      <w:r w:rsidRPr="00C045F9">
        <w:t>La importancia de los fondos de pensiones en España ha sido tradicionalmente inferior a la de otros países de nuestro entorno debido a la amplia cobertura que ofrece nuestro sistema público de Seguridad Social</w:t>
      </w:r>
      <w:r w:rsidR="0086100F" w:rsidRPr="00C045F9">
        <w:t xml:space="preserve"> no obstante se prevé que aumente su importancia debido a la insostenibilidad del sistema. </w:t>
      </w:r>
    </w:p>
    <w:p w14:paraId="03F3EC6A" w14:textId="6E2AFDB2" w:rsidR="00757718" w:rsidRDefault="00757718" w:rsidP="00757718">
      <w:pPr>
        <w:pStyle w:val="Ttulo3"/>
      </w:pPr>
      <w:bookmarkStart w:id="72" w:name="_Toc178010355"/>
      <w:r>
        <w:t>Supervisión macroprudencial</w:t>
      </w:r>
      <w:bookmarkEnd w:id="72"/>
    </w:p>
    <w:p w14:paraId="25A636BE" w14:textId="5007D2C1" w:rsidR="00757718" w:rsidRDefault="00757718" w:rsidP="00757718">
      <w:pPr>
        <w:pStyle w:val="Ttulo6"/>
        <w:spacing w:before="0"/>
      </w:pPr>
      <w:bookmarkStart w:id="73" w:name="_Toc178010356"/>
      <w:r>
        <w:t>Institución: Autoridad Macroprudencial Consejo de Estabilidad Financiera (AMCESFI)</w:t>
      </w:r>
      <w:bookmarkEnd w:id="73"/>
    </w:p>
    <w:p w14:paraId="5D1AE8C4" w14:textId="7E99101C" w:rsidR="00757718" w:rsidRDefault="00757718" w:rsidP="00C178BD">
      <w:pPr>
        <w:pStyle w:val="Nivel2SM"/>
      </w:pPr>
      <w:r>
        <w:t xml:space="preserve">Se trata de una </w:t>
      </w:r>
      <w:r w:rsidRPr="004716CD">
        <w:rPr>
          <w:b/>
          <w:bCs/>
        </w:rPr>
        <w:t>autoridad macroprudencial</w:t>
      </w:r>
      <w:r>
        <w:t xml:space="preserve"> encargada del </w:t>
      </w:r>
      <w:r w:rsidRPr="004716CD">
        <w:rPr>
          <w:i/>
          <w:iCs/>
        </w:rPr>
        <w:t>seguimiento coordinado de las potenciales vulnerabilidades</w:t>
      </w:r>
      <w:r>
        <w:t xml:space="preserve">. Creada en 2019 no viene a sustituir sino a reforzar las funciones de las autoridades supervisoras </w:t>
      </w:r>
      <w:r w:rsidRPr="00757718">
        <w:rPr>
          <w:sz w:val="19"/>
          <w:szCs w:val="19"/>
        </w:rPr>
        <w:t>(Banco de España, CNMV y Dirección General de Seguros y Fondos de Pensiones)</w:t>
      </w:r>
      <w:r>
        <w:t>, completando así la arquitectura del sistema financiero español.</w:t>
      </w:r>
    </w:p>
    <w:p w14:paraId="362E02FA" w14:textId="1AC4C1A7" w:rsidR="00757718" w:rsidRDefault="00757718" w:rsidP="00757718">
      <w:pPr>
        <w:pStyle w:val="Nivel2SM"/>
        <w:keepNext/>
        <w:spacing w:after="0"/>
      </w:pPr>
      <w:r>
        <w:t>La AMCESFI tiene encomendada la función de realizar, de manera regular, el seguimiento y análisis de factores de riesgo sistémico. Entre sus facultades se encuentran:</w:t>
      </w:r>
    </w:p>
    <w:p w14:paraId="59807F69" w14:textId="0693B555" w:rsidR="00757718" w:rsidRDefault="00757718" w:rsidP="00757718">
      <w:pPr>
        <w:pStyle w:val="Nivel3SM"/>
      </w:pPr>
      <w:r>
        <w:t>Emitir alertas y recomendaciones sobre cualquier cuestión que pueda afectar a la estabilidad financiera.</w:t>
      </w:r>
    </w:p>
    <w:p w14:paraId="7A4A9078" w14:textId="32008147" w:rsidR="00757718" w:rsidRDefault="00757718" w:rsidP="00757718">
      <w:pPr>
        <w:pStyle w:val="Nivel3SM"/>
      </w:pPr>
      <w:r>
        <w:lastRenderedPageBreak/>
        <w:t>Informar de ello a la Junta Europea de Riesgo Sistémico (JERS).</w:t>
      </w:r>
    </w:p>
    <w:p w14:paraId="0CFDDFFD" w14:textId="77777777" w:rsidR="00B84C6F" w:rsidRDefault="00757718" w:rsidP="00B84C6F">
      <w:pPr>
        <w:pStyle w:val="Nivel2SM"/>
        <w:keepNext/>
        <w:spacing w:after="0"/>
      </w:pPr>
      <w:r>
        <w:t>En los próximos años, en su agenda se encuentra</w:t>
      </w:r>
      <w:r w:rsidR="00B84C6F">
        <w:t>:</w:t>
      </w:r>
    </w:p>
    <w:p w14:paraId="17A7BB9F" w14:textId="4866D44B" w:rsidR="00B84C6F" w:rsidRDefault="00B84C6F" w:rsidP="00B84C6F">
      <w:pPr>
        <w:pStyle w:val="Nivel3SM"/>
      </w:pPr>
      <w:r>
        <w:t>El análisis del impacto de la Covid-19 y las tensiones geopolíticas sobre la estabilidad financiera.</w:t>
      </w:r>
    </w:p>
    <w:p w14:paraId="2809CB0B" w14:textId="6F75DCE2" w:rsidR="00757718" w:rsidRDefault="00B84C6F" w:rsidP="00B84C6F">
      <w:pPr>
        <w:pStyle w:val="Nivel3SM"/>
        <w:keepNext/>
      </w:pPr>
      <w:r>
        <w:t>E</w:t>
      </w:r>
      <w:r w:rsidR="00757718">
        <w:t>l análisis e implicaciones del cambio climático sobre la estabilidad financiera.</w:t>
      </w:r>
    </w:p>
    <w:p w14:paraId="62D3F9E1" w14:textId="28B166CB" w:rsidR="00757718" w:rsidRDefault="00757718" w:rsidP="00757718">
      <w:pPr>
        <w:pStyle w:val="Nivel4"/>
        <w:ind w:left="1474"/>
      </w:pPr>
      <w:r>
        <w:t>En este sentido, el proyecto de Ley de Cambio Climático y Transición Energética prevé que el BdE, la CNMV y la DGSyFP elaboren conjuntamente, coordinado en el seno de la AMCESFI, cada 2 años un informe sobre la evaluación del riesgo para el sistema financiero español derivado del cambio climático y de las políticas para combatirlo.</w:t>
      </w:r>
    </w:p>
    <w:p w14:paraId="240D7C11" w14:textId="02A424BE" w:rsidR="00243A80" w:rsidRDefault="00243A80" w:rsidP="00243A80">
      <w:pPr>
        <w:pStyle w:val="Ttulo6"/>
      </w:pPr>
      <w:bookmarkStart w:id="74" w:name="_Toc178010357"/>
      <w:r>
        <w:t>Sistema Europeo de Supervisión Financiera</w:t>
      </w:r>
      <w:bookmarkEnd w:id="74"/>
    </w:p>
    <w:p w14:paraId="4FA5B5EF" w14:textId="77777777" w:rsidR="00243A80" w:rsidRDefault="00243A80" w:rsidP="00243A80">
      <w:pPr>
        <w:pStyle w:val="Nivel2SM"/>
        <w:keepNext/>
        <w:spacing w:after="0"/>
      </w:pPr>
      <w:r>
        <w:t>Creado en la crisis económica para la supervisión del sistema financiero europeo, el SESF se compone de:</w:t>
      </w:r>
    </w:p>
    <w:p w14:paraId="01EDD915" w14:textId="7A58CC57" w:rsidR="00243A80" w:rsidRDefault="00243A80" w:rsidP="00243A80">
      <w:pPr>
        <w:pStyle w:val="Nivel3SM"/>
      </w:pPr>
      <w:r>
        <w:t xml:space="preserve">La </w:t>
      </w:r>
      <w:r>
        <w:rPr>
          <w:b/>
          <w:bCs/>
        </w:rPr>
        <w:t>Junta Europea de Riesgo Sistémico (JERS)</w:t>
      </w:r>
      <w:r>
        <w:t>, que asume la supervisión macroprudencial del sistema financiero de la Unión Europea con el objetivo de prevenir y mitigar riesgos sistémicos; y</w:t>
      </w:r>
    </w:p>
    <w:p w14:paraId="3508498B" w14:textId="1EC4D919" w:rsidR="00243A80" w:rsidRDefault="00243A80" w:rsidP="00243A80">
      <w:pPr>
        <w:pStyle w:val="Nivel3SM"/>
        <w:keepNext/>
      </w:pPr>
      <w:r>
        <w:t>De 3 autoridades encargadas de la supervisión microprudencial:</w:t>
      </w:r>
    </w:p>
    <w:p w14:paraId="4668F800" w14:textId="76283316" w:rsidR="00243A80" w:rsidRPr="00243A80" w:rsidRDefault="00243A80" w:rsidP="00243A80">
      <w:pPr>
        <w:pStyle w:val="Nivel4"/>
        <w:ind w:left="1474"/>
        <w:rPr>
          <w:lang w:val="en-US"/>
        </w:rPr>
      </w:pPr>
      <w:r w:rsidRPr="00243A80">
        <w:rPr>
          <w:i/>
          <w:iCs/>
          <w:lang w:val="en-US"/>
        </w:rPr>
        <w:t>Banca</w:t>
      </w:r>
      <w:r w:rsidRPr="00243A80">
        <w:rPr>
          <w:lang w:val="en-US"/>
        </w:rPr>
        <w:t xml:space="preserve">: </w:t>
      </w:r>
      <w:r w:rsidRPr="00243A80">
        <w:rPr>
          <w:b/>
          <w:bCs/>
          <w:lang w:val="en-US"/>
        </w:rPr>
        <w:t>European Banking Authority (EBA)</w:t>
      </w:r>
      <w:r w:rsidRPr="00243A80">
        <w:rPr>
          <w:lang w:val="en-US"/>
        </w:rPr>
        <w:t>.</w:t>
      </w:r>
    </w:p>
    <w:p w14:paraId="068BA6A8" w14:textId="4FBCCAD1" w:rsidR="00243A80" w:rsidRDefault="00243A80" w:rsidP="00243A80">
      <w:pPr>
        <w:pStyle w:val="Nivel4"/>
        <w:ind w:left="1474"/>
        <w:rPr>
          <w:lang w:val="en-US"/>
        </w:rPr>
      </w:pPr>
      <w:proofErr w:type="spellStart"/>
      <w:r>
        <w:rPr>
          <w:i/>
          <w:iCs/>
          <w:lang w:val="en-US"/>
        </w:rPr>
        <w:t>Valores</w:t>
      </w:r>
      <w:proofErr w:type="spellEnd"/>
      <w:r>
        <w:rPr>
          <w:lang w:val="en-US"/>
        </w:rPr>
        <w:t xml:space="preserve">: </w:t>
      </w:r>
      <w:r w:rsidRPr="00243A80">
        <w:rPr>
          <w:b/>
          <w:bCs/>
          <w:lang w:val="en-US"/>
        </w:rPr>
        <w:t xml:space="preserve">European Securities </w:t>
      </w:r>
      <w:r>
        <w:rPr>
          <w:b/>
          <w:bCs/>
          <w:lang w:val="en-US"/>
        </w:rPr>
        <w:t xml:space="preserve">and </w:t>
      </w:r>
      <w:r w:rsidRPr="00243A80">
        <w:rPr>
          <w:b/>
          <w:bCs/>
          <w:lang w:val="en-US"/>
        </w:rPr>
        <w:t>Markets Authority (ESMA)</w:t>
      </w:r>
      <w:r>
        <w:rPr>
          <w:lang w:val="en-US"/>
        </w:rPr>
        <w:t>.</w:t>
      </w:r>
    </w:p>
    <w:p w14:paraId="1E693706" w14:textId="61C79FF8" w:rsidR="00243A80" w:rsidRPr="00243A80" w:rsidRDefault="00243A80" w:rsidP="00243A80">
      <w:pPr>
        <w:pStyle w:val="Nivel4"/>
        <w:ind w:left="1474"/>
      </w:pPr>
      <w:r w:rsidRPr="00243A80">
        <w:rPr>
          <w:i/>
          <w:iCs/>
        </w:rPr>
        <w:t>Seguros y fondos de p</w:t>
      </w:r>
      <w:r>
        <w:rPr>
          <w:i/>
          <w:iCs/>
        </w:rPr>
        <w:t>ensiones</w:t>
      </w:r>
      <w:r>
        <w:t xml:space="preserve">: </w:t>
      </w:r>
      <w:proofErr w:type="spellStart"/>
      <w:r w:rsidRPr="00243A80">
        <w:rPr>
          <w:b/>
          <w:bCs/>
        </w:rPr>
        <w:t>European</w:t>
      </w:r>
      <w:proofErr w:type="spellEnd"/>
      <w:r w:rsidRPr="00243A80">
        <w:rPr>
          <w:b/>
          <w:bCs/>
        </w:rPr>
        <w:t xml:space="preserve"> </w:t>
      </w:r>
      <w:proofErr w:type="spellStart"/>
      <w:r w:rsidRPr="00243A80">
        <w:rPr>
          <w:b/>
          <w:bCs/>
        </w:rPr>
        <w:t>Insurance</w:t>
      </w:r>
      <w:proofErr w:type="spellEnd"/>
      <w:r>
        <w:rPr>
          <w:b/>
          <w:bCs/>
        </w:rPr>
        <w:t xml:space="preserve"> and </w:t>
      </w:r>
      <w:proofErr w:type="spellStart"/>
      <w:r>
        <w:rPr>
          <w:b/>
          <w:bCs/>
        </w:rPr>
        <w:t>Occupational</w:t>
      </w:r>
      <w:proofErr w:type="spellEnd"/>
      <w:r w:rsidRPr="00243A80">
        <w:rPr>
          <w:b/>
          <w:bCs/>
        </w:rPr>
        <w:t xml:space="preserve"> </w:t>
      </w:r>
      <w:proofErr w:type="spellStart"/>
      <w:r w:rsidRPr="00243A80">
        <w:rPr>
          <w:b/>
          <w:bCs/>
        </w:rPr>
        <w:t>Pension</w:t>
      </w:r>
      <w:r>
        <w:rPr>
          <w:b/>
          <w:bCs/>
        </w:rPr>
        <w:t>s</w:t>
      </w:r>
      <w:proofErr w:type="spellEnd"/>
      <w:r w:rsidRPr="00243A80">
        <w:rPr>
          <w:b/>
          <w:bCs/>
        </w:rPr>
        <w:t xml:space="preserve"> </w:t>
      </w:r>
      <w:proofErr w:type="spellStart"/>
      <w:r w:rsidRPr="00243A80">
        <w:rPr>
          <w:b/>
          <w:bCs/>
        </w:rPr>
        <w:t>Authority</w:t>
      </w:r>
      <w:proofErr w:type="spellEnd"/>
      <w:r w:rsidRPr="00243A80">
        <w:rPr>
          <w:b/>
          <w:bCs/>
        </w:rPr>
        <w:t xml:space="preserve"> (EIOPA)</w:t>
      </w:r>
      <w:r>
        <w:t>.</w:t>
      </w:r>
    </w:p>
    <w:p w14:paraId="4C2F47F4" w14:textId="74F90B56" w:rsidR="00243A80" w:rsidRDefault="00243A80" w:rsidP="00243A80">
      <w:pPr>
        <w:pStyle w:val="Ttulo6"/>
      </w:pPr>
      <w:bookmarkStart w:id="75" w:name="_Toc178010358"/>
      <w:r>
        <w:t>Consejo de Estabilidad Financiera (</w:t>
      </w:r>
      <w:proofErr w:type="spellStart"/>
      <w:r>
        <w:rPr>
          <w:i/>
          <w:iCs/>
        </w:rPr>
        <w:t>Financial</w:t>
      </w:r>
      <w:proofErr w:type="spellEnd"/>
      <w:r>
        <w:rPr>
          <w:i/>
          <w:iCs/>
        </w:rPr>
        <w:t xml:space="preserve"> </w:t>
      </w:r>
      <w:proofErr w:type="spellStart"/>
      <w:r>
        <w:rPr>
          <w:i/>
          <w:iCs/>
        </w:rPr>
        <w:t>Stability</w:t>
      </w:r>
      <w:proofErr w:type="spellEnd"/>
      <w:r>
        <w:rPr>
          <w:i/>
          <w:iCs/>
        </w:rPr>
        <w:t xml:space="preserve"> </w:t>
      </w:r>
      <w:proofErr w:type="spellStart"/>
      <w:r>
        <w:rPr>
          <w:i/>
          <w:iCs/>
        </w:rPr>
        <w:t>Board</w:t>
      </w:r>
      <w:proofErr w:type="spellEnd"/>
      <w:r>
        <w:t>, FSB)</w:t>
      </w:r>
      <w:bookmarkEnd w:id="75"/>
    </w:p>
    <w:p w14:paraId="1C0FDCA9" w14:textId="77777777" w:rsidR="00243A80" w:rsidRDefault="00243A80" w:rsidP="00243A80">
      <w:pPr>
        <w:pStyle w:val="Nivel2SM"/>
        <w:keepNext/>
        <w:spacing w:after="0"/>
      </w:pPr>
      <w:r>
        <w:t>Se sustituye el Foro de Estabilidad Financiera (creado en 1999) por un fortalecido FSB del que han surgido gran parte de las iniciativas de reforma financiera de los últimos años bajo el impulso del G-20.</w:t>
      </w:r>
    </w:p>
    <w:p w14:paraId="2790FBF0" w14:textId="37432840" w:rsidR="00243A80" w:rsidRDefault="00243A80" w:rsidP="00243A80">
      <w:pPr>
        <w:pStyle w:val="Nivel3SM"/>
      </w:pPr>
      <w:bookmarkStart w:id="76" w:name="_Hlk150069545"/>
      <w:r>
        <w:t>El FSB es una autoridad macroprudencial global transversal, cuyo objetivo es fomentar la coordinación internacional en materia de regulación y supervisión del sistema financiero, para así promover la estabilidad financiera.</w:t>
      </w:r>
    </w:p>
    <w:bookmarkEnd w:id="76"/>
    <w:p w14:paraId="001DF70A" w14:textId="77777777" w:rsidR="00243A80" w:rsidRDefault="00243A80" w:rsidP="00243A80">
      <w:pPr>
        <w:pStyle w:val="Nivel3SM"/>
      </w:pPr>
      <w:r w:rsidRPr="00E440C3">
        <w:t>E</w:t>
      </w:r>
      <w:r>
        <w:t>l</w:t>
      </w:r>
      <w:r w:rsidRPr="00E440C3">
        <w:t xml:space="preserve"> FSB </w:t>
      </w:r>
      <w:r>
        <w:t>reúne a autoridades financieras de 25 países (G-20 más España, Hong Kong, Singapur, Suiza y Países Bajos), organismos internacionales (FMI, Banco Mundial, Comisión Europea, BCE, OCDE, etc.) y organismos de fijación de estándares.</w:t>
      </w:r>
    </w:p>
    <w:p w14:paraId="189AEDBD" w14:textId="77777777" w:rsidR="00243A80" w:rsidRDefault="00243A80" w:rsidP="00243A80">
      <w:pPr>
        <w:pStyle w:val="Nivel3SM"/>
        <w:keepNext/>
      </w:pPr>
      <w:r>
        <w:t>Se destacan las siguientes medidas por parte del FSB:</w:t>
      </w:r>
    </w:p>
    <w:p w14:paraId="0A9F1A7F" w14:textId="77777777" w:rsidR="00243A80" w:rsidRDefault="00243A80" w:rsidP="00243A80">
      <w:pPr>
        <w:pStyle w:val="Prrafodelista"/>
        <w:numPr>
          <w:ilvl w:val="0"/>
          <w:numId w:val="48"/>
        </w:numPr>
        <w:spacing w:after="0"/>
        <w:ind w:left="1417" w:hanging="113"/>
      </w:pPr>
      <w:r>
        <w:t xml:space="preserve">Aumentar los requisitos de capitales (especialmente para las entidades </w:t>
      </w:r>
      <w:proofErr w:type="spellStart"/>
      <w:r>
        <w:rPr>
          <w:i/>
          <w:iCs/>
        </w:rPr>
        <w:t>too</w:t>
      </w:r>
      <w:proofErr w:type="spellEnd"/>
      <w:r>
        <w:rPr>
          <w:i/>
          <w:iCs/>
        </w:rPr>
        <w:t xml:space="preserve"> </w:t>
      </w:r>
      <w:proofErr w:type="spellStart"/>
      <w:r>
        <w:rPr>
          <w:i/>
          <w:iCs/>
        </w:rPr>
        <w:t>big</w:t>
      </w:r>
      <w:proofErr w:type="spellEnd"/>
      <w:r>
        <w:rPr>
          <w:i/>
          <w:iCs/>
        </w:rPr>
        <w:t xml:space="preserve"> </w:t>
      </w:r>
      <w:proofErr w:type="spellStart"/>
      <w:r>
        <w:rPr>
          <w:i/>
          <w:iCs/>
        </w:rPr>
        <w:t>to</w:t>
      </w:r>
      <w:proofErr w:type="spellEnd"/>
      <w:r>
        <w:rPr>
          <w:i/>
          <w:iCs/>
        </w:rPr>
        <w:t xml:space="preserve"> </w:t>
      </w:r>
      <w:proofErr w:type="spellStart"/>
      <w:r>
        <w:rPr>
          <w:i/>
          <w:iCs/>
        </w:rPr>
        <w:t>fail</w:t>
      </w:r>
      <w:proofErr w:type="spellEnd"/>
      <w:r>
        <w:t>);</w:t>
      </w:r>
    </w:p>
    <w:p w14:paraId="14C829C6" w14:textId="77777777" w:rsidR="00243A80" w:rsidRPr="004735C6" w:rsidRDefault="00243A80" w:rsidP="00243A80">
      <w:pPr>
        <w:pStyle w:val="Prrafodelista"/>
        <w:numPr>
          <w:ilvl w:val="0"/>
          <w:numId w:val="48"/>
        </w:numPr>
        <w:spacing w:after="0"/>
        <w:ind w:left="1417" w:hanging="113"/>
        <w:rPr>
          <w:spacing w:val="-3"/>
        </w:rPr>
      </w:pPr>
      <w:r w:rsidRPr="004735C6">
        <w:rPr>
          <w:spacing w:val="-3"/>
        </w:rPr>
        <w:t xml:space="preserve">Resolución bancaria (cómo efectuar una recapitalización interna mediante la conversión de deuda en capital y qué pasivos permiten absorber pérdidas (pasivos </w:t>
      </w:r>
      <w:proofErr w:type="spellStart"/>
      <w:r w:rsidRPr="004735C6">
        <w:rPr>
          <w:spacing w:val="-3"/>
        </w:rPr>
        <w:t>bailinables</w:t>
      </w:r>
      <w:proofErr w:type="spellEnd"/>
      <w:r w:rsidRPr="004735C6">
        <w:rPr>
          <w:spacing w:val="-3"/>
        </w:rPr>
        <w:t>));</w:t>
      </w:r>
    </w:p>
    <w:p w14:paraId="5DF76055" w14:textId="77777777" w:rsidR="00243A80" w:rsidRDefault="00243A80" w:rsidP="00243A80">
      <w:pPr>
        <w:pStyle w:val="Prrafodelista"/>
        <w:numPr>
          <w:ilvl w:val="0"/>
          <w:numId w:val="48"/>
        </w:numPr>
        <w:spacing w:after="0"/>
        <w:ind w:left="1417" w:hanging="113"/>
      </w:pPr>
      <w:r>
        <w:t>Reforma de derivados OTC;</w:t>
      </w:r>
    </w:p>
    <w:p w14:paraId="7637933E" w14:textId="77777777" w:rsidR="00243A80" w:rsidRDefault="00243A80" w:rsidP="00243A80">
      <w:pPr>
        <w:pStyle w:val="Prrafodelista"/>
        <w:numPr>
          <w:ilvl w:val="0"/>
          <w:numId w:val="48"/>
        </w:numPr>
        <w:spacing w:after="0"/>
        <w:ind w:left="1417" w:hanging="113"/>
      </w:pPr>
      <w:r>
        <w:t>Reducir la dependencia de las agencias de calificación crediticia;</w:t>
      </w:r>
    </w:p>
    <w:p w14:paraId="4D18B94B" w14:textId="77777777" w:rsidR="00243A80" w:rsidRDefault="00243A80" w:rsidP="00243A80">
      <w:pPr>
        <w:pStyle w:val="Prrafodelista"/>
        <w:numPr>
          <w:ilvl w:val="0"/>
          <w:numId w:val="48"/>
        </w:numPr>
        <w:spacing w:after="0"/>
        <w:ind w:left="1417" w:hanging="113"/>
      </w:pPr>
      <w:r>
        <w:t>Convergencia contable;</w:t>
      </w:r>
    </w:p>
    <w:p w14:paraId="4889512E" w14:textId="77777777" w:rsidR="00243A80" w:rsidRDefault="00243A80" w:rsidP="00243A80">
      <w:pPr>
        <w:pStyle w:val="Prrafodelista"/>
        <w:numPr>
          <w:ilvl w:val="0"/>
          <w:numId w:val="48"/>
        </w:numPr>
        <w:spacing w:after="0"/>
        <w:ind w:left="1417" w:hanging="113"/>
      </w:pPr>
      <w:r>
        <w:t>Blanqueo de capitales y financiación del terrorismo; y</w:t>
      </w:r>
    </w:p>
    <w:p w14:paraId="56FC30DE" w14:textId="77777777" w:rsidR="00243A80" w:rsidRPr="00E440C3" w:rsidRDefault="00243A80" w:rsidP="00243A80">
      <w:pPr>
        <w:pStyle w:val="Prrafodelista"/>
        <w:keepNext/>
        <w:numPr>
          <w:ilvl w:val="0"/>
          <w:numId w:val="48"/>
        </w:numPr>
        <w:spacing w:after="0"/>
        <w:ind w:left="1417" w:hanging="113"/>
      </w:pPr>
      <w:r>
        <w:t xml:space="preserve">Gestión de los riesgos que supone el </w:t>
      </w:r>
      <w:proofErr w:type="spellStart"/>
      <w:r>
        <w:rPr>
          <w:i/>
          <w:iCs/>
        </w:rPr>
        <w:t>shadow</w:t>
      </w:r>
      <w:proofErr w:type="spellEnd"/>
      <w:r>
        <w:rPr>
          <w:i/>
          <w:iCs/>
        </w:rPr>
        <w:t xml:space="preserve"> </w:t>
      </w:r>
      <w:proofErr w:type="spellStart"/>
      <w:r>
        <w:rPr>
          <w:i/>
          <w:iCs/>
        </w:rPr>
        <w:t>banking</w:t>
      </w:r>
      <w:proofErr w:type="spellEnd"/>
      <w:r>
        <w:t xml:space="preserve"> (intermediación no bancaria). El objetivo pasa porque estas actividades de intermediación crediticia pasen a estar sometidas a una regulación y supervisión adecuadas.</w:t>
      </w:r>
    </w:p>
    <w:p w14:paraId="65AF95BA" w14:textId="23EBA8B7" w:rsidR="00243A80" w:rsidRPr="00243A80" w:rsidRDefault="00243A80" w:rsidP="002B4D8D">
      <w:pPr>
        <w:pStyle w:val="Nivel5"/>
        <w:ind w:left="1871"/>
      </w:pPr>
      <w:r w:rsidRPr="008C2EC2">
        <w:rPr>
          <w:spacing w:val="-1"/>
        </w:rPr>
        <w:t>Muchas de estas iniciativas formaron parte de las reformas en algunos países</w:t>
      </w:r>
      <w:r>
        <w:t xml:space="preserve"> </w:t>
      </w:r>
      <w:r w:rsidRPr="008C2EC2">
        <w:rPr>
          <w:sz w:val="19"/>
          <w:szCs w:val="19"/>
        </w:rPr>
        <w:t>(p.ej. afectaron a la Unión Bancaria en la UE y a la Ley Dodd-Frank en EEUU)</w:t>
      </w:r>
      <w:r>
        <w:t>.</w:t>
      </w:r>
    </w:p>
    <w:p w14:paraId="1A9D7763" w14:textId="1BA88B58" w:rsidR="002E189B" w:rsidRPr="00C045F9" w:rsidRDefault="00364E90" w:rsidP="00CA3371">
      <w:pPr>
        <w:pStyle w:val="Ttulo1"/>
      </w:pPr>
      <w:bookmarkStart w:id="77" w:name="_Toc178010359"/>
      <w:r>
        <w:lastRenderedPageBreak/>
        <w:t>CUESTIONES MÁS ACTUALES</w:t>
      </w:r>
      <w:bookmarkEnd w:id="77"/>
    </w:p>
    <w:p w14:paraId="79B2B791" w14:textId="77ED95AE" w:rsidR="002E189B" w:rsidRPr="00C045F9" w:rsidRDefault="002E189B" w:rsidP="00CA3371">
      <w:pPr>
        <w:pStyle w:val="Ttulo2"/>
      </w:pPr>
      <w:bookmarkStart w:id="78" w:name="_Toc178010360"/>
      <w:r w:rsidRPr="00C045F9">
        <w:t>Artículo</w:t>
      </w:r>
      <w:r w:rsidR="00CA3371">
        <w:t> </w:t>
      </w:r>
      <w:r w:rsidRPr="00C045F9">
        <w:t>IV FMI: Políticas del sector financiero</w:t>
      </w:r>
      <w:bookmarkEnd w:id="78"/>
    </w:p>
    <w:p w14:paraId="221A756C" w14:textId="77777777" w:rsidR="002E189B" w:rsidRPr="00C045F9" w:rsidRDefault="002E189B" w:rsidP="00757718">
      <w:pPr>
        <w:pStyle w:val="Nivel2SM"/>
        <w:keepNext/>
        <w:spacing w:after="0"/>
      </w:pPr>
      <w:r w:rsidRPr="00C045F9">
        <w:t>Las medidas de apoyo público han desempeñado un papel clave a la hora de amortiguar el impacto de la crisis en los balances del sector privado</w:t>
      </w:r>
      <w:r w:rsidR="0055349F" w:rsidRPr="00C045F9">
        <w:t>:</w:t>
      </w:r>
    </w:p>
    <w:p w14:paraId="6C1783B4" w14:textId="77777777" w:rsidR="0055349F" w:rsidRPr="00C045F9" w:rsidRDefault="002E189B" w:rsidP="006A7781">
      <w:pPr>
        <w:pStyle w:val="Nivel3SM"/>
        <w:keepNext/>
      </w:pPr>
      <w:r w:rsidRPr="009B44E0">
        <w:rPr>
          <w:i/>
          <w:iCs/>
          <w:u w:val="single"/>
        </w:rPr>
        <w:t>Hogares</w:t>
      </w:r>
      <w:r w:rsidR="0055349F" w:rsidRPr="00C045F9">
        <w:t>:</w:t>
      </w:r>
    </w:p>
    <w:p w14:paraId="5D247791" w14:textId="77777777" w:rsidR="0055349F" w:rsidRPr="00C045F9" w:rsidRDefault="002E189B" w:rsidP="006A7781">
      <w:pPr>
        <w:pStyle w:val="Nivel4"/>
        <w:keepNext/>
        <w:ind w:left="1474"/>
      </w:pPr>
      <w:r w:rsidRPr="00C045F9">
        <w:t xml:space="preserve">El impacto de la pandemia en los mercados laborales y en los ingresos de los hogares se vio en parte </w:t>
      </w:r>
      <w:r w:rsidRPr="00C045F9">
        <w:rPr>
          <w:u w:val="single"/>
        </w:rPr>
        <w:t>compensado por</w:t>
      </w:r>
      <w:r w:rsidR="0055349F" w:rsidRPr="00C045F9">
        <w:t>:</w:t>
      </w:r>
    </w:p>
    <w:p w14:paraId="5B0BD429" w14:textId="149736CE" w:rsidR="0055349F" w:rsidRPr="00C045F9" w:rsidRDefault="0065245F" w:rsidP="006A7781">
      <w:pPr>
        <w:pStyle w:val="Nivel5"/>
        <w:ind w:left="1871"/>
      </w:pPr>
      <w:r>
        <w:t>L</w:t>
      </w:r>
      <w:r w:rsidR="002E189B" w:rsidRPr="00C045F9">
        <w:t>as transferencias sociales</w:t>
      </w:r>
      <w:r w:rsidR="0055349F" w:rsidRPr="00C045F9">
        <w:t>:</w:t>
      </w:r>
      <w:r w:rsidR="002E189B" w:rsidRPr="00C045F9">
        <w:t xml:space="preserve"> los subsidios de desempleo, los ERTE y el régimen de ingreso mínimo vital.</w:t>
      </w:r>
    </w:p>
    <w:p w14:paraId="6FD7049B" w14:textId="600B6BCB" w:rsidR="0055349F" w:rsidRPr="00C045F9" w:rsidRDefault="002E189B" w:rsidP="006A7781">
      <w:pPr>
        <w:pStyle w:val="Nivel5"/>
        <w:ind w:left="1871"/>
      </w:pPr>
      <w:r w:rsidRPr="00C045F9">
        <w:t>Las moratorias temporales del pago de la deuda</w:t>
      </w:r>
      <w:r w:rsidR="004716CD">
        <w:t>.</w:t>
      </w:r>
    </w:p>
    <w:p w14:paraId="26D894BD" w14:textId="77777777" w:rsidR="0055349F" w:rsidRPr="00C045F9" w:rsidRDefault="0055349F" w:rsidP="006A7781">
      <w:pPr>
        <w:pStyle w:val="Nivel4"/>
        <w:ind w:left="1474"/>
      </w:pPr>
      <w:r w:rsidRPr="00DA0AD9">
        <w:t xml:space="preserve">El </w:t>
      </w:r>
      <w:r w:rsidR="002E189B" w:rsidRPr="00C045F9">
        <w:rPr>
          <w:u w:val="single"/>
        </w:rPr>
        <w:t>apalancamiento</w:t>
      </w:r>
      <w:r w:rsidR="002E189B" w:rsidRPr="00C045F9">
        <w:t xml:space="preserve"> de los hogares </w:t>
      </w:r>
      <w:r w:rsidRPr="00C045F9">
        <w:t>aumentó, pero</w:t>
      </w:r>
      <w:r w:rsidR="002E189B" w:rsidRPr="00C045F9">
        <w:t xml:space="preserve"> moderadamente y se mantiene muy por debajo de los niveles de la </w:t>
      </w:r>
      <w:r w:rsidRPr="00C045F9">
        <w:t>GCF</w:t>
      </w:r>
      <w:r w:rsidR="002E189B" w:rsidRPr="00C045F9">
        <w:t>.</w:t>
      </w:r>
    </w:p>
    <w:p w14:paraId="5DCED5D3" w14:textId="77777777" w:rsidR="002E189B" w:rsidRPr="00C045F9" w:rsidRDefault="002E189B" w:rsidP="006A7781">
      <w:pPr>
        <w:pStyle w:val="Nivel4"/>
        <w:ind w:left="1474"/>
      </w:pPr>
      <w:r w:rsidRPr="009B44E0">
        <w:t xml:space="preserve">Los </w:t>
      </w:r>
      <w:r w:rsidRPr="00C045F9">
        <w:rPr>
          <w:u w:val="single"/>
        </w:rPr>
        <w:t>activos netos</w:t>
      </w:r>
      <w:r w:rsidRPr="00C045F9">
        <w:t xml:space="preserve"> han aumentado, impulsados por un mayor ahorro que se canalizaron principalmente hacia los depósitos.</w:t>
      </w:r>
    </w:p>
    <w:p w14:paraId="62EDDE36" w14:textId="77777777" w:rsidR="0055349F" w:rsidRPr="00C045F9" w:rsidRDefault="002E189B" w:rsidP="006A7781">
      <w:pPr>
        <w:pStyle w:val="Nivel3SM"/>
        <w:keepNext/>
      </w:pPr>
      <w:r w:rsidRPr="009B44E0">
        <w:rPr>
          <w:i/>
          <w:iCs/>
          <w:u w:val="single"/>
        </w:rPr>
        <w:t>Empresas</w:t>
      </w:r>
      <w:r w:rsidR="0055349F" w:rsidRPr="00C045F9">
        <w:t>:</w:t>
      </w:r>
    </w:p>
    <w:p w14:paraId="5A72A04C" w14:textId="77777777" w:rsidR="0055349F" w:rsidRPr="00C045F9" w:rsidRDefault="002E189B" w:rsidP="006A7781">
      <w:pPr>
        <w:pStyle w:val="Nivel4"/>
        <w:ind w:left="1474"/>
      </w:pPr>
      <w:r w:rsidRPr="00C045F9">
        <w:t>Las medidas para garantizar un flujo ininterrumpido de crédito a las empresas ayudaron a limitar las tensiones financieras durante la crisis, aunque aumentaron las vulnerabilid</w:t>
      </w:r>
      <w:r w:rsidR="0055349F" w:rsidRPr="00C045F9">
        <w:t>ades financieras</w:t>
      </w:r>
      <w:r w:rsidRPr="00C045F9">
        <w:t xml:space="preserve">. </w:t>
      </w:r>
    </w:p>
    <w:p w14:paraId="7A7C65E9" w14:textId="31332376" w:rsidR="0055349F" w:rsidRPr="00C045F9" w:rsidRDefault="0055349F" w:rsidP="006A7781">
      <w:pPr>
        <w:pStyle w:val="Nivel4"/>
        <w:ind w:left="1474"/>
      </w:pPr>
      <w:r w:rsidRPr="00C045F9">
        <w:rPr>
          <w:u w:val="single"/>
        </w:rPr>
        <w:t>En 2020</w:t>
      </w:r>
      <w:r w:rsidRPr="00C045F9">
        <w:t>: F</w:t>
      </w:r>
      <w:r w:rsidR="002E189B" w:rsidRPr="00C045F9">
        <w:t xml:space="preserve">uerte contracción </w:t>
      </w:r>
      <w:r w:rsidRPr="00C045F9">
        <w:t>de los beneficios empresariales.</w:t>
      </w:r>
      <w:r w:rsidR="002E189B" w:rsidRPr="00C045F9">
        <w:t xml:space="preserve"> </w:t>
      </w:r>
      <w:r w:rsidRPr="00C045F9">
        <w:t>E</w:t>
      </w:r>
      <w:r w:rsidR="002E189B" w:rsidRPr="00C045F9">
        <w:t xml:space="preserve">l </w:t>
      </w:r>
      <w:r w:rsidRPr="00C045F9">
        <w:t>40</w:t>
      </w:r>
      <w:r w:rsidR="00165C36">
        <w:t> %</w:t>
      </w:r>
      <w:r w:rsidRPr="00C045F9">
        <w:t xml:space="preserve"> de </w:t>
      </w:r>
      <w:r w:rsidR="002E189B" w:rsidRPr="00C045F9">
        <w:t xml:space="preserve">empresas </w:t>
      </w:r>
      <w:r w:rsidRPr="00C045F9">
        <w:t xml:space="preserve">obtuvo </w:t>
      </w:r>
      <w:r w:rsidR="002E189B" w:rsidRPr="00C045F9">
        <w:t>beneficios negativos (30</w:t>
      </w:r>
      <w:r w:rsidR="00165C36">
        <w:t> %</w:t>
      </w:r>
      <w:r w:rsidR="002E189B" w:rsidRPr="00C045F9">
        <w:t xml:space="preserve"> en 2019).</w:t>
      </w:r>
    </w:p>
    <w:p w14:paraId="115EA7D7" w14:textId="00AB75AC" w:rsidR="0055349F" w:rsidRPr="00C045F9" w:rsidRDefault="002E189B" w:rsidP="006A7781">
      <w:pPr>
        <w:pStyle w:val="Nivel4"/>
        <w:keepNext/>
        <w:ind w:left="1474"/>
      </w:pPr>
      <w:r w:rsidRPr="00C045F9">
        <w:t>Las empresas se han endeudado más para cubrir sus necesidades de liquidez a corto plazo.</w:t>
      </w:r>
    </w:p>
    <w:p w14:paraId="775990E2" w14:textId="519373D5" w:rsidR="0055349F" w:rsidRPr="00C045F9" w:rsidRDefault="002E189B" w:rsidP="006A7781">
      <w:pPr>
        <w:pStyle w:val="Nivel5"/>
        <w:ind w:left="1871"/>
      </w:pPr>
      <w:r w:rsidRPr="00C045F9">
        <w:t>El apalancamiento de las empresas no financieras aumentó en unos 15</w:t>
      </w:r>
      <w:r w:rsidR="00165C36">
        <w:t> %</w:t>
      </w:r>
      <w:r w:rsidRPr="00C045F9">
        <w:t>, alcanzando el 107</w:t>
      </w:r>
      <w:r w:rsidR="00165C36">
        <w:t> %</w:t>
      </w:r>
      <w:r w:rsidRPr="00C045F9">
        <w:t xml:space="preserve"> del PIB en 2020 (</w:t>
      </w:r>
      <w:r w:rsidR="0055349F" w:rsidRPr="00C045F9">
        <w:t xml:space="preserve">vs. </w:t>
      </w:r>
      <w:r w:rsidRPr="00C045F9">
        <w:t>140</w:t>
      </w:r>
      <w:r w:rsidR="00165C36">
        <w:t> %</w:t>
      </w:r>
      <w:r w:rsidRPr="00C045F9">
        <w:t xml:space="preserve"> tras la </w:t>
      </w:r>
      <w:r w:rsidR="001C2684">
        <w:t>crisis financiera global</w:t>
      </w:r>
      <w:r w:rsidRPr="00C045F9">
        <w:t>).</w:t>
      </w:r>
    </w:p>
    <w:p w14:paraId="42182DA1" w14:textId="77777777" w:rsidR="002E189B" w:rsidRPr="00C045F9" w:rsidRDefault="0055349F" w:rsidP="006A7781">
      <w:pPr>
        <w:pStyle w:val="Nivel4"/>
        <w:ind w:left="1474"/>
      </w:pPr>
      <w:r w:rsidRPr="00C045F9">
        <w:rPr>
          <w:u w:val="single"/>
        </w:rPr>
        <w:t>En 2021</w:t>
      </w:r>
      <w:r w:rsidRPr="00C045F9">
        <w:t xml:space="preserve">: </w:t>
      </w:r>
      <w:r w:rsidR="002E189B" w:rsidRPr="00C045F9">
        <w:t>Aunque la rentabilidad mejoró en términos agregados, la recuperación ha sido desigual entre sectores, y las vulnerabilidades han aumentado debido a las mayores posiciones de deuda, particularmente en los sectores más afectados.</w:t>
      </w:r>
    </w:p>
    <w:p w14:paraId="46BE84D7" w14:textId="3C231F5D" w:rsidR="00FC2377" w:rsidRPr="00C045F9" w:rsidRDefault="00FC2377" w:rsidP="006A7781">
      <w:pPr>
        <w:pStyle w:val="Nivel2SM"/>
        <w:keepNext/>
        <w:spacing w:after="0"/>
        <w:rPr>
          <w:u w:val="single"/>
        </w:rPr>
      </w:pPr>
      <w:r w:rsidRPr="00C045F9">
        <w:rPr>
          <w:u w:val="single"/>
        </w:rPr>
        <w:t xml:space="preserve">Las </w:t>
      </w:r>
      <w:r w:rsidR="002E189B" w:rsidRPr="00C045F9">
        <w:rPr>
          <w:u w:val="single"/>
        </w:rPr>
        <w:t xml:space="preserve">medidas de apoyo a la solvencia de las empresas </w:t>
      </w:r>
      <w:r w:rsidRPr="00C045F9">
        <w:rPr>
          <w:u w:val="single"/>
        </w:rPr>
        <w:t xml:space="preserve">en </w:t>
      </w:r>
      <w:r w:rsidR="002E189B" w:rsidRPr="00C045F9">
        <w:rPr>
          <w:u w:val="single"/>
        </w:rPr>
        <w:t xml:space="preserve">2021 </w:t>
      </w:r>
      <w:r w:rsidRPr="00C045F9">
        <w:rPr>
          <w:u w:val="single"/>
        </w:rPr>
        <w:t>buscaba</w:t>
      </w:r>
      <w:r w:rsidR="001100EE">
        <w:rPr>
          <w:u w:val="single"/>
        </w:rPr>
        <w:t>n</w:t>
      </w:r>
      <w:r w:rsidR="002E189B" w:rsidRPr="00C045F9">
        <w:rPr>
          <w:u w:val="single"/>
        </w:rPr>
        <w:t xml:space="preserve"> evitar que los problemas de liquidez se conviertan en problemas de solvencia</w:t>
      </w:r>
      <w:r w:rsidR="002E189B" w:rsidRPr="00213B66">
        <w:t>.</w:t>
      </w:r>
    </w:p>
    <w:p w14:paraId="15FB1515" w14:textId="46D7ED32" w:rsidR="00FC2377" w:rsidRPr="00C045F9" w:rsidRDefault="002E189B" w:rsidP="006A7781">
      <w:pPr>
        <w:pStyle w:val="Nivel3SM"/>
      </w:pPr>
      <w:r w:rsidRPr="00C045F9">
        <w:t xml:space="preserve">La respuesta política de España de liquidez para el sector empresarial y tuvo mucho éxito, con altas tasas de </w:t>
      </w:r>
      <w:r w:rsidR="00FC2377" w:rsidRPr="00C045F9">
        <w:t>absorción</w:t>
      </w:r>
      <w:r w:rsidRPr="00C045F9">
        <w:t>.</w:t>
      </w:r>
    </w:p>
    <w:p w14:paraId="5C648C76" w14:textId="56599C8F" w:rsidR="00FC2377" w:rsidRPr="009F6F22" w:rsidRDefault="002E189B" w:rsidP="006A7781">
      <w:pPr>
        <w:pStyle w:val="Nivel3SM"/>
        <w:rPr>
          <w:spacing w:val="-2"/>
        </w:rPr>
      </w:pPr>
      <w:r w:rsidRPr="009F6F22">
        <w:rPr>
          <w:spacing w:val="-2"/>
        </w:rPr>
        <w:t>Sin embargo, dado que la crisis duró más de lo previsto inicialmente, fue necesario pasar a un mayor apoyo a la solvencia de las empresas viables para evitar el sobreendeudamiento.</w:t>
      </w:r>
    </w:p>
    <w:p w14:paraId="186D6FCC" w14:textId="6C6413D4" w:rsidR="00FC2377" w:rsidRPr="00C045F9" w:rsidRDefault="002E189B" w:rsidP="009F6F22">
      <w:pPr>
        <w:pStyle w:val="Nivel3SM"/>
        <w:keepNext/>
      </w:pPr>
      <w:r w:rsidRPr="00C045F9">
        <w:t>Las medidas anunciadas el año pasado incluían ayudas directas, apoyo a la reestructuración y recapitalización de empresas medianas, con una dotación de aproximadamente el 1</w:t>
      </w:r>
      <w:r w:rsidR="00165C36">
        <w:t> %</w:t>
      </w:r>
      <w:r w:rsidRPr="00C045F9">
        <w:t xml:space="preserve"> del PIB (11.000</w:t>
      </w:r>
      <w:r w:rsidR="00A24618">
        <w:t> </w:t>
      </w:r>
      <w:r w:rsidRPr="00C045F9">
        <w:t>millones de euros).</w:t>
      </w:r>
    </w:p>
    <w:p w14:paraId="3966B249" w14:textId="69F9FF03" w:rsidR="002E189B" w:rsidRPr="00C045F9" w:rsidRDefault="002E189B" w:rsidP="009F6F22">
      <w:pPr>
        <w:pStyle w:val="Nivel4"/>
        <w:ind w:left="1474"/>
      </w:pPr>
      <w:r w:rsidRPr="00C045F9">
        <w:t>El componente de ayuda directa representaba el 60</w:t>
      </w:r>
      <w:r w:rsidR="00165C36">
        <w:t> %</w:t>
      </w:r>
      <w:r w:rsidRPr="00C045F9">
        <w:t xml:space="preserve"> del paquete, y era administrado por las autoridades regionales con arreglo a</w:t>
      </w:r>
      <w:r w:rsidR="00FC2377" w:rsidRPr="00C045F9">
        <w:t xml:space="preserve"> directrices nacionales, mitigando así </w:t>
      </w:r>
      <w:r w:rsidRPr="00C045F9">
        <w:t xml:space="preserve">los riesgos de solvencia, en particular para el segmento de las </w:t>
      </w:r>
      <w:r w:rsidR="00A24618">
        <w:t>pymes</w:t>
      </w:r>
      <w:r w:rsidR="00FC2377" w:rsidRPr="00C045F9">
        <w:t>.</w:t>
      </w:r>
    </w:p>
    <w:p w14:paraId="2C4AF925" w14:textId="6EF4C6E8" w:rsidR="00FC2377" w:rsidRPr="00C045F9" w:rsidRDefault="002E189B" w:rsidP="009F6F22">
      <w:pPr>
        <w:pStyle w:val="Nivel2SM"/>
        <w:keepNext/>
        <w:spacing w:after="0"/>
      </w:pPr>
      <w:r w:rsidRPr="009F6F22">
        <w:rPr>
          <w:u w:val="single"/>
        </w:rPr>
        <w:t>No hay pruebas de desajustes significativos en los precios residenciales</w:t>
      </w:r>
      <w:r w:rsidRPr="00C045F9">
        <w:t>.</w:t>
      </w:r>
    </w:p>
    <w:p w14:paraId="5344DC14" w14:textId="11E4421B" w:rsidR="00FC2377" w:rsidRPr="00C045F9" w:rsidRDefault="002E189B" w:rsidP="006A7781">
      <w:pPr>
        <w:pStyle w:val="Nivel3SM"/>
      </w:pPr>
      <w:r w:rsidRPr="00C045F9">
        <w:t xml:space="preserve">Los precios residenciales aumentaron moderadamente en 2020 </w:t>
      </w:r>
      <w:r w:rsidR="00905CA8" w:rsidRPr="00C045F9">
        <w:t xml:space="preserve">pese a </w:t>
      </w:r>
      <w:r w:rsidRPr="00C045F9">
        <w:t xml:space="preserve">la caída de las transacciones. </w:t>
      </w:r>
      <w:r w:rsidR="00905CA8" w:rsidRPr="00C045F9">
        <w:t>R</w:t>
      </w:r>
      <w:r w:rsidRPr="00C045F9">
        <w:t>ecientemente, las transacciones repuntaron, reflejando una demanda reprimida, y la inflación de los precios se ha acelerado, aunque hasta ahora no hay pruebas de desalineación.</w:t>
      </w:r>
    </w:p>
    <w:p w14:paraId="13BBCABA" w14:textId="7CC8D049" w:rsidR="00FC2377" w:rsidRPr="00C045F9" w:rsidRDefault="002E189B" w:rsidP="006A7781">
      <w:pPr>
        <w:pStyle w:val="Nivel3SM"/>
      </w:pPr>
      <w:r w:rsidRPr="00C045F9">
        <w:t>El mercado inmobiliario comercial se ha visto más afectado por la pandemia que el mercado residencial, pero los indicadores de calidad del crédito bancario en este sector han permanecido en general estables.</w:t>
      </w:r>
    </w:p>
    <w:p w14:paraId="265D04C8" w14:textId="77777777" w:rsidR="00FC2377" w:rsidRPr="00C045F9" w:rsidRDefault="002E189B" w:rsidP="009F6F22">
      <w:pPr>
        <w:pStyle w:val="Nivel3SM"/>
        <w:keepNext/>
      </w:pPr>
      <w:r w:rsidRPr="00C045F9">
        <w:lastRenderedPageBreak/>
        <w:t>El Banco de España ha ampliado recientemente su conjunto de herramientas macroprudenciales, incluyendo un el colchón de capital anticíclico sectorial, los límites de concentración sectorial y los límites y condiciones de los préstamos y otras operaciones.</w:t>
      </w:r>
    </w:p>
    <w:p w14:paraId="598D43DF" w14:textId="77777777" w:rsidR="002E189B" w:rsidRPr="00C045F9" w:rsidRDefault="002E189B" w:rsidP="009F6F22">
      <w:pPr>
        <w:pStyle w:val="Nivel4"/>
        <w:ind w:left="1474"/>
      </w:pPr>
      <w:r w:rsidRPr="00C045F9">
        <w:t>útil para abordar puntos de presión sectoriales específicos, por ejemplo, si se acentúan los riesgos en el sector inmobiliario.</w:t>
      </w:r>
    </w:p>
    <w:p w14:paraId="72ED2F6A" w14:textId="0BA04260" w:rsidR="00B20592" w:rsidRPr="00C045F9" w:rsidRDefault="002E189B" w:rsidP="006A7781">
      <w:pPr>
        <w:pStyle w:val="Nivel2SM"/>
        <w:keepNext/>
        <w:spacing w:after="0"/>
      </w:pPr>
      <w:r w:rsidRPr="009B44E0">
        <w:t xml:space="preserve">El </w:t>
      </w:r>
      <w:r w:rsidRPr="009B44E0">
        <w:rPr>
          <w:i/>
          <w:iCs/>
          <w:u w:val="single"/>
        </w:rPr>
        <w:t>sector financiero</w:t>
      </w:r>
      <w:r w:rsidRPr="00C045F9">
        <w:rPr>
          <w:u w:val="single"/>
        </w:rPr>
        <w:t xml:space="preserve"> se ha mantenido </w:t>
      </w:r>
      <w:r w:rsidRPr="009B44E0">
        <w:rPr>
          <w:i/>
          <w:iCs/>
          <w:u w:val="single"/>
        </w:rPr>
        <w:t>resi</w:t>
      </w:r>
      <w:r w:rsidR="009B44E0" w:rsidRPr="009B44E0">
        <w:rPr>
          <w:i/>
          <w:iCs/>
          <w:u w:val="single"/>
        </w:rPr>
        <w:t>li</w:t>
      </w:r>
      <w:r w:rsidRPr="009B44E0">
        <w:rPr>
          <w:i/>
          <w:iCs/>
          <w:u w:val="single"/>
        </w:rPr>
        <w:t>ente</w:t>
      </w:r>
      <w:r w:rsidRPr="00C045F9">
        <w:t>, aunque es posible que las dificultades de las empresas se manifieste</w:t>
      </w:r>
      <w:r w:rsidR="004564AA">
        <w:t>n</w:t>
      </w:r>
      <w:r w:rsidRPr="00C045F9">
        <w:t xml:space="preserve"> con el tiempo.</w:t>
      </w:r>
    </w:p>
    <w:p w14:paraId="1040DCFD" w14:textId="77777777" w:rsidR="00B20592" w:rsidRPr="00C045F9" w:rsidRDefault="002E189B" w:rsidP="006A7781">
      <w:pPr>
        <w:pStyle w:val="Nivel3SM"/>
      </w:pPr>
      <w:r w:rsidRPr="00C045F9">
        <w:t xml:space="preserve">Los indicadores agregados de tensión de los prestatarios (como los préstamos morosos de los bancos y las empresas sometidas a procedimientos de insolvencia) siguen siendo bajos, pero podrían deteriorarse con el tiempo a medida que se vayan eliminando las moratorias de pago y otras medidas de apoyo a los prestatarios. </w:t>
      </w:r>
    </w:p>
    <w:p w14:paraId="236A838B" w14:textId="7522FC79" w:rsidR="00DC02A4" w:rsidRPr="00C045F9" w:rsidRDefault="002E189B" w:rsidP="006A7781">
      <w:pPr>
        <w:pStyle w:val="Nivel3SM"/>
      </w:pPr>
      <w:r w:rsidRPr="00C045F9">
        <w:t xml:space="preserve">Ya han aparecido algunos signos de deterioro de la calidad de los activos en segmentos específicos, por ejemplo </w:t>
      </w:r>
      <w:r w:rsidR="005E21EF">
        <w:t xml:space="preserve">la ratio de </w:t>
      </w:r>
      <w:r w:rsidR="00DC02A4" w:rsidRPr="00C045F9">
        <w:t>N</w:t>
      </w:r>
      <w:r w:rsidR="005E21EF">
        <w:t>on-</w:t>
      </w:r>
      <w:proofErr w:type="spellStart"/>
      <w:r w:rsidR="00DC02A4" w:rsidRPr="00C045F9">
        <w:t>P</w:t>
      </w:r>
      <w:r w:rsidR="005E21EF">
        <w:t>erforming</w:t>
      </w:r>
      <w:proofErr w:type="spellEnd"/>
      <w:r w:rsidR="005E21EF">
        <w:t xml:space="preserve"> </w:t>
      </w:r>
      <w:proofErr w:type="spellStart"/>
      <w:r w:rsidR="00DC02A4" w:rsidRPr="00C045F9">
        <w:t>L</w:t>
      </w:r>
      <w:r w:rsidR="005E21EF">
        <w:t>oans</w:t>
      </w:r>
      <w:proofErr w:type="spellEnd"/>
      <w:r w:rsidR="00DC02A4" w:rsidRPr="00C045F9">
        <w:t xml:space="preserve"> </w:t>
      </w:r>
      <w:r w:rsidR="005E21EF">
        <w:t xml:space="preserve">(NPL) </w:t>
      </w:r>
      <w:r w:rsidRPr="00C045F9">
        <w:t>ha aumentado en los créditos al consumo y en el sector de la hostelería, así como en los préstamos sujetos a moratorias y garantías públicas.</w:t>
      </w:r>
    </w:p>
    <w:p w14:paraId="484536B9" w14:textId="6920E8B2" w:rsidR="002E189B" w:rsidRPr="00C045F9" w:rsidRDefault="00EB341D" w:rsidP="006A7781">
      <w:pPr>
        <w:pStyle w:val="Nivel3SM"/>
      </w:pPr>
      <w:r w:rsidRPr="00C045F9">
        <w:t>L</w:t>
      </w:r>
      <w:r w:rsidR="002E189B" w:rsidRPr="00C045F9">
        <w:t>os préstamos de la fase</w:t>
      </w:r>
      <w:r w:rsidR="00A24618">
        <w:t> </w:t>
      </w:r>
      <w:r w:rsidR="002E189B" w:rsidRPr="00C045F9">
        <w:t>2 aumentaron en el último trimestre de 2020, ya que los bancos reclasificaron los préstamos más vulnerables de sus carteras, de conformidad con las directrices de regulación y supervisión.</w:t>
      </w:r>
    </w:p>
    <w:p w14:paraId="22513F22" w14:textId="24624609" w:rsidR="0085682E" w:rsidRPr="00C045F9" w:rsidRDefault="0085682E" w:rsidP="009F6F22">
      <w:pPr>
        <w:pStyle w:val="Nivel3SM"/>
        <w:keepNext/>
      </w:pPr>
      <w:r w:rsidRPr="00C045F9">
        <w:t>Será necesario vigilar la disposición de los bancos a utilizar colchones de capital si se materializan los escenarios de riesgo.</w:t>
      </w:r>
    </w:p>
    <w:p w14:paraId="21EFD2B8" w14:textId="77777777" w:rsidR="0085682E" w:rsidRPr="00C045F9" w:rsidRDefault="0085682E" w:rsidP="009F6F22">
      <w:pPr>
        <w:pStyle w:val="Nivel4"/>
        <w:ind w:left="1474"/>
      </w:pPr>
      <w:r w:rsidRPr="00C045F9">
        <w:t xml:space="preserve">Para evitar un posible endurecimiento de las condiciones de préstamo, las medidas de alivio prudencial no deben retirarse prematuramente y, si se materializan los escenarios de riesgo, las reservas de capital deben reconstituirse sólo gradualmente. </w:t>
      </w:r>
    </w:p>
    <w:p w14:paraId="590376F4" w14:textId="4F7BFB26" w:rsidR="002E189B" w:rsidRPr="00A24618" w:rsidRDefault="002E189B" w:rsidP="00FC7A9B">
      <w:pPr>
        <w:pStyle w:val="Nivel2SM"/>
        <w:keepNext/>
        <w:spacing w:after="0"/>
      </w:pPr>
      <w:r w:rsidRPr="00A24618">
        <w:rPr>
          <w:u w:val="single"/>
        </w:rPr>
        <w:t>Es necesario un estrecho seguimiento para garantizar la resi</w:t>
      </w:r>
      <w:r w:rsidR="009B44E0">
        <w:rPr>
          <w:u w:val="single"/>
        </w:rPr>
        <w:t>li</w:t>
      </w:r>
      <w:r w:rsidRPr="00A24618">
        <w:rPr>
          <w:u w:val="single"/>
        </w:rPr>
        <w:t>encia continuada del sector bancario</w:t>
      </w:r>
      <w:r w:rsidRPr="00A24618">
        <w:t>.</w:t>
      </w:r>
    </w:p>
    <w:p w14:paraId="74F756DD" w14:textId="70E74A12" w:rsidR="00905CA8" w:rsidRPr="00C045F9" w:rsidRDefault="002E189B" w:rsidP="00FC7A9B">
      <w:pPr>
        <w:pStyle w:val="Nivel3SM"/>
      </w:pPr>
      <w:r w:rsidRPr="00C045F9">
        <w:t>Los bancos adelantaron las provisiones en 2020 en previsión de mayores pérdidas esperadas. Las provisiones anticipadas no deberían revertirse hasta que hasta que el impacto final de la pandemia</w:t>
      </w:r>
      <w:r w:rsidR="00905CA8" w:rsidRPr="00C045F9">
        <w:t xml:space="preserve"> sea más conocido</w:t>
      </w:r>
      <w:r w:rsidRPr="00C045F9">
        <w:t>.</w:t>
      </w:r>
    </w:p>
    <w:p w14:paraId="4FCC4F86" w14:textId="4988A278" w:rsidR="00905CA8" w:rsidRPr="00C045F9" w:rsidRDefault="00905CA8" w:rsidP="00FC7A9B">
      <w:pPr>
        <w:pStyle w:val="Nivel3SM"/>
      </w:pPr>
      <w:r w:rsidRPr="00C045F9">
        <w:t>Las reclasificaciones de préstamos de fase</w:t>
      </w:r>
      <w:r w:rsidR="004716CD">
        <w:t> </w:t>
      </w:r>
      <w:r w:rsidRPr="00C045F9">
        <w:t>2 de los bancos españoles parecen bajas en comparación con sus homólogos europeos, dada la magnitud de la pandemia, aunque con ratios de cobertura relativamente más altos en este segmento</w:t>
      </w:r>
    </w:p>
    <w:p w14:paraId="6C13AF9A" w14:textId="77777777" w:rsidR="002E189B" w:rsidRPr="00C045F9" w:rsidRDefault="002E189B" w:rsidP="00FC7A9B">
      <w:pPr>
        <w:pStyle w:val="Nivel3SM"/>
      </w:pPr>
      <w:r w:rsidRPr="00C045F9">
        <w:t>También existe una heterogeneidad entre los esfuerzos de provisión de los bancos. Los supervisores deben seguir asegurándose de que el reconocimiento de pérdidas sea suficientemente prospectivo y niveles de provisión sean adecuados, y que las variaciones entre bancos no obedezcan a</w:t>
      </w:r>
      <w:r w:rsidR="003E533C" w:rsidRPr="00C045F9">
        <w:t xml:space="preserve"> un excesivo optimismo </w:t>
      </w:r>
      <w:r w:rsidRPr="00C045F9">
        <w:t>o consideraciones de rentabilidad.</w:t>
      </w:r>
    </w:p>
    <w:p w14:paraId="466E52E5" w14:textId="77777777" w:rsidR="003E533C" w:rsidRPr="00C045F9" w:rsidRDefault="002E189B" w:rsidP="00FC7A9B">
      <w:pPr>
        <w:pStyle w:val="Nivel2SM"/>
        <w:keepNext/>
        <w:spacing w:after="0"/>
      </w:pPr>
      <w:r w:rsidRPr="00C045F9">
        <w:rPr>
          <w:u w:val="single"/>
        </w:rPr>
        <w:t>En cuestiones de más largo plazo</w:t>
      </w:r>
      <w:r w:rsidRPr="00C045F9">
        <w:t>, sería necesario seguir avanzando en</w:t>
      </w:r>
      <w:r w:rsidR="003E533C" w:rsidRPr="00C045F9">
        <w:t>:</w:t>
      </w:r>
    </w:p>
    <w:p w14:paraId="116EF110" w14:textId="610D1E33" w:rsidR="003E533C" w:rsidRPr="00C045F9" w:rsidRDefault="001C2684" w:rsidP="00FC7A9B">
      <w:pPr>
        <w:pStyle w:val="Nivel3SM"/>
      </w:pPr>
      <w:r>
        <w:t>L</w:t>
      </w:r>
      <w:r w:rsidR="002E189B" w:rsidRPr="00C045F9">
        <w:t>a racionalización de los costes</w:t>
      </w:r>
      <w:r>
        <w:t>.</w:t>
      </w:r>
    </w:p>
    <w:p w14:paraId="153DEBF4" w14:textId="52BA2944" w:rsidR="003E533C" w:rsidRPr="00C045F9" w:rsidRDefault="001C2684" w:rsidP="00FC7A9B">
      <w:pPr>
        <w:pStyle w:val="Nivel3SM"/>
      </w:pPr>
      <w:r>
        <w:t>L</w:t>
      </w:r>
      <w:r w:rsidR="002E189B" w:rsidRPr="00C045F9">
        <w:t>a digitalización para mejorar l</w:t>
      </w:r>
      <w:r w:rsidR="003E533C" w:rsidRPr="00C045F9">
        <w:t>as perspectivas de rentabilidad</w:t>
      </w:r>
      <w:r w:rsidR="00252411" w:rsidRPr="00C045F9">
        <w:t xml:space="preserve"> en el contexto de </w:t>
      </w:r>
      <w:r w:rsidR="002E189B" w:rsidRPr="00C045F9">
        <w:t>t</w:t>
      </w:r>
      <w:r w:rsidR="00FC7A9B">
        <w:t xml:space="preserve">ipos de </w:t>
      </w:r>
      <w:r w:rsidR="002E189B" w:rsidRPr="00C045F9">
        <w:t>i</w:t>
      </w:r>
      <w:r w:rsidR="00FC7A9B">
        <w:t>nterés</w:t>
      </w:r>
      <w:r w:rsidR="002E189B" w:rsidRPr="00C045F9">
        <w:t xml:space="preserve"> bajos, una actividad aún moderada y unas necesidades de provisiones potencialmente importantes.</w:t>
      </w:r>
    </w:p>
    <w:p w14:paraId="0633FBAD" w14:textId="3E2D33F4" w:rsidR="00252411" w:rsidRPr="00C045F9" w:rsidRDefault="00252411" w:rsidP="005E21EF">
      <w:pPr>
        <w:pStyle w:val="Nivel3SM"/>
      </w:pPr>
      <w:r w:rsidRPr="00C045F9">
        <w:t>Alguna consolidación adicional t</w:t>
      </w:r>
      <w:r w:rsidR="002E189B" w:rsidRPr="00C045F9">
        <w:t xml:space="preserve">ambién podría estar justificada </w:t>
      </w:r>
      <w:r w:rsidRPr="00FC7A9B">
        <w:t>aunque</w:t>
      </w:r>
      <w:r w:rsidRPr="00C045F9">
        <w:t xml:space="preserve"> el </w:t>
      </w:r>
      <w:r w:rsidR="00126344">
        <w:t>sector bancario</w:t>
      </w:r>
      <w:r w:rsidRPr="00C045F9">
        <w:t xml:space="preserve"> se ha concentrado más (según la cuota de mercado de los </w:t>
      </w:r>
      <w:r w:rsidR="0085682E" w:rsidRPr="00C045F9">
        <w:t>5</w:t>
      </w:r>
      <w:r w:rsidR="00126344">
        <w:t> </w:t>
      </w:r>
      <w:r w:rsidRPr="00C045F9">
        <w:t>principales bancos) que la media UE.</w:t>
      </w:r>
    </w:p>
    <w:p w14:paraId="389BADD7" w14:textId="625ED039" w:rsidR="0085682E" w:rsidRPr="00C045F9" w:rsidRDefault="002E189B" w:rsidP="00FC7A9B">
      <w:pPr>
        <w:pStyle w:val="Nivel2SM"/>
        <w:keepNext/>
        <w:spacing w:after="0"/>
      </w:pPr>
      <w:r w:rsidRPr="009B44E0">
        <w:t xml:space="preserve">Las </w:t>
      </w:r>
      <w:r w:rsidRPr="009B44E0">
        <w:rPr>
          <w:i/>
          <w:iCs/>
          <w:u w:val="single"/>
        </w:rPr>
        <w:t>pruebas de estrés</w:t>
      </w:r>
      <w:r w:rsidRPr="00C045F9">
        <w:t xml:space="preserve"> realizadas por el Banco de España, la ABE/BCE y el FMI sugieren que el </w:t>
      </w:r>
      <w:r w:rsidR="00126344">
        <w:t>sector bancario</w:t>
      </w:r>
      <w:r w:rsidRPr="00C045F9">
        <w:t xml:space="preserve"> español es</w:t>
      </w:r>
      <w:r w:rsidR="0085682E" w:rsidRPr="00C045F9">
        <w:t xml:space="preserve"> </w:t>
      </w:r>
      <w:r w:rsidRPr="00C045F9">
        <w:t>ampliamente resistente (aunque con cierta heterogeneidad en la solidez de los colchones entre bancos) y cumple los requisitos prudenciales mínimos en un escenario de tensión grave.</w:t>
      </w:r>
    </w:p>
    <w:p w14:paraId="4768F223" w14:textId="1D6EB476" w:rsidR="002E189B" w:rsidRPr="00C045F9" w:rsidRDefault="002E189B" w:rsidP="00FC7A9B">
      <w:pPr>
        <w:pStyle w:val="Nivel3SM"/>
      </w:pPr>
      <w:r w:rsidRPr="00C045F9">
        <w:t xml:space="preserve">El reparto de dividendos y la recompra de acciones deberían seguir evaluándose caso por caso, teniendo en cuenta la continua incertidumbre sobre el impacto económico de la </w:t>
      </w:r>
      <w:r w:rsidRPr="00C045F9">
        <w:lastRenderedPageBreak/>
        <w:t xml:space="preserve">pandemia y el menor nivel de capitalización CET1 del sistema español </w:t>
      </w:r>
      <w:r w:rsidR="00126344">
        <w:t>con respecto a</w:t>
      </w:r>
      <w:r w:rsidRPr="00C045F9">
        <w:t xml:space="preserve"> sus pares europeos.</w:t>
      </w:r>
    </w:p>
    <w:p w14:paraId="3B9F6463" w14:textId="77777777" w:rsidR="00E47C8F" w:rsidRPr="00C045F9" w:rsidRDefault="002E189B" w:rsidP="00FC7A9B">
      <w:pPr>
        <w:pStyle w:val="Nivel2SM"/>
        <w:keepNext/>
        <w:spacing w:after="0"/>
      </w:pPr>
      <w:r w:rsidRPr="00C045F9">
        <w:t>España está en proceso de modificar sus marcos de resolución de deuda privada, incorporando la Directiva de la UE sobre reestructuración e insol</w:t>
      </w:r>
      <w:r w:rsidR="00E47C8F" w:rsidRPr="00C045F9">
        <w:t>vencia</w:t>
      </w:r>
      <w:r w:rsidRPr="00C045F9">
        <w:t xml:space="preserve">. </w:t>
      </w:r>
    </w:p>
    <w:p w14:paraId="6CDAF5CA" w14:textId="77777777" w:rsidR="009E46AE" w:rsidRPr="00C045F9" w:rsidRDefault="009E46AE" w:rsidP="00FC7A9B">
      <w:pPr>
        <w:pStyle w:val="Nivel3SM"/>
        <w:keepNext/>
      </w:pPr>
      <w:r w:rsidRPr="00FC7A9B">
        <w:rPr>
          <w:u w:val="single"/>
        </w:rPr>
        <w:t xml:space="preserve">Dichas </w:t>
      </w:r>
      <w:r w:rsidR="002E189B" w:rsidRPr="00FC7A9B">
        <w:rPr>
          <w:u w:val="single"/>
        </w:rPr>
        <w:t>modificaciones pretenden</w:t>
      </w:r>
      <w:r w:rsidRPr="00C045F9">
        <w:t>:</w:t>
      </w:r>
    </w:p>
    <w:p w14:paraId="27143FB2" w14:textId="20D55CAE" w:rsidR="009E46AE" w:rsidRPr="00C045F9" w:rsidRDefault="009B44E0" w:rsidP="00FC7A9B">
      <w:pPr>
        <w:pStyle w:val="Nivel4"/>
        <w:ind w:left="1474"/>
      </w:pPr>
      <w:r>
        <w:t>F</w:t>
      </w:r>
      <w:r w:rsidR="002E189B" w:rsidRPr="00C045F9">
        <w:t>acilita</w:t>
      </w:r>
      <w:r w:rsidR="009E46AE" w:rsidRPr="00C045F9">
        <w:t>r la reestructuración temprana</w:t>
      </w:r>
      <w:r>
        <w:t>;</w:t>
      </w:r>
    </w:p>
    <w:p w14:paraId="4EDC4623" w14:textId="29CA7ED8" w:rsidR="009E46AE" w:rsidRPr="00C045F9" w:rsidRDefault="009B44E0" w:rsidP="00FC7A9B">
      <w:pPr>
        <w:pStyle w:val="Nivel4"/>
        <w:ind w:left="1474"/>
      </w:pPr>
      <w:r>
        <w:t>A</w:t>
      </w:r>
      <w:r w:rsidR="002E189B" w:rsidRPr="00C045F9">
        <w:t>celerar la reestructuración y liquidación de microempresas;</w:t>
      </w:r>
    </w:p>
    <w:p w14:paraId="737B8893" w14:textId="515EF750" w:rsidR="009E46AE" w:rsidRPr="00C045F9" w:rsidRDefault="009B44E0" w:rsidP="00FC7A9B">
      <w:pPr>
        <w:pStyle w:val="Nivel4"/>
        <w:ind w:left="1474"/>
      </w:pPr>
      <w:r>
        <w:t>S</w:t>
      </w:r>
      <w:r w:rsidR="002E189B" w:rsidRPr="00C045F9">
        <w:t>implificar el procedimiento de liquidación de deudas d</w:t>
      </w:r>
      <w:r w:rsidR="009E46AE" w:rsidRPr="00C045F9">
        <w:t>e particulares y empresarios;</w:t>
      </w:r>
    </w:p>
    <w:p w14:paraId="653363C4" w14:textId="7F64996D" w:rsidR="009E46AE" w:rsidRPr="00C045F9" w:rsidRDefault="009B44E0" w:rsidP="00FC7A9B">
      <w:pPr>
        <w:pStyle w:val="Nivel4"/>
        <w:ind w:left="1474"/>
      </w:pPr>
      <w:r>
        <w:t>R</w:t>
      </w:r>
      <w:r w:rsidR="002E189B" w:rsidRPr="00C045F9">
        <w:t xml:space="preserve">educir la carga del sistema judicial para aumentar su capacidad de tramitación de casos de insolvencia. </w:t>
      </w:r>
    </w:p>
    <w:p w14:paraId="7F87337C" w14:textId="170DCFD3" w:rsidR="00E47C8F" w:rsidRPr="00C045F9" w:rsidRDefault="002E189B" w:rsidP="00FC7A9B">
      <w:pPr>
        <w:pStyle w:val="Nivel3SM"/>
      </w:pPr>
      <w:r w:rsidRPr="00C045F9">
        <w:t xml:space="preserve">El esfuerzo de reforma es encomiable, en particular la inclusión de los acreedores públicos en el proceso de reestructuración de las empresas y el procedimiento de </w:t>
      </w:r>
      <w:r w:rsidR="00AF7F1E">
        <w:t>“2ª </w:t>
      </w:r>
      <w:r w:rsidRPr="00C045F9">
        <w:t>oportunidad</w:t>
      </w:r>
      <w:r w:rsidR="00AF7F1E">
        <w:t>”</w:t>
      </w:r>
      <w:r w:rsidRPr="00C045F9">
        <w:t xml:space="preserve"> para los particulares.</w:t>
      </w:r>
    </w:p>
    <w:p w14:paraId="00CF21B9" w14:textId="664D666E" w:rsidR="00E47C8F" w:rsidRPr="00C045F9" w:rsidRDefault="002E189B" w:rsidP="00FC7A9B">
      <w:pPr>
        <w:pStyle w:val="Nivel3SM"/>
        <w:keepNext/>
      </w:pPr>
      <w:r w:rsidRPr="00C045F9">
        <w:t>Reforzar el régimen de insolvencia es fundamental, dado que es probable que aumenten los expedientes de insolvencia al expirar la moratoria sobre los expedientes de insolvencia de los acreedores.</w:t>
      </w:r>
    </w:p>
    <w:p w14:paraId="254D6B7C" w14:textId="425F6D2B" w:rsidR="00E47C8F" w:rsidRPr="00C045F9" w:rsidRDefault="002E189B" w:rsidP="00FC7A9B">
      <w:pPr>
        <w:pStyle w:val="Nivel4"/>
        <w:ind w:left="1474"/>
      </w:pPr>
      <w:r w:rsidRPr="00C045F9">
        <w:t>La decisión de prorrogar la moratoria hasta finales de junio de 2022, cuando se espera que se apliquen las reformas de la insolvencia, da tiempo al sistema para ajustarse.</w:t>
      </w:r>
    </w:p>
    <w:p w14:paraId="26212D25" w14:textId="04D87F13" w:rsidR="002E189B" w:rsidRPr="00C045F9" w:rsidRDefault="002E189B" w:rsidP="00FC7A9B">
      <w:pPr>
        <w:pStyle w:val="Nivel4"/>
        <w:ind w:left="1474"/>
      </w:pPr>
      <w:r w:rsidRPr="00C045F9">
        <w:t xml:space="preserve">Sin embargo, las prórrogas continuas pueden crear un precipicio de declaraciones de insolvencia y un aumento de las empresas </w:t>
      </w:r>
      <w:r w:rsidR="00AF004E">
        <w:t>“</w:t>
      </w:r>
      <w:r w:rsidRPr="00C045F9">
        <w:t>zombi</w:t>
      </w:r>
      <w:r w:rsidR="00AF004E">
        <w:t>e</w:t>
      </w:r>
      <w:r w:rsidRPr="00C045F9">
        <w:t>s</w:t>
      </w:r>
      <w:r w:rsidR="00AF004E">
        <w:t>”</w:t>
      </w:r>
      <w:r w:rsidRPr="00C045F9">
        <w:t xml:space="preserve"> que no tomen medidas oportunas para resolver sus dificultades financieras.</w:t>
      </w:r>
    </w:p>
    <w:p w14:paraId="2B5EC509" w14:textId="0AF41569" w:rsidR="00804904" w:rsidRPr="00C045F9" w:rsidRDefault="00804904" w:rsidP="00CA3371">
      <w:pPr>
        <w:pStyle w:val="Ttulo2"/>
      </w:pPr>
      <w:bookmarkStart w:id="79" w:name="_Toc178010361"/>
      <w:r w:rsidRPr="00C045F9">
        <w:t xml:space="preserve">El </w:t>
      </w:r>
      <w:r w:rsidR="00A24618">
        <w:t>sector bancario</w:t>
      </w:r>
      <w:r w:rsidRPr="00C045F9">
        <w:t xml:space="preserve"> español ante los retos económicos actuales (Banco de España)</w:t>
      </w:r>
      <w:bookmarkEnd w:id="79"/>
    </w:p>
    <w:p w14:paraId="076C3CF7" w14:textId="3B0217FD" w:rsidR="00817423" w:rsidRPr="009F6F22" w:rsidRDefault="00804904" w:rsidP="00FC7A9B">
      <w:pPr>
        <w:pStyle w:val="Nivel2SM"/>
        <w:keepNext/>
        <w:spacing w:after="0"/>
        <w:rPr>
          <w:spacing w:val="-4"/>
        </w:rPr>
      </w:pPr>
      <w:r w:rsidRPr="009F6F22">
        <w:rPr>
          <w:spacing w:val="-4"/>
        </w:rPr>
        <w:t>El sector bancario afronta las nuevas perturbaciones derivadas de la invasión de Ucrania partiendo de una situación de comportamiento moderado del crédito en España en 2021, recuperación de la rentabilidad a niveles prepandemia y mantenimiento de los niveles de solvencia.</w:t>
      </w:r>
    </w:p>
    <w:p w14:paraId="5E6B7C50" w14:textId="77777777" w:rsidR="00804904" w:rsidRPr="00C045F9" w:rsidRDefault="00804904" w:rsidP="00FC7A9B">
      <w:pPr>
        <w:pStyle w:val="Nivel3SM"/>
      </w:pPr>
      <w:r w:rsidRPr="00C045F9">
        <w:t>La recuperación de la actividad económica en 2021 ha contribuido a reforzar la posición financiera de los agentes no financieros, aunque todavía hay sectores y segmentos con una situación más vulnerable que la de antes de la pandemia.</w:t>
      </w:r>
    </w:p>
    <w:p w14:paraId="2459A48C" w14:textId="77777777" w:rsidR="00804904" w:rsidRPr="00C045F9" w:rsidRDefault="00804904" w:rsidP="00A24618">
      <w:pPr>
        <w:pStyle w:val="Nivel2SM"/>
      </w:pPr>
      <w:r w:rsidRPr="00C045F9">
        <w:t xml:space="preserve">Pese a esta evolución favorable, persisten riesgos de </w:t>
      </w:r>
      <w:r w:rsidR="00817423" w:rsidRPr="00C045F9">
        <w:t>créditos latentes, asociados</w:t>
      </w:r>
      <w:r w:rsidRPr="00C045F9">
        <w:t>, en particular, a la mayor proporción de préstamos en vigilancia especial, concentrados en los sectores de actividad más afectados por la crisis sanitaria.</w:t>
      </w:r>
    </w:p>
    <w:p w14:paraId="0F375A06" w14:textId="77777777" w:rsidR="00804904" w:rsidRPr="00C045F9" w:rsidRDefault="00804904" w:rsidP="00A24618">
      <w:pPr>
        <w:pStyle w:val="Nivel2SM"/>
      </w:pPr>
      <w:r w:rsidRPr="00C045F9">
        <w:t>Las exposiciones crediticias directas a Rusia de los intermediarios financieros de España son muy reducidas; sin embargo, el deterioro de las perspectivas macroeconómicas y el incremento adicional de la inflación intensificarían la probabilidad de materialización y el impacto en el sector bancario de los riesgos latentes.</w:t>
      </w:r>
    </w:p>
    <w:p w14:paraId="6A01DA36" w14:textId="77777777" w:rsidR="00804904" w:rsidRPr="00C045F9" w:rsidRDefault="00804904" w:rsidP="00A24618">
      <w:pPr>
        <w:pStyle w:val="Nivel2SM"/>
      </w:pPr>
      <w:r w:rsidRPr="00C045F9">
        <w:t>En esta coyuntura, los ejercicios de simulación realizados muestran que, en torno a los escenarios de proyección, las subidas de los precios de la energía y el endurecimiento de las condiciones de financiación tendrían un impacto heterogéneo en la situación financiera de hogares y empresas, contenido en términos agregados, pero más severo en los grupos más vulnerables por su endeudamiento o dependencia energética. Además, las pruebas de resistencia al sector bancario muestran un cierto grado de consumo de capital ante escenarios más extremos, y el mantenimiento de una capacidad de resistencia agregada adecuada, si bien heterogénea por entidades.</w:t>
      </w:r>
    </w:p>
    <w:p w14:paraId="4D676B5B" w14:textId="6B85F15B" w:rsidR="00817423" w:rsidRPr="00C045F9" w:rsidRDefault="00804904" w:rsidP="00FC7A9B">
      <w:pPr>
        <w:pStyle w:val="Nivel2SM"/>
        <w:keepNext/>
        <w:spacing w:after="0"/>
      </w:pPr>
      <w:r w:rsidRPr="00C045F9">
        <w:t>Finalmente, los retos de corto y medio plazo no deben hacernos olvidar la necesidad de abordar los desafíos estructurales que ya existían en el sector bancario antes de la irrupción de la pandemia y de la invasión rusa de Ucrania.</w:t>
      </w:r>
    </w:p>
    <w:p w14:paraId="138E61D2" w14:textId="77777777" w:rsidR="00804904" w:rsidRPr="00C045F9" w:rsidRDefault="00804904" w:rsidP="00FC7A9B">
      <w:pPr>
        <w:pStyle w:val="Nivel3SM"/>
      </w:pPr>
      <w:r w:rsidRPr="00C045F9">
        <w:t>En particular, el ajuste de la capacidad y la creciente competencia de empresas tecnológicas, así como los potenciales efectos negativos asociados a los riesgos climáticos.</w:t>
      </w:r>
    </w:p>
    <w:p w14:paraId="60C82FD2" w14:textId="77777777" w:rsidR="0013570D" w:rsidRDefault="0013570D" w:rsidP="00E56875">
      <w:pPr>
        <w:pStyle w:val="Introduccinyconclusin"/>
      </w:pPr>
      <w:bookmarkStart w:id="80" w:name="_Hlk146894287"/>
      <w:r w:rsidRPr="00C045F9">
        <w:lastRenderedPageBreak/>
        <w:t>CONCLUSIÓN</w:t>
      </w:r>
    </w:p>
    <w:p w14:paraId="39AAB30D" w14:textId="77777777" w:rsidR="00C7547C" w:rsidRDefault="00C7547C" w:rsidP="00C7547C">
      <w:pPr>
        <w:pStyle w:val="Nivel1"/>
        <w:keepNext/>
        <w:spacing w:before="0" w:after="0"/>
      </w:pPr>
      <w:r w:rsidRPr="0053589D">
        <w:rPr>
          <w:b/>
          <w:bCs/>
          <w:i/>
          <w:iCs/>
        </w:rPr>
        <w:t>Recapitulación (Ideas clave)</w:t>
      </w:r>
      <w:r>
        <w:t>:</w:t>
      </w:r>
    </w:p>
    <w:p w14:paraId="56AFCF0F" w14:textId="582FB3B9" w:rsidR="00C7547C" w:rsidRDefault="00C7547C" w:rsidP="00C7547C">
      <w:pPr>
        <w:pStyle w:val="Nivel2"/>
      </w:pPr>
      <w:r>
        <w:t xml:space="preserve">A lo largo de esta exposición hemos repasado las instituciones y agentes que componen el sistema financiero español y la evolución </w:t>
      </w:r>
      <w:proofErr w:type="gramStart"/>
      <w:r>
        <w:t>del mismo</w:t>
      </w:r>
      <w:proofErr w:type="gramEnd"/>
      <w:r>
        <w:t xml:space="preserve"> a lo largo del último siglo. Dada la relevancia de los últimos acontecimientos, hemos puesto especial énfasis en el impacto que ha tenido la crisis sobre el sistema financiero español y en particular sobre el sistema bancario.</w:t>
      </w:r>
    </w:p>
    <w:p w14:paraId="7FFF129D" w14:textId="7B9EE9F0" w:rsidR="00C7547C" w:rsidRDefault="00C7547C" w:rsidP="00C7547C">
      <w:pPr>
        <w:pStyle w:val="Nivel2"/>
      </w:pPr>
      <w:r>
        <w:t xml:space="preserve">Los últimos 20 años han sido los más turbulentos de nuestra vida financiera reciente. </w:t>
      </w:r>
      <w:r w:rsidR="005E21EF">
        <w:t>De una forma</w:t>
      </w:r>
      <w:r>
        <w:t xml:space="preserve"> continu</w:t>
      </w:r>
      <w:r w:rsidR="005E21EF">
        <w:t>a</w:t>
      </w:r>
      <w:r>
        <w:t>, hemos pasado de una expansión acelerada del crédito entre 2001 y 2007 a una profunda crisis bancaria de 2008 a 2017, culminada con una reestructuración radical de nuestro sistema bancario.</w:t>
      </w:r>
    </w:p>
    <w:p w14:paraId="1F16DF2C" w14:textId="4F6CC240" w:rsidR="00C7547C" w:rsidRDefault="00C7547C" w:rsidP="00C7547C">
      <w:pPr>
        <w:pStyle w:val="Nivel2"/>
      </w:pPr>
      <w:r>
        <w:t>El resultado ha sido una profunda reestructuración que ha dado lugar a una reducción drástica del número de entidades, especialmente importante en el caso de las Cajas de Ahorro.</w:t>
      </w:r>
    </w:p>
    <w:p w14:paraId="2FDD3D86" w14:textId="0FB85E61" w:rsidR="00C7547C" w:rsidRDefault="00C7547C" w:rsidP="00C7547C">
      <w:pPr>
        <w:pStyle w:val="Nivel2"/>
      </w:pPr>
      <w:r>
        <w:t>El proceso de reestructuración y recapitalización del sector no ha sido gratis, y el Banco de España y la Comisión Europea estiman que va a costar a los contribuyentes cerca de 40.000 millones de euros, pero ha permitido que el sector bancario español presente en la actualidad una situación significativamente mejor que antes de la crisis.</w:t>
      </w:r>
    </w:p>
    <w:p w14:paraId="31A75222" w14:textId="77777777" w:rsidR="00C7547C" w:rsidRDefault="00C7547C" w:rsidP="00C7547C">
      <w:pPr>
        <w:pStyle w:val="Nivel1"/>
        <w:keepNext/>
        <w:spacing w:after="0"/>
      </w:pPr>
      <w:r w:rsidRPr="0053589D">
        <w:rPr>
          <w:b/>
          <w:bCs/>
          <w:i/>
          <w:iCs/>
        </w:rPr>
        <w:t>Relevancia</w:t>
      </w:r>
      <w:r>
        <w:t>:</w:t>
      </w:r>
    </w:p>
    <w:p w14:paraId="7B06BA77" w14:textId="262E00FC" w:rsidR="00C7547C" w:rsidRDefault="00C7547C" w:rsidP="00C7547C">
      <w:pPr>
        <w:pStyle w:val="Nivel2"/>
      </w:pPr>
    </w:p>
    <w:p w14:paraId="4C2C5872" w14:textId="77777777" w:rsidR="00C7547C" w:rsidRDefault="00C7547C" w:rsidP="00C7547C">
      <w:pPr>
        <w:pStyle w:val="Nivel1"/>
        <w:keepNext/>
        <w:spacing w:after="0"/>
      </w:pPr>
      <w:r w:rsidRPr="0053589D">
        <w:rPr>
          <w:b/>
          <w:bCs/>
          <w:i/>
          <w:iCs/>
        </w:rPr>
        <w:t>Extensiones y relación con otras partes del temario</w:t>
      </w:r>
      <w:r>
        <w:t>:</w:t>
      </w:r>
    </w:p>
    <w:p w14:paraId="5C49F8EF" w14:textId="77777777" w:rsidR="00C7547C" w:rsidRDefault="00C7547C" w:rsidP="00C7547C">
      <w:pPr>
        <w:pStyle w:val="Nivel2"/>
      </w:pPr>
    </w:p>
    <w:p w14:paraId="1CDFDBC4" w14:textId="77777777" w:rsidR="00C7547C" w:rsidRDefault="00C7547C" w:rsidP="00C7547C">
      <w:pPr>
        <w:pStyle w:val="Nivel1"/>
        <w:keepNext/>
        <w:spacing w:after="0"/>
      </w:pPr>
      <w:r w:rsidRPr="0053589D">
        <w:rPr>
          <w:b/>
          <w:bCs/>
          <w:i/>
          <w:iCs/>
        </w:rPr>
        <w:t>Opinión</w:t>
      </w:r>
      <w:r>
        <w:t>:</w:t>
      </w:r>
    </w:p>
    <w:p w14:paraId="52FEBA1B" w14:textId="77777777" w:rsidR="00C7547C" w:rsidRDefault="00C7547C" w:rsidP="00C7547C">
      <w:pPr>
        <w:pStyle w:val="Nivel2"/>
      </w:pPr>
    </w:p>
    <w:p w14:paraId="113677BA" w14:textId="77777777" w:rsidR="00C7547C" w:rsidRDefault="00C7547C" w:rsidP="00C7547C">
      <w:pPr>
        <w:pStyle w:val="Nivel1"/>
        <w:keepNext/>
        <w:spacing w:after="0"/>
      </w:pPr>
      <w:r w:rsidRPr="0053589D">
        <w:rPr>
          <w:b/>
          <w:bCs/>
          <w:i/>
          <w:iCs/>
        </w:rPr>
        <w:t>Idea final (Salida o cierre)</w:t>
      </w:r>
      <w:r>
        <w:t>:</w:t>
      </w:r>
    </w:p>
    <w:p w14:paraId="010E761B" w14:textId="3C3A37A0" w:rsidR="00C7547C" w:rsidRDefault="00C7547C" w:rsidP="00E17746">
      <w:pPr>
        <w:pStyle w:val="Nivel2"/>
        <w:rPr>
          <w:spacing w:val="-3"/>
        </w:rPr>
      </w:pPr>
      <w:r w:rsidRPr="00C7547C">
        <w:rPr>
          <w:spacing w:val="-3"/>
        </w:rPr>
        <w:t xml:space="preserve">En definitiva, </w:t>
      </w:r>
      <w:r>
        <w:rPr>
          <w:spacing w:val="-3"/>
        </w:rPr>
        <w:t xml:space="preserve">a raíz de la crisis del Covid-19 y siguiendo a </w:t>
      </w:r>
      <w:r>
        <w:rPr>
          <w:smallCaps/>
          <w:spacing w:val="-3"/>
        </w:rPr>
        <w:t xml:space="preserve">Sebastián </w:t>
      </w:r>
      <w:proofErr w:type="spellStart"/>
      <w:r>
        <w:rPr>
          <w:smallCaps/>
          <w:spacing w:val="-3"/>
        </w:rPr>
        <w:t>Albella</w:t>
      </w:r>
      <w:proofErr w:type="spellEnd"/>
      <w:r>
        <w:rPr>
          <w:spacing w:val="-3"/>
        </w:rPr>
        <w:t xml:space="preserve"> tenemos que estar con las luces en ámbar por lo que pueda pasar en los mercados financieros. Hay que evitar que una crisis sanitaria se traslade a una crisis financiera o más particularmente a una crisis bancaria. El sector financiero sí llega más preparado pero ante la posibilidad de una segunda ola, los organismos reguladores deberán estar atentos para evitar un </w:t>
      </w:r>
      <w:proofErr w:type="spellStart"/>
      <w:r>
        <w:rPr>
          <w:i/>
          <w:iCs/>
          <w:spacing w:val="-3"/>
        </w:rPr>
        <w:t>credit</w:t>
      </w:r>
      <w:proofErr w:type="spellEnd"/>
      <w:r>
        <w:rPr>
          <w:i/>
          <w:iCs/>
          <w:spacing w:val="-3"/>
        </w:rPr>
        <w:t xml:space="preserve"> </w:t>
      </w:r>
      <w:proofErr w:type="spellStart"/>
      <w:r>
        <w:rPr>
          <w:i/>
          <w:iCs/>
          <w:spacing w:val="-3"/>
        </w:rPr>
        <w:t>crunch</w:t>
      </w:r>
      <w:proofErr w:type="spellEnd"/>
      <w:r>
        <w:rPr>
          <w:spacing w:val="-3"/>
        </w:rPr>
        <w:t xml:space="preserve"> y permitir que el ahorro se canalice hacia la inversión productiva para lograr favorecer el crecimiento económico o en este caso, más bien, para favorecer que las empresas solventes no tengan problemas financieros en estos tiempos que pueden ser duros.</w:t>
      </w:r>
    </w:p>
    <w:p w14:paraId="1827B0B8" w14:textId="749B60B2" w:rsidR="00C7547C" w:rsidRPr="00D63047" w:rsidRDefault="00C7547C" w:rsidP="00E17746">
      <w:pPr>
        <w:pStyle w:val="Nivel2"/>
        <w:rPr>
          <w:spacing w:val="-3"/>
          <w:highlight w:val="yellow"/>
        </w:rPr>
      </w:pPr>
      <w:r w:rsidRPr="00D63047">
        <w:rPr>
          <w:spacing w:val="-3"/>
          <w:highlight w:val="yellow"/>
        </w:rPr>
        <w:t>Los bancos españoles van más rezagados que los de otros grandes países</w:t>
      </w:r>
      <w:r w:rsidR="00D63047" w:rsidRPr="00D63047">
        <w:rPr>
          <w:spacing w:val="-3"/>
          <w:highlight w:val="yellow"/>
        </w:rPr>
        <w:t xml:space="preserve"> de la Eurozona y aún no han logrado alcanzar el mínimo de fondos propios y pasivos admisi</w:t>
      </w:r>
      <w:r w:rsidR="00D63047">
        <w:rPr>
          <w:spacing w:val="-3"/>
          <w:highlight w:val="yellow"/>
        </w:rPr>
        <w:t>b</w:t>
      </w:r>
      <w:r w:rsidR="00D63047" w:rsidRPr="00D63047">
        <w:rPr>
          <w:spacing w:val="-3"/>
          <w:highlight w:val="yellow"/>
        </w:rPr>
        <w:t>les que les exige la Junta Única de Resolución (JUR) para 2024.</w:t>
      </w:r>
    </w:p>
    <w:p w14:paraId="22D59232" w14:textId="77777777" w:rsidR="00C7547C" w:rsidRDefault="00C7547C" w:rsidP="00C7547C">
      <w:pPr>
        <w:spacing w:after="160"/>
        <w:jc w:val="left"/>
      </w:pPr>
      <w:r>
        <w:br w:type="page"/>
      </w:r>
    </w:p>
    <w:p w14:paraId="2EC41F03" w14:textId="77777777" w:rsidR="00FA6BCA" w:rsidRDefault="00FA6BCA" w:rsidP="00FA6BCA">
      <w:pPr>
        <w:pStyle w:val="Ttulo4"/>
      </w:pPr>
      <w:bookmarkStart w:id="81" w:name="_Hlk146443581"/>
      <w:r>
        <w:lastRenderedPageBreak/>
        <w:t>Bibliografía</w:t>
      </w:r>
    </w:p>
    <w:p w14:paraId="30D0551C" w14:textId="435DE033" w:rsidR="00364E90" w:rsidRDefault="00FA6BCA" w:rsidP="00FA6BCA">
      <w:r>
        <w:t xml:space="preserve">Tema María Palacios </w:t>
      </w:r>
      <w:proofErr w:type="spellStart"/>
      <w:r>
        <w:t>Carrere</w:t>
      </w:r>
      <w:proofErr w:type="spellEnd"/>
      <w:r>
        <w:t xml:space="preserve"> / Zapico</w:t>
      </w:r>
    </w:p>
    <w:p w14:paraId="2861439D" w14:textId="5B0FE25B" w:rsidR="00C7547C" w:rsidRDefault="00C7547C" w:rsidP="00FA6BCA">
      <w:r>
        <w:t>Tema Juan Luis</w:t>
      </w:r>
      <w:r w:rsidR="00364E90">
        <w:t xml:space="preserve"> Cordero Tarifa</w:t>
      </w:r>
    </w:p>
    <w:p w14:paraId="546604E8" w14:textId="0D20D8BD" w:rsidR="00FA6BCA" w:rsidRPr="006E21E6" w:rsidRDefault="00FA6BCA" w:rsidP="00FA6BCA">
      <w:r>
        <w:t>Artículo IV del FMI</w:t>
      </w:r>
    </w:p>
    <w:p w14:paraId="68D71B1C" w14:textId="77777777" w:rsidR="00FA6BCA" w:rsidRDefault="00FA6BCA" w:rsidP="00FA6BCA">
      <w:pPr>
        <w:pStyle w:val="Ttulo4"/>
      </w:pPr>
      <w:r>
        <w:t>Preguntas de otros exámenes</w:t>
      </w:r>
    </w:p>
    <w:p w14:paraId="1F37F16B" w14:textId="77777777" w:rsidR="00FA6BCA" w:rsidRPr="002908B3" w:rsidRDefault="00FA6BCA" w:rsidP="00FA6BCA">
      <w:pPr>
        <w:pStyle w:val="Nivel2SM"/>
      </w:pPr>
    </w:p>
    <w:p w14:paraId="40354D18" w14:textId="77777777" w:rsidR="00FA6BCA" w:rsidRDefault="00FA6BCA" w:rsidP="00FA6BCA">
      <w:pPr>
        <w:pStyle w:val="Ttulo4"/>
      </w:pPr>
      <w:r w:rsidRPr="00342648">
        <w:t>Anexos</w:t>
      </w:r>
    </w:p>
    <w:p w14:paraId="57DB6689" w14:textId="77777777" w:rsidR="00FA6BCA" w:rsidRPr="00AF1FE6" w:rsidRDefault="00FA6BCA" w:rsidP="00FA6BCA">
      <w:pPr>
        <w:pStyle w:val="Ttulo5"/>
        <w:rPr>
          <w:u w:val="none"/>
        </w:rPr>
      </w:pPr>
      <w:r w:rsidRPr="0002549F">
        <w:t>Anexo</w:t>
      </w:r>
      <w:r>
        <w:t> </w:t>
      </w:r>
      <w:r w:rsidRPr="0002549F">
        <w:t>1</w:t>
      </w:r>
      <w:r w:rsidRPr="00AF1FE6">
        <w:rPr>
          <w:u w:val="none"/>
        </w:rPr>
        <w:t xml:space="preserve">: </w:t>
      </w:r>
      <w:bookmarkEnd w:id="81"/>
    </w:p>
    <w:bookmarkEnd w:id="80"/>
    <w:p w14:paraId="4DBB8AAE" w14:textId="77777777" w:rsidR="00FA6BCA" w:rsidRPr="00C045F9" w:rsidRDefault="00FA6BCA" w:rsidP="00FA6BCA"/>
    <w:sectPr w:rsidR="00FA6BCA" w:rsidRPr="00C045F9" w:rsidSect="00165C36">
      <w:headerReference w:type="even" r:id="rId18"/>
      <w:headerReference w:type="default" r:id="rId19"/>
      <w:footerReference w:type="even" r:id="rId20"/>
      <w:footerReference w:type="default" r:id="rId21"/>
      <w:headerReference w:type="first" r:id="rId22"/>
      <w:footerReference w:type="first" r:id="rId2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0E85B2" w14:textId="77777777" w:rsidR="003320B1" w:rsidRDefault="003320B1">
      <w:r>
        <w:separator/>
      </w:r>
    </w:p>
  </w:endnote>
  <w:endnote w:type="continuationSeparator" w:id="0">
    <w:p w14:paraId="5914003E" w14:textId="77777777" w:rsidR="003320B1" w:rsidRDefault="0033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65C36" w:rsidRPr="009B5FC2" w14:paraId="5BC720DE" w14:textId="77777777" w:rsidTr="00B777D0">
      <w:trPr>
        <w:trHeight w:val="138"/>
        <w:jc w:val="center"/>
      </w:trPr>
      <w:tc>
        <w:tcPr>
          <w:tcW w:w="1134" w:type="dxa"/>
        </w:tcPr>
        <w:p w14:paraId="4DA2B118" w14:textId="77777777" w:rsidR="00165C36" w:rsidRPr="009B5FC2" w:rsidRDefault="00165C36"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7570C972" w14:textId="77777777" w:rsidR="00165C36" w:rsidRPr="009B5FC2" w:rsidRDefault="00165C36" w:rsidP="009B5FC2">
          <w:pPr>
            <w:pStyle w:val="Encabezado"/>
            <w:spacing w:after="0"/>
            <w:ind w:right="-110"/>
            <w:contextualSpacing/>
            <w:jc w:val="center"/>
            <w:rPr>
              <w:i/>
              <w:iCs/>
              <w:color w:val="5F2987"/>
              <w:sz w:val="18"/>
              <w:szCs w:val="18"/>
            </w:rPr>
          </w:pPr>
        </w:p>
      </w:tc>
      <w:tc>
        <w:tcPr>
          <w:tcW w:w="2551" w:type="dxa"/>
          <w:vAlign w:val="center"/>
        </w:tcPr>
        <w:p w14:paraId="02ED118E" w14:textId="77777777" w:rsidR="00165C36" w:rsidRPr="009B5FC2" w:rsidRDefault="00165C36" w:rsidP="009B5FC2">
          <w:pPr>
            <w:pStyle w:val="Encabezado"/>
            <w:spacing w:after="0"/>
            <w:contextualSpacing/>
            <w:jc w:val="right"/>
            <w:rPr>
              <w:b/>
              <w:bCs/>
              <w:i/>
              <w:iCs/>
              <w:color w:val="5F2987"/>
              <w:spacing w:val="-6"/>
              <w:sz w:val="18"/>
              <w:szCs w:val="18"/>
            </w:rPr>
          </w:pPr>
        </w:p>
      </w:tc>
    </w:tr>
  </w:tbl>
  <w:p w14:paraId="0144CBE8" w14:textId="77777777" w:rsidR="00165C36" w:rsidRPr="009C61AF" w:rsidRDefault="00165C36"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65C36" w:rsidRPr="00C44422" w14:paraId="26969C78" w14:textId="77777777" w:rsidTr="0078055F">
      <w:trPr>
        <w:trHeight w:val="138"/>
        <w:jc w:val="center"/>
      </w:trPr>
      <w:tc>
        <w:tcPr>
          <w:tcW w:w="1134" w:type="dxa"/>
          <w:vAlign w:val="center"/>
        </w:tcPr>
        <w:p w14:paraId="199606A3" w14:textId="77777777" w:rsidR="00165C36" w:rsidRPr="006B5D4B" w:rsidRDefault="00165C36"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B894819" w14:textId="77777777" w:rsidR="00165C36" w:rsidRPr="006B5D4B" w:rsidRDefault="00165C36" w:rsidP="009B5FC2">
          <w:pPr>
            <w:pStyle w:val="Encabezado"/>
            <w:spacing w:after="0"/>
            <w:ind w:right="-110"/>
            <w:contextualSpacing/>
            <w:jc w:val="center"/>
            <w:rPr>
              <w:i/>
              <w:iCs/>
              <w:color w:val="5F2987"/>
              <w:sz w:val="18"/>
              <w:szCs w:val="18"/>
            </w:rPr>
          </w:pPr>
        </w:p>
      </w:tc>
      <w:tc>
        <w:tcPr>
          <w:tcW w:w="2551" w:type="dxa"/>
          <w:vAlign w:val="center"/>
        </w:tcPr>
        <w:p w14:paraId="4C9FB95A" w14:textId="77777777" w:rsidR="00165C36" w:rsidRPr="006B5D4B" w:rsidRDefault="00165C36"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AFD7B36" w14:textId="77777777" w:rsidR="00165C36" w:rsidRPr="00BE1B62" w:rsidRDefault="00165C36"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65C36" w:rsidRPr="00C44422" w14:paraId="741C11F2" w14:textId="77777777" w:rsidTr="0078055F">
      <w:trPr>
        <w:trHeight w:val="138"/>
        <w:jc w:val="center"/>
      </w:trPr>
      <w:tc>
        <w:tcPr>
          <w:tcW w:w="1134" w:type="dxa"/>
          <w:vAlign w:val="center"/>
        </w:tcPr>
        <w:p w14:paraId="1B30C516" w14:textId="77777777" w:rsidR="00165C36" w:rsidRPr="006B5D4B" w:rsidRDefault="00165C36"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9058A66" w14:textId="77777777" w:rsidR="00165C36" w:rsidRPr="006B5D4B" w:rsidRDefault="00165C36" w:rsidP="009B5FC2">
          <w:pPr>
            <w:pStyle w:val="Encabezado"/>
            <w:spacing w:after="0"/>
            <w:ind w:right="-110"/>
            <w:contextualSpacing/>
            <w:jc w:val="center"/>
            <w:rPr>
              <w:i/>
              <w:iCs/>
              <w:color w:val="5F2987"/>
              <w:sz w:val="18"/>
              <w:szCs w:val="18"/>
            </w:rPr>
          </w:pPr>
        </w:p>
      </w:tc>
      <w:tc>
        <w:tcPr>
          <w:tcW w:w="2551" w:type="dxa"/>
          <w:vAlign w:val="center"/>
        </w:tcPr>
        <w:p w14:paraId="249B47BE" w14:textId="77777777" w:rsidR="00165C36" w:rsidRPr="006B5D4B" w:rsidRDefault="00165C36"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3E96D84" w14:textId="77777777" w:rsidR="00165C36" w:rsidRPr="00BE1B62" w:rsidRDefault="00165C36"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E56397" w14:textId="77777777" w:rsidR="003320B1" w:rsidRPr="003F6151" w:rsidRDefault="003320B1" w:rsidP="003F6151">
      <w:pPr>
        <w:spacing w:after="0" w:line="240" w:lineRule="auto"/>
        <w:rPr>
          <w:sz w:val="16"/>
          <w:szCs w:val="16"/>
        </w:rPr>
      </w:pPr>
      <w:r w:rsidRPr="003F6151">
        <w:rPr>
          <w:sz w:val="16"/>
          <w:szCs w:val="16"/>
        </w:rPr>
        <w:separator/>
      </w:r>
    </w:p>
  </w:footnote>
  <w:footnote w:type="continuationSeparator" w:id="0">
    <w:p w14:paraId="2BEAF93B" w14:textId="77777777" w:rsidR="003320B1" w:rsidRPr="003F6151" w:rsidRDefault="003320B1" w:rsidP="003F6151">
      <w:pPr>
        <w:spacing w:after="0" w:line="240" w:lineRule="auto"/>
        <w:rPr>
          <w:sz w:val="16"/>
          <w:szCs w:val="16"/>
        </w:rPr>
      </w:pPr>
      <w:r w:rsidRPr="003F6151">
        <w:rPr>
          <w:sz w:val="16"/>
          <w:szCs w:val="16"/>
        </w:rPr>
        <w:continuationSeparator/>
      </w:r>
    </w:p>
  </w:footnote>
  <w:footnote w:type="continuationNotice" w:id="1">
    <w:p w14:paraId="66466076" w14:textId="77777777" w:rsidR="003320B1" w:rsidRPr="003F6151" w:rsidRDefault="003320B1" w:rsidP="003F6151">
      <w:pPr>
        <w:spacing w:after="0" w:line="192" w:lineRule="auto"/>
        <w:jc w:val="right"/>
        <w:rPr>
          <w:sz w:val="16"/>
          <w:szCs w:val="16"/>
        </w:rPr>
      </w:pPr>
      <w:bookmarkStart w:id="0" w:name="_Hlk146785099"/>
      <w:bookmarkStart w:id="1" w:name="_Hlk146785111"/>
      <w:bookmarkStart w:id="2" w:name="_Hlk146785112"/>
      <w:bookmarkStart w:id="3" w:name="_Hlk146894480"/>
      <w:bookmarkStart w:id="4" w:name="_Hlk146894481"/>
      <w:r>
        <w:rPr>
          <w:rFonts w:ascii="Cambria Math" w:hAnsi="Cambria Math" w:cs="Cambria Math"/>
          <w:color w:val="202122"/>
          <w:sz w:val="16"/>
          <w:szCs w:val="16"/>
          <w:shd w:val="clear" w:color="auto" w:fill="FFFFFF"/>
        </w:rPr>
        <w:t>↪</w:t>
      </w:r>
      <w:bookmarkEnd w:id="0"/>
      <w:bookmarkEnd w:id="1"/>
      <w:bookmarkEnd w:id="2"/>
      <w:bookmarkEnd w:id="3"/>
      <w:bookmarkEnd w:id="4"/>
    </w:p>
  </w:footnote>
  <w:footnote w:id="2">
    <w:p w14:paraId="054D1DAC" w14:textId="77777777" w:rsidR="00C11CAE" w:rsidRDefault="00C11CAE" w:rsidP="00C11CAE">
      <w:pPr>
        <w:pStyle w:val="Textonotapie"/>
        <w:spacing w:after="0"/>
      </w:pPr>
      <w:r>
        <w:rPr>
          <w:rStyle w:val="Refdenotaalpie"/>
        </w:rPr>
        <w:footnoteRef/>
      </w:r>
      <w:r>
        <w:t xml:space="preserve"> Una </w:t>
      </w:r>
      <w:r w:rsidRPr="00FC6035">
        <w:rPr>
          <w:i/>
          <w:iCs/>
          <w:u w:val="single"/>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t>.</w:t>
      </w:r>
    </w:p>
    <w:p w14:paraId="7A77F2FF" w14:textId="77777777" w:rsidR="00C11CAE" w:rsidRDefault="00C11CAE" w:rsidP="00C11CAE">
      <w:pPr>
        <w:pStyle w:val="Textonotapie"/>
        <w:numPr>
          <w:ilvl w:val="1"/>
          <w:numId w:val="34"/>
        </w:numPr>
        <w:spacing w:after="0"/>
        <w:ind w:left="426" w:hanging="142"/>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66B22495" w14:textId="77777777" w:rsidR="00C11CAE" w:rsidRDefault="00C11CAE" w:rsidP="00C11CAE">
      <w:pPr>
        <w:pStyle w:val="Textonotapie"/>
        <w:keepNext/>
        <w:numPr>
          <w:ilvl w:val="0"/>
          <w:numId w:val="34"/>
        </w:numPr>
        <w:spacing w:after="0"/>
        <w:ind w:left="113" w:hanging="113"/>
      </w:pPr>
      <w:r>
        <w:t>Distinguimos dos tipos de inversiones según el tipo de activo:</w:t>
      </w:r>
    </w:p>
    <w:p w14:paraId="5B326362" w14:textId="77777777" w:rsidR="00C11CAE" w:rsidRDefault="00C11CAE" w:rsidP="00C11CAE">
      <w:pPr>
        <w:pStyle w:val="Textonotapie"/>
        <w:keepNext/>
        <w:numPr>
          <w:ilvl w:val="1"/>
          <w:numId w:val="34"/>
        </w:numPr>
        <w:spacing w:after="0"/>
        <w:ind w:left="426" w:hanging="142"/>
      </w:pPr>
      <w:r>
        <w:rPr>
          <w:i/>
          <w:iCs/>
          <w:u w:val="single"/>
        </w:rPr>
        <w:t>Activo</w:t>
      </w:r>
      <w:r w:rsidRPr="001C11F8">
        <w:rPr>
          <w:i/>
          <w:iCs/>
          <w:u w:val="single"/>
        </w:rPr>
        <w:t>s reales</w:t>
      </w:r>
      <w:r>
        <w:t>: Son los que determinan en última instancia la riqueza material de una sociedad mediante su influencia en la capacidad productiva de la economía.</w:t>
      </w:r>
    </w:p>
    <w:p w14:paraId="371B9F16" w14:textId="77777777" w:rsidR="00C11CAE" w:rsidRDefault="00C11CAE" w:rsidP="00C11CAE">
      <w:pPr>
        <w:pStyle w:val="Textonotapie"/>
        <w:numPr>
          <w:ilvl w:val="1"/>
          <w:numId w:val="34"/>
        </w:numPr>
        <w:spacing w:after="0"/>
        <w:ind w:left="426" w:hanging="142"/>
        <w:rPr>
          <w:spacing w:val="-3"/>
        </w:rPr>
      </w:pPr>
      <w:r w:rsidRPr="00DE4328">
        <w:rPr>
          <w:i/>
          <w:iCs/>
          <w:spacing w:val="-3"/>
          <w:u w:val="single"/>
        </w:rPr>
        <w:t>Activos financieros</w:t>
      </w:r>
      <w:r w:rsidRPr="00DE4328">
        <w:rPr>
          <w:spacing w:val="-3"/>
        </w:rPr>
        <w:t>: No son más que trozos de papel o anotaciones informáticas que no contribuyen de manera directa a la capacidad productiva de la economía. En realidad, estos activos financieros son derechos sobre los activos reales o los ingresos generados por ellos.</w:t>
      </w:r>
    </w:p>
    <w:p w14:paraId="39B2EBD4" w14:textId="77777777" w:rsidR="00C11CAE" w:rsidRPr="007D1E41" w:rsidRDefault="00C11CAE" w:rsidP="00C11CAE">
      <w:pPr>
        <w:pStyle w:val="Textonotapie"/>
      </w:pPr>
      <w:r w:rsidRPr="00AE7F86">
        <w:t>Un activo real es un objeto útil que no constituye, al mismo tiempo, el pasivo de ningún otro agente; un activo financiero es un objeto útil que constituye, al mismo tiempo, el pasivo de otro agente (el deudor). Un activo financiero no puede existir para un agente económico sin ser, a la vez, el pasivo financiero de otro agente económico.</w:t>
      </w:r>
    </w:p>
  </w:footnote>
  <w:footnote w:id="3">
    <w:p w14:paraId="61354084" w14:textId="56A78A19" w:rsidR="002E3863" w:rsidRDefault="002E3863">
      <w:pPr>
        <w:pStyle w:val="Textonotapie"/>
      </w:pPr>
      <w:r>
        <w:rPr>
          <w:rStyle w:val="Refdenotaalpie"/>
        </w:rPr>
        <w:footnoteRef/>
      </w:r>
      <w:r>
        <w:t xml:space="preserve"> </w:t>
      </w:r>
      <w:hyperlink r:id="rId1" w:history="1">
        <w:r w:rsidRPr="00A9247F">
          <w:rPr>
            <w:rStyle w:val="Hipervnculo"/>
          </w:rPr>
          <w:t>https://www.ine.es/jaxiT3/Tabla.htm?t=32450</w:t>
        </w:r>
      </w:hyperlink>
    </w:p>
  </w:footnote>
  <w:footnote w:id="4">
    <w:p w14:paraId="0F0DC121" w14:textId="77777777" w:rsidR="00984446" w:rsidRPr="00FD64F9" w:rsidRDefault="00984446" w:rsidP="00984446">
      <w:pPr>
        <w:pStyle w:val="Textonotapie"/>
      </w:pPr>
      <w:r>
        <w:rPr>
          <w:rStyle w:val="Refdenotaalpie"/>
        </w:rPr>
        <w:footnoteRef/>
      </w:r>
      <w:r>
        <w:t xml:space="preserve"> Autores como </w:t>
      </w:r>
      <w:r>
        <w:rPr>
          <w:smallCaps/>
        </w:rPr>
        <w:t>David Llewellyn</w:t>
      </w:r>
      <w:r>
        <w:t xml:space="preserve"> hacen una diferenciación entre </w:t>
      </w:r>
      <w:r>
        <w:rPr>
          <w:i/>
          <w:iCs/>
        </w:rPr>
        <w:t>regulación</w:t>
      </w:r>
      <w:r>
        <w:t xml:space="preserve"> (establecimiento de normas de conducta determinadas), </w:t>
      </w:r>
      <w:r>
        <w:rPr>
          <w:i/>
          <w:iCs/>
        </w:rPr>
        <w:t>control</w:t>
      </w:r>
      <w:r>
        <w:t xml:space="preserve"> (observancia del cumplimiento de las normas) y </w:t>
      </w:r>
      <w:r>
        <w:rPr>
          <w:i/>
          <w:iCs/>
        </w:rPr>
        <w:t>supervisión</w:t>
      </w:r>
      <w:r>
        <w:t xml:space="preserve"> (observación general del comportamiento).</w:t>
      </w:r>
    </w:p>
  </w:footnote>
  <w:footnote w:id="5">
    <w:p w14:paraId="06857DDD" w14:textId="77777777" w:rsidR="0051726D" w:rsidRDefault="0051726D" w:rsidP="0051726D">
      <w:pPr>
        <w:pStyle w:val="Textonotapie"/>
      </w:pPr>
      <w:r>
        <w:rPr>
          <w:rStyle w:val="Refdenotaalpie"/>
        </w:rPr>
        <w:footnoteRef/>
      </w:r>
      <w:r>
        <w:t xml:space="preserve"> La regulación microprudencial busca afectar en cómo son (internamente) los agentes del sistema financiero. Las normas conducta, por su parte busca responder a cómo actúan los agentes entre sí (externamente).</w:t>
      </w:r>
    </w:p>
  </w:footnote>
  <w:footnote w:id="6">
    <w:p w14:paraId="4A3A3C2F" w14:textId="77777777" w:rsidR="0051726D" w:rsidRDefault="0051726D" w:rsidP="0051726D">
      <w:pPr>
        <w:pStyle w:val="Textonotapie"/>
      </w:pPr>
      <w:r>
        <w:rPr>
          <w:rStyle w:val="Refdenotaalpie"/>
        </w:rPr>
        <w:footnoteRef/>
      </w:r>
      <w:r>
        <w:t xml:space="preserve"> Modelo institucional de regulación/supervisión financiera por el que existen 2 autoridades separadas para la regulación/supervisión prudencial y para la regulación/supervisión de conducta.</w:t>
      </w:r>
    </w:p>
  </w:footnote>
  <w:footnote w:id="7">
    <w:p w14:paraId="3723BA0E" w14:textId="77777777" w:rsidR="0051726D" w:rsidRPr="00070090" w:rsidRDefault="0051726D" w:rsidP="0051726D">
      <w:pPr>
        <w:pStyle w:val="Textonotapie"/>
      </w:pPr>
      <w:r>
        <w:rPr>
          <w:rStyle w:val="Refdenotaalpie"/>
        </w:rPr>
        <w:footnoteRef/>
      </w:r>
      <w:r>
        <w:t xml:space="preserve"> Tras la reforma de 2013, la regulación prudencial es competencia de la </w:t>
      </w:r>
      <w:proofErr w:type="spellStart"/>
      <w:r>
        <w:rPr>
          <w:i/>
          <w:iCs/>
        </w:rPr>
        <w:t>Prudential</w:t>
      </w:r>
      <w:proofErr w:type="spellEnd"/>
      <w:r>
        <w:rPr>
          <w:i/>
          <w:iCs/>
        </w:rPr>
        <w:t xml:space="preserve"> </w:t>
      </w:r>
      <w:proofErr w:type="spellStart"/>
      <w:r>
        <w:rPr>
          <w:i/>
          <w:iCs/>
        </w:rPr>
        <w:t>Regulatory</w:t>
      </w:r>
      <w:proofErr w:type="spellEnd"/>
      <w:r>
        <w:rPr>
          <w:i/>
          <w:iCs/>
        </w:rPr>
        <w:t xml:space="preserve"> </w:t>
      </w:r>
      <w:proofErr w:type="spellStart"/>
      <w:r>
        <w:rPr>
          <w:i/>
          <w:iCs/>
        </w:rPr>
        <w:t>Authority</w:t>
      </w:r>
      <w:proofErr w:type="spellEnd"/>
      <w:r>
        <w:t xml:space="preserve"> (PRA), dentro del Banco de Inglaterra, y la de conducta de la </w:t>
      </w:r>
      <w:proofErr w:type="spellStart"/>
      <w:r>
        <w:rPr>
          <w:i/>
          <w:iCs/>
        </w:rPr>
        <w:t>Financial</w:t>
      </w:r>
      <w:proofErr w:type="spellEnd"/>
      <w:r>
        <w:rPr>
          <w:i/>
          <w:iCs/>
        </w:rPr>
        <w:t xml:space="preserve"> </w:t>
      </w:r>
      <w:proofErr w:type="spellStart"/>
      <w:r>
        <w:rPr>
          <w:i/>
          <w:iCs/>
        </w:rPr>
        <w:t>Conduct</w:t>
      </w:r>
      <w:proofErr w:type="spellEnd"/>
      <w:r>
        <w:rPr>
          <w:i/>
          <w:iCs/>
        </w:rPr>
        <w:t xml:space="preserve"> </w:t>
      </w:r>
      <w:proofErr w:type="spellStart"/>
      <w:r>
        <w:rPr>
          <w:i/>
          <w:iCs/>
        </w:rPr>
        <w:t>Authority</w:t>
      </w:r>
      <w:proofErr w:type="spellEnd"/>
      <w:r>
        <w:t xml:space="preserve"> (FCA).</w:t>
      </w:r>
    </w:p>
  </w:footnote>
  <w:footnote w:id="8">
    <w:p w14:paraId="70A582E6" w14:textId="77777777" w:rsidR="0051726D" w:rsidRDefault="0051726D" w:rsidP="0051726D">
      <w:pPr>
        <w:pStyle w:val="Textonotapie"/>
        <w:keepNext/>
        <w:spacing w:after="0"/>
      </w:pPr>
      <w:r>
        <w:rPr>
          <w:rStyle w:val="Refdenotaalpie"/>
        </w:rPr>
        <w:footnoteRef/>
      </w:r>
      <w:r>
        <w:t xml:space="preserve"> Quedaría un tercer enfoque (</w:t>
      </w:r>
      <w:r>
        <w:rPr>
          <w:i/>
          <w:iCs/>
        </w:rPr>
        <w:t xml:space="preserve">enfoque </w:t>
      </w:r>
      <w:r w:rsidRPr="008677E3">
        <w:rPr>
          <w:i/>
          <w:iCs/>
        </w:rPr>
        <w:t>integrado</w:t>
      </w:r>
      <w:r>
        <w:t xml:space="preserve">), en el que existe un único supervisor para </w:t>
      </w:r>
      <w:r>
        <w:rPr>
          <w:i/>
          <w:iCs/>
        </w:rPr>
        <w:t>supervisión prudencial</w:t>
      </w:r>
      <w:r>
        <w:t xml:space="preserve"> y </w:t>
      </w:r>
      <w:r>
        <w:rPr>
          <w:i/>
          <w:iCs/>
        </w:rPr>
        <w:t>supervisión de normas de conducta</w:t>
      </w:r>
      <w:r>
        <w:t>, se pueden dar 2 casos:</w:t>
      </w:r>
    </w:p>
    <w:p w14:paraId="189BAD44" w14:textId="77777777" w:rsidR="0051726D" w:rsidRDefault="0051726D" w:rsidP="0051726D">
      <w:pPr>
        <w:pStyle w:val="Textonotapie"/>
        <w:numPr>
          <w:ilvl w:val="0"/>
          <w:numId w:val="36"/>
        </w:numPr>
        <w:spacing w:after="0"/>
        <w:ind w:left="283" w:hanging="170"/>
      </w:pPr>
      <w:r>
        <w:t>Supervisor único estricto (el banco central no interviene) o</w:t>
      </w:r>
    </w:p>
    <w:p w14:paraId="2752B8FC" w14:textId="77777777" w:rsidR="0051726D" w:rsidRDefault="0051726D" w:rsidP="0051726D">
      <w:pPr>
        <w:pStyle w:val="Textonotapie"/>
        <w:numPr>
          <w:ilvl w:val="0"/>
          <w:numId w:val="36"/>
        </w:numPr>
        <w:spacing w:after="0"/>
        <w:ind w:left="283" w:hanging="170"/>
      </w:pPr>
      <w:r>
        <w:t>Extendido (el banco central supervisa banca).</w:t>
      </w:r>
    </w:p>
    <w:p w14:paraId="2B8F66A0" w14:textId="77777777" w:rsidR="0051726D" w:rsidRDefault="0051726D" w:rsidP="0051726D">
      <w:pPr>
        <w:pStyle w:val="Textonotapie"/>
        <w:keepNext/>
        <w:spacing w:after="0"/>
      </w:pPr>
      <w:r>
        <w:t>La elección del modelo se basa en las sinergias y los conflictos de intereses en modelos funcional e integrado (</w:t>
      </w:r>
      <w:proofErr w:type="spellStart"/>
      <w:r w:rsidRPr="00C66019">
        <w:rPr>
          <w:smallCaps/>
        </w:rPr>
        <w:t>Kremers</w:t>
      </w:r>
      <w:proofErr w:type="spellEnd"/>
      <w:r>
        <w:rPr>
          <w:smallCaps/>
        </w:rPr>
        <w:t xml:space="preserve"> </w:t>
      </w:r>
      <w:r w:rsidRPr="00240638">
        <w:t>et al.</w:t>
      </w:r>
      <w:r>
        <w:t>, 2003).</w:t>
      </w:r>
    </w:p>
    <w:p w14:paraId="3760E21D" w14:textId="77777777" w:rsidR="0051726D" w:rsidRDefault="0051726D" w:rsidP="0051726D">
      <w:pPr>
        <w:pStyle w:val="Imagen"/>
      </w:pPr>
      <w:r>
        <w:drawing>
          <wp:inline distT="0" distB="0" distL="0" distR="0" wp14:anchorId="40F8D917" wp14:editId="25AD1090">
            <wp:extent cx="3344458" cy="1412528"/>
            <wp:effectExtent l="0" t="0" r="8890" b="0"/>
            <wp:docPr id="626511377" name="Imagen 62651137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Diagrama&#10;&#10;Descripción generada automáticamente"/>
                    <pic:cNvPicPr/>
                  </pic:nvPicPr>
                  <pic:blipFill>
                    <a:blip r:embed="rId2"/>
                    <a:stretch>
                      <a:fillRect/>
                    </a:stretch>
                  </pic:blipFill>
                  <pic:spPr>
                    <a:xfrm>
                      <a:off x="0" y="0"/>
                      <a:ext cx="3366586" cy="1421874"/>
                    </a:xfrm>
                    <a:prstGeom prst="rect">
                      <a:avLst/>
                    </a:prstGeom>
                  </pic:spPr>
                </pic:pic>
              </a:graphicData>
            </a:graphic>
          </wp:inline>
        </w:drawing>
      </w:r>
      <w:r w:rsidRPr="00EA2319">
        <w:t xml:space="preserve"> </w:t>
      </w:r>
      <w:r w:rsidRPr="00EA2319">
        <w:drawing>
          <wp:inline distT="0" distB="0" distL="0" distR="0" wp14:anchorId="7B61298B" wp14:editId="5983B367">
            <wp:extent cx="2072396" cy="1428750"/>
            <wp:effectExtent l="0" t="0" r="4445" b="0"/>
            <wp:docPr id="1441269671" name="Imagen 144126967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2083662" cy="1436517"/>
                    </a:xfrm>
                    <a:prstGeom prst="rect">
                      <a:avLst/>
                    </a:prstGeom>
                  </pic:spPr>
                </pic:pic>
              </a:graphicData>
            </a:graphic>
          </wp:inline>
        </w:drawing>
      </w:r>
    </w:p>
  </w:footnote>
  <w:footnote w:id="9">
    <w:p w14:paraId="1ACF5225" w14:textId="77777777" w:rsidR="0051726D" w:rsidRDefault="0051726D" w:rsidP="0051726D">
      <w:pPr>
        <w:pStyle w:val="Textonotapie"/>
      </w:pPr>
      <w:r>
        <w:rPr>
          <w:rStyle w:val="Refdenotaalpie"/>
        </w:rPr>
        <w:footnoteRef/>
      </w:r>
      <w:r>
        <w:t xml:space="preserve"> La crisis de 2008 puso de manifiesto que la política monetaria y la supervisión microprudencial no eran suficientes para garantizar la estabilidad del conjunto del sistema financiero. Así, surgió la política macroprudencial y se hizo una suerte de reparto de tareas: la </w:t>
      </w:r>
      <w:r w:rsidRPr="00B15B39">
        <w:rPr>
          <w:i/>
          <w:iCs/>
          <w:u w:val="single"/>
        </w:rPr>
        <w:t>política monetaria</w:t>
      </w:r>
      <w:r>
        <w:t xml:space="preserve"> velaría por la </w:t>
      </w:r>
      <w:r w:rsidRPr="00B15B39">
        <w:rPr>
          <w:i/>
          <w:iCs/>
        </w:rPr>
        <w:t>estabilidad de precios</w:t>
      </w:r>
      <w:r>
        <w:t xml:space="preserve">, la </w:t>
      </w:r>
      <w:r w:rsidRPr="00B15B39">
        <w:rPr>
          <w:i/>
          <w:iCs/>
          <w:u w:val="single"/>
        </w:rPr>
        <w:t>supervisión microprudencial</w:t>
      </w:r>
      <w:r>
        <w:t xml:space="preserve"> por la </w:t>
      </w:r>
      <w:r w:rsidRPr="00B15B39">
        <w:rPr>
          <w:i/>
          <w:iCs/>
        </w:rPr>
        <w:t>salud de las entidades individuales</w:t>
      </w:r>
      <w:r>
        <w:t xml:space="preserve"> y la </w:t>
      </w:r>
      <w:r w:rsidRPr="00B15B39">
        <w:rPr>
          <w:i/>
          <w:iCs/>
          <w:u w:val="single"/>
        </w:rPr>
        <w:t>política macroprudencial</w:t>
      </w:r>
      <w:r>
        <w:t xml:space="preserve"> por la </w:t>
      </w:r>
      <w:r w:rsidRPr="00B15B39">
        <w:rPr>
          <w:i/>
          <w:iCs/>
        </w:rPr>
        <w:t>estabilidad del conjunto del sistema financiero</w:t>
      </w:r>
      <w:r>
        <w:t>, previniendo el surgimiento de riesgos sistémicos. De este modo, la primera línea de defensa para garantizar la estabilidad financiera sería la política macroprudencial, apoyada por la supervisión microprudencial.</w:t>
      </w:r>
    </w:p>
  </w:footnote>
  <w:footnote w:id="10">
    <w:p w14:paraId="1E8F2697" w14:textId="77777777" w:rsidR="0051726D" w:rsidRDefault="0051726D" w:rsidP="0051726D">
      <w:pPr>
        <w:pStyle w:val="Textonotapie"/>
      </w:pPr>
      <w:r>
        <w:rPr>
          <w:rStyle w:val="Refdenotaalpie"/>
        </w:rPr>
        <w:footnoteRef/>
      </w:r>
      <w:r>
        <w:t xml:space="preserve"> Como el </w:t>
      </w:r>
      <w:proofErr w:type="spellStart"/>
      <w:r>
        <w:rPr>
          <w:i/>
          <w:iCs/>
        </w:rPr>
        <w:t>Financial</w:t>
      </w:r>
      <w:proofErr w:type="spellEnd"/>
      <w:r>
        <w:rPr>
          <w:i/>
          <w:iCs/>
        </w:rPr>
        <w:t xml:space="preserve"> </w:t>
      </w:r>
      <w:proofErr w:type="spellStart"/>
      <w:r>
        <w:rPr>
          <w:i/>
          <w:iCs/>
        </w:rPr>
        <w:t>Oversight</w:t>
      </w:r>
      <w:proofErr w:type="spellEnd"/>
      <w:r>
        <w:rPr>
          <w:i/>
          <w:iCs/>
        </w:rPr>
        <w:t xml:space="preserve"> Council</w:t>
      </w:r>
      <w:r>
        <w:t xml:space="preserve"> (FSOC) estadounidense o el </w:t>
      </w:r>
      <w:proofErr w:type="spellStart"/>
      <w:r>
        <w:rPr>
          <w:i/>
          <w:iCs/>
        </w:rPr>
        <w:t>European</w:t>
      </w:r>
      <w:proofErr w:type="spellEnd"/>
      <w:r>
        <w:rPr>
          <w:i/>
          <w:iCs/>
        </w:rPr>
        <w:t xml:space="preserve"> </w:t>
      </w:r>
      <w:proofErr w:type="spellStart"/>
      <w:r>
        <w:rPr>
          <w:i/>
          <w:iCs/>
        </w:rPr>
        <w:t>Systemic</w:t>
      </w:r>
      <w:proofErr w:type="spellEnd"/>
      <w:r>
        <w:rPr>
          <w:i/>
          <w:iCs/>
        </w:rPr>
        <w:t xml:space="preserve"> </w:t>
      </w:r>
      <w:proofErr w:type="spellStart"/>
      <w:r>
        <w:rPr>
          <w:i/>
          <w:iCs/>
        </w:rPr>
        <w:t>Risk</w:t>
      </w:r>
      <w:proofErr w:type="spellEnd"/>
      <w:r>
        <w:rPr>
          <w:i/>
          <w:iCs/>
        </w:rPr>
        <w:t xml:space="preserve"> </w:t>
      </w:r>
      <w:proofErr w:type="spellStart"/>
      <w:r>
        <w:rPr>
          <w:i/>
          <w:iCs/>
        </w:rPr>
        <w:t>Board</w:t>
      </w:r>
      <w:proofErr w:type="spellEnd"/>
      <w:r>
        <w:t xml:space="preserve"> (ESRB) (Junta Europea de Riesgo Sistémico, JERS) en la Unión Europea, donde cada Estado miembro está obligado a establecer una autoridad. En España, la </w:t>
      </w:r>
      <w:r w:rsidRPr="00317342">
        <w:t>Autoridad Macroprudencial Consejo de Estabilidad Financiera (AMCESFI)</w:t>
      </w:r>
      <w:r>
        <w:t>.</w:t>
      </w:r>
    </w:p>
    <w:p w14:paraId="74C83DD4" w14:textId="77777777" w:rsidR="0051726D" w:rsidRPr="00317342" w:rsidRDefault="0051726D" w:rsidP="0051726D">
      <w:pPr>
        <w:pStyle w:val="Textonotapie"/>
      </w:pPr>
      <w:r>
        <w:t xml:space="preserve">La AMSCESFI </w:t>
      </w:r>
      <w:r w:rsidRPr="00317342">
        <w:t>es un órgano colegiado adscrito al Ministerio de Asuntos Económicos y Transformación Digital que tiene el objetivo de contribuir a la estabilidad del sistema financiero mediante la identificación, prevención y mitigación de factores de riesgo sistémico. La AMCESFI desempeña una función de coordinación interinstitucional y sus competencias son de naturaleza consultiva y no vinculante.</w:t>
      </w:r>
    </w:p>
  </w:footnote>
  <w:footnote w:id="11">
    <w:p w14:paraId="5131F963" w14:textId="77777777" w:rsidR="00694BC3" w:rsidRDefault="00694BC3" w:rsidP="00694BC3">
      <w:pPr>
        <w:pStyle w:val="Textonotapie"/>
      </w:pPr>
      <w:r>
        <w:rPr>
          <w:rStyle w:val="Refdenotaalpie"/>
        </w:rPr>
        <w:footnoteRef/>
      </w:r>
      <w:r>
        <w:t xml:space="preserve"> </w:t>
      </w:r>
      <w:hyperlink r:id="rId4" w:history="1">
        <w:r w:rsidRPr="008C4AF0">
          <w:rPr>
            <w:rStyle w:val="Hipervnculo"/>
          </w:rPr>
          <w:t>http://cnmv.es/DocPortal/Publicaciones/Informes/IFNB_ejercicio_2020.pdf</w:t>
        </w:r>
      </w:hyperlink>
    </w:p>
  </w:footnote>
  <w:footnote w:id="12">
    <w:p w14:paraId="75F330E5" w14:textId="1261D879" w:rsidR="00F1163E" w:rsidRDefault="00F1163E">
      <w:pPr>
        <w:pStyle w:val="Textonotapie"/>
      </w:pPr>
      <w:r>
        <w:rPr>
          <w:rStyle w:val="Refdenotaalpie"/>
        </w:rPr>
        <w:footnoteRef/>
      </w:r>
      <w:r>
        <w:t xml:space="preserve"> La Estabilización de 1959 y las disposiciones inmediatas en materia financiera son habitualmente el punto de partida de cualquier análisis del Sistema, pero no hay que olvidar que con anterioridad a esta fecha el Estado venía compensando su insuficiente recaudación fiscal mediante la emisión de Deuda Pública automáticamente pignorable por la Banca a un tipo inferior al nominal, lo que venía a ser un crédito groseramente encubierto (y por tanto ingenuamente ilimitado) del Banco de España al Sector Público, que implicaba la concesión de una tasa de beneficio al intermediario. A éste se sumaba el obtenido directamente por la Administración. La Estabilización es, de hecho, la consecuencia de la contradicción entre la utilización creciente del Sistema como sustituto de ingresos impositivos y la necesidad de controlar el crecimiento de las magnitudes monetarias. El Estado se vio obligado —por sus relaciones con el FMI— a declarar, en una de las disposiciones previas al Plan, su compromiso a no volver a emitir Deuda Pública automáticamente pignorable. Piadosos propósitos que poco tenían que ver con la efectividad inmediata de aquél.</w:t>
      </w:r>
    </w:p>
    <w:p w14:paraId="0ECE2F49" w14:textId="1FF3C902" w:rsidR="00F1163E" w:rsidRDefault="00F1163E">
      <w:pPr>
        <w:pStyle w:val="Textonotapie"/>
      </w:pPr>
      <w:r>
        <w:t>Aunque los déficits presupuestarios no fueron amplios, la inflación fue generada por el enorme volumen de deuda automáticamente pignorable en el Banco de España, emitida entre 1939 y 1959. En efecto, en la autarquía se amplió la escala del impuesto inflacionista, recurriendo masivamente a la monetización indirecta del déficit. Los bancos suscribían la deuda para luego pignorarla en el Banco de España, lo que aumentaba la base monetaria y multiplicaba el dinero bancario.</w:t>
      </w:r>
    </w:p>
    <w:p w14:paraId="5C1CAE4A" w14:textId="1DCE4F8A" w:rsidR="00F1163E" w:rsidRDefault="00F1163E">
      <w:pPr>
        <w:pStyle w:val="Textonotapie"/>
      </w:pPr>
      <w:r>
        <w:t>Con la monetización indirecta, los ministros de Hacienda españoles pudieron utilizar la inflación como un procedimiento disimulado de impago de la deuda interior, pues ningún cambio legal alertaba del desfalco a los tenedores.</w:t>
      </w:r>
    </w:p>
    <w:p w14:paraId="674D7A08" w14:textId="62A47599" w:rsidR="00F1163E" w:rsidRDefault="00F1163E">
      <w:pPr>
        <w:pStyle w:val="Textonotapie"/>
      </w:pPr>
      <w:r>
        <w:t>En el periodo 1958-1973, por el contrario, no actuó el impuesto inflacionista. Tras estabilizarse en los 9.500 millones, el nivel de la deuda real aumentó desde 1965 hasta alcanzar los 14.824 millones de pesetas en 1973. Esto se explica por las grandes emisiones de deuda del Estado y porque desde 1958 los gobiernos de Franco se plantearon como objetivo controlar la inflación. Para ello, Navarro Rubio prohibió en 1958 la pignoración de la deuda existente y, por otro lado, las masivas emisiones de cédulas para inversiones no eran pignorables. Con todo, el fenómeno inflacionista retornó en la etapa final del franquismo.</w:t>
      </w:r>
    </w:p>
  </w:footnote>
  <w:footnote w:id="13">
    <w:p w14:paraId="3B384B3E" w14:textId="77777777" w:rsidR="008C1FC6" w:rsidRDefault="008C1FC6" w:rsidP="008C1FC6">
      <w:pPr>
        <w:pStyle w:val="Textonotapie"/>
        <w:keepNext/>
        <w:spacing w:after="0"/>
      </w:pPr>
      <w:r>
        <w:rPr>
          <w:rStyle w:val="Refdenotaalpie"/>
        </w:rPr>
        <w:footnoteRef/>
      </w:r>
      <w:r>
        <w:t xml:space="preserve"> Podemos resumir sucintamente las medidas de la siguiente manera:</w:t>
      </w:r>
    </w:p>
    <w:p w14:paraId="5D7ABF4B" w14:textId="35480EB8" w:rsidR="008C1FC6" w:rsidRPr="00290B06" w:rsidRDefault="008C1FC6" w:rsidP="00290B06">
      <w:pPr>
        <w:pStyle w:val="Textonotapie"/>
        <w:numPr>
          <w:ilvl w:val="0"/>
          <w:numId w:val="39"/>
        </w:numPr>
        <w:spacing w:after="0"/>
        <w:ind w:left="283" w:hanging="113"/>
        <w:rPr>
          <w:smallCaps/>
        </w:rPr>
      </w:pPr>
      <w:r>
        <w:t xml:space="preserve">La reforma de 1974 de </w:t>
      </w:r>
      <w:r>
        <w:rPr>
          <w:smallCaps/>
        </w:rPr>
        <w:t>Barr</w:t>
      </w:r>
      <w:r w:rsidR="00290B06">
        <w:rPr>
          <w:smallCaps/>
        </w:rPr>
        <w:t xml:space="preserve">era de </w:t>
      </w:r>
      <w:proofErr w:type="spellStart"/>
      <w:r w:rsidR="00290B06">
        <w:rPr>
          <w:smallCaps/>
        </w:rPr>
        <w:t>Irimo</w:t>
      </w:r>
      <w:proofErr w:type="spellEnd"/>
      <w:r w:rsidR="00290B06">
        <w:t xml:space="preserve"> liberaliza la creación de nuevas entidades bancarias y la apertura de sucursales y comienza la flexibilización de los tipos de interés.</w:t>
      </w:r>
    </w:p>
    <w:p w14:paraId="1C1B8E12" w14:textId="12EFFB9D" w:rsidR="00290B06" w:rsidRPr="00C87B3D" w:rsidRDefault="00290B06" w:rsidP="00C87B3D">
      <w:pPr>
        <w:pStyle w:val="Textonotapie"/>
        <w:numPr>
          <w:ilvl w:val="0"/>
          <w:numId w:val="39"/>
        </w:numPr>
        <w:spacing w:after="0"/>
        <w:ind w:left="283" w:hanging="113"/>
        <w:rPr>
          <w:smallCaps/>
        </w:rPr>
      </w:pPr>
      <w:r>
        <w:t xml:space="preserve">La reforma de 1977 de </w:t>
      </w:r>
      <w:r>
        <w:rPr>
          <w:smallCaps/>
        </w:rPr>
        <w:t>Fuentes Quintana</w:t>
      </w:r>
      <w:r>
        <w:t xml:space="preserve"> fue uno de los pilares básicos de los Pactos de la Moncloa. Esta reforma supone: </w:t>
      </w:r>
      <w:r>
        <w:rPr>
          <w:i/>
          <w:iCs/>
        </w:rPr>
        <w:t>(i)</w:t>
      </w:r>
      <w:r>
        <w:t xml:space="preserve"> Abandono gradual de la pignoración automática y el redescuento especial; </w:t>
      </w:r>
      <w:r>
        <w:rPr>
          <w:i/>
          <w:iCs/>
        </w:rPr>
        <w:t>(</w:t>
      </w:r>
      <w:proofErr w:type="spellStart"/>
      <w:r>
        <w:rPr>
          <w:i/>
          <w:iCs/>
        </w:rPr>
        <w:t>ii</w:t>
      </w:r>
      <w:proofErr w:type="spellEnd"/>
      <w:r>
        <w:rPr>
          <w:i/>
          <w:iCs/>
        </w:rPr>
        <w:t>)</w:t>
      </w:r>
      <w:r>
        <w:t> Eliminación gradual de los coeficientes de inversión obligatoria;</w:t>
      </w:r>
      <w:r w:rsidRPr="00290B06">
        <w:rPr>
          <w:i/>
          <w:iCs/>
        </w:rPr>
        <w:t xml:space="preserve"> </w:t>
      </w:r>
      <w:r>
        <w:rPr>
          <w:i/>
          <w:iCs/>
        </w:rPr>
        <w:t>(</w:t>
      </w:r>
      <w:proofErr w:type="spellStart"/>
      <w:r>
        <w:rPr>
          <w:i/>
          <w:iCs/>
        </w:rPr>
        <w:t>iii</w:t>
      </w:r>
      <w:proofErr w:type="spellEnd"/>
      <w:r>
        <w:rPr>
          <w:i/>
          <w:iCs/>
        </w:rPr>
        <w:t>)</w:t>
      </w:r>
      <w:r>
        <w:t xml:space="preserve"> Mayor facilidad de entrada para nuevos operadores nacionales y extranjeros; </w:t>
      </w:r>
      <w:r>
        <w:rPr>
          <w:i/>
          <w:iCs/>
        </w:rPr>
        <w:t>(</w:t>
      </w:r>
      <w:proofErr w:type="spellStart"/>
      <w:r>
        <w:rPr>
          <w:i/>
          <w:iCs/>
        </w:rPr>
        <w:t>iv</w:t>
      </w:r>
      <w:proofErr w:type="spellEnd"/>
      <w:r>
        <w:rPr>
          <w:i/>
          <w:iCs/>
        </w:rPr>
        <w:t>)</w:t>
      </w:r>
      <w:r>
        <w:t> Convergencia de las reglas de funcionamiento de cajas de ahorro y entidades bancarias (se permite a las cajas realizar las mismas operaciones que a la banca privada)</w:t>
      </w:r>
      <w:r w:rsidR="00C87B3D">
        <w:t xml:space="preserve">; </w:t>
      </w:r>
      <w:r>
        <w:t xml:space="preserve">y </w:t>
      </w:r>
      <w:r>
        <w:rPr>
          <w:i/>
          <w:iCs/>
        </w:rPr>
        <w:t>(v)</w:t>
      </w:r>
      <w:r>
        <w:t> </w:t>
      </w:r>
      <w:r w:rsidR="00737E32">
        <w:t>Impulso a la liberalización gradual de los tipos de interés que culminó casi en su totalidad la reforma de 1981.</w:t>
      </w:r>
    </w:p>
    <w:p w14:paraId="2A278997" w14:textId="49D61F83" w:rsidR="00C87B3D" w:rsidRPr="00290B06" w:rsidRDefault="00C87B3D" w:rsidP="00290B06">
      <w:pPr>
        <w:pStyle w:val="Textonotapie"/>
        <w:numPr>
          <w:ilvl w:val="0"/>
          <w:numId w:val="39"/>
        </w:numPr>
        <w:ind w:left="283" w:hanging="113"/>
        <w:rPr>
          <w:smallCaps/>
        </w:rPr>
      </w:pPr>
      <w:r>
        <w:t>La Ley 31/1985 sentó las bases para la eliminación definitiva de los coeficientes de inversión obligatoria y estableció un régimen de libertad total para la apertura de oficinas por parte de los bancos privados, cajas de ahorro y cooperativas de crédito.</w:t>
      </w:r>
    </w:p>
  </w:footnote>
  <w:footnote w:id="14">
    <w:p w14:paraId="557E43B1" w14:textId="18E00473" w:rsidR="004C033C" w:rsidRPr="00EB4B28" w:rsidRDefault="004C033C">
      <w:pPr>
        <w:pStyle w:val="Textonotapie"/>
        <w:rPr>
          <w:spacing w:val="-2"/>
        </w:rPr>
      </w:pPr>
      <w:r w:rsidRPr="00EB4B28">
        <w:rPr>
          <w:rStyle w:val="Refdenotaalpie"/>
          <w:spacing w:val="-2"/>
        </w:rPr>
        <w:footnoteRef/>
      </w:r>
      <w:r w:rsidRPr="00EB4B28">
        <w:rPr>
          <w:spacing w:val="-2"/>
        </w:rPr>
        <w:t xml:space="preserve"> El proceso de liberalización del sistema se realizó en un momento delicado de crisis económica y no todas las entidades fueron capaces de adaptarse rápidamente. Este aumento de la competencia llevó a un aumento del precio del pasivo en un contexto de elevados tipos de interés.</w:t>
      </w:r>
    </w:p>
  </w:footnote>
  <w:footnote w:id="15">
    <w:p w14:paraId="00D40A53" w14:textId="61D5F447" w:rsidR="009E25CF" w:rsidRPr="009E25CF" w:rsidRDefault="009E25CF">
      <w:pPr>
        <w:pStyle w:val="Textonotapie"/>
      </w:pPr>
      <w:r>
        <w:rPr>
          <w:rStyle w:val="Refdenotaalpie"/>
        </w:rPr>
        <w:footnoteRef/>
      </w:r>
      <w:r>
        <w:t xml:space="preserve"> La Ley de Intervención y Disciplina de las entidades de crédito de 1988 moderniza el régimen de supervisión de las entidades de crédito en España: </w:t>
      </w:r>
      <w:r>
        <w:rPr>
          <w:i/>
          <w:iCs/>
        </w:rPr>
        <w:t>(i)</w:t>
      </w:r>
      <w:r>
        <w:t xml:space="preserve"> tipifica las infracciones y sanciones de las entidades de crédito; y </w:t>
      </w:r>
      <w:r>
        <w:rPr>
          <w:i/>
          <w:iCs/>
        </w:rPr>
        <w:t>(</w:t>
      </w:r>
      <w:proofErr w:type="spellStart"/>
      <w:r>
        <w:rPr>
          <w:i/>
          <w:iCs/>
        </w:rPr>
        <w:t>ii</w:t>
      </w:r>
      <w:proofErr w:type="spellEnd"/>
      <w:r>
        <w:rPr>
          <w:i/>
          <w:iCs/>
        </w:rPr>
        <w:t>)</w:t>
      </w:r>
      <w:r>
        <w:t> da al Banco de España competencia como supervisor de las entidades de crédito y las Sociedades de Garantía Recíproca.</w:t>
      </w:r>
    </w:p>
  </w:footnote>
  <w:footnote w:id="16">
    <w:p w14:paraId="39C7D727" w14:textId="77777777" w:rsidR="007A5A52" w:rsidRDefault="007A5A52" w:rsidP="007A5A52">
      <w:pPr>
        <w:pStyle w:val="Textonotapie"/>
      </w:pPr>
      <w:r>
        <w:rPr>
          <w:rStyle w:val="Refdenotaalpie"/>
        </w:rPr>
        <w:footnoteRef/>
      </w:r>
      <w:r>
        <w:t xml:space="preserve"> La Ley de Autonomía del Banco de España de 1994, ya dentro de las Comunidades Europeas, pero con el ojo puesto en la entrada de España en el euro, completa la modernización del sistema bancario al homologar el funcionamiento de la autoridad monetaria con el de países de nuestro entorno. En efecto, la norma aborda el diseño institucional básico del Banco de España al cual se le garantiza institucionalmente la independencia. La norma además hace imposible la financiación monetaria del déficit, al no permitir siquiera lo descubiertos en las cuentas del Tesoro. Esta Ley sentaba las bases del diseño institucional para la entrada del Banco de España en el Sistema Europeo de Bancos Centrales, la entrada de la moneda única y el ejercicio de una política monetaria única dirigida por el BCE.</w:t>
      </w:r>
    </w:p>
  </w:footnote>
  <w:footnote w:id="17">
    <w:p w14:paraId="4269472F" w14:textId="3EBBEE91" w:rsidR="0049622C" w:rsidRDefault="0049622C">
      <w:pPr>
        <w:pStyle w:val="Textonotapie"/>
      </w:pPr>
      <w:r>
        <w:rPr>
          <w:rStyle w:val="Refdenotaalpie"/>
        </w:rPr>
        <w:footnoteRef/>
      </w:r>
      <w:r>
        <w:t xml:space="preserve"> Basilea presenta como problema su elevada complejidad. Por ejemplo, la valoración de activos con ponderaciones de riesgo da lugar a estrategias de arbitraje regulatorio, permitiendo a las entidades sortear las exigencias de recursos propios. En este sentido hubiera sido deseable llevar a cabo reglas más sencillas.</w:t>
      </w:r>
    </w:p>
  </w:footnote>
  <w:footnote w:id="18">
    <w:p w14:paraId="5A378AC0" w14:textId="1A3460E2" w:rsidR="007D5FCC" w:rsidRDefault="007D5FCC">
      <w:pPr>
        <w:pStyle w:val="Textonotapie"/>
      </w:pPr>
      <w:r>
        <w:rPr>
          <w:rStyle w:val="Refdenotaalpie"/>
        </w:rPr>
        <w:footnoteRef/>
      </w:r>
      <w:r>
        <w:t xml:space="preserve"> El tipo de interés </w:t>
      </w:r>
      <w:r w:rsidR="00CC1BF2">
        <w:t xml:space="preserve">real </w:t>
      </w:r>
      <w:r>
        <w:t>medio ex-post (tipo de interés nominal menos la inflación observada) a 3 meses en España entre 1990 y 1998 fue del 5,31 %. Entre 1999 y 2005 fue de −0,04 %.</w:t>
      </w:r>
    </w:p>
  </w:footnote>
  <w:footnote w:id="19">
    <w:p w14:paraId="1EFDB279" w14:textId="77777777" w:rsidR="00F91983" w:rsidRDefault="00F91983" w:rsidP="00F91983">
      <w:pPr>
        <w:pStyle w:val="Textonotapie"/>
      </w:pPr>
      <w:r>
        <w:rPr>
          <w:rStyle w:val="Refdenotaalpie"/>
        </w:rPr>
        <w:footnoteRef/>
      </w:r>
      <w:r>
        <w:t xml:space="preserve"> </w:t>
      </w:r>
      <w:r w:rsidRPr="00F91983">
        <w:rPr>
          <w:i/>
          <w:iCs/>
        </w:rPr>
        <w:t xml:space="preserve">“Los inspectores del Banco de España, a través de esta nota informativa, queremos distanciarnos de la complaciente lectura de la situación económica española que hace en sus últimas intervenciones el actual gobernador del Banco de España, el señor don </w:t>
      </w:r>
      <w:r w:rsidRPr="00F91983">
        <w:rPr>
          <w:i/>
          <w:iCs/>
          <w:smallCaps/>
        </w:rPr>
        <w:t>Jaime Caruana</w:t>
      </w:r>
      <w:r w:rsidRPr="00F91983">
        <w:rPr>
          <w:i/>
          <w:iCs/>
        </w:rPr>
        <w:t>, y mostrar asimismo nuestra preocupación por su falta de voluntad para adoptar las medidas necesarias para hacer posible la reconducción de la delicada situación actual hasta hacerla más sostenible y segura.”</w:t>
      </w:r>
    </w:p>
  </w:footnote>
  <w:footnote w:id="20">
    <w:p w14:paraId="42489F59" w14:textId="77777777" w:rsidR="00B76B91" w:rsidRDefault="00B76B91" w:rsidP="00B76B91">
      <w:pPr>
        <w:pStyle w:val="Textonotapie"/>
      </w:pPr>
      <w:r>
        <w:rPr>
          <w:rStyle w:val="Refdenotaalpie"/>
        </w:rPr>
        <w:footnoteRef/>
      </w:r>
      <w:r>
        <w:t xml:space="preserve"> </w:t>
      </w:r>
      <w:r w:rsidRPr="001928E5">
        <w:rPr>
          <w:smallCaps/>
        </w:rPr>
        <w:t>Garicano</w:t>
      </w:r>
      <w:r>
        <w:t xml:space="preserve">, </w:t>
      </w:r>
      <w:r w:rsidRPr="001928E5">
        <w:rPr>
          <w:smallCaps/>
        </w:rPr>
        <w:t>Fernández-Villaverde</w:t>
      </w:r>
      <w:r>
        <w:t xml:space="preserve"> y </w:t>
      </w:r>
      <w:r w:rsidRPr="001928E5">
        <w:rPr>
          <w:smallCaps/>
        </w:rPr>
        <w:t>Tano Santos</w:t>
      </w:r>
      <w:r>
        <w:t xml:space="preserve"> en </w:t>
      </w:r>
      <w:r w:rsidRPr="001928E5">
        <w:rPr>
          <w:i/>
          <w:iCs/>
        </w:rPr>
        <w:t>“</w:t>
      </w:r>
      <w:proofErr w:type="spellStart"/>
      <w:r w:rsidRPr="001928E5">
        <w:rPr>
          <w:i/>
          <w:iCs/>
        </w:rPr>
        <w:t>Political</w:t>
      </w:r>
      <w:proofErr w:type="spellEnd"/>
      <w:r w:rsidRPr="001928E5">
        <w:rPr>
          <w:i/>
          <w:iCs/>
        </w:rPr>
        <w:t xml:space="preserve"> </w:t>
      </w:r>
      <w:proofErr w:type="spellStart"/>
      <w:r w:rsidRPr="001928E5">
        <w:rPr>
          <w:i/>
          <w:iCs/>
        </w:rPr>
        <w:t>Credit</w:t>
      </w:r>
      <w:proofErr w:type="spellEnd"/>
      <w:r w:rsidRPr="001928E5">
        <w:rPr>
          <w:i/>
          <w:iCs/>
        </w:rPr>
        <w:t xml:space="preserve"> </w:t>
      </w:r>
      <w:proofErr w:type="spellStart"/>
      <w:r w:rsidRPr="001928E5">
        <w:rPr>
          <w:i/>
          <w:iCs/>
        </w:rPr>
        <w:t>Cycles</w:t>
      </w:r>
      <w:proofErr w:type="spellEnd"/>
      <w:r w:rsidRPr="001928E5">
        <w:rPr>
          <w:i/>
          <w:iCs/>
        </w:rPr>
        <w:t xml:space="preserve">: </w:t>
      </w:r>
      <w:proofErr w:type="spellStart"/>
      <w:r w:rsidRPr="001928E5">
        <w:rPr>
          <w:i/>
          <w:iCs/>
        </w:rPr>
        <w:t>The</w:t>
      </w:r>
      <w:proofErr w:type="spellEnd"/>
      <w:r w:rsidRPr="001928E5">
        <w:rPr>
          <w:i/>
          <w:iCs/>
        </w:rPr>
        <w:t xml:space="preserve"> Case </w:t>
      </w:r>
      <w:proofErr w:type="spellStart"/>
      <w:r w:rsidRPr="001928E5">
        <w:rPr>
          <w:i/>
          <w:iCs/>
        </w:rPr>
        <w:t>of</w:t>
      </w:r>
      <w:proofErr w:type="spellEnd"/>
      <w:r w:rsidRPr="001928E5">
        <w:rPr>
          <w:i/>
          <w:iCs/>
        </w:rPr>
        <w:t xml:space="preserve"> </w:t>
      </w:r>
      <w:proofErr w:type="spellStart"/>
      <w:r w:rsidRPr="001928E5">
        <w:rPr>
          <w:i/>
          <w:iCs/>
        </w:rPr>
        <w:t>the</w:t>
      </w:r>
      <w:proofErr w:type="spellEnd"/>
      <w:r w:rsidRPr="001928E5">
        <w:rPr>
          <w:i/>
          <w:iCs/>
        </w:rPr>
        <w:t xml:space="preserve"> </w:t>
      </w:r>
      <w:proofErr w:type="spellStart"/>
      <w:r w:rsidRPr="001928E5">
        <w:rPr>
          <w:i/>
          <w:iCs/>
        </w:rPr>
        <w:t>Eurozone</w:t>
      </w:r>
      <w:proofErr w:type="spellEnd"/>
      <w:r w:rsidRPr="001928E5">
        <w:rPr>
          <w:i/>
          <w:iCs/>
        </w:rPr>
        <w:t>”</w:t>
      </w:r>
      <w:r>
        <w:t xml:space="preserve"> señalan que las </w:t>
      </w:r>
      <w:r w:rsidRPr="001928E5">
        <w:rPr>
          <w:i/>
          <w:iCs/>
        </w:rPr>
        <w:t>mejores condiciones financieras</w:t>
      </w:r>
      <w:r>
        <w:t xml:space="preserve"> derivadas de la caída de los costes de financiación por una política monetaria acomodaticia del BCE y la eliminación del riesgo de tipo de cambio (y existir, implícitamente, una garantía de las deudas públicas y privadas por el resto de la eurozona), la </w:t>
      </w:r>
      <w:r w:rsidRPr="001928E5">
        <w:rPr>
          <w:u w:val="single"/>
        </w:rPr>
        <w:t>prima de riesgo asociada a préstamos en España prácticamente desapareció</w:t>
      </w:r>
      <w:r>
        <w:t xml:space="preserve">. Esto llevó a una situación de </w:t>
      </w:r>
      <w:r w:rsidRPr="001928E5">
        <w:rPr>
          <w:u w:val="single"/>
        </w:rPr>
        <w:t>desincentivos a la gestión prudente y cautelosa de instituciones financieras</w:t>
      </w:r>
      <w:r>
        <w:t>.</w:t>
      </w:r>
    </w:p>
    <w:p w14:paraId="7715F6C4" w14:textId="77777777" w:rsidR="00B76B91" w:rsidRDefault="00B76B91" w:rsidP="00B76B91">
      <w:pPr>
        <w:pStyle w:val="Textonotapie"/>
      </w:pPr>
      <w:r>
        <w:t>Ello es debido a que en esta situación es difícil extraer señales de comportamiento responsable de los gestores de las instituciones financieras, ello premia de hecho, la gestión poco responsable y cautelosa para competir con otras instituciones financieras en la concesión de más y más créditos alentando la burbuja.</w:t>
      </w:r>
    </w:p>
  </w:footnote>
  <w:footnote w:id="21">
    <w:p w14:paraId="36457FD6" w14:textId="6F972367" w:rsidR="007E26F6" w:rsidRDefault="007E26F6">
      <w:pPr>
        <w:pStyle w:val="Textonotapie"/>
      </w:pPr>
      <w:r>
        <w:rPr>
          <w:rStyle w:val="Refdenotaalpie"/>
        </w:rPr>
        <w:footnoteRef/>
      </w:r>
      <w:r>
        <w:t xml:space="preserve"> A diferencia de la CNMV (adscrita a la Secretaría General del Tesoro) y la Dirección General de Seguros y Fondos de Pensiones (que depende directamente del Ministerio de Asuntos Económicos y Transformación Digital).</w:t>
      </w:r>
    </w:p>
  </w:footnote>
  <w:footnote w:id="22">
    <w:p w14:paraId="2A7CD7E1" w14:textId="78C0A670" w:rsidR="00F7063C" w:rsidRDefault="00F7063C">
      <w:pPr>
        <w:pStyle w:val="Textonotapie"/>
      </w:pPr>
      <w:r>
        <w:rPr>
          <w:rStyle w:val="Refdenotaalpie"/>
        </w:rPr>
        <w:footnoteRef/>
      </w:r>
      <w:r>
        <w:t xml:space="preserve"> El Gobernador del BdE es miembro del Consejo de Gobierno del BCE</w:t>
      </w:r>
      <w:r w:rsidR="00B6097E">
        <w:t xml:space="preserve"> </w:t>
      </w:r>
      <w:r w:rsidR="00B6097E" w:rsidRPr="00B6097E">
        <w:rPr>
          <w:color w:val="767171" w:themeColor="background2" w:themeShade="80"/>
          <w:sz w:val="14"/>
          <w:szCs w:val="14"/>
        </w:rPr>
        <w:t>[</w:t>
      </w:r>
      <w:r w:rsidR="00B6097E" w:rsidRPr="00DC2691">
        <w:rPr>
          <w:i/>
          <w:iCs/>
          <w:color w:val="767171" w:themeColor="background2" w:themeShade="80"/>
          <w:sz w:val="14"/>
          <w:szCs w:val="14"/>
        </w:rPr>
        <w:t>ver tema 3.B.45</w:t>
      </w:r>
      <w:r w:rsidR="00B6097E" w:rsidRPr="00B6097E">
        <w:rPr>
          <w:color w:val="767171" w:themeColor="background2" w:themeShade="80"/>
          <w:sz w:val="14"/>
          <w:szCs w:val="14"/>
        </w:rPr>
        <w:t>]</w:t>
      </w:r>
      <w:r>
        <w:t>.</w:t>
      </w:r>
    </w:p>
  </w:footnote>
  <w:footnote w:id="23">
    <w:p w14:paraId="3FF2F04C" w14:textId="3477C23F" w:rsidR="008269A8" w:rsidRDefault="008269A8">
      <w:pPr>
        <w:pStyle w:val="Textonotapie"/>
      </w:pPr>
      <w:r>
        <w:rPr>
          <w:rStyle w:val="Refdenotaalpie"/>
        </w:rPr>
        <w:footnoteRef/>
      </w:r>
      <w:r>
        <w:t xml:space="preserve"> Dentro de esa función se incluyen las operaciones de Asistencia de Liquidez de Emergencia.</w:t>
      </w:r>
    </w:p>
  </w:footnote>
  <w:footnote w:id="24">
    <w:p w14:paraId="644553CF" w14:textId="5C92B9D9" w:rsidR="007A0ECB" w:rsidRDefault="007A0ECB">
      <w:pPr>
        <w:pStyle w:val="Textonotapie"/>
      </w:pPr>
      <w:r>
        <w:rPr>
          <w:rStyle w:val="Refdenotaalpie"/>
        </w:rPr>
        <w:footnoteRef/>
      </w:r>
      <w:r>
        <w:t xml:space="preserve"> El Tesoro tiene una cuenta en el Banco de España. Por supuesto están prohibidos los descubiertos ni facilidades crediticias de ningún tipo. El Banco de España contribuye con medios técnicos a facilitar los procedimientos de emisión de deuda pública.</w:t>
      </w:r>
    </w:p>
  </w:footnote>
  <w:footnote w:id="25">
    <w:p w14:paraId="79EFD41E" w14:textId="169BD78E" w:rsidR="008E2886" w:rsidRPr="008E2886" w:rsidRDefault="008E2886">
      <w:pPr>
        <w:pStyle w:val="Textonotapie"/>
      </w:pPr>
      <w:r>
        <w:rPr>
          <w:rStyle w:val="Refdenotaalpie"/>
        </w:rPr>
        <w:footnoteRef/>
      </w:r>
      <w:r>
        <w:t xml:space="preserve"> </w:t>
      </w:r>
      <w:r>
        <w:rPr>
          <w:smallCaps/>
        </w:rPr>
        <w:t>Pablo Hernández de Cos</w:t>
      </w:r>
      <w:r>
        <w:t xml:space="preserve"> es, además de Gobernador del Banco de España, miembro del Consejo Superior de Estadística de España y Presidente del Comité de Basilea.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65C36" w:rsidRPr="00C44422" w14:paraId="4FC6C770"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3E30AF7" w14:textId="396480D7" w:rsidR="00165C36" w:rsidRPr="00165C36" w:rsidRDefault="00165C36"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4.A.18</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8288F61" w14:textId="6610C38F" w:rsidR="00165C36" w:rsidRPr="00165C36" w:rsidRDefault="00165C36" w:rsidP="00165C36">
              <w:pPr>
                <w:pStyle w:val="Encabezado"/>
                <w:spacing w:after="0"/>
                <w:ind w:right="-110"/>
                <w:contextualSpacing/>
                <w:jc w:val="left"/>
                <w:rPr>
                  <w:i/>
                  <w:iCs/>
                  <w:color w:val="5F2987"/>
                  <w:sz w:val="18"/>
                  <w:szCs w:val="18"/>
                  <w:lang w:val="es-ES"/>
                </w:rPr>
              </w:pPr>
              <w:r w:rsidRPr="00165C36">
                <w:rPr>
                  <w:i/>
                  <w:iCs/>
                  <w:color w:val="5F2987"/>
                  <w:sz w:val="18"/>
                  <w:szCs w:val="18"/>
                  <w:lang w:val="es-ES"/>
                </w:rPr>
                <w:t>El sistema financiero español (</w:t>
              </w:r>
              <w:r>
                <w:rPr>
                  <w:i/>
                  <w:iCs/>
                  <w:color w:val="5F2987"/>
                  <w:sz w:val="18"/>
                  <w:szCs w:val="18"/>
                  <w:lang w:val="es-ES"/>
                </w:rPr>
                <w:t>I</w:t>
              </w:r>
              <w:r w:rsidRPr="00165C36">
                <w:rPr>
                  <w:i/>
                  <w:iCs/>
                  <w:color w:val="5F2987"/>
                  <w:sz w:val="18"/>
                  <w:szCs w:val="18"/>
                  <w:lang w:val="es-ES"/>
                </w:rPr>
                <w:t>). Evolución hasta la actualidad. Instituciones y agentes</w:t>
              </w:r>
              <w:r>
                <w:rPr>
                  <w:i/>
                  <w:iCs/>
                  <w:color w:val="5F2987"/>
                  <w:sz w:val="18"/>
                  <w:szCs w:val="18"/>
                  <w:lang w:val="es-ES"/>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7115A6C" w14:textId="7B3A33BC" w:rsidR="00165C36" w:rsidRPr="00C44422" w:rsidRDefault="00165C36"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65C36" w:rsidRPr="00C44422" w14:paraId="75AD347D" w14:textId="77777777" w:rsidTr="0078055F">
      <w:trPr>
        <w:trHeight w:val="136"/>
        <w:jc w:val="center"/>
      </w:trPr>
      <w:bookmarkStart w:id="82" w:name="_Hlk72149218" w:displacedByCustomXml="next"/>
      <w:sdt>
        <w:sdtPr>
          <w:rPr>
            <w:b/>
            <w:bCs/>
            <w:i/>
            <w:iCs/>
            <w:caps/>
            <w:color w:val="5F2987"/>
            <w:sz w:val="18"/>
            <w:szCs w:val="18"/>
          </w:rPr>
          <w:alias w:val="Title"/>
          <w:tag w:val=""/>
          <w:id w:val="-171996385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263BEA5" w14:textId="45BBDFDA" w:rsidR="00165C36" w:rsidRPr="00165C36" w:rsidRDefault="00165C36"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4.A.18</w:t>
              </w:r>
            </w:p>
          </w:tc>
        </w:sdtContent>
      </w:sdt>
      <w:tc>
        <w:tcPr>
          <w:tcW w:w="7088" w:type="dxa"/>
          <w:vAlign w:val="center"/>
        </w:tcPr>
        <w:sdt>
          <w:sdtPr>
            <w:rPr>
              <w:i/>
              <w:iCs/>
              <w:color w:val="5F2987"/>
              <w:sz w:val="18"/>
              <w:szCs w:val="18"/>
            </w:rPr>
            <w:alias w:val="Subject"/>
            <w:tag w:val=""/>
            <w:id w:val="-1123160123"/>
            <w:dataBinding w:prefixMappings="xmlns:ns0='http://purl.org/dc/elements/1.1/' xmlns:ns1='http://schemas.openxmlformats.org/package/2006/metadata/core-properties' " w:xpath="/ns1:coreProperties[1]/ns0:subject[1]" w:storeItemID="{6C3C8BC8-F283-45AE-878A-BAB7291924A1}"/>
            <w:text/>
          </w:sdtPr>
          <w:sdtContent>
            <w:p w14:paraId="7795B98C" w14:textId="7AC81547" w:rsidR="00165C36" w:rsidRPr="00165C36" w:rsidRDefault="00165C36" w:rsidP="00C80BBD">
              <w:pPr>
                <w:pStyle w:val="Encabezado"/>
                <w:spacing w:after="0"/>
                <w:ind w:right="-110"/>
                <w:contextualSpacing/>
                <w:jc w:val="center"/>
                <w:rPr>
                  <w:i/>
                  <w:iCs/>
                  <w:color w:val="5F2987"/>
                  <w:sz w:val="18"/>
                  <w:szCs w:val="18"/>
                  <w:lang w:val="es-ES"/>
                </w:rPr>
              </w:pPr>
              <w:r>
                <w:rPr>
                  <w:i/>
                  <w:iCs/>
                  <w:color w:val="5F2987"/>
                  <w:sz w:val="18"/>
                  <w:szCs w:val="18"/>
                  <w:lang w:val="es-ES"/>
                </w:rPr>
                <w:t>El sistema financiero español (I). Evolución hasta la actualidad. Instituciones y agentes.</w:t>
              </w:r>
            </w:p>
          </w:sdtContent>
        </w:sdt>
      </w:tc>
      <w:sdt>
        <w:sdtPr>
          <w:rPr>
            <w:b/>
            <w:bCs/>
            <w:i/>
            <w:iCs/>
            <w:color w:val="5F2987"/>
            <w:spacing w:val="-6"/>
            <w:sz w:val="18"/>
            <w:szCs w:val="18"/>
          </w:rPr>
          <w:alias w:val="Author"/>
          <w:tag w:val=""/>
          <w:id w:val="-1217042914"/>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5FC2892" w14:textId="03457DCC" w:rsidR="00165C36" w:rsidRPr="00C44422" w:rsidRDefault="00165C36"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82"/>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65C36" w:rsidRPr="00BE1B62" w14:paraId="6A1C2DA8" w14:textId="77777777" w:rsidTr="00165C36">
      <w:tc>
        <w:tcPr>
          <w:tcW w:w="3261" w:type="dxa"/>
          <w:tcBorders>
            <w:bottom w:val="thickThinSmallGap" w:sz="12" w:space="0" w:color="5F2987"/>
          </w:tcBorders>
        </w:tcPr>
        <w:p w14:paraId="435706B7" w14:textId="496BD13E" w:rsidR="00165C36" w:rsidRPr="00165C36" w:rsidRDefault="00165C36" w:rsidP="00382937">
          <w:pPr>
            <w:pStyle w:val="Encabezado"/>
            <w:spacing w:after="0"/>
            <w:jc w:val="left"/>
            <w:rPr>
              <w:i/>
              <w:iCs/>
              <w:color w:val="5F2987"/>
              <w:spacing w:val="-6"/>
              <w:sz w:val="18"/>
              <w:szCs w:val="18"/>
              <w:lang w:val="es-ES"/>
            </w:rPr>
          </w:pPr>
          <w:r w:rsidRPr="00165C36">
            <w:rPr>
              <w:i/>
              <w:iCs/>
              <w:color w:val="5F2987"/>
              <w:spacing w:val="-6"/>
              <w:sz w:val="14"/>
              <w:szCs w:val="14"/>
              <w:lang w:val="es-ES"/>
            </w:rPr>
            <w:t>Fecha de la última actualización:</w:t>
          </w:r>
          <w:r w:rsidRPr="00165C36">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452F97">
            <w:rPr>
              <w:i/>
              <w:iCs/>
              <w:noProof/>
              <w:color w:val="5F2987"/>
              <w:spacing w:val="-6"/>
              <w:sz w:val="18"/>
              <w:szCs w:val="18"/>
            </w:rPr>
            <w:t>23/09/2024</w:t>
          </w:r>
          <w:r>
            <w:rPr>
              <w:i/>
              <w:iCs/>
              <w:color w:val="5F2987"/>
              <w:spacing w:val="-6"/>
              <w:sz w:val="18"/>
              <w:szCs w:val="18"/>
            </w:rPr>
            <w:fldChar w:fldCharType="end"/>
          </w:r>
        </w:p>
      </w:tc>
      <w:tc>
        <w:tcPr>
          <w:tcW w:w="4819" w:type="dxa"/>
          <w:tcBorders>
            <w:bottom w:val="thickThinSmallGap" w:sz="12" w:space="0" w:color="5F2987"/>
          </w:tcBorders>
        </w:tcPr>
        <w:p w14:paraId="7CA97417" w14:textId="77777777" w:rsidR="00165C36" w:rsidRPr="00165C36" w:rsidRDefault="00165C36" w:rsidP="00382937">
          <w:pPr>
            <w:pStyle w:val="Encabezado"/>
            <w:spacing w:after="0"/>
            <w:jc w:val="center"/>
            <w:rPr>
              <w:i/>
              <w:iCs/>
              <w:color w:val="5F2987"/>
              <w:spacing w:val="-6"/>
              <w:sz w:val="18"/>
              <w:szCs w:val="18"/>
              <w:lang w:val="es-ES"/>
            </w:rPr>
          </w:pPr>
          <w:r w:rsidRPr="00165C36">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9FA8556E65B34749BB33E2098E50D059"/>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BD79FDA" w14:textId="69FEE6FC" w:rsidR="00165C36" w:rsidRPr="00165C36" w:rsidRDefault="00165C36" w:rsidP="00382937">
              <w:pPr>
                <w:pStyle w:val="Encabezado"/>
                <w:spacing w:after="0"/>
                <w:jc w:val="right"/>
                <w:rPr>
                  <w:i/>
                  <w:iCs/>
                  <w:color w:val="5F2987"/>
                  <w:spacing w:val="-6"/>
                  <w:sz w:val="18"/>
                  <w:szCs w:val="18"/>
                  <w:lang w:val="es-ES"/>
                </w:rPr>
              </w:pPr>
              <w:r>
                <w:rPr>
                  <w:i/>
                  <w:iCs/>
                  <w:color w:val="5F2987"/>
                  <w:spacing w:val="-6"/>
                  <w:sz w:val="20"/>
                  <w:szCs w:val="20"/>
                  <w:lang w:val="es-ES"/>
                </w:rPr>
                <w:t>4.A.18</w:t>
              </w:r>
            </w:p>
          </w:tc>
        </w:sdtContent>
      </w:sdt>
    </w:tr>
  </w:tbl>
  <w:p w14:paraId="56108077" w14:textId="77777777" w:rsidR="00165C36" w:rsidRPr="00C80BBD" w:rsidRDefault="00165C36"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77D9D"/>
    <w:multiLevelType w:val="hybridMultilevel"/>
    <w:tmpl w:val="E006BF8A"/>
    <w:lvl w:ilvl="0" w:tplc="19BCAF2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47F3E51"/>
    <w:multiLevelType w:val="multilevel"/>
    <w:tmpl w:val="A108539E"/>
    <w:lvl w:ilvl="0">
      <w:start w:val="1"/>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2" w15:restartNumberingAfterBreak="0">
    <w:nsid w:val="04E561D2"/>
    <w:multiLevelType w:val="hybridMultilevel"/>
    <w:tmpl w:val="090EDE0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154769C3"/>
    <w:multiLevelType w:val="multilevel"/>
    <w:tmpl w:val="611AA000"/>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447683"/>
    <w:multiLevelType w:val="hybridMultilevel"/>
    <w:tmpl w:val="810C33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44A7290"/>
    <w:multiLevelType w:val="multilevel"/>
    <w:tmpl w:val="611AA000"/>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0"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524AE8"/>
    <w:multiLevelType w:val="multilevel"/>
    <w:tmpl w:val="611AA000"/>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C5917D9"/>
    <w:multiLevelType w:val="hybridMultilevel"/>
    <w:tmpl w:val="3B00E902"/>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EB264CE"/>
    <w:multiLevelType w:val="multilevel"/>
    <w:tmpl w:val="C4FCA226"/>
    <w:lvl w:ilvl="0">
      <w:start w:val="1"/>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8" w15:restartNumberingAfterBreak="0">
    <w:nsid w:val="40D746E9"/>
    <w:multiLevelType w:val="hybridMultilevel"/>
    <w:tmpl w:val="208E321A"/>
    <w:lvl w:ilvl="0" w:tplc="691CDCD4">
      <w:start w:val="1"/>
      <w:numFmt w:val="decimal"/>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4B8102B"/>
    <w:multiLevelType w:val="hybridMultilevel"/>
    <w:tmpl w:val="43D236CA"/>
    <w:lvl w:ilvl="0" w:tplc="80C6A336">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9A45E90"/>
    <w:multiLevelType w:val="hybridMultilevel"/>
    <w:tmpl w:val="46DA94CC"/>
    <w:lvl w:ilvl="0" w:tplc="12D273C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811FC7"/>
    <w:multiLevelType w:val="hybridMultilevel"/>
    <w:tmpl w:val="2864E99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0FB7C1A"/>
    <w:multiLevelType w:val="multilevel"/>
    <w:tmpl w:val="0809001D"/>
    <w:numStyleLink w:val="Lista1"/>
  </w:abstractNum>
  <w:abstractNum w:abstractNumId="35" w15:restartNumberingAfterBreak="0">
    <w:nsid w:val="512D0115"/>
    <w:multiLevelType w:val="multilevel"/>
    <w:tmpl w:val="85AEC586"/>
    <w:lvl w:ilvl="0">
      <w:start w:val="1"/>
      <w:numFmt w:val="decimal"/>
      <w:lvlText w:val="%1.0."/>
      <w:lvlJc w:val="left"/>
      <w:pPr>
        <w:ind w:left="1148" w:hanging="360"/>
      </w:pPr>
      <w:rPr>
        <w:rFonts w:hint="default"/>
      </w:rPr>
    </w:lvl>
    <w:lvl w:ilvl="1">
      <w:start w:val="1"/>
      <w:numFmt w:val="decimal"/>
      <w:lvlText w:val="%1.%2."/>
      <w:lvlJc w:val="left"/>
      <w:pPr>
        <w:ind w:left="1857" w:hanging="360"/>
      </w:pPr>
      <w:rPr>
        <w:rFonts w:hint="default"/>
      </w:rPr>
    </w:lvl>
    <w:lvl w:ilvl="2">
      <w:start w:val="1"/>
      <w:numFmt w:val="decimal"/>
      <w:lvlText w:val="%1.%2.%3."/>
      <w:lvlJc w:val="left"/>
      <w:pPr>
        <w:ind w:left="2926" w:hanging="720"/>
      </w:pPr>
      <w:rPr>
        <w:rFonts w:hint="default"/>
      </w:rPr>
    </w:lvl>
    <w:lvl w:ilvl="3">
      <w:start w:val="1"/>
      <w:numFmt w:val="decimal"/>
      <w:lvlText w:val="%1.%2.%3.%4."/>
      <w:lvlJc w:val="left"/>
      <w:pPr>
        <w:ind w:left="3635" w:hanging="720"/>
      </w:pPr>
      <w:rPr>
        <w:rFonts w:hint="default"/>
      </w:rPr>
    </w:lvl>
    <w:lvl w:ilvl="4">
      <w:start w:val="1"/>
      <w:numFmt w:val="decimal"/>
      <w:lvlText w:val="%1.%2.%3.%4.%5."/>
      <w:lvlJc w:val="left"/>
      <w:pPr>
        <w:ind w:left="4704" w:hanging="1080"/>
      </w:pPr>
      <w:rPr>
        <w:rFonts w:hint="default"/>
      </w:rPr>
    </w:lvl>
    <w:lvl w:ilvl="5">
      <w:start w:val="1"/>
      <w:numFmt w:val="decimal"/>
      <w:lvlText w:val="%1.%2.%3.%4.%5.%6."/>
      <w:lvlJc w:val="left"/>
      <w:pPr>
        <w:ind w:left="5413" w:hanging="1080"/>
      </w:pPr>
      <w:rPr>
        <w:rFonts w:hint="default"/>
      </w:rPr>
    </w:lvl>
    <w:lvl w:ilvl="6">
      <w:start w:val="1"/>
      <w:numFmt w:val="decimal"/>
      <w:lvlText w:val="%1.%2.%3.%4.%5.%6.%7."/>
      <w:lvlJc w:val="left"/>
      <w:pPr>
        <w:ind w:left="6482" w:hanging="1440"/>
      </w:pPr>
      <w:rPr>
        <w:rFonts w:hint="default"/>
      </w:rPr>
    </w:lvl>
    <w:lvl w:ilvl="7">
      <w:start w:val="1"/>
      <w:numFmt w:val="decimal"/>
      <w:lvlText w:val="%1.%2.%3.%4.%5.%6.%7.%8."/>
      <w:lvlJc w:val="left"/>
      <w:pPr>
        <w:ind w:left="7191" w:hanging="1440"/>
      </w:pPr>
      <w:rPr>
        <w:rFonts w:hint="default"/>
      </w:rPr>
    </w:lvl>
    <w:lvl w:ilvl="8">
      <w:start w:val="1"/>
      <w:numFmt w:val="decimal"/>
      <w:lvlText w:val="%1.%2.%3.%4.%5.%6.%7.%8.%9."/>
      <w:lvlJc w:val="left"/>
      <w:pPr>
        <w:ind w:left="8260" w:hanging="1800"/>
      </w:pPr>
      <w:rPr>
        <w:rFonts w:hint="default"/>
      </w:rPr>
    </w:lvl>
  </w:abstractNum>
  <w:abstractNum w:abstractNumId="36"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0">
    <w:nsid w:val="6BF01590"/>
    <w:multiLevelType w:val="hybridMultilevel"/>
    <w:tmpl w:val="9474B40C"/>
    <w:lvl w:ilvl="0" w:tplc="E0804C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871959721">
    <w:abstractNumId w:val="24"/>
  </w:num>
  <w:num w:numId="2" w16cid:durableId="1597640191">
    <w:abstractNumId w:val="17"/>
  </w:num>
  <w:num w:numId="3" w16cid:durableId="1857385084">
    <w:abstractNumId w:val="25"/>
  </w:num>
  <w:num w:numId="4" w16cid:durableId="1023819310">
    <w:abstractNumId w:val="14"/>
  </w:num>
  <w:num w:numId="5" w16cid:durableId="377318168">
    <w:abstractNumId w:val="44"/>
  </w:num>
  <w:num w:numId="6" w16cid:durableId="1836143842">
    <w:abstractNumId w:val="22"/>
  </w:num>
  <w:num w:numId="7" w16cid:durableId="1143700046">
    <w:abstractNumId w:val="39"/>
  </w:num>
  <w:num w:numId="8" w16cid:durableId="1565674399">
    <w:abstractNumId w:val="23"/>
  </w:num>
  <w:num w:numId="9" w16cid:durableId="775639171">
    <w:abstractNumId w:val="30"/>
  </w:num>
  <w:num w:numId="10" w16cid:durableId="114755634">
    <w:abstractNumId w:val="16"/>
  </w:num>
  <w:num w:numId="11" w16cid:durableId="672877418">
    <w:abstractNumId w:val="38"/>
  </w:num>
  <w:num w:numId="12" w16cid:durableId="667574">
    <w:abstractNumId w:val="41"/>
  </w:num>
  <w:num w:numId="13" w16cid:durableId="657686288">
    <w:abstractNumId w:val="42"/>
  </w:num>
  <w:num w:numId="14" w16cid:durableId="1384603430">
    <w:abstractNumId w:val="45"/>
  </w:num>
  <w:num w:numId="15" w16cid:durableId="1925912600">
    <w:abstractNumId w:val="20"/>
  </w:num>
  <w:num w:numId="16" w16cid:durableId="412049672">
    <w:abstractNumId w:val="37"/>
  </w:num>
  <w:num w:numId="17" w16cid:durableId="929898110">
    <w:abstractNumId w:val="34"/>
  </w:num>
  <w:num w:numId="18" w16cid:durableId="2040623126">
    <w:abstractNumId w:val="9"/>
  </w:num>
  <w:num w:numId="19" w16cid:durableId="1122259955">
    <w:abstractNumId w:val="7"/>
  </w:num>
  <w:num w:numId="20" w16cid:durableId="1331057359">
    <w:abstractNumId w:val="6"/>
  </w:num>
  <w:num w:numId="21" w16cid:durableId="510223012">
    <w:abstractNumId w:val="5"/>
  </w:num>
  <w:num w:numId="22" w16cid:durableId="1918401480">
    <w:abstractNumId w:val="4"/>
  </w:num>
  <w:num w:numId="23" w16cid:durableId="33624786">
    <w:abstractNumId w:val="8"/>
  </w:num>
  <w:num w:numId="24" w16cid:durableId="673655225">
    <w:abstractNumId w:val="3"/>
  </w:num>
  <w:num w:numId="25" w16cid:durableId="1559323699">
    <w:abstractNumId w:val="2"/>
  </w:num>
  <w:num w:numId="26" w16cid:durableId="1315798207">
    <w:abstractNumId w:val="1"/>
  </w:num>
  <w:num w:numId="27" w16cid:durableId="37826292">
    <w:abstractNumId w:val="0"/>
  </w:num>
  <w:num w:numId="28" w16cid:durableId="1911882848">
    <w:abstractNumId w:val="43"/>
  </w:num>
  <w:num w:numId="29" w16cid:durableId="2139184744">
    <w:abstractNumId w:val="26"/>
  </w:num>
  <w:num w:numId="30" w16cid:durableId="7665390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0585969">
    <w:abstractNumId w:val="36"/>
  </w:num>
  <w:num w:numId="32" w16cid:durableId="415174119">
    <w:abstractNumId w:val="13"/>
  </w:num>
  <w:num w:numId="33" w16cid:durableId="427239644">
    <w:abstractNumId w:val="28"/>
  </w:num>
  <w:num w:numId="34" w16cid:durableId="326903915">
    <w:abstractNumId w:val="29"/>
  </w:num>
  <w:num w:numId="35" w16cid:durableId="631908034">
    <w:abstractNumId w:val="40"/>
  </w:num>
  <w:num w:numId="36" w16cid:durableId="642587399">
    <w:abstractNumId w:val="33"/>
  </w:num>
  <w:num w:numId="37" w16cid:durableId="418478548">
    <w:abstractNumId w:val="35"/>
  </w:num>
  <w:num w:numId="38" w16cid:durableId="2114858351">
    <w:abstractNumId w:val="16"/>
    <w:lvlOverride w:ilvl="0"/>
    <w:lvlOverride w:ilvl="1">
      <w:startOverride w:val="1"/>
    </w:lvlOverride>
  </w:num>
  <w:num w:numId="39" w16cid:durableId="373770899">
    <w:abstractNumId w:val="18"/>
  </w:num>
  <w:num w:numId="40" w16cid:durableId="135224726">
    <w:abstractNumId w:val="10"/>
  </w:num>
  <w:num w:numId="41" w16cid:durableId="1315186443">
    <w:abstractNumId w:val="32"/>
  </w:num>
  <w:num w:numId="42" w16cid:durableId="657926332">
    <w:abstractNumId w:val="30"/>
    <w:lvlOverride w:ilvl="0">
      <w:startOverride w:val="1"/>
    </w:lvlOverride>
    <w:lvlOverride w:ilvl="1">
      <w:startOverride w:val="2"/>
    </w:lvlOverride>
    <w:lvlOverride w:ilvl="2"/>
  </w:num>
  <w:num w:numId="43" w16cid:durableId="1718578297">
    <w:abstractNumId w:val="15"/>
  </w:num>
  <w:num w:numId="44" w16cid:durableId="1349059719">
    <w:abstractNumId w:val="19"/>
  </w:num>
  <w:num w:numId="45" w16cid:durableId="478696113">
    <w:abstractNumId w:val="11"/>
  </w:num>
  <w:num w:numId="46" w16cid:durableId="1905293615">
    <w:abstractNumId w:val="21"/>
  </w:num>
  <w:num w:numId="47" w16cid:durableId="260184970">
    <w:abstractNumId w:val="27"/>
  </w:num>
  <w:num w:numId="48" w16cid:durableId="1130245691">
    <w:abstractNumId w:val="31"/>
  </w:num>
  <w:num w:numId="49" w16cid:durableId="2007440036">
    <w:abstractNumId w:val="12"/>
  </w:num>
  <w:num w:numId="50" w16cid:durableId="1719745734">
    <w:abstractNumId w:val="30"/>
    <w:lvlOverride w:ilvl="0">
      <w:startOverride w:val="2"/>
    </w:lvlOverride>
    <w:lvlOverride w:ilv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 w:vendorID="64" w:dllVersion="6" w:nlCheck="1" w:checkStyle="1"/>
  <w:activeWritingStyle w:appName="MSWord" w:lang="es-ES" w:vendorID="64" w:dllVersion="0" w:nlCheck="1" w:checkStyle="0"/>
  <w:activeWritingStyle w:appName="MSWord" w:lang="pt-B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71F"/>
    <w:rsid w:val="00000F08"/>
    <w:rsid w:val="00001448"/>
    <w:rsid w:val="000015E9"/>
    <w:rsid w:val="0000166E"/>
    <w:rsid w:val="000016E3"/>
    <w:rsid w:val="00001886"/>
    <w:rsid w:val="00001B7B"/>
    <w:rsid w:val="00001E3D"/>
    <w:rsid w:val="000021CD"/>
    <w:rsid w:val="000023C4"/>
    <w:rsid w:val="00002450"/>
    <w:rsid w:val="000027A0"/>
    <w:rsid w:val="00002A09"/>
    <w:rsid w:val="00002B63"/>
    <w:rsid w:val="00002B76"/>
    <w:rsid w:val="00002E3A"/>
    <w:rsid w:val="00002EB6"/>
    <w:rsid w:val="000032B1"/>
    <w:rsid w:val="0000330D"/>
    <w:rsid w:val="00003A25"/>
    <w:rsid w:val="000040EA"/>
    <w:rsid w:val="00004264"/>
    <w:rsid w:val="00004675"/>
    <w:rsid w:val="000046C3"/>
    <w:rsid w:val="00004D68"/>
    <w:rsid w:val="00004F22"/>
    <w:rsid w:val="000051EF"/>
    <w:rsid w:val="000053F9"/>
    <w:rsid w:val="00005501"/>
    <w:rsid w:val="000055F6"/>
    <w:rsid w:val="00005628"/>
    <w:rsid w:val="00005700"/>
    <w:rsid w:val="0000588B"/>
    <w:rsid w:val="00005F38"/>
    <w:rsid w:val="00005F55"/>
    <w:rsid w:val="00006470"/>
    <w:rsid w:val="0000663D"/>
    <w:rsid w:val="000066BD"/>
    <w:rsid w:val="000066C0"/>
    <w:rsid w:val="0000675F"/>
    <w:rsid w:val="000075E8"/>
    <w:rsid w:val="000076BF"/>
    <w:rsid w:val="000077E2"/>
    <w:rsid w:val="00007A2C"/>
    <w:rsid w:val="00007F0E"/>
    <w:rsid w:val="0001082A"/>
    <w:rsid w:val="000109C1"/>
    <w:rsid w:val="00010BDD"/>
    <w:rsid w:val="00011356"/>
    <w:rsid w:val="00011E91"/>
    <w:rsid w:val="00012701"/>
    <w:rsid w:val="0001280A"/>
    <w:rsid w:val="00012978"/>
    <w:rsid w:val="00012CD0"/>
    <w:rsid w:val="00013113"/>
    <w:rsid w:val="00013118"/>
    <w:rsid w:val="00013192"/>
    <w:rsid w:val="000131BF"/>
    <w:rsid w:val="000135D2"/>
    <w:rsid w:val="00013A71"/>
    <w:rsid w:val="00013BF9"/>
    <w:rsid w:val="00013C30"/>
    <w:rsid w:val="0001470D"/>
    <w:rsid w:val="000153FB"/>
    <w:rsid w:val="0001569A"/>
    <w:rsid w:val="000157F5"/>
    <w:rsid w:val="00015997"/>
    <w:rsid w:val="000160C9"/>
    <w:rsid w:val="000161D0"/>
    <w:rsid w:val="00016574"/>
    <w:rsid w:val="0001668B"/>
    <w:rsid w:val="00017A57"/>
    <w:rsid w:val="00017B40"/>
    <w:rsid w:val="00017C10"/>
    <w:rsid w:val="000200FE"/>
    <w:rsid w:val="0002076A"/>
    <w:rsid w:val="00020816"/>
    <w:rsid w:val="00020868"/>
    <w:rsid w:val="00020CE5"/>
    <w:rsid w:val="00020DE3"/>
    <w:rsid w:val="00021052"/>
    <w:rsid w:val="000214D2"/>
    <w:rsid w:val="000214D5"/>
    <w:rsid w:val="00021653"/>
    <w:rsid w:val="00021872"/>
    <w:rsid w:val="000219B4"/>
    <w:rsid w:val="00021E32"/>
    <w:rsid w:val="00021FCD"/>
    <w:rsid w:val="00022152"/>
    <w:rsid w:val="00022263"/>
    <w:rsid w:val="00022463"/>
    <w:rsid w:val="000224D5"/>
    <w:rsid w:val="00022A0C"/>
    <w:rsid w:val="00022FBF"/>
    <w:rsid w:val="000230C3"/>
    <w:rsid w:val="000233DD"/>
    <w:rsid w:val="0002361F"/>
    <w:rsid w:val="0002386C"/>
    <w:rsid w:val="0002394F"/>
    <w:rsid w:val="0002399C"/>
    <w:rsid w:val="00023E6B"/>
    <w:rsid w:val="00023FD6"/>
    <w:rsid w:val="0002401F"/>
    <w:rsid w:val="00024095"/>
    <w:rsid w:val="0002413B"/>
    <w:rsid w:val="00024146"/>
    <w:rsid w:val="00024A80"/>
    <w:rsid w:val="00024CD1"/>
    <w:rsid w:val="00024DA2"/>
    <w:rsid w:val="00024FB5"/>
    <w:rsid w:val="0002503C"/>
    <w:rsid w:val="000252F7"/>
    <w:rsid w:val="000254B1"/>
    <w:rsid w:val="000255BC"/>
    <w:rsid w:val="00025A5C"/>
    <w:rsid w:val="00025C75"/>
    <w:rsid w:val="00025C78"/>
    <w:rsid w:val="000260FF"/>
    <w:rsid w:val="00026457"/>
    <w:rsid w:val="000269F0"/>
    <w:rsid w:val="00026AEF"/>
    <w:rsid w:val="00026E2C"/>
    <w:rsid w:val="00026E3D"/>
    <w:rsid w:val="00027073"/>
    <w:rsid w:val="000272EA"/>
    <w:rsid w:val="00027711"/>
    <w:rsid w:val="00027740"/>
    <w:rsid w:val="000279CA"/>
    <w:rsid w:val="00027A65"/>
    <w:rsid w:val="00027DD5"/>
    <w:rsid w:val="00030166"/>
    <w:rsid w:val="000302DD"/>
    <w:rsid w:val="00030BE9"/>
    <w:rsid w:val="00030D73"/>
    <w:rsid w:val="0003113C"/>
    <w:rsid w:val="0003115D"/>
    <w:rsid w:val="0003122B"/>
    <w:rsid w:val="0003128A"/>
    <w:rsid w:val="000319FC"/>
    <w:rsid w:val="00031D49"/>
    <w:rsid w:val="000322BC"/>
    <w:rsid w:val="000327AA"/>
    <w:rsid w:val="00032974"/>
    <w:rsid w:val="000329E8"/>
    <w:rsid w:val="00032AA1"/>
    <w:rsid w:val="00032C62"/>
    <w:rsid w:val="00032E0F"/>
    <w:rsid w:val="00032EA1"/>
    <w:rsid w:val="00032ECC"/>
    <w:rsid w:val="00033172"/>
    <w:rsid w:val="00033476"/>
    <w:rsid w:val="0003359A"/>
    <w:rsid w:val="000335BC"/>
    <w:rsid w:val="00033CC4"/>
    <w:rsid w:val="000341F4"/>
    <w:rsid w:val="00034331"/>
    <w:rsid w:val="000356D1"/>
    <w:rsid w:val="00036360"/>
    <w:rsid w:val="00036EAA"/>
    <w:rsid w:val="00037286"/>
    <w:rsid w:val="00037352"/>
    <w:rsid w:val="00037940"/>
    <w:rsid w:val="000379B1"/>
    <w:rsid w:val="00037BA7"/>
    <w:rsid w:val="00037D18"/>
    <w:rsid w:val="0004045E"/>
    <w:rsid w:val="0004047C"/>
    <w:rsid w:val="000409A8"/>
    <w:rsid w:val="00040C13"/>
    <w:rsid w:val="00040DB2"/>
    <w:rsid w:val="00041671"/>
    <w:rsid w:val="0004175F"/>
    <w:rsid w:val="000419AD"/>
    <w:rsid w:val="00041AEF"/>
    <w:rsid w:val="00041BFD"/>
    <w:rsid w:val="00042185"/>
    <w:rsid w:val="000421C1"/>
    <w:rsid w:val="000423AB"/>
    <w:rsid w:val="000424F8"/>
    <w:rsid w:val="00042696"/>
    <w:rsid w:val="00042DAB"/>
    <w:rsid w:val="00042DAE"/>
    <w:rsid w:val="00043363"/>
    <w:rsid w:val="0004351B"/>
    <w:rsid w:val="00043790"/>
    <w:rsid w:val="000439C9"/>
    <w:rsid w:val="00043AF6"/>
    <w:rsid w:val="00043B1C"/>
    <w:rsid w:val="00043BD9"/>
    <w:rsid w:val="00043E46"/>
    <w:rsid w:val="00043FA0"/>
    <w:rsid w:val="00044164"/>
    <w:rsid w:val="00044754"/>
    <w:rsid w:val="00044994"/>
    <w:rsid w:val="00044ADF"/>
    <w:rsid w:val="00044E0E"/>
    <w:rsid w:val="00044EEE"/>
    <w:rsid w:val="00045070"/>
    <w:rsid w:val="000451E3"/>
    <w:rsid w:val="00045285"/>
    <w:rsid w:val="000452AC"/>
    <w:rsid w:val="00045432"/>
    <w:rsid w:val="000456D4"/>
    <w:rsid w:val="00045803"/>
    <w:rsid w:val="000459D7"/>
    <w:rsid w:val="00045F40"/>
    <w:rsid w:val="00045FC7"/>
    <w:rsid w:val="00046894"/>
    <w:rsid w:val="00046E12"/>
    <w:rsid w:val="00046F0A"/>
    <w:rsid w:val="00046F1D"/>
    <w:rsid w:val="000472B2"/>
    <w:rsid w:val="00047596"/>
    <w:rsid w:val="00047F74"/>
    <w:rsid w:val="00047FD5"/>
    <w:rsid w:val="00050399"/>
    <w:rsid w:val="0005073C"/>
    <w:rsid w:val="000508D3"/>
    <w:rsid w:val="00050CA9"/>
    <w:rsid w:val="00050CF8"/>
    <w:rsid w:val="00051268"/>
    <w:rsid w:val="000515EB"/>
    <w:rsid w:val="00051878"/>
    <w:rsid w:val="0005188E"/>
    <w:rsid w:val="000519BB"/>
    <w:rsid w:val="00052224"/>
    <w:rsid w:val="00052362"/>
    <w:rsid w:val="00052E5A"/>
    <w:rsid w:val="0005333B"/>
    <w:rsid w:val="00053B06"/>
    <w:rsid w:val="00053C54"/>
    <w:rsid w:val="00053C7C"/>
    <w:rsid w:val="00053CEF"/>
    <w:rsid w:val="00053E95"/>
    <w:rsid w:val="000544A3"/>
    <w:rsid w:val="0005451E"/>
    <w:rsid w:val="000549AD"/>
    <w:rsid w:val="00054CB3"/>
    <w:rsid w:val="0005534A"/>
    <w:rsid w:val="00055368"/>
    <w:rsid w:val="000555AF"/>
    <w:rsid w:val="00055643"/>
    <w:rsid w:val="00055E43"/>
    <w:rsid w:val="00056419"/>
    <w:rsid w:val="000564B0"/>
    <w:rsid w:val="000567DF"/>
    <w:rsid w:val="0005681F"/>
    <w:rsid w:val="00056861"/>
    <w:rsid w:val="00056D74"/>
    <w:rsid w:val="00057058"/>
    <w:rsid w:val="000570D0"/>
    <w:rsid w:val="00057378"/>
    <w:rsid w:val="0005746E"/>
    <w:rsid w:val="000576F2"/>
    <w:rsid w:val="0005794D"/>
    <w:rsid w:val="000601B9"/>
    <w:rsid w:val="00060228"/>
    <w:rsid w:val="000603B8"/>
    <w:rsid w:val="000605D5"/>
    <w:rsid w:val="00060B47"/>
    <w:rsid w:val="00060D5E"/>
    <w:rsid w:val="00061379"/>
    <w:rsid w:val="0006161A"/>
    <w:rsid w:val="00061865"/>
    <w:rsid w:val="0006187D"/>
    <w:rsid w:val="00061D61"/>
    <w:rsid w:val="00062065"/>
    <w:rsid w:val="000621FB"/>
    <w:rsid w:val="000624A2"/>
    <w:rsid w:val="00062547"/>
    <w:rsid w:val="00062584"/>
    <w:rsid w:val="00062667"/>
    <w:rsid w:val="000627F0"/>
    <w:rsid w:val="000629E5"/>
    <w:rsid w:val="00062B55"/>
    <w:rsid w:val="0006321F"/>
    <w:rsid w:val="00063852"/>
    <w:rsid w:val="000641EC"/>
    <w:rsid w:val="0006439A"/>
    <w:rsid w:val="00064985"/>
    <w:rsid w:val="000649BE"/>
    <w:rsid w:val="00064AA9"/>
    <w:rsid w:val="0006564D"/>
    <w:rsid w:val="00065961"/>
    <w:rsid w:val="00065B17"/>
    <w:rsid w:val="00065B44"/>
    <w:rsid w:val="00065B51"/>
    <w:rsid w:val="00065D37"/>
    <w:rsid w:val="00065F29"/>
    <w:rsid w:val="00066A3F"/>
    <w:rsid w:val="00066AD2"/>
    <w:rsid w:val="00066DB4"/>
    <w:rsid w:val="00066EA5"/>
    <w:rsid w:val="00066EE2"/>
    <w:rsid w:val="000675E4"/>
    <w:rsid w:val="0007015B"/>
    <w:rsid w:val="00070191"/>
    <w:rsid w:val="000704A8"/>
    <w:rsid w:val="000705E3"/>
    <w:rsid w:val="0007064D"/>
    <w:rsid w:val="00070743"/>
    <w:rsid w:val="00070AB1"/>
    <w:rsid w:val="00070C1B"/>
    <w:rsid w:val="00070D19"/>
    <w:rsid w:val="00070DAC"/>
    <w:rsid w:val="000710FA"/>
    <w:rsid w:val="0007141A"/>
    <w:rsid w:val="000715F0"/>
    <w:rsid w:val="00071619"/>
    <w:rsid w:val="000717B2"/>
    <w:rsid w:val="0007194A"/>
    <w:rsid w:val="00071990"/>
    <w:rsid w:val="0007205B"/>
    <w:rsid w:val="00072280"/>
    <w:rsid w:val="000722EC"/>
    <w:rsid w:val="0007259E"/>
    <w:rsid w:val="000725F5"/>
    <w:rsid w:val="00072A2B"/>
    <w:rsid w:val="00072A41"/>
    <w:rsid w:val="00072CBD"/>
    <w:rsid w:val="00073995"/>
    <w:rsid w:val="00073E16"/>
    <w:rsid w:val="00073EAD"/>
    <w:rsid w:val="00073FA8"/>
    <w:rsid w:val="0007414D"/>
    <w:rsid w:val="0007449E"/>
    <w:rsid w:val="0007452D"/>
    <w:rsid w:val="000747BB"/>
    <w:rsid w:val="0007480F"/>
    <w:rsid w:val="00074AAF"/>
    <w:rsid w:val="0007508F"/>
    <w:rsid w:val="00075134"/>
    <w:rsid w:val="0007525E"/>
    <w:rsid w:val="00075726"/>
    <w:rsid w:val="0007580E"/>
    <w:rsid w:val="000762DE"/>
    <w:rsid w:val="00076382"/>
    <w:rsid w:val="000764AD"/>
    <w:rsid w:val="00076B08"/>
    <w:rsid w:val="0007702B"/>
    <w:rsid w:val="000772B8"/>
    <w:rsid w:val="00077DFE"/>
    <w:rsid w:val="0008086B"/>
    <w:rsid w:val="000811D6"/>
    <w:rsid w:val="00081B23"/>
    <w:rsid w:val="00081F0C"/>
    <w:rsid w:val="00082322"/>
    <w:rsid w:val="00082391"/>
    <w:rsid w:val="00082583"/>
    <w:rsid w:val="00082C9E"/>
    <w:rsid w:val="0008348F"/>
    <w:rsid w:val="000841B0"/>
    <w:rsid w:val="00084408"/>
    <w:rsid w:val="00084D71"/>
    <w:rsid w:val="00085177"/>
    <w:rsid w:val="00085370"/>
    <w:rsid w:val="00085598"/>
    <w:rsid w:val="0008577C"/>
    <w:rsid w:val="00085CC8"/>
    <w:rsid w:val="00085FC9"/>
    <w:rsid w:val="00085FE7"/>
    <w:rsid w:val="0008625C"/>
    <w:rsid w:val="0008641E"/>
    <w:rsid w:val="0008688A"/>
    <w:rsid w:val="00086893"/>
    <w:rsid w:val="000871EF"/>
    <w:rsid w:val="000872EA"/>
    <w:rsid w:val="00087BA9"/>
    <w:rsid w:val="00090006"/>
    <w:rsid w:val="00090B01"/>
    <w:rsid w:val="000912CF"/>
    <w:rsid w:val="00091307"/>
    <w:rsid w:val="00091DC2"/>
    <w:rsid w:val="00091F4E"/>
    <w:rsid w:val="0009319B"/>
    <w:rsid w:val="0009367D"/>
    <w:rsid w:val="00093B6A"/>
    <w:rsid w:val="00093BDB"/>
    <w:rsid w:val="00093C1A"/>
    <w:rsid w:val="00093C52"/>
    <w:rsid w:val="00093DA2"/>
    <w:rsid w:val="00093F18"/>
    <w:rsid w:val="000943C5"/>
    <w:rsid w:val="000947AC"/>
    <w:rsid w:val="00094B37"/>
    <w:rsid w:val="00094B9A"/>
    <w:rsid w:val="00094DA1"/>
    <w:rsid w:val="00094E25"/>
    <w:rsid w:val="00094FE7"/>
    <w:rsid w:val="00095435"/>
    <w:rsid w:val="000954D2"/>
    <w:rsid w:val="00095F6E"/>
    <w:rsid w:val="00096069"/>
    <w:rsid w:val="00096096"/>
    <w:rsid w:val="000961BF"/>
    <w:rsid w:val="00096294"/>
    <w:rsid w:val="00096521"/>
    <w:rsid w:val="00096569"/>
    <w:rsid w:val="000965B2"/>
    <w:rsid w:val="000968C5"/>
    <w:rsid w:val="00096C51"/>
    <w:rsid w:val="00096DFA"/>
    <w:rsid w:val="0009721B"/>
    <w:rsid w:val="000974BE"/>
    <w:rsid w:val="00097720"/>
    <w:rsid w:val="00097738"/>
    <w:rsid w:val="000979F7"/>
    <w:rsid w:val="000A00F4"/>
    <w:rsid w:val="000A0126"/>
    <w:rsid w:val="000A0363"/>
    <w:rsid w:val="000A0643"/>
    <w:rsid w:val="000A09CA"/>
    <w:rsid w:val="000A0E4B"/>
    <w:rsid w:val="000A12DC"/>
    <w:rsid w:val="000A16CE"/>
    <w:rsid w:val="000A1771"/>
    <w:rsid w:val="000A189B"/>
    <w:rsid w:val="000A1CE1"/>
    <w:rsid w:val="000A1D85"/>
    <w:rsid w:val="000A27FB"/>
    <w:rsid w:val="000A280C"/>
    <w:rsid w:val="000A2927"/>
    <w:rsid w:val="000A2E4F"/>
    <w:rsid w:val="000A312B"/>
    <w:rsid w:val="000A3131"/>
    <w:rsid w:val="000A3344"/>
    <w:rsid w:val="000A3517"/>
    <w:rsid w:val="000A36CF"/>
    <w:rsid w:val="000A39A1"/>
    <w:rsid w:val="000A39AE"/>
    <w:rsid w:val="000A3D7D"/>
    <w:rsid w:val="000A3EA6"/>
    <w:rsid w:val="000A3EEA"/>
    <w:rsid w:val="000A442B"/>
    <w:rsid w:val="000A454A"/>
    <w:rsid w:val="000A5207"/>
    <w:rsid w:val="000A5531"/>
    <w:rsid w:val="000A5671"/>
    <w:rsid w:val="000A58DA"/>
    <w:rsid w:val="000A5A18"/>
    <w:rsid w:val="000A6021"/>
    <w:rsid w:val="000A6519"/>
    <w:rsid w:val="000A67FF"/>
    <w:rsid w:val="000A6B23"/>
    <w:rsid w:val="000A6DE8"/>
    <w:rsid w:val="000A6F44"/>
    <w:rsid w:val="000A6F79"/>
    <w:rsid w:val="000A6FA7"/>
    <w:rsid w:val="000A7138"/>
    <w:rsid w:val="000A73E3"/>
    <w:rsid w:val="000A76CF"/>
    <w:rsid w:val="000A7B5F"/>
    <w:rsid w:val="000A7DBE"/>
    <w:rsid w:val="000A7E52"/>
    <w:rsid w:val="000B0054"/>
    <w:rsid w:val="000B0096"/>
    <w:rsid w:val="000B0925"/>
    <w:rsid w:val="000B09C4"/>
    <w:rsid w:val="000B0BAE"/>
    <w:rsid w:val="000B0FE2"/>
    <w:rsid w:val="000B11F8"/>
    <w:rsid w:val="000B1534"/>
    <w:rsid w:val="000B15D8"/>
    <w:rsid w:val="000B18A2"/>
    <w:rsid w:val="000B19FF"/>
    <w:rsid w:val="000B1C3E"/>
    <w:rsid w:val="000B1D8F"/>
    <w:rsid w:val="000B1E8A"/>
    <w:rsid w:val="000B1F3B"/>
    <w:rsid w:val="000B2041"/>
    <w:rsid w:val="000B2526"/>
    <w:rsid w:val="000B2661"/>
    <w:rsid w:val="000B30E2"/>
    <w:rsid w:val="000B3424"/>
    <w:rsid w:val="000B34AF"/>
    <w:rsid w:val="000B34EA"/>
    <w:rsid w:val="000B3B89"/>
    <w:rsid w:val="000B3BC0"/>
    <w:rsid w:val="000B3C7C"/>
    <w:rsid w:val="000B3CA8"/>
    <w:rsid w:val="000B3D2F"/>
    <w:rsid w:val="000B40A2"/>
    <w:rsid w:val="000B48BB"/>
    <w:rsid w:val="000B4B3B"/>
    <w:rsid w:val="000B4D1F"/>
    <w:rsid w:val="000B566B"/>
    <w:rsid w:val="000B6476"/>
    <w:rsid w:val="000B6498"/>
    <w:rsid w:val="000B64E0"/>
    <w:rsid w:val="000B676C"/>
    <w:rsid w:val="000B681A"/>
    <w:rsid w:val="000B69CA"/>
    <w:rsid w:val="000B69FA"/>
    <w:rsid w:val="000B7003"/>
    <w:rsid w:val="000B7180"/>
    <w:rsid w:val="000B7442"/>
    <w:rsid w:val="000B744C"/>
    <w:rsid w:val="000B7548"/>
    <w:rsid w:val="000B7686"/>
    <w:rsid w:val="000C0074"/>
    <w:rsid w:val="000C025D"/>
    <w:rsid w:val="000C0260"/>
    <w:rsid w:val="000C0489"/>
    <w:rsid w:val="000C074C"/>
    <w:rsid w:val="000C0BB0"/>
    <w:rsid w:val="000C0DC0"/>
    <w:rsid w:val="000C10F8"/>
    <w:rsid w:val="000C13F2"/>
    <w:rsid w:val="000C1462"/>
    <w:rsid w:val="000C1523"/>
    <w:rsid w:val="000C197A"/>
    <w:rsid w:val="000C19BD"/>
    <w:rsid w:val="000C1DBE"/>
    <w:rsid w:val="000C1ECB"/>
    <w:rsid w:val="000C20FD"/>
    <w:rsid w:val="000C2166"/>
    <w:rsid w:val="000C21EA"/>
    <w:rsid w:val="000C254C"/>
    <w:rsid w:val="000C283F"/>
    <w:rsid w:val="000C290E"/>
    <w:rsid w:val="000C2966"/>
    <w:rsid w:val="000C2A8C"/>
    <w:rsid w:val="000C2C3C"/>
    <w:rsid w:val="000C30EA"/>
    <w:rsid w:val="000C3DC2"/>
    <w:rsid w:val="000C3F12"/>
    <w:rsid w:val="000C3FA8"/>
    <w:rsid w:val="000C4450"/>
    <w:rsid w:val="000C4684"/>
    <w:rsid w:val="000C4B4C"/>
    <w:rsid w:val="000C4FD1"/>
    <w:rsid w:val="000C50C0"/>
    <w:rsid w:val="000C525D"/>
    <w:rsid w:val="000C56EF"/>
    <w:rsid w:val="000C62F0"/>
    <w:rsid w:val="000C6528"/>
    <w:rsid w:val="000C6B51"/>
    <w:rsid w:val="000C6E66"/>
    <w:rsid w:val="000C6FA4"/>
    <w:rsid w:val="000C703F"/>
    <w:rsid w:val="000C762E"/>
    <w:rsid w:val="000C76CF"/>
    <w:rsid w:val="000C7AB9"/>
    <w:rsid w:val="000D010B"/>
    <w:rsid w:val="000D02CA"/>
    <w:rsid w:val="000D064F"/>
    <w:rsid w:val="000D0FDC"/>
    <w:rsid w:val="000D1552"/>
    <w:rsid w:val="000D18D7"/>
    <w:rsid w:val="000D198E"/>
    <w:rsid w:val="000D1B72"/>
    <w:rsid w:val="000D1DDF"/>
    <w:rsid w:val="000D22F9"/>
    <w:rsid w:val="000D2489"/>
    <w:rsid w:val="000D282B"/>
    <w:rsid w:val="000D2CD4"/>
    <w:rsid w:val="000D2E97"/>
    <w:rsid w:val="000D324F"/>
    <w:rsid w:val="000D329E"/>
    <w:rsid w:val="000D3789"/>
    <w:rsid w:val="000D37C8"/>
    <w:rsid w:val="000D3A7F"/>
    <w:rsid w:val="000D3DDE"/>
    <w:rsid w:val="000D4047"/>
    <w:rsid w:val="000D46A6"/>
    <w:rsid w:val="000D5122"/>
    <w:rsid w:val="000D5658"/>
    <w:rsid w:val="000D568F"/>
    <w:rsid w:val="000D6520"/>
    <w:rsid w:val="000D6BC9"/>
    <w:rsid w:val="000D6D75"/>
    <w:rsid w:val="000D72AF"/>
    <w:rsid w:val="000D72B2"/>
    <w:rsid w:val="000D7434"/>
    <w:rsid w:val="000D79D9"/>
    <w:rsid w:val="000D7B09"/>
    <w:rsid w:val="000D7CEF"/>
    <w:rsid w:val="000D7F37"/>
    <w:rsid w:val="000D7FAC"/>
    <w:rsid w:val="000E0AB5"/>
    <w:rsid w:val="000E0D36"/>
    <w:rsid w:val="000E0F78"/>
    <w:rsid w:val="000E1061"/>
    <w:rsid w:val="000E112F"/>
    <w:rsid w:val="000E11D2"/>
    <w:rsid w:val="000E1335"/>
    <w:rsid w:val="000E140A"/>
    <w:rsid w:val="000E144E"/>
    <w:rsid w:val="000E1949"/>
    <w:rsid w:val="000E1A81"/>
    <w:rsid w:val="000E2105"/>
    <w:rsid w:val="000E23AA"/>
    <w:rsid w:val="000E23EA"/>
    <w:rsid w:val="000E2483"/>
    <w:rsid w:val="000E29A0"/>
    <w:rsid w:val="000E2F28"/>
    <w:rsid w:val="000E3044"/>
    <w:rsid w:val="000E35AE"/>
    <w:rsid w:val="000E389A"/>
    <w:rsid w:val="000E3E9D"/>
    <w:rsid w:val="000E3F55"/>
    <w:rsid w:val="000E4069"/>
    <w:rsid w:val="000E41F2"/>
    <w:rsid w:val="000E4427"/>
    <w:rsid w:val="000E47C9"/>
    <w:rsid w:val="000E48DC"/>
    <w:rsid w:val="000E537D"/>
    <w:rsid w:val="000E596E"/>
    <w:rsid w:val="000E599F"/>
    <w:rsid w:val="000E5A0A"/>
    <w:rsid w:val="000E5A42"/>
    <w:rsid w:val="000E5CE6"/>
    <w:rsid w:val="000E65E9"/>
    <w:rsid w:val="000E6621"/>
    <w:rsid w:val="000E6F48"/>
    <w:rsid w:val="000E7029"/>
    <w:rsid w:val="000E70A6"/>
    <w:rsid w:val="000E7318"/>
    <w:rsid w:val="000E77B7"/>
    <w:rsid w:val="000E7950"/>
    <w:rsid w:val="000E7B38"/>
    <w:rsid w:val="000F05E1"/>
    <w:rsid w:val="000F08BD"/>
    <w:rsid w:val="000F0914"/>
    <w:rsid w:val="000F0B1F"/>
    <w:rsid w:val="000F0B43"/>
    <w:rsid w:val="000F12FD"/>
    <w:rsid w:val="000F1641"/>
    <w:rsid w:val="000F1991"/>
    <w:rsid w:val="000F21A2"/>
    <w:rsid w:val="000F2CD0"/>
    <w:rsid w:val="000F36D8"/>
    <w:rsid w:val="000F3978"/>
    <w:rsid w:val="000F41A6"/>
    <w:rsid w:val="000F4754"/>
    <w:rsid w:val="000F51DA"/>
    <w:rsid w:val="000F5218"/>
    <w:rsid w:val="000F5222"/>
    <w:rsid w:val="000F57A9"/>
    <w:rsid w:val="000F57B7"/>
    <w:rsid w:val="000F57CE"/>
    <w:rsid w:val="000F58E0"/>
    <w:rsid w:val="000F591C"/>
    <w:rsid w:val="000F595B"/>
    <w:rsid w:val="000F5E3F"/>
    <w:rsid w:val="000F6025"/>
    <w:rsid w:val="000F604F"/>
    <w:rsid w:val="000F6E15"/>
    <w:rsid w:val="000F6E35"/>
    <w:rsid w:val="000F7159"/>
    <w:rsid w:val="000F765B"/>
    <w:rsid w:val="000F79E6"/>
    <w:rsid w:val="000F7C08"/>
    <w:rsid w:val="000F7CCF"/>
    <w:rsid w:val="001000E5"/>
    <w:rsid w:val="00100149"/>
    <w:rsid w:val="00100DE1"/>
    <w:rsid w:val="00101138"/>
    <w:rsid w:val="001014A7"/>
    <w:rsid w:val="001014AA"/>
    <w:rsid w:val="00101A75"/>
    <w:rsid w:val="00101CA5"/>
    <w:rsid w:val="00101F07"/>
    <w:rsid w:val="001025D7"/>
    <w:rsid w:val="00102D75"/>
    <w:rsid w:val="001033DC"/>
    <w:rsid w:val="00103552"/>
    <w:rsid w:val="0010363F"/>
    <w:rsid w:val="0010381F"/>
    <w:rsid w:val="001039D3"/>
    <w:rsid w:val="00103C93"/>
    <w:rsid w:val="00103D94"/>
    <w:rsid w:val="00103FD3"/>
    <w:rsid w:val="00104196"/>
    <w:rsid w:val="00104262"/>
    <w:rsid w:val="00104428"/>
    <w:rsid w:val="001048FB"/>
    <w:rsid w:val="00104A2E"/>
    <w:rsid w:val="00104A41"/>
    <w:rsid w:val="001054FC"/>
    <w:rsid w:val="00105598"/>
    <w:rsid w:val="0010598B"/>
    <w:rsid w:val="001062F1"/>
    <w:rsid w:val="00106401"/>
    <w:rsid w:val="00106927"/>
    <w:rsid w:val="00106B92"/>
    <w:rsid w:val="00106C24"/>
    <w:rsid w:val="00106D4A"/>
    <w:rsid w:val="00106F87"/>
    <w:rsid w:val="00107175"/>
    <w:rsid w:val="0010719F"/>
    <w:rsid w:val="00107791"/>
    <w:rsid w:val="001079CD"/>
    <w:rsid w:val="00107C73"/>
    <w:rsid w:val="00107C93"/>
    <w:rsid w:val="001100D5"/>
    <w:rsid w:val="001100EE"/>
    <w:rsid w:val="0011029F"/>
    <w:rsid w:val="00110732"/>
    <w:rsid w:val="0011097C"/>
    <w:rsid w:val="00110A50"/>
    <w:rsid w:val="00110C26"/>
    <w:rsid w:val="00110C5E"/>
    <w:rsid w:val="00110FE4"/>
    <w:rsid w:val="00110FE6"/>
    <w:rsid w:val="0011118B"/>
    <w:rsid w:val="001111EE"/>
    <w:rsid w:val="001112F2"/>
    <w:rsid w:val="00111E92"/>
    <w:rsid w:val="00111F70"/>
    <w:rsid w:val="00111F73"/>
    <w:rsid w:val="00112249"/>
    <w:rsid w:val="001123A7"/>
    <w:rsid w:val="00112A64"/>
    <w:rsid w:val="00112B5D"/>
    <w:rsid w:val="00113038"/>
    <w:rsid w:val="00113181"/>
    <w:rsid w:val="00113545"/>
    <w:rsid w:val="001138C0"/>
    <w:rsid w:val="001138F3"/>
    <w:rsid w:val="00113926"/>
    <w:rsid w:val="00113B45"/>
    <w:rsid w:val="00113BE1"/>
    <w:rsid w:val="00113C92"/>
    <w:rsid w:val="00113F74"/>
    <w:rsid w:val="0011405A"/>
    <w:rsid w:val="00114156"/>
    <w:rsid w:val="00114458"/>
    <w:rsid w:val="00114E8D"/>
    <w:rsid w:val="0011502D"/>
    <w:rsid w:val="001150C5"/>
    <w:rsid w:val="00115210"/>
    <w:rsid w:val="001152BD"/>
    <w:rsid w:val="0011560F"/>
    <w:rsid w:val="00115659"/>
    <w:rsid w:val="00115C84"/>
    <w:rsid w:val="001164CB"/>
    <w:rsid w:val="00116506"/>
    <w:rsid w:val="001168B8"/>
    <w:rsid w:val="001177FC"/>
    <w:rsid w:val="00117F2A"/>
    <w:rsid w:val="00120078"/>
    <w:rsid w:val="001201AD"/>
    <w:rsid w:val="001202A6"/>
    <w:rsid w:val="001205E1"/>
    <w:rsid w:val="0012126B"/>
    <w:rsid w:val="001212AF"/>
    <w:rsid w:val="00121369"/>
    <w:rsid w:val="0012153F"/>
    <w:rsid w:val="001221B5"/>
    <w:rsid w:val="00122278"/>
    <w:rsid w:val="00122371"/>
    <w:rsid w:val="001224E0"/>
    <w:rsid w:val="00122900"/>
    <w:rsid w:val="00122936"/>
    <w:rsid w:val="00122C31"/>
    <w:rsid w:val="00123414"/>
    <w:rsid w:val="0012363B"/>
    <w:rsid w:val="001238BA"/>
    <w:rsid w:val="00123AF0"/>
    <w:rsid w:val="00124316"/>
    <w:rsid w:val="0012434D"/>
    <w:rsid w:val="001244FF"/>
    <w:rsid w:val="001247FA"/>
    <w:rsid w:val="001248CF"/>
    <w:rsid w:val="001249B3"/>
    <w:rsid w:val="001249BE"/>
    <w:rsid w:val="00124C35"/>
    <w:rsid w:val="00124E01"/>
    <w:rsid w:val="00125188"/>
    <w:rsid w:val="001254C7"/>
    <w:rsid w:val="00125555"/>
    <w:rsid w:val="0012565D"/>
    <w:rsid w:val="00125993"/>
    <w:rsid w:val="00125A75"/>
    <w:rsid w:val="00125B31"/>
    <w:rsid w:val="00125B96"/>
    <w:rsid w:val="00125D43"/>
    <w:rsid w:val="00125D87"/>
    <w:rsid w:val="00125E7C"/>
    <w:rsid w:val="0012616F"/>
    <w:rsid w:val="00126344"/>
    <w:rsid w:val="001263B1"/>
    <w:rsid w:val="001269C5"/>
    <w:rsid w:val="00126B77"/>
    <w:rsid w:val="0012743C"/>
    <w:rsid w:val="001274F1"/>
    <w:rsid w:val="00127594"/>
    <w:rsid w:val="001275F9"/>
    <w:rsid w:val="0012792C"/>
    <w:rsid w:val="00127935"/>
    <w:rsid w:val="00127A0C"/>
    <w:rsid w:val="00127D7D"/>
    <w:rsid w:val="00130361"/>
    <w:rsid w:val="001305E2"/>
    <w:rsid w:val="001306CD"/>
    <w:rsid w:val="00130858"/>
    <w:rsid w:val="00130B68"/>
    <w:rsid w:val="00130DC1"/>
    <w:rsid w:val="00131138"/>
    <w:rsid w:val="001313B0"/>
    <w:rsid w:val="001315C3"/>
    <w:rsid w:val="0013168E"/>
    <w:rsid w:val="00131782"/>
    <w:rsid w:val="00131A3B"/>
    <w:rsid w:val="00131B2C"/>
    <w:rsid w:val="00131D37"/>
    <w:rsid w:val="00131DCF"/>
    <w:rsid w:val="00131F1E"/>
    <w:rsid w:val="00131F5B"/>
    <w:rsid w:val="001320C8"/>
    <w:rsid w:val="001324E7"/>
    <w:rsid w:val="00132890"/>
    <w:rsid w:val="00132CA4"/>
    <w:rsid w:val="00132CCF"/>
    <w:rsid w:val="00132DDE"/>
    <w:rsid w:val="001337B0"/>
    <w:rsid w:val="00133991"/>
    <w:rsid w:val="001339A3"/>
    <w:rsid w:val="00133B56"/>
    <w:rsid w:val="00133D52"/>
    <w:rsid w:val="00133F37"/>
    <w:rsid w:val="00134045"/>
    <w:rsid w:val="00134450"/>
    <w:rsid w:val="00134704"/>
    <w:rsid w:val="00134944"/>
    <w:rsid w:val="00134A8E"/>
    <w:rsid w:val="00134B78"/>
    <w:rsid w:val="00134E18"/>
    <w:rsid w:val="00135009"/>
    <w:rsid w:val="0013510B"/>
    <w:rsid w:val="001354B7"/>
    <w:rsid w:val="00135570"/>
    <w:rsid w:val="00135622"/>
    <w:rsid w:val="001356E5"/>
    <w:rsid w:val="0013570D"/>
    <w:rsid w:val="0013573A"/>
    <w:rsid w:val="0013587D"/>
    <w:rsid w:val="00135E97"/>
    <w:rsid w:val="00135FC9"/>
    <w:rsid w:val="0013632D"/>
    <w:rsid w:val="00136690"/>
    <w:rsid w:val="001373DE"/>
    <w:rsid w:val="00137705"/>
    <w:rsid w:val="001379AB"/>
    <w:rsid w:val="00137A5B"/>
    <w:rsid w:val="0014010A"/>
    <w:rsid w:val="001404BA"/>
    <w:rsid w:val="00140F08"/>
    <w:rsid w:val="00140F1C"/>
    <w:rsid w:val="00141AE8"/>
    <w:rsid w:val="00141CAE"/>
    <w:rsid w:val="00142095"/>
    <w:rsid w:val="00142300"/>
    <w:rsid w:val="0014277C"/>
    <w:rsid w:val="00142B4A"/>
    <w:rsid w:val="00142BF8"/>
    <w:rsid w:val="0014336D"/>
    <w:rsid w:val="00143B41"/>
    <w:rsid w:val="00143F4A"/>
    <w:rsid w:val="00144216"/>
    <w:rsid w:val="0014438E"/>
    <w:rsid w:val="00144545"/>
    <w:rsid w:val="00144DAA"/>
    <w:rsid w:val="00145484"/>
    <w:rsid w:val="001455E4"/>
    <w:rsid w:val="0014577B"/>
    <w:rsid w:val="00145BD6"/>
    <w:rsid w:val="00146051"/>
    <w:rsid w:val="001460C3"/>
    <w:rsid w:val="0014635E"/>
    <w:rsid w:val="001463EC"/>
    <w:rsid w:val="001467B0"/>
    <w:rsid w:val="001468F2"/>
    <w:rsid w:val="00146924"/>
    <w:rsid w:val="001469A1"/>
    <w:rsid w:val="00146A42"/>
    <w:rsid w:val="00146ACA"/>
    <w:rsid w:val="00146CAB"/>
    <w:rsid w:val="00146D04"/>
    <w:rsid w:val="00146D98"/>
    <w:rsid w:val="00146E3E"/>
    <w:rsid w:val="001473B3"/>
    <w:rsid w:val="001477B5"/>
    <w:rsid w:val="001478E5"/>
    <w:rsid w:val="00147934"/>
    <w:rsid w:val="00147EAD"/>
    <w:rsid w:val="00150090"/>
    <w:rsid w:val="001506D3"/>
    <w:rsid w:val="00150826"/>
    <w:rsid w:val="001509FD"/>
    <w:rsid w:val="0015121D"/>
    <w:rsid w:val="00151583"/>
    <w:rsid w:val="00151966"/>
    <w:rsid w:val="0015199E"/>
    <w:rsid w:val="001523BB"/>
    <w:rsid w:val="00152780"/>
    <w:rsid w:val="0015285B"/>
    <w:rsid w:val="00152E6E"/>
    <w:rsid w:val="00153316"/>
    <w:rsid w:val="00153B2C"/>
    <w:rsid w:val="00153FCE"/>
    <w:rsid w:val="0015419A"/>
    <w:rsid w:val="0015430F"/>
    <w:rsid w:val="00154331"/>
    <w:rsid w:val="001545D6"/>
    <w:rsid w:val="0015465F"/>
    <w:rsid w:val="00154EE3"/>
    <w:rsid w:val="0015510B"/>
    <w:rsid w:val="00155144"/>
    <w:rsid w:val="00155306"/>
    <w:rsid w:val="00155357"/>
    <w:rsid w:val="00155472"/>
    <w:rsid w:val="001555E0"/>
    <w:rsid w:val="0015581E"/>
    <w:rsid w:val="001558F1"/>
    <w:rsid w:val="00155B6D"/>
    <w:rsid w:val="00155BCE"/>
    <w:rsid w:val="00155BF7"/>
    <w:rsid w:val="00155D0A"/>
    <w:rsid w:val="00155EE2"/>
    <w:rsid w:val="00155FA3"/>
    <w:rsid w:val="00156641"/>
    <w:rsid w:val="001567CD"/>
    <w:rsid w:val="00156998"/>
    <w:rsid w:val="001569BA"/>
    <w:rsid w:val="00156D32"/>
    <w:rsid w:val="00156EFF"/>
    <w:rsid w:val="00156F36"/>
    <w:rsid w:val="001576FF"/>
    <w:rsid w:val="001577A2"/>
    <w:rsid w:val="00157B5F"/>
    <w:rsid w:val="00157C44"/>
    <w:rsid w:val="00157CE1"/>
    <w:rsid w:val="00157DE8"/>
    <w:rsid w:val="00157E61"/>
    <w:rsid w:val="00160011"/>
    <w:rsid w:val="00160023"/>
    <w:rsid w:val="00160061"/>
    <w:rsid w:val="00160545"/>
    <w:rsid w:val="00160698"/>
    <w:rsid w:val="00160CF7"/>
    <w:rsid w:val="00161114"/>
    <w:rsid w:val="00161146"/>
    <w:rsid w:val="001620D0"/>
    <w:rsid w:val="00162451"/>
    <w:rsid w:val="001626D8"/>
    <w:rsid w:val="001627BA"/>
    <w:rsid w:val="00162CD6"/>
    <w:rsid w:val="001633DA"/>
    <w:rsid w:val="0016367A"/>
    <w:rsid w:val="001637BC"/>
    <w:rsid w:val="001638F9"/>
    <w:rsid w:val="001639C2"/>
    <w:rsid w:val="00163DDF"/>
    <w:rsid w:val="00163E43"/>
    <w:rsid w:val="00164468"/>
    <w:rsid w:val="00164977"/>
    <w:rsid w:val="00164C6B"/>
    <w:rsid w:val="00164D68"/>
    <w:rsid w:val="00164E25"/>
    <w:rsid w:val="00164F52"/>
    <w:rsid w:val="001650FE"/>
    <w:rsid w:val="0016533A"/>
    <w:rsid w:val="00165792"/>
    <w:rsid w:val="00165C36"/>
    <w:rsid w:val="00165EAD"/>
    <w:rsid w:val="00165F1A"/>
    <w:rsid w:val="001660A2"/>
    <w:rsid w:val="0016663D"/>
    <w:rsid w:val="00166877"/>
    <w:rsid w:val="00166937"/>
    <w:rsid w:val="00167C67"/>
    <w:rsid w:val="00167D07"/>
    <w:rsid w:val="00167DB4"/>
    <w:rsid w:val="00167DC8"/>
    <w:rsid w:val="00167F36"/>
    <w:rsid w:val="00170321"/>
    <w:rsid w:val="001705BE"/>
    <w:rsid w:val="001710CA"/>
    <w:rsid w:val="00171335"/>
    <w:rsid w:val="001714B6"/>
    <w:rsid w:val="0017159C"/>
    <w:rsid w:val="00171CE6"/>
    <w:rsid w:val="00171FA8"/>
    <w:rsid w:val="00172068"/>
    <w:rsid w:val="00172299"/>
    <w:rsid w:val="001722E4"/>
    <w:rsid w:val="00172614"/>
    <w:rsid w:val="00172731"/>
    <w:rsid w:val="001727E7"/>
    <w:rsid w:val="00172F36"/>
    <w:rsid w:val="0017361A"/>
    <w:rsid w:val="00173968"/>
    <w:rsid w:val="00173D3A"/>
    <w:rsid w:val="0017427D"/>
    <w:rsid w:val="00174324"/>
    <w:rsid w:val="0017486E"/>
    <w:rsid w:val="00174A9E"/>
    <w:rsid w:val="001751AD"/>
    <w:rsid w:val="001757B8"/>
    <w:rsid w:val="00175CD3"/>
    <w:rsid w:val="00175F47"/>
    <w:rsid w:val="00176034"/>
    <w:rsid w:val="00176A0F"/>
    <w:rsid w:val="0017722C"/>
    <w:rsid w:val="00177664"/>
    <w:rsid w:val="0017771E"/>
    <w:rsid w:val="00177836"/>
    <w:rsid w:val="001778CD"/>
    <w:rsid w:val="00177A61"/>
    <w:rsid w:val="00177D28"/>
    <w:rsid w:val="00177D42"/>
    <w:rsid w:val="00177DE1"/>
    <w:rsid w:val="00180335"/>
    <w:rsid w:val="0018069C"/>
    <w:rsid w:val="0018082A"/>
    <w:rsid w:val="00180A7C"/>
    <w:rsid w:val="00180A98"/>
    <w:rsid w:val="00180CD7"/>
    <w:rsid w:val="00180F47"/>
    <w:rsid w:val="001813B2"/>
    <w:rsid w:val="001814AE"/>
    <w:rsid w:val="00181500"/>
    <w:rsid w:val="001815C1"/>
    <w:rsid w:val="001817E7"/>
    <w:rsid w:val="00181C36"/>
    <w:rsid w:val="00181DB0"/>
    <w:rsid w:val="00181E5B"/>
    <w:rsid w:val="00182462"/>
    <w:rsid w:val="0018248E"/>
    <w:rsid w:val="00182AFD"/>
    <w:rsid w:val="00182CAE"/>
    <w:rsid w:val="00182F6F"/>
    <w:rsid w:val="00183427"/>
    <w:rsid w:val="0018360A"/>
    <w:rsid w:val="00183995"/>
    <w:rsid w:val="00183A06"/>
    <w:rsid w:val="00183AC9"/>
    <w:rsid w:val="00183C0F"/>
    <w:rsid w:val="001848C9"/>
    <w:rsid w:val="00184C18"/>
    <w:rsid w:val="00184D75"/>
    <w:rsid w:val="00185527"/>
    <w:rsid w:val="0018589E"/>
    <w:rsid w:val="00185905"/>
    <w:rsid w:val="00185B9F"/>
    <w:rsid w:val="00186027"/>
    <w:rsid w:val="00186357"/>
    <w:rsid w:val="0018673F"/>
    <w:rsid w:val="00186A22"/>
    <w:rsid w:val="00186D75"/>
    <w:rsid w:val="00186F6E"/>
    <w:rsid w:val="0018728D"/>
    <w:rsid w:val="001873CF"/>
    <w:rsid w:val="0018781A"/>
    <w:rsid w:val="001878DE"/>
    <w:rsid w:val="00187ADB"/>
    <w:rsid w:val="00187EE0"/>
    <w:rsid w:val="00190017"/>
    <w:rsid w:val="00190529"/>
    <w:rsid w:val="00190D02"/>
    <w:rsid w:val="00190DDB"/>
    <w:rsid w:val="00190F33"/>
    <w:rsid w:val="00191147"/>
    <w:rsid w:val="001911AC"/>
    <w:rsid w:val="00191285"/>
    <w:rsid w:val="00191311"/>
    <w:rsid w:val="001913DF"/>
    <w:rsid w:val="00191492"/>
    <w:rsid w:val="00191BED"/>
    <w:rsid w:val="00191BF7"/>
    <w:rsid w:val="0019208E"/>
    <w:rsid w:val="00192842"/>
    <w:rsid w:val="0019287E"/>
    <w:rsid w:val="00192897"/>
    <w:rsid w:val="001928E5"/>
    <w:rsid w:val="00192CC3"/>
    <w:rsid w:val="001930F3"/>
    <w:rsid w:val="0019331B"/>
    <w:rsid w:val="001939B2"/>
    <w:rsid w:val="00193CB3"/>
    <w:rsid w:val="00193F15"/>
    <w:rsid w:val="001944C8"/>
    <w:rsid w:val="00194694"/>
    <w:rsid w:val="00194AF9"/>
    <w:rsid w:val="00194D02"/>
    <w:rsid w:val="001953E5"/>
    <w:rsid w:val="00195400"/>
    <w:rsid w:val="001958A6"/>
    <w:rsid w:val="00195F6D"/>
    <w:rsid w:val="00196044"/>
    <w:rsid w:val="00196147"/>
    <w:rsid w:val="00196427"/>
    <w:rsid w:val="00196972"/>
    <w:rsid w:val="00196B4B"/>
    <w:rsid w:val="00196C5B"/>
    <w:rsid w:val="00197123"/>
    <w:rsid w:val="00197282"/>
    <w:rsid w:val="001A03F7"/>
    <w:rsid w:val="001A0441"/>
    <w:rsid w:val="001A0631"/>
    <w:rsid w:val="001A06D9"/>
    <w:rsid w:val="001A0977"/>
    <w:rsid w:val="001A0CAC"/>
    <w:rsid w:val="001A0FD0"/>
    <w:rsid w:val="001A12B4"/>
    <w:rsid w:val="001A19C6"/>
    <w:rsid w:val="001A1ABF"/>
    <w:rsid w:val="001A1B5B"/>
    <w:rsid w:val="001A1B6A"/>
    <w:rsid w:val="001A1C74"/>
    <w:rsid w:val="001A24CC"/>
    <w:rsid w:val="001A2567"/>
    <w:rsid w:val="001A25CD"/>
    <w:rsid w:val="001A2639"/>
    <w:rsid w:val="001A2719"/>
    <w:rsid w:val="001A308E"/>
    <w:rsid w:val="001A31FE"/>
    <w:rsid w:val="001A370A"/>
    <w:rsid w:val="001A3723"/>
    <w:rsid w:val="001A37B6"/>
    <w:rsid w:val="001A3C4E"/>
    <w:rsid w:val="001A4125"/>
    <w:rsid w:val="001A42CD"/>
    <w:rsid w:val="001A4367"/>
    <w:rsid w:val="001A45AD"/>
    <w:rsid w:val="001A4BB3"/>
    <w:rsid w:val="001A5074"/>
    <w:rsid w:val="001A50AE"/>
    <w:rsid w:val="001A532B"/>
    <w:rsid w:val="001A5AE2"/>
    <w:rsid w:val="001A5F1D"/>
    <w:rsid w:val="001A635B"/>
    <w:rsid w:val="001A6380"/>
    <w:rsid w:val="001A6D4A"/>
    <w:rsid w:val="001A729F"/>
    <w:rsid w:val="001A7844"/>
    <w:rsid w:val="001A7895"/>
    <w:rsid w:val="001A7B4D"/>
    <w:rsid w:val="001B0626"/>
    <w:rsid w:val="001B074F"/>
    <w:rsid w:val="001B0E22"/>
    <w:rsid w:val="001B111A"/>
    <w:rsid w:val="001B125D"/>
    <w:rsid w:val="001B15CC"/>
    <w:rsid w:val="001B1672"/>
    <w:rsid w:val="001B16DC"/>
    <w:rsid w:val="001B1CD9"/>
    <w:rsid w:val="001B1D54"/>
    <w:rsid w:val="001B1FF4"/>
    <w:rsid w:val="001B21EC"/>
    <w:rsid w:val="001B23B4"/>
    <w:rsid w:val="001B2A9B"/>
    <w:rsid w:val="001B2B97"/>
    <w:rsid w:val="001B2BA5"/>
    <w:rsid w:val="001B3038"/>
    <w:rsid w:val="001B3172"/>
    <w:rsid w:val="001B320E"/>
    <w:rsid w:val="001B34E9"/>
    <w:rsid w:val="001B38D3"/>
    <w:rsid w:val="001B416B"/>
    <w:rsid w:val="001B484A"/>
    <w:rsid w:val="001B49CC"/>
    <w:rsid w:val="001B4D08"/>
    <w:rsid w:val="001B4E25"/>
    <w:rsid w:val="001B5466"/>
    <w:rsid w:val="001B577B"/>
    <w:rsid w:val="001B5CA5"/>
    <w:rsid w:val="001B5DDE"/>
    <w:rsid w:val="001B62D0"/>
    <w:rsid w:val="001B65B0"/>
    <w:rsid w:val="001B687A"/>
    <w:rsid w:val="001B689C"/>
    <w:rsid w:val="001B6BFD"/>
    <w:rsid w:val="001B7370"/>
    <w:rsid w:val="001B742E"/>
    <w:rsid w:val="001B748C"/>
    <w:rsid w:val="001B7677"/>
    <w:rsid w:val="001B7C2F"/>
    <w:rsid w:val="001B7C46"/>
    <w:rsid w:val="001B7DA3"/>
    <w:rsid w:val="001B7DF0"/>
    <w:rsid w:val="001C031B"/>
    <w:rsid w:val="001C0940"/>
    <w:rsid w:val="001C0DF4"/>
    <w:rsid w:val="001C0F35"/>
    <w:rsid w:val="001C11DC"/>
    <w:rsid w:val="001C148A"/>
    <w:rsid w:val="001C1565"/>
    <w:rsid w:val="001C17E9"/>
    <w:rsid w:val="001C18BE"/>
    <w:rsid w:val="001C1DC8"/>
    <w:rsid w:val="001C1F92"/>
    <w:rsid w:val="001C2684"/>
    <w:rsid w:val="001C2CAD"/>
    <w:rsid w:val="001C2EE4"/>
    <w:rsid w:val="001C2F3C"/>
    <w:rsid w:val="001C3046"/>
    <w:rsid w:val="001C3693"/>
    <w:rsid w:val="001C3ACE"/>
    <w:rsid w:val="001C3D0B"/>
    <w:rsid w:val="001C3D55"/>
    <w:rsid w:val="001C3DB7"/>
    <w:rsid w:val="001C4500"/>
    <w:rsid w:val="001C46C9"/>
    <w:rsid w:val="001C4718"/>
    <w:rsid w:val="001C4953"/>
    <w:rsid w:val="001C4BF1"/>
    <w:rsid w:val="001C4C26"/>
    <w:rsid w:val="001C535E"/>
    <w:rsid w:val="001C55A7"/>
    <w:rsid w:val="001C5625"/>
    <w:rsid w:val="001C5B5E"/>
    <w:rsid w:val="001C6141"/>
    <w:rsid w:val="001C632A"/>
    <w:rsid w:val="001C64F2"/>
    <w:rsid w:val="001C6951"/>
    <w:rsid w:val="001C6B03"/>
    <w:rsid w:val="001C6E1B"/>
    <w:rsid w:val="001C734C"/>
    <w:rsid w:val="001C7E0C"/>
    <w:rsid w:val="001D00C3"/>
    <w:rsid w:val="001D03D1"/>
    <w:rsid w:val="001D0668"/>
    <w:rsid w:val="001D0F31"/>
    <w:rsid w:val="001D12E3"/>
    <w:rsid w:val="001D1F2F"/>
    <w:rsid w:val="001D25A0"/>
    <w:rsid w:val="001D2AD9"/>
    <w:rsid w:val="001D2E0E"/>
    <w:rsid w:val="001D2EA1"/>
    <w:rsid w:val="001D3161"/>
    <w:rsid w:val="001D3D3F"/>
    <w:rsid w:val="001D3D61"/>
    <w:rsid w:val="001D3DEB"/>
    <w:rsid w:val="001D4096"/>
    <w:rsid w:val="001D4180"/>
    <w:rsid w:val="001D4419"/>
    <w:rsid w:val="001D451D"/>
    <w:rsid w:val="001D4865"/>
    <w:rsid w:val="001D4E9B"/>
    <w:rsid w:val="001D559C"/>
    <w:rsid w:val="001D57FB"/>
    <w:rsid w:val="001D5C48"/>
    <w:rsid w:val="001D63FA"/>
    <w:rsid w:val="001D6515"/>
    <w:rsid w:val="001D6641"/>
    <w:rsid w:val="001D6930"/>
    <w:rsid w:val="001D6A97"/>
    <w:rsid w:val="001D6EA3"/>
    <w:rsid w:val="001D734B"/>
    <w:rsid w:val="001D73D5"/>
    <w:rsid w:val="001D740D"/>
    <w:rsid w:val="001D777B"/>
    <w:rsid w:val="001D7E13"/>
    <w:rsid w:val="001E000D"/>
    <w:rsid w:val="001E014D"/>
    <w:rsid w:val="001E0354"/>
    <w:rsid w:val="001E03FE"/>
    <w:rsid w:val="001E0479"/>
    <w:rsid w:val="001E058D"/>
    <w:rsid w:val="001E065A"/>
    <w:rsid w:val="001E0691"/>
    <w:rsid w:val="001E0910"/>
    <w:rsid w:val="001E0FB0"/>
    <w:rsid w:val="001E11BE"/>
    <w:rsid w:val="001E12F9"/>
    <w:rsid w:val="001E1382"/>
    <w:rsid w:val="001E14A2"/>
    <w:rsid w:val="001E14F1"/>
    <w:rsid w:val="001E1A52"/>
    <w:rsid w:val="001E1B48"/>
    <w:rsid w:val="001E1DA3"/>
    <w:rsid w:val="001E2164"/>
    <w:rsid w:val="001E2BD2"/>
    <w:rsid w:val="001E2E17"/>
    <w:rsid w:val="001E3CA7"/>
    <w:rsid w:val="001E3D44"/>
    <w:rsid w:val="001E43E2"/>
    <w:rsid w:val="001E49B4"/>
    <w:rsid w:val="001E527A"/>
    <w:rsid w:val="001E52C3"/>
    <w:rsid w:val="001E530B"/>
    <w:rsid w:val="001E5758"/>
    <w:rsid w:val="001E5A2A"/>
    <w:rsid w:val="001E5BBB"/>
    <w:rsid w:val="001E5CE1"/>
    <w:rsid w:val="001E603D"/>
    <w:rsid w:val="001E6095"/>
    <w:rsid w:val="001E61C1"/>
    <w:rsid w:val="001E65E6"/>
    <w:rsid w:val="001E68C5"/>
    <w:rsid w:val="001E6B1B"/>
    <w:rsid w:val="001E6E7B"/>
    <w:rsid w:val="001E7394"/>
    <w:rsid w:val="001E7465"/>
    <w:rsid w:val="001E7791"/>
    <w:rsid w:val="001E798B"/>
    <w:rsid w:val="001E7BDD"/>
    <w:rsid w:val="001E7C03"/>
    <w:rsid w:val="001E7D69"/>
    <w:rsid w:val="001E7F07"/>
    <w:rsid w:val="001F00AD"/>
    <w:rsid w:val="001F00E3"/>
    <w:rsid w:val="001F0432"/>
    <w:rsid w:val="001F061D"/>
    <w:rsid w:val="001F0659"/>
    <w:rsid w:val="001F0960"/>
    <w:rsid w:val="001F0AD8"/>
    <w:rsid w:val="001F0F0B"/>
    <w:rsid w:val="001F0F9A"/>
    <w:rsid w:val="001F0FBD"/>
    <w:rsid w:val="001F0FC5"/>
    <w:rsid w:val="001F11E4"/>
    <w:rsid w:val="001F14E8"/>
    <w:rsid w:val="001F1994"/>
    <w:rsid w:val="001F1C7C"/>
    <w:rsid w:val="001F206A"/>
    <w:rsid w:val="001F23B7"/>
    <w:rsid w:val="001F262F"/>
    <w:rsid w:val="001F26F9"/>
    <w:rsid w:val="001F27C7"/>
    <w:rsid w:val="001F288C"/>
    <w:rsid w:val="001F293C"/>
    <w:rsid w:val="001F2EF2"/>
    <w:rsid w:val="001F36CA"/>
    <w:rsid w:val="001F3893"/>
    <w:rsid w:val="001F38F3"/>
    <w:rsid w:val="001F4573"/>
    <w:rsid w:val="001F4889"/>
    <w:rsid w:val="001F4DDF"/>
    <w:rsid w:val="001F5178"/>
    <w:rsid w:val="001F525A"/>
    <w:rsid w:val="001F5592"/>
    <w:rsid w:val="001F57D9"/>
    <w:rsid w:val="001F5B49"/>
    <w:rsid w:val="001F5C43"/>
    <w:rsid w:val="001F5F42"/>
    <w:rsid w:val="001F6272"/>
    <w:rsid w:val="001F6399"/>
    <w:rsid w:val="001F63A8"/>
    <w:rsid w:val="001F63C6"/>
    <w:rsid w:val="001F6C08"/>
    <w:rsid w:val="001F6C62"/>
    <w:rsid w:val="001F70BD"/>
    <w:rsid w:val="001F737C"/>
    <w:rsid w:val="001F73CB"/>
    <w:rsid w:val="001F7896"/>
    <w:rsid w:val="001F7C26"/>
    <w:rsid w:val="0020044B"/>
    <w:rsid w:val="002004F7"/>
    <w:rsid w:val="00200A01"/>
    <w:rsid w:val="00200B0E"/>
    <w:rsid w:val="00200C78"/>
    <w:rsid w:val="00200DDA"/>
    <w:rsid w:val="00200DE2"/>
    <w:rsid w:val="00200E22"/>
    <w:rsid w:val="00200EFE"/>
    <w:rsid w:val="002010D1"/>
    <w:rsid w:val="002011D7"/>
    <w:rsid w:val="0020129D"/>
    <w:rsid w:val="002015C1"/>
    <w:rsid w:val="002015F2"/>
    <w:rsid w:val="002017A6"/>
    <w:rsid w:val="0020182E"/>
    <w:rsid w:val="00201D80"/>
    <w:rsid w:val="00202035"/>
    <w:rsid w:val="00202384"/>
    <w:rsid w:val="00202730"/>
    <w:rsid w:val="00202B5D"/>
    <w:rsid w:val="00202FE3"/>
    <w:rsid w:val="00203074"/>
    <w:rsid w:val="0020312E"/>
    <w:rsid w:val="0020322D"/>
    <w:rsid w:val="0020329A"/>
    <w:rsid w:val="002035BB"/>
    <w:rsid w:val="0020383B"/>
    <w:rsid w:val="00203E2F"/>
    <w:rsid w:val="00203F81"/>
    <w:rsid w:val="002042F4"/>
    <w:rsid w:val="002044EA"/>
    <w:rsid w:val="002048FC"/>
    <w:rsid w:val="00204BCA"/>
    <w:rsid w:val="00204E5D"/>
    <w:rsid w:val="002050D2"/>
    <w:rsid w:val="00205183"/>
    <w:rsid w:val="00205552"/>
    <w:rsid w:val="0020566D"/>
    <w:rsid w:val="0020598B"/>
    <w:rsid w:val="00205DEF"/>
    <w:rsid w:val="00205F98"/>
    <w:rsid w:val="002060EC"/>
    <w:rsid w:val="002065F4"/>
    <w:rsid w:val="00206861"/>
    <w:rsid w:val="002069A3"/>
    <w:rsid w:val="00206A8B"/>
    <w:rsid w:val="00206B82"/>
    <w:rsid w:val="00206CCB"/>
    <w:rsid w:val="00207B01"/>
    <w:rsid w:val="00207B84"/>
    <w:rsid w:val="00207BE0"/>
    <w:rsid w:val="002103E5"/>
    <w:rsid w:val="00210AD3"/>
    <w:rsid w:val="00210B62"/>
    <w:rsid w:val="00210DCE"/>
    <w:rsid w:val="002112F8"/>
    <w:rsid w:val="002114B3"/>
    <w:rsid w:val="0021195C"/>
    <w:rsid w:val="002119B4"/>
    <w:rsid w:val="00211C9A"/>
    <w:rsid w:val="00211E9D"/>
    <w:rsid w:val="00211F87"/>
    <w:rsid w:val="00212205"/>
    <w:rsid w:val="00212224"/>
    <w:rsid w:val="0021275F"/>
    <w:rsid w:val="002129EF"/>
    <w:rsid w:val="0021349C"/>
    <w:rsid w:val="0021352E"/>
    <w:rsid w:val="00213604"/>
    <w:rsid w:val="00213694"/>
    <w:rsid w:val="002139F8"/>
    <w:rsid w:val="00213A95"/>
    <w:rsid w:val="00213B66"/>
    <w:rsid w:val="00213B84"/>
    <w:rsid w:val="00213BAC"/>
    <w:rsid w:val="00213C4E"/>
    <w:rsid w:val="00213DA8"/>
    <w:rsid w:val="00214107"/>
    <w:rsid w:val="00214119"/>
    <w:rsid w:val="00214572"/>
    <w:rsid w:val="00214B07"/>
    <w:rsid w:val="00214BD2"/>
    <w:rsid w:val="00214D29"/>
    <w:rsid w:val="00214EA3"/>
    <w:rsid w:val="00215253"/>
    <w:rsid w:val="002152B2"/>
    <w:rsid w:val="002152E7"/>
    <w:rsid w:val="0021550A"/>
    <w:rsid w:val="00215757"/>
    <w:rsid w:val="002158F6"/>
    <w:rsid w:val="0021593C"/>
    <w:rsid w:val="00215AA6"/>
    <w:rsid w:val="00215DD8"/>
    <w:rsid w:val="002160B7"/>
    <w:rsid w:val="00216212"/>
    <w:rsid w:val="00216320"/>
    <w:rsid w:val="002165E0"/>
    <w:rsid w:val="00216792"/>
    <w:rsid w:val="00216F3C"/>
    <w:rsid w:val="00217336"/>
    <w:rsid w:val="0021737E"/>
    <w:rsid w:val="0021738F"/>
    <w:rsid w:val="00217789"/>
    <w:rsid w:val="002178F7"/>
    <w:rsid w:val="00217C4A"/>
    <w:rsid w:val="00217DFA"/>
    <w:rsid w:val="00217DFD"/>
    <w:rsid w:val="00217E0C"/>
    <w:rsid w:val="002202ED"/>
    <w:rsid w:val="002204FC"/>
    <w:rsid w:val="00220558"/>
    <w:rsid w:val="002205AD"/>
    <w:rsid w:val="002208D9"/>
    <w:rsid w:val="00220B93"/>
    <w:rsid w:val="00220FF1"/>
    <w:rsid w:val="00221390"/>
    <w:rsid w:val="00221758"/>
    <w:rsid w:val="0022185E"/>
    <w:rsid w:val="00221E5A"/>
    <w:rsid w:val="00222140"/>
    <w:rsid w:val="002221E3"/>
    <w:rsid w:val="002224C7"/>
    <w:rsid w:val="002226D7"/>
    <w:rsid w:val="00222879"/>
    <w:rsid w:val="00222B50"/>
    <w:rsid w:val="0022353E"/>
    <w:rsid w:val="00223852"/>
    <w:rsid w:val="00223940"/>
    <w:rsid w:val="00223A75"/>
    <w:rsid w:val="00224451"/>
    <w:rsid w:val="002244D6"/>
    <w:rsid w:val="00224F21"/>
    <w:rsid w:val="00225493"/>
    <w:rsid w:val="00225A4A"/>
    <w:rsid w:val="002267F5"/>
    <w:rsid w:val="00226A1A"/>
    <w:rsid w:val="00226D92"/>
    <w:rsid w:val="00226DBD"/>
    <w:rsid w:val="0022745D"/>
    <w:rsid w:val="0022753A"/>
    <w:rsid w:val="00227A67"/>
    <w:rsid w:val="00227AC3"/>
    <w:rsid w:val="00227CEB"/>
    <w:rsid w:val="00227F49"/>
    <w:rsid w:val="0023026F"/>
    <w:rsid w:val="0023047B"/>
    <w:rsid w:val="0023064E"/>
    <w:rsid w:val="0023072F"/>
    <w:rsid w:val="0023073A"/>
    <w:rsid w:val="00230A96"/>
    <w:rsid w:val="00230B92"/>
    <w:rsid w:val="00230DD5"/>
    <w:rsid w:val="002310E7"/>
    <w:rsid w:val="00231105"/>
    <w:rsid w:val="0023192B"/>
    <w:rsid w:val="00231ECC"/>
    <w:rsid w:val="00232273"/>
    <w:rsid w:val="002322FE"/>
    <w:rsid w:val="00232313"/>
    <w:rsid w:val="00232524"/>
    <w:rsid w:val="002325D0"/>
    <w:rsid w:val="00232977"/>
    <w:rsid w:val="0023328C"/>
    <w:rsid w:val="002334F9"/>
    <w:rsid w:val="00233538"/>
    <w:rsid w:val="002338A0"/>
    <w:rsid w:val="0023391E"/>
    <w:rsid w:val="00233C2D"/>
    <w:rsid w:val="00233CC7"/>
    <w:rsid w:val="00233D8D"/>
    <w:rsid w:val="00233FF0"/>
    <w:rsid w:val="00234361"/>
    <w:rsid w:val="002348C9"/>
    <w:rsid w:val="00235203"/>
    <w:rsid w:val="00235384"/>
    <w:rsid w:val="002355E5"/>
    <w:rsid w:val="00235884"/>
    <w:rsid w:val="00235B02"/>
    <w:rsid w:val="00235D37"/>
    <w:rsid w:val="00236B84"/>
    <w:rsid w:val="00236D8B"/>
    <w:rsid w:val="00236ED0"/>
    <w:rsid w:val="00237369"/>
    <w:rsid w:val="002373A2"/>
    <w:rsid w:val="00237599"/>
    <w:rsid w:val="00237901"/>
    <w:rsid w:val="0023792E"/>
    <w:rsid w:val="00237A1C"/>
    <w:rsid w:val="00237B1C"/>
    <w:rsid w:val="00237F04"/>
    <w:rsid w:val="0024006A"/>
    <w:rsid w:val="002401C4"/>
    <w:rsid w:val="00240390"/>
    <w:rsid w:val="00240471"/>
    <w:rsid w:val="0024069C"/>
    <w:rsid w:val="00240EFB"/>
    <w:rsid w:val="00241ACF"/>
    <w:rsid w:val="00241B96"/>
    <w:rsid w:val="00241FF6"/>
    <w:rsid w:val="00242134"/>
    <w:rsid w:val="00242152"/>
    <w:rsid w:val="0024217B"/>
    <w:rsid w:val="002422A9"/>
    <w:rsid w:val="00242CD0"/>
    <w:rsid w:val="00242F7F"/>
    <w:rsid w:val="00242F80"/>
    <w:rsid w:val="0024324F"/>
    <w:rsid w:val="00243279"/>
    <w:rsid w:val="002436C1"/>
    <w:rsid w:val="002437DE"/>
    <w:rsid w:val="00243A80"/>
    <w:rsid w:val="0024415A"/>
    <w:rsid w:val="00244C8C"/>
    <w:rsid w:val="002450CD"/>
    <w:rsid w:val="002455EA"/>
    <w:rsid w:val="00245669"/>
    <w:rsid w:val="00245833"/>
    <w:rsid w:val="002460FB"/>
    <w:rsid w:val="0024666E"/>
    <w:rsid w:val="00246A46"/>
    <w:rsid w:val="00246A4B"/>
    <w:rsid w:val="00247220"/>
    <w:rsid w:val="00247C23"/>
    <w:rsid w:val="00247FD5"/>
    <w:rsid w:val="002501B5"/>
    <w:rsid w:val="00250A18"/>
    <w:rsid w:val="00250B87"/>
    <w:rsid w:val="00250B9B"/>
    <w:rsid w:val="0025113C"/>
    <w:rsid w:val="0025135D"/>
    <w:rsid w:val="002513D1"/>
    <w:rsid w:val="0025155F"/>
    <w:rsid w:val="00251FE0"/>
    <w:rsid w:val="002521AC"/>
    <w:rsid w:val="00252362"/>
    <w:rsid w:val="00252411"/>
    <w:rsid w:val="00252F85"/>
    <w:rsid w:val="00252FDE"/>
    <w:rsid w:val="002530F0"/>
    <w:rsid w:val="00253156"/>
    <w:rsid w:val="00253609"/>
    <w:rsid w:val="00253DEB"/>
    <w:rsid w:val="00253F2E"/>
    <w:rsid w:val="00253F62"/>
    <w:rsid w:val="0025411D"/>
    <w:rsid w:val="002542B0"/>
    <w:rsid w:val="002544D1"/>
    <w:rsid w:val="00254A2E"/>
    <w:rsid w:val="00255325"/>
    <w:rsid w:val="00255460"/>
    <w:rsid w:val="00255BDA"/>
    <w:rsid w:val="00256061"/>
    <w:rsid w:val="002562DB"/>
    <w:rsid w:val="00256929"/>
    <w:rsid w:val="00256BEC"/>
    <w:rsid w:val="00256D5F"/>
    <w:rsid w:val="00256E4B"/>
    <w:rsid w:val="00256FFE"/>
    <w:rsid w:val="00257085"/>
    <w:rsid w:val="00257149"/>
    <w:rsid w:val="002576E6"/>
    <w:rsid w:val="00257E5B"/>
    <w:rsid w:val="00257F09"/>
    <w:rsid w:val="00260022"/>
    <w:rsid w:val="002600A5"/>
    <w:rsid w:val="002602A6"/>
    <w:rsid w:val="002606E7"/>
    <w:rsid w:val="0026094A"/>
    <w:rsid w:val="00260D19"/>
    <w:rsid w:val="002611F5"/>
    <w:rsid w:val="0026124E"/>
    <w:rsid w:val="00261915"/>
    <w:rsid w:val="00261919"/>
    <w:rsid w:val="00261A24"/>
    <w:rsid w:val="00261DF2"/>
    <w:rsid w:val="0026216F"/>
    <w:rsid w:val="00262C0B"/>
    <w:rsid w:val="0026300C"/>
    <w:rsid w:val="002635F6"/>
    <w:rsid w:val="002636E2"/>
    <w:rsid w:val="00264633"/>
    <w:rsid w:val="00264757"/>
    <w:rsid w:val="00264CB8"/>
    <w:rsid w:val="00264F4B"/>
    <w:rsid w:val="00265468"/>
    <w:rsid w:val="00265526"/>
    <w:rsid w:val="00265C21"/>
    <w:rsid w:val="00265E3F"/>
    <w:rsid w:val="0026611F"/>
    <w:rsid w:val="00266365"/>
    <w:rsid w:val="0026680B"/>
    <w:rsid w:val="00266892"/>
    <w:rsid w:val="00266A7E"/>
    <w:rsid w:val="00266C46"/>
    <w:rsid w:val="00267095"/>
    <w:rsid w:val="002671E8"/>
    <w:rsid w:val="00267369"/>
    <w:rsid w:val="00267D15"/>
    <w:rsid w:val="00267E3F"/>
    <w:rsid w:val="00270176"/>
    <w:rsid w:val="00270597"/>
    <w:rsid w:val="00270602"/>
    <w:rsid w:val="00270953"/>
    <w:rsid w:val="002709BD"/>
    <w:rsid w:val="00270F95"/>
    <w:rsid w:val="00270FAD"/>
    <w:rsid w:val="002717E7"/>
    <w:rsid w:val="00271908"/>
    <w:rsid w:val="00271E4F"/>
    <w:rsid w:val="002720CC"/>
    <w:rsid w:val="002726FD"/>
    <w:rsid w:val="0027279D"/>
    <w:rsid w:val="00272AD7"/>
    <w:rsid w:val="00273092"/>
    <w:rsid w:val="002730E8"/>
    <w:rsid w:val="0027321A"/>
    <w:rsid w:val="002733B8"/>
    <w:rsid w:val="00273619"/>
    <w:rsid w:val="00273840"/>
    <w:rsid w:val="00273BCD"/>
    <w:rsid w:val="00273C3D"/>
    <w:rsid w:val="00273F89"/>
    <w:rsid w:val="0027423C"/>
    <w:rsid w:val="002749C8"/>
    <w:rsid w:val="00274ABE"/>
    <w:rsid w:val="00274B40"/>
    <w:rsid w:val="002753A9"/>
    <w:rsid w:val="0027540B"/>
    <w:rsid w:val="0027573C"/>
    <w:rsid w:val="00275844"/>
    <w:rsid w:val="00275C40"/>
    <w:rsid w:val="00275D3B"/>
    <w:rsid w:val="00275DAE"/>
    <w:rsid w:val="00275F17"/>
    <w:rsid w:val="00276086"/>
    <w:rsid w:val="0027631D"/>
    <w:rsid w:val="00276556"/>
    <w:rsid w:val="00276A09"/>
    <w:rsid w:val="00276A31"/>
    <w:rsid w:val="00276C95"/>
    <w:rsid w:val="002772E0"/>
    <w:rsid w:val="00277B20"/>
    <w:rsid w:val="00277BC3"/>
    <w:rsid w:val="00277BDA"/>
    <w:rsid w:val="0028039A"/>
    <w:rsid w:val="00281016"/>
    <w:rsid w:val="002813C7"/>
    <w:rsid w:val="00281DBD"/>
    <w:rsid w:val="002820A0"/>
    <w:rsid w:val="00282575"/>
    <w:rsid w:val="002829DB"/>
    <w:rsid w:val="00282F01"/>
    <w:rsid w:val="00282F5B"/>
    <w:rsid w:val="00283388"/>
    <w:rsid w:val="002836CC"/>
    <w:rsid w:val="00283789"/>
    <w:rsid w:val="00283EAB"/>
    <w:rsid w:val="00284218"/>
    <w:rsid w:val="002845C9"/>
    <w:rsid w:val="00284880"/>
    <w:rsid w:val="00284BA5"/>
    <w:rsid w:val="00284CA2"/>
    <w:rsid w:val="002850CA"/>
    <w:rsid w:val="002851AA"/>
    <w:rsid w:val="002855C3"/>
    <w:rsid w:val="002855CF"/>
    <w:rsid w:val="00285794"/>
    <w:rsid w:val="00285B27"/>
    <w:rsid w:val="00285E32"/>
    <w:rsid w:val="00285E80"/>
    <w:rsid w:val="00286248"/>
    <w:rsid w:val="002863C4"/>
    <w:rsid w:val="00286503"/>
    <w:rsid w:val="00286D0F"/>
    <w:rsid w:val="00286D29"/>
    <w:rsid w:val="002878C2"/>
    <w:rsid w:val="00287D94"/>
    <w:rsid w:val="002900F8"/>
    <w:rsid w:val="002903AF"/>
    <w:rsid w:val="002908F0"/>
    <w:rsid w:val="00290B06"/>
    <w:rsid w:val="00291208"/>
    <w:rsid w:val="00291B4B"/>
    <w:rsid w:val="00291DD0"/>
    <w:rsid w:val="00291E53"/>
    <w:rsid w:val="00292021"/>
    <w:rsid w:val="002921C7"/>
    <w:rsid w:val="00292422"/>
    <w:rsid w:val="002927FF"/>
    <w:rsid w:val="0029285F"/>
    <w:rsid w:val="00292C24"/>
    <w:rsid w:val="00292D97"/>
    <w:rsid w:val="00292DCB"/>
    <w:rsid w:val="00293194"/>
    <w:rsid w:val="00293D85"/>
    <w:rsid w:val="00293E7C"/>
    <w:rsid w:val="002944C1"/>
    <w:rsid w:val="00294745"/>
    <w:rsid w:val="00294927"/>
    <w:rsid w:val="00294A3E"/>
    <w:rsid w:val="00294B6D"/>
    <w:rsid w:val="00294F7E"/>
    <w:rsid w:val="002950F8"/>
    <w:rsid w:val="002953B1"/>
    <w:rsid w:val="0029546E"/>
    <w:rsid w:val="00295662"/>
    <w:rsid w:val="00295724"/>
    <w:rsid w:val="0029582E"/>
    <w:rsid w:val="00295B07"/>
    <w:rsid w:val="00295BA4"/>
    <w:rsid w:val="00295BD2"/>
    <w:rsid w:val="00295CE6"/>
    <w:rsid w:val="00295E19"/>
    <w:rsid w:val="00296483"/>
    <w:rsid w:val="002969FD"/>
    <w:rsid w:val="00296C31"/>
    <w:rsid w:val="00296C66"/>
    <w:rsid w:val="00296DC0"/>
    <w:rsid w:val="00296EF6"/>
    <w:rsid w:val="002977CE"/>
    <w:rsid w:val="002978D4"/>
    <w:rsid w:val="00297AB9"/>
    <w:rsid w:val="00297D4B"/>
    <w:rsid w:val="00297F55"/>
    <w:rsid w:val="002A0153"/>
    <w:rsid w:val="002A0346"/>
    <w:rsid w:val="002A0515"/>
    <w:rsid w:val="002A0872"/>
    <w:rsid w:val="002A0F3C"/>
    <w:rsid w:val="002A124D"/>
    <w:rsid w:val="002A1427"/>
    <w:rsid w:val="002A146A"/>
    <w:rsid w:val="002A1C11"/>
    <w:rsid w:val="002A1E6D"/>
    <w:rsid w:val="002A229C"/>
    <w:rsid w:val="002A23EB"/>
    <w:rsid w:val="002A274D"/>
    <w:rsid w:val="002A291C"/>
    <w:rsid w:val="002A29B7"/>
    <w:rsid w:val="002A2CD8"/>
    <w:rsid w:val="002A2DD3"/>
    <w:rsid w:val="002A2E52"/>
    <w:rsid w:val="002A2EB1"/>
    <w:rsid w:val="002A2F76"/>
    <w:rsid w:val="002A3240"/>
    <w:rsid w:val="002A373D"/>
    <w:rsid w:val="002A3A6D"/>
    <w:rsid w:val="002A4195"/>
    <w:rsid w:val="002A4383"/>
    <w:rsid w:val="002A4571"/>
    <w:rsid w:val="002A4575"/>
    <w:rsid w:val="002A4CD3"/>
    <w:rsid w:val="002A55F9"/>
    <w:rsid w:val="002A56E1"/>
    <w:rsid w:val="002A5FC3"/>
    <w:rsid w:val="002A5FEA"/>
    <w:rsid w:val="002A61AE"/>
    <w:rsid w:val="002A6641"/>
    <w:rsid w:val="002A6B5F"/>
    <w:rsid w:val="002A723D"/>
    <w:rsid w:val="002A730E"/>
    <w:rsid w:val="002A75FF"/>
    <w:rsid w:val="002A7A45"/>
    <w:rsid w:val="002A7A7E"/>
    <w:rsid w:val="002A7C26"/>
    <w:rsid w:val="002B0819"/>
    <w:rsid w:val="002B093F"/>
    <w:rsid w:val="002B0C52"/>
    <w:rsid w:val="002B0E44"/>
    <w:rsid w:val="002B0EF7"/>
    <w:rsid w:val="002B1226"/>
    <w:rsid w:val="002B1465"/>
    <w:rsid w:val="002B16B0"/>
    <w:rsid w:val="002B1810"/>
    <w:rsid w:val="002B185A"/>
    <w:rsid w:val="002B196C"/>
    <w:rsid w:val="002B2072"/>
    <w:rsid w:val="002B2120"/>
    <w:rsid w:val="002B28E4"/>
    <w:rsid w:val="002B32C6"/>
    <w:rsid w:val="002B34EE"/>
    <w:rsid w:val="002B435A"/>
    <w:rsid w:val="002B462A"/>
    <w:rsid w:val="002B46EF"/>
    <w:rsid w:val="002B4890"/>
    <w:rsid w:val="002B4A39"/>
    <w:rsid w:val="002B4A3E"/>
    <w:rsid w:val="002B4A75"/>
    <w:rsid w:val="002B4D8D"/>
    <w:rsid w:val="002B50AE"/>
    <w:rsid w:val="002B538D"/>
    <w:rsid w:val="002B5910"/>
    <w:rsid w:val="002B5D64"/>
    <w:rsid w:val="002B601D"/>
    <w:rsid w:val="002B6256"/>
    <w:rsid w:val="002B6265"/>
    <w:rsid w:val="002B6525"/>
    <w:rsid w:val="002B652F"/>
    <w:rsid w:val="002B668A"/>
    <w:rsid w:val="002B6878"/>
    <w:rsid w:val="002B6EBC"/>
    <w:rsid w:val="002B6F45"/>
    <w:rsid w:val="002B747C"/>
    <w:rsid w:val="002B74B5"/>
    <w:rsid w:val="002B7700"/>
    <w:rsid w:val="002B77F6"/>
    <w:rsid w:val="002B79A4"/>
    <w:rsid w:val="002C0024"/>
    <w:rsid w:val="002C0159"/>
    <w:rsid w:val="002C04D4"/>
    <w:rsid w:val="002C0A5D"/>
    <w:rsid w:val="002C0D9B"/>
    <w:rsid w:val="002C0F59"/>
    <w:rsid w:val="002C1334"/>
    <w:rsid w:val="002C151D"/>
    <w:rsid w:val="002C1559"/>
    <w:rsid w:val="002C159B"/>
    <w:rsid w:val="002C19E5"/>
    <w:rsid w:val="002C1A1E"/>
    <w:rsid w:val="002C1BFE"/>
    <w:rsid w:val="002C2010"/>
    <w:rsid w:val="002C22D0"/>
    <w:rsid w:val="002C27E6"/>
    <w:rsid w:val="002C2BC0"/>
    <w:rsid w:val="002C2E78"/>
    <w:rsid w:val="002C2F29"/>
    <w:rsid w:val="002C2F8F"/>
    <w:rsid w:val="002C3060"/>
    <w:rsid w:val="002C331F"/>
    <w:rsid w:val="002C355C"/>
    <w:rsid w:val="002C3668"/>
    <w:rsid w:val="002C37BE"/>
    <w:rsid w:val="002C3A97"/>
    <w:rsid w:val="002C3AAC"/>
    <w:rsid w:val="002C3AB9"/>
    <w:rsid w:val="002C3C2D"/>
    <w:rsid w:val="002C3DFA"/>
    <w:rsid w:val="002C3E7D"/>
    <w:rsid w:val="002C41D5"/>
    <w:rsid w:val="002C42B2"/>
    <w:rsid w:val="002C4352"/>
    <w:rsid w:val="002C47CF"/>
    <w:rsid w:val="002C48FE"/>
    <w:rsid w:val="002C4B52"/>
    <w:rsid w:val="002C537C"/>
    <w:rsid w:val="002C540E"/>
    <w:rsid w:val="002C5791"/>
    <w:rsid w:val="002C6058"/>
    <w:rsid w:val="002C60D1"/>
    <w:rsid w:val="002C6417"/>
    <w:rsid w:val="002C6668"/>
    <w:rsid w:val="002C6DD9"/>
    <w:rsid w:val="002C6E92"/>
    <w:rsid w:val="002C762F"/>
    <w:rsid w:val="002C7BAD"/>
    <w:rsid w:val="002C7BB8"/>
    <w:rsid w:val="002D012B"/>
    <w:rsid w:val="002D037F"/>
    <w:rsid w:val="002D047C"/>
    <w:rsid w:val="002D04B4"/>
    <w:rsid w:val="002D04C1"/>
    <w:rsid w:val="002D0A3F"/>
    <w:rsid w:val="002D0D0E"/>
    <w:rsid w:val="002D0F55"/>
    <w:rsid w:val="002D1271"/>
    <w:rsid w:val="002D1A73"/>
    <w:rsid w:val="002D2871"/>
    <w:rsid w:val="002D2937"/>
    <w:rsid w:val="002D2B3E"/>
    <w:rsid w:val="002D2F39"/>
    <w:rsid w:val="002D2F3D"/>
    <w:rsid w:val="002D2F86"/>
    <w:rsid w:val="002D3151"/>
    <w:rsid w:val="002D35FE"/>
    <w:rsid w:val="002D3700"/>
    <w:rsid w:val="002D38D0"/>
    <w:rsid w:val="002D396C"/>
    <w:rsid w:val="002D3C97"/>
    <w:rsid w:val="002D4F5E"/>
    <w:rsid w:val="002D50BC"/>
    <w:rsid w:val="002D65ED"/>
    <w:rsid w:val="002D67F9"/>
    <w:rsid w:val="002D694D"/>
    <w:rsid w:val="002D6D8C"/>
    <w:rsid w:val="002D6FBA"/>
    <w:rsid w:val="002D704B"/>
    <w:rsid w:val="002D7125"/>
    <w:rsid w:val="002D712B"/>
    <w:rsid w:val="002D7650"/>
    <w:rsid w:val="002D7B8D"/>
    <w:rsid w:val="002D7D63"/>
    <w:rsid w:val="002D7DB7"/>
    <w:rsid w:val="002D7E27"/>
    <w:rsid w:val="002E015E"/>
    <w:rsid w:val="002E02FF"/>
    <w:rsid w:val="002E0509"/>
    <w:rsid w:val="002E0BF6"/>
    <w:rsid w:val="002E0C5D"/>
    <w:rsid w:val="002E1545"/>
    <w:rsid w:val="002E189B"/>
    <w:rsid w:val="002E1AF8"/>
    <w:rsid w:val="002E1D95"/>
    <w:rsid w:val="002E1DAF"/>
    <w:rsid w:val="002E1E46"/>
    <w:rsid w:val="002E2262"/>
    <w:rsid w:val="002E272B"/>
    <w:rsid w:val="002E28A5"/>
    <w:rsid w:val="002E28CF"/>
    <w:rsid w:val="002E2BA7"/>
    <w:rsid w:val="002E2C2F"/>
    <w:rsid w:val="002E3479"/>
    <w:rsid w:val="002E35A7"/>
    <w:rsid w:val="002E3778"/>
    <w:rsid w:val="002E3857"/>
    <w:rsid w:val="002E3863"/>
    <w:rsid w:val="002E3B09"/>
    <w:rsid w:val="002E3C4E"/>
    <w:rsid w:val="002E3F29"/>
    <w:rsid w:val="002E4952"/>
    <w:rsid w:val="002E51A2"/>
    <w:rsid w:val="002E525A"/>
    <w:rsid w:val="002E5CC5"/>
    <w:rsid w:val="002E5CDA"/>
    <w:rsid w:val="002E5F16"/>
    <w:rsid w:val="002E60C7"/>
    <w:rsid w:val="002E6140"/>
    <w:rsid w:val="002E622D"/>
    <w:rsid w:val="002E6348"/>
    <w:rsid w:val="002E66A6"/>
    <w:rsid w:val="002E6A02"/>
    <w:rsid w:val="002E6B49"/>
    <w:rsid w:val="002E6F99"/>
    <w:rsid w:val="002E7189"/>
    <w:rsid w:val="002E71BB"/>
    <w:rsid w:val="002E7600"/>
    <w:rsid w:val="002E7720"/>
    <w:rsid w:val="002E7815"/>
    <w:rsid w:val="002E7B6A"/>
    <w:rsid w:val="002F052B"/>
    <w:rsid w:val="002F05BC"/>
    <w:rsid w:val="002F1165"/>
    <w:rsid w:val="002F13B1"/>
    <w:rsid w:val="002F1556"/>
    <w:rsid w:val="002F1700"/>
    <w:rsid w:val="002F184D"/>
    <w:rsid w:val="002F1DAE"/>
    <w:rsid w:val="002F22D6"/>
    <w:rsid w:val="002F2459"/>
    <w:rsid w:val="002F26AB"/>
    <w:rsid w:val="002F2747"/>
    <w:rsid w:val="002F2F1D"/>
    <w:rsid w:val="002F2F23"/>
    <w:rsid w:val="002F2F49"/>
    <w:rsid w:val="002F3049"/>
    <w:rsid w:val="002F3188"/>
    <w:rsid w:val="002F32DD"/>
    <w:rsid w:val="002F35B1"/>
    <w:rsid w:val="002F36FE"/>
    <w:rsid w:val="002F3B14"/>
    <w:rsid w:val="002F404C"/>
    <w:rsid w:val="002F414F"/>
    <w:rsid w:val="002F4240"/>
    <w:rsid w:val="002F49DB"/>
    <w:rsid w:val="002F4C9D"/>
    <w:rsid w:val="002F508B"/>
    <w:rsid w:val="002F56EB"/>
    <w:rsid w:val="002F594E"/>
    <w:rsid w:val="002F59F8"/>
    <w:rsid w:val="002F60BA"/>
    <w:rsid w:val="002F6354"/>
    <w:rsid w:val="002F6BB4"/>
    <w:rsid w:val="002F6D5C"/>
    <w:rsid w:val="002F71F3"/>
    <w:rsid w:val="002F728D"/>
    <w:rsid w:val="002F7412"/>
    <w:rsid w:val="002F7760"/>
    <w:rsid w:val="002F77A1"/>
    <w:rsid w:val="002F77F4"/>
    <w:rsid w:val="002F7C05"/>
    <w:rsid w:val="0030027A"/>
    <w:rsid w:val="0030031A"/>
    <w:rsid w:val="00300EF3"/>
    <w:rsid w:val="00300FF8"/>
    <w:rsid w:val="00301211"/>
    <w:rsid w:val="0030126C"/>
    <w:rsid w:val="00301345"/>
    <w:rsid w:val="00301677"/>
    <w:rsid w:val="003017D1"/>
    <w:rsid w:val="00301C50"/>
    <w:rsid w:val="00301C76"/>
    <w:rsid w:val="0030204F"/>
    <w:rsid w:val="003024A3"/>
    <w:rsid w:val="003026CC"/>
    <w:rsid w:val="003026D6"/>
    <w:rsid w:val="003033DF"/>
    <w:rsid w:val="00303664"/>
    <w:rsid w:val="00303714"/>
    <w:rsid w:val="00303A91"/>
    <w:rsid w:val="00303B26"/>
    <w:rsid w:val="00303D01"/>
    <w:rsid w:val="00303EF6"/>
    <w:rsid w:val="003045D2"/>
    <w:rsid w:val="00304749"/>
    <w:rsid w:val="003047A6"/>
    <w:rsid w:val="00305941"/>
    <w:rsid w:val="00305D3C"/>
    <w:rsid w:val="00305D84"/>
    <w:rsid w:val="00306111"/>
    <w:rsid w:val="003068C2"/>
    <w:rsid w:val="0030690C"/>
    <w:rsid w:val="00306B9C"/>
    <w:rsid w:val="00306D9E"/>
    <w:rsid w:val="00306DD4"/>
    <w:rsid w:val="00306ED4"/>
    <w:rsid w:val="00307396"/>
    <w:rsid w:val="00307463"/>
    <w:rsid w:val="00307528"/>
    <w:rsid w:val="00307954"/>
    <w:rsid w:val="00307B75"/>
    <w:rsid w:val="00307C66"/>
    <w:rsid w:val="00307FCB"/>
    <w:rsid w:val="003104F3"/>
    <w:rsid w:val="00310B41"/>
    <w:rsid w:val="00310CFD"/>
    <w:rsid w:val="00310DEE"/>
    <w:rsid w:val="00311181"/>
    <w:rsid w:val="003113AC"/>
    <w:rsid w:val="003113AD"/>
    <w:rsid w:val="003117EB"/>
    <w:rsid w:val="00311C3D"/>
    <w:rsid w:val="00311C9E"/>
    <w:rsid w:val="00311E39"/>
    <w:rsid w:val="00311E96"/>
    <w:rsid w:val="00312034"/>
    <w:rsid w:val="00312401"/>
    <w:rsid w:val="003124C1"/>
    <w:rsid w:val="00312C58"/>
    <w:rsid w:val="00312FA3"/>
    <w:rsid w:val="0031358B"/>
    <w:rsid w:val="00313643"/>
    <w:rsid w:val="00313C0B"/>
    <w:rsid w:val="0031414E"/>
    <w:rsid w:val="003145F6"/>
    <w:rsid w:val="0031476B"/>
    <w:rsid w:val="0031483F"/>
    <w:rsid w:val="0031491B"/>
    <w:rsid w:val="00314921"/>
    <w:rsid w:val="00315016"/>
    <w:rsid w:val="003151A2"/>
    <w:rsid w:val="0031524A"/>
    <w:rsid w:val="00315544"/>
    <w:rsid w:val="00315771"/>
    <w:rsid w:val="00315996"/>
    <w:rsid w:val="00315B16"/>
    <w:rsid w:val="00315CA4"/>
    <w:rsid w:val="0031626A"/>
    <w:rsid w:val="003162AE"/>
    <w:rsid w:val="0031637B"/>
    <w:rsid w:val="00316493"/>
    <w:rsid w:val="003164EA"/>
    <w:rsid w:val="00316CFB"/>
    <w:rsid w:val="00316E32"/>
    <w:rsid w:val="00317447"/>
    <w:rsid w:val="00317C80"/>
    <w:rsid w:val="00320091"/>
    <w:rsid w:val="00320298"/>
    <w:rsid w:val="00320457"/>
    <w:rsid w:val="003204D5"/>
    <w:rsid w:val="003206B5"/>
    <w:rsid w:val="00320702"/>
    <w:rsid w:val="00320AB2"/>
    <w:rsid w:val="00320C88"/>
    <w:rsid w:val="00320E74"/>
    <w:rsid w:val="00321147"/>
    <w:rsid w:val="0032159E"/>
    <w:rsid w:val="00321C24"/>
    <w:rsid w:val="00321EEF"/>
    <w:rsid w:val="00321F9C"/>
    <w:rsid w:val="00322103"/>
    <w:rsid w:val="0032234F"/>
    <w:rsid w:val="003226F9"/>
    <w:rsid w:val="00322815"/>
    <w:rsid w:val="003229B9"/>
    <w:rsid w:val="00323098"/>
    <w:rsid w:val="003231EF"/>
    <w:rsid w:val="00323B38"/>
    <w:rsid w:val="00323C1C"/>
    <w:rsid w:val="0032410D"/>
    <w:rsid w:val="00324702"/>
    <w:rsid w:val="00324755"/>
    <w:rsid w:val="003247AF"/>
    <w:rsid w:val="00324D19"/>
    <w:rsid w:val="0032501D"/>
    <w:rsid w:val="00325020"/>
    <w:rsid w:val="003253BE"/>
    <w:rsid w:val="0032558C"/>
    <w:rsid w:val="0032580C"/>
    <w:rsid w:val="00326574"/>
    <w:rsid w:val="00326794"/>
    <w:rsid w:val="00326970"/>
    <w:rsid w:val="003269BC"/>
    <w:rsid w:val="003269E7"/>
    <w:rsid w:val="00326C71"/>
    <w:rsid w:val="00327019"/>
    <w:rsid w:val="0032715D"/>
    <w:rsid w:val="00327346"/>
    <w:rsid w:val="00327368"/>
    <w:rsid w:val="003273D2"/>
    <w:rsid w:val="003276AB"/>
    <w:rsid w:val="0032784B"/>
    <w:rsid w:val="003279C0"/>
    <w:rsid w:val="00327AB0"/>
    <w:rsid w:val="00327B2C"/>
    <w:rsid w:val="00327CCF"/>
    <w:rsid w:val="00327D4D"/>
    <w:rsid w:val="00327F3D"/>
    <w:rsid w:val="00330144"/>
    <w:rsid w:val="00330287"/>
    <w:rsid w:val="0033040A"/>
    <w:rsid w:val="0033083B"/>
    <w:rsid w:val="00330A6E"/>
    <w:rsid w:val="00330AB2"/>
    <w:rsid w:val="00330D06"/>
    <w:rsid w:val="003310F0"/>
    <w:rsid w:val="0033130F"/>
    <w:rsid w:val="00331414"/>
    <w:rsid w:val="00331503"/>
    <w:rsid w:val="00331673"/>
    <w:rsid w:val="00331752"/>
    <w:rsid w:val="0033190E"/>
    <w:rsid w:val="0033197E"/>
    <w:rsid w:val="00331A58"/>
    <w:rsid w:val="00331C4F"/>
    <w:rsid w:val="00331D7D"/>
    <w:rsid w:val="00331E23"/>
    <w:rsid w:val="00331FC9"/>
    <w:rsid w:val="00331FE5"/>
    <w:rsid w:val="003320B1"/>
    <w:rsid w:val="003320DD"/>
    <w:rsid w:val="003322DB"/>
    <w:rsid w:val="00332810"/>
    <w:rsid w:val="00333037"/>
    <w:rsid w:val="0033315B"/>
    <w:rsid w:val="00333628"/>
    <w:rsid w:val="0033381C"/>
    <w:rsid w:val="00333C9E"/>
    <w:rsid w:val="00333E87"/>
    <w:rsid w:val="00333F01"/>
    <w:rsid w:val="00334455"/>
    <w:rsid w:val="00334465"/>
    <w:rsid w:val="0033459C"/>
    <w:rsid w:val="003346B5"/>
    <w:rsid w:val="00334815"/>
    <w:rsid w:val="003348E4"/>
    <w:rsid w:val="003349D3"/>
    <w:rsid w:val="00334F3D"/>
    <w:rsid w:val="003350EA"/>
    <w:rsid w:val="00335261"/>
    <w:rsid w:val="003355AF"/>
    <w:rsid w:val="003357F5"/>
    <w:rsid w:val="00335B9A"/>
    <w:rsid w:val="00335C56"/>
    <w:rsid w:val="00335D89"/>
    <w:rsid w:val="00335FC6"/>
    <w:rsid w:val="003366ED"/>
    <w:rsid w:val="00336993"/>
    <w:rsid w:val="003369F5"/>
    <w:rsid w:val="00336C24"/>
    <w:rsid w:val="00336D06"/>
    <w:rsid w:val="00336E6C"/>
    <w:rsid w:val="003371C9"/>
    <w:rsid w:val="003371DB"/>
    <w:rsid w:val="003372DC"/>
    <w:rsid w:val="00337729"/>
    <w:rsid w:val="00337A39"/>
    <w:rsid w:val="00337DEE"/>
    <w:rsid w:val="003400C5"/>
    <w:rsid w:val="003402DB"/>
    <w:rsid w:val="003405F0"/>
    <w:rsid w:val="00340D2C"/>
    <w:rsid w:val="00340F2B"/>
    <w:rsid w:val="003410DC"/>
    <w:rsid w:val="0034110C"/>
    <w:rsid w:val="00341177"/>
    <w:rsid w:val="00341352"/>
    <w:rsid w:val="00341746"/>
    <w:rsid w:val="00341AEE"/>
    <w:rsid w:val="00341C4D"/>
    <w:rsid w:val="00341D94"/>
    <w:rsid w:val="0034223E"/>
    <w:rsid w:val="003422B6"/>
    <w:rsid w:val="00342303"/>
    <w:rsid w:val="00342B0D"/>
    <w:rsid w:val="00342D34"/>
    <w:rsid w:val="00343794"/>
    <w:rsid w:val="00343C24"/>
    <w:rsid w:val="00343F79"/>
    <w:rsid w:val="0034421C"/>
    <w:rsid w:val="00344298"/>
    <w:rsid w:val="003445F0"/>
    <w:rsid w:val="003447CC"/>
    <w:rsid w:val="00344BFC"/>
    <w:rsid w:val="00344C03"/>
    <w:rsid w:val="00344E00"/>
    <w:rsid w:val="00344F5C"/>
    <w:rsid w:val="00345135"/>
    <w:rsid w:val="003455BF"/>
    <w:rsid w:val="003455FA"/>
    <w:rsid w:val="00345BC0"/>
    <w:rsid w:val="0034657E"/>
    <w:rsid w:val="00346632"/>
    <w:rsid w:val="003466AA"/>
    <w:rsid w:val="00346BD7"/>
    <w:rsid w:val="0034741C"/>
    <w:rsid w:val="003477AD"/>
    <w:rsid w:val="0034793D"/>
    <w:rsid w:val="003479C3"/>
    <w:rsid w:val="00347BCC"/>
    <w:rsid w:val="00350038"/>
    <w:rsid w:val="0035016E"/>
    <w:rsid w:val="0035068E"/>
    <w:rsid w:val="003506BE"/>
    <w:rsid w:val="00350B7F"/>
    <w:rsid w:val="00350DF3"/>
    <w:rsid w:val="00350E16"/>
    <w:rsid w:val="0035129A"/>
    <w:rsid w:val="003512AB"/>
    <w:rsid w:val="00351377"/>
    <w:rsid w:val="003513D2"/>
    <w:rsid w:val="00351BF1"/>
    <w:rsid w:val="00352301"/>
    <w:rsid w:val="0035232C"/>
    <w:rsid w:val="003525BA"/>
    <w:rsid w:val="003526A2"/>
    <w:rsid w:val="00352776"/>
    <w:rsid w:val="00352A43"/>
    <w:rsid w:val="003535AE"/>
    <w:rsid w:val="003535DB"/>
    <w:rsid w:val="00353CB5"/>
    <w:rsid w:val="00353E1E"/>
    <w:rsid w:val="003540EE"/>
    <w:rsid w:val="0035487A"/>
    <w:rsid w:val="00354894"/>
    <w:rsid w:val="00354D7A"/>
    <w:rsid w:val="00354F80"/>
    <w:rsid w:val="00355113"/>
    <w:rsid w:val="00355B48"/>
    <w:rsid w:val="00355C4E"/>
    <w:rsid w:val="00355F82"/>
    <w:rsid w:val="003565C2"/>
    <w:rsid w:val="003566D2"/>
    <w:rsid w:val="00356875"/>
    <w:rsid w:val="00356AAC"/>
    <w:rsid w:val="00356AB7"/>
    <w:rsid w:val="00356AFB"/>
    <w:rsid w:val="00356CA0"/>
    <w:rsid w:val="00356CA7"/>
    <w:rsid w:val="00356F7C"/>
    <w:rsid w:val="00356F9B"/>
    <w:rsid w:val="00357150"/>
    <w:rsid w:val="003573E0"/>
    <w:rsid w:val="0035742D"/>
    <w:rsid w:val="00357782"/>
    <w:rsid w:val="003578DC"/>
    <w:rsid w:val="00357A0C"/>
    <w:rsid w:val="00357DFB"/>
    <w:rsid w:val="0036036B"/>
    <w:rsid w:val="0036060F"/>
    <w:rsid w:val="00360A57"/>
    <w:rsid w:val="00360BCC"/>
    <w:rsid w:val="00360D5A"/>
    <w:rsid w:val="00360FEE"/>
    <w:rsid w:val="00360FFF"/>
    <w:rsid w:val="003613E3"/>
    <w:rsid w:val="003618D6"/>
    <w:rsid w:val="00361E5B"/>
    <w:rsid w:val="003620B4"/>
    <w:rsid w:val="003624EB"/>
    <w:rsid w:val="003626B5"/>
    <w:rsid w:val="003626C7"/>
    <w:rsid w:val="00362AFD"/>
    <w:rsid w:val="00362C2A"/>
    <w:rsid w:val="00362C5A"/>
    <w:rsid w:val="00362E66"/>
    <w:rsid w:val="003630F0"/>
    <w:rsid w:val="0036319F"/>
    <w:rsid w:val="003633DE"/>
    <w:rsid w:val="0036355A"/>
    <w:rsid w:val="00363571"/>
    <w:rsid w:val="003635AA"/>
    <w:rsid w:val="003637D8"/>
    <w:rsid w:val="003639E2"/>
    <w:rsid w:val="00363C16"/>
    <w:rsid w:val="0036402D"/>
    <w:rsid w:val="0036447A"/>
    <w:rsid w:val="00364496"/>
    <w:rsid w:val="0036473A"/>
    <w:rsid w:val="003648D8"/>
    <w:rsid w:val="0036493A"/>
    <w:rsid w:val="0036499B"/>
    <w:rsid w:val="003649C7"/>
    <w:rsid w:val="003649C8"/>
    <w:rsid w:val="00364E90"/>
    <w:rsid w:val="0036513B"/>
    <w:rsid w:val="003655FE"/>
    <w:rsid w:val="003656EB"/>
    <w:rsid w:val="00365731"/>
    <w:rsid w:val="00365861"/>
    <w:rsid w:val="00365870"/>
    <w:rsid w:val="00365A29"/>
    <w:rsid w:val="00365A72"/>
    <w:rsid w:val="00366552"/>
    <w:rsid w:val="00366668"/>
    <w:rsid w:val="00366C0A"/>
    <w:rsid w:val="00366DA7"/>
    <w:rsid w:val="003670A6"/>
    <w:rsid w:val="00367103"/>
    <w:rsid w:val="00367568"/>
    <w:rsid w:val="00367AAD"/>
    <w:rsid w:val="00367BC8"/>
    <w:rsid w:val="00367E13"/>
    <w:rsid w:val="003708A2"/>
    <w:rsid w:val="00370951"/>
    <w:rsid w:val="00370ADE"/>
    <w:rsid w:val="00370CCF"/>
    <w:rsid w:val="00370D3B"/>
    <w:rsid w:val="00370DBC"/>
    <w:rsid w:val="00370EE0"/>
    <w:rsid w:val="00370FAB"/>
    <w:rsid w:val="00371020"/>
    <w:rsid w:val="0037106F"/>
    <w:rsid w:val="00371723"/>
    <w:rsid w:val="00371B46"/>
    <w:rsid w:val="00371FBB"/>
    <w:rsid w:val="003720AE"/>
    <w:rsid w:val="0037241F"/>
    <w:rsid w:val="00372772"/>
    <w:rsid w:val="00372FAD"/>
    <w:rsid w:val="0037372A"/>
    <w:rsid w:val="00373811"/>
    <w:rsid w:val="00373925"/>
    <w:rsid w:val="0037397B"/>
    <w:rsid w:val="00373AD0"/>
    <w:rsid w:val="00373DF0"/>
    <w:rsid w:val="0037442E"/>
    <w:rsid w:val="0037456A"/>
    <w:rsid w:val="00374694"/>
    <w:rsid w:val="003746BB"/>
    <w:rsid w:val="003746D9"/>
    <w:rsid w:val="003746EF"/>
    <w:rsid w:val="00374713"/>
    <w:rsid w:val="00374872"/>
    <w:rsid w:val="00374C89"/>
    <w:rsid w:val="00374EAC"/>
    <w:rsid w:val="00375C6F"/>
    <w:rsid w:val="0037653D"/>
    <w:rsid w:val="003766E3"/>
    <w:rsid w:val="003767C0"/>
    <w:rsid w:val="00377156"/>
    <w:rsid w:val="0037774A"/>
    <w:rsid w:val="003778FE"/>
    <w:rsid w:val="00377C05"/>
    <w:rsid w:val="00377CD3"/>
    <w:rsid w:val="00377E1D"/>
    <w:rsid w:val="00377F71"/>
    <w:rsid w:val="00377FE0"/>
    <w:rsid w:val="00380620"/>
    <w:rsid w:val="00380899"/>
    <w:rsid w:val="003808C9"/>
    <w:rsid w:val="0038090E"/>
    <w:rsid w:val="00380B86"/>
    <w:rsid w:val="00380BF7"/>
    <w:rsid w:val="00380C05"/>
    <w:rsid w:val="00380DCC"/>
    <w:rsid w:val="00380FC5"/>
    <w:rsid w:val="0038139C"/>
    <w:rsid w:val="0038141E"/>
    <w:rsid w:val="00381445"/>
    <w:rsid w:val="00381649"/>
    <w:rsid w:val="003818BD"/>
    <w:rsid w:val="00381912"/>
    <w:rsid w:val="00381917"/>
    <w:rsid w:val="003824BC"/>
    <w:rsid w:val="00382555"/>
    <w:rsid w:val="003825BE"/>
    <w:rsid w:val="003826D9"/>
    <w:rsid w:val="00382B0A"/>
    <w:rsid w:val="00382B6F"/>
    <w:rsid w:val="00382F20"/>
    <w:rsid w:val="00382F70"/>
    <w:rsid w:val="003830EE"/>
    <w:rsid w:val="00383480"/>
    <w:rsid w:val="00383BD1"/>
    <w:rsid w:val="00383C8B"/>
    <w:rsid w:val="00383D1A"/>
    <w:rsid w:val="00384410"/>
    <w:rsid w:val="00384422"/>
    <w:rsid w:val="003844B3"/>
    <w:rsid w:val="00384AA6"/>
    <w:rsid w:val="003850D1"/>
    <w:rsid w:val="00385564"/>
    <w:rsid w:val="00385E17"/>
    <w:rsid w:val="00386259"/>
    <w:rsid w:val="00386540"/>
    <w:rsid w:val="00386DBD"/>
    <w:rsid w:val="00386FCC"/>
    <w:rsid w:val="003874D1"/>
    <w:rsid w:val="0038785F"/>
    <w:rsid w:val="00387A69"/>
    <w:rsid w:val="00387AE1"/>
    <w:rsid w:val="00387B4B"/>
    <w:rsid w:val="003901DE"/>
    <w:rsid w:val="00390236"/>
    <w:rsid w:val="003902D5"/>
    <w:rsid w:val="003904CA"/>
    <w:rsid w:val="00391163"/>
    <w:rsid w:val="003914B7"/>
    <w:rsid w:val="003914BE"/>
    <w:rsid w:val="00391508"/>
    <w:rsid w:val="003917EE"/>
    <w:rsid w:val="00391B48"/>
    <w:rsid w:val="00391F49"/>
    <w:rsid w:val="00391F4C"/>
    <w:rsid w:val="0039211D"/>
    <w:rsid w:val="003923BA"/>
    <w:rsid w:val="00392C51"/>
    <w:rsid w:val="00392C90"/>
    <w:rsid w:val="00392CF9"/>
    <w:rsid w:val="00392DEE"/>
    <w:rsid w:val="003931F7"/>
    <w:rsid w:val="0039341D"/>
    <w:rsid w:val="00393BA1"/>
    <w:rsid w:val="00393F58"/>
    <w:rsid w:val="003941DC"/>
    <w:rsid w:val="00394666"/>
    <w:rsid w:val="00394818"/>
    <w:rsid w:val="00394945"/>
    <w:rsid w:val="00394A46"/>
    <w:rsid w:val="003953C0"/>
    <w:rsid w:val="0039569D"/>
    <w:rsid w:val="003956A1"/>
    <w:rsid w:val="0039581C"/>
    <w:rsid w:val="00395C24"/>
    <w:rsid w:val="00395CF4"/>
    <w:rsid w:val="0039614D"/>
    <w:rsid w:val="003961DA"/>
    <w:rsid w:val="003962A8"/>
    <w:rsid w:val="0039675D"/>
    <w:rsid w:val="003967EC"/>
    <w:rsid w:val="003973E2"/>
    <w:rsid w:val="00397665"/>
    <w:rsid w:val="00397CB9"/>
    <w:rsid w:val="003A006F"/>
    <w:rsid w:val="003A026C"/>
    <w:rsid w:val="003A0680"/>
    <w:rsid w:val="003A082D"/>
    <w:rsid w:val="003A0B47"/>
    <w:rsid w:val="003A0D3A"/>
    <w:rsid w:val="003A0EBF"/>
    <w:rsid w:val="003A0EE0"/>
    <w:rsid w:val="003A13AE"/>
    <w:rsid w:val="003A1529"/>
    <w:rsid w:val="003A195B"/>
    <w:rsid w:val="003A19A1"/>
    <w:rsid w:val="003A19F1"/>
    <w:rsid w:val="003A1CCB"/>
    <w:rsid w:val="003A2A9E"/>
    <w:rsid w:val="003A2BCB"/>
    <w:rsid w:val="003A2F4D"/>
    <w:rsid w:val="003A2F6C"/>
    <w:rsid w:val="003A3050"/>
    <w:rsid w:val="003A317B"/>
    <w:rsid w:val="003A3457"/>
    <w:rsid w:val="003A3605"/>
    <w:rsid w:val="003A3DE8"/>
    <w:rsid w:val="003A3EF3"/>
    <w:rsid w:val="003A4827"/>
    <w:rsid w:val="003A4903"/>
    <w:rsid w:val="003A4FBA"/>
    <w:rsid w:val="003A5040"/>
    <w:rsid w:val="003A51B6"/>
    <w:rsid w:val="003A51CF"/>
    <w:rsid w:val="003A53B5"/>
    <w:rsid w:val="003A6238"/>
    <w:rsid w:val="003A66B0"/>
    <w:rsid w:val="003A6826"/>
    <w:rsid w:val="003A68FD"/>
    <w:rsid w:val="003A6942"/>
    <w:rsid w:val="003A6F93"/>
    <w:rsid w:val="003A721F"/>
    <w:rsid w:val="003A75E0"/>
    <w:rsid w:val="003A77B2"/>
    <w:rsid w:val="003A7F37"/>
    <w:rsid w:val="003B00C4"/>
    <w:rsid w:val="003B014C"/>
    <w:rsid w:val="003B036E"/>
    <w:rsid w:val="003B0914"/>
    <w:rsid w:val="003B0B0C"/>
    <w:rsid w:val="003B0B8E"/>
    <w:rsid w:val="003B0CE6"/>
    <w:rsid w:val="003B0E98"/>
    <w:rsid w:val="003B0F21"/>
    <w:rsid w:val="003B112B"/>
    <w:rsid w:val="003B1416"/>
    <w:rsid w:val="003B1A78"/>
    <w:rsid w:val="003B1CCE"/>
    <w:rsid w:val="003B214F"/>
    <w:rsid w:val="003B22A7"/>
    <w:rsid w:val="003B2C58"/>
    <w:rsid w:val="003B2F26"/>
    <w:rsid w:val="003B3490"/>
    <w:rsid w:val="003B3956"/>
    <w:rsid w:val="003B3D0E"/>
    <w:rsid w:val="003B42A8"/>
    <w:rsid w:val="003B439F"/>
    <w:rsid w:val="003B459C"/>
    <w:rsid w:val="003B46BE"/>
    <w:rsid w:val="003B4C80"/>
    <w:rsid w:val="003B4E83"/>
    <w:rsid w:val="003B507D"/>
    <w:rsid w:val="003B58E9"/>
    <w:rsid w:val="003B5A30"/>
    <w:rsid w:val="003B5E14"/>
    <w:rsid w:val="003B77FB"/>
    <w:rsid w:val="003B7CF2"/>
    <w:rsid w:val="003C0322"/>
    <w:rsid w:val="003C06D9"/>
    <w:rsid w:val="003C08B9"/>
    <w:rsid w:val="003C0BA9"/>
    <w:rsid w:val="003C0DF3"/>
    <w:rsid w:val="003C10D2"/>
    <w:rsid w:val="003C135D"/>
    <w:rsid w:val="003C1D9F"/>
    <w:rsid w:val="003C256F"/>
    <w:rsid w:val="003C2A0C"/>
    <w:rsid w:val="003C2A95"/>
    <w:rsid w:val="003C2E11"/>
    <w:rsid w:val="003C2F1E"/>
    <w:rsid w:val="003C2F74"/>
    <w:rsid w:val="003C33B1"/>
    <w:rsid w:val="003C3513"/>
    <w:rsid w:val="003C3BB4"/>
    <w:rsid w:val="003C3C20"/>
    <w:rsid w:val="003C3E08"/>
    <w:rsid w:val="003C4166"/>
    <w:rsid w:val="003C4218"/>
    <w:rsid w:val="003C4260"/>
    <w:rsid w:val="003C42DC"/>
    <w:rsid w:val="003C4426"/>
    <w:rsid w:val="003C4477"/>
    <w:rsid w:val="003C4573"/>
    <w:rsid w:val="003C4852"/>
    <w:rsid w:val="003C4A11"/>
    <w:rsid w:val="003C4ADA"/>
    <w:rsid w:val="003C4BC2"/>
    <w:rsid w:val="003C4DA2"/>
    <w:rsid w:val="003C4E6B"/>
    <w:rsid w:val="003C5060"/>
    <w:rsid w:val="003C51D8"/>
    <w:rsid w:val="003C5AEF"/>
    <w:rsid w:val="003C5C2B"/>
    <w:rsid w:val="003C5E17"/>
    <w:rsid w:val="003C5ED1"/>
    <w:rsid w:val="003C6EC8"/>
    <w:rsid w:val="003C728E"/>
    <w:rsid w:val="003C7414"/>
    <w:rsid w:val="003C75BC"/>
    <w:rsid w:val="003C76A1"/>
    <w:rsid w:val="003C7B5E"/>
    <w:rsid w:val="003D079A"/>
    <w:rsid w:val="003D0A70"/>
    <w:rsid w:val="003D0C70"/>
    <w:rsid w:val="003D18E6"/>
    <w:rsid w:val="003D1C7B"/>
    <w:rsid w:val="003D1D6F"/>
    <w:rsid w:val="003D2529"/>
    <w:rsid w:val="003D25C9"/>
    <w:rsid w:val="003D2B9A"/>
    <w:rsid w:val="003D2DEE"/>
    <w:rsid w:val="003D2EBE"/>
    <w:rsid w:val="003D33A2"/>
    <w:rsid w:val="003D433B"/>
    <w:rsid w:val="003D4F14"/>
    <w:rsid w:val="003D4F68"/>
    <w:rsid w:val="003D50F7"/>
    <w:rsid w:val="003D5374"/>
    <w:rsid w:val="003D5995"/>
    <w:rsid w:val="003D5DC8"/>
    <w:rsid w:val="003D616A"/>
    <w:rsid w:val="003D6974"/>
    <w:rsid w:val="003D6A1A"/>
    <w:rsid w:val="003D6C11"/>
    <w:rsid w:val="003D6CAC"/>
    <w:rsid w:val="003D6FF9"/>
    <w:rsid w:val="003D716D"/>
    <w:rsid w:val="003D73DF"/>
    <w:rsid w:val="003D7B57"/>
    <w:rsid w:val="003D7C32"/>
    <w:rsid w:val="003D7D46"/>
    <w:rsid w:val="003D7F3B"/>
    <w:rsid w:val="003E05E7"/>
    <w:rsid w:val="003E081B"/>
    <w:rsid w:val="003E08FF"/>
    <w:rsid w:val="003E1129"/>
    <w:rsid w:val="003E13F9"/>
    <w:rsid w:val="003E14EA"/>
    <w:rsid w:val="003E196A"/>
    <w:rsid w:val="003E1C50"/>
    <w:rsid w:val="003E1D8B"/>
    <w:rsid w:val="003E1FA2"/>
    <w:rsid w:val="003E20D6"/>
    <w:rsid w:val="003E20F8"/>
    <w:rsid w:val="003E2205"/>
    <w:rsid w:val="003E2858"/>
    <w:rsid w:val="003E336E"/>
    <w:rsid w:val="003E3BD5"/>
    <w:rsid w:val="003E3D2C"/>
    <w:rsid w:val="003E424C"/>
    <w:rsid w:val="003E444A"/>
    <w:rsid w:val="003E44DC"/>
    <w:rsid w:val="003E4512"/>
    <w:rsid w:val="003E462C"/>
    <w:rsid w:val="003E46AE"/>
    <w:rsid w:val="003E46F4"/>
    <w:rsid w:val="003E4F18"/>
    <w:rsid w:val="003E4F6F"/>
    <w:rsid w:val="003E505A"/>
    <w:rsid w:val="003E506E"/>
    <w:rsid w:val="003E50C4"/>
    <w:rsid w:val="003E514E"/>
    <w:rsid w:val="003E533C"/>
    <w:rsid w:val="003E53FC"/>
    <w:rsid w:val="003E5E23"/>
    <w:rsid w:val="003E65D3"/>
    <w:rsid w:val="003E6624"/>
    <w:rsid w:val="003E68B5"/>
    <w:rsid w:val="003E6B43"/>
    <w:rsid w:val="003E6CC8"/>
    <w:rsid w:val="003E6EEB"/>
    <w:rsid w:val="003E74BE"/>
    <w:rsid w:val="003E74F7"/>
    <w:rsid w:val="003E76B7"/>
    <w:rsid w:val="003E7F82"/>
    <w:rsid w:val="003F00E2"/>
    <w:rsid w:val="003F019D"/>
    <w:rsid w:val="003F027D"/>
    <w:rsid w:val="003F071C"/>
    <w:rsid w:val="003F07FB"/>
    <w:rsid w:val="003F0CF5"/>
    <w:rsid w:val="003F0E27"/>
    <w:rsid w:val="003F12DB"/>
    <w:rsid w:val="003F14A9"/>
    <w:rsid w:val="003F1D3C"/>
    <w:rsid w:val="003F1EAB"/>
    <w:rsid w:val="003F2244"/>
    <w:rsid w:val="003F25EF"/>
    <w:rsid w:val="003F273D"/>
    <w:rsid w:val="003F2A76"/>
    <w:rsid w:val="003F2E50"/>
    <w:rsid w:val="003F31ED"/>
    <w:rsid w:val="003F33E2"/>
    <w:rsid w:val="003F34A8"/>
    <w:rsid w:val="003F35DB"/>
    <w:rsid w:val="003F364A"/>
    <w:rsid w:val="003F36B4"/>
    <w:rsid w:val="003F39BF"/>
    <w:rsid w:val="003F39E4"/>
    <w:rsid w:val="003F3D95"/>
    <w:rsid w:val="003F3DD4"/>
    <w:rsid w:val="003F472D"/>
    <w:rsid w:val="003F4892"/>
    <w:rsid w:val="003F4B95"/>
    <w:rsid w:val="003F5430"/>
    <w:rsid w:val="003F5589"/>
    <w:rsid w:val="003F55F4"/>
    <w:rsid w:val="003F580E"/>
    <w:rsid w:val="003F5DED"/>
    <w:rsid w:val="003F5F0F"/>
    <w:rsid w:val="003F6151"/>
    <w:rsid w:val="003F6221"/>
    <w:rsid w:val="003F66C2"/>
    <w:rsid w:val="003F6C12"/>
    <w:rsid w:val="003F6D7E"/>
    <w:rsid w:val="003F6FB6"/>
    <w:rsid w:val="003F6FBA"/>
    <w:rsid w:val="003F7672"/>
    <w:rsid w:val="003F7889"/>
    <w:rsid w:val="00400540"/>
    <w:rsid w:val="0040089B"/>
    <w:rsid w:val="00400909"/>
    <w:rsid w:val="00400B7A"/>
    <w:rsid w:val="00400C81"/>
    <w:rsid w:val="00400F0A"/>
    <w:rsid w:val="00400F10"/>
    <w:rsid w:val="00400FE6"/>
    <w:rsid w:val="004013CD"/>
    <w:rsid w:val="00401593"/>
    <w:rsid w:val="004016EA"/>
    <w:rsid w:val="0040185F"/>
    <w:rsid w:val="004018D1"/>
    <w:rsid w:val="00401B38"/>
    <w:rsid w:val="00401B94"/>
    <w:rsid w:val="00401DD9"/>
    <w:rsid w:val="00401F97"/>
    <w:rsid w:val="0040203A"/>
    <w:rsid w:val="004020C7"/>
    <w:rsid w:val="004022CE"/>
    <w:rsid w:val="004027B9"/>
    <w:rsid w:val="004028BA"/>
    <w:rsid w:val="00402A1B"/>
    <w:rsid w:val="004035A7"/>
    <w:rsid w:val="00403650"/>
    <w:rsid w:val="004039C5"/>
    <w:rsid w:val="00403B22"/>
    <w:rsid w:val="00403D3E"/>
    <w:rsid w:val="00403E5A"/>
    <w:rsid w:val="00404177"/>
    <w:rsid w:val="004045C3"/>
    <w:rsid w:val="00404EE3"/>
    <w:rsid w:val="00405007"/>
    <w:rsid w:val="004050DD"/>
    <w:rsid w:val="004054EF"/>
    <w:rsid w:val="00405520"/>
    <w:rsid w:val="0040572B"/>
    <w:rsid w:val="00405882"/>
    <w:rsid w:val="004058A1"/>
    <w:rsid w:val="00405D03"/>
    <w:rsid w:val="004060B3"/>
    <w:rsid w:val="00406201"/>
    <w:rsid w:val="004074B9"/>
    <w:rsid w:val="00407C0D"/>
    <w:rsid w:val="004104FC"/>
    <w:rsid w:val="004107C1"/>
    <w:rsid w:val="00410A8E"/>
    <w:rsid w:val="00410E58"/>
    <w:rsid w:val="00410F32"/>
    <w:rsid w:val="0041127B"/>
    <w:rsid w:val="0041158D"/>
    <w:rsid w:val="00411AB2"/>
    <w:rsid w:val="004120AE"/>
    <w:rsid w:val="004122E3"/>
    <w:rsid w:val="004125B7"/>
    <w:rsid w:val="00412DA4"/>
    <w:rsid w:val="004136C9"/>
    <w:rsid w:val="00413A42"/>
    <w:rsid w:val="00413ECE"/>
    <w:rsid w:val="00414072"/>
    <w:rsid w:val="00414165"/>
    <w:rsid w:val="00414188"/>
    <w:rsid w:val="004149C8"/>
    <w:rsid w:val="004149CB"/>
    <w:rsid w:val="00414CEB"/>
    <w:rsid w:val="0041599F"/>
    <w:rsid w:val="00415ADC"/>
    <w:rsid w:val="00415B19"/>
    <w:rsid w:val="00415E37"/>
    <w:rsid w:val="00415F5E"/>
    <w:rsid w:val="00415FC0"/>
    <w:rsid w:val="00416013"/>
    <w:rsid w:val="00416080"/>
    <w:rsid w:val="00416983"/>
    <w:rsid w:val="00416D1A"/>
    <w:rsid w:val="00417509"/>
    <w:rsid w:val="0041769F"/>
    <w:rsid w:val="0041789F"/>
    <w:rsid w:val="004202B5"/>
    <w:rsid w:val="004202B8"/>
    <w:rsid w:val="0042068F"/>
    <w:rsid w:val="00420C76"/>
    <w:rsid w:val="00420F31"/>
    <w:rsid w:val="004211B1"/>
    <w:rsid w:val="0042187D"/>
    <w:rsid w:val="00421A31"/>
    <w:rsid w:val="00421CAC"/>
    <w:rsid w:val="004224B4"/>
    <w:rsid w:val="004224FD"/>
    <w:rsid w:val="004226AE"/>
    <w:rsid w:val="00422787"/>
    <w:rsid w:val="00422F93"/>
    <w:rsid w:val="004231FF"/>
    <w:rsid w:val="004232ED"/>
    <w:rsid w:val="004233EE"/>
    <w:rsid w:val="0042348F"/>
    <w:rsid w:val="004237C9"/>
    <w:rsid w:val="004239C3"/>
    <w:rsid w:val="00423E14"/>
    <w:rsid w:val="00424051"/>
    <w:rsid w:val="00424134"/>
    <w:rsid w:val="0042424E"/>
    <w:rsid w:val="0042485A"/>
    <w:rsid w:val="0042531D"/>
    <w:rsid w:val="0042538D"/>
    <w:rsid w:val="00425539"/>
    <w:rsid w:val="0042568F"/>
    <w:rsid w:val="00425A1A"/>
    <w:rsid w:val="00425BCF"/>
    <w:rsid w:val="00425E93"/>
    <w:rsid w:val="00426409"/>
    <w:rsid w:val="0042676C"/>
    <w:rsid w:val="004269D3"/>
    <w:rsid w:val="00426BE5"/>
    <w:rsid w:val="00426E29"/>
    <w:rsid w:val="00426FCC"/>
    <w:rsid w:val="00426FD2"/>
    <w:rsid w:val="0042706F"/>
    <w:rsid w:val="00427131"/>
    <w:rsid w:val="0042723F"/>
    <w:rsid w:val="00427403"/>
    <w:rsid w:val="00427853"/>
    <w:rsid w:val="00427CFA"/>
    <w:rsid w:val="004300B4"/>
    <w:rsid w:val="0043033B"/>
    <w:rsid w:val="004303CC"/>
    <w:rsid w:val="004304B2"/>
    <w:rsid w:val="00430721"/>
    <w:rsid w:val="0043079D"/>
    <w:rsid w:val="00430BDD"/>
    <w:rsid w:val="0043124E"/>
    <w:rsid w:val="0043144C"/>
    <w:rsid w:val="00431744"/>
    <w:rsid w:val="00431994"/>
    <w:rsid w:val="00431AD6"/>
    <w:rsid w:val="00431B48"/>
    <w:rsid w:val="00431B9D"/>
    <w:rsid w:val="00431D0E"/>
    <w:rsid w:val="00431E7E"/>
    <w:rsid w:val="00432465"/>
    <w:rsid w:val="0043265C"/>
    <w:rsid w:val="004329D9"/>
    <w:rsid w:val="00432C1A"/>
    <w:rsid w:val="00432E1D"/>
    <w:rsid w:val="0043321F"/>
    <w:rsid w:val="004337C9"/>
    <w:rsid w:val="00433897"/>
    <w:rsid w:val="00433A0E"/>
    <w:rsid w:val="00433A3E"/>
    <w:rsid w:val="00433A3F"/>
    <w:rsid w:val="00433DBF"/>
    <w:rsid w:val="0043413D"/>
    <w:rsid w:val="0043442C"/>
    <w:rsid w:val="0043486A"/>
    <w:rsid w:val="00434A59"/>
    <w:rsid w:val="00434AF4"/>
    <w:rsid w:val="00434C82"/>
    <w:rsid w:val="00434DE9"/>
    <w:rsid w:val="00434F18"/>
    <w:rsid w:val="0043546F"/>
    <w:rsid w:val="00435495"/>
    <w:rsid w:val="0043588F"/>
    <w:rsid w:val="004365F4"/>
    <w:rsid w:val="0043677C"/>
    <w:rsid w:val="004367CC"/>
    <w:rsid w:val="004368AA"/>
    <w:rsid w:val="004371DE"/>
    <w:rsid w:val="004374C5"/>
    <w:rsid w:val="00437528"/>
    <w:rsid w:val="00437587"/>
    <w:rsid w:val="00437923"/>
    <w:rsid w:val="00437B06"/>
    <w:rsid w:val="0044015A"/>
    <w:rsid w:val="00440380"/>
    <w:rsid w:val="004403AA"/>
    <w:rsid w:val="00441593"/>
    <w:rsid w:val="0044202E"/>
    <w:rsid w:val="004420AB"/>
    <w:rsid w:val="004420DF"/>
    <w:rsid w:val="004427DB"/>
    <w:rsid w:val="00442809"/>
    <w:rsid w:val="00442ABD"/>
    <w:rsid w:val="00442C79"/>
    <w:rsid w:val="00442C99"/>
    <w:rsid w:val="00442CEF"/>
    <w:rsid w:val="00442D3C"/>
    <w:rsid w:val="00442E54"/>
    <w:rsid w:val="00442E7A"/>
    <w:rsid w:val="004430FA"/>
    <w:rsid w:val="004432B2"/>
    <w:rsid w:val="004433BD"/>
    <w:rsid w:val="0044355D"/>
    <w:rsid w:val="004437C9"/>
    <w:rsid w:val="00443B04"/>
    <w:rsid w:val="00443C87"/>
    <w:rsid w:val="00443DCD"/>
    <w:rsid w:val="00443FAC"/>
    <w:rsid w:val="00443FB2"/>
    <w:rsid w:val="00444035"/>
    <w:rsid w:val="004447B5"/>
    <w:rsid w:val="00444A11"/>
    <w:rsid w:val="00444A76"/>
    <w:rsid w:val="0044531B"/>
    <w:rsid w:val="004456C3"/>
    <w:rsid w:val="00446376"/>
    <w:rsid w:val="004465D0"/>
    <w:rsid w:val="00446790"/>
    <w:rsid w:val="00446797"/>
    <w:rsid w:val="00450023"/>
    <w:rsid w:val="004502B2"/>
    <w:rsid w:val="0045068C"/>
    <w:rsid w:val="004506CC"/>
    <w:rsid w:val="00450CAB"/>
    <w:rsid w:val="00450EFA"/>
    <w:rsid w:val="00450F85"/>
    <w:rsid w:val="0045100D"/>
    <w:rsid w:val="004517AD"/>
    <w:rsid w:val="004517AF"/>
    <w:rsid w:val="00451ADF"/>
    <w:rsid w:val="00451B57"/>
    <w:rsid w:val="00451FF2"/>
    <w:rsid w:val="00452B03"/>
    <w:rsid w:val="00452F32"/>
    <w:rsid w:val="00452F97"/>
    <w:rsid w:val="00453B76"/>
    <w:rsid w:val="00453C51"/>
    <w:rsid w:val="00453E2C"/>
    <w:rsid w:val="00453F07"/>
    <w:rsid w:val="0045409D"/>
    <w:rsid w:val="00454181"/>
    <w:rsid w:val="004542DD"/>
    <w:rsid w:val="0045434F"/>
    <w:rsid w:val="0045438C"/>
    <w:rsid w:val="00454477"/>
    <w:rsid w:val="004547A2"/>
    <w:rsid w:val="00454C5A"/>
    <w:rsid w:val="0045517B"/>
    <w:rsid w:val="004554A6"/>
    <w:rsid w:val="004556EF"/>
    <w:rsid w:val="00455701"/>
    <w:rsid w:val="004559F9"/>
    <w:rsid w:val="00455C7F"/>
    <w:rsid w:val="00455C80"/>
    <w:rsid w:val="00455E65"/>
    <w:rsid w:val="0045607A"/>
    <w:rsid w:val="0045614A"/>
    <w:rsid w:val="004563DD"/>
    <w:rsid w:val="004564AA"/>
    <w:rsid w:val="00456816"/>
    <w:rsid w:val="00456AA3"/>
    <w:rsid w:val="00456CDF"/>
    <w:rsid w:val="00456F6D"/>
    <w:rsid w:val="00457458"/>
    <w:rsid w:val="00457603"/>
    <w:rsid w:val="00457741"/>
    <w:rsid w:val="00457D29"/>
    <w:rsid w:val="00457F73"/>
    <w:rsid w:val="004600EE"/>
    <w:rsid w:val="00460179"/>
    <w:rsid w:val="004606A9"/>
    <w:rsid w:val="00460908"/>
    <w:rsid w:val="00460B9F"/>
    <w:rsid w:val="00460C06"/>
    <w:rsid w:val="0046107F"/>
    <w:rsid w:val="0046115B"/>
    <w:rsid w:val="00461274"/>
    <w:rsid w:val="004614B2"/>
    <w:rsid w:val="004614B4"/>
    <w:rsid w:val="00461762"/>
    <w:rsid w:val="00461909"/>
    <w:rsid w:val="0046193D"/>
    <w:rsid w:val="00461E5F"/>
    <w:rsid w:val="00462158"/>
    <w:rsid w:val="00462327"/>
    <w:rsid w:val="0046254C"/>
    <w:rsid w:val="00463282"/>
    <w:rsid w:val="004644DB"/>
    <w:rsid w:val="004645F9"/>
    <w:rsid w:val="004646ED"/>
    <w:rsid w:val="00465408"/>
    <w:rsid w:val="004654B1"/>
    <w:rsid w:val="0046557B"/>
    <w:rsid w:val="0046587C"/>
    <w:rsid w:val="004658C8"/>
    <w:rsid w:val="00465B3C"/>
    <w:rsid w:val="00465EAF"/>
    <w:rsid w:val="00466114"/>
    <w:rsid w:val="004662D8"/>
    <w:rsid w:val="004666EB"/>
    <w:rsid w:val="00466845"/>
    <w:rsid w:val="0046684E"/>
    <w:rsid w:val="0046692F"/>
    <w:rsid w:val="004671E9"/>
    <w:rsid w:val="00467451"/>
    <w:rsid w:val="0046784D"/>
    <w:rsid w:val="00470338"/>
    <w:rsid w:val="0047033E"/>
    <w:rsid w:val="00470EFE"/>
    <w:rsid w:val="0047111B"/>
    <w:rsid w:val="004713C2"/>
    <w:rsid w:val="004716CD"/>
    <w:rsid w:val="00471F10"/>
    <w:rsid w:val="0047251D"/>
    <w:rsid w:val="0047252D"/>
    <w:rsid w:val="00472568"/>
    <w:rsid w:val="00472A64"/>
    <w:rsid w:val="004730EF"/>
    <w:rsid w:val="0047312D"/>
    <w:rsid w:val="004735E2"/>
    <w:rsid w:val="004736B1"/>
    <w:rsid w:val="004738F5"/>
    <w:rsid w:val="0047417D"/>
    <w:rsid w:val="004746DC"/>
    <w:rsid w:val="00474B75"/>
    <w:rsid w:val="00474CE1"/>
    <w:rsid w:val="00474E4E"/>
    <w:rsid w:val="00474E77"/>
    <w:rsid w:val="00474E97"/>
    <w:rsid w:val="00475097"/>
    <w:rsid w:val="00475647"/>
    <w:rsid w:val="00475653"/>
    <w:rsid w:val="004756C6"/>
    <w:rsid w:val="00475708"/>
    <w:rsid w:val="0047581F"/>
    <w:rsid w:val="0047593B"/>
    <w:rsid w:val="00475F0E"/>
    <w:rsid w:val="004766B7"/>
    <w:rsid w:val="00476C8F"/>
    <w:rsid w:val="004772AD"/>
    <w:rsid w:val="00477416"/>
    <w:rsid w:val="00477A35"/>
    <w:rsid w:val="00477C67"/>
    <w:rsid w:val="00477ED2"/>
    <w:rsid w:val="004801EE"/>
    <w:rsid w:val="0048040B"/>
    <w:rsid w:val="00480480"/>
    <w:rsid w:val="00480BEA"/>
    <w:rsid w:val="00480D1E"/>
    <w:rsid w:val="00480FAB"/>
    <w:rsid w:val="00481015"/>
    <w:rsid w:val="0048121F"/>
    <w:rsid w:val="00481799"/>
    <w:rsid w:val="00481A57"/>
    <w:rsid w:val="00481BB0"/>
    <w:rsid w:val="00481D33"/>
    <w:rsid w:val="00482295"/>
    <w:rsid w:val="004822A0"/>
    <w:rsid w:val="004822E9"/>
    <w:rsid w:val="00482359"/>
    <w:rsid w:val="0048269D"/>
    <w:rsid w:val="00482D74"/>
    <w:rsid w:val="00482EE5"/>
    <w:rsid w:val="00483AC1"/>
    <w:rsid w:val="00484659"/>
    <w:rsid w:val="00484678"/>
    <w:rsid w:val="00484E04"/>
    <w:rsid w:val="00484E24"/>
    <w:rsid w:val="004855BE"/>
    <w:rsid w:val="0048581C"/>
    <w:rsid w:val="00485878"/>
    <w:rsid w:val="00485A57"/>
    <w:rsid w:val="00485E5B"/>
    <w:rsid w:val="00485E70"/>
    <w:rsid w:val="00486587"/>
    <w:rsid w:val="004867BC"/>
    <w:rsid w:val="0048699D"/>
    <w:rsid w:val="00486A41"/>
    <w:rsid w:val="00486C68"/>
    <w:rsid w:val="00486D74"/>
    <w:rsid w:val="00486DEC"/>
    <w:rsid w:val="004871B0"/>
    <w:rsid w:val="00487564"/>
    <w:rsid w:val="00487899"/>
    <w:rsid w:val="004878A5"/>
    <w:rsid w:val="00487C6C"/>
    <w:rsid w:val="004902B4"/>
    <w:rsid w:val="004905F3"/>
    <w:rsid w:val="004907D3"/>
    <w:rsid w:val="00490855"/>
    <w:rsid w:val="00490926"/>
    <w:rsid w:val="00490985"/>
    <w:rsid w:val="00490B67"/>
    <w:rsid w:val="00490E53"/>
    <w:rsid w:val="00490F50"/>
    <w:rsid w:val="00491305"/>
    <w:rsid w:val="0049147B"/>
    <w:rsid w:val="00491668"/>
    <w:rsid w:val="0049176D"/>
    <w:rsid w:val="00491A6E"/>
    <w:rsid w:val="00491C14"/>
    <w:rsid w:val="00491D70"/>
    <w:rsid w:val="00491FCF"/>
    <w:rsid w:val="0049261B"/>
    <w:rsid w:val="004929E8"/>
    <w:rsid w:val="00492E53"/>
    <w:rsid w:val="00492F2D"/>
    <w:rsid w:val="00492FD6"/>
    <w:rsid w:val="0049308D"/>
    <w:rsid w:val="0049320C"/>
    <w:rsid w:val="00493425"/>
    <w:rsid w:val="00493588"/>
    <w:rsid w:val="004936E8"/>
    <w:rsid w:val="00493AFA"/>
    <w:rsid w:val="00493D24"/>
    <w:rsid w:val="0049401A"/>
    <w:rsid w:val="00494332"/>
    <w:rsid w:val="00494428"/>
    <w:rsid w:val="00494A3B"/>
    <w:rsid w:val="00494BE0"/>
    <w:rsid w:val="00494CD9"/>
    <w:rsid w:val="00494F86"/>
    <w:rsid w:val="004958B4"/>
    <w:rsid w:val="004958F6"/>
    <w:rsid w:val="00495AB3"/>
    <w:rsid w:val="00495EE8"/>
    <w:rsid w:val="0049622C"/>
    <w:rsid w:val="00496494"/>
    <w:rsid w:val="004968C1"/>
    <w:rsid w:val="00496A8D"/>
    <w:rsid w:val="00497262"/>
    <w:rsid w:val="004974D9"/>
    <w:rsid w:val="004976B0"/>
    <w:rsid w:val="004977C3"/>
    <w:rsid w:val="004A023D"/>
    <w:rsid w:val="004A0A50"/>
    <w:rsid w:val="004A11F0"/>
    <w:rsid w:val="004A1AD7"/>
    <w:rsid w:val="004A1ECA"/>
    <w:rsid w:val="004A1FB2"/>
    <w:rsid w:val="004A2114"/>
    <w:rsid w:val="004A2631"/>
    <w:rsid w:val="004A2AA8"/>
    <w:rsid w:val="004A2FA9"/>
    <w:rsid w:val="004A32AE"/>
    <w:rsid w:val="004A3385"/>
    <w:rsid w:val="004A341F"/>
    <w:rsid w:val="004A3489"/>
    <w:rsid w:val="004A3531"/>
    <w:rsid w:val="004A36CE"/>
    <w:rsid w:val="004A3872"/>
    <w:rsid w:val="004A3BFA"/>
    <w:rsid w:val="004A3CFE"/>
    <w:rsid w:val="004A40C7"/>
    <w:rsid w:val="004A4137"/>
    <w:rsid w:val="004A43B8"/>
    <w:rsid w:val="004A4621"/>
    <w:rsid w:val="004A4631"/>
    <w:rsid w:val="004A46E4"/>
    <w:rsid w:val="004A4BDE"/>
    <w:rsid w:val="004A4E01"/>
    <w:rsid w:val="004A519F"/>
    <w:rsid w:val="004A5295"/>
    <w:rsid w:val="004A52A8"/>
    <w:rsid w:val="004A546B"/>
    <w:rsid w:val="004A57A5"/>
    <w:rsid w:val="004A5B34"/>
    <w:rsid w:val="004A5C1E"/>
    <w:rsid w:val="004A5C74"/>
    <w:rsid w:val="004A5C75"/>
    <w:rsid w:val="004A5DDA"/>
    <w:rsid w:val="004A612A"/>
    <w:rsid w:val="004A62A0"/>
    <w:rsid w:val="004A63FA"/>
    <w:rsid w:val="004A6533"/>
    <w:rsid w:val="004A6A25"/>
    <w:rsid w:val="004A6B1E"/>
    <w:rsid w:val="004A6E95"/>
    <w:rsid w:val="004A7631"/>
    <w:rsid w:val="004A77D6"/>
    <w:rsid w:val="004A7952"/>
    <w:rsid w:val="004A7B5F"/>
    <w:rsid w:val="004A7B73"/>
    <w:rsid w:val="004A7C0E"/>
    <w:rsid w:val="004A7C62"/>
    <w:rsid w:val="004A7DE3"/>
    <w:rsid w:val="004B0148"/>
    <w:rsid w:val="004B0514"/>
    <w:rsid w:val="004B0ABB"/>
    <w:rsid w:val="004B0B04"/>
    <w:rsid w:val="004B0C11"/>
    <w:rsid w:val="004B19BE"/>
    <w:rsid w:val="004B1A72"/>
    <w:rsid w:val="004B1A7A"/>
    <w:rsid w:val="004B1B38"/>
    <w:rsid w:val="004B1C77"/>
    <w:rsid w:val="004B1D2E"/>
    <w:rsid w:val="004B20FA"/>
    <w:rsid w:val="004B2D91"/>
    <w:rsid w:val="004B2E2E"/>
    <w:rsid w:val="004B309A"/>
    <w:rsid w:val="004B30FD"/>
    <w:rsid w:val="004B32E0"/>
    <w:rsid w:val="004B3AA4"/>
    <w:rsid w:val="004B3B53"/>
    <w:rsid w:val="004B3BDB"/>
    <w:rsid w:val="004B3E57"/>
    <w:rsid w:val="004B40A0"/>
    <w:rsid w:val="004B40BF"/>
    <w:rsid w:val="004B4512"/>
    <w:rsid w:val="004B4536"/>
    <w:rsid w:val="004B4569"/>
    <w:rsid w:val="004B4615"/>
    <w:rsid w:val="004B4863"/>
    <w:rsid w:val="004B4D7D"/>
    <w:rsid w:val="004B603D"/>
    <w:rsid w:val="004B685E"/>
    <w:rsid w:val="004B68D4"/>
    <w:rsid w:val="004B69F5"/>
    <w:rsid w:val="004B6A26"/>
    <w:rsid w:val="004B6E5D"/>
    <w:rsid w:val="004B7264"/>
    <w:rsid w:val="004B74D9"/>
    <w:rsid w:val="004B7C86"/>
    <w:rsid w:val="004B7CF0"/>
    <w:rsid w:val="004B7E94"/>
    <w:rsid w:val="004B7FAD"/>
    <w:rsid w:val="004C00E1"/>
    <w:rsid w:val="004C01CB"/>
    <w:rsid w:val="004C033C"/>
    <w:rsid w:val="004C0515"/>
    <w:rsid w:val="004C0AA7"/>
    <w:rsid w:val="004C1234"/>
    <w:rsid w:val="004C12A3"/>
    <w:rsid w:val="004C132B"/>
    <w:rsid w:val="004C13CF"/>
    <w:rsid w:val="004C1631"/>
    <w:rsid w:val="004C18E3"/>
    <w:rsid w:val="004C1BFF"/>
    <w:rsid w:val="004C1CB1"/>
    <w:rsid w:val="004C1F58"/>
    <w:rsid w:val="004C2598"/>
    <w:rsid w:val="004C2DD9"/>
    <w:rsid w:val="004C3487"/>
    <w:rsid w:val="004C3532"/>
    <w:rsid w:val="004C378B"/>
    <w:rsid w:val="004C3E60"/>
    <w:rsid w:val="004C42BE"/>
    <w:rsid w:val="004C493B"/>
    <w:rsid w:val="004C4AF6"/>
    <w:rsid w:val="004C4D1F"/>
    <w:rsid w:val="004C5105"/>
    <w:rsid w:val="004C528A"/>
    <w:rsid w:val="004C52E1"/>
    <w:rsid w:val="004C5A65"/>
    <w:rsid w:val="004C5B6F"/>
    <w:rsid w:val="004C5FA1"/>
    <w:rsid w:val="004C6075"/>
    <w:rsid w:val="004C6180"/>
    <w:rsid w:val="004C6A4A"/>
    <w:rsid w:val="004C6A64"/>
    <w:rsid w:val="004C702A"/>
    <w:rsid w:val="004C7097"/>
    <w:rsid w:val="004C7817"/>
    <w:rsid w:val="004C7C30"/>
    <w:rsid w:val="004C7D87"/>
    <w:rsid w:val="004D02FB"/>
    <w:rsid w:val="004D059A"/>
    <w:rsid w:val="004D0A75"/>
    <w:rsid w:val="004D0C2B"/>
    <w:rsid w:val="004D1058"/>
    <w:rsid w:val="004D135D"/>
    <w:rsid w:val="004D23B3"/>
    <w:rsid w:val="004D248F"/>
    <w:rsid w:val="004D266E"/>
    <w:rsid w:val="004D272D"/>
    <w:rsid w:val="004D27AE"/>
    <w:rsid w:val="004D2C5E"/>
    <w:rsid w:val="004D2CB6"/>
    <w:rsid w:val="004D322D"/>
    <w:rsid w:val="004D37AE"/>
    <w:rsid w:val="004D3C11"/>
    <w:rsid w:val="004D4293"/>
    <w:rsid w:val="004D527F"/>
    <w:rsid w:val="004D5719"/>
    <w:rsid w:val="004D5E3F"/>
    <w:rsid w:val="004D618F"/>
    <w:rsid w:val="004D6CF9"/>
    <w:rsid w:val="004D7319"/>
    <w:rsid w:val="004D7479"/>
    <w:rsid w:val="004D7A1D"/>
    <w:rsid w:val="004D7BAF"/>
    <w:rsid w:val="004D7D6E"/>
    <w:rsid w:val="004D7D80"/>
    <w:rsid w:val="004D7E8D"/>
    <w:rsid w:val="004E0480"/>
    <w:rsid w:val="004E0520"/>
    <w:rsid w:val="004E0B6C"/>
    <w:rsid w:val="004E0E7E"/>
    <w:rsid w:val="004E16EE"/>
    <w:rsid w:val="004E1A3B"/>
    <w:rsid w:val="004E1AE9"/>
    <w:rsid w:val="004E1D13"/>
    <w:rsid w:val="004E1E85"/>
    <w:rsid w:val="004E219E"/>
    <w:rsid w:val="004E22CD"/>
    <w:rsid w:val="004E2551"/>
    <w:rsid w:val="004E2929"/>
    <w:rsid w:val="004E2DDF"/>
    <w:rsid w:val="004E3223"/>
    <w:rsid w:val="004E3274"/>
    <w:rsid w:val="004E362E"/>
    <w:rsid w:val="004E3796"/>
    <w:rsid w:val="004E3916"/>
    <w:rsid w:val="004E3A1E"/>
    <w:rsid w:val="004E3DB8"/>
    <w:rsid w:val="004E41A4"/>
    <w:rsid w:val="004E4538"/>
    <w:rsid w:val="004E47C9"/>
    <w:rsid w:val="004E48D2"/>
    <w:rsid w:val="004E48E8"/>
    <w:rsid w:val="004E56E0"/>
    <w:rsid w:val="004E56E8"/>
    <w:rsid w:val="004E58EF"/>
    <w:rsid w:val="004E5A46"/>
    <w:rsid w:val="004E5C80"/>
    <w:rsid w:val="004E5D42"/>
    <w:rsid w:val="004E614B"/>
    <w:rsid w:val="004E6399"/>
    <w:rsid w:val="004E6A51"/>
    <w:rsid w:val="004E6EAF"/>
    <w:rsid w:val="004E7444"/>
    <w:rsid w:val="004E76E3"/>
    <w:rsid w:val="004E7BE3"/>
    <w:rsid w:val="004E7BE8"/>
    <w:rsid w:val="004E7CB4"/>
    <w:rsid w:val="004E7CF2"/>
    <w:rsid w:val="004E7DC1"/>
    <w:rsid w:val="004E7F44"/>
    <w:rsid w:val="004F0865"/>
    <w:rsid w:val="004F0AC3"/>
    <w:rsid w:val="004F1489"/>
    <w:rsid w:val="004F1D22"/>
    <w:rsid w:val="004F1D25"/>
    <w:rsid w:val="004F204E"/>
    <w:rsid w:val="004F234D"/>
    <w:rsid w:val="004F2585"/>
    <w:rsid w:val="004F25D5"/>
    <w:rsid w:val="004F2602"/>
    <w:rsid w:val="004F2ABC"/>
    <w:rsid w:val="004F2AF8"/>
    <w:rsid w:val="004F2BA9"/>
    <w:rsid w:val="004F2EED"/>
    <w:rsid w:val="004F2F78"/>
    <w:rsid w:val="004F31E5"/>
    <w:rsid w:val="004F3423"/>
    <w:rsid w:val="004F355B"/>
    <w:rsid w:val="004F3C11"/>
    <w:rsid w:val="004F3F93"/>
    <w:rsid w:val="004F4B4C"/>
    <w:rsid w:val="004F4D1E"/>
    <w:rsid w:val="004F5109"/>
    <w:rsid w:val="004F5424"/>
    <w:rsid w:val="004F57FE"/>
    <w:rsid w:val="004F5AF0"/>
    <w:rsid w:val="004F6488"/>
    <w:rsid w:val="004F66BD"/>
    <w:rsid w:val="004F6C91"/>
    <w:rsid w:val="004F6E70"/>
    <w:rsid w:val="004F7243"/>
    <w:rsid w:val="004F7516"/>
    <w:rsid w:val="004F7539"/>
    <w:rsid w:val="00500143"/>
    <w:rsid w:val="00500238"/>
    <w:rsid w:val="005007A6"/>
    <w:rsid w:val="00500D8C"/>
    <w:rsid w:val="0050130D"/>
    <w:rsid w:val="00501365"/>
    <w:rsid w:val="00501922"/>
    <w:rsid w:val="00501CDC"/>
    <w:rsid w:val="00502307"/>
    <w:rsid w:val="0050279D"/>
    <w:rsid w:val="00502CFA"/>
    <w:rsid w:val="00502E3E"/>
    <w:rsid w:val="00502E92"/>
    <w:rsid w:val="00502F7A"/>
    <w:rsid w:val="00502F8D"/>
    <w:rsid w:val="0050341A"/>
    <w:rsid w:val="00503621"/>
    <w:rsid w:val="00503E15"/>
    <w:rsid w:val="0050403B"/>
    <w:rsid w:val="00504165"/>
    <w:rsid w:val="00504865"/>
    <w:rsid w:val="00504BDA"/>
    <w:rsid w:val="00504E2A"/>
    <w:rsid w:val="00504F24"/>
    <w:rsid w:val="005058C6"/>
    <w:rsid w:val="005058DD"/>
    <w:rsid w:val="00505F8A"/>
    <w:rsid w:val="005060D9"/>
    <w:rsid w:val="00506A30"/>
    <w:rsid w:val="00506BB6"/>
    <w:rsid w:val="00506EE2"/>
    <w:rsid w:val="00507137"/>
    <w:rsid w:val="005075DC"/>
    <w:rsid w:val="00507607"/>
    <w:rsid w:val="005078A5"/>
    <w:rsid w:val="00507EF1"/>
    <w:rsid w:val="00507F78"/>
    <w:rsid w:val="0051039D"/>
    <w:rsid w:val="00510E83"/>
    <w:rsid w:val="00510EC1"/>
    <w:rsid w:val="00511213"/>
    <w:rsid w:val="005119F8"/>
    <w:rsid w:val="00511BD1"/>
    <w:rsid w:val="00512384"/>
    <w:rsid w:val="005123B0"/>
    <w:rsid w:val="005124F7"/>
    <w:rsid w:val="00512A02"/>
    <w:rsid w:val="00512FD7"/>
    <w:rsid w:val="00513305"/>
    <w:rsid w:val="00513439"/>
    <w:rsid w:val="005135A3"/>
    <w:rsid w:val="00513630"/>
    <w:rsid w:val="005136BE"/>
    <w:rsid w:val="00513707"/>
    <w:rsid w:val="00513AA0"/>
    <w:rsid w:val="00513B8E"/>
    <w:rsid w:val="00513BBF"/>
    <w:rsid w:val="00513C25"/>
    <w:rsid w:val="00513D8F"/>
    <w:rsid w:val="0051465E"/>
    <w:rsid w:val="005147AA"/>
    <w:rsid w:val="0051490B"/>
    <w:rsid w:val="00514AFA"/>
    <w:rsid w:val="00514FED"/>
    <w:rsid w:val="00515606"/>
    <w:rsid w:val="00515711"/>
    <w:rsid w:val="00515B3B"/>
    <w:rsid w:val="00515B67"/>
    <w:rsid w:val="00515E06"/>
    <w:rsid w:val="00515E84"/>
    <w:rsid w:val="00516083"/>
    <w:rsid w:val="00516149"/>
    <w:rsid w:val="0051656F"/>
    <w:rsid w:val="00517098"/>
    <w:rsid w:val="0051726D"/>
    <w:rsid w:val="00517B6A"/>
    <w:rsid w:val="00517D53"/>
    <w:rsid w:val="00517FF0"/>
    <w:rsid w:val="00520222"/>
    <w:rsid w:val="0052028A"/>
    <w:rsid w:val="005208A0"/>
    <w:rsid w:val="00520AED"/>
    <w:rsid w:val="00520D6D"/>
    <w:rsid w:val="00521BD6"/>
    <w:rsid w:val="00522385"/>
    <w:rsid w:val="0052252E"/>
    <w:rsid w:val="00522582"/>
    <w:rsid w:val="00522601"/>
    <w:rsid w:val="00522829"/>
    <w:rsid w:val="00522D59"/>
    <w:rsid w:val="00523150"/>
    <w:rsid w:val="00523618"/>
    <w:rsid w:val="00523741"/>
    <w:rsid w:val="00523A68"/>
    <w:rsid w:val="00523C53"/>
    <w:rsid w:val="005241D0"/>
    <w:rsid w:val="0052424B"/>
    <w:rsid w:val="00524276"/>
    <w:rsid w:val="00524534"/>
    <w:rsid w:val="00524713"/>
    <w:rsid w:val="00524D2F"/>
    <w:rsid w:val="00524EDB"/>
    <w:rsid w:val="005250CD"/>
    <w:rsid w:val="0052529A"/>
    <w:rsid w:val="0052538E"/>
    <w:rsid w:val="00525595"/>
    <w:rsid w:val="00525DAE"/>
    <w:rsid w:val="00525EB5"/>
    <w:rsid w:val="0052637C"/>
    <w:rsid w:val="00526397"/>
    <w:rsid w:val="0052653C"/>
    <w:rsid w:val="005267FF"/>
    <w:rsid w:val="005269AC"/>
    <w:rsid w:val="0052715B"/>
    <w:rsid w:val="005273BA"/>
    <w:rsid w:val="00527516"/>
    <w:rsid w:val="0052763E"/>
    <w:rsid w:val="005276FF"/>
    <w:rsid w:val="00527ED0"/>
    <w:rsid w:val="00530158"/>
    <w:rsid w:val="005302DD"/>
    <w:rsid w:val="005304A2"/>
    <w:rsid w:val="005305FC"/>
    <w:rsid w:val="005309B4"/>
    <w:rsid w:val="005309C1"/>
    <w:rsid w:val="00530A47"/>
    <w:rsid w:val="00530AFF"/>
    <w:rsid w:val="00531581"/>
    <w:rsid w:val="00531ECB"/>
    <w:rsid w:val="00531EE7"/>
    <w:rsid w:val="00532555"/>
    <w:rsid w:val="00532590"/>
    <w:rsid w:val="0053290D"/>
    <w:rsid w:val="0053300E"/>
    <w:rsid w:val="005335DD"/>
    <w:rsid w:val="005336F5"/>
    <w:rsid w:val="005337D8"/>
    <w:rsid w:val="005338F5"/>
    <w:rsid w:val="0053396B"/>
    <w:rsid w:val="005339A5"/>
    <w:rsid w:val="005339FC"/>
    <w:rsid w:val="00533B19"/>
    <w:rsid w:val="00533C36"/>
    <w:rsid w:val="005343DC"/>
    <w:rsid w:val="00534469"/>
    <w:rsid w:val="00534878"/>
    <w:rsid w:val="00534A74"/>
    <w:rsid w:val="00535237"/>
    <w:rsid w:val="0053586A"/>
    <w:rsid w:val="005359FD"/>
    <w:rsid w:val="00535BE2"/>
    <w:rsid w:val="00535FAB"/>
    <w:rsid w:val="00536170"/>
    <w:rsid w:val="005362AE"/>
    <w:rsid w:val="00536CAC"/>
    <w:rsid w:val="00536E4B"/>
    <w:rsid w:val="005372E4"/>
    <w:rsid w:val="0053768E"/>
    <w:rsid w:val="0053796C"/>
    <w:rsid w:val="00537CC0"/>
    <w:rsid w:val="00537DE9"/>
    <w:rsid w:val="00540203"/>
    <w:rsid w:val="00540271"/>
    <w:rsid w:val="005402B8"/>
    <w:rsid w:val="00540CA3"/>
    <w:rsid w:val="00541278"/>
    <w:rsid w:val="00541283"/>
    <w:rsid w:val="0054133C"/>
    <w:rsid w:val="00541522"/>
    <w:rsid w:val="00541743"/>
    <w:rsid w:val="00541AC4"/>
    <w:rsid w:val="00541C62"/>
    <w:rsid w:val="00541EF0"/>
    <w:rsid w:val="0054203B"/>
    <w:rsid w:val="0054204F"/>
    <w:rsid w:val="00542298"/>
    <w:rsid w:val="005424D0"/>
    <w:rsid w:val="00542509"/>
    <w:rsid w:val="005426A1"/>
    <w:rsid w:val="005427B7"/>
    <w:rsid w:val="00542B4C"/>
    <w:rsid w:val="00542E22"/>
    <w:rsid w:val="00543132"/>
    <w:rsid w:val="00543468"/>
    <w:rsid w:val="005436F0"/>
    <w:rsid w:val="0054408E"/>
    <w:rsid w:val="0054442A"/>
    <w:rsid w:val="005449A9"/>
    <w:rsid w:val="005449C6"/>
    <w:rsid w:val="00544FB4"/>
    <w:rsid w:val="00544FBD"/>
    <w:rsid w:val="00545049"/>
    <w:rsid w:val="0054519D"/>
    <w:rsid w:val="005456D9"/>
    <w:rsid w:val="00545713"/>
    <w:rsid w:val="0054579A"/>
    <w:rsid w:val="00545E9D"/>
    <w:rsid w:val="005464F3"/>
    <w:rsid w:val="00546D82"/>
    <w:rsid w:val="00546FED"/>
    <w:rsid w:val="005473D6"/>
    <w:rsid w:val="00550004"/>
    <w:rsid w:val="0055015B"/>
    <w:rsid w:val="00550329"/>
    <w:rsid w:val="00550337"/>
    <w:rsid w:val="00550467"/>
    <w:rsid w:val="005505B7"/>
    <w:rsid w:val="0055086E"/>
    <w:rsid w:val="00550D05"/>
    <w:rsid w:val="00550D37"/>
    <w:rsid w:val="00550D6A"/>
    <w:rsid w:val="005512AE"/>
    <w:rsid w:val="00551560"/>
    <w:rsid w:val="00551653"/>
    <w:rsid w:val="0055178B"/>
    <w:rsid w:val="00551A2E"/>
    <w:rsid w:val="00551C21"/>
    <w:rsid w:val="00551ECD"/>
    <w:rsid w:val="0055232B"/>
    <w:rsid w:val="00552678"/>
    <w:rsid w:val="00552B9C"/>
    <w:rsid w:val="00552BF9"/>
    <w:rsid w:val="00552F36"/>
    <w:rsid w:val="0055349F"/>
    <w:rsid w:val="00553D8D"/>
    <w:rsid w:val="00554353"/>
    <w:rsid w:val="00554518"/>
    <w:rsid w:val="00554523"/>
    <w:rsid w:val="005545B2"/>
    <w:rsid w:val="0055460C"/>
    <w:rsid w:val="00554747"/>
    <w:rsid w:val="00554D73"/>
    <w:rsid w:val="00554D76"/>
    <w:rsid w:val="00554F9D"/>
    <w:rsid w:val="005557E3"/>
    <w:rsid w:val="00555BEA"/>
    <w:rsid w:val="00555D25"/>
    <w:rsid w:val="00555D8C"/>
    <w:rsid w:val="00556318"/>
    <w:rsid w:val="0055641D"/>
    <w:rsid w:val="00556A0E"/>
    <w:rsid w:val="0055702D"/>
    <w:rsid w:val="00557487"/>
    <w:rsid w:val="005577B3"/>
    <w:rsid w:val="005577CD"/>
    <w:rsid w:val="005579EC"/>
    <w:rsid w:val="00557A4A"/>
    <w:rsid w:val="00557B2D"/>
    <w:rsid w:val="0056013E"/>
    <w:rsid w:val="005601F2"/>
    <w:rsid w:val="005608BA"/>
    <w:rsid w:val="005614EA"/>
    <w:rsid w:val="00561E7E"/>
    <w:rsid w:val="00562262"/>
    <w:rsid w:val="005623D5"/>
    <w:rsid w:val="00562481"/>
    <w:rsid w:val="005627AE"/>
    <w:rsid w:val="005629C4"/>
    <w:rsid w:val="00562BF7"/>
    <w:rsid w:val="0056323F"/>
    <w:rsid w:val="00563498"/>
    <w:rsid w:val="0056389D"/>
    <w:rsid w:val="00563DE8"/>
    <w:rsid w:val="00563F45"/>
    <w:rsid w:val="00563F57"/>
    <w:rsid w:val="005646E1"/>
    <w:rsid w:val="005648D9"/>
    <w:rsid w:val="00564A23"/>
    <w:rsid w:val="0056508D"/>
    <w:rsid w:val="0056549A"/>
    <w:rsid w:val="0056559C"/>
    <w:rsid w:val="005657FC"/>
    <w:rsid w:val="00565945"/>
    <w:rsid w:val="00565971"/>
    <w:rsid w:val="00565B86"/>
    <w:rsid w:val="00565D61"/>
    <w:rsid w:val="00566232"/>
    <w:rsid w:val="00566514"/>
    <w:rsid w:val="005666D4"/>
    <w:rsid w:val="0056686F"/>
    <w:rsid w:val="00566B05"/>
    <w:rsid w:val="00566C34"/>
    <w:rsid w:val="005673AA"/>
    <w:rsid w:val="00567DB0"/>
    <w:rsid w:val="00567E3E"/>
    <w:rsid w:val="00567FB7"/>
    <w:rsid w:val="0057010E"/>
    <w:rsid w:val="00570180"/>
    <w:rsid w:val="005702F5"/>
    <w:rsid w:val="005708D5"/>
    <w:rsid w:val="005709EE"/>
    <w:rsid w:val="00570CB9"/>
    <w:rsid w:val="005710E8"/>
    <w:rsid w:val="00571114"/>
    <w:rsid w:val="0057113B"/>
    <w:rsid w:val="0057147E"/>
    <w:rsid w:val="0057172F"/>
    <w:rsid w:val="00571B99"/>
    <w:rsid w:val="0057206A"/>
    <w:rsid w:val="005721D3"/>
    <w:rsid w:val="005724CC"/>
    <w:rsid w:val="005724DE"/>
    <w:rsid w:val="00572559"/>
    <w:rsid w:val="005726F5"/>
    <w:rsid w:val="005728AC"/>
    <w:rsid w:val="005729A1"/>
    <w:rsid w:val="00572D88"/>
    <w:rsid w:val="00572FE5"/>
    <w:rsid w:val="00573225"/>
    <w:rsid w:val="005734A5"/>
    <w:rsid w:val="005735B1"/>
    <w:rsid w:val="0057383E"/>
    <w:rsid w:val="0057394E"/>
    <w:rsid w:val="00573CE0"/>
    <w:rsid w:val="00574482"/>
    <w:rsid w:val="005745AC"/>
    <w:rsid w:val="0057475D"/>
    <w:rsid w:val="00574D9E"/>
    <w:rsid w:val="00574F38"/>
    <w:rsid w:val="00575484"/>
    <w:rsid w:val="00575CFA"/>
    <w:rsid w:val="005760BB"/>
    <w:rsid w:val="00576111"/>
    <w:rsid w:val="0057616C"/>
    <w:rsid w:val="00576E44"/>
    <w:rsid w:val="005772B4"/>
    <w:rsid w:val="005773D4"/>
    <w:rsid w:val="0057752D"/>
    <w:rsid w:val="005777FB"/>
    <w:rsid w:val="005778E0"/>
    <w:rsid w:val="00577CD6"/>
    <w:rsid w:val="00577D7A"/>
    <w:rsid w:val="00577DCE"/>
    <w:rsid w:val="00580170"/>
    <w:rsid w:val="0058023D"/>
    <w:rsid w:val="0058054F"/>
    <w:rsid w:val="0058076F"/>
    <w:rsid w:val="00580A48"/>
    <w:rsid w:val="00580E4E"/>
    <w:rsid w:val="0058101B"/>
    <w:rsid w:val="00581212"/>
    <w:rsid w:val="00581213"/>
    <w:rsid w:val="00581530"/>
    <w:rsid w:val="00581B6D"/>
    <w:rsid w:val="00581C01"/>
    <w:rsid w:val="00581C89"/>
    <w:rsid w:val="00581DD5"/>
    <w:rsid w:val="00581ECC"/>
    <w:rsid w:val="00581FE4"/>
    <w:rsid w:val="005822F6"/>
    <w:rsid w:val="00582413"/>
    <w:rsid w:val="005829F3"/>
    <w:rsid w:val="00582AD5"/>
    <w:rsid w:val="00582D9A"/>
    <w:rsid w:val="00582E41"/>
    <w:rsid w:val="005833C6"/>
    <w:rsid w:val="005834CF"/>
    <w:rsid w:val="005836EC"/>
    <w:rsid w:val="005837C8"/>
    <w:rsid w:val="00583AF2"/>
    <w:rsid w:val="00583BA8"/>
    <w:rsid w:val="00584485"/>
    <w:rsid w:val="0058448F"/>
    <w:rsid w:val="00584935"/>
    <w:rsid w:val="00584A24"/>
    <w:rsid w:val="00584CB9"/>
    <w:rsid w:val="00584E7A"/>
    <w:rsid w:val="00584E9F"/>
    <w:rsid w:val="00584F4C"/>
    <w:rsid w:val="0058504C"/>
    <w:rsid w:val="005855FC"/>
    <w:rsid w:val="00585AA0"/>
    <w:rsid w:val="00585B53"/>
    <w:rsid w:val="00585E2A"/>
    <w:rsid w:val="00585F28"/>
    <w:rsid w:val="005861B6"/>
    <w:rsid w:val="00586250"/>
    <w:rsid w:val="00586477"/>
    <w:rsid w:val="005865CE"/>
    <w:rsid w:val="00586850"/>
    <w:rsid w:val="005873BB"/>
    <w:rsid w:val="00587A29"/>
    <w:rsid w:val="00587D87"/>
    <w:rsid w:val="00587DC1"/>
    <w:rsid w:val="005903CD"/>
    <w:rsid w:val="00590BE2"/>
    <w:rsid w:val="00591354"/>
    <w:rsid w:val="005917D0"/>
    <w:rsid w:val="00591B0D"/>
    <w:rsid w:val="00591CE4"/>
    <w:rsid w:val="0059235C"/>
    <w:rsid w:val="0059237A"/>
    <w:rsid w:val="00592732"/>
    <w:rsid w:val="00593760"/>
    <w:rsid w:val="005938E3"/>
    <w:rsid w:val="00593BD2"/>
    <w:rsid w:val="00593C7C"/>
    <w:rsid w:val="00593F95"/>
    <w:rsid w:val="00593FF1"/>
    <w:rsid w:val="00594580"/>
    <w:rsid w:val="0059475F"/>
    <w:rsid w:val="00594BD8"/>
    <w:rsid w:val="00594CD7"/>
    <w:rsid w:val="0059505E"/>
    <w:rsid w:val="00595488"/>
    <w:rsid w:val="0059572F"/>
    <w:rsid w:val="005958AE"/>
    <w:rsid w:val="00595C00"/>
    <w:rsid w:val="00595ED6"/>
    <w:rsid w:val="00596052"/>
    <w:rsid w:val="0059642F"/>
    <w:rsid w:val="005965A9"/>
    <w:rsid w:val="005967D6"/>
    <w:rsid w:val="00596924"/>
    <w:rsid w:val="005969C3"/>
    <w:rsid w:val="0059707F"/>
    <w:rsid w:val="00597283"/>
    <w:rsid w:val="00597448"/>
    <w:rsid w:val="0059773A"/>
    <w:rsid w:val="00597782"/>
    <w:rsid w:val="00597804"/>
    <w:rsid w:val="00597BE4"/>
    <w:rsid w:val="00597ECA"/>
    <w:rsid w:val="00597FE9"/>
    <w:rsid w:val="005A0358"/>
    <w:rsid w:val="005A09C2"/>
    <w:rsid w:val="005A0F44"/>
    <w:rsid w:val="005A1399"/>
    <w:rsid w:val="005A1514"/>
    <w:rsid w:val="005A1A34"/>
    <w:rsid w:val="005A1D50"/>
    <w:rsid w:val="005A1DD4"/>
    <w:rsid w:val="005A21EE"/>
    <w:rsid w:val="005A2B3B"/>
    <w:rsid w:val="005A2F41"/>
    <w:rsid w:val="005A33CB"/>
    <w:rsid w:val="005A350C"/>
    <w:rsid w:val="005A3693"/>
    <w:rsid w:val="005A3A04"/>
    <w:rsid w:val="005A3C05"/>
    <w:rsid w:val="005A3DD0"/>
    <w:rsid w:val="005A47D5"/>
    <w:rsid w:val="005A4919"/>
    <w:rsid w:val="005A4B05"/>
    <w:rsid w:val="005A5113"/>
    <w:rsid w:val="005A5783"/>
    <w:rsid w:val="005A5D75"/>
    <w:rsid w:val="005A6019"/>
    <w:rsid w:val="005A6108"/>
    <w:rsid w:val="005A6AD9"/>
    <w:rsid w:val="005A6BAB"/>
    <w:rsid w:val="005A6D68"/>
    <w:rsid w:val="005A7011"/>
    <w:rsid w:val="005A70D2"/>
    <w:rsid w:val="005A71E3"/>
    <w:rsid w:val="005A7376"/>
    <w:rsid w:val="005A738E"/>
    <w:rsid w:val="005A7423"/>
    <w:rsid w:val="005A75B4"/>
    <w:rsid w:val="005A7820"/>
    <w:rsid w:val="005A7879"/>
    <w:rsid w:val="005A788F"/>
    <w:rsid w:val="005A7E7F"/>
    <w:rsid w:val="005A7F89"/>
    <w:rsid w:val="005B02DF"/>
    <w:rsid w:val="005B0437"/>
    <w:rsid w:val="005B05B3"/>
    <w:rsid w:val="005B05F5"/>
    <w:rsid w:val="005B077A"/>
    <w:rsid w:val="005B1213"/>
    <w:rsid w:val="005B14AF"/>
    <w:rsid w:val="005B1AB9"/>
    <w:rsid w:val="005B1BEA"/>
    <w:rsid w:val="005B1C14"/>
    <w:rsid w:val="005B1CC5"/>
    <w:rsid w:val="005B1DA5"/>
    <w:rsid w:val="005B202F"/>
    <w:rsid w:val="005B21DA"/>
    <w:rsid w:val="005B260E"/>
    <w:rsid w:val="005B2780"/>
    <w:rsid w:val="005B2EA8"/>
    <w:rsid w:val="005B34C2"/>
    <w:rsid w:val="005B380E"/>
    <w:rsid w:val="005B3813"/>
    <w:rsid w:val="005B3857"/>
    <w:rsid w:val="005B3C3E"/>
    <w:rsid w:val="005B3D32"/>
    <w:rsid w:val="005B43D9"/>
    <w:rsid w:val="005B4E8D"/>
    <w:rsid w:val="005B4EEB"/>
    <w:rsid w:val="005B52A7"/>
    <w:rsid w:val="005B5335"/>
    <w:rsid w:val="005B547E"/>
    <w:rsid w:val="005B5853"/>
    <w:rsid w:val="005B5A1E"/>
    <w:rsid w:val="005B5BAA"/>
    <w:rsid w:val="005B5EEC"/>
    <w:rsid w:val="005B678A"/>
    <w:rsid w:val="005B67A7"/>
    <w:rsid w:val="005B67C9"/>
    <w:rsid w:val="005B699C"/>
    <w:rsid w:val="005B6B38"/>
    <w:rsid w:val="005B6EF1"/>
    <w:rsid w:val="005B6F02"/>
    <w:rsid w:val="005B6F05"/>
    <w:rsid w:val="005B7951"/>
    <w:rsid w:val="005B7AE1"/>
    <w:rsid w:val="005B7F43"/>
    <w:rsid w:val="005C02D9"/>
    <w:rsid w:val="005C0487"/>
    <w:rsid w:val="005C0628"/>
    <w:rsid w:val="005C082F"/>
    <w:rsid w:val="005C0D70"/>
    <w:rsid w:val="005C0F6F"/>
    <w:rsid w:val="005C1182"/>
    <w:rsid w:val="005C11E1"/>
    <w:rsid w:val="005C1467"/>
    <w:rsid w:val="005C14A7"/>
    <w:rsid w:val="005C1502"/>
    <w:rsid w:val="005C1746"/>
    <w:rsid w:val="005C19CC"/>
    <w:rsid w:val="005C1F6A"/>
    <w:rsid w:val="005C2170"/>
    <w:rsid w:val="005C2291"/>
    <w:rsid w:val="005C2AA2"/>
    <w:rsid w:val="005C2ADF"/>
    <w:rsid w:val="005C2B5A"/>
    <w:rsid w:val="005C2D1E"/>
    <w:rsid w:val="005C2F03"/>
    <w:rsid w:val="005C2F77"/>
    <w:rsid w:val="005C3717"/>
    <w:rsid w:val="005C3814"/>
    <w:rsid w:val="005C389F"/>
    <w:rsid w:val="005C38A2"/>
    <w:rsid w:val="005C3B76"/>
    <w:rsid w:val="005C40AC"/>
    <w:rsid w:val="005C40C6"/>
    <w:rsid w:val="005C4361"/>
    <w:rsid w:val="005C45E4"/>
    <w:rsid w:val="005C4B7F"/>
    <w:rsid w:val="005C4FBE"/>
    <w:rsid w:val="005C50FA"/>
    <w:rsid w:val="005C52C4"/>
    <w:rsid w:val="005C5A2E"/>
    <w:rsid w:val="005C5D0B"/>
    <w:rsid w:val="005C6045"/>
    <w:rsid w:val="005C63FF"/>
    <w:rsid w:val="005C64D4"/>
    <w:rsid w:val="005C661A"/>
    <w:rsid w:val="005C69F6"/>
    <w:rsid w:val="005C7192"/>
    <w:rsid w:val="005C737B"/>
    <w:rsid w:val="005C74C0"/>
    <w:rsid w:val="005C74C7"/>
    <w:rsid w:val="005C7BB1"/>
    <w:rsid w:val="005C7E2E"/>
    <w:rsid w:val="005D00E2"/>
    <w:rsid w:val="005D017C"/>
    <w:rsid w:val="005D0B0A"/>
    <w:rsid w:val="005D1575"/>
    <w:rsid w:val="005D187A"/>
    <w:rsid w:val="005D1A83"/>
    <w:rsid w:val="005D1ACA"/>
    <w:rsid w:val="005D2272"/>
    <w:rsid w:val="005D25FC"/>
    <w:rsid w:val="005D2952"/>
    <w:rsid w:val="005D2B5E"/>
    <w:rsid w:val="005D33E5"/>
    <w:rsid w:val="005D3557"/>
    <w:rsid w:val="005D3751"/>
    <w:rsid w:val="005D3A76"/>
    <w:rsid w:val="005D3C95"/>
    <w:rsid w:val="005D4026"/>
    <w:rsid w:val="005D44E8"/>
    <w:rsid w:val="005D4D9E"/>
    <w:rsid w:val="005D5072"/>
    <w:rsid w:val="005D5404"/>
    <w:rsid w:val="005D58C3"/>
    <w:rsid w:val="005D5BA2"/>
    <w:rsid w:val="005D6418"/>
    <w:rsid w:val="005D7678"/>
    <w:rsid w:val="005D7D0F"/>
    <w:rsid w:val="005E093F"/>
    <w:rsid w:val="005E0C3A"/>
    <w:rsid w:val="005E128B"/>
    <w:rsid w:val="005E1509"/>
    <w:rsid w:val="005E1551"/>
    <w:rsid w:val="005E16E3"/>
    <w:rsid w:val="005E1759"/>
    <w:rsid w:val="005E19B2"/>
    <w:rsid w:val="005E1B51"/>
    <w:rsid w:val="005E21EF"/>
    <w:rsid w:val="005E2224"/>
    <w:rsid w:val="005E25A6"/>
    <w:rsid w:val="005E270C"/>
    <w:rsid w:val="005E276A"/>
    <w:rsid w:val="005E2BE7"/>
    <w:rsid w:val="005E3036"/>
    <w:rsid w:val="005E334F"/>
    <w:rsid w:val="005E3557"/>
    <w:rsid w:val="005E3630"/>
    <w:rsid w:val="005E3B74"/>
    <w:rsid w:val="005E3BFB"/>
    <w:rsid w:val="005E4019"/>
    <w:rsid w:val="005E41B1"/>
    <w:rsid w:val="005E4942"/>
    <w:rsid w:val="005E573C"/>
    <w:rsid w:val="005E5DE3"/>
    <w:rsid w:val="005E5F36"/>
    <w:rsid w:val="005E6744"/>
    <w:rsid w:val="005E6815"/>
    <w:rsid w:val="005E6DD9"/>
    <w:rsid w:val="005E6E7B"/>
    <w:rsid w:val="005E6E9A"/>
    <w:rsid w:val="005E6F6E"/>
    <w:rsid w:val="005E7604"/>
    <w:rsid w:val="005F0324"/>
    <w:rsid w:val="005F04C0"/>
    <w:rsid w:val="005F0747"/>
    <w:rsid w:val="005F07F5"/>
    <w:rsid w:val="005F08A3"/>
    <w:rsid w:val="005F0C58"/>
    <w:rsid w:val="005F0F49"/>
    <w:rsid w:val="005F1630"/>
    <w:rsid w:val="005F1651"/>
    <w:rsid w:val="005F1903"/>
    <w:rsid w:val="005F1B27"/>
    <w:rsid w:val="005F1B67"/>
    <w:rsid w:val="005F20F3"/>
    <w:rsid w:val="005F23DE"/>
    <w:rsid w:val="005F2753"/>
    <w:rsid w:val="005F2AF2"/>
    <w:rsid w:val="005F2CC5"/>
    <w:rsid w:val="005F33FB"/>
    <w:rsid w:val="005F3873"/>
    <w:rsid w:val="005F3C9C"/>
    <w:rsid w:val="005F3E68"/>
    <w:rsid w:val="005F4157"/>
    <w:rsid w:val="005F42D7"/>
    <w:rsid w:val="005F42E6"/>
    <w:rsid w:val="005F431A"/>
    <w:rsid w:val="005F436C"/>
    <w:rsid w:val="005F4532"/>
    <w:rsid w:val="005F472D"/>
    <w:rsid w:val="005F4815"/>
    <w:rsid w:val="005F4919"/>
    <w:rsid w:val="005F4BC2"/>
    <w:rsid w:val="005F5141"/>
    <w:rsid w:val="005F51A2"/>
    <w:rsid w:val="005F51F2"/>
    <w:rsid w:val="005F5524"/>
    <w:rsid w:val="005F569F"/>
    <w:rsid w:val="005F590E"/>
    <w:rsid w:val="005F5B9C"/>
    <w:rsid w:val="005F5BFC"/>
    <w:rsid w:val="005F5F0B"/>
    <w:rsid w:val="005F6072"/>
    <w:rsid w:val="005F6230"/>
    <w:rsid w:val="005F6319"/>
    <w:rsid w:val="005F668D"/>
    <w:rsid w:val="005F676F"/>
    <w:rsid w:val="005F67F0"/>
    <w:rsid w:val="005F69AD"/>
    <w:rsid w:val="005F6BE6"/>
    <w:rsid w:val="005F6DC2"/>
    <w:rsid w:val="005F7057"/>
    <w:rsid w:val="005F70AD"/>
    <w:rsid w:val="005F730C"/>
    <w:rsid w:val="005F7584"/>
    <w:rsid w:val="005F77A1"/>
    <w:rsid w:val="005F784F"/>
    <w:rsid w:val="005F78BA"/>
    <w:rsid w:val="005F7975"/>
    <w:rsid w:val="00600146"/>
    <w:rsid w:val="00600154"/>
    <w:rsid w:val="00600379"/>
    <w:rsid w:val="006003DE"/>
    <w:rsid w:val="00600EC1"/>
    <w:rsid w:val="006015FF"/>
    <w:rsid w:val="00601870"/>
    <w:rsid w:val="00601A15"/>
    <w:rsid w:val="00601DD8"/>
    <w:rsid w:val="00602062"/>
    <w:rsid w:val="00602183"/>
    <w:rsid w:val="006023EB"/>
    <w:rsid w:val="00602D84"/>
    <w:rsid w:val="0060303B"/>
    <w:rsid w:val="0060357B"/>
    <w:rsid w:val="006039DB"/>
    <w:rsid w:val="00603A3B"/>
    <w:rsid w:val="00603B58"/>
    <w:rsid w:val="006043DE"/>
    <w:rsid w:val="00604544"/>
    <w:rsid w:val="00604BFB"/>
    <w:rsid w:val="00604EB5"/>
    <w:rsid w:val="00605191"/>
    <w:rsid w:val="006051AB"/>
    <w:rsid w:val="00605479"/>
    <w:rsid w:val="00605583"/>
    <w:rsid w:val="0060562E"/>
    <w:rsid w:val="00605A88"/>
    <w:rsid w:val="00605AB2"/>
    <w:rsid w:val="00605AB8"/>
    <w:rsid w:val="00605AC1"/>
    <w:rsid w:val="006064D4"/>
    <w:rsid w:val="006066EE"/>
    <w:rsid w:val="00606B28"/>
    <w:rsid w:val="006070DF"/>
    <w:rsid w:val="00607274"/>
    <w:rsid w:val="006072E6"/>
    <w:rsid w:val="00607679"/>
    <w:rsid w:val="00607805"/>
    <w:rsid w:val="006079C8"/>
    <w:rsid w:val="00607A44"/>
    <w:rsid w:val="00607A7B"/>
    <w:rsid w:val="00607A85"/>
    <w:rsid w:val="00607CE3"/>
    <w:rsid w:val="006102C6"/>
    <w:rsid w:val="00610381"/>
    <w:rsid w:val="00610683"/>
    <w:rsid w:val="006107D3"/>
    <w:rsid w:val="00610C94"/>
    <w:rsid w:val="00611728"/>
    <w:rsid w:val="00611D0D"/>
    <w:rsid w:val="006124FB"/>
    <w:rsid w:val="006125BB"/>
    <w:rsid w:val="00612725"/>
    <w:rsid w:val="00612F03"/>
    <w:rsid w:val="00612F11"/>
    <w:rsid w:val="0061307E"/>
    <w:rsid w:val="0061308B"/>
    <w:rsid w:val="00613545"/>
    <w:rsid w:val="0061382F"/>
    <w:rsid w:val="00613AE5"/>
    <w:rsid w:val="00613C4B"/>
    <w:rsid w:val="006144F6"/>
    <w:rsid w:val="006149CA"/>
    <w:rsid w:val="00614B36"/>
    <w:rsid w:val="00614BB4"/>
    <w:rsid w:val="00614E2C"/>
    <w:rsid w:val="00614F10"/>
    <w:rsid w:val="00614F9C"/>
    <w:rsid w:val="00615320"/>
    <w:rsid w:val="00615F86"/>
    <w:rsid w:val="00615FD4"/>
    <w:rsid w:val="0061612C"/>
    <w:rsid w:val="006161D7"/>
    <w:rsid w:val="006165DE"/>
    <w:rsid w:val="00616933"/>
    <w:rsid w:val="00616D89"/>
    <w:rsid w:val="00616DC1"/>
    <w:rsid w:val="00616E2B"/>
    <w:rsid w:val="0061700A"/>
    <w:rsid w:val="00617145"/>
    <w:rsid w:val="0061718B"/>
    <w:rsid w:val="006171C1"/>
    <w:rsid w:val="006173EF"/>
    <w:rsid w:val="006176F4"/>
    <w:rsid w:val="00617828"/>
    <w:rsid w:val="00617989"/>
    <w:rsid w:val="006201C7"/>
    <w:rsid w:val="006204DC"/>
    <w:rsid w:val="00620E49"/>
    <w:rsid w:val="0062163E"/>
    <w:rsid w:val="00622415"/>
    <w:rsid w:val="0062246F"/>
    <w:rsid w:val="00622567"/>
    <w:rsid w:val="00622A37"/>
    <w:rsid w:val="00622AA9"/>
    <w:rsid w:val="00622D25"/>
    <w:rsid w:val="00622D41"/>
    <w:rsid w:val="00622DF5"/>
    <w:rsid w:val="00622E5F"/>
    <w:rsid w:val="00622E72"/>
    <w:rsid w:val="00622EF6"/>
    <w:rsid w:val="00623287"/>
    <w:rsid w:val="006233B5"/>
    <w:rsid w:val="00623845"/>
    <w:rsid w:val="00623852"/>
    <w:rsid w:val="0062444B"/>
    <w:rsid w:val="006248B4"/>
    <w:rsid w:val="006249DA"/>
    <w:rsid w:val="0062561F"/>
    <w:rsid w:val="0062590A"/>
    <w:rsid w:val="0062596B"/>
    <w:rsid w:val="00625A89"/>
    <w:rsid w:val="00625BBF"/>
    <w:rsid w:val="00625DDF"/>
    <w:rsid w:val="00625FA0"/>
    <w:rsid w:val="006264DF"/>
    <w:rsid w:val="00626733"/>
    <w:rsid w:val="006267A6"/>
    <w:rsid w:val="00626BE0"/>
    <w:rsid w:val="00626D9F"/>
    <w:rsid w:val="00626E9E"/>
    <w:rsid w:val="00626F26"/>
    <w:rsid w:val="00627011"/>
    <w:rsid w:val="00627130"/>
    <w:rsid w:val="00627392"/>
    <w:rsid w:val="006273F6"/>
    <w:rsid w:val="00627579"/>
    <w:rsid w:val="00627879"/>
    <w:rsid w:val="00627919"/>
    <w:rsid w:val="00630059"/>
    <w:rsid w:val="006300AD"/>
    <w:rsid w:val="006300FC"/>
    <w:rsid w:val="006308E5"/>
    <w:rsid w:val="00630CA9"/>
    <w:rsid w:val="00630FF6"/>
    <w:rsid w:val="00631076"/>
    <w:rsid w:val="006310EB"/>
    <w:rsid w:val="00631A39"/>
    <w:rsid w:val="00631DE8"/>
    <w:rsid w:val="006324AB"/>
    <w:rsid w:val="00632644"/>
    <w:rsid w:val="00632F32"/>
    <w:rsid w:val="00632FAB"/>
    <w:rsid w:val="006331D2"/>
    <w:rsid w:val="006333ED"/>
    <w:rsid w:val="00633C56"/>
    <w:rsid w:val="00633DA4"/>
    <w:rsid w:val="00634028"/>
    <w:rsid w:val="00634548"/>
    <w:rsid w:val="006348A8"/>
    <w:rsid w:val="00634AB6"/>
    <w:rsid w:val="00634BCB"/>
    <w:rsid w:val="00634F58"/>
    <w:rsid w:val="00635096"/>
    <w:rsid w:val="00635143"/>
    <w:rsid w:val="00635303"/>
    <w:rsid w:val="00635505"/>
    <w:rsid w:val="0063583F"/>
    <w:rsid w:val="00635E43"/>
    <w:rsid w:val="00635FA1"/>
    <w:rsid w:val="00636303"/>
    <w:rsid w:val="006363A7"/>
    <w:rsid w:val="006363C2"/>
    <w:rsid w:val="00636C86"/>
    <w:rsid w:val="00636DE3"/>
    <w:rsid w:val="00636F58"/>
    <w:rsid w:val="006378D3"/>
    <w:rsid w:val="006379AE"/>
    <w:rsid w:val="00637BF3"/>
    <w:rsid w:val="00637CFD"/>
    <w:rsid w:val="0064003F"/>
    <w:rsid w:val="00640127"/>
    <w:rsid w:val="006404E7"/>
    <w:rsid w:val="00640A86"/>
    <w:rsid w:val="00640B38"/>
    <w:rsid w:val="006412EB"/>
    <w:rsid w:val="0064135A"/>
    <w:rsid w:val="00641640"/>
    <w:rsid w:val="00641B26"/>
    <w:rsid w:val="006420D5"/>
    <w:rsid w:val="00642ACB"/>
    <w:rsid w:val="00642BD7"/>
    <w:rsid w:val="00642CE1"/>
    <w:rsid w:val="0064326A"/>
    <w:rsid w:val="0064327E"/>
    <w:rsid w:val="006432A6"/>
    <w:rsid w:val="0064337B"/>
    <w:rsid w:val="006433F4"/>
    <w:rsid w:val="006434FC"/>
    <w:rsid w:val="00643652"/>
    <w:rsid w:val="00643804"/>
    <w:rsid w:val="006438CB"/>
    <w:rsid w:val="00643B67"/>
    <w:rsid w:val="00643CE6"/>
    <w:rsid w:val="006445F4"/>
    <w:rsid w:val="00644734"/>
    <w:rsid w:val="00644906"/>
    <w:rsid w:val="00644C72"/>
    <w:rsid w:val="00644D3D"/>
    <w:rsid w:val="0064500C"/>
    <w:rsid w:val="0064519E"/>
    <w:rsid w:val="00645398"/>
    <w:rsid w:val="00645430"/>
    <w:rsid w:val="00645ABF"/>
    <w:rsid w:val="00645B88"/>
    <w:rsid w:val="006463C9"/>
    <w:rsid w:val="00646A2A"/>
    <w:rsid w:val="00646B3D"/>
    <w:rsid w:val="00646BFE"/>
    <w:rsid w:val="006472CE"/>
    <w:rsid w:val="00647DC5"/>
    <w:rsid w:val="006500CC"/>
    <w:rsid w:val="00650261"/>
    <w:rsid w:val="006503C2"/>
    <w:rsid w:val="00650A67"/>
    <w:rsid w:val="00650DF8"/>
    <w:rsid w:val="00650FE0"/>
    <w:rsid w:val="00651566"/>
    <w:rsid w:val="006517B7"/>
    <w:rsid w:val="006518C6"/>
    <w:rsid w:val="00651A15"/>
    <w:rsid w:val="00651E4F"/>
    <w:rsid w:val="006522C6"/>
    <w:rsid w:val="0065245F"/>
    <w:rsid w:val="00652A4C"/>
    <w:rsid w:val="00653A3A"/>
    <w:rsid w:val="00653B4F"/>
    <w:rsid w:val="006541D5"/>
    <w:rsid w:val="0065430E"/>
    <w:rsid w:val="00654331"/>
    <w:rsid w:val="006543F3"/>
    <w:rsid w:val="00654892"/>
    <w:rsid w:val="00654A01"/>
    <w:rsid w:val="00654CFA"/>
    <w:rsid w:val="00654DED"/>
    <w:rsid w:val="00655212"/>
    <w:rsid w:val="00655CC6"/>
    <w:rsid w:val="00655E2B"/>
    <w:rsid w:val="00656041"/>
    <w:rsid w:val="006560AD"/>
    <w:rsid w:val="00656574"/>
    <w:rsid w:val="00656DAD"/>
    <w:rsid w:val="0065739D"/>
    <w:rsid w:val="006576BB"/>
    <w:rsid w:val="006576CB"/>
    <w:rsid w:val="0065778E"/>
    <w:rsid w:val="006579D0"/>
    <w:rsid w:val="00657B85"/>
    <w:rsid w:val="00657B8A"/>
    <w:rsid w:val="006602E0"/>
    <w:rsid w:val="00660316"/>
    <w:rsid w:val="00660854"/>
    <w:rsid w:val="0066092A"/>
    <w:rsid w:val="00660C57"/>
    <w:rsid w:val="00660F1F"/>
    <w:rsid w:val="00661003"/>
    <w:rsid w:val="00661026"/>
    <w:rsid w:val="00661061"/>
    <w:rsid w:val="006614DF"/>
    <w:rsid w:val="006614E1"/>
    <w:rsid w:val="00661D2B"/>
    <w:rsid w:val="00661E7C"/>
    <w:rsid w:val="00662270"/>
    <w:rsid w:val="006624C6"/>
    <w:rsid w:val="00662746"/>
    <w:rsid w:val="00662888"/>
    <w:rsid w:val="00662AFD"/>
    <w:rsid w:val="00662C78"/>
    <w:rsid w:val="00662D1E"/>
    <w:rsid w:val="006633D7"/>
    <w:rsid w:val="00663491"/>
    <w:rsid w:val="00663578"/>
    <w:rsid w:val="00663C1B"/>
    <w:rsid w:val="00663E18"/>
    <w:rsid w:val="006644A5"/>
    <w:rsid w:val="006645B9"/>
    <w:rsid w:val="006645C2"/>
    <w:rsid w:val="00664913"/>
    <w:rsid w:val="0066507D"/>
    <w:rsid w:val="006652D0"/>
    <w:rsid w:val="0066571B"/>
    <w:rsid w:val="006658EC"/>
    <w:rsid w:val="006659D5"/>
    <w:rsid w:val="00665FC9"/>
    <w:rsid w:val="00666234"/>
    <w:rsid w:val="00666236"/>
    <w:rsid w:val="0066653E"/>
    <w:rsid w:val="0066738D"/>
    <w:rsid w:val="006673F2"/>
    <w:rsid w:val="006679D7"/>
    <w:rsid w:val="00667D69"/>
    <w:rsid w:val="0067004D"/>
    <w:rsid w:val="006701BD"/>
    <w:rsid w:val="006702DC"/>
    <w:rsid w:val="00670404"/>
    <w:rsid w:val="00670507"/>
    <w:rsid w:val="006709A4"/>
    <w:rsid w:val="00670A44"/>
    <w:rsid w:val="00670B3E"/>
    <w:rsid w:val="00670E79"/>
    <w:rsid w:val="00671B1E"/>
    <w:rsid w:val="00671B73"/>
    <w:rsid w:val="00671E85"/>
    <w:rsid w:val="00672034"/>
    <w:rsid w:val="006729AD"/>
    <w:rsid w:val="006730C7"/>
    <w:rsid w:val="00673241"/>
    <w:rsid w:val="006735C3"/>
    <w:rsid w:val="00673A9D"/>
    <w:rsid w:val="00673FF8"/>
    <w:rsid w:val="00674CD3"/>
    <w:rsid w:val="00674FD4"/>
    <w:rsid w:val="00675184"/>
    <w:rsid w:val="0067524A"/>
    <w:rsid w:val="00675255"/>
    <w:rsid w:val="00675299"/>
    <w:rsid w:val="00675354"/>
    <w:rsid w:val="00676048"/>
    <w:rsid w:val="00676170"/>
    <w:rsid w:val="006761D3"/>
    <w:rsid w:val="0067653D"/>
    <w:rsid w:val="00676890"/>
    <w:rsid w:val="00676A05"/>
    <w:rsid w:val="00676C3C"/>
    <w:rsid w:val="006771D1"/>
    <w:rsid w:val="006773BD"/>
    <w:rsid w:val="00677638"/>
    <w:rsid w:val="00677733"/>
    <w:rsid w:val="00677775"/>
    <w:rsid w:val="00677A37"/>
    <w:rsid w:val="00677B72"/>
    <w:rsid w:val="00677F16"/>
    <w:rsid w:val="00677FD1"/>
    <w:rsid w:val="00680676"/>
    <w:rsid w:val="00680A7D"/>
    <w:rsid w:val="00680AFA"/>
    <w:rsid w:val="00680F48"/>
    <w:rsid w:val="00680FA9"/>
    <w:rsid w:val="00680FD9"/>
    <w:rsid w:val="00680FDD"/>
    <w:rsid w:val="006817B4"/>
    <w:rsid w:val="00681FF7"/>
    <w:rsid w:val="0068207D"/>
    <w:rsid w:val="0068280A"/>
    <w:rsid w:val="00683134"/>
    <w:rsid w:val="0068324E"/>
    <w:rsid w:val="00683B25"/>
    <w:rsid w:val="00683DF7"/>
    <w:rsid w:val="006846FF"/>
    <w:rsid w:val="00684808"/>
    <w:rsid w:val="0068487E"/>
    <w:rsid w:val="00684A66"/>
    <w:rsid w:val="00684BD7"/>
    <w:rsid w:val="006859E1"/>
    <w:rsid w:val="00686041"/>
    <w:rsid w:val="006864B0"/>
    <w:rsid w:val="006869E6"/>
    <w:rsid w:val="00686A31"/>
    <w:rsid w:val="00686B5C"/>
    <w:rsid w:val="00686CCD"/>
    <w:rsid w:val="00686DE3"/>
    <w:rsid w:val="00686F9D"/>
    <w:rsid w:val="00686FD4"/>
    <w:rsid w:val="00687235"/>
    <w:rsid w:val="00687372"/>
    <w:rsid w:val="006873C0"/>
    <w:rsid w:val="00687BEE"/>
    <w:rsid w:val="00687D7F"/>
    <w:rsid w:val="00690C15"/>
    <w:rsid w:val="0069106B"/>
    <w:rsid w:val="006912CC"/>
    <w:rsid w:val="006912F5"/>
    <w:rsid w:val="00691395"/>
    <w:rsid w:val="00691730"/>
    <w:rsid w:val="00691B34"/>
    <w:rsid w:val="00691B9B"/>
    <w:rsid w:val="00692085"/>
    <w:rsid w:val="006920AD"/>
    <w:rsid w:val="00692415"/>
    <w:rsid w:val="00692B31"/>
    <w:rsid w:val="00693903"/>
    <w:rsid w:val="00693E3D"/>
    <w:rsid w:val="006944AC"/>
    <w:rsid w:val="00694903"/>
    <w:rsid w:val="0069494F"/>
    <w:rsid w:val="00694BC3"/>
    <w:rsid w:val="0069509F"/>
    <w:rsid w:val="006950A7"/>
    <w:rsid w:val="00695442"/>
    <w:rsid w:val="00695944"/>
    <w:rsid w:val="00695C07"/>
    <w:rsid w:val="00695EAC"/>
    <w:rsid w:val="006961AD"/>
    <w:rsid w:val="0069657D"/>
    <w:rsid w:val="00696B3D"/>
    <w:rsid w:val="00696CE9"/>
    <w:rsid w:val="00696DA1"/>
    <w:rsid w:val="00697120"/>
    <w:rsid w:val="00697260"/>
    <w:rsid w:val="006977CB"/>
    <w:rsid w:val="00697A66"/>
    <w:rsid w:val="00697B48"/>
    <w:rsid w:val="006A0116"/>
    <w:rsid w:val="006A0237"/>
    <w:rsid w:val="006A024F"/>
    <w:rsid w:val="006A0C41"/>
    <w:rsid w:val="006A0C4C"/>
    <w:rsid w:val="006A0CD3"/>
    <w:rsid w:val="006A0DA4"/>
    <w:rsid w:val="006A14F2"/>
    <w:rsid w:val="006A1626"/>
    <w:rsid w:val="006A16B8"/>
    <w:rsid w:val="006A1F28"/>
    <w:rsid w:val="006A2335"/>
    <w:rsid w:val="006A24EE"/>
    <w:rsid w:val="006A2748"/>
    <w:rsid w:val="006A2771"/>
    <w:rsid w:val="006A27FD"/>
    <w:rsid w:val="006A289B"/>
    <w:rsid w:val="006A295A"/>
    <w:rsid w:val="006A2AF2"/>
    <w:rsid w:val="006A2C02"/>
    <w:rsid w:val="006A3144"/>
    <w:rsid w:val="006A314D"/>
    <w:rsid w:val="006A3168"/>
    <w:rsid w:val="006A33CD"/>
    <w:rsid w:val="006A3961"/>
    <w:rsid w:val="006A3D64"/>
    <w:rsid w:val="006A4051"/>
    <w:rsid w:val="006A40E4"/>
    <w:rsid w:val="006A41A8"/>
    <w:rsid w:val="006A47C8"/>
    <w:rsid w:val="006A4C6A"/>
    <w:rsid w:val="006A54C7"/>
    <w:rsid w:val="006A5529"/>
    <w:rsid w:val="006A582D"/>
    <w:rsid w:val="006A582E"/>
    <w:rsid w:val="006A5B6D"/>
    <w:rsid w:val="006A5E28"/>
    <w:rsid w:val="006A655B"/>
    <w:rsid w:val="006A67B9"/>
    <w:rsid w:val="006A6959"/>
    <w:rsid w:val="006A6967"/>
    <w:rsid w:val="006A6A76"/>
    <w:rsid w:val="006A6C70"/>
    <w:rsid w:val="006A6D2C"/>
    <w:rsid w:val="006A70C8"/>
    <w:rsid w:val="006A7250"/>
    <w:rsid w:val="006A7307"/>
    <w:rsid w:val="006A7781"/>
    <w:rsid w:val="006A7B82"/>
    <w:rsid w:val="006A7DDF"/>
    <w:rsid w:val="006A7E0C"/>
    <w:rsid w:val="006B0037"/>
    <w:rsid w:val="006B07B2"/>
    <w:rsid w:val="006B0D03"/>
    <w:rsid w:val="006B10A3"/>
    <w:rsid w:val="006B10C3"/>
    <w:rsid w:val="006B1559"/>
    <w:rsid w:val="006B18A5"/>
    <w:rsid w:val="006B19D9"/>
    <w:rsid w:val="006B1BFE"/>
    <w:rsid w:val="006B1F09"/>
    <w:rsid w:val="006B1F18"/>
    <w:rsid w:val="006B229D"/>
    <w:rsid w:val="006B2719"/>
    <w:rsid w:val="006B28ED"/>
    <w:rsid w:val="006B2C7B"/>
    <w:rsid w:val="006B359A"/>
    <w:rsid w:val="006B3891"/>
    <w:rsid w:val="006B3CBF"/>
    <w:rsid w:val="006B3E0A"/>
    <w:rsid w:val="006B42FA"/>
    <w:rsid w:val="006B4BB6"/>
    <w:rsid w:val="006B4FDF"/>
    <w:rsid w:val="006B5108"/>
    <w:rsid w:val="006B5A76"/>
    <w:rsid w:val="006B5C25"/>
    <w:rsid w:val="006B5FA6"/>
    <w:rsid w:val="006B606E"/>
    <w:rsid w:val="006B6278"/>
    <w:rsid w:val="006B62EE"/>
    <w:rsid w:val="006B65FB"/>
    <w:rsid w:val="006B662D"/>
    <w:rsid w:val="006B6842"/>
    <w:rsid w:val="006B710E"/>
    <w:rsid w:val="006B73A6"/>
    <w:rsid w:val="006B77B2"/>
    <w:rsid w:val="006B7865"/>
    <w:rsid w:val="006B7DEE"/>
    <w:rsid w:val="006B7F9B"/>
    <w:rsid w:val="006C056E"/>
    <w:rsid w:val="006C09C6"/>
    <w:rsid w:val="006C0C3C"/>
    <w:rsid w:val="006C0F58"/>
    <w:rsid w:val="006C0FCE"/>
    <w:rsid w:val="006C11F9"/>
    <w:rsid w:val="006C1243"/>
    <w:rsid w:val="006C132E"/>
    <w:rsid w:val="006C1805"/>
    <w:rsid w:val="006C1FE5"/>
    <w:rsid w:val="006C2200"/>
    <w:rsid w:val="006C25D4"/>
    <w:rsid w:val="006C2665"/>
    <w:rsid w:val="006C30A9"/>
    <w:rsid w:val="006C329C"/>
    <w:rsid w:val="006C3327"/>
    <w:rsid w:val="006C349C"/>
    <w:rsid w:val="006C3A8B"/>
    <w:rsid w:val="006C3D25"/>
    <w:rsid w:val="006C4061"/>
    <w:rsid w:val="006C42E6"/>
    <w:rsid w:val="006C4A1E"/>
    <w:rsid w:val="006C4A8C"/>
    <w:rsid w:val="006C4B22"/>
    <w:rsid w:val="006C4D1F"/>
    <w:rsid w:val="006C4EF7"/>
    <w:rsid w:val="006C4F6A"/>
    <w:rsid w:val="006C5584"/>
    <w:rsid w:val="006C58CB"/>
    <w:rsid w:val="006C5920"/>
    <w:rsid w:val="006C5CEF"/>
    <w:rsid w:val="006C5F7A"/>
    <w:rsid w:val="006C69D0"/>
    <w:rsid w:val="006C6AA9"/>
    <w:rsid w:val="006C6C6E"/>
    <w:rsid w:val="006C704F"/>
    <w:rsid w:val="006C7739"/>
    <w:rsid w:val="006C7955"/>
    <w:rsid w:val="006C7B62"/>
    <w:rsid w:val="006C7CBF"/>
    <w:rsid w:val="006C7E21"/>
    <w:rsid w:val="006D0008"/>
    <w:rsid w:val="006D026B"/>
    <w:rsid w:val="006D03A5"/>
    <w:rsid w:val="006D08FB"/>
    <w:rsid w:val="006D091C"/>
    <w:rsid w:val="006D094E"/>
    <w:rsid w:val="006D1A5A"/>
    <w:rsid w:val="006D1F98"/>
    <w:rsid w:val="006D20EA"/>
    <w:rsid w:val="006D2500"/>
    <w:rsid w:val="006D27A3"/>
    <w:rsid w:val="006D28DB"/>
    <w:rsid w:val="006D3214"/>
    <w:rsid w:val="006D34C6"/>
    <w:rsid w:val="006D3501"/>
    <w:rsid w:val="006D40A4"/>
    <w:rsid w:val="006D534C"/>
    <w:rsid w:val="006D54D8"/>
    <w:rsid w:val="006D55DD"/>
    <w:rsid w:val="006D569B"/>
    <w:rsid w:val="006D5730"/>
    <w:rsid w:val="006D5899"/>
    <w:rsid w:val="006D59A9"/>
    <w:rsid w:val="006D5E35"/>
    <w:rsid w:val="006D60B1"/>
    <w:rsid w:val="006D60C5"/>
    <w:rsid w:val="006D6207"/>
    <w:rsid w:val="006D62AB"/>
    <w:rsid w:val="006D6367"/>
    <w:rsid w:val="006D68B9"/>
    <w:rsid w:val="006D69DE"/>
    <w:rsid w:val="006D7328"/>
    <w:rsid w:val="006D757B"/>
    <w:rsid w:val="006D7BEB"/>
    <w:rsid w:val="006D7F74"/>
    <w:rsid w:val="006D7FDB"/>
    <w:rsid w:val="006E00BB"/>
    <w:rsid w:val="006E071F"/>
    <w:rsid w:val="006E10AA"/>
    <w:rsid w:val="006E10BB"/>
    <w:rsid w:val="006E150E"/>
    <w:rsid w:val="006E153C"/>
    <w:rsid w:val="006E16DE"/>
    <w:rsid w:val="006E1A97"/>
    <w:rsid w:val="006E1D32"/>
    <w:rsid w:val="006E1DD9"/>
    <w:rsid w:val="006E2063"/>
    <w:rsid w:val="006E2146"/>
    <w:rsid w:val="006E2206"/>
    <w:rsid w:val="006E260F"/>
    <w:rsid w:val="006E26F4"/>
    <w:rsid w:val="006E2AAF"/>
    <w:rsid w:val="006E2C7B"/>
    <w:rsid w:val="006E315E"/>
    <w:rsid w:val="006E403F"/>
    <w:rsid w:val="006E4778"/>
    <w:rsid w:val="006E566B"/>
    <w:rsid w:val="006E5884"/>
    <w:rsid w:val="006E5963"/>
    <w:rsid w:val="006E5B5A"/>
    <w:rsid w:val="006E5BA3"/>
    <w:rsid w:val="006E5FB3"/>
    <w:rsid w:val="006E6142"/>
    <w:rsid w:val="006E61A6"/>
    <w:rsid w:val="006E6249"/>
    <w:rsid w:val="006E6287"/>
    <w:rsid w:val="006E6B3F"/>
    <w:rsid w:val="006E7194"/>
    <w:rsid w:val="006E735F"/>
    <w:rsid w:val="006E78EE"/>
    <w:rsid w:val="006E7E8D"/>
    <w:rsid w:val="006F032D"/>
    <w:rsid w:val="006F06A1"/>
    <w:rsid w:val="006F0D93"/>
    <w:rsid w:val="006F11FD"/>
    <w:rsid w:val="006F1455"/>
    <w:rsid w:val="006F154D"/>
    <w:rsid w:val="006F18AD"/>
    <w:rsid w:val="006F1C18"/>
    <w:rsid w:val="006F1E7F"/>
    <w:rsid w:val="006F1EFD"/>
    <w:rsid w:val="006F24E5"/>
    <w:rsid w:val="006F257A"/>
    <w:rsid w:val="006F2685"/>
    <w:rsid w:val="006F269A"/>
    <w:rsid w:val="006F2A18"/>
    <w:rsid w:val="006F2CA0"/>
    <w:rsid w:val="006F2CED"/>
    <w:rsid w:val="006F2E7A"/>
    <w:rsid w:val="006F2EDB"/>
    <w:rsid w:val="006F2F51"/>
    <w:rsid w:val="006F3098"/>
    <w:rsid w:val="006F313B"/>
    <w:rsid w:val="006F32A0"/>
    <w:rsid w:val="006F33D5"/>
    <w:rsid w:val="006F33F3"/>
    <w:rsid w:val="006F3584"/>
    <w:rsid w:val="006F39E1"/>
    <w:rsid w:val="006F3CD8"/>
    <w:rsid w:val="006F4162"/>
    <w:rsid w:val="006F42DA"/>
    <w:rsid w:val="006F44F4"/>
    <w:rsid w:val="006F4709"/>
    <w:rsid w:val="006F49E7"/>
    <w:rsid w:val="006F4BEB"/>
    <w:rsid w:val="006F4E52"/>
    <w:rsid w:val="006F4F4C"/>
    <w:rsid w:val="006F4FE1"/>
    <w:rsid w:val="006F5550"/>
    <w:rsid w:val="006F596C"/>
    <w:rsid w:val="006F5D89"/>
    <w:rsid w:val="006F5DD6"/>
    <w:rsid w:val="006F60C8"/>
    <w:rsid w:val="006F636F"/>
    <w:rsid w:val="006F6A06"/>
    <w:rsid w:val="006F6A2B"/>
    <w:rsid w:val="006F6A74"/>
    <w:rsid w:val="006F6F7E"/>
    <w:rsid w:val="006F7250"/>
    <w:rsid w:val="006F725C"/>
    <w:rsid w:val="006F7410"/>
    <w:rsid w:val="006F7839"/>
    <w:rsid w:val="006F7F17"/>
    <w:rsid w:val="006F7FB0"/>
    <w:rsid w:val="00700276"/>
    <w:rsid w:val="00700663"/>
    <w:rsid w:val="0070071F"/>
    <w:rsid w:val="00700790"/>
    <w:rsid w:val="007007BD"/>
    <w:rsid w:val="00700A42"/>
    <w:rsid w:val="00700A68"/>
    <w:rsid w:val="00700ABD"/>
    <w:rsid w:val="00701524"/>
    <w:rsid w:val="00701977"/>
    <w:rsid w:val="00701ABB"/>
    <w:rsid w:val="007022A7"/>
    <w:rsid w:val="007024AA"/>
    <w:rsid w:val="00702801"/>
    <w:rsid w:val="00702AF7"/>
    <w:rsid w:val="00703395"/>
    <w:rsid w:val="0070342E"/>
    <w:rsid w:val="00703501"/>
    <w:rsid w:val="007038B9"/>
    <w:rsid w:val="00703AA7"/>
    <w:rsid w:val="00703FE2"/>
    <w:rsid w:val="0070448B"/>
    <w:rsid w:val="0070469F"/>
    <w:rsid w:val="00704BE6"/>
    <w:rsid w:val="00704ED4"/>
    <w:rsid w:val="007050ED"/>
    <w:rsid w:val="007051A4"/>
    <w:rsid w:val="00705EC3"/>
    <w:rsid w:val="00706096"/>
    <w:rsid w:val="00706159"/>
    <w:rsid w:val="007064A8"/>
    <w:rsid w:val="007064B2"/>
    <w:rsid w:val="007065E3"/>
    <w:rsid w:val="007066D1"/>
    <w:rsid w:val="007068AB"/>
    <w:rsid w:val="007069F2"/>
    <w:rsid w:val="00706B81"/>
    <w:rsid w:val="007071AF"/>
    <w:rsid w:val="00707361"/>
    <w:rsid w:val="007074FD"/>
    <w:rsid w:val="0070755C"/>
    <w:rsid w:val="007076BB"/>
    <w:rsid w:val="00707730"/>
    <w:rsid w:val="00710038"/>
    <w:rsid w:val="00710041"/>
    <w:rsid w:val="00710148"/>
    <w:rsid w:val="0071047E"/>
    <w:rsid w:val="00710652"/>
    <w:rsid w:val="007109D0"/>
    <w:rsid w:val="00710DC9"/>
    <w:rsid w:val="00710DF8"/>
    <w:rsid w:val="00710FD1"/>
    <w:rsid w:val="0071111F"/>
    <w:rsid w:val="00711549"/>
    <w:rsid w:val="0071164F"/>
    <w:rsid w:val="007116E6"/>
    <w:rsid w:val="00711733"/>
    <w:rsid w:val="007118EE"/>
    <w:rsid w:val="00711D00"/>
    <w:rsid w:val="00712113"/>
    <w:rsid w:val="007123ED"/>
    <w:rsid w:val="007127DF"/>
    <w:rsid w:val="00712FC1"/>
    <w:rsid w:val="0071301B"/>
    <w:rsid w:val="007132F9"/>
    <w:rsid w:val="00713500"/>
    <w:rsid w:val="007136F0"/>
    <w:rsid w:val="00713E6D"/>
    <w:rsid w:val="00714019"/>
    <w:rsid w:val="007143E6"/>
    <w:rsid w:val="00714495"/>
    <w:rsid w:val="00714C0A"/>
    <w:rsid w:val="00714D7B"/>
    <w:rsid w:val="00714DC1"/>
    <w:rsid w:val="007152E8"/>
    <w:rsid w:val="00715307"/>
    <w:rsid w:val="007155A9"/>
    <w:rsid w:val="007159D0"/>
    <w:rsid w:val="00715B83"/>
    <w:rsid w:val="00715D60"/>
    <w:rsid w:val="0071625E"/>
    <w:rsid w:val="007163B9"/>
    <w:rsid w:val="00716447"/>
    <w:rsid w:val="00716511"/>
    <w:rsid w:val="007165AC"/>
    <w:rsid w:val="007166E0"/>
    <w:rsid w:val="00716B63"/>
    <w:rsid w:val="00716DBF"/>
    <w:rsid w:val="00716EA5"/>
    <w:rsid w:val="0071736D"/>
    <w:rsid w:val="00717481"/>
    <w:rsid w:val="00717BC0"/>
    <w:rsid w:val="00717FE5"/>
    <w:rsid w:val="007200C7"/>
    <w:rsid w:val="0072015D"/>
    <w:rsid w:val="0072018E"/>
    <w:rsid w:val="00720494"/>
    <w:rsid w:val="007207B1"/>
    <w:rsid w:val="00720E60"/>
    <w:rsid w:val="00720F7B"/>
    <w:rsid w:val="007215EB"/>
    <w:rsid w:val="0072167C"/>
    <w:rsid w:val="00721AE0"/>
    <w:rsid w:val="00722302"/>
    <w:rsid w:val="00722457"/>
    <w:rsid w:val="00722486"/>
    <w:rsid w:val="007228DA"/>
    <w:rsid w:val="00722D16"/>
    <w:rsid w:val="007233E9"/>
    <w:rsid w:val="007235FA"/>
    <w:rsid w:val="00723BF0"/>
    <w:rsid w:val="00723F56"/>
    <w:rsid w:val="00724407"/>
    <w:rsid w:val="007248EE"/>
    <w:rsid w:val="00724AE9"/>
    <w:rsid w:val="0072518F"/>
    <w:rsid w:val="007253BE"/>
    <w:rsid w:val="007257E0"/>
    <w:rsid w:val="00725B73"/>
    <w:rsid w:val="00725B7B"/>
    <w:rsid w:val="00725BAF"/>
    <w:rsid w:val="00725C54"/>
    <w:rsid w:val="00725D94"/>
    <w:rsid w:val="00725FBF"/>
    <w:rsid w:val="00725FEB"/>
    <w:rsid w:val="00727174"/>
    <w:rsid w:val="00727524"/>
    <w:rsid w:val="007277C5"/>
    <w:rsid w:val="00727A37"/>
    <w:rsid w:val="00727A59"/>
    <w:rsid w:val="00727A74"/>
    <w:rsid w:val="00727BB9"/>
    <w:rsid w:val="00727BF9"/>
    <w:rsid w:val="00727D78"/>
    <w:rsid w:val="00727E80"/>
    <w:rsid w:val="00730491"/>
    <w:rsid w:val="00730832"/>
    <w:rsid w:val="007308EE"/>
    <w:rsid w:val="00730B4F"/>
    <w:rsid w:val="00730D06"/>
    <w:rsid w:val="00730DB7"/>
    <w:rsid w:val="00730EC0"/>
    <w:rsid w:val="00730F03"/>
    <w:rsid w:val="00731007"/>
    <w:rsid w:val="007319BC"/>
    <w:rsid w:val="00731A2F"/>
    <w:rsid w:val="00731F42"/>
    <w:rsid w:val="00731F59"/>
    <w:rsid w:val="00732993"/>
    <w:rsid w:val="0073303D"/>
    <w:rsid w:val="0073356D"/>
    <w:rsid w:val="00733C35"/>
    <w:rsid w:val="0073457F"/>
    <w:rsid w:val="007346AA"/>
    <w:rsid w:val="00734801"/>
    <w:rsid w:val="00734E00"/>
    <w:rsid w:val="00735378"/>
    <w:rsid w:val="007354FF"/>
    <w:rsid w:val="007356C6"/>
    <w:rsid w:val="00735726"/>
    <w:rsid w:val="007358FF"/>
    <w:rsid w:val="007359B3"/>
    <w:rsid w:val="007359FA"/>
    <w:rsid w:val="00735B92"/>
    <w:rsid w:val="00735CB8"/>
    <w:rsid w:val="00735F1C"/>
    <w:rsid w:val="00736116"/>
    <w:rsid w:val="00736414"/>
    <w:rsid w:val="00737CE0"/>
    <w:rsid w:val="00737E32"/>
    <w:rsid w:val="00740010"/>
    <w:rsid w:val="00740580"/>
    <w:rsid w:val="0074092F"/>
    <w:rsid w:val="00740C09"/>
    <w:rsid w:val="00740D5A"/>
    <w:rsid w:val="00740F38"/>
    <w:rsid w:val="00741830"/>
    <w:rsid w:val="007419A5"/>
    <w:rsid w:val="00741EDA"/>
    <w:rsid w:val="00742331"/>
    <w:rsid w:val="00742668"/>
    <w:rsid w:val="0074274E"/>
    <w:rsid w:val="0074294E"/>
    <w:rsid w:val="00742C4B"/>
    <w:rsid w:val="00742CC1"/>
    <w:rsid w:val="00742DA3"/>
    <w:rsid w:val="007432D7"/>
    <w:rsid w:val="00743305"/>
    <w:rsid w:val="00743375"/>
    <w:rsid w:val="007435D8"/>
    <w:rsid w:val="00743AEA"/>
    <w:rsid w:val="00743BE2"/>
    <w:rsid w:val="00743F9D"/>
    <w:rsid w:val="007440F6"/>
    <w:rsid w:val="00744210"/>
    <w:rsid w:val="00744331"/>
    <w:rsid w:val="00744687"/>
    <w:rsid w:val="0074477F"/>
    <w:rsid w:val="00744838"/>
    <w:rsid w:val="00744E34"/>
    <w:rsid w:val="00744E76"/>
    <w:rsid w:val="00744F52"/>
    <w:rsid w:val="00745250"/>
    <w:rsid w:val="0074546B"/>
    <w:rsid w:val="00745888"/>
    <w:rsid w:val="00745DFA"/>
    <w:rsid w:val="0074601D"/>
    <w:rsid w:val="007462CE"/>
    <w:rsid w:val="00746992"/>
    <w:rsid w:val="00746A0A"/>
    <w:rsid w:val="0074718B"/>
    <w:rsid w:val="007472D8"/>
    <w:rsid w:val="007475DB"/>
    <w:rsid w:val="00747618"/>
    <w:rsid w:val="00747AE8"/>
    <w:rsid w:val="00747DE3"/>
    <w:rsid w:val="00747EB9"/>
    <w:rsid w:val="00750118"/>
    <w:rsid w:val="007501BA"/>
    <w:rsid w:val="0075025C"/>
    <w:rsid w:val="00750391"/>
    <w:rsid w:val="007506A7"/>
    <w:rsid w:val="00750835"/>
    <w:rsid w:val="00750B17"/>
    <w:rsid w:val="00750D30"/>
    <w:rsid w:val="00750ED6"/>
    <w:rsid w:val="00751E0F"/>
    <w:rsid w:val="00752172"/>
    <w:rsid w:val="007521DE"/>
    <w:rsid w:val="0075227E"/>
    <w:rsid w:val="0075298F"/>
    <w:rsid w:val="00752BBE"/>
    <w:rsid w:val="007532EE"/>
    <w:rsid w:val="007537E8"/>
    <w:rsid w:val="007538BD"/>
    <w:rsid w:val="00753A3E"/>
    <w:rsid w:val="00753E8F"/>
    <w:rsid w:val="00754127"/>
    <w:rsid w:val="007543C4"/>
    <w:rsid w:val="007544B4"/>
    <w:rsid w:val="00754580"/>
    <w:rsid w:val="00754618"/>
    <w:rsid w:val="007548A8"/>
    <w:rsid w:val="0075538F"/>
    <w:rsid w:val="00755668"/>
    <w:rsid w:val="00755F9C"/>
    <w:rsid w:val="007564F8"/>
    <w:rsid w:val="007570A3"/>
    <w:rsid w:val="00757718"/>
    <w:rsid w:val="00757818"/>
    <w:rsid w:val="00757AA2"/>
    <w:rsid w:val="00757CCA"/>
    <w:rsid w:val="007602A1"/>
    <w:rsid w:val="007603EE"/>
    <w:rsid w:val="00760584"/>
    <w:rsid w:val="007606F9"/>
    <w:rsid w:val="00760EED"/>
    <w:rsid w:val="00761425"/>
    <w:rsid w:val="0076147E"/>
    <w:rsid w:val="007614F6"/>
    <w:rsid w:val="0076159C"/>
    <w:rsid w:val="007618DB"/>
    <w:rsid w:val="00761997"/>
    <w:rsid w:val="007619C8"/>
    <w:rsid w:val="00761B4A"/>
    <w:rsid w:val="00761F26"/>
    <w:rsid w:val="00762071"/>
    <w:rsid w:val="007624EB"/>
    <w:rsid w:val="007626C2"/>
    <w:rsid w:val="007626FF"/>
    <w:rsid w:val="007629E5"/>
    <w:rsid w:val="00762A61"/>
    <w:rsid w:val="00762CA2"/>
    <w:rsid w:val="00763099"/>
    <w:rsid w:val="00763735"/>
    <w:rsid w:val="00763A8E"/>
    <w:rsid w:val="00763DA0"/>
    <w:rsid w:val="00763E10"/>
    <w:rsid w:val="007640FB"/>
    <w:rsid w:val="007644D7"/>
    <w:rsid w:val="00764642"/>
    <w:rsid w:val="007646D4"/>
    <w:rsid w:val="00764C22"/>
    <w:rsid w:val="0076535B"/>
    <w:rsid w:val="00765847"/>
    <w:rsid w:val="0076592B"/>
    <w:rsid w:val="007659FE"/>
    <w:rsid w:val="00765E23"/>
    <w:rsid w:val="00765EB5"/>
    <w:rsid w:val="00766280"/>
    <w:rsid w:val="00766318"/>
    <w:rsid w:val="007664A8"/>
    <w:rsid w:val="007670B6"/>
    <w:rsid w:val="0076735B"/>
    <w:rsid w:val="007678E8"/>
    <w:rsid w:val="00767A16"/>
    <w:rsid w:val="00767CBE"/>
    <w:rsid w:val="007703D1"/>
    <w:rsid w:val="00770647"/>
    <w:rsid w:val="00770B3F"/>
    <w:rsid w:val="00770B85"/>
    <w:rsid w:val="00770C02"/>
    <w:rsid w:val="0077101D"/>
    <w:rsid w:val="007711A3"/>
    <w:rsid w:val="007714C1"/>
    <w:rsid w:val="007716B3"/>
    <w:rsid w:val="00771809"/>
    <w:rsid w:val="00771DA7"/>
    <w:rsid w:val="00771EA6"/>
    <w:rsid w:val="0077239F"/>
    <w:rsid w:val="007724B7"/>
    <w:rsid w:val="007727C8"/>
    <w:rsid w:val="007728DC"/>
    <w:rsid w:val="00772991"/>
    <w:rsid w:val="00772F06"/>
    <w:rsid w:val="00773165"/>
    <w:rsid w:val="007732FA"/>
    <w:rsid w:val="007733A9"/>
    <w:rsid w:val="007735F6"/>
    <w:rsid w:val="00773E71"/>
    <w:rsid w:val="00774252"/>
    <w:rsid w:val="0077449F"/>
    <w:rsid w:val="007745D4"/>
    <w:rsid w:val="007747CA"/>
    <w:rsid w:val="00774A43"/>
    <w:rsid w:val="00774CCF"/>
    <w:rsid w:val="00774E52"/>
    <w:rsid w:val="00774FBC"/>
    <w:rsid w:val="007750D3"/>
    <w:rsid w:val="00775127"/>
    <w:rsid w:val="007759A5"/>
    <w:rsid w:val="00775F63"/>
    <w:rsid w:val="00776179"/>
    <w:rsid w:val="00776317"/>
    <w:rsid w:val="007763A0"/>
    <w:rsid w:val="00776726"/>
    <w:rsid w:val="007767CE"/>
    <w:rsid w:val="00776EC3"/>
    <w:rsid w:val="00776FF3"/>
    <w:rsid w:val="00777364"/>
    <w:rsid w:val="007777C4"/>
    <w:rsid w:val="007778F1"/>
    <w:rsid w:val="00777958"/>
    <w:rsid w:val="00777B0A"/>
    <w:rsid w:val="00780499"/>
    <w:rsid w:val="007807B0"/>
    <w:rsid w:val="007808F6"/>
    <w:rsid w:val="007809DE"/>
    <w:rsid w:val="00781269"/>
    <w:rsid w:val="0078143D"/>
    <w:rsid w:val="007814FC"/>
    <w:rsid w:val="007818BA"/>
    <w:rsid w:val="0078201A"/>
    <w:rsid w:val="0078240F"/>
    <w:rsid w:val="00782A60"/>
    <w:rsid w:val="00782BA7"/>
    <w:rsid w:val="00782BBC"/>
    <w:rsid w:val="00783491"/>
    <w:rsid w:val="00783ADB"/>
    <w:rsid w:val="00783B02"/>
    <w:rsid w:val="00783E55"/>
    <w:rsid w:val="007840C0"/>
    <w:rsid w:val="00784586"/>
    <w:rsid w:val="00784A33"/>
    <w:rsid w:val="00784CBC"/>
    <w:rsid w:val="00784DC7"/>
    <w:rsid w:val="00785095"/>
    <w:rsid w:val="0078534A"/>
    <w:rsid w:val="00785585"/>
    <w:rsid w:val="00785604"/>
    <w:rsid w:val="00785B2D"/>
    <w:rsid w:val="00785BE9"/>
    <w:rsid w:val="00786008"/>
    <w:rsid w:val="007862FF"/>
    <w:rsid w:val="00786337"/>
    <w:rsid w:val="007865F2"/>
    <w:rsid w:val="00786606"/>
    <w:rsid w:val="007867AE"/>
    <w:rsid w:val="007874C2"/>
    <w:rsid w:val="00787A23"/>
    <w:rsid w:val="00787BFF"/>
    <w:rsid w:val="00787F41"/>
    <w:rsid w:val="00787FC9"/>
    <w:rsid w:val="0079006F"/>
    <w:rsid w:val="007903C6"/>
    <w:rsid w:val="007903F9"/>
    <w:rsid w:val="00790606"/>
    <w:rsid w:val="0079067F"/>
    <w:rsid w:val="00790727"/>
    <w:rsid w:val="00790905"/>
    <w:rsid w:val="00791067"/>
    <w:rsid w:val="007910C7"/>
    <w:rsid w:val="007912DB"/>
    <w:rsid w:val="00791628"/>
    <w:rsid w:val="00791DB6"/>
    <w:rsid w:val="00792A3D"/>
    <w:rsid w:val="007931DE"/>
    <w:rsid w:val="007931E2"/>
    <w:rsid w:val="0079371C"/>
    <w:rsid w:val="0079387A"/>
    <w:rsid w:val="00793C70"/>
    <w:rsid w:val="00793EE4"/>
    <w:rsid w:val="0079403F"/>
    <w:rsid w:val="00794216"/>
    <w:rsid w:val="00794817"/>
    <w:rsid w:val="007953DC"/>
    <w:rsid w:val="00795410"/>
    <w:rsid w:val="00795434"/>
    <w:rsid w:val="007954CE"/>
    <w:rsid w:val="00795838"/>
    <w:rsid w:val="00795B30"/>
    <w:rsid w:val="00795C4D"/>
    <w:rsid w:val="00795EF6"/>
    <w:rsid w:val="00795FD8"/>
    <w:rsid w:val="00796222"/>
    <w:rsid w:val="0079626F"/>
    <w:rsid w:val="00796374"/>
    <w:rsid w:val="00796490"/>
    <w:rsid w:val="00796A9F"/>
    <w:rsid w:val="00796B5C"/>
    <w:rsid w:val="00796BE0"/>
    <w:rsid w:val="00796C10"/>
    <w:rsid w:val="00797044"/>
    <w:rsid w:val="007976FC"/>
    <w:rsid w:val="00797C96"/>
    <w:rsid w:val="00797D15"/>
    <w:rsid w:val="00797DE4"/>
    <w:rsid w:val="007A0203"/>
    <w:rsid w:val="007A0568"/>
    <w:rsid w:val="007A058C"/>
    <w:rsid w:val="007A080E"/>
    <w:rsid w:val="007A0ECB"/>
    <w:rsid w:val="007A0FA8"/>
    <w:rsid w:val="007A177D"/>
    <w:rsid w:val="007A1F4B"/>
    <w:rsid w:val="007A20BE"/>
    <w:rsid w:val="007A23C4"/>
    <w:rsid w:val="007A2998"/>
    <w:rsid w:val="007A2BB2"/>
    <w:rsid w:val="007A3A38"/>
    <w:rsid w:val="007A3A94"/>
    <w:rsid w:val="007A3EC3"/>
    <w:rsid w:val="007A3FAD"/>
    <w:rsid w:val="007A45DF"/>
    <w:rsid w:val="007A496F"/>
    <w:rsid w:val="007A4FEA"/>
    <w:rsid w:val="007A515E"/>
    <w:rsid w:val="007A57D9"/>
    <w:rsid w:val="007A59A8"/>
    <w:rsid w:val="007A5A52"/>
    <w:rsid w:val="007A5AEE"/>
    <w:rsid w:val="007A5BFF"/>
    <w:rsid w:val="007A5F17"/>
    <w:rsid w:val="007A5F7E"/>
    <w:rsid w:val="007A6516"/>
    <w:rsid w:val="007A65DC"/>
    <w:rsid w:val="007A65DF"/>
    <w:rsid w:val="007A66F6"/>
    <w:rsid w:val="007A687C"/>
    <w:rsid w:val="007A6D88"/>
    <w:rsid w:val="007A7694"/>
    <w:rsid w:val="007A76DF"/>
    <w:rsid w:val="007A7E3E"/>
    <w:rsid w:val="007A7FAD"/>
    <w:rsid w:val="007B01FD"/>
    <w:rsid w:val="007B054D"/>
    <w:rsid w:val="007B05FC"/>
    <w:rsid w:val="007B0889"/>
    <w:rsid w:val="007B0ABB"/>
    <w:rsid w:val="007B0B01"/>
    <w:rsid w:val="007B0DE0"/>
    <w:rsid w:val="007B0F8C"/>
    <w:rsid w:val="007B0F90"/>
    <w:rsid w:val="007B0FF9"/>
    <w:rsid w:val="007B1057"/>
    <w:rsid w:val="007B1376"/>
    <w:rsid w:val="007B1558"/>
    <w:rsid w:val="007B17CF"/>
    <w:rsid w:val="007B1B06"/>
    <w:rsid w:val="007B227F"/>
    <w:rsid w:val="007B2534"/>
    <w:rsid w:val="007B2BAE"/>
    <w:rsid w:val="007B2C39"/>
    <w:rsid w:val="007B35A6"/>
    <w:rsid w:val="007B3BFF"/>
    <w:rsid w:val="007B3DB6"/>
    <w:rsid w:val="007B44B8"/>
    <w:rsid w:val="007B4664"/>
    <w:rsid w:val="007B474C"/>
    <w:rsid w:val="007B4831"/>
    <w:rsid w:val="007B4A62"/>
    <w:rsid w:val="007B5376"/>
    <w:rsid w:val="007B5587"/>
    <w:rsid w:val="007B55B9"/>
    <w:rsid w:val="007B57EF"/>
    <w:rsid w:val="007B585A"/>
    <w:rsid w:val="007B5C7D"/>
    <w:rsid w:val="007B5FFB"/>
    <w:rsid w:val="007B608A"/>
    <w:rsid w:val="007B63FF"/>
    <w:rsid w:val="007B6821"/>
    <w:rsid w:val="007B6A27"/>
    <w:rsid w:val="007B6B48"/>
    <w:rsid w:val="007B75ED"/>
    <w:rsid w:val="007B76E7"/>
    <w:rsid w:val="007B7882"/>
    <w:rsid w:val="007B7AE3"/>
    <w:rsid w:val="007B7C6A"/>
    <w:rsid w:val="007C015D"/>
    <w:rsid w:val="007C047F"/>
    <w:rsid w:val="007C0726"/>
    <w:rsid w:val="007C091A"/>
    <w:rsid w:val="007C0E92"/>
    <w:rsid w:val="007C0EA3"/>
    <w:rsid w:val="007C1028"/>
    <w:rsid w:val="007C1529"/>
    <w:rsid w:val="007C15BF"/>
    <w:rsid w:val="007C1B87"/>
    <w:rsid w:val="007C1C44"/>
    <w:rsid w:val="007C2126"/>
    <w:rsid w:val="007C238E"/>
    <w:rsid w:val="007C2646"/>
    <w:rsid w:val="007C27D7"/>
    <w:rsid w:val="007C2917"/>
    <w:rsid w:val="007C2E17"/>
    <w:rsid w:val="007C2F29"/>
    <w:rsid w:val="007C3384"/>
    <w:rsid w:val="007C383F"/>
    <w:rsid w:val="007C3A16"/>
    <w:rsid w:val="007C3A9E"/>
    <w:rsid w:val="007C4065"/>
    <w:rsid w:val="007C448C"/>
    <w:rsid w:val="007C4639"/>
    <w:rsid w:val="007C499C"/>
    <w:rsid w:val="007C59C2"/>
    <w:rsid w:val="007C59F1"/>
    <w:rsid w:val="007C5AF2"/>
    <w:rsid w:val="007C5BEB"/>
    <w:rsid w:val="007C5D77"/>
    <w:rsid w:val="007C62BE"/>
    <w:rsid w:val="007C63DA"/>
    <w:rsid w:val="007C6CBD"/>
    <w:rsid w:val="007C6DB2"/>
    <w:rsid w:val="007C6EE5"/>
    <w:rsid w:val="007C6F5A"/>
    <w:rsid w:val="007C6FF4"/>
    <w:rsid w:val="007C7701"/>
    <w:rsid w:val="007C782E"/>
    <w:rsid w:val="007C78C8"/>
    <w:rsid w:val="007C7AC6"/>
    <w:rsid w:val="007C7CA4"/>
    <w:rsid w:val="007C7D28"/>
    <w:rsid w:val="007C7FA7"/>
    <w:rsid w:val="007C7FE9"/>
    <w:rsid w:val="007D0167"/>
    <w:rsid w:val="007D06D3"/>
    <w:rsid w:val="007D0749"/>
    <w:rsid w:val="007D0F78"/>
    <w:rsid w:val="007D115A"/>
    <w:rsid w:val="007D1257"/>
    <w:rsid w:val="007D12B8"/>
    <w:rsid w:val="007D1869"/>
    <w:rsid w:val="007D283F"/>
    <w:rsid w:val="007D29D5"/>
    <w:rsid w:val="007D2D25"/>
    <w:rsid w:val="007D309C"/>
    <w:rsid w:val="007D36FB"/>
    <w:rsid w:val="007D38DD"/>
    <w:rsid w:val="007D3A93"/>
    <w:rsid w:val="007D3AE1"/>
    <w:rsid w:val="007D3AE9"/>
    <w:rsid w:val="007D3D4C"/>
    <w:rsid w:val="007D4371"/>
    <w:rsid w:val="007D447A"/>
    <w:rsid w:val="007D45FB"/>
    <w:rsid w:val="007D462F"/>
    <w:rsid w:val="007D46A0"/>
    <w:rsid w:val="007D4881"/>
    <w:rsid w:val="007D48BD"/>
    <w:rsid w:val="007D4DC6"/>
    <w:rsid w:val="007D52BE"/>
    <w:rsid w:val="007D5932"/>
    <w:rsid w:val="007D5FCC"/>
    <w:rsid w:val="007D610B"/>
    <w:rsid w:val="007D621F"/>
    <w:rsid w:val="007D6248"/>
    <w:rsid w:val="007D69A0"/>
    <w:rsid w:val="007D6BB9"/>
    <w:rsid w:val="007D73B0"/>
    <w:rsid w:val="007D763E"/>
    <w:rsid w:val="007D7952"/>
    <w:rsid w:val="007D7B15"/>
    <w:rsid w:val="007D7D13"/>
    <w:rsid w:val="007D7D6F"/>
    <w:rsid w:val="007D7E20"/>
    <w:rsid w:val="007E020E"/>
    <w:rsid w:val="007E05D4"/>
    <w:rsid w:val="007E0B89"/>
    <w:rsid w:val="007E0BEF"/>
    <w:rsid w:val="007E1454"/>
    <w:rsid w:val="007E14A6"/>
    <w:rsid w:val="007E1510"/>
    <w:rsid w:val="007E15BC"/>
    <w:rsid w:val="007E15C4"/>
    <w:rsid w:val="007E22C2"/>
    <w:rsid w:val="007E253F"/>
    <w:rsid w:val="007E26F6"/>
    <w:rsid w:val="007E2C22"/>
    <w:rsid w:val="007E2E54"/>
    <w:rsid w:val="007E2EAD"/>
    <w:rsid w:val="007E33ED"/>
    <w:rsid w:val="007E3503"/>
    <w:rsid w:val="007E353A"/>
    <w:rsid w:val="007E3623"/>
    <w:rsid w:val="007E3993"/>
    <w:rsid w:val="007E3D40"/>
    <w:rsid w:val="007E3E9F"/>
    <w:rsid w:val="007E3EB4"/>
    <w:rsid w:val="007E3FE5"/>
    <w:rsid w:val="007E4B1B"/>
    <w:rsid w:val="007E53C3"/>
    <w:rsid w:val="007E56CD"/>
    <w:rsid w:val="007E5755"/>
    <w:rsid w:val="007E5990"/>
    <w:rsid w:val="007E5C4A"/>
    <w:rsid w:val="007E66AA"/>
    <w:rsid w:val="007E6A02"/>
    <w:rsid w:val="007E6A4F"/>
    <w:rsid w:val="007E7408"/>
    <w:rsid w:val="007E793C"/>
    <w:rsid w:val="007E7D7A"/>
    <w:rsid w:val="007F00A1"/>
    <w:rsid w:val="007F0903"/>
    <w:rsid w:val="007F0D00"/>
    <w:rsid w:val="007F1A7B"/>
    <w:rsid w:val="007F22A7"/>
    <w:rsid w:val="007F2434"/>
    <w:rsid w:val="007F2B91"/>
    <w:rsid w:val="007F2F5A"/>
    <w:rsid w:val="007F3D72"/>
    <w:rsid w:val="007F3F69"/>
    <w:rsid w:val="007F40B7"/>
    <w:rsid w:val="007F446C"/>
    <w:rsid w:val="007F47D7"/>
    <w:rsid w:val="007F4EA3"/>
    <w:rsid w:val="007F4EFB"/>
    <w:rsid w:val="007F4FFE"/>
    <w:rsid w:val="007F5545"/>
    <w:rsid w:val="007F55CB"/>
    <w:rsid w:val="007F5632"/>
    <w:rsid w:val="007F5806"/>
    <w:rsid w:val="007F5B37"/>
    <w:rsid w:val="007F5B69"/>
    <w:rsid w:val="007F5D34"/>
    <w:rsid w:val="007F5EDD"/>
    <w:rsid w:val="007F5F90"/>
    <w:rsid w:val="007F61D0"/>
    <w:rsid w:val="007F6E4E"/>
    <w:rsid w:val="007F6E71"/>
    <w:rsid w:val="007F75E9"/>
    <w:rsid w:val="007F78E9"/>
    <w:rsid w:val="007F7BDA"/>
    <w:rsid w:val="007F7E07"/>
    <w:rsid w:val="0080009C"/>
    <w:rsid w:val="00800747"/>
    <w:rsid w:val="0080116C"/>
    <w:rsid w:val="00801416"/>
    <w:rsid w:val="00801832"/>
    <w:rsid w:val="00801ADA"/>
    <w:rsid w:val="00801AEC"/>
    <w:rsid w:val="00801F1E"/>
    <w:rsid w:val="008022C6"/>
    <w:rsid w:val="008023E5"/>
    <w:rsid w:val="008023F2"/>
    <w:rsid w:val="00802401"/>
    <w:rsid w:val="00802D01"/>
    <w:rsid w:val="00803082"/>
    <w:rsid w:val="0080323A"/>
    <w:rsid w:val="00803410"/>
    <w:rsid w:val="008034DC"/>
    <w:rsid w:val="00803C0C"/>
    <w:rsid w:val="00803F30"/>
    <w:rsid w:val="00804270"/>
    <w:rsid w:val="008048AB"/>
    <w:rsid w:val="008048F2"/>
    <w:rsid w:val="00804904"/>
    <w:rsid w:val="00805087"/>
    <w:rsid w:val="0080525B"/>
    <w:rsid w:val="008061DC"/>
    <w:rsid w:val="00806226"/>
    <w:rsid w:val="0080646F"/>
    <w:rsid w:val="008065BA"/>
    <w:rsid w:val="008067BC"/>
    <w:rsid w:val="00806BA5"/>
    <w:rsid w:val="00806E8A"/>
    <w:rsid w:val="00807049"/>
    <w:rsid w:val="008072FA"/>
    <w:rsid w:val="00807444"/>
    <w:rsid w:val="00807470"/>
    <w:rsid w:val="00807B06"/>
    <w:rsid w:val="00807D59"/>
    <w:rsid w:val="0081009F"/>
    <w:rsid w:val="00810279"/>
    <w:rsid w:val="008103A5"/>
    <w:rsid w:val="00810518"/>
    <w:rsid w:val="008105B6"/>
    <w:rsid w:val="0081064D"/>
    <w:rsid w:val="008106B7"/>
    <w:rsid w:val="00810C00"/>
    <w:rsid w:val="00810D13"/>
    <w:rsid w:val="00811016"/>
    <w:rsid w:val="0081149B"/>
    <w:rsid w:val="00811B1F"/>
    <w:rsid w:val="00811CBB"/>
    <w:rsid w:val="00812262"/>
    <w:rsid w:val="00812462"/>
    <w:rsid w:val="00812546"/>
    <w:rsid w:val="008126C6"/>
    <w:rsid w:val="008127D8"/>
    <w:rsid w:val="00812968"/>
    <w:rsid w:val="00812AB8"/>
    <w:rsid w:val="00812DF2"/>
    <w:rsid w:val="0081311D"/>
    <w:rsid w:val="0081367A"/>
    <w:rsid w:val="008136DE"/>
    <w:rsid w:val="0081399B"/>
    <w:rsid w:val="00813A50"/>
    <w:rsid w:val="00813EB6"/>
    <w:rsid w:val="00813F8F"/>
    <w:rsid w:val="00814109"/>
    <w:rsid w:val="00814635"/>
    <w:rsid w:val="00814650"/>
    <w:rsid w:val="008147B7"/>
    <w:rsid w:val="008147D2"/>
    <w:rsid w:val="008149D8"/>
    <w:rsid w:val="00814FE0"/>
    <w:rsid w:val="00815357"/>
    <w:rsid w:val="0081674A"/>
    <w:rsid w:val="0081684A"/>
    <w:rsid w:val="008168E7"/>
    <w:rsid w:val="00816E01"/>
    <w:rsid w:val="008171D5"/>
    <w:rsid w:val="00817423"/>
    <w:rsid w:val="00817551"/>
    <w:rsid w:val="008179B5"/>
    <w:rsid w:val="0082015C"/>
    <w:rsid w:val="008201B4"/>
    <w:rsid w:val="008203CC"/>
    <w:rsid w:val="00820698"/>
    <w:rsid w:val="0082093F"/>
    <w:rsid w:val="008209B5"/>
    <w:rsid w:val="00820A07"/>
    <w:rsid w:val="00820A81"/>
    <w:rsid w:val="00820ECD"/>
    <w:rsid w:val="0082103D"/>
    <w:rsid w:val="00821962"/>
    <w:rsid w:val="00821A8D"/>
    <w:rsid w:val="00821ADD"/>
    <w:rsid w:val="00821B31"/>
    <w:rsid w:val="00821BB5"/>
    <w:rsid w:val="00822013"/>
    <w:rsid w:val="008221E8"/>
    <w:rsid w:val="00822289"/>
    <w:rsid w:val="00822377"/>
    <w:rsid w:val="00822549"/>
    <w:rsid w:val="0082269C"/>
    <w:rsid w:val="00822942"/>
    <w:rsid w:val="00822ADD"/>
    <w:rsid w:val="00822F0B"/>
    <w:rsid w:val="008230D5"/>
    <w:rsid w:val="00823295"/>
    <w:rsid w:val="008233BB"/>
    <w:rsid w:val="0082417D"/>
    <w:rsid w:val="008242CB"/>
    <w:rsid w:val="00824608"/>
    <w:rsid w:val="0082495B"/>
    <w:rsid w:val="00824CD4"/>
    <w:rsid w:val="00825167"/>
    <w:rsid w:val="00825567"/>
    <w:rsid w:val="008259B2"/>
    <w:rsid w:val="00825A69"/>
    <w:rsid w:val="00825D41"/>
    <w:rsid w:val="00826404"/>
    <w:rsid w:val="00826440"/>
    <w:rsid w:val="008269A8"/>
    <w:rsid w:val="00826A09"/>
    <w:rsid w:val="008275C4"/>
    <w:rsid w:val="008277AD"/>
    <w:rsid w:val="00827880"/>
    <w:rsid w:val="00827DF1"/>
    <w:rsid w:val="00827FCD"/>
    <w:rsid w:val="0083008C"/>
    <w:rsid w:val="00830421"/>
    <w:rsid w:val="00830452"/>
    <w:rsid w:val="00830561"/>
    <w:rsid w:val="008308DC"/>
    <w:rsid w:val="008309E7"/>
    <w:rsid w:val="00830C37"/>
    <w:rsid w:val="00830FC4"/>
    <w:rsid w:val="0083118C"/>
    <w:rsid w:val="0083153C"/>
    <w:rsid w:val="008319B3"/>
    <w:rsid w:val="00831E20"/>
    <w:rsid w:val="00831F5F"/>
    <w:rsid w:val="00832449"/>
    <w:rsid w:val="0083267E"/>
    <w:rsid w:val="00832835"/>
    <w:rsid w:val="00832AED"/>
    <w:rsid w:val="00832C8E"/>
    <w:rsid w:val="00833118"/>
    <w:rsid w:val="00833256"/>
    <w:rsid w:val="008337AE"/>
    <w:rsid w:val="00833ABA"/>
    <w:rsid w:val="008341F0"/>
    <w:rsid w:val="00834256"/>
    <w:rsid w:val="008346B7"/>
    <w:rsid w:val="00834A2D"/>
    <w:rsid w:val="00834AEF"/>
    <w:rsid w:val="00834BFF"/>
    <w:rsid w:val="00834F5D"/>
    <w:rsid w:val="0083501B"/>
    <w:rsid w:val="00835182"/>
    <w:rsid w:val="00835532"/>
    <w:rsid w:val="008358EF"/>
    <w:rsid w:val="00835ADF"/>
    <w:rsid w:val="00835D65"/>
    <w:rsid w:val="00835E9E"/>
    <w:rsid w:val="008361C1"/>
    <w:rsid w:val="008363AA"/>
    <w:rsid w:val="00836400"/>
    <w:rsid w:val="00836429"/>
    <w:rsid w:val="00836A5E"/>
    <w:rsid w:val="00836B3D"/>
    <w:rsid w:val="00836C68"/>
    <w:rsid w:val="00836D0B"/>
    <w:rsid w:val="00836D7C"/>
    <w:rsid w:val="00836EF8"/>
    <w:rsid w:val="00837665"/>
    <w:rsid w:val="00837725"/>
    <w:rsid w:val="00837AC9"/>
    <w:rsid w:val="00837D21"/>
    <w:rsid w:val="00840291"/>
    <w:rsid w:val="008402BF"/>
    <w:rsid w:val="00840498"/>
    <w:rsid w:val="00840523"/>
    <w:rsid w:val="0084099C"/>
    <w:rsid w:val="00840B3C"/>
    <w:rsid w:val="00840BDE"/>
    <w:rsid w:val="0084117D"/>
    <w:rsid w:val="0084118C"/>
    <w:rsid w:val="00841397"/>
    <w:rsid w:val="00841F8D"/>
    <w:rsid w:val="008421B0"/>
    <w:rsid w:val="0084220E"/>
    <w:rsid w:val="008422FA"/>
    <w:rsid w:val="00842672"/>
    <w:rsid w:val="00842D55"/>
    <w:rsid w:val="00842FAF"/>
    <w:rsid w:val="00843206"/>
    <w:rsid w:val="008432C8"/>
    <w:rsid w:val="008435D4"/>
    <w:rsid w:val="00843788"/>
    <w:rsid w:val="00843918"/>
    <w:rsid w:val="00843FD3"/>
    <w:rsid w:val="00843FD7"/>
    <w:rsid w:val="008446E6"/>
    <w:rsid w:val="00844943"/>
    <w:rsid w:val="008449D9"/>
    <w:rsid w:val="00844FBA"/>
    <w:rsid w:val="00845068"/>
    <w:rsid w:val="008450FE"/>
    <w:rsid w:val="008454CE"/>
    <w:rsid w:val="008459E2"/>
    <w:rsid w:val="00845BFE"/>
    <w:rsid w:val="00845E2F"/>
    <w:rsid w:val="00846950"/>
    <w:rsid w:val="00846AB3"/>
    <w:rsid w:val="00846B1F"/>
    <w:rsid w:val="00846C06"/>
    <w:rsid w:val="0084737B"/>
    <w:rsid w:val="0084755C"/>
    <w:rsid w:val="00847588"/>
    <w:rsid w:val="00847601"/>
    <w:rsid w:val="00847AAB"/>
    <w:rsid w:val="00847ADC"/>
    <w:rsid w:val="00847EEE"/>
    <w:rsid w:val="0085056C"/>
    <w:rsid w:val="008508F1"/>
    <w:rsid w:val="00850B35"/>
    <w:rsid w:val="00850C08"/>
    <w:rsid w:val="0085179F"/>
    <w:rsid w:val="00851936"/>
    <w:rsid w:val="00851A3F"/>
    <w:rsid w:val="00851ADE"/>
    <w:rsid w:val="00851B36"/>
    <w:rsid w:val="00852070"/>
    <w:rsid w:val="008522D6"/>
    <w:rsid w:val="00852672"/>
    <w:rsid w:val="00852FBA"/>
    <w:rsid w:val="0085304F"/>
    <w:rsid w:val="00853139"/>
    <w:rsid w:val="008533F0"/>
    <w:rsid w:val="00854037"/>
    <w:rsid w:val="00854065"/>
    <w:rsid w:val="0085433D"/>
    <w:rsid w:val="00854429"/>
    <w:rsid w:val="00854528"/>
    <w:rsid w:val="008548EE"/>
    <w:rsid w:val="00854994"/>
    <w:rsid w:val="00854999"/>
    <w:rsid w:val="00854E4B"/>
    <w:rsid w:val="008553F1"/>
    <w:rsid w:val="0085563C"/>
    <w:rsid w:val="008558B3"/>
    <w:rsid w:val="00855A32"/>
    <w:rsid w:val="0085601B"/>
    <w:rsid w:val="008560AF"/>
    <w:rsid w:val="0085682E"/>
    <w:rsid w:val="00856AAC"/>
    <w:rsid w:val="00856F0B"/>
    <w:rsid w:val="00856F97"/>
    <w:rsid w:val="0085707F"/>
    <w:rsid w:val="00857251"/>
    <w:rsid w:val="00857310"/>
    <w:rsid w:val="00857B7C"/>
    <w:rsid w:val="00857CB8"/>
    <w:rsid w:val="00857FCD"/>
    <w:rsid w:val="0086015D"/>
    <w:rsid w:val="00860596"/>
    <w:rsid w:val="00860987"/>
    <w:rsid w:val="00860B93"/>
    <w:rsid w:val="00860C8F"/>
    <w:rsid w:val="00860D07"/>
    <w:rsid w:val="00860DEB"/>
    <w:rsid w:val="00860EF6"/>
    <w:rsid w:val="0086100F"/>
    <w:rsid w:val="00861091"/>
    <w:rsid w:val="00861716"/>
    <w:rsid w:val="008617E6"/>
    <w:rsid w:val="008618E0"/>
    <w:rsid w:val="00862178"/>
    <w:rsid w:val="008624BA"/>
    <w:rsid w:val="00863162"/>
    <w:rsid w:val="008637C3"/>
    <w:rsid w:val="008638F8"/>
    <w:rsid w:val="00863E84"/>
    <w:rsid w:val="0086494E"/>
    <w:rsid w:val="008651A3"/>
    <w:rsid w:val="008655D3"/>
    <w:rsid w:val="00865603"/>
    <w:rsid w:val="00865678"/>
    <w:rsid w:val="00865978"/>
    <w:rsid w:val="00865981"/>
    <w:rsid w:val="00866391"/>
    <w:rsid w:val="008664D2"/>
    <w:rsid w:val="008669A4"/>
    <w:rsid w:val="00866B3C"/>
    <w:rsid w:val="00866FC5"/>
    <w:rsid w:val="008672AC"/>
    <w:rsid w:val="00867423"/>
    <w:rsid w:val="00867952"/>
    <w:rsid w:val="00867A04"/>
    <w:rsid w:val="00867A91"/>
    <w:rsid w:val="00867ACD"/>
    <w:rsid w:val="00870067"/>
    <w:rsid w:val="008700A6"/>
    <w:rsid w:val="008708C8"/>
    <w:rsid w:val="00870A00"/>
    <w:rsid w:val="00870B35"/>
    <w:rsid w:val="0087153F"/>
    <w:rsid w:val="008719FB"/>
    <w:rsid w:val="00871CD8"/>
    <w:rsid w:val="008722BE"/>
    <w:rsid w:val="00872308"/>
    <w:rsid w:val="00872356"/>
    <w:rsid w:val="00872AB8"/>
    <w:rsid w:val="00872B73"/>
    <w:rsid w:val="00872D28"/>
    <w:rsid w:val="00872EF5"/>
    <w:rsid w:val="008732CD"/>
    <w:rsid w:val="0087335E"/>
    <w:rsid w:val="0087345A"/>
    <w:rsid w:val="008738E5"/>
    <w:rsid w:val="00873DC0"/>
    <w:rsid w:val="0087423F"/>
    <w:rsid w:val="008742AD"/>
    <w:rsid w:val="00874689"/>
    <w:rsid w:val="0087479E"/>
    <w:rsid w:val="008751B4"/>
    <w:rsid w:val="0087536B"/>
    <w:rsid w:val="00875ABE"/>
    <w:rsid w:val="00875B9D"/>
    <w:rsid w:val="00875BA6"/>
    <w:rsid w:val="00875C57"/>
    <w:rsid w:val="00875D4F"/>
    <w:rsid w:val="00876198"/>
    <w:rsid w:val="008765E4"/>
    <w:rsid w:val="00876684"/>
    <w:rsid w:val="0087676B"/>
    <w:rsid w:val="0087727F"/>
    <w:rsid w:val="008772A6"/>
    <w:rsid w:val="0087799E"/>
    <w:rsid w:val="00877D0D"/>
    <w:rsid w:val="00877E1B"/>
    <w:rsid w:val="0088057F"/>
    <w:rsid w:val="00880A68"/>
    <w:rsid w:val="00880D38"/>
    <w:rsid w:val="00881199"/>
    <w:rsid w:val="008814C7"/>
    <w:rsid w:val="0088172B"/>
    <w:rsid w:val="00881B23"/>
    <w:rsid w:val="008821B2"/>
    <w:rsid w:val="0088230A"/>
    <w:rsid w:val="008824E7"/>
    <w:rsid w:val="008825F3"/>
    <w:rsid w:val="00882B16"/>
    <w:rsid w:val="00882CAB"/>
    <w:rsid w:val="00882DF9"/>
    <w:rsid w:val="008837A4"/>
    <w:rsid w:val="008838FA"/>
    <w:rsid w:val="00884089"/>
    <w:rsid w:val="008840DC"/>
    <w:rsid w:val="008842CF"/>
    <w:rsid w:val="008843CA"/>
    <w:rsid w:val="008849F3"/>
    <w:rsid w:val="00884BCC"/>
    <w:rsid w:val="00884E3A"/>
    <w:rsid w:val="008856FD"/>
    <w:rsid w:val="00885720"/>
    <w:rsid w:val="008857DD"/>
    <w:rsid w:val="008859D2"/>
    <w:rsid w:val="00885BAE"/>
    <w:rsid w:val="00885D3A"/>
    <w:rsid w:val="0088654E"/>
    <w:rsid w:val="008865BF"/>
    <w:rsid w:val="008869C2"/>
    <w:rsid w:val="00886AD9"/>
    <w:rsid w:val="0088715F"/>
    <w:rsid w:val="00887572"/>
    <w:rsid w:val="008876D1"/>
    <w:rsid w:val="00887ADF"/>
    <w:rsid w:val="00887BF1"/>
    <w:rsid w:val="00887F1F"/>
    <w:rsid w:val="00887F45"/>
    <w:rsid w:val="008901FA"/>
    <w:rsid w:val="0089027A"/>
    <w:rsid w:val="00890864"/>
    <w:rsid w:val="00890FB9"/>
    <w:rsid w:val="00891057"/>
    <w:rsid w:val="0089174C"/>
    <w:rsid w:val="00891B1F"/>
    <w:rsid w:val="00891BB5"/>
    <w:rsid w:val="00891D00"/>
    <w:rsid w:val="00891FAC"/>
    <w:rsid w:val="00892A1F"/>
    <w:rsid w:val="00892C1E"/>
    <w:rsid w:val="00892F7D"/>
    <w:rsid w:val="008935A3"/>
    <w:rsid w:val="00893613"/>
    <w:rsid w:val="00893986"/>
    <w:rsid w:val="00893AB4"/>
    <w:rsid w:val="00893B38"/>
    <w:rsid w:val="00893C34"/>
    <w:rsid w:val="0089422E"/>
    <w:rsid w:val="00894534"/>
    <w:rsid w:val="008945F4"/>
    <w:rsid w:val="00894845"/>
    <w:rsid w:val="00894C4B"/>
    <w:rsid w:val="00894DA2"/>
    <w:rsid w:val="00895559"/>
    <w:rsid w:val="00895804"/>
    <w:rsid w:val="00895D64"/>
    <w:rsid w:val="00895F31"/>
    <w:rsid w:val="008963F5"/>
    <w:rsid w:val="008966E7"/>
    <w:rsid w:val="00896A63"/>
    <w:rsid w:val="00897775"/>
    <w:rsid w:val="00897CD0"/>
    <w:rsid w:val="00897E20"/>
    <w:rsid w:val="008A0620"/>
    <w:rsid w:val="008A085D"/>
    <w:rsid w:val="008A09F6"/>
    <w:rsid w:val="008A0C69"/>
    <w:rsid w:val="008A0C6C"/>
    <w:rsid w:val="008A14F6"/>
    <w:rsid w:val="008A21D4"/>
    <w:rsid w:val="008A2594"/>
    <w:rsid w:val="008A26B9"/>
    <w:rsid w:val="008A2809"/>
    <w:rsid w:val="008A2970"/>
    <w:rsid w:val="008A2C11"/>
    <w:rsid w:val="008A2D1C"/>
    <w:rsid w:val="008A2FCC"/>
    <w:rsid w:val="008A3076"/>
    <w:rsid w:val="008A3331"/>
    <w:rsid w:val="008A3406"/>
    <w:rsid w:val="008A360A"/>
    <w:rsid w:val="008A38D0"/>
    <w:rsid w:val="008A390F"/>
    <w:rsid w:val="008A3A85"/>
    <w:rsid w:val="008A3B3D"/>
    <w:rsid w:val="008A3BEC"/>
    <w:rsid w:val="008A4A69"/>
    <w:rsid w:val="008A4E03"/>
    <w:rsid w:val="008A541D"/>
    <w:rsid w:val="008A5544"/>
    <w:rsid w:val="008A5CAD"/>
    <w:rsid w:val="008A5DCB"/>
    <w:rsid w:val="008A6027"/>
    <w:rsid w:val="008A6363"/>
    <w:rsid w:val="008A641B"/>
    <w:rsid w:val="008A69BE"/>
    <w:rsid w:val="008A71BC"/>
    <w:rsid w:val="008A72C3"/>
    <w:rsid w:val="008A7314"/>
    <w:rsid w:val="008A77AB"/>
    <w:rsid w:val="008A7C10"/>
    <w:rsid w:val="008A7C7C"/>
    <w:rsid w:val="008B002C"/>
    <w:rsid w:val="008B00D3"/>
    <w:rsid w:val="008B01E9"/>
    <w:rsid w:val="008B0430"/>
    <w:rsid w:val="008B07C9"/>
    <w:rsid w:val="008B0906"/>
    <w:rsid w:val="008B09D1"/>
    <w:rsid w:val="008B0EFC"/>
    <w:rsid w:val="008B1243"/>
    <w:rsid w:val="008B1423"/>
    <w:rsid w:val="008B1447"/>
    <w:rsid w:val="008B15E3"/>
    <w:rsid w:val="008B2668"/>
    <w:rsid w:val="008B2E14"/>
    <w:rsid w:val="008B2EEB"/>
    <w:rsid w:val="008B2F1E"/>
    <w:rsid w:val="008B2F41"/>
    <w:rsid w:val="008B3024"/>
    <w:rsid w:val="008B3070"/>
    <w:rsid w:val="008B3124"/>
    <w:rsid w:val="008B34B1"/>
    <w:rsid w:val="008B366A"/>
    <w:rsid w:val="008B3DEB"/>
    <w:rsid w:val="008B3E2D"/>
    <w:rsid w:val="008B469A"/>
    <w:rsid w:val="008B4746"/>
    <w:rsid w:val="008B4C55"/>
    <w:rsid w:val="008B4C84"/>
    <w:rsid w:val="008B4F47"/>
    <w:rsid w:val="008B511C"/>
    <w:rsid w:val="008B5147"/>
    <w:rsid w:val="008B5568"/>
    <w:rsid w:val="008B5779"/>
    <w:rsid w:val="008B57C1"/>
    <w:rsid w:val="008B59E0"/>
    <w:rsid w:val="008B5D62"/>
    <w:rsid w:val="008B5E00"/>
    <w:rsid w:val="008B5FD0"/>
    <w:rsid w:val="008B6DB8"/>
    <w:rsid w:val="008B6F62"/>
    <w:rsid w:val="008B712F"/>
    <w:rsid w:val="008B78E0"/>
    <w:rsid w:val="008B7E8B"/>
    <w:rsid w:val="008C0417"/>
    <w:rsid w:val="008C050F"/>
    <w:rsid w:val="008C0601"/>
    <w:rsid w:val="008C0CAC"/>
    <w:rsid w:val="008C0EAD"/>
    <w:rsid w:val="008C0F47"/>
    <w:rsid w:val="008C1538"/>
    <w:rsid w:val="008C1DDC"/>
    <w:rsid w:val="008C1DE5"/>
    <w:rsid w:val="008C1FC6"/>
    <w:rsid w:val="008C29EA"/>
    <w:rsid w:val="008C2BA7"/>
    <w:rsid w:val="008C352E"/>
    <w:rsid w:val="008C379F"/>
    <w:rsid w:val="008C387F"/>
    <w:rsid w:val="008C3B37"/>
    <w:rsid w:val="008C3BAA"/>
    <w:rsid w:val="008C3C1F"/>
    <w:rsid w:val="008C3E5E"/>
    <w:rsid w:val="008C4230"/>
    <w:rsid w:val="008C43F8"/>
    <w:rsid w:val="008C4670"/>
    <w:rsid w:val="008C4A09"/>
    <w:rsid w:val="008C4D5D"/>
    <w:rsid w:val="008C5428"/>
    <w:rsid w:val="008C5982"/>
    <w:rsid w:val="008C5A79"/>
    <w:rsid w:val="008C5FAB"/>
    <w:rsid w:val="008C6030"/>
    <w:rsid w:val="008C65EB"/>
    <w:rsid w:val="008C6972"/>
    <w:rsid w:val="008C6D0E"/>
    <w:rsid w:val="008C6E27"/>
    <w:rsid w:val="008C7470"/>
    <w:rsid w:val="008C7549"/>
    <w:rsid w:val="008C771D"/>
    <w:rsid w:val="008C790B"/>
    <w:rsid w:val="008C7C2E"/>
    <w:rsid w:val="008D0214"/>
    <w:rsid w:val="008D04BF"/>
    <w:rsid w:val="008D0BB5"/>
    <w:rsid w:val="008D0BBE"/>
    <w:rsid w:val="008D0C0B"/>
    <w:rsid w:val="008D0DBF"/>
    <w:rsid w:val="008D10B4"/>
    <w:rsid w:val="008D1531"/>
    <w:rsid w:val="008D17B2"/>
    <w:rsid w:val="008D1A4D"/>
    <w:rsid w:val="008D1DE8"/>
    <w:rsid w:val="008D21F8"/>
    <w:rsid w:val="008D22EA"/>
    <w:rsid w:val="008D24EF"/>
    <w:rsid w:val="008D2AD7"/>
    <w:rsid w:val="008D35CC"/>
    <w:rsid w:val="008D3B6F"/>
    <w:rsid w:val="008D3F02"/>
    <w:rsid w:val="008D4017"/>
    <w:rsid w:val="008D4285"/>
    <w:rsid w:val="008D42D6"/>
    <w:rsid w:val="008D440E"/>
    <w:rsid w:val="008D4540"/>
    <w:rsid w:val="008D46DA"/>
    <w:rsid w:val="008D49FB"/>
    <w:rsid w:val="008D4ABF"/>
    <w:rsid w:val="008D4EA1"/>
    <w:rsid w:val="008D59D4"/>
    <w:rsid w:val="008D5F0D"/>
    <w:rsid w:val="008D600F"/>
    <w:rsid w:val="008D67F2"/>
    <w:rsid w:val="008D6903"/>
    <w:rsid w:val="008D6A49"/>
    <w:rsid w:val="008D6CE5"/>
    <w:rsid w:val="008D729D"/>
    <w:rsid w:val="008D749B"/>
    <w:rsid w:val="008D76BB"/>
    <w:rsid w:val="008D7E7B"/>
    <w:rsid w:val="008D7F64"/>
    <w:rsid w:val="008D7F77"/>
    <w:rsid w:val="008E0313"/>
    <w:rsid w:val="008E0783"/>
    <w:rsid w:val="008E0999"/>
    <w:rsid w:val="008E0A83"/>
    <w:rsid w:val="008E0CDA"/>
    <w:rsid w:val="008E0D9B"/>
    <w:rsid w:val="008E0E36"/>
    <w:rsid w:val="008E1059"/>
    <w:rsid w:val="008E1222"/>
    <w:rsid w:val="008E148F"/>
    <w:rsid w:val="008E15E0"/>
    <w:rsid w:val="008E1610"/>
    <w:rsid w:val="008E18E6"/>
    <w:rsid w:val="008E1989"/>
    <w:rsid w:val="008E1A9D"/>
    <w:rsid w:val="008E1ABE"/>
    <w:rsid w:val="008E1BD7"/>
    <w:rsid w:val="008E234C"/>
    <w:rsid w:val="008E27A4"/>
    <w:rsid w:val="008E2886"/>
    <w:rsid w:val="008E2891"/>
    <w:rsid w:val="008E295D"/>
    <w:rsid w:val="008E2A91"/>
    <w:rsid w:val="008E2BAC"/>
    <w:rsid w:val="008E2C90"/>
    <w:rsid w:val="008E2D58"/>
    <w:rsid w:val="008E2E67"/>
    <w:rsid w:val="008E2EEF"/>
    <w:rsid w:val="008E301E"/>
    <w:rsid w:val="008E35CD"/>
    <w:rsid w:val="008E35CE"/>
    <w:rsid w:val="008E3E54"/>
    <w:rsid w:val="008E3F2F"/>
    <w:rsid w:val="008E3FD5"/>
    <w:rsid w:val="008E40FE"/>
    <w:rsid w:val="008E4244"/>
    <w:rsid w:val="008E442C"/>
    <w:rsid w:val="008E44C6"/>
    <w:rsid w:val="008E44FF"/>
    <w:rsid w:val="008E4684"/>
    <w:rsid w:val="008E4902"/>
    <w:rsid w:val="008E49C6"/>
    <w:rsid w:val="008E4A38"/>
    <w:rsid w:val="008E4F57"/>
    <w:rsid w:val="008E4FDE"/>
    <w:rsid w:val="008E549D"/>
    <w:rsid w:val="008E5B76"/>
    <w:rsid w:val="008E5DE0"/>
    <w:rsid w:val="008E666F"/>
    <w:rsid w:val="008E66BE"/>
    <w:rsid w:val="008E68EF"/>
    <w:rsid w:val="008E69CB"/>
    <w:rsid w:val="008E69D9"/>
    <w:rsid w:val="008E6B8E"/>
    <w:rsid w:val="008E6C23"/>
    <w:rsid w:val="008E769F"/>
    <w:rsid w:val="008E772F"/>
    <w:rsid w:val="008E77D4"/>
    <w:rsid w:val="008E7861"/>
    <w:rsid w:val="008E7DA1"/>
    <w:rsid w:val="008F025A"/>
    <w:rsid w:val="008F031D"/>
    <w:rsid w:val="008F0546"/>
    <w:rsid w:val="008F06F5"/>
    <w:rsid w:val="008F09F5"/>
    <w:rsid w:val="008F0ADA"/>
    <w:rsid w:val="008F0E73"/>
    <w:rsid w:val="008F129E"/>
    <w:rsid w:val="008F1645"/>
    <w:rsid w:val="008F17D0"/>
    <w:rsid w:val="008F1892"/>
    <w:rsid w:val="008F1C4B"/>
    <w:rsid w:val="008F1D1F"/>
    <w:rsid w:val="008F1ED4"/>
    <w:rsid w:val="008F2127"/>
    <w:rsid w:val="008F2219"/>
    <w:rsid w:val="008F2494"/>
    <w:rsid w:val="008F24BE"/>
    <w:rsid w:val="008F281A"/>
    <w:rsid w:val="008F2ADC"/>
    <w:rsid w:val="008F2DC7"/>
    <w:rsid w:val="008F2DD7"/>
    <w:rsid w:val="008F2E46"/>
    <w:rsid w:val="008F31BE"/>
    <w:rsid w:val="008F323D"/>
    <w:rsid w:val="008F3762"/>
    <w:rsid w:val="008F3866"/>
    <w:rsid w:val="008F3A3B"/>
    <w:rsid w:val="008F3FA7"/>
    <w:rsid w:val="008F41AF"/>
    <w:rsid w:val="008F41EB"/>
    <w:rsid w:val="008F4264"/>
    <w:rsid w:val="008F44EA"/>
    <w:rsid w:val="008F4581"/>
    <w:rsid w:val="008F4D2F"/>
    <w:rsid w:val="008F5362"/>
    <w:rsid w:val="008F55E3"/>
    <w:rsid w:val="008F573A"/>
    <w:rsid w:val="008F59DD"/>
    <w:rsid w:val="008F5F16"/>
    <w:rsid w:val="008F6034"/>
    <w:rsid w:val="008F6148"/>
    <w:rsid w:val="008F615D"/>
    <w:rsid w:val="008F61E1"/>
    <w:rsid w:val="008F6449"/>
    <w:rsid w:val="008F6591"/>
    <w:rsid w:val="008F65F8"/>
    <w:rsid w:val="008F67C5"/>
    <w:rsid w:val="008F6EF1"/>
    <w:rsid w:val="008F712A"/>
    <w:rsid w:val="008F749F"/>
    <w:rsid w:val="008F7994"/>
    <w:rsid w:val="008F7BCD"/>
    <w:rsid w:val="0090010F"/>
    <w:rsid w:val="0090025C"/>
    <w:rsid w:val="00900384"/>
    <w:rsid w:val="00900BA7"/>
    <w:rsid w:val="00900BD3"/>
    <w:rsid w:val="00900C0E"/>
    <w:rsid w:val="00900D77"/>
    <w:rsid w:val="00901BE2"/>
    <w:rsid w:val="00902396"/>
    <w:rsid w:val="0090295D"/>
    <w:rsid w:val="00902D47"/>
    <w:rsid w:val="00902F49"/>
    <w:rsid w:val="0090326E"/>
    <w:rsid w:val="009038E5"/>
    <w:rsid w:val="00903A7B"/>
    <w:rsid w:val="00903C4F"/>
    <w:rsid w:val="00903E9E"/>
    <w:rsid w:val="00904036"/>
    <w:rsid w:val="0090471A"/>
    <w:rsid w:val="00904754"/>
    <w:rsid w:val="00904860"/>
    <w:rsid w:val="009048AF"/>
    <w:rsid w:val="009049E3"/>
    <w:rsid w:val="00904B95"/>
    <w:rsid w:val="009051A6"/>
    <w:rsid w:val="0090526F"/>
    <w:rsid w:val="009056A8"/>
    <w:rsid w:val="009058A8"/>
    <w:rsid w:val="009058ED"/>
    <w:rsid w:val="00905B43"/>
    <w:rsid w:val="00905CA8"/>
    <w:rsid w:val="0090610C"/>
    <w:rsid w:val="009062C3"/>
    <w:rsid w:val="0090666F"/>
    <w:rsid w:val="0090681D"/>
    <w:rsid w:val="00906A01"/>
    <w:rsid w:val="00906D15"/>
    <w:rsid w:val="00907163"/>
    <w:rsid w:val="00907243"/>
    <w:rsid w:val="009072C7"/>
    <w:rsid w:val="009072F9"/>
    <w:rsid w:val="0090759A"/>
    <w:rsid w:val="0090788C"/>
    <w:rsid w:val="00907A06"/>
    <w:rsid w:val="00907CC2"/>
    <w:rsid w:val="00907D85"/>
    <w:rsid w:val="00907F73"/>
    <w:rsid w:val="0091053B"/>
    <w:rsid w:val="009105EB"/>
    <w:rsid w:val="009105FD"/>
    <w:rsid w:val="0091060A"/>
    <w:rsid w:val="00910C34"/>
    <w:rsid w:val="0091100B"/>
    <w:rsid w:val="0091144F"/>
    <w:rsid w:val="00911790"/>
    <w:rsid w:val="00911BE7"/>
    <w:rsid w:val="00911E8D"/>
    <w:rsid w:val="009127CC"/>
    <w:rsid w:val="009128D6"/>
    <w:rsid w:val="00912FBA"/>
    <w:rsid w:val="00913169"/>
    <w:rsid w:val="00913284"/>
    <w:rsid w:val="00913422"/>
    <w:rsid w:val="00913500"/>
    <w:rsid w:val="00913704"/>
    <w:rsid w:val="00913C94"/>
    <w:rsid w:val="009142FE"/>
    <w:rsid w:val="00914451"/>
    <w:rsid w:val="0091462B"/>
    <w:rsid w:val="00914727"/>
    <w:rsid w:val="0091477B"/>
    <w:rsid w:val="00914893"/>
    <w:rsid w:val="00914B30"/>
    <w:rsid w:val="00915030"/>
    <w:rsid w:val="009150A5"/>
    <w:rsid w:val="0091510C"/>
    <w:rsid w:val="00915251"/>
    <w:rsid w:val="009154E9"/>
    <w:rsid w:val="009155A2"/>
    <w:rsid w:val="00915640"/>
    <w:rsid w:val="0091567C"/>
    <w:rsid w:val="00915D6B"/>
    <w:rsid w:val="00916088"/>
    <w:rsid w:val="00916534"/>
    <w:rsid w:val="00916A1E"/>
    <w:rsid w:val="00916AC0"/>
    <w:rsid w:val="00916B27"/>
    <w:rsid w:val="00916B92"/>
    <w:rsid w:val="00916BA3"/>
    <w:rsid w:val="00916D1F"/>
    <w:rsid w:val="00916FB7"/>
    <w:rsid w:val="0091710B"/>
    <w:rsid w:val="009175C7"/>
    <w:rsid w:val="00917EF2"/>
    <w:rsid w:val="00917F58"/>
    <w:rsid w:val="00920698"/>
    <w:rsid w:val="00920899"/>
    <w:rsid w:val="00920946"/>
    <w:rsid w:val="00920F73"/>
    <w:rsid w:val="00921569"/>
    <w:rsid w:val="00921676"/>
    <w:rsid w:val="00921760"/>
    <w:rsid w:val="00921B00"/>
    <w:rsid w:val="00921E9A"/>
    <w:rsid w:val="00922332"/>
    <w:rsid w:val="00922748"/>
    <w:rsid w:val="00922B72"/>
    <w:rsid w:val="00922B91"/>
    <w:rsid w:val="00922D7A"/>
    <w:rsid w:val="00922F6D"/>
    <w:rsid w:val="00923019"/>
    <w:rsid w:val="00923526"/>
    <w:rsid w:val="009238CE"/>
    <w:rsid w:val="00923992"/>
    <w:rsid w:val="009239EA"/>
    <w:rsid w:val="00923B0A"/>
    <w:rsid w:val="00923B6B"/>
    <w:rsid w:val="00924007"/>
    <w:rsid w:val="0092432C"/>
    <w:rsid w:val="009247DE"/>
    <w:rsid w:val="009248B4"/>
    <w:rsid w:val="00925100"/>
    <w:rsid w:val="00926172"/>
    <w:rsid w:val="009267A4"/>
    <w:rsid w:val="00926A16"/>
    <w:rsid w:val="0092711A"/>
    <w:rsid w:val="009271FC"/>
    <w:rsid w:val="00927375"/>
    <w:rsid w:val="009278AF"/>
    <w:rsid w:val="00927919"/>
    <w:rsid w:val="0093016E"/>
    <w:rsid w:val="009301AF"/>
    <w:rsid w:val="00930426"/>
    <w:rsid w:val="009308CD"/>
    <w:rsid w:val="00930F99"/>
    <w:rsid w:val="0093129E"/>
    <w:rsid w:val="009312EF"/>
    <w:rsid w:val="00931395"/>
    <w:rsid w:val="009313B1"/>
    <w:rsid w:val="009313FE"/>
    <w:rsid w:val="009328E9"/>
    <w:rsid w:val="00932944"/>
    <w:rsid w:val="00932BA7"/>
    <w:rsid w:val="0093305A"/>
    <w:rsid w:val="00933120"/>
    <w:rsid w:val="009333AA"/>
    <w:rsid w:val="00933D3E"/>
    <w:rsid w:val="00934530"/>
    <w:rsid w:val="009349B9"/>
    <w:rsid w:val="009349EB"/>
    <w:rsid w:val="00934AAC"/>
    <w:rsid w:val="00934B92"/>
    <w:rsid w:val="00934D79"/>
    <w:rsid w:val="00934ECA"/>
    <w:rsid w:val="00935188"/>
    <w:rsid w:val="00935343"/>
    <w:rsid w:val="00935363"/>
    <w:rsid w:val="0093545B"/>
    <w:rsid w:val="0093549F"/>
    <w:rsid w:val="009355E8"/>
    <w:rsid w:val="00935618"/>
    <w:rsid w:val="00935637"/>
    <w:rsid w:val="009359A1"/>
    <w:rsid w:val="00935A1F"/>
    <w:rsid w:val="00935D12"/>
    <w:rsid w:val="0093602D"/>
    <w:rsid w:val="009368DD"/>
    <w:rsid w:val="009368EE"/>
    <w:rsid w:val="00936A55"/>
    <w:rsid w:val="00936AE7"/>
    <w:rsid w:val="00936C0E"/>
    <w:rsid w:val="00936D98"/>
    <w:rsid w:val="00937426"/>
    <w:rsid w:val="0093765F"/>
    <w:rsid w:val="0094045E"/>
    <w:rsid w:val="009404A4"/>
    <w:rsid w:val="0094062A"/>
    <w:rsid w:val="009406B3"/>
    <w:rsid w:val="0094078F"/>
    <w:rsid w:val="00940A1B"/>
    <w:rsid w:val="00940C72"/>
    <w:rsid w:val="00940D8E"/>
    <w:rsid w:val="00941197"/>
    <w:rsid w:val="00941252"/>
    <w:rsid w:val="00941464"/>
    <w:rsid w:val="009414D7"/>
    <w:rsid w:val="00941631"/>
    <w:rsid w:val="0094172C"/>
    <w:rsid w:val="00941F1C"/>
    <w:rsid w:val="009420D1"/>
    <w:rsid w:val="00942A19"/>
    <w:rsid w:val="00942C0E"/>
    <w:rsid w:val="00943071"/>
    <w:rsid w:val="0094329C"/>
    <w:rsid w:val="009436E5"/>
    <w:rsid w:val="0094453C"/>
    <w:rsid w:val="00944738"/>
    <w:rsid w:val="009448DF"/>
    <w:rsid w:val="00944B0A"/>
    <w:rsid w:val="00945045"/>
    <w:rsid w:val="009454BB"/>
    <w:rsid w:val="00945699"/>
    <w:rsid w:val="009456A4"/>
    <w:rsid w:val="00945A1D"/>
    <w:rsid w:val="00945BAC"/>
    <w:rsid w:val="00945F30"/>
    <w:rsid w:val="009460C8"/>
    <w:rsid w:val="00946149"/>
    <w:rsid w:val="009463A8"/>
    <w:rsid w:val="00946480"/>
    <w:rsid w:val="009464FC"/>
    <w:rsid w:val="00946837"/>
    <w:rsid w:val="009469F4"/>
    <w:rsid w:val="00946E7A"/>
    <w:rsid w:val="00946EC1"/>
    <w:rsid w:val="00946FD3"/>
    <w:rsid w:val="00947950"/>
    <w:rsid w:val="00947D97"/>
    <w:rsid w:val="00947DA5"/>
    <w:rsid w:val="00950151"/>
    <w:rsid w:val="009501BA"/>
    <w:rsid w:val="00950AE4"/>
    <w:rsid w:val="00950E73"/>
    <w:rsid w:val="00950EB1"/>
    <w:rsid w:val="009510BA"/>
    <w:rsid w:val="00951192"/>
    <w:rsid w:val="0095127F"/>
    <w:rsid w:val="00951ACA"/>
    <w:rsid w:val="00952285"/>
    <w:rsid w:val="00952C41"/>
    <w:rsid w:val="00953222"/>
    <w:rsid w:val="009536BC"/>
    <w:rsid w:val="0095392E"/>
    <w:rsid w:val="00953C05"/>
    <w:rsid w:val="0095425E"/>
    <w:rsid w:val="009543DE"/>
    <w:rsid w:val="00954441"/>
    <w:rsid w:val="00954955"/>
    <w:rsid w:val="00954DB0"/>
    <w:rsid w:val="009552D6"/>
    <w:rsid w:val="009554EA"/>
    <w:rsid w:val="009557AA"/>
    <w:rsid w:val="00955807"/>
    <w:rsid w:val="00955A22"/>
    <w:rsid w:val="00955BD2"/>
    <w:rsid w:val="00955D6B"/>
    <w:rsid w:val="0095600C"/>
    <w:rsid w:val="00956612"/>
    <w:rsid w:val="00956881"/>
    <w:rsid w:val="009568B4"/>
    <w:rsid w:val="00956ECE"/>
    <w:rsid w:val="0095708D"/>
    <w:rsid w:val="00957104"/>
    <w:rsid w:val="009574BC"/>
    <w:rsid w:val="009577BB"/>
    <w:rsid w:val="0095783E"/>
    <w:rsid w:val="00957CFD"/>
    <w:rsid w:val="00957E29"/>
    <w:rsid w:val="00957E37"/>
    <w:rsid w:val="00957E96"/>
    <w:rsid w:val="00960324"/>
    <w:rsid w:val="00960330"/>
    <w:rsid w:val="00960930"/>
    <w:rsid w:val="00960931"/>
    <w:rsid w:val="00960B7A"/>
    <w:rsid w:val="00960DEF"/>
    <w:rsid w:val="00960F98"/>
    <w:rsid w:val="0096115D"/>
    <w:rsid w:val="009617D9"/>
    <w:rsid w:val="00961818"/>
    <w:rsid w:val="00961BDA"/>
    <w:rsid w:val="00961C6A"/>
    <w:rsid w:val="0096201C"/>
    <w:rsid w:val="00962102"/>
    <w:rsid w:val="009625DA"/>
    <w:rsid w:val="00962C1B"/>
    <w:rsid w:val="00962E26"/>
    <w:rsid w:val="009631B1"/>
    <w:rsid w:val="00963222"/>
    <w:rsid w:val="00963688"/>
    <w:rsid w:val="00963876"/>
    <w:rsid w:val="00963B6D"/>
    <w:rsid w:val="00963C30"/>
    <w:rsid w:val="00963C62"/>
    <w:rsid w:val="00963D4F"/>
    <w:rsid w:val="00963D7C"/>
    <w:rsid w:val="0096407D"/>
    <w:rsid w:val="00964BF7"/>
    <w:rsid w:val="00964C48"/>
    <w:rsid w:val="009651CF"/>
    <w:rsid w:val="009656AA"/>
    <w:rsid w:val="0096630C"/>
    <w:rsid w:val="00966312"/>
    <w:rsid w:val="009663EA"/>
    <w:rsid w:val="00966482"/>
    <w:rsid w:val="00966650"/>
    <w:rsid w:val="009666D2"/>
    <w:rsid w:val="00966CF5"/>
    <w:rsid w:val="0096746F"/>
    <w:rsid w:val="00967817"/>
    <w:rsid w:val="009678C4"/>
    <w:rsid w:val="009701FF"/>
    <w:rsid w:val="0097064A"/>
    <w:rsid w:val="009707AE"/>
    <w:rsid w:val="00970BEC"/>
    <w:rsid w:val="00970C3C"/>
    <w:rsid w:val="0097177A"/>
    <w:rsid w:val="009718D0"/>
    <w:rsid w:val="00971AA9"/>
    <w:rsid w:val="00971F25"/>
    <w:rsid w:val="009721F1"/>
    <w:rsid w:val="0097222A"/>
    <w:rsid w:val="00972284"/>
    <w:rsid w:val="0097230B"/>
    <w:rsid w:val="009724B4"/>
    <w:rsid w:val="00972868"/>
    <w:rsid w:val="0097292E"/>
    <w:rsid w:val="00972C43"/>
    <w:rsid w:val="00972CA1"/>
    <w:rsid w:val="00973028"/>
    <w:rsid w:val="00973258"/>
    <w:rsid w:val="009733BE"/>
    <w:rsid w:val="009733FC"/>
    <w:rsid w:val="00973444"/>
    <w:rsid w:val="009739A1"/>
    <w:rsid w:val="00973EEC"/>
    <w:rsid w:val="009740A5"/>
    <w:rsid w:val="00974758"/>
    <w:rsid w:val="00974AF8"/>
    <w:rsid w:val="0097522B"/>
    <w:rsid w:val="009758D1"/>
    <w:rsid w:val="00975938"/>
    <w:rsid w:val="00975CB8"/>
    <w:rsid w:val="009762A9"/>
    <w:rsid w:val="0097638D"/>
    <w:rsid w:val="00976B7D"/>
    <w:rsid w:val="00976DE4"/>
    <w:rsid w:val="00977009"/>
    <w:rsid w:val="00977162"/>
    <w:rsid w:val="009773DE"/>
    <w:rsid w:val="009776C4"/>
    <w:rsid w:val="009776D1"/>
    <w:rsid w:val="0097773E"/>
    <w:rsid w:val="00977CC2"/>
    <w:rsid w:val="0098011E"/>
    <w:rsid w:val="0098030F"/>
    <w:rsid w:val="009805C6"/>
    <w:rsid w:val="009808BE"/>
    <w:rsid w:val="00980B22"/>
    <w:rsid w:val="00981433"/>
    <w:rsid w:val="00981524"/>
    <w:rsid w:val="009818DF"/>
    <w:rsid w:val="00982373"/>
    <w:rsid w:val="0098243F"/>
    <w:rsid w:val="0098246A"/>
    <w:rsid w:val="00982479"/>
    <w:rsid w:val="009829A4"/>
    <w:rsid w:val="00982B6E"/>
    <w:rsid w:val="00982E52"/>
    <w:rsid w:val="009832FC"/>
    <w:rsid w:val="0098352A"/>
    <w:rsid w:val="00983545"/>
    <w:rsid w:val="00984143"/>
    <w:rsid w:val="009841F6"/>
    <w:rsid w:val="00984243"/>
    <w:rsid w:val="009843AB"/>
    <w:rsid w:val="00984446"/>
    <w:rsid w:val="0098451E"/>
    <w:rsid w:val="00984727"/>
    <w:rsid w:val="0098514C"/>
    <w:rsid w:val="00985331"/>
    <w:rsid w:val="00985428"/>
    <w:rsid w:val="00985821"/>
    <w:rsid w:val="00985BD9"/>
    <w:rsid w:val="00985D0F"/>
    <w:rsid w:val="009863D9"/>
    <w:rsid w:val="00986573"/>
    <w:rsid w:val="00986A58"/>
    <w:rsid w:val="00986A6B"/>
    <w:rsid w:val="0098727F"/>
    <w:rsid w:val="00987626"/>
    <w:rsid w:val="009876D6"/>
    <w:rsid w:val="009876F7"/>
    <w:rsid w:val="00987843"/>
    <w:rsid w:val="009879DC"/>
    <w:rsid w:val="00990105"/>
    <w:rsid w:val="009904F2"/>
    <w:rsid w:val="009905CD"/>
    <w:rsid w:val="009906EB"/>
    <w:rsid w:val="009907F1"/>
    <w:rsid w:val="00990D4A"/>
    <w:rsid w:val="009910B6"/>
    <w:rsid w:val="00991114"/>
    <w:rsid w:val="009912C6"/>
    <w:rsid w:val="0099130F"/>
    <w:rsid w:val="0099177F"/>
    <w:rsid w:val="0099182A"/>
    <w:rsid w:val="009919CB"/>
    <w:rsid w:val="00991ABD"/>
    <w:rsid w:val="00992499"/>
    <w:rsid w:val="00992EA5"/>
    <w:rsid w:val="00992F90"/>
    <w:rsid w:val="0099362A"/>
    <w:rsid w:val="00993739"/>
    <w:rsid w:val="009939DA"/>
    <w:rsid w:val="00993B1C"/>
    <w:rsid w:val="00993D26"/>
    <w:rsid w:val="00994403"/>
    <w:rsid w:val="00994E9D"/>
    <w:rsid w:val="00994FA6"/>
    <w:rsid w:val="0099525C"/>
    <w:rsid w:val="009953F0"/>
    <w:rsid w:val="00995AE9"/>
    <w:rsid w:val="00995AEA"/>
    <w:rsid w:val="0099624C"/>
    <w:rsid w:val="00996363"/>
    <w:rsid w:val="00996726"/>
    <w:rsid w:val="00996999"/>
    <w:rsid w:val="00996A1E"/>
    <w:rsid w:val="0099739B"/>
    <w:rsid w:val="009A0048"/>
    <w:rsid w:val="009A01A1"/>
    <w:rsid w:val="009A044B"/>
    <w:rsid w:val="009A0C05"/>
    <w:rsid w:val="009A0F97"/>
    <w:rsid w:val="009A10D0"/>
    <w:rsid w:val="009A1122"/>
    <w:rsid w:val="009A1DF0"/>
    <w:rsid w:val="009A1E1C"/>
    <w:rsid w:val="009A22AD"/>
    <w:rsid w:val="009A2328"/>
    <w:rsid w:val="009A27BF"/>
    <w:rsid w:val="009A2A33"/>
    <w:rsid w:val="009A2DBB"/>
    <w:rsid w:val="009A2F20"/>
    <w:rsid w:val="009A307E"/>
    <w:rsid w:val="009A30EB"/>
    <w:rsid w:val="009A3790"/>
    <w:rsid w:val="009A3852"/>
    <w:rsid w:val="009A3C99"/>
    <w:rsid w:val="009A4860"/>
    <w:rsid w:val="009A4951"/>
    <w:rsid w:val="009A4B16"/>
    <w:rsid w:val="009A4D68"/>
    <w:rsid w:val="009A52DC"/>
    <w:rsid w:val="009A5333"/>
    <w:rsid w:val="009A53B3"/>
    <w:rsid w:val="009A54D4"/>
    <w:rsid w:val="009A584F"/>
    <w:rsid w:val="009A597A"/>
    <w:rsid w:val="009A5AAE"/>
    <w:rsid w:val="009A62DB"/>
    <w:rsid w:val="009A66A9"/>
    <w:rsid w:val="009A694E"/>
    <w:rsid w:val="009A6E2E"/>
    <w:rsid w:val="009A6FC5"/>
    <w:rsid w:val="009A70DE"/>
    <w:rsid w:val="009A719F"/>
    <w:rsid w:val="009A7834"/>
    <w:rsid w:val="009A7854"/>
    <w:rsid w:val="009A78FB"/>
    <w:rsid w:val="009A7C27"/>
    <w:rsid w:val="009A7C41"/>
    <w:rsid w:val="009B015B"/>
    <w:rsid w:val="009B0329"/>
    <w:rsid w:val="009B03D4"/>
    <w:rsid w:val="009B0C2E"/>
    <w:rsid w:val="009B0E4F"/>
    <w:rsid w:val="009B0FB0"/>
    <w:rsid w:val="009B1029"/>
    <w:rsid w:val="009B166A"/>
    <w:rsid w:val="009B1940"/>
    <w:rsid w:val="009B1A15"/>
    <w:rsid w:val="009B2068"/>
    <w:rsid w:val="009B20D9"/>
    <w:rsid w:val="009B24D5"/>
    <w:rsid w:val="009B26FB"/>
    <w:rsid w:val="009B2A8C"/>
    <w:rsid w:val="009B2B0D"/>
    <w:rsid w:val="009B2F6E"/>
    <w:rsid w:val="009B32AD"/>
    <w:rsid w:val="009B33EC"/>
    <w:rsid w:val="009B3516"/>
    <w:rsid w:val="009B3720"/>
    <w:rsid w:val="009B3A4B"/>
    <w:rsid w:val="009B3B9C"/>
    <w:rsid w:val="009B3E56"/>
    <w:rsid w:val="009B3FD1"/>
    <w:rsid w:val="009B44A1"/>
    <w:rsid w:val="009B44E0"/>
    <w:rsid w:val="009B4672"/>
    <w:rsid w:val="009B4769"/>
    <w:rsid w:val="009B484B"/>
    <w:rsid w:val="009B4E00"/>
    <w:rsid w:val="009B546E"/>
    <w:rsid w:val="009B5A78"/>
    <w:rsid w:val="009B5D15"/>
    <w:rsid w:val="009B5DC9"/>
    <w:rsid w:val="009B67F2"/>
    <w:rsid w:val="009B690E"/>
    <w:rsid w:val="009B6E1C"/>
    <w:rsid w:val="009B7452"/>
    <w:rsid w:val="009B7483"/>
    <w:rsid w:val="009B7DF1"/>
    <w:rsid w:val="009C029C"/>
    <w:rsid w:val="009C0718"/>
    <w:rsid w:val="009C09DD"/>
    <w:rsid w:val="009C0DDC"/>
    <w:rsid w:val="009C12F5"/>
    <w:rsid w:val="009C1390"/>
    <w:rsid w:val="009C1968"/>
    <w:rsid w:val="009C19E4"/>
    <w:rsid w:val="009C19F1"/>
    <w:rsid w:val="009C1E25"/>
    <w:rsid w:val="009C1F24"/>
    <w:rsid w:val="009C26AA"/>
    <w:rsid w:val="009C2BA6"/>
    <w:rsid w:val="009C3210"/>
    <w:rsid w:val="009C32D6"/>
    <w:rsid w:val="009C3386"/>
    <w:rsid w:val="009C33E6"/>
    <w:rsid w:val="009C340B"/>
    <w:rsid w:val="009C3812"/>
    <w:rsid w:val="009C3B34"/>
    <w:rsid w:val="009C3C30"/>
    <w:rsid w:val="009C3F36"/>
    <w:rsid w:val="009C3FCE"/>
    <w:rsid w:val="009C415C"/>
    <w:rsid w:val="009C4505"/>
    <w:rsid w:val="009C4700"/>
    <w:rsid w:val="009C470B"/>
    <w:rsid w:val="009C481F"/>
    <w:rsid w:val="009C4AB4"/>
    <w:rsid w:val="009C52C0"/>
    <w:rsid w:val="009C52D7"/>
    <w:rsid w:val="009C535D"/>
    <w:rsid w:val="009C5624"/>
    <w:rsid w:val="009C6339"/>
    <w:rsid w:val="009C6402"/>
    <w:rsid w:val="009C64DF"/>
    <w:rsid w:val="009C6C30"/>
    <w:rsid w:val="009C6F2D"/>
    <w:rsid w:val="009C6F69"/>
    <w:rsid w:val="009C745B"/>
    <w:rsid w:val="009C7620"/>
    <w:rsid w:val="009C797A"/>
    <w:rsid w:val="009C7B34"/>
    <w:rsid w:val="009C7F9B"/>
    <w:rsid w:val="009C7FD8"/>
    <w:rsid w:val="009D00C5"/>
    <w:rsid w:val="009D00F7"/>
    <w:rsid w:val="009D1315"/>
    <w:rsid w:val="009D142C"/>
    <w:rsid w:val="009D2192"/>
    <w:rsid w:val="009D23C8"/>
    <w:rsid w:val="009D25E7"/>
    <w:rsid w:val="009D27BD"/>
    <w:rsid w:val="009D2843"/>
    <w:rsid w:val="009D29A6"/>
    <w:rsid w:val="009D29AB"/>
    <w:rsid w:val="009D2A5F"/>
    <w:rsid w:val="009D2E44"/>
    <w:rsid w:val="009D323A"/>
    <w:rsid w:val="009D3334"/>
    <w:rsid w:val="009D3722"/>
    <w:rsid w:val="009D37FA"/>
    <w:rsid w:val="009D382C"/>
    <w:rsid w:val="009D39DB"/>
    <w:rsid w:val="009D3C19"/>
    <w:rsid w:val="009D43EF"/>
    <w:rsid w:val="009D4752"/>
    <w:rsid w:val="009D4E24"/>
    <w:rsid w:val="009D519A"/>
    <w:rsid w:val="009D537E"/>
    <w:rsid w:val="009D567F"/>
    <w:rsid w:val="009D5782"/>
    <w:rsid w:val="009D5C56"/>
    <w:rsid w:val="009D5FFA"/>
    <w:rsid w:val="009D64EA"/>
    <w:rsid w:val="009D65F9"/>
    <w:rsid w:val="009D66C7"/>
    <w:rsid w:val="009D67E5"/>
    <w:rsid w:val="009D687C"/>
    <w:rsid w:val="009D6A81"/>
    <w:rsid w:val="009D70D0"/>
    <w:rsid w:val="009D7214"/>
    <w:rsid w:val="009D7466"/>
    <w:rsid w:val="009D7A80"/>
    <w:rsid w:val="009D7BB5"/>
    <w:rsid w:val="009D7D69"/>
    <w:rsid w:val="009D7F4E"/>
    <w:rsid w:val="009E0216"/>
    <w:rsid w:val="009E0453"/>
    <w:rsid w:val="009E0493"/>
    <w:rsid w:val="009E04B0"/>
    <w:rsid w:val="009E04C6"/>
    <w:rsid w:val="009E04CA"/>
    <w:rsid w:val="009E0A07"/>
    <w:rsid w:val="009E0E2D"/>
    <w:rsid w:val="009E19F7"/>
    <w:rsid w:val="009E1CC4"/>
    <w:rsid w:val="009E1D13"/>
    <w:rsid w:val="009E2121"/>
    <w:rsid w:val="009E25CF"/>
    <w:rsid w:val="009E298C"/>
    <w:rsid w:val="009E2A26"/>
    <w:rsid w:val="009E2E1E"/>
    <w:rsid w:val="009E33C4"/>
    <w:rsid w:val="009E3AF4"/>
    <w:rsid w:val="009E3CFA"/>
    <w:rsid w:val="009E4000"/>
    <w:rsid w:val="009E40B9"/>
    <w:rsid w:val="009E4220"/>
    <w:rsid w:val="009E459D"/>
    <w:rsid w:val="009E46AE"/>
    <w:rsid w:val="009E49AC"/>
    <w:rsid w:val="009E4AD1"/>
    <w:rsid w:val="009E535E"/>
    <w:rsid w:val="009E5607"/>
    <w:rsid w:val="009E56CA"/>
    <w:rsid w:val="009E56D7"/>
    <w:rsid w:val="009E57FD"/>
    <w:rsid w:val="009E5D0D"/>
    <w:rsid w:val="009E616F"/>
    <w:rsid w:val="009E634A"/>
    <w:rsid w:val="009E6C56"/>
    <w:rsid w:val="009E6D63"/>
    <w:rsid w:val="009E6E08"/>
    <w:rsid w:val="009E6F5B"/>
    <w:rsid w:val="009E7025"/>
    <w:rsid w:val="009E728C"/>
    <w:rsid w:val="009E79E2"/>
    <w:rsid w:val="009E7AFF"/>
    <w:rsid w:val="009E7C82"/>
    <w:rsid w:val="009E7EA6"/>
    <w:rsid w:val="009F01E5"/>
    <w:rsid w:val="009F03BF"/>
    <w:rsid w:val="009F06C9"/>
    <w:rsid w:val="009F0CD0"/>
    <w:rsid w:val="009F0E75"/>
    <w:rsid w:val="009F0F2A"/>
    <w:rsid w:val="009F10A1"/>
    <w:rsid w:val="009F1218"/>
    <w:rsid w:val="009F12AB"/>
    <w:rsid w:val="009F18E0"/>
    <w:rsid w:val="009F1A41"/>
    <w:rsid w:val="009F1CFA"/>
    <w:rsid w:val="009F1D0B"/>
    <w:rsid w:val="009F246D"/>
    <w:rsid w:val="009F2B33"/>
    <w:rsid w:val="009F2C42"/>
    <w:rsid w:val="009F2D23"/>
    <w:rsid w:val="009F2F4E"/>
    <w:rsid w:val="009F3072"/>
    <w:rsid w:val="009F3474"/>
    <w:rsid w:val="009F3540"/>
    <w:rsid w:val="009F395F"/>
    <w:rsid w:val="009F3A31"/>
    <w:rsid w:val="009F3C99"/>
    <w:rsid w:val="009F3D94"/>
    <w:rsid w:val="009F40F1"/>
    <w:rsid w:val="009F46BA"/>
    <w:rsid w:val="009F4895"/>
    <w:rsid w:val="009F491C"/>
    <w:rsid w:val="009F4B0B"/>
    <w:rsid w:val="009F4FEC"/>
    <w:rsid w:val="009F54FC"/>
    <w:rsid w:val="009F57AB"/>
    <w:rsid w:val="009F57FE"/>
    <w:rsid w:val="009F59C7"/>
    <w:rsid w:val="009F5FCB"/>
    <w:rsid w:val="009F5FDA"/>
    <w:rsid w:val="009F6A46"/>
    <w:rsid w:val="009F6B4C"/>
    <w:rsid w:val="009F6F22"/>
    <w:rsid w:val="009F6FD2"/>
    <w:rsid w:val="009F7099"/>
    <w:rsid w:val="009F731F"/>
    <w:rsid w:val="009F79C1"/>
    <w:rsid w:val="009F7EA2"/>
    <w:rsid w:val="00A00155"/>
    <w:rsid w:val="00A00546"/>
    <w:rsid w:val="00A005EC"/>
    <w:rsid w:val="00A006E0"/>
    <w:rsid w:val="00A007C4"/>
    <w:rsid w:val="00A0093E"/>
    <w:rsid w:val="00A009A9"/>
    <w:rsid w:val="00A00AFE"/>
    <w:rsid w:val="00A00F74"/>
    <w:rsid w:val="00A010C5"/>
    <w:rsid w:val="00A011B4"/>
    <w:rsid w:val="00A012AF"/>
    <w:rsid w:val="00A012C4"/>
    <w:rsid w:val="00A016C2"/>
    <w:rsid w:val="00A01720"/>
    <w:rsid w:val="00A01D08"/>
    <w:rsid w:val="00A01E64"/>
    <w:rsid w:val="00A02A8B"/>
    <w:rsid w:val="00A03433"/>
    <w:rsid w:val="00A03F47"/>
    <w:rsid w:val="00A0465F"/>
    <w:rsid w:val="00A0488C"/>
    <w:rsid w:val="00A04E82"/>
    <w:rsid w:val="00A04F20"/>
    <w:rsid w:val="00A0504D"/>
    <w:rsid w:val="00A05433"/>
    <w:rsid w:val="00A0567E"/>
    <w:rsid w:val="00A057A6"/>
    <w:rsid w:val="00A058D6"/>
    <w:rsid w:val="00A05AB9"/>
    <w:rsid w:val="00A05E44"/>
    <w:rsid w:val="00A06282"/>
    <w:rsid w:val="00A062A0"/>
    <w:rsid w:val="00A064D8"/>
    <w:rsid w:val="00A06914"/>
    <w:rsid w:val="00A069DC"/>
    <w:rsid w:val="00A06D29"/>
    <w:rsid w:val="00A06E88"/>
    <w:rsid w:val="00A0704D"/>
    <w:rsid w:val="00A07221"/>
    <w:rsid w:val="00A07601"/>
    <w:rsid w:val="00A0780B"/>
    <w:rsid w:val="00A0784C"/>
    <w:rsid w:val="00A079ED"/>
    <w:rsid w:val="00A07FC6"/>
    <w:rsid w:val="00A103E6"/>
    <w:rsid w:val="00A10599"/>
    <w:rsid w:val="00A10969"/>
    <w:rsid w:val="00A10F47"/>
    <w:rsid w:val="00A112F1"/>
    <w:rsid w:val="00A11529"/>
    <w:rsid w:val="00A11530"/>
    <w:rsid w:val="00A1258F"/>
    <w:rsid w:val="00A12930"/>
    <w:rsid w:val="00A12A68"/>
    <w:rsid w:val="00A12CAF"/>
    <w:rsid w:val="00A12D58"/>
    <w:rsid w:val="00A131AF"/>
    <w:rsid w:val="00A138DC"/>
    <w:rsid w:val="00A13EEC"/>
    <w:rsid w:val="00A13EFE"/>
    <w:rsid w:val="00A13F3B"/>
    <w:rsid w:val="00A13F97"/>
    <w:rsid w:val="00A140AB"/>
    <w:rsid w:val="00A14379"/>
    <w:rsid w:val="00A1438A"/>
    <w:rsid w:val="00A14655"/>
    <w:rsid w:val="00A14941"/>
    <w:rsid w:val="00A149CA"/>
    <w:rsid w:val="00A14C81"/>
    <w:rsid w:val="00A14EAF"/>
    <w:rsid w:val="00A150D6"/>
    <w:rsid w:val="00A1580C"/>
    <w:rsid w:val="00A15CB0"/>
    <w:rsid w:val="00A16023"/>
    <w:rsid w:val="00A16044"/>
    <w:rsid w:val="00A167D0"/>
    <w:rsid w:val="00A167E7"/>
    <w:rsid w:val="00A16BD3"/>
    <w:rsid w:val="00A16D32"/>
    <w:rsid w:val="00A16E7A"/>
    <w:rsid w:val="00A171C4"/>
    <w:rsid w:val="00A173F8"/>
    <w:rsid w:val="00A174D6"/>
    <w:rsid w:val="00A17634"/>
    <w:rsid w:val="00A17CBE"/>
    <w:rsid w:val="00A20152"/>
    <w:rsid w:val="00A203B9"/>
    <w:rsid w:val="00A2050B"/>
    <w:rsid w:val="00A20739"/>
    <w:rsid w:val="00A20F41"/>
    <w:rsid w:val="00A213A9"/>
    <w:rsid w:val="00A21680"/>
    <w:rsid w:val="00A217EA"/>
    <w:rsid w:val="00A218F1"/>
    <w:rsid w:val="00A21FA8"/>
    <w:rsid w:val="00A22100"/>
    <w:rsid w:val="00A22146"/>
    <w:rsid w:val="00A22162"/>
    <w:rsid w:val="00A22418"/>
    <w:rsid w:val="00A224DE"/>
    <w:rsid w:val="00A22886"/>
    <w:rsid w:val="00A228B0"/>
    <w:rsid w:val="00A231C2"/>
    <w:rsid w:val="00A2368A"/>
    <w:rsid w:val="00A24204"/>
    <w:rsid w:val="00A24221"/>
    <w:rsid w:val="00A24354"/>
    <w:rsid w:val="00A245F5"/>
    <w:rsid w:val="00A24618"/>
    <w:rsid w:val="00A24652"/>
    <w:rsid w:val="00A24C51"/>
    <w:rsid w:val="00A24EA1"/>
    <w:rsid w:val="00A251E2"/>
    <w:rsid w:val="00A25B82"/>
    <w:rsid w:val="00A25C1E"/>
    <w:rsid w:val="00A25D17"/>
    <w:rsid w:val="00A25DFB"/>
    <w:rsid w:val="00A25E82"/>
    <w:rsid w:val="00A26015"/>
    <w:rsid w:val="00A26063"/>
    <w:rsid w:val="00A2647D"/>
    <w:rsid w:val="00A268CB"/>
    <w:rsid w:val="00A26ADF"/>
    <w:rsid w:val="00A27869"/>
    <w:rsid w:val="00A279D1"/>
    <w:rsid w:val="00A279EC"/>
    <w:rsid w:val="00A27FD2"/>
    <w:rsid w:val="00A30208"/>
    <w:rsid w:val="00A30272"/>
    <w:rsid w:val="00A3027A"/>
    <w:rsid w:val="00A30298"/>
    <w:rsid w:val="00A304F1"/>
    <w:rsid w:val="00A30BA9"/>
    <w:rsid w:val="00A30CBA"/>
    <w:rsid w:val="00A30D61"/>
    <w:rsid w:val="00A30F4C"/>
    <w:rsid w:val="00A311B2"/>
    <w:rsid w:val="00A3125C"/>
    <w:rsid w:val="00A317F3"/>
    <w:rsid w:val="00A31A23"/>
    <w:rsid w:val="00A31A8E"/>
    <w:rsid w:val="00A31B86"/>
    <w:rsid w:val="00A31D9F"/>
    <w:rsid w:val="00A31FFB"/>
    <w:rsid w:val="00A323D6"/>
    <w:rsid w:val="00A32977"/>
    <w:rsid w:val="00A32C00"/>
    <w:rsid w:val="00A32CBA"/>
    <w:rsid w:val="00A32E70"/>
    <w:rsid w:val="00A3335F"/>
    <w:rsid w:val="00A337BE"/>
    <w:rsid w:val="00A338DF"/>
    <w:rsid w:val="00A33AB5"/>
    <w:rsid w:val="00A33E94"/>
    <w:rsid w:val="00A34415"/>
    <w:rsid w:val="00A34831"/>
    <w:rsid w:val="00A35380"/>
    <w:rsid w:val="00A354C8"/>
    <w:rsid w:val="00A35644"/>
    <w:rsid w:val="00A357B4"/>
    <w:rsid w:val="00A35B44"/>
    <w:rsid w:val="00A361BD"/>
    <w:rsid w:val="00A36832"/>
    <w:rsid w:val="00A36938"/>
    <w:rsid w:val="00A3699B"/>
    <w:rsid w:val="00A36E31"/>
    <w:rsid w:val="00A36FAF"/>
    <w:rsid w:val="00A36FC4"/>
    <w:rsid w:val="00A370B9"/>
    <w:rsid w:val="00A3722E"/>
    <w:rsid w:val="00A375AC"/>
    <w:rsid w:val="00A37897"/>
    <w:rsid w:val="00A40223"/>
    <w:rsid w:val="00A4046C"/>
    <w:rsid w:val="00A404BC"/>
    <w:rsid w:val="00A406C3"/>
    <w:rsid w:val="00A407EC"/>
    <w:rsid w:val="00A407F1"/>
    <w:rsid w:val="00A4083E"/>
    <w:rsid w:val="00A40A7D"/>
    <w:rsid w:val="00A40ADB"/>
    <w:rsid w:val="00A417A6"/>
    <w:rsid w:val="00A41AEC"/>
    <w:rsid w:val="00A41BCA"/>
    <w:rsid w:val="00A41C63"/>
    <w:rsid w:val="00A41D40"/>
    <w:rsid w:val="00A420BA"/>
    <w:rsid w:val="00A420F9"/>
    <w:rsid w:val="00A42214"/>
    <w:rsid w:val="00A42361"/>
    <w:rsid w:val="00A4236A"/>
    <w:rsid w:val="00A42731"/>
    <w:rsid w:val="00A427B2"/>
    <w:rsid w:val="00A42D39"/>
    <w:rsid w:val="00A42EB4"/>
    <w:rsid w:val="00A42F0C"/>
    <w:rsid w:val="00A4309D"/>
    <w:rsid w:val="00A43362"/>
    <w:rsid w:val="00A43650"/>
    <w:rsid w:val="00A436F2"/>
    <w:rsid w:val="00A43BCB"/>
    <w:rsid w:val="00A44393"/>
    <w:rsid w:val="00A4454F"/>
    <w:rsid w:val="00A44A46"/>
    <w:rsid w:val="00A45108"/>
    <w:rsid w:val="00A4522F"/>
    <w:rsid w:val="00A45739"/>
    <w:rsid w:val="00A45907"/>
    <w:rsid w:val="00A45F43"/>
    <w:rsid w:val="00A45FC4"/>
    <w:rsid w:val="00A46106"/>
    <w:rsid w:val="00A462F7"/>
    <w:rsid w:val="00A4686B"/>
    <w:rsid w:val="00A47276"/>
    <w:rsid w:val="00A47795"/>
    <w:rsid w:val="00A47817"/>
    <w:rsid w:val="00A47A8C"/>
    <w:rsid w:val="00A47B3F"/>
    <w:rsid w:val="00A47C7D"/>
    <w:rsid w:val="00A47D1A"/>
    <w:rsid w:val="00A47D5E"/>
    <w:rsid w:val="00A50328"/>
    <w:rsid w:val="00A50621"/>
    <w:rsid w:val="00A50D76"/>
    <w:rsid w:val="00A51513"/>
    <w:rsid w:val="00A5184D"/>
    <w:rsid w:val="00A5185C"/>
    <w:rsid w:val="00A519CD"/>
    <w:rsid w:val="00A51C32"/>
    <w:rsid w:val="00A51EEA"/>
    <w:rsid w:val="00A5207B"/>
    <w:rsid w:val="00A5236A"/>
    <w:rsid w:val="00A52AAC"/>
    <w:rsid w:val="00A52ED9"/>
    <w:rsid w:val="00A52F78"/>
    <w:rsid w:val="00A53339"/>
    <w:rsid w:val="00A53613"/>
    <w:rsid w:val="00A53BB1"/>
    <w:rsid w:val="00A53BCA"/>
    <w:rsid w:val="00A53C18"/>
    <w:rsid w:val="00A5401C"/>
    <w:rsid w:val="00A54258"/>
    <w:rsid w:val="00A5434D"/>
    <w:rsid w:val="00A54AFE"/>
    <w:rsid w:val="00A54B85"/>
    <w:rsid w:val="00A54E3F"/>
    <w:rsid w:val="00A555E6"/>
    <w:rsid w:val="00A556F8"/>
    <w:rsid w:val="00A55977"/>
    <w:rsid w:val="00A55D22"/>
    <w:rsid w:val="00A55DB6"/>
    <w:rsid w:val="00A56B44"/>
    <w:rsid w:val="00A56DBB"/>
    <w:rsid w:val="00A56FA9"/>
    <w:rsid w:val="00A57343"/>
    <w:rsid w:val="00A57539"/>
    <w:rsid w:val="00A57D41"/>
    <w:rsid w:val="00A57DBD"/>
    <w:rsid w:val="00A57E2C"/>
    <w:rsid w:val="00A57E39"/>
    <w:rsid w:val="00A57EEC"/>
    <w:rsid w:val="00A6013E"/>
    <w:rsid w:val="00A60386"/>
    <w:rsid w:val="00A6079C"/>
    <w:rsid w:val="00A60B3E"/>
    <w:rsid w:val="00A60B88"/>
    <w:rsid w:val="00A60BC9"/>
    <w:rsid w:val="00A60CEF"/>
    <w:rsid w:val="00A61096"/>
    <w:rsid w:val="00A61671"/>
    <w:rsid w:val="00A61680"/>
    <w:rsid w:val="00A618C7"/>
    <w:rsid w:val="00A619C9"/>
    <w:rsid w:val="00A61AEC"/>
    <w:rsid w:val="00A61B84"/>
    <w:rsid w:val="00A62370"/>
    <w:rsid w:val="00A627E4"/>
    <w:rsid w:val="00A628CE"/>
    <w:rsid w:val="00A62ABB"/>
    <w:rsid w:val="00A62AD6"/>
    <w:rsid w:val="00A62E55"/>
    <w:rsid w:val="00A62FF3"/>
    <w:rsid w:val="00A63C08"/>
    <w:rsid w:val="00A63C13"/>
    <w:rsid w:val="00A63D72"/>
    <w:rsid w:val="00A63D83"/>
    <w:rsid w:val="00A64374"/>
    <w:rsid w:val="00A64A30"/>
    <w:rsid w:val="00A64FC5"/>
    <w:rsid w:val="00A65086"/>
    <w:rsid w:val="00A6515D"/>
    <w:rsid w:val="00A6653B"/>
    <w:rsid w:val="00A6685C"/>
    <w:rsid w:val="00A66914"/>
    <w:rsid w:val="00A66977"/>
    <w:rsid w:val="00A66ADF"/>
    <w:rsid w:val="00A66BD7"/>
    <w:rsid w:val="00A67257"/>
    <w:rsid w:val="00A673A4"/>
    <w:rsid w:val="00A6765F"/>
    <w:rsid w:val="00A679EE"/>
    <w:rsid w:val="00A70071"/>
    <w:rsid w:val="00A70918"/>
    <w:rsid w:val="00A70984"/>
    <w:rsid w:val="00A70A10"/>
    <w:rsid w:val="00A70B30"/>
    <w:rsid w:val="00A70EE4"/>
    <w:rsid w:val="00A71A0C"/>
    <w:rsid w:val="00A71AF4"/>
    <w:rsid w:val="00A7253E"/>
    <w:rsid w:val="00A72EDC"/>
    <w:rsid w:val="00A73216"/>
    <w:rsid w:val="00A733D8"/>
    <w:rsid w:val="00A739E6"/>
    <w:rsid w:val="00A739F6"/>
    <w:rsid w:val="00A73BDE"/>
    <w:rsid w:val="00A73CB9"/>
    <w:rsid w:val="00A73FC5"/>
    <w:rsid w:val="00A7401A"/>
    <w:rsid w:val="00A74399"/>
    <w:rsid w:val="00A74760"/>
    <w:rsid w:val="00A74B7A"/>
    <w:rsid w:val="00A74C82"/>
    <w:rsid w:val="00A74E0F"/>
    <w:rsid w:val="00A752AF"/>
    <w:rsid w:val="00A759C5"/>
    <w:rsid w:val="00A75B77"/>
    <w:rsid w:val="00A75F44"/>
    <w:rsid w:val="00A76892"/>
    <w:rsid w:val="00A768B9"/>
    <w:rsid w:val="00A76965"/>
    <w:rsid w:val="00A76A38"/>
    <w:rsid w:val="00A76A44"/>
    <w:rsid w:val="00A76C3C"/>
    <w:rsid w:val="00A76E34"/>
    <w:rsid w:val="00A77184"/>
    <w:rsid w:val="00A771DC"/>
    <w:rsid w:val="00A77295"/>
    <w:rsid w:val="00A77961"/>
    <w:rsid w:val="00A77A0B"/>
    <w:rsid w:val="00A802E6"/>
    <w:rsid w:val="00A804E6"/>
    <w:rsid w:val="00A804F8"/>
    <w:rsid w:val="00A80527"/>
    <w:rsid w:val="00A806EC"/>
    <w:rsid w:val="00A80733"/>
    <w:rsid w:val="00A80B21"/>
    <w:rsid w:val="00A80B7E"/>
    <w:rsid w:val="00A80BEF"/>
    <w:rsid w:val="00A80D87"/>
    <w:rsid w:val="00A817C9"/>
    <w:rsid w:val="00A817FD"/>
    <w:rsid w:val="00A81AB7"/>
    <w:rsid w:val="00A81CCD"/>
    <w:rsid w:val="00A824D4"/>
    <w:rsid w:val="00A8263C"/>
    <w:rsid w:val="00A82657"/>
    <w:rsid w:val="00A8281A"/>
    <w:rsid w:val="00A82955"/>
    <w:rsid w:val="00A829CF"/>
    <w:rsid w:val="00A82A02"/>
    <w:rsid w:val="00A82D45"/>
    <w:rsid w:val="00A82F61"/>
    <w:rsid w:val="00A83E6F"/>
    <w:rsid w:val="00A8408C"/>
    <w:rsid w:val="00A8423B"/>
    <w:rsid w:val="00A843D8"/>
    <w:rsid w:val="00A8463C"/>
    <w:rsid w:val="00A8482A"/>
    <w:rsid w:val="00A8493A"/>
    <w:rsid w:val="00A84C04"/>
    <w:rsid w:val="00A84C6D"/>
    <w:rsid w:val="00A84CD8"/>
    <w:rsid w:val="00A84DE0"/>
    <w:rsid w:val="00A84FD0"/>
    <w:rsid w:val="00A84FF1"/>
    <w:rsid w:val="00A85158"/>
    <w:rsid w:val="00A851E4"/>
    <w:rsid w:val="00A85285"/>
    <w:rsid w:val="00A852B1"/>
    <w:rsid w:val="00A852EB"/>
    <w:rsid w:val="00A85426"/>
    <w:rsid w:val="00A85576"/>
    <w:rsid w:val="00A858A1"/>
    <w:rsid w:val="00A85A52"/>
    <w:rsid w:val="00A85A9B"/>
    <w:rsid w:val="00A85B9E"/>
    <w:rsid w:val="00A863E2"/>
    <w:rsid w:val="00A86558"/>
    <w:rsid w:val="00A865FC"/>
    <w:rsid w:val="00A86941"/>
    <w:rsid w:val="00A86C2D"/>
    <w:rsid w:val="00A86DDA"/>
    <w:rsid w:val="00A86FD3"/>
    <w:rsid w:val="00A872E3"/>
    <w:rsid w:val="00A875AA"/>
    <w:rsid w:val="00A87671"/>
    <w:rsid w:val="00A87D7E"/>
    <w:rsid w:val="00A87D8B"/>
    <w:rsid w:val="00A87F0F"/>
    <w:rsid w:val="00A9009B"/>
    <w:rsid w:val="00A90163"/>
    <w:rsid w:val="00A904F1"/>
    <w:rsid w:val="00A90ADC"/>
    <w:rsid w:val="00A90BE1"/>
    <w:rsid w:val="00A9110D"/>
    <w:rsid w:val="00A91863"/>
    <w:rsid w:val="00A91A2D"/>
    <w:rsid w:val="00A91CC4"/>
    <w:rsid w:val="00A91CCB"/>
    <w:rsid w:val="00A920B2"/>
    <w:rsid w:val="00A9222A"/>
    <w:rsid w:val="00A9284F"/>
    <w:rsid w:val="00A9298B"/>
    <w:rsid w:val="00A92AA7"/>
    <w:rsid w:val="00A92FAB"/>
    <w:rsid w:val="00A93341"/>
    <w:rsid w:val="00A93397"/>
    <w:rsid w:val="00A93561"/>
    <w:rsid w:val="00A93A40"/>
    <w:rsid w:val="00A94017"/>
    <w:rsid w:val="00A94FC8"/>
    <w:rsid w:val="00A9528F"/>
    <w:rsid w:val="00A95428"/>
    <w:rsid w:val="00A95A14"/>
    <w:rsid w:val="00A95A5B"/>
    <w:rsid w:val="00A95D9D"/>
    <w:rsid w:val="00A9615B"/>
    <w:rsid w:val="00A96189"/>
    <w:rsid w:val="00A9651D"/>
    <w:rsid w:val="00A966C0"/>
    <w:rsid w:val="00A96AB0"/>
    <w:rsid w:val="00A96C0E"/>
    <w:rsid w:val="00A96DAE"/>
    <w:rsid w:val="00A9701C"/>
    <w:rsid w:val="00A971A1"/>
    <w:rsid w:val="00A9777D"/>
    <w:rsid w:val="00A97A6A"/>
    <w:rsid w:val="00A97AE7"/>
    <w:rsid w:val="00A97DB8"/>
    <w:rsid w:val="00AA0795"/>
    <w:rsid w:val="00AA0CD9"/>
    <w:rsid w:val="00AA0CEE"/>
    <w:rsid w:val="00AA1327"/>
    <w:rsid w:val="00AA14D6"/>
    <w:rsid w:val="00AA155C"/>
    <w:rsid w:val="00AA1628"/>
    <w:rsid w:val="00AA1A8B"/>
    <w:rsid w:val="00AA1BB4"/>
    <w:rsid w:val="00AA1C6B"/>
    <w:rsid w:val="00AA2491"/>
    <w:rsid w:val="00AA2617"/>
    <w:rsid w:val="00AA2F5F"/>
    <w:rsid w:val="00AA2F9F"/>
    <w:rsid w:val="00AA30B6"/>
    <w:rsid w:val="00AA341A"/>
    <w:rsid w:val="00AA372C"/>
    <w:rsid w:val="00AA3AD3"/>
    <w:rsid w:val="00AA3CC9"/>
    <w:rsid w:val="00AA4077"/>
    <w:rsid w:val="00AA40B6"/>
    <w:rsid w:val="00AA4468"/>
    <w:rsid w:val="00AA4813"/>
    <w:rsid w:val="00AA4976"/>
    <w:rsid w:val="00AA49DB"/>
    <w:rsid w:val="00AA4B30"/>
    <w:rsid w:val="00AA4BFD"/>
    <w:rsid w:val="00AA4F38"/>
    <w:rsid w:val="00AA4FBF"/>
    <w:rsid w:val="00AA512E"/>
    <w:rsid w:val="00AA559E"/>
    <w:rsid w:val="00AA5852"/>
    <w:rsid w:val="00AA5C56"/>
    <w:rsid w:val="00AA5CAB"/>
    <w:rsid w:val="00AA5D36"/>
    <w:rsid w:val="00AA60C5"/>
    <w:rsid w:val="00AA641A"/>
    <w:rsid w:val="00AA7239"/>
    <w:rsid w:val="00AA7249"/>
    <w:rsid w:val="00AA74B0"/>
    <w:rsid w:val="00AA77AB"/>
    <w:rsid w:val="00AA79C3"/>
    <w:rsid w:val="00AA7C4E"/>
    <w:rsid w:val="00AA7CCD"/>
    <w:rsid w:val="00AB0040"/>
    <w:rsid w:val="00AB028E"/>
    <w:rsid w:val="00AB055F"/>
    <w:rsid w:val="00AB062C"/>
    <w:rsid w:val="00AB06B2"/>
    <w:rsid w:val="00AB0F05"/>
    <w:rsid w:val="00AB13F5"/>
    <w:rsid w:val="00AB16D8"/>
    <w:rsid w:val="00AB1845"/>
    <w:rsid w:val="00AB1DB1"/>
    <w:rsid w:val="00AB1F37"/>
    <w:rsid w:val="00AB21AF"/>
    <w:rsid w:val="00AB21DA"/>
    <w:rsid w:val="00AB2341"/>
    <w:rsid w:val="00AB2388"/>
    <w:rsid w:val="00AB2544"/>
    <w:rsid w:val="00AB2666"/>
    <w:rsid w:val="00AB28E0"/>
    <w:rsid w:val="00AB29A7"/>
    <w:rsid w:val="00AB2B58"/>
    <w:rsid w:val="00AB2B6A"/>
    <w:rsid w:val="00AB2DEE"/>
    <w:rsid w:val="00AB2F76"/>
    <w:rsid w:val="00AB300D"/>
    <w:rsid w:val="00AB3346"/>
    <w:rsid w:val="00AB38CA"/>
    <w:rsid w:val="00AB3B2A"/>
    <w:rsid w:val="00AB46BC"/>
    <w:rsid w:val="00AB4799"/>
    <w:rsid w:val="00AB491F"/>
    <w:rsid w:val="00AB5196"/>
    <w:rsid w:val="00AB520B"/>
    <w:rsid w:val="00AB5430"/>
    <w:rsid w:val="00AB543E"/>
    <w:rsid w:val="00AB580D"/>
    <w:rsid w:val="00AB5820"/>
    <w:rsid w:val="00AB5C0F"/>
    <w:rsid w:val="00AB5F86"/>
    <w:rsid w:val="00AB64AF"/>
    <w:rsid w:val="00AB6F0F"/>
    <w:rsid w:val="00AB725B"/>
    <w:rsid w:val="00AB7783"/>
    <w:rsid w:val="00AB77DC"/>
    <w:rsid w:val="00AB799B"/>
    <w:rsid w:val="00AB7CB1"/>
    <w:rsid w:val="00AB7E41"/>
    <w:rsid w:val="00AC018D"/>
    <w:rsid w:val="00AC0492"/>
    <w:rsid w:val="00AC0610"/>
    <w:rsid w:val="00AC0676"/>
    <w:rsid w:val="00AC0996"/>
    <w:rsid w:val="00AC099F"/>
    <w:rsid w:val="00AC0B14"/>
    <w:rsid w:val="00AC1023"/>
    <w:rsid w:val="00AC144D"/>
    <w:rsid w:val="00AC17A3"/>
    <w:rsid w:val="00AC17C0"/>
    <w:rsid w:val="00AC185C"/>
    <w:rsid w:val="00AC1B3C"/>
    <w:rsid w:val="00AC2EEA"/>
    <w:rsid w:val="00AC30BB"/>
    <w:rsid w:val="00AC3983"/>
    <w:rsid w:val="00AC3A2D"/>
    <w:rsid w:val="00AC3AB4"/>
    <w:rsid w:val="00AC4442"/>
    <w:rsid w:val="00AC4468"/>
    <w:rsid w:val="00AC4494"/>
    <w:rsid w:val="00AC4DF0"/>
    <w:rsid w:val="00AC53A4"/>
    <w:rsid w:val="00AC58C2"/>
    <w:rsid w:val="00AC5C49"/>
    <w:rsid w:val="00AC5FAA"/>
    <w:rsid w:val="00AC60DC"/>
    <w:rsid w:val="00AC64CB"/>
    <w:rsid w:val="00AC67BE"/>
    <w:rsid w:val="00AC6CBC"/>
    <w:rsid w:val="00AC7084"/>
    <w:rsid w:val="00AC7510"/>
    <w:rsid w:val="00AC7841"/>
    <w:rsid w:val="00AD0241"/>
    <w:rsid w:val="00AD06CA"/>
    <w:rsid w:val="00AD0B1B"/>
    <w:rsid w:val="00AD0C86"/>
    <w:rsid w:val="00AD0D35"/>
    <w:rsid w:val="00AD139C"/>
    <w:rsid w:val="00AD15B3"/>
    <w:rsid w:val="00AD15F4"/>
    <w:rsid w:val="00AD1AB2"/>
    <w:rsid w:val="00AD1C1B"/>
    <w:rsid w:val="00AD225F"/>
    <w:rsid w:val="00AD28A3"/>
    <w:rsid w:val="00AD2A7F"/>
    <w:rsid w:val="00AD2BE3"/>
    <w:rsid w:val="00AD34EA"/>
    <w:rsid w:val="00AD35A8"/>
    <w:rsid w:val="00AD3840"/>
    <w:rsid w:val="00AD3879"/>
    <w:rsid w:val="00AD3B03"/>
    <w:rsid w:val="00AD40D7"/>
    <w:rsid w:val="00AD4869"/>
    <w:rsid w:val="00AD486A"/>
    <w:rsid w:val="00AD4ED5"/>
    <w:rsid w:val="00AD4F41"/>
    <w:rsid w:val="00AD5357"/>
    <w:rsid w:val="00AD5435"/>
    <w:rsid w:val="00AD56B8"/>
    <w:rsid w:val="00AD572F"/>
    <w:rsid w:val="00AD6576"/>
    <w:rsid w:val="00AD68DF"/>
    <w:rsid w:val="00AD6A7D"/>
    <w:rsid w:val="00AD6F21"/>
    <w:rsid w:val="00AD7511"/>
    <w:rsid w:val="00AD7527"/>
    <w:rsid w:val="00AD78C6"/>
    <w:rsid w:val="00AD7B90"/>
    <w:rsid w:val="00AE03FE"/>
    <w:rsid w:val="00AE0639"/>
    <w:rsid w:val="00AE07DE"/>
    <w:rsid w:val="00AE0873"/>
    <w:rsid w:val="00AE08D1"/>
    <w:rsid w:val="00AE0C64"/>
    <w:rsid w:val="00AE0D62"/>
    <w:rsid w:val="00AE1608"/>
    <w:rsid w:val="00AE16C8"/>
    <w:rsid w:val="00AE1CAE"/>
    <w:rsid w:val="00AE1E1D"/>
    <w:rsid w:val="00AE1EB2"/>
    <w:rsid w:val="00AE1F90"/>
    <w:rsid w:val="00AE2BBE"/>
    <w:rsid w:val="00AE2FE3"/>
    <w:rsid w:val="00AE311D"/>
    <w:rsid w:val="00AE3DA7"/>
    <w:rsid w:val="00AE47E7"/>
    <w:rsid w:val="00AE47FD"/>
    <w:rsid w:val="00AE488F"/>
    <w:rsid w:val="00AE4CB2"/>
    <w:rsid w:val="00AE4DF8"/>
    <w:rsid w:val="00AE503F"/>
    <w:rsid w:val="00AE50BE"/>
    <w:rsid w:val="00AE526E"/>
    <w:rsid w:val="00AE5554"/>
    <w:rsid w:val="00AE5635"/>
    <w:rsid w:val="00AE5906"/>
    <w:rsid w:val="00AE594C"/>
    <w:rsid w:val="00AE5B4B"/>
    <w:rsid w:val="00AE5F28"/>
    <w:rsid w:val="00AE66D7"/>
    <w:rsid w:val="00AE6830"/>
    <w:rsid w:val="00AE7153"/>
    <w:rsid w:val="00AE74C4"/>
    <w:rsid w:val="00AE7CE6"/>
    <w:rsid w:val="00AF004E"/>
    <w:rsid w:val="00AF02C2"/>
    <w:rsid w:val="00AF077A"/>
    <w:rsid w:val="00AF087D"/>
    <w:rsid w:val="00AF0AFA"/>
    <w:rsid w:val="00AF0E2E"/>
    <w:rsid w:val="00AF0E5F"/>
    <w:rsid w:val="00AF12CC"/>
    <w:rsid w:val="00AF1DF6"/>
    <w:rsid w:val="00AF247F"/>
    <w:rsid w:val="00AF27DA"/>
    <w:rsid w:val="00AF282C"/>
    <w:rsid w:val="00AF2849"/>
    <w:rsid w:val="00AF3194"/>
    <w:rsid w:val="00AF32E9"/>
    <w:rsid w:val="00AF3348"/>
    <w:rsid w:val="00AF342B"/>
    <w:rsid w:val="00AF3443"/>
    <w:rsid w:val="00AF38B4"/>
    <w:rsid w:val="00AF3BA9"/>
    <w:rsid w:val="00AF3D6E"/>
    <w:rsid w:val="00AF40EA"/>
    <w:rsid w:val="00AF4246"/>
    <w:rsid w:val="00AF426C"/>
    <w:rsid w:val="00AF45AD"/>
    <w:rsid w:val="00AF4868"/>
    <w:rsid w:val="00AF558B"/>
    <w:rsid w:val="00AF57D6"/>
    <w:rsid w:val="00AF5891"/>
    <w:rsid w:val="00AF5895"/>
    <w:rsid w:val="00AF5909"/>
    <w:rsid w:val="00AF5A96"/>
    <w:rsid w:val="00AF5BD8"/>
    <w:rsid w:val="00AF5CB8"/>
    <w:rsid w:val="00AF601B"/>
    <w:rsid w:val="00AF6231"/>
    <w:rsid w:val="00AF6429"/>
    <w:rsid w:val="00AF65AE"/>
    <w:rsid w:val="00AF65CC"/>
    <w:rsid w:val="00AF695A"/>
    <w:rsid w:val="00AF6961"/>
    <w:rsid w:val="00AF7300"/>
    <w:rsid w:val="00AF775E"/>
    <w:rsid w:val="00AF77F8"/>
    <w:rsid w:val="00AF79F8"/>
    <w:rsid w:val="00AF7BE5"/>
    <w:rsid w:val="00AF7C17"/>
    <w:rsid w:val="00AF7DDB"/>
    <w:rsid w:val="00AF7F1E"/>
    <w:rsid w:val="00B00EF0"/>
    <w:rsid w:val="00B01325"/>
    <w:rsid w:val="00B013BA"/>
    <w:rsid w:val="00B017F5"/>
    <w:rsid w:val="00B019F0"/>
    <w:rsid w:val="00B0234C"/>
    <w:rsid w:val="00B0331D"/>
    <w:rsid w:val="00B0338D"/>
    <w:rsid w:val="00B0350F"/>
    <w:rsid w:val="00B035A8"/>
    <w:rsid w:val="00B037B9"/>
    <w:rsid w:val="00B037FE"/>
    <w:rsid w:val="00B03822"/>
    <w:rsid w:val="00B038B0"/>
    <w:rsid w:val="00B03900"/>
    <w:rsid w:val="00B0404C"/>
    <w:rsid w:val="00B04257"/>
    <w:rsid w:val="00B045FE"/>
    <w:rsid w:val="00B051F9"/>
    <w:rsid w:val="00B052A5"/>
    <w:rsid w:val="00B05350"/>
    <w:rsid w:val="00B05364"/>
    <w:rsid w:val="00B0551A"/>
    <w:rsid w:val="00B05623"/>
    <w:rsid w:val="00B05792"/>
    <w:rsid w:val="00B05955"/>
    <w:rsid w:val="00B05CAA"/>
    <w:rsid w:val="00B061A9"/>
    <w:rsid w:val="00B06BE5"/>
    <w:rsid w:val="00B06C7E"/>
    <w:rsid w:val="00B074AD"/>
    <w:rsid w:val="00B076F3"/>
    <w:rsid w:val="00B0782A"/>
    <w:rsid w:val="00B07A1F"/>
    <w:rsid w:val="00B07B18"/>
    <w:rsid w:val="00B07C39"/>
    <w:rsid w:val="00B10359"/>
    <w:rsid w:val="00B1057F"/>
    <w:rsid w:val="00B10632"/>
    <w:rsid w:val="00B10708"/>
    <w:rsid w:val="00B107A4"/>
    <w:rsid w:val="00B109B1"/>
    <w:rsid w:val="00B10B1D"/>
    <w:rsid w:val="00B10E25"/>
    <w:rsid w:val="00B10F81"/>
    <w:rsid w:val="00B1191B"/>
    <w:rsid w:val="00B11C79"/>
    <w:rsid w:val="00B12AEB"/>
    <w:rsid w:val="00B12F86"/>
    <w:rsid w:val="00B130C6"/>
    <w:rsid w:val="00B1315E"/>
    <w:rsid w:val="00B131E7"/>
    <w:rsid w:val="00B133FC"/>
    <w:rsid w:val="00B134C3"/>
    <w:rsid w:val="00B13B1C"/>
    <w:rsid w:val="00B14515"/>
    <w:rsid w:val="00B149F6"/>
    <w:rsid w:val="00B14A3F"/>
    <w:rsid w:val="00B14A7C"/>
    <w:rsid w:val="00B14BBF"/>
    <w:rsid w:val="00B14E04"/>
    <w:rsid w:val="00B14FD7"/>
    <w:rsid w:val="00B153F4"/>
    <w:rsid w:val="00B15708"/>
    <w:rsid w:val="00B15DE0"/>
    <w:rsid w:val="00B15FC8"/>
    <w:rsid w:val="00B1611B"/>
    <w:rsid w:val="00B16168"/>
    <w:rsid w:val="00B168F3"/>
    <w:rsid w:val="00B16AF9"/>
    <w:rsid w:val="00B16CE0"/>
    <w:rsid w:val="00B17047"/>
    <w:rsid w:val="00B17598"/>
    <w:rsid w:val="00B17683"/>
    <w:rsid w:val="00B176BD"/>
    <w:rsid w:val="00B177D7"/>
    <w:rsid w:val="00B201C0"/>
    <w:rsid w:val="00B20592"/>
    <w:rsid w:val="00B2074F"/>
    <w:rsid w:val="00B208FB"/>
    <w:rsid w:val="00B20B35"/>
    <w:rsid w:val="00B20F59"/>
    <w:rsid w:val="00B210BB"/>
    <w:rsid w:val="00B2132D"/>
    <w:rsid w:val="00B2180F"/>
    <w:rsid w:val="00B21DA6"/>
    <w:rsid w:val="00B223BB"/>
    <w:rsid w:val="00B22618"/>
    <w:rsid w:val="00B22A95"/>
    <w:rsid w:val="00B22D54"/>
    <w:rsid w:val="00B22ED2"/>
    <w:rsid w:val="00B230A1"/>
    <w:rsid w:val="00B231AB"/>
    <w:rsid w:val="00B23419"/>
    <w:rsid w:val="00B23429"/>
    <w:rsid w:val="00B23612"/>
    <w:rsid w:val="00B23EDF"/>
    <w:rsid w:val="00B24286"/>
    <w:rsid w:val="00B24335"/>
    <w:rsid w:val="00B2433F"/>
    <w:rsid w:val="00B2450C"/>
    <w:rsid w:val="00B2459A"/>
    <w:rsid w:val="00B24BD9"/>
    <w:rsid w:val="00B24EB8"/>
    <w:rsid w:val="00B25463"/>
    <w:rsid w:val="00B2549F"/>
    <w:rsid w:val="00B254C4"/>
    <w:rsid w:val="00B256A2"/>
    <w:rsid w:val="00B258D0"/>
    <w:rsid w:val="00B25918"/>
    <w:rsid w:val="00B259C0"/>
    <w:rsid w:val="00B25A93"/>
    <w:rsid w:val="00B25BEB"/>
    <w:rsid w:val="00B25F4D"/>
    <w:rsid w:val="00B26024"/>
    <w:rsid w:val="00B263DB"/>
    <w:rsid w:val="00B2680B"/>
    <w:rsid w:val="00B26CE9"/>
    <w:rsid w:val="00B26D07"/>
    <w:rsid w:val="00B26EC4"/>
    <w:rsid w:val="00B2705C"/>
    <w:rsid w:val="00B27962"/>
    <w:rsid w:val="00B303C8"/>
    <w:rsid w:val="00B30E16"/>
    <w:rsid w:val="00B30F3A"/>
    <w:rsid w:val="00B310EF"/>
    <w:rsid w:val="00B3147B"/>
    <w:rsid w:val="00B31EF2"/>
    <w:rsid w:val="00B3206C"/>
    <w:rsid w:val="00B32DAA"/>
    <w:rsid w:val="00B32EAA"/>
    <w:rsid w:val="00B3320B"/>
    <w:rsid w:val="00B334CA"/>
    <w:rsid w:val="00B33DDD"/>
    <w:rsid w:val="00B33F46"/>
    <w:rsid w:val="00B3451F"/>
    <w:rsid w:val="00B34BDB"/>
    <w:rsid w:val="00B3527C"/>
    <w:rsid w:val="00B35A30"/>
    <w:rsid w:val="00B35CD3"/>
    <w:rsid w:val="00B35DE5"/>
    <w:rsid w:val="00B35E18"/>
    <w:rsid w:val="00B35E74"/>
    <w:rsid w:val="00B36566"/>
    <w:rsid w:val="00B36791"/>
    <w:rsid w:val="00B367F3"/>
    <w:rsid w:val="00B36B6F"/>
    <w:rsid w:val="00B3700D"/>
    <w:rsid w:val="00B37241"/>
    <w:rsid w:val="00B37252"/>
    <w:rsid w:val="00B37609"/>
    <w:rsid w:val="00B378D2"/>
    <w:rsid w:val="00B4018A"/>
    <w:rsid w:val="00B40571"/>
    <w:rsid w:val="00B40891"/>
    <w:rsid w:val="00B408FE"/>
    <w:rsid w:val="00B40ABB"/>
    <w:rsid w:val="00B40F4B"/>
    <w:rsid w:val="00B4112C"/>
    <w:rsid w:val="00B41522"/>
    <w:rsid w:val="00B41629"/>
    <w:rsid w:val="00B41700"/>
    <w:rsid w:val="00B41A07"/>
    <w:rsid w:val="00B41D93"/>
    <w:rsid w:val="00B42126"/>
    <w:rsid w:val="00B42B8F"/>
    <w:rsid w:val="00B42D78"/>
    <w:rsid w:val="00B43065"/>
    <w:rsid w:val="00B43299"/>
    <w:rsid w:val="00B4330E"/>
    <w:rsid w:val="00B43E09"/>
    <w:rsid w:val="00B4422D"/>
    <w:rsid w:val="00B445BD"/>
    <w:rsid w:val="00B4484B"/>
    <w:rsid w:val="00B44D14"/>
    <w:rsid w:val="00B44E28"/>
    <w:rsid w:val="00B44E86"/>
    <w:rsid w:val="00B44FF1"/>
    <w:rsid w:val="00B45090"/>
    <w:rsid w:val="00B452F9"/>
    <w:rsid w:val="00B45348"/>
    <w:rsid w:val="00B453D7"/>
    <w:rsid w:val="00B45E04"/>
    <w:rsid w:val="00B46160"/>
    <w:rsid w:val="00B4668C"/>
    <w:rsid w:val="00B46AEA"/>
    <w:rsid w:val="00B46AFB"/>
    <w:rsid w:val="00B46EE6"/>
    <w:rsid w:val="00B47E1D"/>
    <w:rsid w:val="00B50176"/>
    <w:rsid w:val="00B502F1"/>
    <w:rsid w:val="00B50407"/>
    <w:rsid w:val="00B50413"/>
    <w:rsid w:val="00B50686"/>
    <w:rsid w:val="00B50A43"/>
    <w:rsid w:val="00B50BCB"/>
    <w:rsid w:val="00B50BD7"/>
    <w:rsid w:val="00B50D59"/>
    <w:rsid w:val="00B50E35"/>
    <w:rsid w:val="00B50E61"/>
    <w:rsid w:val="00B51C87"/>
    <w:rsid w:val="00B51FDF"/>
    <w:rsid w:val="00B520D5"/>
    <w:rsid w:val="00B52256"/>
    <w:rsid w:val="00B5233E"/>
    <w:rsid w:val="00B523D7"/>
    <w:rsid w:val="00B5250C"/>
    <w:rsid w:val="00B52A8F"/>
    <w:rsid w:val="00B531CA"/>
    <w:rsid w:val="00B5325C"/>
    <w:rsid w:val="00B5391A"/>
    <w:rsid w:val="00B542FE"/>
    <w:rsid w:val="00B54367"/>
    <w:rsid w:val="00B5437A"/>
    <w:rsid w:val="00B545E7"/>
    <w:rsid w:val="00B54770"/>
    <w:rsid w:val="00B548F4"/>
    <w:rsid w:val="00B54D1D"/>
    <w:rsid w:val="00B54FE4"/>
    <w:rsid w:val="00B5521F"/>
    <w:rsid w:val="00B552CE"/>
    <w:rsid w:val="00B552D3"/>
    <w:rsid w:val="00B55403"/>
    <w:rsid w:val="00B55594"/>
    <w:rsid w:val="00B556FB"/>
    <w:rsid w:val="00B55D76"/>
    <w:rsid w:val="00B55F3E"/>
    <w:rsid w:val="00B56267"/>
    <w:rsid w:val="00B56875"/>
    <w:rsid w:val="00B56A78"/>
    <w:rsid w:val="00B56B33"/>
    <w:rsid w:val="00B571FD"/>
    <w:rsid w:val="00B572E8"/>
    <w:rsid w:val="00B57483"/>
    <w:rsid w:val="00B57485"/>
    <w:rsid w:val="00B579A6"/>
    <w:rsid w:val="00B57D92"/>
    <w:rsid w:val="00B60240"/>
    <w:rsid w:val="00B60292"/>
    <w:rsid w:val="00B60410"/>
    <w:rsid w:val="00B6082E"/>
    <w:rsid w:val="00B6097E"/>
    <w:rsid w:val="00B609A9"/>
    <w:rsid w:val="00B60AA5"/>
    <w:rsid w:val="00B60ABC"/>
    <w:rsid w:val="00B60D4F"/>
    <w:rsid w:val="00B60DE6"/>
    <w:rsid w:val="00B60F97"/>
    <w:rsid w:val="00B60FCC"/>
    <w:rsid w:val="00B61323"/>
    <w:rsid w:val="00B615D5"/>
    <w:rsid w:val="00B6185F"/>
    <w:rsid w:val="00B619F8"/>
    <w:rsid w:val="00B61FD8"/>
    <w:rsid w:val="00B62136"/>
    <w:rsid w:val="00B6223D"/>
    <w:rsid w:val="00B62C1C"/>
    <w:rsid w:val="00B62CAC"/>
    <w:rsid w:val="00B62E26"/>
    <w:rsid w:val="00B63013"/>
    <w:rsid w:val="00B632F6"/>
    <w:rsid w:val="00B63BB8"/>
    <w:rsid w:val="00B63EA6"/>
    <w:rsid w:val="00B64229"/>
    <w:rsid w:val="00B644AB"/>
    <w:rsid w:val="00B64672"/>
    <w:rsid w:val="00B6472A"/>
    <w:rsid w:val="00B64973"/>
    <w:rsid w:val="00B65461"/>
    <w:rsid w:val="00B654C2"/>
    <w:rsid w:val="00B65661"/>
    <w:rsid w:val="00B65CAD"/>
    <w:rsid w:val="00B65D5D"/>
    <w:rsid w:val="00B65D62"/>
    <w:rsid w:val="00B65E83"/>
    <w:rsid w:val="00B66021"/>
    <w:rsid w:val="00B661A1"/>
    <w:rsid w:val="00B6641C"/>
    <w:rsid w:val="00B66877"/>
    <w:rsid w:val="00B6699C"/>
    <w:rsid w:val="00B66A0D"/>
    <w:rsid w:val="00B67478"/>
    <w:rsid w:val="00B67531"/>
    <w:rsid w:val="00B6762A"/>
    <w:rsid w:val="00B67890"/>
    <w:rsid w:val="00B678AC"/>
    <w:rsid w:val="00B67B81"/>
    <w:rsid w:val="00B7004A"/>
    <w:rsid w:val="00B701DC"/>
    <w:rsid w:val="00B70535"/>
    <w:rsid w:val="00B70544"/>
    <w:rsid w:val="00B70B1F"/>
    <w:rsid w:val="00B7133A"/>
    <w:rsid w:val="00B71388"/>
    <w:rsid w:val="00B713B3"/>
    <w:rsid w:val="00B71712"/>
    <w:rsid w:val="00B71732"/>
    <w:rsid w:val="00B718D1"/>
    <w:rsid w:val="00B71CD1"/>
    <w:rsid w:val="00B722A1"/>
    <w:rsid w:val="00B7233D"/>
    <w:rsid w:val="00B72535"/>
    <w:rsid w:val="00B72750"/>
    <w:rsid w:val="00B727A3"/>
    <w:rsid w:val="00B7286E"/>
    <w:rsid w:val="00B7288B"/>
    <w:rsid w:val="00B7289A"/>
    <w:rsid w:val="00B72BD2"/>
    <w:rsid w:val="00B72C4B"/>
    <w:rsid w:val="00B7317A"/>
    <w:rsid w:val="00B73906"/>
    <w:rsid w:val="00B73C7A"/>
    <w:rsid w:val="00B74909"/>
    <w:rsid w:val="00B7550F"/>
    <w:rsid w:val="00B7580C"/>
    <w:rsid w:val="00B758D2"/>
    <w:rsid w:val="00B75AB5"/>
    <w:rsid w:val="00B75BD0"/>
    <w:rsid w:val="00B75E45"/>
    <w:rsid w:val="00B75F58"/>
    <w:rsid w:val="00B7634D"/>
    <w:rsid w:val="00B76467"/>
    <w:rsid w:val="00B76688"/>
    <w:rsid w:val="00B7697D"/>
    <w:rsid w:val="00B76B91"/>
    <w:rsid w:val="00B76D07"/>
    <w:rsid w:val="00B76ED1"/>
    <w:rsid w:val="00B77380"/>
    <w:rsid w:val="00B774BC"/>
    <w:rsid w:val="00B77932"/>
    <w:rsid w:val="00B80399"/>
    <w:rsid w:val="00B803DB"/>
    <w:rsid w:val="00B80617"/>
    <w:rsid w:val="00B80656"/>
    <w:rsid w:val="00B80742"/>
    <w:rsid w:val="00B80A31"/>
    <w:rsid w:val="00B81C24"/>
    <w:rsid w:val="00B81CE1"/>
    <w:rsid w:val="00B822F5"/>
    <w:rsid w:val="00B8235C"/>
    <w:rsid w:val="00B827A7"/>
    <w:rsid w:val="00B83388"/>
    <w:rsid w:val="00B83728"/>
    <w:rsid w:val="00B83764"/>
    <w:rsid w:val="00B83782"/>
    <w:rsid w:val="00B83964"/>
    <w:rsid w:val="00B83A84"/>
    <w:rsid w:val="00B83DD1"/>
    <w:rsid w:val="00B83F04"/>
    <w:rsid w:val="00B8404B"/>
    <w:rsid w:val="00B840FD"/>
    <w:rsid w:val="00B84904"/>
    <w:rsid w:val="00B84C6F"/>
    <w:rsid w:val="00B84F51"/>
    <w:rsid w:val="00B851DC"/>
    <w:rsid w:val="00B85471"/>
    <w:rsid w:val="00B85A1D"/>
    <w:rsid w:val="00B85DC7"/>
    <w:rsid w:val="00B85E32"/>
    <w:rsid w:val="00B86111"/>
    <w:rsid w:val="00B864C4"/>
    <w:rsid w:val="00B8651F"/>
    <w:rsid w:val="00B865E2"/>
    <w:rsid w:val="00B86A33"/>
    <w:rsid w:val="00B86C39"/>
    <w:rsid w:val="00B86D6F"/>
    <w:rsid w:val="00B86E84"/>
    <w:rsid w:val="00B86FC3"/>
    <w:rsid w:val="00B86FEA"/>
    <w:rsid w:val="00B870E8"/>
    <w:rsid w:val="00B87360"/>
    <w:rsid w:val="00B877D1"/>
    <w:rsid w:val="00B878FD"/>
    <w:rsid w:val="00B87931"/>
    <w:rsid w:val="00B87BA4"/>
    <w:rsid w:val="00B87BED"/>
    <w:rsid w:val="00B87CBA"/>
    <w:rsid w:val="00B87DAA"/>
    <w:rsid w:val="00B87F60"/>
    <w:rsid w:val="00B90324"/>
    <w:rsid w:val="00B90567"/>
    <w:rsid w:val="00B905B0"/>
    <w:rsid w:val="00B9073A"/>
    <w:rsid w:val="00B907BF"/>
    <w:rsid w:val="00B90A7C"/>
    <w:rsid w:val="00B90E39"/>
    <w:rsid w:val="00B911BB"/>
    <w:rsid w:val="00B91772"/>
    <w:rsid w:val="00B917C1"/>
    <w:rsid w:val="00B918E3"/>
    <w:rsid w:val="00B9195F"/>
    <w:rsid w:val="00B919D8"/>
    <w:rsid w:val="00B91BF4"/>
    <w:rsid w:val="00B91D8D"/>
    <w:rsid w:val="00B923E9"/>
    <w:rsid w:val="00B924EA"/>
    <w:rsid w:val="00B92768"/>
    <w:rsid w:val="00B927CC"/>
    <w:rsid w:val="00B92D8D"/>
    <w:rsid w:val="00B93588"/>
    <w:rsid w:val="00B938F7"/>
    <w:rsid w:val="00B9455A"/>
    <w:rsid w:val="00B9459A"/>
    <w:rsid w:val="00B94720"/>
    <w:rsid w:val="00B9480B"/>
    <w:rsid w:val="00B949C0"/>
    <w:rsid w:val="00B94A85"/>
    <w:rsid w:val="00B94AFE"/>
    <w:rsid w:val="00B94B69"/>
    <w:rsid w:val="00B94BC8"/>
    <w:rsid w:val="00B94D3A"/>
    <w:rsid w:val="00B9524C"/>
    <w:rsid w:val="00B9582A"/>
    <w:rsid w:val="00B9591B"/>
    <w:rsid w:val="00B95B8C"/>
    <w:rsid w:val="00B95C32"/>
    <w:rsid w:val="00B95D49"/>
    <w:rsid w:val="00B95EB1"/>
    <w:rsid w:val="00B960E6"/>
    <w:rsid w:val="00B963EB"/>
    <w:rsid w:val="00B96731"/>
    <w:rsid w:val="00B96F96"/>
    <w:rsid w:val="00B96FB1"/>
    <w:rsid w:val="00B97065"/>
    <w:rsid w:val="00B9738F"/>
    <w:rsid w:val="00B97410"/>
    <w:rsid w:val="00B9760D"/>
    <w:rsid w:val="00B97A92"/>
    <w:rsid w:val="00B97C1F"/>
    <w:rsid w:val="00B97D27"/>
    <w:rsid w:val="00BA04AA"/>
    <w:rsid w:val="00BA0709"/>
    <w:rsid w:val="00BA0BAD"/>
    <w:rsid w:val="00BA0E9C"/>
    <w:rsid w:val="00BA1393"/>
    <w:rsid w:val="00BA1416"/>
    <w:rsid w:val="00BA1711"/>
    <w:rsid w:val="00BA1765"/>
    <w:rsid w:val="00BA17FE"/>
    <w:rsid w:val="00BA18CB"/>
    <w:rsid w:val="00BA1C65"/>
    <w:rsid w:val="00BA1DD3"/>
    <w:rsid w:val="00BA21B0"/>
    <w:rsid w:val="00BA237A"/>
    <w:rsid w:val="00BA25C8"/>
    <w:rsid w:val="00BA2679"/>
    <w:rsid w:val="00BA2822"/>
    <w:rsid w:val="00BA2A45"/>
    <w:rsid w:val="00BA2FF7"/>
    <w:rsid w:val="00BA31F1"/>
    <w:rsid w:val="00BA32E3"/>
    <w:rsid w:val="00BA34D4"/>
    <w:rsid w:val="00BA358D"/>
    <w:rsid w:val="00BA3700"/>
    <w:rsid w:val="00BA38D7"/>
    <w:rsid w:val="00BA4801"/>
    <w:rsid w:val="00BA4937"/>
    <w:rsid w:val="00BA500C"/>
    <w:rsid w:val="00BA524F"/>
    <w:rsid w:val="00BA5397"/>
    <w:rsid w:val="00BA54B7"/>
    <w:rsid w:val="00BA5A1B"/>
    <w:rsid w:val="00BA5BA6"/>
    <w:rsid w:val="00BA5DFB"/>
    <w:rsid w:val="00BA6A1B"/>
    <w:rsid w:val="00BA6E28"/>
    <w:rsid w:val="00BA6F1A"/>
    <w:rsid w:val="00BA711F"/>
    <w:rsid w:val="00BA719B"/>
    <w:rsid w:val="00BA76FD"/>
    <w:rsid w:val="00BA7954"/>
    <w:rsid w:val="00BA7A10"/>
    <w:rsid w:val="00BA7A14"/>
    <w:rsid w:val="00BA7E0C"/>
    <w:rsid w:val="00BB057C"/>
    <w:rsid w:val="00BB0836"/>
    <w:rsid w:val="00BB0B5C"/>
    <w:rsid w:val="00BB0BFA"/>
    <w:rsid w:val="00BB0D0A"/>
    <w:rsid w:val="00BB11C8"/>
    <w:rsid w:val="00BB130B"/>
    <w:rsid w:val="00BB143B"/>
    <w:rsid w:val="00BB19E4"/>
    <w:rsid w:val="00BB1DFF"/>
    <w:rsid w:val="00BB2002"/>
    <w:rsid w:val="00BB2097"/>
    <w:rsid w:val="00BB21D0"/>
    <w:rsid w:val="00BB253F"/>
    <w:rsid w:val="00BB26AC"/>
    <w:rsid w:val="00BB2C97"/>
    <w:rsid w:val="00BB2CE5"/>
    <w:rsid w:val="00BB2D25"/>
    <w:rsid w:val="00BB2E97"/>
    <w:rsid w:val="00BB2FAF"/>
    <w:rsid w:val="00BB34EC"/>
    <w:rsid w:val="00BB3531"/>
    <w:rsid w:val="00BB3711"/>
    <w:rsid w:val="00BB398D"/>
    <w:rsid w:val="00BB3A07"/>
    <w:rsid w:val="00BB44DC"/>
    <w:rsid w:val="00BB4D9D"/>
    <w:rsid w:val="00BB5002"/>
    <w:rsid w:val="00BB53B9"/>
    <w:rsid w:val="00BB5614"/>
    <w:rsid w:val="00BB5639"/>
    <w:rsid w:val="00BB5902"/>
    <w:rsid w:val="00BB639F"/>
    <w:rsid w:val="00BB64F2"/>
    <w:rsid w:val="00BB6871"/>
    <w:rsid w:val="00BB6B51"/>
    <w:rsid w:val="00BB6E31"/>
    <w:rsid w:val="00BB6EAE"/>
    <w:rsid w:val="00BB77F8"/>
    <w:rsid w:val="00BB7A08"/>
    <w:rsid w:val="00BC0138"/>
    <w:rsid w:val="00BC08A4"/>
    <w:rsid w:val="00BC0D27"/>
    <w:rsid w:val="00BC0F44"/>
    <w:rsid w:val="00BC1829"/>
    <w:rsid w:val="00BC1835"/>
    <w:rsid w:val="00BC24E2"/>
    <w:rsid w:val="00BC29CE"/>
    <w:rsid w:val="00BC2EC0"/>
    <w:rsid w:val="00BC2F70"/>
    <w:rsid w:val="00BC2F77"/>
    <w:rsid w:val="00BC2FD6"/>
    <w:rsid w:val="00BC310B"/>
    <w:rsid w:val="00BC38DC"/>
    <w:rsid w:val="00BC3AD1"/>
    <w:rsid w:val="00BC3B6B"/>
    <w:rsid w:val="00BC44E4"/>
    <w:rsid w:val="00BC47FF"/>
    <w:rsid w:val="00BC4916"/>
    <w:rsid w:val="00BC52EA"/>
    <w:rsid w:val="00BC5742"/>
    <w:rsid w:val="00BC5A2D"/>
    <w:rsid w:val="00BC5C4D"/>
    <w:rsid w:val="00BC5CB8"/>
    <w:rsid w:val="00BC60C9"/>
    <w:rsid w:val="00BC6228"/>
    <w:rsid w:val="00BC6E77"/>
    <w:rsid w:val="00BC7568"/>
    <w:rsid w:val="00BC763D"/>
    <w:rsid w:val="00BC7846"/>
    <w:rsid w:val="00BC7E7C"/>
    <w:rsid w:val="00BD003B"/>
    <w:rsid w:val="00BD01A0"/>
    <w:rsid w:val="00BD01DF"/>
    <w:rsid w:val="00BD0223"/>
    <w:rsid w:val="00BD055A"/>
    <w:rsid w:val="00BD086B"/>
    <w:rsid w:val="00BD0885"/>
    <w:rsid w:val="00BD0ABD"/>
    <w:rsid w:val="00BD0C27"/>
    <w:rsid w:val="00BD0CD7"/>
    <w:rsid w:val="00BD0E38"/>
    <w:rsid w:val="00BD0FD2"/>
    <w:rsid w:val="00BD13F2"/>
    <w:rsid w:val="00BD2164"/>
    <w:rsid w:val="00BD2246"/>
    <w:rsid w:val="00BD2D90"/>
    <w:rsid w:val="00BD2E83"/>
    <w:rsid w:val="00BD2F6F"/>
    <w:rsid w:val="00BD3290"/>
    <w:rsid w:val="00BD3A40"/>
    <w:rsid w:val="00BD3EF7"/>
    <w:rsid w:val="00BD4209"/>
    <w:rsid w:val="00BD5227"/>
    <w:rsid w:val="00BD53A7"/>
    <w:rsid w:val="00BD559C"/>
    <w:rsid w:val="00BD5756"/>
    <w:rsid w:val="00BD57A5"/>
    <w:rsid w:val="00BD5E9D"/>
    <w:rsid w:val="00BD5F32"/>
    <w:rsid w:val="00BD62E2"/>
    <w:rsid w:val="00BD636E"/>
    <w:rsid w:val="00BD68BC"/>
    <w:rsid w:val="00BD693B"/>
    <w:rsid w:val="00BD6A23"/>
    <w:rsid w:val="00BD6B3A"/>
    <w:rsid w:val="00BD6FA3"/>
    <w:rsid w:val="00BD702F"/>
    <w:rsid w:val="00BD7078"/>
    <w:rsid w:val="00BD786C"/>
    <w:rsid w:val="00BD7D46"/>
    <w:rsid w:val="00BD7FC9"/>
    <w:rsid w:val="00BE06C9"/>
    <w:rsid w:val="00BE0EC2"/>
    <w:rsid w:val="00BE1293"/>
    <w:rsid w:val="00BE13BF"/>
    <w:rsid w:val="00BE17E3"/>
    <w:rsid w:val="00BE1849"/>
    <w:rsid w:val="00BE1CB1"/>
    <w:rsid w:val="00BE1D3A"/>
    <w:rsid w:val="00BE1EA9"/>
    <w:rsid w:val="00BE1F0C"/>
    <w:rsid w:val="00BE1FA8"/>
    <w:rsid w:val="00BE237B"/>
    <w:rsid w:val="00BE2A43"/>
    <w:rsid w:val="00BE2C32"/>
    <w:rsid w:val="00BE2E83"/>
    <w:rsid w:val="00BE2F7E"/>
    <w:rsid w:val="00BE33A0"/>
    <w:rsid w:val="00BE3BB2"/>
    <w:rsid w:val="00BE4914"/>
    <w:rsid w:val="00BE4928"/>
    <w:rsid w:val="00BE4978"/>
    <w:rsid w:val="00BE4B43"/>
    <w:rsid w:val="00BE4C48"/>
    <w:rsid w:val="00BE59F2"/>
    <w:rsid w:val="00BE5D52"/>
    <w:rsid w:val="00BE6106"/>
    <w:rsid w:val="00BE642D"/>
    <w:rsid w:val="00BE669E"/>
    <w:rsid w:val="00BE66FB"/>
    <w:rsid w:val="00BE6847"/>
    <w:rsid w:val="00BE6CD9"/>
    <w:rsid w:val="00BE7386"/>
    <w:rsid w:val="00BE73B9"/>
    <w:rsid w:val="00BE75D5"/>
    <w:rsid w:val="00BF0697"/>
    <w:rsid w:val="00BF06F4"/>
    <w:rsid w:val="00BF0C2D"/>
    <w:rsid w:val="00BF1429"/>
    <w:rsid w:val="00BF14DA"/>
    <w:rsid w:val="00BF1616"/>
    <w:rsid w:val="00BF199A"/>
    <w:rsid w:val="00BF19DB"/>
    <w:rsid w:val="00BF1D5A"/>
    <w:rsid w:val="00BF1FFB"/>
    <w:rsid w:val="00BF20B1"/>
    <w:rsid w:val="00BF237C"/>
    <w:rsid w:val="00BF24F5"/>
    <w:rsid w:val="00BF268A"/>
    <w:rsid w:val="00BF26E8"/>
    <w:rsid w:val="00BF2AA8"/>
    <w:rsid w:val="00BF2B91"/>
    <w:rsid w:val="00BF2E5A"/>
    <w:rsid w:val="00BF31FE"/>
    <w:rsid w:val="00BF35BC"/>
    <w:rsid w:val="00BF3799"/>
    <w:rsid w:val="00BF39C1"/>
    <w:rsid w:val="00BF3B15"/>
    <w:rsid w:val="00BF3E4C"/>
    <w:rsid w:val="00BF3E51"/>
    <w:rsid w:val="00BF3E89"/>
    <w:rsid w:val="00BF3E8B"/>
    <w:rsid w:val="00BF4006"/>
    <w:rsid w:val="00BF4186"/>
    <w:rsid w:val="00BF48A6"/>
    <w:rsid w:val="00BF4975"/>
    <w:rsid w:val="00BF4E65"/>
    <w:rsid w:val="00BF500D"/>
    <w:rsid w:val="00BF5184"/>
    <w:rsid w:val="00BF5608"/>
    <w:rsid w:val="00BF575A"/>
    <w:rsid w:val="00BF5831"/>
    <w:rsid w:val="00BF5B26"/>
    <w:rsid w:val="00BF61B7"/>
    <w:rsid w:val="00BF66C1"/>
    <w:rsid w:val="00BF68CC"/>
    <w:rsid w:val="00BF6A6E"/>
    <w:rsid w:val="00BF6CAE"/>
    <w:rsid w:val="00BF6D3D"/>
    <w:rsid w:val="00BF704A"/>
    <w:rsid w:val="00BF70B7"/>
    <w:rsid w:val="00BF729B"/>
    <w:rsid w:val="00BF7300"/>
    <w:rsid w:val="00BF7739"/>
    <w:rsid w:val="00BF7854"/>
    <w:rsid w:val="00BF7914"/>
    <w:rsid w:val="00BF795C"/>
    <w:rsid w:val="00BF7E1C"/>
    <w:rsid w:val="00BF7EE5"/>
    <w:rsid w:val="00BF7F07"/>
    <w:rsid w:val="00C001B3"/>
    <w:rsid w:val="00C005BD"/>
    <w:rsid w:val="00C007A9"/>
    <w:rsid w:val="00C0092B"/>
    <w:rsid w:val="00C00B3E"/>
    <w:rsid w:val="00C00CC2"/>
    <w:rsid w:val="00C00D39"/>
    <w:rsid w:val="00C00FE8"/>
    <w:rsid w:val="00C01606"/>
    <w:rsid w:val="00C01DA2"/>
    <w:rsid w:val="00C02228"/>
    <w:rsid w:val="00C02822"/>
    <w:rsid w:val="00C029BE"/>
    <w:rsid w:val="00C02A6C"/>
    <w:rsid w:val="00C02D8C"/>
    <w:rsid w:val="00C02DAA"/>
    <w:rsid w:val="00C02F9E"/>
    <w:rsid w:val="00C031E6"/>
    <w:rsid w:val="00C04135"/>
    <w:rsid w:val="00C0425B"/>
    <w:rsid w:val="00C0453D"/>
    <w:rsid w:val="00C045F9"/>
    <w:rsid w:val="00C048C0"/>
    <w:rsid w:val="00C04A35"/>
    <w:rsid w:val="00C04B29"/>
    <w:rsid w:val="00C050A8"/>
    <w:rsid w:val="00C05131"/>
    <w:rsid w:val="00C05190"/>
    <w:rsid w:val="00C055F0"/>
    <w:rsid w:val="00C05684"/>
    <w:rsid w:val="00C05CB4"/>
    <w:rsid w:val="00C05EBD"/>
    <w:rsid w:val="00C06278"/>
    <w:rsid w:val="00C064EC"/>
    <w:rsid w:val="00C06CB8"/>
    <w:rsid w:val="00C100DD"/>
    <w:rsid w:val="00C10277"/>
    <w:rsid w:val="00C102B2"/>
    <w:rsid w:val="00C10517"/>
    <w:rsid w:val="00C1061D"/>
    <w:rsid w:val="00C106A0"/>
    <w:rsid w:val="00C10A4C"/>
    <w:rsid w:val="00C10D11"/>
    <w:rsid w:val="00C1100B"/>
    <w:rsid w:val="00C11C09"/>
    <w:rsid w:val="00C11CAE"/>
    <w:rsid w:val="00C124AB"/>
    <w:rsid w:val="00C1255F"/>
    <w:rsid w:val="00C1273D"/>
    <w:rsid w:val="00C12907"/>
    <w:rsid w:val="00C129A0"/>
    <w:rsid w:val="00C133F9"/>
    <w:rsid w:val="00C1340C"/>
    <w:rsid w:val="00C13884"/>
    <w:rsid w:val="00C13C87"/>
    <w:rsid w:val="00C13CC4"/>
    <w:rsid w:val="00C13E4B"/>
    <w:rsid w:val="00C13F2E"/>
    <w:rsid w:val="00C14120"/>
    <w:rsid w:val="00C14187"/>
    <w:rsid w:val="00C141CB"/>
    <w:rsid w:val="00C1498A"/>
    <w:rsid w:val="00C15214"/>
    <w:rsid w:val="00C15250"/>
    <w:rsid w:val="00C15318"/>
    <w:rsid w:val="00C1557F"/>
    <w:rsid w:val="00C15684"/>
    <w:rsid w:val="00C1611C"/>
    <w:rsid w:val="00C164C7"/>
    <w:rsid w:val="00C16B5D"/>
    <w:rsid w:val="00C174AB"/>
    <w:rsid w:val="00C1754C"/>
    <w:rsid w:val="00C1774D"/>
    <w:rsid w:val="00C177BE"/>
    <w:rsid w:val="00C1792F"/>
    <w:rsid w:val="00C179B5"/>
    <w:rsid w:val="00C17AC3"/>
    <w:rsid w:val="00C200B8"/>
    <w:rsid w:val="00C205F5"/>
    <w:rsid w:val="00C206B0"/>
    <w:rsid w:val="00C20905"/>
    <w:rsid w:val="00C2097C"/>
    <w:rsid w:val="00C20E6A"/>
    <w:rsid w:val="00C211F6"/>
    <w:rsid w:val="00C21320"/>
    <w:rsid w:val="00C215A9"/>
    <w:rsid w:val="00C2162E"/>
    <w:rsid w:val="00C219A2"/>
    <w:rsid w:val="00C219DE"/>
    <w:rsid w:val="00C21B52"/>
    <w:rsid w:val="00C222ED"/>
    <w:rsid w:val="00C227AE"/>
    <w:rsid w:val="00C22AC4"/>
    <w:rsid w:val="00C22AFB"/>
    <w:rsid w:val="00C22C26"/>
    <w:rsid w:val="00C230CE"/>
    <w:rsid w:val="00C23397"/>
    <w:rsid w:val="00C2354D"/>
    <w:rsid w:val="00C23BEE"/>
    <w:rsid w:val="00C2414E"/>
    <w:rsid w:val="00C24256"/>
    <w:rsid w:val="00C24441"/>
    <w:rsid w:val="00C2476A"/>
    <w:rsid w:val="00C2476B"/>
    <w:rsid w:val="00C24956"/>
    <w:rsid w:val="00C24D48"/>
    <w:rsid w:val="00C2579F"/>
    <w:rsid w:val="00C2594D"/>
    <w:rsid w:val="00C26059"/>
    <w:rsid w:val="00C26C4E"/>
    <w:rsid w:val="00C26CF5"/>
    <w:rsid w:val="00C27170"/>
    <w:rsid w:val="00C27D05"/>
    <w:rsid w:val="00C27E33"/>
    <w:rsid w:val="00C27FC4"/>
    <w:rsid w:val="00C301A0"/>
    <w:rsid w:val="00C3023C"/>
    <w:rsid w:val="00C303CA"/>
    <w:rsid w:val="00C305EC"/>
    <w:rsid w:val="00C30DE6"/>
    <w:rsid w:val="00C3125E"/>
    <w:rsid w:val="00C31445"/>
    <w:rsid w:val="00C31470"/>
    <w:rsid w:val="00C3159F"/>
    <w:rsid w:val="00C31776"/>
    <w:rsid w:val="00C31B0A"/>
    <w:rsid w:val="00C32159"/>
    <w:rsid w:val="00C326B9"/>
    <w:rsid w:val="00C32C16"/>
    <w:rsid w:val="00C32EF5"/>
    <w:rsid w:val="00C32F46"/>
    <w:rsid w:val="00C3323D"/>
    <w:rsid w:val="00C3361F"/>
    <w:rsid w:val="00C3371B"/>
    <w:rsid w:val="00C33748"/>
    <w:rsid w:val="00C3381F"/>
    <w:rsid w:val="00C338D6"/>
    <w:rsid w:val="00C340EC"/>
    <w:rsid w:val="00C341FB"/>
    <w:rsid w:val="00C347A0"/>
    <w:rsid w:val="00C34DCA"/>
    <w:rsid w:val="00C34EBB"/>
    <w:rsid w:val="00C34F79"/>
    <w:rsid w:val="00C3620B"/>
    <w:rsid w:val="00C3628C"/>
    <w:rsid w:val="00C3661C"/>
    <w:rsid w:val="00C36787"/>
    <w:rsid w:val="00C36825"/>
    <w:rsid w:val="00C369DC"/>
    <w:rsid w:val="00C36B2C"/>
    <w:rsid w:val="00C370B7"/>
    <w:rsid w:val="00C3757D"/>
    <w:rsid w:val="00C375BB"/>
    <w:rsid w:val="00C37A0A"/>
    <w:rsid w:val="00C37C02"/>
    <w:rsid w:val="00C37FF6"/>
    <w:rsid w:val="00C40056"/>
    <w:rsid w:val="00C4016C"/>
    <w:rsid w:val="00C401FF"/>
    <w:rsid w:val="00C402EC"/>
    <w:rsid w:val="00C40401"/>
    <w:rsid w:val="00C40683"/>
    <w:rsid w:val="00C40CB6"/>
    <w:rsid w:val="00C413D1"/>
    <w:rsid w:val="00C41417"/>
    <w:rsid w:val="00C41453"/>
    <w:rsid w:val="00C41902"/>
    <w:rsid w:val="00C41C80"/>
    <w:rsid w:val="00C4216F"/>
    <w:rsid w:val="00C428DF"/>
    <w:rsid w:val="00C4296D"/>
    <w:rsid w:val="00C42C2A"/>
    <w:rsid w:val="00C42F0F"/>
    <w:rsid w:val="00C42F58"/>
    <w:rsid w:val="00C43037"/>
    <w:rsid w:val="00C4382A"/>
    <w:rsid w:val="00C43DCF"/>
    <w:rsid w:val="00C4540A"/>
    <w:rsid w:val="00C45770"/>
    <w:rsid w:val="00C45C10"/>
    <w:rsid w:val="00C45C86"/>
    <w:rsid w:val="00C467B4"/>
    <w:rsid w:val="00C469FF"/>
    <w:rsid w:val="00C46ED0"/>
    <w:rsid w:val="00C470ED"/>
    <w:rsid w:val="00C47B9A"/>
    <w:rsid w:val="00C47E2B"/>
    <w:rsid w:val="00C503A5"/>
    <w:rsid w:val="00C50986"/>
    <w:rsid w:val="00C50C26"/>
    <w:rsid w:val="00C50E3F"/>
    <w:rsid w:val="00C5113C"/>
    <w:rsid w:val="00C51201"/>
    <w:rsid w:val="00C51310"/>
    <w:rsid w:val="00C51707"/>
    <w:rsid w:val="00C51A57"/>
    <w:rsid w:val="00C51ADF"/>
    <w:rsid w:val="00C51FC5"/>
    <w:rsid w:val="00C523EE"/>
    <w:rsid w:val="00C5270F"/>
    <w:rsid w:val="00C52A21"/>
    <w:rsid w:val="00C53126"/>
    <w:rsid w:val="00C532EA"/>
    <w:rsid w:val="00C53377"/>
    <w:rsid w:val="00C534A4"/>
    <w:rsid w:val="00C537D2"/>
    <w:rsid w:val="00C53990"/>
    <w:rsid w:val="00C53A95"/>
    <w:rsid w:val="00C53DE9"/>
    <w:rsid w:val="00C53FCB"/>
    <w:rsid w:val="00C5444C"/>
    <w:rsid w:val="00C54C21"/>
    <w:rsid w:val="00C54D51"/>
    <w:rsid w:val="00C55BFF"/>
    <w:rsid w:val="00C55DEC"/>
    <w:rsid w:val="00C565C6"/>
    <w:rsid w:val="00C56631"/>
    <w:rsid w:val="00C5678A"/>
    <w:rsid w:val="00C5681D"/>
    <w:rsid w:val="00C56BF7"/>
    <w:rsid w:val="00C56E05"/>
    <w:rsid w:val="00C57035"/>
    <w:rsid w:val="00C57804"/>
    <w:rsid w:val="00C578F3"/>
    <w:rsid w:val="00C57A2D"/>
    <w:rsid w:val="00C57C5E"/>
    <w:rsid w:val="00C57F95"/>
    <w:rsid w:val="00C60198"/>
    <w:rsid w:val="00C60654"/>
    <w:rsid w:val="00C609DD"/>
    <w:rsid w:val="00C60C56"/>
    <w:rsid w:val="00C60EC2"/>
    <w:rsid w:val="00C61910"/>
    <w:rsid w:val="00C61E8F"/>
    <w:rsid w:val="00C61FB0"/>
    <w:rsid w:val="00C6224B"/>
    <w:rsid w:val="00C6270F"/>
    <w:rsid w:val="00C628BA"/>
    <w:rsid w:val="00C631EF"/>
    <w:rsid w:val="00C63298"/>
    <w:rsid w:val="00C63503"/>
    <w:rsid w:val="00C636F7"/>
    <w:rsid w:val="00C637C5"/>
    <w:rsid w:val="00C6383D"/>
    <w:rsid w:val="00C639B8"/>
    <w:rsid w:val="00C639F6"/>
    <w:rsid w:val="00C63EED"/>
    <w:rsid w:val="00C643A2"/>
    <w:rsid w:val="00C64965"/>
    <w:rsid w:val="00C64B19"/>
    <w:rsid w:val="00C64D13"/>
    <w:rsid w:val="00C64DF2"/>
    <w:rsid w:val="00C650BA"/>
    <w:rsid w:val="00C65402"/>
    <w:rsid w:val="00C65564"/>
    <w:rsid w:val="00C65986"/>
    <w:rsid w:val="00C65B83"/>
    <w:rsid w:val="00C65B9F"/>
    <w:rsid w:val="00C65C35"/>
    <w:rsid w:val="00C66029"/>
    <w:rsid w:val="00C6608C"/>
    <w:rsid w:val="00C66356"/>
    <w:rsid w:val="00C66BC1"/>
    <w:rsid w:val="00C6733E"/>
    <w:rsid w:val="00C67372"/>
    <w:rsid w:val="00C67726"/>
    <w:rsid w:val="00C6776D"/>
    <w:rsid w:val="00C67948"/>
    <w:rsid w:val="00C67CAA"/>
    <w:rsid w:val="00C706B7"/>
    <w:rsid w:val="00C70997"/>
    <w:rsid w:val="00C70ACA"/>
    <w:rsid w:val="00C70B56"/>
    <w:rsid w:val="00C70E37"/>
    <w:rsid w:val="00C710C3"/>
    <w:rsid w:val="00C71420"/>
    <w:rsid w:val="00C71807"/>
    <w:rsid w:val="00C71B8C"/>
    <w:rsid w:val="00C71D2A"/>
    <w:rsid w:val="00C72B2F"/>
    <w:rsid w:val="00C72CDC"/>
    <w:rsid w:val="00C72EA8"/>
    <w:rsid w:val="00C73211"/>
    <w:rsid w:val="00C734E3"/>
    <w:rsid w:val="00C738AE"/>
    <w:rsid w:val="00C73D7D"/>
    <w:rsid w:val="00C7454B"/>
    <w:rsid w:val="00C74677"/>
    <w:rsid w:val="00C74C19"/>
    <w:rsid w:val="00C74E00"/>
    <w:rsid w:val="00C74FEF"/>
    <w:rsid w:val="00C751FE"/>
    <w:rsid w:val="00C7525D"/>
    <w:rsid w:val="00C753ED"/>
    <w:rsid w:val="00C7547C"/>
    <w:rsid w:val="00C75513"/>
    <w:rsid w:val="00C757C2"/>
    <w:rsid w:val="00C75A79"/>
    <w:rsid w:val="00C75AA9"/>
    <w:rsid w:val="00C75C9E"/>
    <w:rsid w:val="00C75EE9"/>
    <w:rsid w:val="00C75F0A"/>
    <w:rsid w:val="00C7666C"/>
    <w:rsid w:val="00C76772"/>
    <w:rsid w:val="00C76861"/>
    <w:rsid w:val="00C7687D"/>
    <w:rsid w:val="00C76AA1"/>
    <w:rsid w:val="00C76C46"/>
    <w:rsid w:val="00C76CAE"/>
    <w:rsid w:val="00C76D20"/>
    <w:rsid w:val="00C76D47"/>
    <w:rsid w:val="00C77263"/>
    <w:rsid w:val="00C77318"/>
    <w:rsid w:val="00C775E0"/>
    <w:rsid w:val="00C779BA"/>
    <w:rsid w:val="00C77C10"/>
    <w:rsid w:val="00C77E2F"/>
    <w:rsid w:val="00C77EC9"/>
    <w:rsid w:val="00C77FB2"/>
    <w:rsid w:val="00C80012"/>
    <w:rsid w:val="00C80271"/>
    <w:rsid w:val="00C803FD"/>
    <w:rsid w:val="00C80412"/>
    <w:rsid w:val="00C80709"/>
    <w:rsid w:val="00C8083A"/>
    <w:rsid w:val="00C80B48"/>
    <w:rsid w:val="00C81004"/>
    <w:rsid w:val="00C81102"/>
    <w:rsid w:val="00C81712"/>
    <w:rsid w:val="00C81745"/>
    <w:rsid w:val="00C81B3D"/>
    <w:rsid w:val="00C826E6"/>
    <w:rsid w:val="00C828F1"/>
    <w:rsid w:val="00C82900"/>
    <w:rsid w:val="00C82FCC"/>
    <w:rsid w:val="00C831B1"/>
    <w:rsid w:val="00C8327A"/>
    <w:rsid w:val="00C83428"/>
    <w:rsid w:val="00C83E94"/>
    <w:rsid w:val="00C83EA7"/>
    <w:rsid w:val="00C842BD"/>
    <w:rsid w:val="00C8480E"/>
    <w:rsid w:val="00C84AD8"/>
    <w:rsid w:val="00C8556F"/>
    <w:rsid w:val="00C8572A"/>
    <w:rsid w:val="00C857F2"/>
    <w:rsid w:val="00C85CE5"/>
    <w:rsid w:val="00C85D3C"/>
    <w:rsid w:val="00C86220"/>
    <w:rsid w:val="00C86456"/>
    <w:rsid w:val="00C8655F"/>
    <w:rsid w:val="00C8682A"/>
    <w:rsid w:val="00C869BF"/>
    <w:rsid w:val="00C86A8C"/>
    <w:rsid w:val="00C86AA6"/>
    <w:rsid w:val="00C870A3"/>
    <w:rsid w:val="00C873DA"/>
    <w:rsid w:val="00C873FD"/>
    <w:rsid w:val="00C87831"/>
    <w:rsid w:val="00C878D3"/>
    <w:rsid w:val="00C87B3D"/>
    <w:rsid w:val="00C87C53"/>
    <w:rsid w:val="00C9020F"/>
    <w:rsid w:val="00C905B6"/>
    <w:rsid w:val="00C90764"/>
    <w:rsid w:val="00C90799"/>
    <w:rsid w:val="00C90869"/>
    <w:rsid w:val="00C90BF7"/>
    <w:rsid w:val="00C91407"/>
    <w:rsid w:val="00C91449"/>
    <w:rsid w:val="00C91628"/>
    <w:rsid w:val="00C91774"/>
    <w:rsid w:val="00C91D76"/>
    <w:rsid w:val="00C91E22"/>
    <w:rsid w:val="00C92206"/>
    <w:rsid w:val="00C92D16"/>
    <w:rsid w:val="00C92DAC"/>
    <w:rsid w:val="00C92F28"/>
    <w:rsid w:val="00C93802"/>
    <w:rsid w:val="00C939D1"/>
    <w:rsid w:val="00C93B0A"/>
    <w:rsid w:val="00C93C02"/>
    <w:rsid w:val="00C94106"/>
    <w:rsid w:val="00C94149"/>
    <w:rsid w:val="00C9499C"/>
    <w:rsid w:val="00C94C93"/>
    <w:rsid w:val="00C94DB0"/>
    <w:rsid w:val="00C9544F"/>
    <w:rsid w:val="00C955F2"/>
    <w:rsid w:val="00C95646"/>
    <w:rsid w:val="00C96011"/>
    <w:rsid w:val="00C960FB"/>
    <w:rsid w:val="00C9637D"/>
    <w:rsid w:val="00C965B9"/>
    <w:rsid w:val="00C977C8"/>
    <w:rsid w:val="00C979B2"/>
    <w:rsid w:val="00CA024D"/>
    <w:rsid w:val="00CA02EE"/>
    <w:rsid w:val="00CA08BF"/>
    <w:rsid w:val="00CA0956"/>
    <w:rsid w:val="00CA0A9E"/>
    <w:rsid w:val="00CA0B2F"/>
    <w:rsid w:val="00CA0F5E"/>
    <w:rsid w:val="00CA11CE"/>
    <w:rsid w:val="00CA171E"/>
    <w:rsid w:val="00CA1EED"/>
    <w:rsid w:val="00CA2162"/>
    <w:rsid w:val="00CA2334"/>
    <w:rsid w:val="00CA25C3"/>
    <w:rsid w:val="00CA2A8F"/>
    <w:rsid w:val="00CA2EFA"/>
    <w:rsid w:val="00CA31F1"/>
    <w:rsid w:val="00CA3246"/>
    <w:rsid w:val="00CA32D0"/>
    <w:rsid w:val="00CA3371"/>
    <w:rsid w:val="00CA3624"/>
    <w:rsid w:val="00CA3941"/>
    <w:rsid w:val="00CA3BB0"/>
    <w:rsid w:val="00CA3C85"/>
    <w:rsid w:val="00CA3D40"/>
    <w:rsid w:val="00CA3F16"/>
    <w:rsid w:val="00CA3F38"/>
    <w:rsid w:val="00CA4281"/>
    <w:rsid w:val="00CA4912"/>
    <w:rsid w:val="00CA4F2A"/>
    <w:rsid w:val="00CA4F53"/>
    <w:rsid w:val="00CA5562"/>
    <w:rsid w:val="00CA5642"/>
    <w:rsid w:val="00CA5BCC"/>
    <w:rsid w:val="00CA61EB"/>
    <w:rsid w:val="00CA6354"/>
    <w:rsid w:val="00CA640A"/>
    <w:rsid w:val="00CA6AE8"/>
    <w:rsid w:val="00CA6CB6"/>
    <w:rsid w:val="00CA6D99"/>
    <w:rsid w:val="00CA7210"/>
    <w:rsid w:val="00CA7505"/>
    <w:rsid w:val="00CA79EC"/>
    <w:rsid w:val="00CA7AA8"/>
    <w:rsid w:val="00CA7B65"/>
    <w:rsid w:val="00CA7D27"/>
    <w:rsid w:val="00CA7D6F"/>
    <w:rsid w:val="00CB006D"/>
    <w:rsid w:val="00CB033E"/>
    <w:rsid w:val="00CB04EF"/>
    <w:rsid w:val="00CB04F1"/>
    <w:rsid w:val="00CB12C0"/>
    <w:rsid w:val="00CB1351"/>
    <w:rsid w:val="00CB1511"/>
    <w:rsid w:val="00CB185A"/>
    <w:rsid w:val="00CB18CA"/>
    <w:rsid w:val="00CB1BBA"/>
    <w:rsid w:val="00CB1BC1"/>
    <w:rsid w:val="00CB1DCE"/>
    <w:rsid w:val="00CB2753"/>
    <w:rsid w:val="00CB2F39"/>
    <w:rsid w:val="00CB2F79"/>
    <w:rsid w:val="00CB30C1"/>
    <w:rsid w:val="00CB325B"/>
    <w:rsid w:val="00CB342E"/>
    <w:rsid w:val="00CB34A1"/>
    <w:rsid w:val="00CB3B3B"/>
    <w:rsid w:val="00CB3B71"/>
    <w:rsid w:val="00CB3E7B"/>
    <w:rsid w:val="00CB3F46"/>
    <w:rsid w:val="00CB4023"/>
    <w:rsid w:val="00CB4A7C"/>
    <w:rsid w:val="00CB4DD9"/>
    <w:rsid w:val="00CB4E03"/>
    <w:rsid w:val="00CB50B5"/>
    <w:rsid w:val="00CB547A"/>
    <w:rsid w:val="00CB577C"/>
    <w:rsid w:val="00CB587D"/>
    <w:rsid w:val="00CB5E86"/>
    <w:rsid w:val="00CB6153"/>
    <w:rsid w:val="00CB6549"/>
    <w:rsid w:val="00CB6949"/>
    <w:rsid w:val="00CB6EE3"/>
    <w:rsid w:val="00CB76BD"/>
    <w:rsid w:val="00CB7816"/>
    <w:rsid w:val="00CB7969"/>
    <w:rsid w:val="00CB79E6"/>
    <w:rsid w:val="00CB79F5"/>
    <w:rsid w:val="00CB7A50"/>
    <w:rsid w:val="00CB7B3F"/>
    <w:rsid w:val="00CB7E2D"/>
    <w:rsid w:val="00CC00D7"/>
    <w:rsid w:val="00CC08A7"/>
    <w:rsid w:val="00CC14CB"/>
    <w:rsid w:val="00CC153C"/>
    <w:rsid w:val="00CC1BF2"/>
    <w:rsid w:val="00CC1F9D"/>
    <w:rsid w:val="00CC269A"/>
    <w:rsid w:val="00CC2738"/>
    <w:rsid w:val="00CC2766"/>
    <w:rsid w:val="00CC2A85"/>
    <w:rsid w:val="00CC2BAC"/>
    <w:rsid w:val="00CC3155"/>
    <w:rsid w:val="00CC3174"/>
    <w:rsid w:val="00CC33F5"/>
    <w:rsid w:val="00CC350D"/>
    <w:rsid w:val="00CC3C81"/>
    <w:rsid w:val="00CC3E34"/>
    <w:rsid w:val="00CC3E9B"/>
    <w:rsid w:val="00CC3EBD"/>
    <w:rsid w:val="00CC426E"/>
    <w:rsid w:val="00CC432B"/>
    <w:rsid w:val="00CC441A"/>
    <w:rsid w:val="00CC4669"/>
    <w:rsid w:val="00CC4865"/>
    <w:rsid w:val="00CC4A2A"/>
    <w:rsid w:val="00CC4C6D"/>
    <w:rsid w:val="00CC5037"/>
    <w:rsid w:val="00CC52CB"/>
    <w:rsid w:val="00CC538E"/>
    <w:rsid w:val="00CC55D4"/>
    <w:rsid w:val="00CC57E3"/>
    <w:rsid w:val="00CC5A08"/>
    <w:rsid w:val="00CC5CA5"/>
    <w:rsid w:val="00CC63B1"/>
    <w:rsid w:val="00CC6478"/>
    <w:rsid w:val="00CC66FC"/>
    <w:rsid w:val="00CC6EDA"/>
    <w:rsid w:val="00CC7236"/>
    <w:rsid w:val="00CC73D1"/>
    <w:rsid w:val="00CC75C0"/>
    <w:rsid w:val="00CC7B78"/>
    <w:rsid w:val="00CC7CDF"/>
    <w:rsid w:val="00CD017B"/>
    <w:rsid w:val="00CD0198"/>
    <w:rsid w:val="00CD0395"/>
    <w:rsid w:val="00CD052E"/>
    <w:rsid w:val="00CD0D67"/>
    <w:rsid w:val="00CD0DEE"/>
    <w:rsid w:val="00CD133B"/>
    <w:rsid w:val="00CD1BE3"/>
    <w:rsid w:val="00CD1FA6"/>
    <w:rsid w:val="00CD24D6"/>
    <w:rsid w:val="00CD24E7"/>
    <w:rsid w:val="00CD26A9"/>
    <w:rsid w:val="00CD2703"/>
    <w:rsid w:val="00CD27FB"/>
    <w:rsid w:val="00CD2C14"/>
    <w:rsid w:val="00CD2E4A"/>
    <w:rsid w:val="00CD303D"/>
    <w:rsid w:val="00CD3169"/>
    <w:rsid w:val="00CD3246"/>
    <w:rsid w:val="00CD36C9"/>
    <w:rsid w:val="00CD3AD3"/>
    <w:rsid w:val="00CD46EA"/>
    <w:rsid w:val="00CD4CD7"/>
    <w:rsid w:val="00CD4D6D"/>
    <w:rsid w:val="00CD504A"/>
    <w:rsid w:val="00CD51BA"/>
    <w:rsid w:val="00CD54E8"/>
    <w:rsid w:val="00CD5707"/>
    <w:rsid w:val="00CD581F"/>
    <w:rsid w:val="00CD5987"/>
    <w:rsid w:val="00CD5D18"/>
    <w:rsid w:val="00CD5E67"/>
    <w:rsid w:val="00CD607C"/>
    <w:rsid w:val="00CD69D3"/>
    <w:rsid w:val="00CD69D4"/>
    <w:rsid w:val="00CD6E7B"/>
    <w:rsid w:val="00CD6F8C"/>
    <w:rsid w:val="00CD70E5"/>
    <w:rsid w:val="00CD7117"/>
    <w:rsid w:val="00CD7432"/>
    <w:rsid w:val="00CD7553"/>
    <w:rsid w:val="00CD7C15"/>
    <w:rsid w:val="00CD7C9D"/>
    <w:rsid w:val="00CD7E42"/>
    <w:rsid w:val="00CE025C"/>
    <w:rsid w:val="00CE066A"/>
    <w:rsid w:val="00CE06D1"/>
    <w:rsid w:val="00CE0791"/>
    <w:rsid w:val="00CE0C93"/>
    <w:rsid w:val="00CE0FFB"/>
    <w:rsid w:val="00CE1077"/>
    <w:rsid w:val="00CE1217"/>
    <w:rsid w:val="00CE125F"/>
    <w:rsid w:val="00CE161B"/>
    <w:rsid w:val="00CE17CA"/>
    <w:rsid w:val="00CE1C6F"/>
    <w:rsid w:val="00CE1CD5"/>
    <w:rsid w:val="00CE1E1E"/>
    <w:rsid w:val="00CE220C"/>
    <w:rsid w:val="00CE240D"/>
    <w:rsid w:val="00CE2898"/>
    <w:rsid w:val="00CE28A1"/>
    <w:rsid w:val="00CE29A5"/>
    <w:rsid w:val="00CE2BF4"/>
    <w:rsid w:val="00CE2F42"/>
    <w:rsid w:val="00CE305C"/>
    <w:rsid w:val="00CE3E7C"/>
    <w:rsid w:val="00CE3E91"/>
    <w:rsid w:val="00CE4078"/>
    <w:rsid w:val="00CE4179"/>
    <w:rsid w:val="00CE43B7"/>
    <w:rsid w:val="00CE44AE"/>
    <w:rsid w:val="00CE457B"/>
    <w:rsid w:val="00CE465B"/>
    <w:rsid w:val="00CE4B3A"/>
    <w:rsid w:val="00CE5278"/>
    <w:rsid w:val="00CE52EC"/>
    <w:rsid w:val="00CE5F47"/>
    <w:rsid w:val="00CE60B2"/>
    <w:rsid w:val="00CE630C"/>
    <w:rsid w:val="00CE67FC"/>
    <w:rsid w:val="00CE69F8"/>
    <w:rsid w:val="00CE71D0"/>
    <w:rsid w:val="00CE7B79"/>
    <w:rsid w:val="00CE7B9E"/>
    <w:rsid w:val="00CE7C0C"/>
    <w:rsid w:val="00CE7D88"/>
    <w:rsid w:val="00CE7FBE"/>
    <w:rsid w:val="00CF00DD"/>
    <w:rsid w:val="00CF013F"/>
    <w:rsid w:val="00CF0440"/>
    <w:rsid w:val="00CF0695"/>
    <w:rsid w:val="00CF06A0"/>
    <w:rsid w:val="00CF0796"/>
    <w:rsid w:val="00CF0891"/>
    <w:rsid w:val="00CF0A69"/>
    <w:rsid w:val="00CF0A88"/>
    <w:rsid w:val="00CF0C9D"/>
    <w:rsid w:val="00CF0E97"/>
    <w:rsid w:val="00CF0FAF"/>
    <w:rsid w:val="00CF121D"/>
    <w:rsid w:val="00CF1954"/>
    <w:rsid w:val="00CF1A05"/>
    <w:rsid w:val="00CF1C45"/>
    <w:rsid w:val="00CF1E73"/>
    <w:rsid w:val="00CF2627"/>
    <w:rsid w:val="00CF2685"/>
    <w:rsid w:val="00CF293C"/>
    <w:rsid w:val="00CF32DF"/>
    <w:rsid w:val="00CF33A8"/>
    <w:rsid w:val="00CF34AC"/>
    <w:rsid w:val="00CF34F5"/>
    <w:rsid w:val="00CF3782"/>
    <w:rsid w:val="00CF41A9"/>
    <w:rsid w:val="00CF4581"/>
    <w:rsid w:val="00CF4706"/>
    <w:rsid w:val="00CF4A28"/>
    <w:rsid w:val="00CF4AB7"/>
    <w:rsid w:val="00CF57F3"/>
    <w:rsid w:val="00CF5804"/>
    <w:rsid w:val="00CF5BAF"/>
    <w:rsid w:val="00CF654C"/>
    <w:rsid w:val="00CF67D7"/>
    <w:rsid w:val="00CF6C26"/>
    <w:rsid w:val="00CF6D21"/>
    <w:rsid w:val="00CF7333"/>
    <w:rsid w:val="00CF7458"/>
    <w:rsid w:val="00CF7553"/>
    <w:rsid w:val="00CF75FE"/>
    <w:rsid w:val="00CF7710"/>
    <w:rsid w:val="00CF78BB"/>
    <w:rsid w:val="00CF78F5"/>
    <w:rsid w:val="00CF79CD"/>
    <w:rsid w:val="00CF7A7F"/>
    <w:rsid w:val="00CF7B57"/>
    <w:rsid w:val="00CF7CD1"/>
    <w:rsid w:val="00CF7DAB"/>
    <w:rsid w:val="00D00165"/>
    <w:rsid w:val="00D003C7"/>
    <w:rsid w:val="00D005BB"/>
    <w:rsid w:val="00D007DD"/>
    <w:rsid w:val="00D00A62"/>
    <w:rsid w:val="00D00FF3"/>
    <w:rsid w:val="00D0116A"/>
    <w:rsid w:val="00D012E6"/>
    <w:rsid w:val="00D0181D"/>
    <w:rsid w:val="00D0186C"/>
    <w:rsid w:val="00D018ED"/>
    <w:rsid w:val="00D01A64"/>
    <w:rsid w:val="00D01D3B"/>
    <w:rsid w:val="00D01F87"/>
    <w:rsid w:val="00D02082"/>
    <w:rsid w:val="00D02344"/>
    <w:rsid w:val="00D0247F"/>
    <w:rsid w:val="00D02509"/>
    <w:rsid w:val="00D0250F"/>
    <w:rsid w:val="00D025EB"/>
    <w:rsid w:val="00D026A0"/>
    <w:rsid w:val="00D031B2"/>
    <w:rsid w:val="00D0395C"/>
    <w:rsid w:val="00D03982"/>
    <w:rsid w:val="00D03A5E"/>
    <w:rsid w:val="00D03B2A"/>
    <w:rsid w:val="00D03BE9"/>
    <w:rsid w:val="00D03DAC"/>
    <w:rsid w:val="00D03ECC"/>
    <w:rsid w:val="00D04953"/>
    <w:rsid w:val="00D04E0C"/>
    <w:rsid w:val="00D05186"/>
    <w:rsid w:val="00D054F0"/>
    <w:rsid w:val="00D0550B"/>
    <w:rsid w:val="00D05686"/>
    <w:rsid w:val="00D057B8"/>
    <w:rsid w:val="00D05851"/>
    <w:rsid w:val="00D059F8"/>
    <w:rsid w:val="00D05E49"/>
    <w:rsid w:val="00D05EA5"/>
    <w:rsid w:val="00D0697D"/>
    <w:rsid w:val="00D073EC"/>
    <w:rsid w:val="00D076CE"/>
    <w:rsid w:val="00D077B2"/>
    <w:rsid w:val="00D079AD"/>
    <w:rsid w:val="00D07C62"/>
    <w:rsid w:val="00D105A2"/>
    <w:rsid w:val="00D1062D"/>
    <w:rsid w:val="00D10BEA"/>
    <w:rsid w:val="00D1101B"/>
    <w:rsid w:val="00D11618"/>
    <w:rsid w:val="00D11F93"/>
    <w:rsid w:val="00D123A7"/>
    <w:rsid w:val="00D12C18"/>
    <w:rsid w:val="00D12C42"/>
    <w:rsid w:val="00D12FF9"/>
    <w:rsid w:val="00D1303F"/>
    <w:rsid w:val="00D13212"/>
    <w:rsid w:val="00D1327B"/>
    <w:rsid w:val="00D13599"/>
    <w:rsid w:val="00D1368A"/>
    <w:rsid w:val="00D13889"/>
    <w:rsid w:val="00D13BEF"/>
    <w:rsid w:val="00D14DB9"/>
    <w:rsid w:val="00D14F52"/>
    <w:rsid w:val="00D14F95"/>
    <w:rsid w:val="00D15396"/>
    <w:rsid w:val="00D1545B"/>
    <w:rsid w:val="00D154B0"/>
    <w:rsid w:val="00D15623"/>
    <w:rsid w:val="00D157CD"/>
    <w:rsid w:val="00D15835"/>
    <w:rsid w:val="00D16168"/>
    <w:rsid w:val="00D16391"/>
    <w:rsid w:val="00D16ED0"/>
    <w:rsid w:val="00D17179"/>
    <w:rsid w:val="00D1753D"/>
    <w:rsid w:val="00D17582"/>
    <w:rsid w:val="00D176CE"/>
    <w:rsid w:val="00D177D2"/>
    <w:rsid w:val="00D17CE7"/>
    <w:rsid w:val="00D17F0D"/>
    <w:rsid w:val="00D20B06"/>
    <w:rsid w:val="00D20CC6"/>
    <w:rsid w:val="00D21213"/>
    <w:rsid w:val="00D214B0"/>
    <w:rsid w:val="00D215AC"/>
    <w:rsid w:val="00D21606"/>
    <w:rsid w:val="00D21883"/>
    <w:rsid w:val="00D218D4"/>
    <w:rsid w:val="00D21A4F"/>
    <w:rsid w:val="00D21B79"/>
    <w:rsid w:val="00D21DAC"/>
    <w:rsid w:val="00D21DF5"/>
    <w:rsid w:val="00D226C7"/>
    <w:rsid w:val="00D226DF"/>
    <w:rsid w:val="00D227C5"/>
    <w:rsid w:val="00D22AB9"/>
    <w:rsid w:val="00D22EC9"/>
    <w:rsid w:val="00D23674"/>
    <w:rsid w:val="00D23CB0"/>
    <w:rsid w:val="00D23EA7"/>
    <w:rsid w:val="00D240AE"/>
    <w:rsid w:val="00D24398"/>
    <w:rsid w:val="00D24637"/>
    <w:rsid w:val="00D24C87"/>
    <w:rsid w:val="00D24D13"/>
    <w:rsid w:val="00D24EDB"/>
    <w:rsid w:val="00D252A3"/>
    <w:rsid w:val="00D2569B"/>
    <w:rsid w:val="00D25E78"/>
    <w:rsid w:val="00D261C3"/>
    <w:rsid w:val="00D2622A"/>
    <w:rsid w:val="00D263B5"/>
    <w:rsid w:val="00D264FD"/>
    <w:rsid w:val="00D2677A"/>
    <w:rsid w:val="00D27206"/>
    <w:rsid w:val="00D27802"/>
    <w:rsid w:val="00D2788C"/>
    <w:rsid w:val="00D278E7"/>
    <w:rsid w:val="00D30488"/>
    <w:rsid w:val="00D3056D"/>
    <w:rsid w:val="00D30849"/>
    <w:rsid w:val="00D30A48"/>
    <w:rsid w:val="00D30D84"/>
    <w:rsid w:val="00D30E0F"/>
    <w:rsid w:val="00D31243"/>
    <w:rsid w:val="00D31443"/>
    <w:rsid w:val="00D314EB"/>
    <w:rsid w:val="00D31DC8"/>
    <w:rsid w:val="00D31E33"/>
    <w:rsid w:val="00D32A18"/>
    <w:rsid w:val="00D32B02"/>
    <w:rsid w:val="00D32B1E"/>
    <w:rsid w:val="00D330D0"/>
    <w:rsid w:val="00D33429"/>
    <w:rsid w:val="00D336B2"/>
    <w:rsid w:val="00D336ED"/>
    <w:rsid w:val="00D33878"/>
    <w:rsid w:val="00D33CCE"/>
    <w:rsid w:val="00D33EB9"/>
    <w:rsid w:val="00D340D7"/>
    <w:rsid w:val="00D342EC"/>
    <w:rsid w:val="00D34CAA"/>
    <w:rsid w:val="00D34D82"/>
    <w:rsid w:val="00D34D99"/>
    <w:rsid w:val="00D34DD3"/>
    <w:rsid w:val="00D34F11"/>
    <w:rsid w:val="00D3561C"/>
    <w:rsid w:val="00D356B9"/>
    <w:rsid w:val="00D35914"/>
    <w:rsid w:val="00D3591B"/>
    <w:rsid w:val="00D359F1"/>
    <w:rsid w:val="00D35B18"/>
    <w:rsid w:val="00D35B2E"/>
    <w:rsid w:val="00D35C4B"/>
    <w:rsid w:val="00D35CC1"/>
    <w:rsid w:val="00D36404"/>
    <w:rsid w:val="00D36751"/>
    <w:rsid w:val="00D369E3"/>
    <w:rsid w:val="00D36A50"/>
    <w:rsid w:val="00D36DA2"/>
    <w:rsid w:val="00D36E9B"/>
    <w:rsid w:val="00D3751A"/>
    <w:rsid w:val="00D377D8"/>
    <w:rsid w:val="00D379EC"/>
    <w:rsid w:val="00D37D45"/>
    <w:rsid w:val="00D37E67"/>
    <w:rsid w:val="00D400F9"/>
    <w:rsid w:val="00D406AB"/>
    <w:rsid w:val="00D4071D"/>
    <w:rsid w:val="00D40819"/>
    <w:rsid w:val="00D40853"/>
    <w:rsid w:val="00D408E2"/>
    <w:rsid w:val="00D412EE"/>
    <w:rsid w:val="00D413E6"/>
    <w:rsid w:val="00D41509"/>
    <w:rsid w:val="00D41562"/>
    <w:rsid w:val="00D41D4A"/>
    <w:rsid w:val="00D41EE0"/>
    <w:rsid w:val="00D41F78"/>
    <w:rsid w:val="00D42281"/>
    <w:rsid w:val="00D425BB"/>
    <w:rsid w:val="00D427F1"/>
    <w:rsid w:val="00D428ED"/>
    <w:rsid w:val="00D43010"/>
    <w:rsid w:val="00D432DC"/>
    <w:rsid w:val="00D43674"/>
    <w:rsid w:val="00D43693"/>
    <w:rsid w:val="00D4390D"/>
    <w:rsid w:val="00D43A3E"/>
    <w:rsid w:val="00D43C35"/>
    <w:rsid w:val="00D43F92"/>
    <w:rsid w:val="00D4453A"/>
    <w:rsid w:val="00D44569"/>
    <w:rsid w:val="00D44934"/>
    <w:rsid w:val="00D44D0B"/>
    <w:rsid w:val="00D44DD7"/>
    <w:rsid w:val="00D44EE4"/>
    <w:rsid w:val="00D44F32"/>
    <w:rsid w:val="00D44FE6"/>
    <w:rsid w:val="00D4508B"/>
    <w:rsid w:val="00D45B3B"/>
    <w:rsid w:val="00D45CA3"/>
    <w:rsid w:val="00D4618B"/>
    <w:rsid w:val="00D46254"/>
    <w:rsid w:val="00D468BF"/>
    <w:rsid w:val="00D46B40"/>
    <w:rsid w:val="00D46CC8"/>
    <w:rsid w:val="00D46FAE"/>
    <w:rsid w:val="00D47157"/>
    <w:rsid w:val="00D4717E"/>
    <w:rsid w:val="00D47764"/>
    <w:rsid w:val="00D479C0"/>
    <w:rsid w:val="00D47B09"/>
    <w:rsid w:val="00D47F92"/>
    <w:rsid w:val="00D50195"/>
    <w:rsid w:val="00D50671"/>
    <w:rsid w:val="00D50CC5"/>
    <w:rsid w:val="00D50D15"/>
    <w:rsid w:val="00D50F27"/>
    <w:rsid w:val="00D5109E"/>
    <w:rsid w:val="00D511C4"/>
    <w:rsid w:val="00D516AB"/>
    <w:rsid w:val="00D51B0D"/>
    <w:rsid w:val="00D51B4A"/>
    <w:rsid w:val="00D53271"/>
    <w:rsid w:val="00D532F6"/>
    <w:rsid w:val="00D534D7"/>
    <w:rsid w:val="00D538CC"/>
    <w:rsid w:val="00D53A0F"/>
    <w:rsid w:val="00D53B57"/>
    <w:rsid w:val="00D53EE9"/>
    <w:rsid w:val="00D53F2D"/>
    <w:rsid w:val="00D54184"/>
    <w:rsid w:val="00D54332"/>
    <w:rsid w:val="00D5469D"/>
    <w:rsid w:val="00D54E52"/>
    <w:rsid w:val="00D54EFE"/>
    <w:rsid w:val="00D54F0D"/>
    <w:rsid w:val="00D554AE"/>
    <w:rsid w:val="00D55685"/>
    <w:rsid w:val="00D55B18"/>
    <w:rsid w:val="00D55E3D"/>
    <w:rsid w:val="00D5622F"/>
    <w:rsid w:val="00D56332"/>
    <w:rsid w:val="00D5679A"/>
    <w:rsid w:val="00D567F8"/>
    <w:rsid w:val="00D567FD"/>
    <w:rsid w:val="00D56828"/>
    <w:rsid w:val="00D56859"/>
    <w:rsid w:val="00D56EE3"/>
    <w:rsid w:val="00D570AC"/>
    <w:rsid w:val="00D57386"/>
    <w:rsid w:val="00D5744C"/>
    <w:rsid w:val="00D5753B"/>
    <w:rsid w:val="00D5760A"/>
    <w:rsid w:val="00D579F2"/>
    <w:rsid w:val="00D57A5C"/>
    <w:rsid w:val="00D57AC6"/>
    <w:rsid w:val="00D60331"/>
    <w:rsid w:val="00D60439"/>
    <w:rsid w:val="00D607EE"/>
    <w:rsid w:val="00D60872"/>
    <w:rsid w:val="00D61361"/>
    <w:rsid w:val="00D61407"/>
    <w:rsid w:val="00D616D3"/>
    <w:rsid w:val="00D6182B"/>
    <w:rsid w:val="00D61B15"/>
    <w:rsid w:val="00D61B16"/>
    <w:rsid w:val="00D61BA9"/>
    <w:rsid w:val="00D61CCA"/>
    <w:rsid w:val="00D62029"/>
    <w:rsid w:val="00D620FB"/>
    <w:rsid w:val="00D62A70"/>
    <w:rsid w:val="00D62BCF"/>
    <w:rsid w:val="00D63047"/>
    <w:rsid w:val="00D6312D"/>
    <w:rsid w:val="00D638B1"/>
    <w:rsid w:val="00D63BBA"/>
    <w:rsid w:val="00D63C40"/>
    <w:rsid w:val="00D641C7"/>
    <w:rsid w:val="00D6472A"/>
    <w:rsid w:val="00D6484C"/>
    <w:rsid w:val="00D64A78"/>
    <w:rsid w:val="00D64F97"/>
    <w:rsid w:val="00D653C1"/>
    <w:rsid w:val="00D65471"/>
    <w:rsid w:val="00D65E34"/>
    <w:rsid w:val="00D66081"/>
    <w:rsid w:val="00D66185"/>
    <w:rsid w:val="00D66477"/>
    <w:rsid w:val="00D66542"/>
    <w:rsid w:val="00D666CD"/>
    <w:rsid w:val="00D666D6"/>
    <w:rsid w:val="00D66B68"/>
    <w:rsid w:val="00D66BC4"/>
    <w:rsid w:val="00D66DB6"/>
    <w:rsid w:val="00D66E11"/>
    <w:rsid w:val="00D66F5D"/>
    <w:rsid w:val="00D67095"/>
    <w:rsid w:val="00D67105"/>
    <w:rsid w:val="00D6714B"/>
    <w:rsid w:val="00D67158"/>
    <w:rsid w:val="00D67303"/>
    <w:rsid w:val="00D67329"/>
    <w:rsid w:val="00D6758D"/>
    <w:rsid w:val="00D679DC"/>
    <w:rsid w:val="00D67A0B"/>
    <w:rsid w:val="00D70455"/>
    <w:rsid w:val="00D70966"/>
    <w:rsid w:val="00D70968"/>
    <w:rsid w:val="00D70BB2"/>
    <w:rsid w:val="00D70BB4"/>
    <w:rsid w:val="00D70C22"/>
    <w:rsid w:val="00D70F1D"/>
    <w:rsid w:val="00D717AB"/>
    <w:rsid w:val="00D718EA"/>
    <w:rsid w:val="00D71949"/>
    <w:rsid w:val="00D71965"/>
    <w:rsid w:val="00D71A8D"/>
    <w:rsid w:val="00D71E81"/>
    <w:rsid w:val="00D72356"/>
    <w:rsid w:val="00D723C3"/>
    <w:rsid w:val="00D72528"/>
    <w:rsid w:val="00D72D86"/>
    <w:rsid w:val="00D72FB3"/>
    <w:rsid w:val="00D73017"/>
    <w:rsid w:val="00D7346D"/>
    <w:rsid w:val="00D7362D"/>
    <w:rsid w:val="00D738F4"/>
    <w:rsid w:val="00D73AE3"/>
    <w:rsid w:val="00D73CA3"/>
    <w:rsid w:val="00D74061"/>
    <w:rsid w:val="00D74145"/>
    <w:rsid w:val="00D74309"/>
    <w:rsid w:val="00D745D4"/>
    <w:rsid w:val="00D746F9"/>
    <w:rsid w:val="00D749CF"/>
    <w:rsid w:val="00D74B03"/>
    <w:rsid w:val="00D74B4B"/>
    <w:rsid w:val="00D75053"/>
    <w:rsid w:val="00D750E6"/>
    <w:rsid w:val="00D75261"/>
    <w:rsid w:val="00D7585D"/>
    <w:rsid w:val="00D75AB5"/>
    <w:rsid w:val="00D75F90"/>
    <w:rsid w:val="00D76194"/>
    <w:rsid w:val="00D766F5"/>
    <w:rsid w:val="00D76A07"/>
    <w:rsid w:val="00D76D92"/>
    <w:rsid w:val="00D76F61"/>
    <w:rsid w:val="00D76F86"/>
    <w:rsid w:val="00D773DA"/>
    <w:rsid w:val="00D77572"/>
    <w:rsid w:val="00D777F8"/>
    <w:rsid w:val="00D77813"/>
    <w:rsid w:val="00D77864"/>
    <w:rsid w:val="00D77B9B"/>
    <w:rsid w:val="00D8017B"/>
    <w:rsid w:val="00D80317"/>
    <w:rsid w:val="00D80DD8"/>
    <w:rsid w:val="00D818B8"/>
    <w:rsid w:val="00D81A71"/>
    <w:rsid w:val="00D81AB4"/>
    <w:rsid w:val="00D81D5C"/>
    <w:rsid w:val="00D81F67"/>
    <w:rsid w:val="00D82042"/>
    <w:rsid w:val="00D821F8"/>
    <w:rsid w:val="00D82361"/>
    <w:rsid w:val="00D826B8"/>
    <w:rsid w:val="00D827C3"/>
    <w:rsid w:val="00D82804"/>
    <w:rsid w:val="00D82EE5"/>
    <w:rsid w:val="00D831C3"/>
    <w:rsid w:val="00D8338E"/>
    <w:rsid w:val="00D840DD"/>
    <w:rsid w:val="00D84156"/>
    <w:rsid w:val="00D8447D"/>
    <w:rsid w:val="00D8449C"/>
    <w:rsid w:val="00D844AA"/>
    <w:rsid w:val="00D8479A"/>
    <w:rsid w:val="00D84980"/>
    <w:rsid w:val="00D84D23"/>
    <w:rsid w:val="00D854A8"/>
    <w:rsid w:val="00D85F38"/>
    <w:rsid w:val="00D85FBF"/>
    <w:rsid w:val="00D8608A"/>
    <w:rsid w:val="00D86335"/>
    <w:rsid w:val="00D86BB2"/>
    <w:rsid w:val="00D86FAE"/>
    <w:rsid w:val="00D874B5"/>
    <w:rsid w:val="00D87721"/>
    <w:rsid w:val="00D878DB"/>
    <w:rsid w:val="00D87F38"/>
    <w:rsid w:val="00D900EF"/>
    <w:rsid w:val="00D9014E"/>
    <w:rsid w:val="00D90153"/>
    <w:rsid w:val="00D901ED"/>
    <w:rsid w:val="00D90202"/>
    <w:rsid w:val="00D903C1"/>
    <w:rsid w:val="00D90609"/>
    <w:rsid w:val="00D908FB"/>
    <w:rsid w:val="00D9095D"/>
    <w:rsid w:val="00D90AD9"/>
    <w:rsid w:val="00D90ADD"/>
    <w:rsid w:val="00D90E10"/>
    <w:rsid w:val="00D90F43"/>
    <w:rsid w:val="00D9129B"/>
    <w:rsid w:val="00D91337"/>
    <w:rsid w:val="00D916F5"/>
    <w:rsid w:val="00D917E9"/>
    <w:rsid w:val="00D9182A"/>
    <w:rsid w:val="00D91859"/>
    <w:rsid w:val="00D919C6"/>
    <w:rsid w:val="00D91C86"/>
    <w:rsid w:val="00D91F16"/>
    <w:rsid w:val="00D92511"/>
    <w:rsid w:val="00D92647"/>
    <w:rsid w:val="00D92699"/>
    <w:rsid w:val="00D9284E"/>
    <w:rsid w:val="00D92ACC"/>
    <w:rsid w:val="00D92B93"/>
    <w:rsid w:val="00D92DD9"/>
    <w:rsid w:val="00D92EF7"/>
    <w:rsid w:val="00D93065"/>
    <w:rsid w:val="00D930EA"/>
    <w:rsid w:val="00D931B6"/>
    <w:rsid w:val="00D933AE"/>
    <w:rsid w:val="00D9349D"/>
    <w:rsid w:val="00D934D4"/>
    <w:rsid w:val="00D938A3"/>
    <w:rsid w:val="00D93EE7"/>
    <w:rsid w:val="00D93FB3"/>
    <w:rsid w:val="00D947A4"/>
    <w:rsid w:val="00D94871"/>
    <w:rsid w:val="00D9487D"/>
    <w:rsid w:val="00D94E1E"/>
    <w:rsid w:val="00D95540"/>
    <w:rsid w:val="00D958FA"/>
    <w:rsid w:val="00D95BE7"/>
    <w:rsid w:val="00D95CF2"/>
    <w:rsid w:val="00D95E57"/>
    <w:rsid w:val="00D96149"/>
    <w:rsid w:val="00D96152"/>
    <w:rsid w:val="00D96268"/>
    <w:rsid w:val="00D962D3"/>
    <w:rsid w:val="00D965F6"/>
    <w:rsid w:val="00D96CA4"/>
    <w:rsid w:val="00D96D4E"/>
    <w:rsid w:val="00D972C2"/>
    <w:rsid w:val="00D974AE"/>
    <w:rsid w:val="00D976A9"/>
    <w:rsid w:val="00D977E9"/>
    <w:rsid w:val="00D9781D"/>
    <w:rsid w:val="00DA0AD9"/>
    <w:rsid w:val="00DA0D58"/>
    <w:rsid w:val="00DA0D63"/>
    <w:rsid w:val="00DA0E98"/>
    <w:rsid w:val="00DA1308"/>
    <w:rsid w:val="00DA1367"/>
    <w:rsid w:val="00DA13EA"/>
    <w:rsid w:val="00DA1744"/>
    <w:rsid w:val="00DA17EE"/>
    <w:rsid w:val="00DA1EEE"/>
    <w:rsid w:val="00DA210D"/>
    <w:rsid w:val="00DA2530"/>
    <w:rsid w:val="00DA25AD"/>
    <w:rsid w:val="00DA2779"/>
    <w:rsid w:val="00DA284C"/>
    <w:rsid w:val="00DA2896"/>
    <w:rsid w:val="00DA2A13"/>
    <w:rsid w:val="00DA2ED7"/>
    <w:rsid w:val="00DA3636"/>
    <w:rsid w:val="00DA3AE5"/>
    <w:rsid w:val="00DA3F60"/>
    <w:rsid w:val="00DA442D"/>
    <w:rsid w:val="00DA45AB"/>
    <w:rsid w:val="00DA4622"/>
    <w:rsid w:val="00DA46A9"/>
    <w:rsid w:val="00DA5925"/>
    <w:rsid w:val="00DA5A00"/>
    <w:rsid w:val="00DA5A11"/>
    <w:rsid w:val="00DA5FDF"/>
    <w:rsid w:val="00DA6305"/>
    <w:rsid w:val="00DA6751"/>
    <w:rsid w:val="00DA6859"/>
    <w:rsid w:val="00DA73E4"/>
    <w:rsid w:val="00DA792F"/>
    <w:rsid w:val="00DA7AFF"/>
    <w:rsid w:val="00DA7F2D"/>
    <w:rsid w:val="00DB0004"/>
    <w:rsid w:val="00DB00A4"/>
    <w:rsid w:val="00DB03EB"/>
    <w:rsid w:val="00DB07AD"/>
    <w:rsid w:val="00DB07FF"/>
    <w:rsid w:val="00DB099E"/>
    <w:rsid w:val="00DB0E78"/>
    <w:rsid w:val="00DB1068"/>
    <w:rsid w:val="00DB13F7"/>
    <w:rsid w:val="00DB14C2"/>
    <w:rsid w:val="00DB1DE2"/>
    <w:rsid w:val="00DB1FCA"/>
    <w:rsid w:val="00DB2096"/>
    <w:rsid w:val="00DB245E"/>
    <w:rsid w:val="00DB26D1"/>
    <w:rsid w:val="00DB2999"/>
    <w:rsid w:val="00DB2DD7"/>
    <w:rsid w:val="00DB2F1D"/>
    <w:rsid w:val="00DB34BC"/>
    <w:rsid w:val="00DB3604"/>
    <w:rsid w:val="00DB3960"/>
    <w:rsid w:val="00DB3B40"/>
    <w:rsid w:val="00DB3F63"/>
    <w:rsid w:val="00DB3FA4"/>
    <w:rsid w:val="00DB4317"/>
    <w:rsid w:val="00DB45A8"/>
    <w:rsid w:val="00DB46FE"/>
    <w:rsid w:val="00DB475D"/>
    <w:rsid w:val="00DB4892"/>
    <w:rsid w:val="00DB4E28"/>
    <w:rsid w:val="00DB51B8"/>
    <w:rsid w:val="00DB53DE"/>
    <w:rsid w:val="00DB5634"/>
    <w:rsid w:val="00DB5906"/>
    <w:rsid w:val="00DB5AE8"/>
    <w:rsid w:val="00DB5CC5"/>
    <w:rsid w:val="00DB5F28"/>
    <w:rsid w:val="00DB5FD0"/>
    <w:rsid w:val="00DB6728"/>
    <w:rsid w:val="00DB67BC"/>
    <w:rsid w:val="00DB7254"/>
    <w:rsid w:val="00DB75DE"/>
    <w:rsid w:val="00DB7915"/>
    <w:rsid w:val="00DB794D"/>
    <w:rsid w:val="00DB7F14"/>
    <w:rsid w:val="00DC00DD"/>
    <w:rsid w:val="00DC0224"/>
    <w:rsid w:val="00DC02A4"/>
    <w:rsid w:val="00DC0432"/>
    <w:rsid w:val="00DC09B2"/>
    <w:rsid w:val="00DC0B2A"/>
    <w:rsid w:val="00DC0D84"/>
    <w:rsid w:val="00DC0FB0"/>
    <w:rsid w:val="00DC1220"/>
    <w:rsid w:val="00DC12C0"/>
    <w:rsid w:val="00DC16EA"/>
    <w:rsid w:val="00DC1E43"/>
    <w:rsid w:val="00DC1F4A"/>
    <w:rsid w:val="00DC2691"/>
    <w:rsid w:val="00DC2831"/>
    <w:rsid w:val="00DC2863"/>
    <w:rsid w:val="00DC2A78"/>
    <w:rsid w:val="00DC2B53"/>
    <w:rsid w:val="00DC3065"/>
    <w:rsid w:val="00DC3494"/>
    <w:rsid w:val="00DC35D2"/>
    <w:rsid w:val="00DC3612"/>
    <w:rsid w:val="00DC3648"/>
    <w:rsid w:val="00DC3794"/>
    <w:rsid w:val="00DC37CF"/>
    <w:rsid w:val="00DC3C03"/>
    <w:rsid w:val="00DC41A3"/>
    <w:rsid w:val="00DC4789"/>
    <w:rsid w:val="00DC4C8E"/>
    <w:rsid w:val="00DC4C92"/>
    <w:rsid w:val="00DC4CDC"/>
    <w:rsid w:val="00DC5128"/>
    <w:rsid w:val="00DC515B"/>
    <w:rsid w:val="00DC5198"/>
    <w:rsid w:val="00DC53B6"/>
    <w:rsid w:val="00DC56EA"/>
    <w:rsid w:val="00DC5A0D"/>
    <w:rsid w:val="00DC5FCC"/>
    <w:rsid w:val="00DC5FFC"/>
    <w:rsid w:val="00DC6012"/>
    <w:rsid w:val="00DC6B23"/>
    <w:rsid w:val="00DC70D4"/>
    <w:rsid w:val="00DC716A"/>
    <w:rsid w:val="00DC7417"/>
    <w:rsid w:val="00DC75A4"/>
    <w:rsid w:val="00DC76C4"/>
    <w:rsid w:val="00DC7979"/>
    <w:rsid w:val="00DD01B9"/>
    <w:rsid w:val="00DD06DA"/>
    <w:rsid w:val="00DD0761"/>
    <w:rsid w:val="00DD0838"/>
    <w:rsid w:val="00DD0914"/>
    <w:rsid w:val="00DD0D3A"/>
    <w:rsid w:val="00DD0ED2"/>
    <w:rsid w:val="00DD0F81"/>
    <w:rsid w:val="00DD0F8F"/>
    <w:rsid w:val="00DD10B4"/>
    <w:rsid w:val="00DD1285"/>
    <w:rsid w:val="00DD14BA"/>
    <w:rsid w:val="00DD1AE2"/>
    <w:rsid w:val="00DD1C93"/>
    <w:rsid w:val="00DD1D99"/>
    <w:rsid w:val="00DD1E4E"/>
    <w:rsid w:val="00DD2BE9"/>
    <w:rsid w:val="00DD2C29"/>
    <w:rsid w:val="00DD2D00"/>
    <w:rsid w:val="00DD3184"/>
    <w:rsid w:val="00DD3214"/>
    <w:rsid w:val="00DD3626"/>
    <w:rsid w:val="00DD3684"/>
    <w:rsid w:val="00DD3A28"/>
    <w:rsid w:val="00DD3B8A"/>
    <w:rsid w:val="00DD434E"/>
    <w:rsid w:val="00DD4577"/>
    <w:rsid w:val="00DD4647"/>
    <w:rsid w:val="00DD4720"/>
    <w:rsid w:val="00DD4D0A"/>
    <w:rsid w:val="00DD594F"/>
    <w:rsid w:val="00DD5956"/>
    <w:rsid w:val="00DD5A04"/>
    <w:rsid w:val="00DD5CA0"/>
    <w:rsid w:val="00DD5DC7"/>
    <w:rsid w:val="00DD5DCE"/>
    <w:rsid w:val="00DD61E8"/>
    <w:rsid w:val="00DD62C1"/>
    <w:rsid w:val="00DD6318"/>
    <w:rsid w:val="00DD65D0"/>
    <w:rsid w:val="00DD668C"/>
    <w:rsid w:val="00DD66E5"/>
    <w:rsid w:val="00DD6C30"/>
    <w:rsid w:val="00DD6E3D"/>
    <w:rsid w:val="00DD747B"/>
    <w:rsid w:val="00DD76B9"/>
    <w:rsid w:val="00DD7D46"/>
    <w:rsid w:val="00DE01BA"/>
    <w:rsid w:val="00DE02CB"/>
    <w:rsid w:val="00DE04C9"/>
    <w:rsid w:val="00DE06B4"/>
    <w:rsid w:val="00DE06D0"/>
    <w:rsid w:val="00DE0745"/>
    <w:rsid w:val="00DE0A00"/>
    <w:rsid w:val="00DE0AAD"/>
    <w:rsid w:val="00DE0ABA"/>
    <w:rsid w:val="00DE0AE4"/>
    <w:rsid w:val="00DE0B29"/>
    <w:rsid w:val="00DE0DF9"/>
    <w:rsid w:val="00DE0F16"/>
    <w:rsid w:val="00DE0FC4"/>
    <w:rsid w:val="00DE141B"/>
    <w:rsid w:val="00DE1511"/>
    <w:rsid w:val="00DE1E77"/>
    <w:rsid w:val="00DE1FCD"/>
    <w:rsid w:val="00DE21DB"/>
    <w:rsid w:val="00DE23E6"/>
    <w:rsid w:val="00DE28A9"/>
    <w:rsid w:val="00DE2A89"/>
    <w:rsid w:val="00DE2C70"/>
    <w:rsid w:val="00DE2D66"/>
    <w:rsid w:val="00DE3060"/>
    <w:rsid w:val="00DE3139"/>
    <w:rsid w:val="00DE3A12"/>
    <w:rsid w:val="00DE3C0D"/>
    <w:rsid w:val="00DE3D7D"/>
    <w:rsid w:val="00DE42ED"/>
    <w:rsid w:val="00DE4328"/>
    <w:rsid w:val="00DE4F37"/>
    <w:rsid w:val="00DE4FA9"/>
    <w:rsid w:val="00DE51B8"/>
    <w:rsid w:val="00DE53DA"/>
    <w:rsid w:val="00DE55A1"/>
    <w:rsid w:val="00DE58C9"/>
    <w:rsid w:val="00DE6977"/>
    <w:rsid w:val="00DE6A4D"/>
    <w:rsid w:val="00DE6F29"/>
    <w:rsid w:val="00DE6FCB"/>
    <w:rsid w:val="00DE70F9"/>
    <w:rsid w:val="00DE714B"/>
    <w:rsid w:val="00DE71F5"/>
    <w:rsid w:val="00DE7284"/>
    <w:rsid w:val="00DE72CD"/>
    <w:rsid w:val="00DE7385"/>
    <w:rsid w:val="00DE76FA"/>
    <w:rsid w:val="00DE797D"/>
    <w:rsid w:val="00DE7D3F"/>
    <w:rsid w:val="00DE7E1A"/>
    <w:rsid w:val="00DF0095"/>
    <w:rsid w:val="00DF00D3"/>
    <w:rsid w:val="00DF09B7"/>
    <w:rsid w:val="00DF0A49"/>
    <w:rsid w:val="00DF0EDD"/>
    <w:rsid w:val="00DF13FF"/>
    <w:rsid w:val="00DF1504"/>
    <w:rsid w:val="00DF1A57"/>
    <w:rsid w:val="00DF1BDA"/>
    <w:rsid w:val="00DF1BFF"/>
    <w:rsid w:val="00DF1F51"/>
    <w:rsid w:val="00DF20CC"/>
    <w:rsid w:val="00DF24E8"/>
    <w:rsid w:val="00DF2DF6"/>
    <w:rsid w:val="00DF2F00"/>
    <w:rsid w:val="00DF34EE"/>
    <w:rsid w:val="00DF3617"/>
    <w:rsid w:val="00DF40E0"/>
    <w:rsid w:val="00DF439F"/>
    <w:rsid w:val="00DF470A"/>
    <w:rsid w:val="00DF4E10"/>
    <w:rsid w:val="00DF4E41"/>
    <w:rsid w:val="00DF57F3"/>
    <w:rsid w:val="00DF5F60"/>
    <w:rsid w:val="00DF6023"/>
    <w:rsid w:val="00DF651B"/>
    <w:rsid w:val="00DF6805"/>
    <w:rsid w:val="00DF6889"/>
    <w:rsid w:val="00DF68BE"/>
    <w:rsid w:val="00DF6ADA"/>
    <w:rsid w:val="00DF6B2F"/>
    <w:rsid w:val="00DF71A3"/>
    <w:rsid w:val="00DF7201"/>
    <w:rsid w:val="00DF7345"/>
    <w:rsid w:val="00DF772C"/>
    <w:rsid w:val="00DF77EC"/>
    <w:rsid w:val="00DF7C1A"/>
    <w:rsid w:val="00DF7C87"/>
    <w:rsid w:val="00E0014A"/>
    <w:rsid w:val="00E001D2"/>
    <w:rsid w:val="00E00633"/>
    <w:rsid w:val="00E00A7C"/>
    <w:rsid w:val="00E00B20"/>
    <w:rsid w:val="00E00C9C"/>
    <w:rsid w:val="00E00DD1"/>
    <w:rsid w:val="00E0119E"/>
    <w:rsid w:val="00E0137F"/>
    <w:rsid w:val="00E01AB7"/>
    <w:rsid w:val="00E01BCE"/>
    <w:rsid w:val="00E01F8D"/>
    <w:rsid w:val="00E01FA3"/>
    <w:rsid w:val="00E0200F"/>
    <w:rsid w:val="00E02084"/>
    <w:rsid w:val="00E02086"/>
    <w:rsid w:val="00E020C5"/>
    <w:rsid w:val="00E02418"/>
    <w:rsid w:val="00E02A71"/>
    <w:rsid w:val="00E030A2"/>
    <w:rsid w:val="00E032E2"/>
    <w:rsid w:val="00E03324"/>
    <w:rsid w:val="00E03A81"/>
    <w:rsid w:val="00E03BFE"/>
    <w:rsid w:val="00E03C67"/>
    <w:rsid w:val="00E03C8B"/>
    <w:rsid w:val="00E03D08"/>
    <w:rsid w:val="00E040E7"/>
    <w:rsid w:val="00E041C3"/>
    <w:rsid w:val="00E043DC"/>
    <w:rsid w:val="00E046C9"/>
    <w:rsid w:val="00E048CD"/>
    <w:rsid w:val="00E04982"/>
    <w:rsid w:val="00E04E73"/>
    <w:rsid w:val="00E05171"/>
    <w:rsid w:val="00E051B1"/>
    <w:rsid w:val="00E0531F"/>
    <w:rsid w:val="00E059E4"/>
    <w:rsid w:val="00E05A33"/>
    <w:rsid w:val="00E05AAF"/>
    <w:rsid w:val="00E05E6B"/>
    <w:rsid w:val="00E0649A"/>
    <w:rsid w:val="00E067A4"/>
    <w:rsid w:val="00E06A98"/>
    <w:rsid w:val="00E06C6C"/>
    <w:rsid w:val="00E07576"/>
    <w:rsid w:val="00E07E53"/>
    <w:rsid w:val="00E102BE"/>
    <w:rsid w:val="00E10423"/>
    <w:rsid w:val="00E107B1"/>
    <w:rsid w:val="00E109CA"/>
    <w:rsid w:val="00E110B6"/>
    <w:rsid w:val="00E1112F"/>
    <w:rsid w:val="00E1185C"/>
    <w:rsid w:val="00E11C50"/>
    <w:rsid w:val="00E11DB4"/>
    <w:rsid w:val="00E11F33"/>
    <w:rsid w:val="00E124FD"/>
    <w:rsid w:val="00E12736"/>
    <w:rsid w:val="00E1287F"/>
    <w:rsid w:val="00E12B6A"/>
    <w:rsid w:val="00E12BF5"/>
    <w:rsid w:val="00E12CA0"/>
    <w:rsid w:val="00E13540"/>
    <w:rsid w:val="00E138CB"/>
    <w:rsid w:val="00E14010"/>
    <w:rsid w:val="00E140C3"/>
    <w:rsid w:val="00E1418E"/>
    <w:rsid w:val="00E143E5"/>
    <w:rsid w:val="00E14735"/>
    <w:rsid w:val="00E14768"/>
    <w:rsid w:val="00E147B4"/>
    <w:rsid w:val="00E1485B"/>
    <w:rsid w:val="00E15450"/>
    <w:rsid w:val="00E155DC"/>
    <w:rsid w:val="00E159F3"/>
    <w:rsid w:val="00E15D27"/>
    <w:rsid w:val="00E15D2E"/>
    <w:rsid w:val="00E15D72"/>
    <w:rsid w:val="00E15E49"/>
    <w:rsid w:val="00E1757B"/>
    <w:rsid w:val="00E176F6"/>
    <w:rsid w:val="00E178D4"/>
    <w:rsid w:val="00E17DE0"/>
    <w:rsid w:val="00E20011"/>
    <w:rsid w:val="00E2004D"/>
    <w:rsid w:val="00E2006A"/>
    <w:rsid w:val="00E200B3"/>
    <w:rsid w:val="00E20255"/>
    <w:rsid w:val="00E204ED"/>
    <w:rsid w:val="00E20526"/>
    <w:rsid w:val="00E20853"/>
    <w:rsid w:val="00E20963"/>
    <w:rsid w:val="00E209F6"/>
    <w:rsid w:val="00E214D6"/>
    <w:rsid w:val="00E2166B"/>
    <w:rsid w:val="00E218E7"/>
    <w:rsid w:val="00E21DA5"/>
    <w:rsid w:val="00E21EB9"/>
    <w:rsid w:val="00E22121"/>
    <w:rsid w:val="00E226C2"/>
    <w:rsid w:val="00E22C25"/>
    <w:rsid w:val="00E22EEE"/>
    <w:rsid w:val="00E23C68"/>
    <w:rsid w:val="00E23FBB"/>
    <w:rsid w:val="00E24113"/>
    <w:rsid w:val="00E24A4D"/>
    <w:rsid w:val="00E24D3D"/>
    <w:rsid w:val="00E24F17"/>
    <w:rsid w:val="00E24F8C"/>
    <w:rsid w:val="00E2516C"/>
    <w:rsid w:val="00E25703"/>
    <w:rsid w:val="00E25827"/>
    <w:rsid w:val="00E2582E"/>
    <w:rsid w:val="00E258E9"/>
    <w:rsid w:val="00E2595A"/>
    <w:rsid w:val="00E265D1"/>
    <w:rsid w:val="00E266B5"/>
    <w:rsid w:val="00E267F6"/>
    <w:rsid w:val="00E268F7"/>
    <w:rsid w:val="00E2698A"/>
    <w:rsid w:val="00E26C71"/>
    <w:rsid w:val="00E26F84"/>
    <w:rsid w:val="00E275CA"/>
    <w:rsid w:val="00E27822"/>
    <w:rsid w:val="00E27D62"/>
    <w:rsid w:val="00E306B1"/>
    <w:rsid w:val="00E308B6"/>
    <w:rsid w:val="00E3096C"/>
    <w:rsid w:val="00E30BBD"/>
    <w:rsid w:val="00E30CE6"/>
    <w:rsid w:val="00E30CEC"/>
    <w:rsid w:val="00E30F9A"/>
    <w:rsid w:val="00E3103E"/>
    <w:rsid w:val="00E31112"/>
    <w:rsid w:val="00E31B04"/>
    <w:rsid w:val="00E31EF6"/>
    <w:rsid w:val="00E31F49"/>
    <w:rsid w:val="00E321F1"/>
    <w:rsid w:val="00E32559"/>
    <w:rsid w:val="00E3299C"/>
    <w:rsid w:val="00E329CC"/>
    <w:rsid w:val="00E32B4B"/>
    <w:rsid w:val="00E32C50"/>
    <w:rsid w:val="00E32DF0"/>
    <w:rsid w:val="00E32E99"/>
    <w:rsid w:val="00E33056"/>
    <w:rsid w:val="00E33361"/>
    <w:rsid w:val="00E33B9E"/>
    <w:rsid w:val="00E34559"/>
    <w:rsid w:val="00E3476D"/>
    <w:rsid w:val="00E34EEC"/>
    <w:rsid w:val="00E350EE"/>
    <w:rsid w:val="00E3538C"/>
    <w:rsid w:val="00E3552E"/>
    <w:rsid w:val="00E35F42"/>
    <w:rsid w:val="00E363D1"/>
    <w:rsid w:val="00E36695"/>
    <w:rsid w:val="00E36727"/>
    <w:rsid w:val="00E3699B"/>
    <w:rsid w:val="00E36A1E"/>
    <w:rsid w:val="00E36B6F"/>
    <w:rsid w:val="00E36BB4"/>
    <w:rsid w:val="00E372C0"/>
    <w:rsid w:val="00E3771F"/>
    <w:rsid w:val="00E377E8"/>
    <w:rsid w:val="00E37BAF"/>
    <w:rsid w:val="00E37E08"/>
    <w:rsid w:val="00E37F64"/>
    <w:rsid w:val="00E406F8"/>
    <w:rsid w:val="00E4085A"/>
    <w:rsid w:val="00E408D3"/>
    <w:rsid w:val="00E4111F"/>
    <w:rsid w:val="00E411B1"/>
    <w:rsid w:val="00E41806"/>
    <w:rsid w:val="00E41EF1"/>
    <w:rsid w:val="00E42565"/>
    <w:rsid w:val="00E42D4C"/>
    <w:rsid w:val="00E42D74"/>
    <w:rsid w:val="00E42E1A"/>
    <w:rsid w:val="00E42E62"/>
    <w:rsid w:val="00E42FD0"/>
    <w:rsid w:val="00E434B2"/>
    <w:rsid w:val="00E437D7"/>
    <w:rsid w:val="00E43A46"/>
    <w:rsid w:val="00E43A71"/>
    <w:rsid w:val="00E43DD4"/>
    <w:rsid w:val="00E43EE1"/>
    <w:rsid w:val="00E43F68"/>
    <w:rsid w:val="00E44305"/>
    <w:rsid w:val="00E444F7"/>
    <w:rsid w:val="00E44530"/>
    <w:rsid w:val="00E446A7"/>
    <w:rsid w:val="00E44A4B"/>
    <w:rsid w:val="00E44F76"/>
    <w:rsid w:val="00E45002"/>
    <w:rsid w:val="00E450F1"/>
    <w:rsid w:val="00E451F4"/>
    <w:rsid w:val="00E455F8"/>
    <w:rsid w:val="00E4580F"/>
    <w:rsid w:val="00E459F3"/>
    <w:rsid w:val="00E45C8A"/>
    <w:rsid w:val="00E46187"/>
    <w:rsid w:val="00E4678B"/>
    <w:rsid w:val="00E46A43"/>
    <w:rsid w:val="00E46AC7"/>
    <w:rsid w:val="00E46DD0"/>
    <w:rsid w:val="00E46E1F"/>
    <w:rsid w:val="00E47616"/>
    <w:rsid w:val="00E476C5"/>
    <w:rsid w:val="00E47952"/>
    <w:rsid w:val="00E47B69"/>
    <w:rsid w:val="00E47B85"/>
    <w:rsid w:val="00E47C8F"/>
    <w:rsid w:val="00E47CDF"/>
    <w:rsid w:val="00E47DE5"/>
    <w:rsid w:val="00E47FE6"/>
    <w:rsid w:val="00E5003B"/>
    <w:rsid w:val="00E507DD"/>
    <w:rsid w:val="00E50888"/>
    <w:rsid w:val="00E50899"/>
    <w:rsid w:val="00E50C0D"/>
    <w:rsid w:val="00E51285"/>
    <w:rsid w:val="00E51418"/>
    <w:rsid w:val="00E517FE"/>
    <w:rsid w:val="00E518ED"/>
    <w:rsid w:val="00E51A95"/>
    <w:rsid w:val="00E51AC3"/>
    <w:rsid w:val="00E51FD6"/>
    <w:rsid w:val="00E528BD"/>
    <w:rsid w:val="00E52D71"/>
    <w:rsid w:val="00E5398E"/>
    <w:rsid w:val="00E53E1C"/>
    <w:rsid w:val="00E54802"/>
    <w:rsid w:val="00E54B3E"/>
    <w:rsid w:val="00E54DD9"/>
    <w:rsid w:val="00E5524C"/>
    <w:rsid w:val="00E55467"/>
    <w:rsid w:val="00E55A15"/>
    <w:rsid w:val="00E55F06"/>
    <w:rsid w:val="00E5603E"/>
    <w:rsid w:val="00E56040"/>
    <w:rsid w:val="00E560D7"/>
    <w:rsid w:val="00E56177"/>
    <w:rsid w:val="00E56308"/>
    <w:rsid w:val="00E56748"/>
    <w:rsid w:val="00E56850"/>
    <w:rsid w:val="00E56875"/>
    <w:rsid w:val="00E56E04"/>
    <w:rsid w:val="00E5744A"/>
    <w:rsid w:val="00E57666"/>
    <w:rsid w:val="00E57B17"/>
    <w:rsid w:val="00E57BF7"/>
    <w:rsid w:val="00E57F74"/>
    <w:rsid w:val="00E60236"/>
    <w:rsid w:val="00E60348"/>
    <w:rsid w:val="00E604D5"/>
    <w:rsid w:val="00E605FF"/>
    <w:rsid w:val="00E606B4"/>
    <w:rsid w:val="00E60DD5"/>
    <w:rsid w:val="00E61678"/>
    <w:rsid w:val="00E61B2B"/>
    <w:rsid w:val="00E61BFF"/>
    <w:rsid w:val="00E61C91"/>
    <w:rsid w:val="00E620D6"/>
    <w:rsid w:val="00E62172"/>
    <w:rsid w:val="00E6225E"/>
    <w:rsid w:val="00E622A0"/>
    <w:rsid w:val="00E628AB"/>
    <w:rsid w:val="00E62921"/>
    <w:rsid w:val="00E62D7D"/>
    <w:rsid w:val="00E62F87"/>
    <w:rsid w:val="00E630FB"/>
    <w:rsid w:val="00E63499"/>
    <w:rsid w:val="00E634CE"/>
    <w:rsid w:val="00E63AD3"/>
    <w:rsid w:val="00E63CD4"/>
    <w:rsid w:val="00E63FA9"/>
    <w:rsid w:val="00E64438"/>
    <w:rsid w:val="00E64662"/>
    <w:rsid w:val="00E648DB"/>
    <w:rsid w:val="00E648F0"/>
    <w:rsid w:val="00E64B38"/>
    <w:rsid w:val="00E64B9C"/>
    <w:rsid w:val="00E64E3D"/>
    <w:rsid w:val="00E64FDC"/>
    <w:rsid w:val="00E65001"/>
    <w:rsid w:val="00E6516B"/>
    <w:rsid w:val="00E65472"/>
    <w:rsid w:val="00E655D2"/>
    <w:rsid w:val="00E6580C"/>
    <w:rsid w:val="00E6587A"/>
    <w:rsid w:val="00E659B5"/>
    <w:rsid w:val="00E65C0B"/>
    <w:rsid w:val="00E65EE5"/>
    <w:rsid w:val="00E66465"/>
    <w:rsid w:val="00E66734"/>
    <w:rsid w:val="00E66891"/>
    <w:rsid w:val="00E672F9"/>
    <w:rsid w:val="00E6737E"/>
    <w:rsid w:val="00E67538"/>
    <w:rsid w:val="00E67673"/>
    <w:rsid w:val="00E678C9"/>
    <w:rsid w:val="00E67C6D"/>
    <w:rsid w:val="00E67D11"/>
    <w:rsid w:val="00E70007"/>
    <w:rsid w:val="00E70085"/>
    <w:rsid w:val="00E70A22"/>
    <w:rsid w:val="00E70BE9"/>
    <w:rsid w:val="00E7116B"/>
    <w:rsid w:val="00E712BC"/>
    <w:rsid w:val="00E714BC"/>
    <w:rsid w:val="00E7166E"/>
    <w:rsid w:val="00E7179E"/>
    <w:rsid w:val="00E71CFC"/>
    <w:rsid w:val="00E721B1"/>
    <w:rsid w:val="00E7230D"/>
    <w:rsid w:val="00E723A1"/>
    <w:rsid w:val="00E72444"/>
    <w:rsid w:val="00E7253F"/>
    <w:rsid w:val="00E725EE"/>
    <w:rsid w:val="00E7297A"/>
    <w:rsid w:val="00E72FE9"/>
    <w:rsid w:val="00E7311D"/>
    <w:rsid w:val="00E732D1"/>
    <w:rsid w:val="00E7330A"/>
    <w:rsid w:val="00E73364"/>
    <w:rsid w:val="00E73463"/>
    <w:rsid w:val="00E73882"/>
    <w:rsid w:val="00E739DB"/>
    <w:rsid w:val="00E73C73"/>
    <w:rsid w:val="00E74221"/>
    <w:rsid w:val="00E74590"/>
    <w:rsid w:val="00E74670"/>
    <w:rsid w:val="00E7483D"/>
    <w:rsid w:val="00E749D4"/>
    <w:rsid w:val="00E74BEC"/>
    <w:rsid w:val="00E759F4"/>
    <w:rsid w:val="00E75B44"/>
    <w:rsid w:val="00E75CBE"/>
    <w:rsid w:val="00E765B0"/>
    <w:rsid w:val="00E76604"/>
    <w:rsid w:val="00E7688B"/>
    <w:rsid w:val="00E7694E"/>
    <w:rsid w:val="00E76A0C"/>
    <w:rsid w:val="00E76CBC"/>
    <w:rsid w:val="00E7795B"/>
    <w:rsid w:val="00E77F4B"/>
    <w:rsid w:val="00E8018B"/>
    <w:rsid w:val="00E801A9"/>
    <w:rsid w:val="00E801C5"/>
    <w:rsid w:val="00E8030E"/>
    <w:rsid w:val="00E80A41"/>
    <w:rsid w:val="00E80E8F"/>
    <w:rsid w:val="00E80FD7"/>
    <w:rsid w:val="00E811F3"/>
    <w:rsid w:val="00E81263"/>
    <w:rsid w:val="00E81501"/>
    <w:rsid w:val="00E8169A"/>
    <w:rsid w:val="00E8177B"/>
    <w:rsid w:val="00E8185B"/>
    <w:rsid w:val="00E81A8A"/>
    <w:rsid w:val="00E81BC2"/>
    <w:rsid w:val="00E82160"/>
    <w:rsid w:val="00E82989"/>
    <w:rsid w:val="00E829A0"/>
    <w:rsid w:val="00E82B30"/>
    <w:rsid w:val="00E82D64"/>
    <w:rsid w:val="00E82F56"/>
    <w:rsid w:val="00E82FCA"/>
    <w:rsid w:val="00E830BF"/>
    <w:rsid w:val="00E83286"/>
    <w:rsid w:val="00E8356D"/>
    <w:rsid w:val="00E83602"/>
    <w:rsid w:val="00E839DF"/>
    <w:rsid w:val="00E83A7E"/>
    <w:rsid w:val="00E83B01"/>
    <w:rsid w:val="00E83C48"/>
    <w:rsid w:val="00E83FE9"/>
    <w:rsid w:val="00E841EB"/>
    <w:rsid w:val="00E842CE"/>
    <w:rsid w:val="00E843A8"/>
    <w:rsid w:val="00E8442B"/>
    <w:rsid w:val="00E84514"/>
    <w:rsid w:val="00E849FD"/>
    <w:rsid w:val="00E851FA"/>
    <w:rsid w:val="00E85219"/>
    <w:rsid w:val="00E8546A"/>
    <w:rsid w:val="00E8546F"/>
    <w:rsid w:val="00E854EB"/>
    <w:rsid w:val="00E854EF"/>
    <w:rsid w:val="00E859D6"/>
    <w:rsid w:val="00E85E89"/>
    <w:rsid w:val="00E860A7"/>
    <w:rsid w:val="00E8651D"/>
    <w:rsid w:val="00E8687D"/>
    <w:rsid w:val="00E86D41"/>
    <w:rsid w:val="00E871A4"/>
    <w:rsid w:val="00E871F8"/>
    <w:rsid w:val="00E8722D"/>
    <w:rsid w:val="00E8747D"/>
    <w:rsid w:val="00E874CC"/>
    <w:rsid w:val="00E8773D"/>
    <w:rsid w:val="00E87A0A"/>
    <w:rsid w:val="00E87D1B"/>
    <w:rsid w:val="00E87F7B"/>
    <w:rsid w:val="00E90243"/>
    <w:rsid w:val="00E90AFE"/>
    <w:rsid w:val="00E90C9E"/>
    <w:rsid w:val="00E90D8F"/>
    <w:rsid w:val="00E90FA0"/>
    <w:rsid w:val="00E910C0"/>
    <w:rsid w:val="00E913EB"/>
    <w:rsid w:val="00E91EF6"/>
    <w:rsid w:val="00E92737"/>
    <w:rsid w:val="00E92754"/>
    <w:rsid w:val="00E929B2"/>
    <w:rsid w:val="00E92B43"/>
    <w:rsid w:val="00E92B87"/>
    <w:rsid w:val="00E92C1F"/>
    <w:rsid w:val="00E92E2D"/>
    <w:rsid w:val="00E9308F"/>
    <w:rsid w:val="00E9362B"/>
    <w:rsid w:val="00E9373F"/>
    <w:rsid w:val="00E938E5"/>
    <w:rsid w:val="00E93DD3"/>
    <w:rsid w:val="00E93FAE"/>
    <w:rsid w:val="00E94BE4"/>
    <w:rsid w:val="00E94E5C"/>
    <w:rsid w:val="00E956BC"/>
    <w:rsid w:val="00E958D6"/>
    <w:rsid w:val="00E95987"/>
    <w:rsid w:val="00E95D2B"/>
    <w:rsid w:val="00E96502"/>
    <w:rsid w:val="00E96C28"/>
    <w:rsid w:val="00E96C90"/>
    <w:rsid w:val="00E9721D"/>
    <w:rsid w:val="00E97E08"/>
    <w:rsid w:val="00E97E58"/>
    <w:rsid w:val="00EA0135"/>
    <w:rsid w:val="00EA02A2"/>
    <w:rsid w:val="00EA061D"/>
    <w:rsid w:val="00EA0795"/>
    <w:rsid w:val="00EA0C4B"/>
    <w:rsid w:val="00EA0E2A"/>
    <w:rsid w:val="00EA0E73"/>
    <w:rsid w:val="00EA0E8D"/>
    <w:rsid w:val="00EA1ACC"/>
    <w:rsid w:val="00EA1F74"/>
    <w:rsid w:val="00EA20A7"/>
    <w:rsid w:val="00EA2346"/>
    <w:rsid w:val="00EA241D"/>
    <w:rsid w:val="00EA2460"/>
    <w:rsid w:val="00EA261B"/>
    <w:rsid w:val="00EA2622"/>
    <w:rsid w:val="00EA2641"/>
    <w:rsid w:val="00EA2984"/>
    <w:rsid w:val="00EA2CCC"/>
    <w:rsid w:val="00EA345C"/>
    <w:rsid w:val="00EA358F"/>
    <w:rsid w:val="00EA36E7"/>
    <w:rsid w:val="00EA3943"/>
    <w:rsid w:val="00EA3FBF"/>
    <w:rsid w:val="00EA41D6"/>
    <w:rsid w:val="00EA4527"/>
    <w:rsid w:val="00EA45A6"/>
    <w:rsid w:val="00EA48EE"/>
    <w:rsid w:val="00EA4A39"/>
    <w:rsid w:val="00EA4F55"/>
    <w:rsid w:val="00EA50F2"/>
    <w:rsid w:val="00EA5410"/>
    <w:rsid w:val="00EA5428"/>
    <w:rsid w:val="00EA5890"/>
    <w:rsid w:val="00EA599D"/>
    <w:rsid w:val="00EA5B0B"/>
    <w:rsid w:val="00EA5B71"/>
    <w:rsid w:val="00EA5CD9"/>
    <w:rsid w:val="00EA61B2"/>
    <w:rsid w:val="00EA65D6"/>
    <w:rsid w:val="00EA65D8"/>
    <w:rsid w:val="00EA6881"/>
    <w:rsid w:val="00EA705A"/>
    <w:rsid w:val="00EB019B"/>
    <w:rsid w:val="00EB027A"/>
    <w:rsid w:val="00EB077F"/>
    <w:rsid w:val="00EB0E7C"/>
    <w:rsid w:val="00EB0F76"/>
    <w:rsid w:val="00EB107B"/>
    <w:rsid w:val="00EB10B4"/>
    <w:rsid w:val="00EB1159"/>
    <w:rsid w:val="00EB11AD"/>
    <w:rsid w:val="00EB180D"/>
    <w:rsid w:val="00EB1BC9"/>
    <w:rsid w:val="00EB1F2E"/>
    <w:rsid w:val="00EB215A"/>
    <w:rsid w:val="00EB2283"/>
    <w:rsid w:val="00EB23BE"/>
    <w:rsid w:val="00EB2757"/>
    <w:rsid w:val="00EB29A3"/>
    <w:rsid w:val="00EB2AD5"/>
    <w:rsid w:val="00EB2E56"/>
    <w:rsid w:val="00EB301B"/>
    <w:rsid w:val="00EB341D"/>
    <w:rsid w:val="00EB357F"/>
    <w:rsid w:val="00EB35E8"/>
    <w:rsid w:val="00EB3814"/>
    <w:rsid w:val="00EB3B6C"/>
    <w:rsid w:val="00EB43E9"/>
    <w:rsid w:val="00EB4695"/>
    <w:rsid w:val="00EB47E7"/>
    <w:rsid w:val="00EB4A25"/>
    <w:rsid w:val="00EB4B28"/>
    <w:rsid w:val="00EB4D02"/>
    <w:rsid w:val="00EB5268"/>
    <w:rsid w:val="00EB54F2"/>
    <w:rsid w:val="00EB595D"/>
    <w:rsid w:val="00EB5CDF"/>
    <w:rsid w:val="00EB6295"/>
    <w:rsid w:val="00EB693B"/>
    <w:rsid w:val="00EB6CA3"/>
    <w:rsid w:val="00EB6CD4"/>
    <w:rsid w:val="00EB6DC9"/>
    <w:rsid w:val="00EB703F"/>
    <w:rsid w:val="00EB719E"/>
    <w:rsid w:val="00EB7299"/>
    <w:rsid w:val="00EB7474"/>
    <w:rsid w:val="00EB74A8"/>
    <w:rsid w:val="00EB7855"/>
    <w:rsid w:val="00EB7AAA"/>
    <w:rsid w:val="00EB7CA0"/>
    <w:rsid w:val="00EB7E16"/>
    <w:rsid w:val="00EB7ED5"/>
    <w:rsid w:val="00EC041E"/>
    <w:rsid w:val="00EC0D4F"/>
    <w:rsid w:val="00EC0EEB"/>
    <w:rsid w:val="00EC114D"/>
    <w:rsid w:val="00EC1511"/>
    <w:rsid w:val="00EC167D"/>
    <w:rsid w:val="00EC17EC"/>
    <w:rsid w:val="00EC214D"/>
    <w:rsid w:val="00EC2174"/>
    <w:rsid w:val="00EC2199"/>
    <w:rsid w:val="00EC2429"/>
    <w:rsid w:val="00EC2485"/>
    <w:rsid w:val="00EC2B01"/>
    <w:rsid w:val="00EC2C90"/>
    <w:rsid w:val="00EC309C"/>
    <w:rsid w:val="00EC30FA"/>
    <w:rsid w:val="00EC341C"/>
    <w:rsid w:val="00EC39C4"/>
    <w:rsid w:val="00EC43FC"/>
    <w:rsid w:val="00EC4452"/>
    <w:rsid w:val="00EC4461"/>
    <w:rsid w:val="00EC5256"/>
    <w:rsid w:val="00EC5819"/>
    <w:rsid w:val="00EC5863"/>
    <w:rsid w:val="00EC5BAC"/>
    <w:rsid w:val="00EC5D5F"/>
    <w:rsid w:val="00EC5E1C"/>
    <w:rsid w:val="00EC6244"/>
    <w:rsid w:val="00EC68F4"/>
    <w:rsid w:val="00EC6A0B"/>
    <w:rsid w:val="00EC6B66"/>
    <w:rsid w:val="00EC6CD5"/>
    <w:rsid w:val="00EC6EFF"/>
    <w:rsid w:val="00EC72E9"/>
    <w:rsid w:val="00EC746A"/>
    <w:rsid w:val="00EC74B8"/>
    <w:rsid w:val="00EC7A61"/>
    <w:rsid w:val="00EC7EF9"/>
    <w:rsid w:val="00EC7F73"/>
    <w:rsid w:val="00ED0364"/>
    <w:rsid w:val="00ED0490"/>
    <w:rsid w:val="00ED07F0"/>
    <w:rsid w:val="00ED113D"/>
    <w:rsid w:val="00ED173A"/>
    <w:rsid w:val="00ED1831"/>
    <w:rsid w:val="00ED1B4C"/>
    <w:rsid w:val="00ED1D85"/>
    <w:rsid w:val="00ED232D"/>
    <w:rsid w:val="00ED2767"/>
    <w:rsid w:val="00ED299A"/>
    <w:rsid w:val="00ED2C4F"/>
    <w:rsid w:val="00ED305A"/>
    <w:rsid w:val="00ED310D"/>
    <w:rsid w:val="00ED374B"/>
    <w:rsid w:val="00ED37C0"/>
    <w:rsid w:val="00ED3811"/>
    <w:rsid w:val="00ED3822"/>
    <w:rsid w:val="00ED3845"/>
    <w:rsid w:val="00ED38A4"/>
    <w:rsid w:val="00ED38EE"/>
    <w:rsid w:val="00ED477E"/>
    <w:rsid w:val="00ED48AF"/>
    <w:rsid w:val="00ED4915"/>
    <w:rsid w:val="00ED4A3F"/>
    <w:rsid w:val="00ED4EFB"/>
    <w:rsid w:val="00ED4F0B"/>
    <w:rsid w:val="00ED513B"/>
    <w:rsid w:val="00ED5334"/>
    <w:rsid w:val="00ED570F"/>
    <w:rsid w:val="00ED5B41"/>
    <w:rsid w:val="00ED5D29"/>
    <w:rsid w:val="00ED622C"/>
    <w:rsid w:val="00ED62EE"/>
    <w:rsid w:val="00ED660F"/>
    <w:rsid w:val="00ED6610"/>
    <w:rsid w:val="00ED66FD"/>
    <w:rsid w:val="00ED683D"/>
    <w:rsid w:val="00ED73FA"/>
    <w:rsid w:val="00ED74DD"/>
    <w:rsid w:val="00ED76C1"/>
    <w:rsid w:val="00ED77B3"/>
    <w:rsid w:val="00ED7A2F"/>
    <w:rsid w:val="00ED7AAE"/>
    <w:rsid w:val="00ED7B38"/>
    <w:rsid w:val="00ED7D10"/>
    <w:rsid w:val="00ED7EC8"/>
    <w:rsid w:val="00EE0033"/>
    <w:rsid w:val="00EE007E"/>
    <w:rsid w:val="00EE033D"/>
    <w:rsid w:val="00EE08C8"/>
    <w:rsid w:val="00EE08F2"/>
    <w:rsid w:val="00EE0AA0"/>
    <w:rsid w:val="00EE1240"/>
    <w:rsid w:val="00EE136D"/>
    <w:rsid w:val="00EE14B4"/>
    <w:rsid w:val="00EE1594"/>
    <w:rsid w:val="00EE168C"/>
    <w:rsid w:val="00EE16EF"/>
    <w:rsid w:val="00EE1AE0"/>
    <w:rsid w:val="00EE1D1B"/>
    <w:rsid w:val="00EE1E99"/>
    <w:rsid w:val="00EE1FD6"/>
    <w:rsid w:val="00EE22E2"/>
    <w:rsid w:val="00EE23C6"/>
    <w:rsid w:val="00EE273D"/>
    <w:rsid w:val="00EE294F"/>
    <w:rsid w:val="00EE2B86"/>
    <w:rsid w:val="00EE2E1A"/>
    <w:rsid w:val="00EE320F"/>
    <w:rsid w:val="00EE3BEC"/>
    <w:rsid w:val="00EE3CFF"/>
    <w:rsid w:val="00EE3F3E"/>
    <w:rsid w:val="00EE412D"/>
    <w:rsid w:val="00EE447B"/>
    <w:rsid w:val="00EE471B"/>
    <w:rsid w:val="00EE47C5"/>
    <w:rsid w:val="00EE48C8"/>
    <w:rsid w:val="00EE4CFA"/>
    <w:rsid w:val="00EE5604"/>
    <w:rsid w:val="00EE5AAB"/>
    <w:rsid w:val="00EE5E1F"/>
    <w:rsid w:val="00EE69E6"/>
    <w:rsid w:val="00EE6F51"/>
    <w:rsid w:val="00EE7274"/>
    <w:rsid w:val="00EE729F"/>
    <w:rsid w:val="00EE7456"/>
    <w:rsid w:val="00EE761F"/>
    <w:rsid w:val="00EE7A37"/>
    <w:rsid w:val="00EE7A6A"/>
    <w:rsid w:val="00EF00E8"/>
    <w:rsid w:val="00EF00FE"/>
    <w:rsid w:val="00EF0162"/>
    <w:rsid w:val="00EF02DC"/>
    <w:rsid w:val="00EF064C"/>
    <w:rsid w:val="00EF06C5"/>
    <w:rsid w:val="00EF06DD"/>
    <w:rsid w:val="00EF1703"/>
    <w:rsid w:val="00EF20AE"/>
    <w:rsid w:val="00EF20B0"/>
    <w:rsid w:val="00EF2136"/>
    <w:rsid w:val="00EF24BF"/>
    <w:rsid w:val="00EF2999"/>
    <w:rsid w:val="00EF3233"/>
    <w:rsid w:val="00EF347F"/>
    <w:rsid w:val="00EF36DB"/>
    <w:rsid w:val="00EF37C9"/>
    <w:rsid w:val="00EF38D5"/>
    <w:rsid w:val="00EF3918"/>
    <w:rsid w:val="00EF3B18"/>
    <w:rsid w:val="00EF3BB9"/>
    <w:rsid w:val="00EF3DED"/>
    <w:rsid w:val="00EF3E68"/>
    <w:rsid w:val="00EF41D1"/>
    <w:rsid w:val="00EF41D4"/>
    <w:rsid w:val="00EF42A2"/>
    <w:rsid w:val="00EF4336"/>
    <w:rsid w:val="00EF470B"/>
    <w:rsid w:val="00EF49A2"/>
    <w:rsid w:val="00EF49C6"/>
    <w:rsid w:val="00EF4A45"/>
    <w:rsid w:val="00EF4AFF"/>
    <w:rsid w:val="00EF4DF0"/>
    <w:rsid w:val="00EF4E48"/>
    <w:rsid w:val="00EF512C"/>
    <w:rsid w:val="00EF53C7"/>
    <w:rsid w:val="00EF5650"/>
    <w:rsid w:val="00EF5AF1"/>
    <w:rsid w:val="00EF5BFD"/>
    <w:rsid w:val="00EF5EC8"/>
    <w:rsid w:val="00EF62F0"/>
    <w:rsid w:val="00EF6425"/>
    <w:rsid w:val="00EF64AB"/>
    <w:rsid w:val="00EF65D1"/>
    <w:rsid w:val="00EF65E3"/>
    <w:rsid w:val="00EF666E"/>
    <w:rsid w:val="00EF690D"/>
    <w:rsid w:val="00EF69EF"/>
    <w:rsid w:val="00EF706B"/>
    <w:rsid w:val="00EF73DC"/>
    <w:rsid w:val="00EF763A"/>
    <w:rsid w:val="00EF7C65"/>
    <w:rsid w:val="00EF7D05"/>
    <w:rsid w:val="00EF7FD7"/>
    <w:rsid w:val="00F0011B"/>
    <w:rsid w:val="00F00188"/>
    <w:rsid w:val="00F00316"/>
    <w:rsid w:val="00F00739"/>
    <w:rsid w:val="00F00C0F"/>
    <w:rsid w:val="00F00F15"/>
    <w:rsid w:val="00F012BD"/>
    <w:rsid w:val="00F013FF"/>
    <w:rsid w:val="00F01AC1"/>
    <w:rsid w:val="00F01B40"/>
    <w:rsid w:val="00F01BDB"/>
    <w:rsid w:val="00F021A3"/>
    <w:rsid w:val="00F02235"/>
    <w:rsid w:val="00F02263"/>
    <w:rsid w:val="00F02284"/>
    <w:rsid w:val="00F02759"/>
    <w:rsid w:val="00F02E10"/>
    <w:rsid w:val="00F0332B"/>
    <w:rsid w:val="00F033CD"/>
    <w:rsid w:val="00F039DE"/>
    <w:rsid w:val="00F03B46"/>
    <w:rsid w:val="00F03B6E"/>
    <w:rsid w:val="00F03E80"/>
    <w:rsid w:val="00F0434C"/>
    <w:rsid w:val="00F0439D"/>
    <w:rsid w:val="00F043A5"/>
    <w:rsid w:val="00F04B40"/>
    <w:rsid w:val="00F04B81"/>
    <w:rsid w:val="00F04F0A"/>
    <w:rsid w:val="00F054F3"/>
    <w:rsid w:val="00F056DD"/>
    <w:rsid w:val="00F058A2"/>
    <w:rsid w:val="00F058C7"/>
    <w:rsid w:val="00F0594B"/>
    <w:rsid w:val="00F05B99"/>
    <w:rsid w:val="00F05E25"/>
    <w:rsid w:val="00F05EAF"/>
    <w:rsid w:val="00F06316"/>
    <w:rsid w:val="00F066AB"/>
    <w:rsid w:val="00F06944"/>
    <w:rsid w:val="00F06F99"/>
    <w:rsid w:val="00F07525"/>
    <w:rsid w:val="00F077B0"/>
    <w:rsid w:val="00F07A76"/>
    <w:rsid w:val="00F10004"/>
    <w:rsid w:val="00F10343"/>
    <w:rsid w:val="00F1049D"/>
    <w:rsid w:val="00F10615"/>
    <w:rsid w:val="00F1069E"/>
    <w:rsid w:val="00F110A3"/>
    <w:rsid w:val="00F1120F"/>
    <w:rsid w:val="00F11350"/>
    <w:rsid w:val="00F113AC"/>
    <w:rsid w:val="00F1163E"/>
    <w:rsid w:val="00F11754"/>
    <w:rsid w:val="00F11C7C"/>
    <w:rsid w:val="00F11CC6"/>
    <w:rsid w:val="00F11E08"/>
    <w:rsid w:val="00F121B1"/>
    <w:rsid w:val="00F123AE"/>
    <w:rsid w:val="00F12611"/>
    <w:rsid w:val="00F131E7"/>
    <w:rsid w:val="00F13200"/>
    <w:rsid w:val="00F13655"/>
    <w:rsid w:val="00F13AB0"/>
    <w:rsid w:val="00F13D21"/>
    <w:rsid w:val="00F14123"/>
    <w:rsid w:val="00F147D8"/>
    <w:rsid w:val="00F14814"/>
    <w:rsid w:val="00F14982"/>
    <w:rsid w:val="00F14B69"/>
    <w:rsid w:val="00F15042"/>
    <w:rsid w:val="00F150DB"/>
    <w:rsid w:val="00F1513B"/>
    <w:rsid w:val="00F15749"/>
    <w:rsid w:val="00F15C12"/>
    <w:rsid w:val="00F16372"/>
    <w:rsid w:val="00F16BAB"/>
    <w:rsid w:val="00F16CEC"/>
    <w:rsid w:val="00F16FD8"/>
    <w:rsid w:val="00F17055"/>
    <w:rsid w:val="00F1707E"/>
    <w:rsid w:val="00F173E3"/>
    <w:rsid w:val="00F17645"/>
    <w:rsid w:val="00F17875"/>
    <w:rsid w:val="00F1799F"/>
    <w:rsid w:val="00F17A82"/>
    <w:rsid w:val="00F17A8D"/>
    <w:rsid w:val="00F17C7F"/>
    <w:rsid w:val="00F17E05"/>
    <w:rsid w:val="00F201A9"/>
    <w:rsid w:val="00F20267"/>
    <w:rsid w:val="00F2074D"/>
    <w:rsid w:val="00F20A06"/>
    <w:rsid w:val="00F20F4C"/>
    <w:rsid w:val="00F20F9A"/>
    <w:rsid w:val="00F210A9"/>
    <w:rsid w:val="00F21495"/>
    <w:rsid w:val="00F214E8"/>
    <w:rsid w:val="00F215A2"/>
    <w:rsid w:val="00F21949"/>
    <w:rsid w:val="00F21A7D"/>
    <w:rsid w:val="00F21B71"/>
    <w:rsid w:val="00F21EDB"/>
    <w:rsid w:val="00F21EF2"/>
    <w:rsid w:val="00F21FC5"/>
    <w:rsid w:val="00F22679"/>
    <w:rsid w:val="00F22B53"/>
    <w:rsid w:val="00F22FE8"/>
    <w:rsid w:val="00F2310A"/>
    <w:rsid w:val="00F2331C"/>
    <w:rsid w:val="00F23809"/>
    <w:rsid w:val="00F23912"/>
    <w:rsid w:val="00F23A0D"/>
    <w:rsid w:val="00F23C97"/>
    <w:rsid w:val="00F24461"/>
    <w:rsid w:val="00F24476"/>
    <w:rsid w:val="00F24495"/>
    <w:rsid w:val="00F244A4"/>
    <w:rsid w:val="00F24520"/>
    <w:rsid w:val="00F245CB"/>
    <w:rsid w:val="00F246A9"/>
    <w:rsid w:val="00F246B6"/>
    <w:rsid w:val="00F24850"/>
    <w:rsid w:val="00F24A95"/>
    <w:rsid w:val="00F253B2"/>
    <w:rsid w:val="00F2552C"/>
    <w:rsid w:val="00F25B1B"/>
    <w:rsid w:val="00F2655B"/>
    <w:rsid w:val="00F26B2D"/>
    <w:rsid w:val="00F26BA0"/>
    <w:rsid w:val="00F26D14"/>
    <w:rsid w:val="00F26FB5"/>
    <w:rsid w:val="00F270C6"/>
    <w:rsid w:val="00F2710E"/>
    <w:rsid w:val="00F27139"/>
    <w:rsid w:val="00F2737A"/>
    <w:rsid w:val="00F27539"/>
    <w:rsid w:val="00F276DB"/>
    <w:rsid w:val="00F27B93"/>
    <w:rsid w:val="00F27C02"/>
    <w:rsid w:val="00F300F7"/>
    <w:rsid w:val="00F30504"/>
    <w:rsid w:val="00F30553"/>
    <w:rsid w:val="00F30939"/>
    <w:rsid w:val="00F30A36"/>
    <w:rsid w:val="00F30DE3"/>
    <w:rsid w:val="00F30F8C"/>
    <w:rsid w:val="00F311FA"/>
    <w:rsid w:val="00F31557"/>
    <w:rsid w:val="00F3177E"/>
    <w:rsid w:val="00F3189C"/>
    <w:rsid w:val="00F31BD2"/>
    <w:rsid w:val="00F327CF"/>
    <w:rsid w:val="00F3289B"/>
    <w:rsid w:val="00F3295E"/>
    <w:rsid w:val="00F329DD"/>
    <w:rsid w:val="00F32DE2"/>
    <w:rsid w:val="00F32E11"/>
    <w:rsid w:val="00F332D5"/>
    <w:rsid w:val="00F334FE"/>
    <w:rsid w:val="00F33531"/>
    <w:rsid w:val="00F33B62"/>
    <w:rsid w:val="00F33CAF"/>
    <w:rsid w:val="00F33F03"/>
    <w:rsid w:val="00F340E2"/>
    <w:rsid w:val="00F34869"/>
    <w:rsid w:val="00F3486F"/>
    <w:rsid w:val="00F34EA6"/>
    <w:rsid w:val="00F352D1"/>
    <w:rsid w:val="00F355E8"/>
    <w:rsid w:val="00F35878"/>
    <w:rsid w:val="00F35879"/>
    <w:rsid w:val="00F358D6"/>
    <w:rsid w:val="00F35BA3"/>
    <w:rsid w:val="00F35D37"/>
    <w:rsid w:val="00F36204"/>
    <w:rsid w:val="00F36273"/>
    <w:rsid w:val="00F36A73"/>
    <w:rsid w:val="00F36C0C"/>
    <w:rsid w:val="00F36D54"/>
    <w:rsid w:val="00F36D9C"/>
    <w:rsid w:val="00F36E7B"/>
    <w:rsid w:val="00F36EA2"/>
    <w:rsid w:val="00F36FFD"/>
    <w:rsid w:val="00F37002"/>
    <w:rsid w:val="00F371B0"/>
    <w:rsid w:val="00F37308"/>
    <w:rsid w:val="00F37CE9"/>
    <w:rsid w:val="00F37DAE"/>
    <w:rsid w:val="00F40A24"/>
    <w:rsid w:val="00F40B53"/>
    <w:rsid w:val="00F40BCC"/>
    <w:rsid w:val="00F40C14"/>
    <w:rsid w:val="00F4120F"/>
    <w:rsid w:val="00F4140E"/>
    <w:rsid w:val="00F41DF7"/>
    <w:rsid w:val="00F42436"/>
    <w:rsid w:val="00F4259B"/>
    <w:rsid w:val="00F42716"/>
    <w:rsid w:val="00F4282F"/>
    <w:rsid w:val="00F428A6"/>
    <w:rsid w:val="00F4304F"/>
    <w:rsid w:val="00F430AE"/>
    <w:rsid w:val="00F430F2"/>
    <w:rsid w:val="00F4315E"/>
    <w:rsid w:val="00F431B8"/>
    <w:rsid w:val="00F432BB"/>
    <w:rsid w:val="00F43C2B"/>
    <w:rsid w:val="00F43CAC"/>
    <w:rsid w:val="00F43D41"/>
    <w:rsid w:val="00F44234"/>
    <w:rsid w:val="00F444B1"/>
    <w:rsid w:val="00F44D5B"/>
    <w:rsid w:val="00F45177"/>
    <w:rsid w:val="00F45202"/>
    <w:rsid w:val="00F45442"/>
    <w:rsid w:val="00F459F0"/>
    <w:rsid w:val="00F45C57"/>
    <w:rsid w:val="00F45C7C"/>
    <w:rsid w:val="00F461A5"/>
    <w:rsid w:val="00F462C8"/>
    <w:rsid w:val="00F463CE"/>
    <w:rsid w:val="00F472BD"/>
    <w:rsid w:val="00F4758F"/>
    <w:rsid w:val="00F477B7"/>
    <w:rsid w:val="00F501B9"/>
    <w:rsid w:val="00F508BD"/>
    <w:rsid w:val="00F50B94"/>
    <w:rsid w:val="00F50EB5"/>
    <w:rsid w:val="00F50FD7"/>
    <w:rsid w:val="00F5177A"/>
    <w:rsid w:val="00F52150"/>
    <w:rsid w:val="00F524D4"/>
    <w:rsid w:val="00F52FBF"/>
    <w:rsid w:val="00F5383A"/>
    <w:rsid w:val="00F5394D"/>
    <w:rsid w:val="00F53957"/>
    <w:rsid w:val="00F53C16"/>
    <w:rsid w:val="00F53C65"/>
    <w:rsid w:val="00F53D4E"/>
    <w:rsid w:val="00F5413C"/>
    <w:rsid w:val="00F55279"/>
    <w:rsid w:val="00F553EC"/>
    <w:rsid w:val="00F558F1"/>
    <w:rsid w:val="00F55F67"/>
    <w:rsid w:val="00F55FA4"/>
    <w:rsid w:val="00F56037"/>
    <w:rsid w:val="00F56481"/>
    <w:rsid w:val="00F5676D"/>
    <w:rsid w:val="00F56B83"/>
    <w:rsid w:val="00F56FAC"/>
    <w:rsid w:val="00F57292"/>
    <w:rsid w:val="00F57304"/>
    <w:rsid w:val="00F5740B"/>
    <w:rsid w:val="00F6029A"/>
    <w:rsid w:val="00F607B2"/>
    <w:rsid w:val="00F60A8B"/>
    <w:rsid w:val="00F60D85"/>
    <w:rsid w:val="00F61231"/>
    <w:rsid w:val="00F61E2B"/>
    <w:rsid w:val="00F620FC"/>
    <w:rsid w:val="00F621EC"/>
    <w:rsid w:val="00F62FA2"/>
    <w:rsid w:val="00F63045"/>
    <w:rsid w:val="00F630A3"/>
    <w:rsid w:val="00F636F5"/>
    <w:rsid w:val="00F63DDB"/>
    <w:rsid w:val="00F6408C"/>
    <w:rsid w:val="00F6440A"/>
    <w:rsid w:val="00F64E7A"/>
    <w:rsid w:val="00F65139"/>
    <w:rsid w:val="00F651DA"/>
    <w:rsid w:val="00F6545E"/>
    <w:rsid w:val="00F65547"/>
    <w:rsid w:val="00F65677"/>
    <w:rsid w:val="00F65E5D"/>
    <w:rsid w:val="00F668F0"/>
    <w:rsid w:val="00F66AAB"/>
    <w:rsid w:val="00F66CAF"/>
    <w:rsid w:val="00F66DDC"/>
    <w:rsid w:val="00F672FE"/>
    <w:rsid w:val="00F67582"/>
    <w:rsid w:val="00F67B93"/>
    <w:rsid w:val="00F67C31"/>
    <w:rsid w:val="00F701F1"/>
    <w:rsid w:val="00F702E8"/>
    <w:rsid w:val="00F705FD"/>
    <w:rsid w:val="00F7063C"/>
    <w:rsid w:val="00F70C8C"/>
    <w:rsid w:val="00F70DA6"/>
    <w:rsid w:val="00F714AD"/>
    <w:rsid w:val="00F715F1"/>
    <w:rsid w:val="00F7172C"/>
    <w:rsid w:val="00F71CDB"/>
    <w:rsid w:val="00F71D13"/>
    <w:rsid w:val="00F71FB0"/>
    <w:rsid w:val="00F729D2"/>
    <w:rsid w:val="00F72FCD"/>
    <w:rsid w:val="00F734D5"/>
    <w:rsid w:val="00F7355F"/>
    <w:rsid w:val="00F7422B"/>
    <w:rsid w:val="00F7501D"/>
    <w:rsid w:val="00F75082"/>
    <w:rsid w:val="00F7520D"/>
    <w:rsid w:val="00F75D46"/>
    <w:rsid w:val="00F76235"/>
    <w:rsid w:val="00F766CD"/>
    <w:rsid w:val="00F76C16"/>
    <w:rsid w:val="00F76F32"/>
    <w:rsid w:val="00F76FAE"/>
    <w:rsid w:val="00F773BC"/>
    <w:rsid w:val="00F774B4"/>
    <w:rsid w:val="00F77526"/>
    <w:rsid w:val="00F77C04"/>
    <w:rsid w:val="00F80164"/>
    <w:rsid w:val="00F803C7"/>
    <w:rsid w:val="00F8049E"/>
    <w:rsid w:val="00F804E6"/>
    <w:rsid w:val="00F80523"/>
    <w:rsid w:val="00F80D98"/>
    <w:rsid w:val="00F80F1C"/>
    <w:rsid w:val="00F81640"/>
    <w:rsid w:val="00F81926"/>
    <w:rsid w:val="00F81AEE"/>
    <w:rsid w:val="00F81D28"/>
    <w:rsid w:val="00F81DDA"/>
    <w:rsid w:val="00F8211C"/>
    <w:rsid w:val="00F8245A"/>
    <w:rsid w:val="00F824C5"/>
    <w:rsid w:val="00F8258D"/>
    <w:rsid w:val="00F8292B"/>
    <w:rsid w:val="00F82EE9"/>
    <w:rsid w:val="00F830DC"/>
    <w:rsid w:val="00F83147"/>
    <w:rsid w:val="00F832F9"/>
    <w:rsid w:val="00F83351"/>
    <w:rsid w:val="00F833B3"/>
    <w:rsid w:val="00F8340E"/>
    <w:rsid w:val="00F83665"/>
    <w:rsid w:val="00F83EA4"/>
    <w:rsid w:val="00F84064"/>
    <w:rsid w:val="00F84287"/>
    <w:rsid w:val="00F842A0"/>
    <w:rsid w:val="00F845B2"/>
    <w:rsid w:val="00F845ED"/>
    <w:rsid w:val="00F8466E"/>
    <w:rsid w:val="00F8477E"/>
    <w:rsid w:val="00F84B43"/>
    <w:rsid w:val="00F84B5D"/>
    <w:rsid w:val="00F84CB9"/>
    <w:rsid w:val="00F85065"/>
    <w:rsid w:val="00F853B9"/>
    <w:rsid w:val="00F85538"/>
    <w:rsid w:val="00F8558F"/>
    <w:rsid w:val="00F858F8"/>
    <w:rsid w:val="00F86134"/>
    <w:rsid w:val="00F8666E"/>
    <w:rsid w:val="00F8673E"/>
    <w:rsid w:val="00F868EF"/>
    <w:rsid w:val="00F86CC0"/>
    <w:rsid w:val="00F86DE8"/>
    <w:rsid w:val="00F86E5B"/>
    <w:rsid w:val="00F86E74"/>
    <w:rsid w:val="00F873AF"/>
    <w:rsid w:val="00F874DD"/>
    <w:rsid w:val="00F87558"/>
    <w:rsid w:val="00F876C7"/>
    <w:rsid w:val="00F878A1"/>
    <w:rsid w:val="00F87DFA"/>
    <w:rsid w:val="00F87F5B"/>
    <w:rsid w:val="00F87FD1"/>
    <w:rsid w:val="00F900C0"/>
    <w:rsid w:val="00F90129"/>
    <w:rsid w:val="00F902D9"/>
    <w:rsid w:val="00F90503"/>
    <w:rsid w:val="00F9054D"/>
    <w:rsid w:val="00F9095F"/>
    <w:rsid w:val="00F90B42"/>
    <w:rsid w:val="00F91972"/>
    <w:rsid w:val="00F91983"/>
    <w:rsid w:val="00F91B2C"/>
    <w:rsid w:val="00F91B56"/>
    <w:rsid w:val="00F91EF4"/>
    <w:rsid w:val="00F92121"/>
    <w:rsid w:val="00F922D7"/>
    <w:rsid w:val="00F926B5"/>
    <w:rsid w:val="00F92794"/>
    <w:rsid w:val="00F92A8E"/>
    <w:rsid w:val="00F932C5"/>
    <w:rsid w:val="00F9369D"/>
    <w:rsid w:val="00F93D26"/>
    <w:rsid w:val="00F93DBC"/>
    <w:rsid w:val="00F94189"/>
    <w:rsid w:val="00F946B3"/>
    <w:rsid w:val="00F94AAA"/>
    <w:rsid w:val="00F94E8C"/>
    <w:rsid w:val="00F94EE6"/>
    <w:rsid w:val="00F951EA"/>
    <w:rsid w:val="00F951FC"/>
    <w:rsid w:val="00F95519"/>
    <w:rsid w:val="00F95806"/>
    <w:rsid w:val="00F95A33"/>
    <w:rsid w:val="00F95C01"/>
    <w:rsid w:val="00F96100"/>
    <w:rsid w:val="00F96160"/>
    <w:rsid w:val="00F9632F"/>
    <w:rsid w:val="00F96946"/>
    <w:rsid w:val="00F96B94"/>
    <w:rsid w:val="00F96D9D"/>
    <w:rsid w:val="00F96FFE"/>
    <w:rsid w:val="00F97212"/>
    <w:rsid w:val="00F9740C"/>
    <w:rsid w:val="00F97725"/>
    <w:rsid w:val="00F97ED9"/>
    <w:rsid w:val="00FA0AB8"/>
    <w:rsid w:val="00FA0FAC"/>
    <w:rsid w:val="00FA1E75"/>
    <w:rsid w:val="00FA21E2"/>
    <w:rsid w:val="00FA23FC"/>
    <w:rsid w:val="00FA2579"/>
    <w:rsid w:val="00FA2986"/>
    <w:rsid w:val="00FA2E62"/>
    <w:rsid w:val="00FA32A4"/>
    <w:rsid w:val="00FA3AD8"/>
    <w:rsid w:val="00FA3AFC"/>
    <w:rsid w:val="00FA3B1F"/>
    <w:rsid w:val="00FA428A"/>
    <w:rsid w:val="00FA4290"/>
    <w:rsid w:val="00FA43A8"/>
    <w:rsid w:val="00FA4853"/>
    <w:rsid w:val="00FA4B13"/>
    <w:rsid w:val="00FA4BF1"/>
    <w:rsid w:val="00FA4F5E"/>
    <w:rsid w:val="00FA5645"/>
    <w:rsid w:val="00FA57F9"/>
    <w:rsid w:val="00FA5A0D"/>
    <w:rsid w:val="00FA5B5F"/>
    <w:rsid w:val="00FA5C5E"/>
    <w:rsid w:val="00FA6BCA"/>
    <w:rsid w:val="00FA76A7"/>
    <w:rsid w:val="00FA7A1D"/>
    <w:rsid w:val="00FA7F4B"/>
    <w:rsid w:val="00FB02FF"/>
    <w:rsid w:val="00FB0514"/>
    <w:rsid w:val="00FB06BF"/>
    <w:rsid w:val="00FB0728"/>
    <w:rsid w:val="00FB106D"/>
    <w:rsid w:val="00FB13A4"/>
    <w:rsid w:val="00FB149F"/>
    <w:rsid w:val="00FB14B8"/>
    <w:rsid w:val="00FB1B8E"/>
    <w:rsid w:val="00FB24B5"/>
    <w:rsid w:val="00FB24BA"/>
    <w:rsid w:val="00FB2570"/>
    <w:rsid w:val="00FB28B6"/>
    <w:rsid w:val="00FB3DA8"/>
    <w:rsid w:val="00FB3DFE"/>
    <w:rsid w:val="00FB3FB4"/>
    <w:rsid w:val="00FB3FFE"/>
    <w:rsid w:val="00FB423E"/>
    <w:rsid w:val="00FB426B"/>
    <w:rsid w:val="00FB4333"/>
    <w:rsid w:val="00FB451F"/>
    <w:rsid w:val="00FB480D"/>
    <w:rsid w:val="00FB48E1"/>
    <w:rsid w:val="00FB4EB3"/>
    <w:rsid w:val="00FB524B"/>
    <w:rsid w:val="00FB53C7"/>
    <w:rsid w:val="00FB53DD"/>
    <w:rsid w:val="00FB5962"/>
    <w:rsid w:val="00FB5981"/>
    <w:rsid w:val="00FB6258"/>
    <w:rsid w:val="00FB62F7"/>
    <w:rsid w:val="00FB63B3"/>
    <w:rsid w:val="00FB63D8"/>
    <w:rsid w:val="00FB6759"/>
    <w:rsid w:val="00FB676E"/>
    <w:rsid w:val="00FB67CE"/>
    <w:rsid w:val="00FB6A46"/>
    <w:rsid w:val="00FB6C2C"/>
    <w:rsid w:val="00FB6CE3"/>
    <w:rsid w:val="00FB6CF9"/>
    <w:rsid w:val="00FB6FBA"/>
    <w:rsid w:val="00FB738A"/>
    <w:rsid w:val="00FB75F5"/>
    <w:rsid w:val="00FB76D1"/>
    <w:rsid w:val="00FB7A40"/>
    <w:rsid w:val="00FB7BD7"/>
    <w:rsid w:val="00FC036A"/>
    <w:rsid w:val="00FC0557"/>
    <w:rsid w:val="00FC05D0"/>
    <w:rsid w:val="00FC05F4"/>
    <w:rsid w:val="00FC0C36"/>
    <w:rsid w:val="00FC0D33"/>
    <w:rsid w:val="00FC1071"/>
    <w:rsid w:val="00FC1BCF"/>
    <w:rsid w:val="00FC1BE6"/>
    <w:rsid w:val="00FC2066"/>
    <w:rsid w:val="00FC22A8"/>
    <w:rsid w:val="00FC2377"/>
    <w:rsid w:val="00FC23DE"/>
    <w:rsid w:val="00FC2745"/>
    <w:rsid w:val="00FC2F1F"/>
    <w:rsid w:val="00FC30F1"/>
    <w:rsid w:val="00FC352B"/>
    <w:rsid w:val="00FC35B0"/>
    <w:rsid w:val="00FC3691"/>
    <w:rsid w:val="00FC38EB"/>
    <w:rsid w:val="00FC3B04"/>
    <w:rsid w:val="00FC3CE1"/>
    <w:rsid w:val="00FC3F33"/>
    <w:rsid w:val="00FC3F89"/>
    <w:rsid w:val="00FC41B0"/>
    <w:rsid w:val="00FC45FE"/>
    <w:rsid w:val="00FC45FF"/>
    <w:rsid w:val="00FC49A8"/>
    <w:rsid w:val="00FC53EA"/>
    <w:rsid w:val="00FC53F1"/>
    <w:rsid w:val="00FC5512"/>
    <w:rsid w:val="00FC56B2"/>
    <w:rsid w:val="00FC589A"/>
    <w:rsid w:val="00FC5D4E"/>
    <w:rsid w:val="00FC60E6"/>
    <w:rsid w:val="00FC6C19"/>
    <w:rsid w:val="00FC6CD4"/>
    <w:rsid w:val="00FC6D26"/>
    <w:rsid w:val="00FC74A1"/>
    <w:rsid w:val="00FC753A"/>
    <w:rsid w:val="00FC7618"/>
    <w:rsid w:val="00FC7A9B"/>
    <w:rsid w:val="00FC7AE2"/>
    <w:rsid w:val="00FC7D69"/>
    <w:rsid w:val="00FD017C"/>
    <w:rsid w:val="00FD020B"/>
    <w:rsid w:val="00FD0442"/>
    <w:rsid w:val="00FD095C"/>
    <w:rsid w:val="00FD0F9B"/>
    <w:rsid w:val="00FD0FEF"/>
    <w:rsid w:val="00FD208F"/>
    <w:rsid w:val="00FD22D5"/>
    <w:rsid w:val="00FD26AA"/>
    <w:rsid w:val="00FD286B"/>
    <w:rsid w:val="00FD2896"/>
    <w:rsid w:val="00FD29B4"/>
    <w:rsid w:val="00FD29FF"/>
    <w:rsid w:val="00FD2A92"/>
    <w:rsid w:val="00FD2AD2"/>
    <w:rsid w:val="00FD2CA1"/>
    <w:rsid w:val="00FD2EAB"/>
    <w:rsid w:val="00FD2F73"/>
    <w:rsid w:val="00FD30C5"/>
    <w:rsid w:val="00FD38D4"/>
    <w:rsid w:val="00FD3C85"/>
    <w:rsid w:val="00FD3DAF"/>
    <w:rsid w:val="00FD4C96"/>
    <w:rsid w:val="00FD595F"/>
    <w:rsid w:val="00FD61F8"/>
    <w:rsid w:val="00FD6386"/>
    <w:rsid w:val="00FD6504"/>
    <w:rsid w:val="00FD67B3"/>
    <w:rsid w:val="00FD6AD4"/>
    <w:rsid w:val="00FD772E"/>
    <w:rsid w:val="00FD7853"/>
    <w:rsid w:val="00FD7B2B"/>
    <w:rsid w:val="00FD7CE8"/>
    <w:rsid w:val="00FE0225"/>
    <w:rsid w:val="00FE02DB"/>
    <w:rsid w:val="00FE03CD"/>
    <w:rsid w:val="00FE05CE"/>
    <w:rsid w:val="00FE09AF"/>
    <w:rsid w:val="00FE0D97"/>
    <w:rsid w:val="00FE0F07"/>
    <w:rsid w:val="00FE0F16"/>
    <w:rsid w:val="00FE0F59"/>
    <w:rsid w:val="00FE112F"/>
    <w:rsid w:val="00FE1259"/>
    <w:rsid w:val="00FE1307"/>
    <w:rsid w:val="00FE1323"/>
    <w:rsid w:val="00FE16C8"/>
    <w:rsid w:val="00FE16CC"/>
    <w:rsid w:val="00FE2066"/>
    <w:rsid w:val="00FE2198"/>
    <w:rsid w:val="00FE2490"/>
    <w:rsid w:val="00FE24A0"/>
    <w:rsid w:val="00FE250E"/>
    <w:rsid w:val="00FE273C"/>
    <w:rsid w:val="00FE2BAF"/>
    <w:rsid w:val="00FE2E74"/>
    <w:rsid w:val="00FE2E75"/>
    <w:rsid w:val="00FE2ED2"/>
    <w:rsid w:val="00FE319E"/>
    <w:rsid w:val="00FE3691"/>
    <w:rsid w:val="00FE3761"/>
    <w:rsid w:val="00FE3C6F"/>
    <w:rsid w:val="00FE3FF3"/>
    <w:rsid w:val="00FE41F5"/>
    <w:rsid w:val="00FE4364"/>
    <w:rsid w:val="00FE44CB"/>
    <w:rsid w:val="00FE452A"/>
    <w:rsid w:val="00FE4547"/>
    <w:rsid w:val="00FE461A"/>
    <w:rsid w:val="00FE46FA"/>
    <w:rsid w:val="00FE4830"/>
    <w:rsid w:val="00FE4D7B"/>
    <w:rsid w:val="00FE50D6"/>
    <w:rsid w:val="00FE583E"/>
    <w:rsid w:val="00FE5C13"/>
    <w:rsid w:val="00FE60B3"/>
    <w:rsid w:val="00FE6393"/>
    <w:rsid w:val="00FE643C"/>
    <w:rsid w:val="00FE66D9"/>
    <w:rsid w:val="00FE6844"/>
    <w:rsid w:val="00FE6BBD"/>
    <w:rsid w:val="00FE6BD0"/>
    <w:rsid w:val="00FE6C79"/>
    <w:rsid w:val="00FE6E4E"/>
    <w:rsid w:val="00FE70DF"/>
    <w:rsid w:val="00FE745B"/>
    <w:rsid w:val="00FE7CBB"/>
    <w:rsid w:val="00FE7D80"/>
    <w:rsid w:val="00FF028F"/>
    <w:rsid w:val="00FF05B0"/>
    <w:rsid w:val="00FF07A8"/>
    <w:rsid w:val="00FF08DB"/>
    <w:rsid w:val="00FF09C6"/>
    <w:rsid w:val="00FF1247"/>
    <w:rsid w:val="00FF15FC"/>
    <w:rsid w:val="00FF173C"/>
    <w:rsid w:val="00FF1946"/>
    <w:rsid w:val="00FF1D0F"/>
    <w:rsid w:val="00FF1F80"/>
    <w:rsid w:val="00FF1FCA"/>
    <w:rsid w:val="00FF20E9"/>
    <w:rsid w:val="00FF22EF"/>
    <w:rsid w:val="00FF2308"/>
    <w:rsid w:val="00FF26DE"/>
    <w:rsid w:val="00FF2855"/>
    <w:rsid w:val="00FF2B30"/>
    <w:rsid w:val="00FF2DD1"/>
    <w:rsid w:val="00FF372C"/>
    <w:rsid w:val="00FF3820"/>
    <w:rsid w:val="00FF3B9E"/>
    <w:rsid w:val="00FF3EA8"/>
    <w:rsid w:val="00FF40C2"/>
    <w:rsid w:val="00FF4477"/>
    <w:rsid w:val="00FF4535"/>
    <w:rsid w:val="00FF45B8"/>
    <w:rsid w:val="00FF4769"/>
    <w:rsid w:val="00FF4C75"/>
    <w:rsid w:val="00FF4EF4"/>
    <w:rsid w:val="00FF54D7"/>
    <w:rsid w:val="00FF55D0"/>
    <w:rsid w:val="00FF591D"/>
    <w:rsid w:val="00FF59C0"/>
    <w:rsid w:val="00FF732B"/>
    <w:rsid w:val="00FF7576"/>
    <w:rsid w:val="00FF7747"/>
    <w:rsid w:val="00FF777F"/>
    <w:rsid w:val="00FF7842"/>
    <w:rsid w:val="00FF7C2C"/>
    <w:rsid w:val="00FF7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40AA6"/>
  <w15:chartTrackingRefBased/>
  <w15:docId w15:val="{DBF1B5C0-5029-4D97-B13D-54DA2E09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E90"/>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364E90"/>
    <w:pPr>
      <w:keepNext/>
      <w:keepLines/>
      <w:numPr>
        <w:numId w:val="9"/>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364E90"/>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364E90"/>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364E90"/>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364E90"/>
    <w:pPr>
      <w:keepNext/>
      <w:numPr>
        <w:numId w:val="5"/>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364E90"/>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364E90"/>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364E90"/>
    <w:pPr>
      <w:ind w:left="993"/>
      <w:outlineLvl w:val="7"/>
    </w:pPr>
    <w:rPr>
      <w:color w:val="321547"/>
      <w:szCs w:val="22"/>
      <w:u w:val="dotDotDash"/>
    </w:rPr>
  </w:style>
  <w:style w:type="paragraph" w:styleId="Ttulo9">
    <w:name w:val="heading 9"/>
    <w:basedOn w:val="Ttulo8"/>
    <w:next w:val="Normal"/>
    <w:link w:val="Ttulo9Car"/>
    <w:uiPriority w:val="9"/>
    <w:unhideWhenUsed/>
    <w:qFormat/>
    <w:rsid w:val="00364E90"/>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364E90"/>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364E90"/>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364E90"/>
    <w:rPr>
      <w:color w:val="0563C1" w:themeColor="hyperlink"/>
      <w:u w:val="single"/>
    </w:rPr>
  </w:style>
  <w:style w:type="paragraph" w:styleId="Textonotapie">
    <w:name w:val="footnote text"/>
    <w:aliases w:val="Nota a pie de página"/>
    <w:basedOn w:val="Normal"/>
    <w:link w:val="TextonotapieCar"/>
    <w:uiPriority w:val="99"/>
    <w:unhideWhenUsed/>
    <w:qFormat/>
    <w:rsid w:val="00364E90"/>
    <w:pPr>
      <w:keepLines/>
      <w:spacing w:after="40" w:line="240" w:lineRule="auto"/>
    </w:pPr>
    <w:rPr>
      <w:sz w:val="16"/>
      <w:szCs w:val="20"/>
    </w:rPr>
  </w:style>
  <w:style w:type="character" w:styleId="Refdenotaalpie">
    <w:name w:val="footnote reference"/>
    <w:basedOn w:val="Fuentedeprrafopredeter"/>
    <w:uiPriority w:val="99"/>
    <w:unhideWhenUsed/>
    <w:rsid w:val="00364E90"/>
    <w:rPr>
      <w:vertAlign w:val="superscript"/>
    </w:rPr>
  </w:style>
  <w:style w:type="table" w:styleId="Tablaconcuadrcula">
    <w:name w:val="Table Grid"/>
    <w:basedOn w:val="Tablanormal"/>
    <w:uiPriority w:val="39"/>
    <w:rsid w:val="00364E90"/>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C96011"/>
    <w:rPr>
      <w:sz w:val="16"/>
      <w:szCs w:val="16"/>
    </w:rPr>
  </w:style>
  <w:style w:type="paragraph" w:styleId="Textocomentario">
    <w:name w:val="annotation text"/>
    <w:basedOn w:val="Normal"/>
    <w:link w:val="TextocomentarioCar"/>
    <w:uiPriority w:val="99"/>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364E90"/>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paragraph" w:customStyle="1" w:styleId="General">
    <w:name w:val="General"/>
    <w:basedOn w:val="Normal"/>
    <w:rsid w:val="00C70B56"/>
    <w:rPr>
      <w:rFonts w:eastAsia="Times"/>
      <w:sz w:val="28"/>
      <w:szCs w:val="20"/>
      <w:lang w:val="es-ES_tradnl"/>
    </w:rPr>
  </w:style>
  <w:style w:type="paragraph" w:styleId="Prrafodelista">
    <w:name w:val="List Paragraph"/>
    <w:basedOn w:val="Normal"/>
    <w:uiPriority w:val="34"/>
    <w:rsid w:val="00364E90"/>
    <w:pPr>
      <w:ind w:left="720"/>
      <w:contextualSpacing/>
    </w:pPr>
  </w:style>
  <w:style w:type="character" w:customStyle="1" w:styleId="rojotitulo1">
    <w:name w:val="rojotitulo1"/>
    <w:rsid w:val="000A5207"/>
    <w:rPr>
      <w:rFonts w:ascii="Verdana" w:hAnsi="Verdana" w:hint="default"/>
      <w:b/>
      <w:bCs/>
      <w:i w:val="0"/>
      <w:iCs w:val="0"/>
      <w:smallCaps w:val="0"/>
      <w:color w:val="FFFFFF"/>
      <w:sz w:val="18"/>
      <w:szCs w:val="18"/>
      <w:shd w:val="clear" w:color="auto" w:fill="CA2717"/>
    </w:rPr>
  </w:style>
  <w:style w:type="character" w:customStyle="1" w:styleId="corchete-llamada1">
    <w:name w:val="corchete-llamada1"/>
    <w:rsid w:val="00277BDA"/>
    <w:rPr>
      <w:vanish/>
      <w:webHidden w:val="0"/>
      <w:specVanish w:val="0"/>
    </w:rPr>
  </w:style>
  <w:style w:type="character" w:styleId="Textoennegrita">
    <w:name w:val="Strong"/>
    <w:uiPriority w:val="22"/>
    <w:qFormat/>
    <w:rsid w:val="00FB738A"/>
    <w:rPr>
      <w:b/>
      <w:bCs/>
    </w:rPr>
  </w:style>
  <w:style w:type="character" w:customStyle="1" w:styleId="TextonotapieCar">
    <w:name w:val="Texto nota pie Car"/>
    <w:aliases w:val="Nota a pie de página Car"/>
    <w:basedOn w:val="Fuentedeprrafopredeter"/>
    <w:link w:val="Textonotapie"/>
    <w:uiPriority w:val="99"/>
    <w:rsid w:val="00364E90"/>
    <w:rPr>
      <w:rFonts w:ascii="Palatino Linotype" w:eastAsiaTheme="minorHAnsi" w:hAnsi="Palatino Linotype" w:cstheme="minorBidi"/>
      <w:sz w:val="16"/>
      <w:lang w:eastAsia="en-US"/>
    </w:rPr>
  </w:style>
  <w:style w:type="character" w:customStyle="1" w:styleId="TextocomentarioCar">
    <w:name w:val="Texto comentario Car"/>
    <w:link w:val="Textocomentario"/>
    <w:uiPriority w:val="99"/>
    <w:semiHidden/>
    <w:rsid w:val="00CE240D"/>
    <w:rPr>
      <w:lang w:val="es-ES" w:eastAsia="es-ES"/>
    </w:rPr>
  </w:style>
  <w:style w:type="character" w:customStyle="1" w:styleId="normaltextrun">
    <w:name w:val="normaltextrun"/>
    <w:rsid w:val="003C08B9"/>
  </w:style>
  <w:style w:type="character" w:customStyle="1" w:styleId="Ttulo2Car">
    <w:name w:val="Título 2 Car"/>
    <w:basedOn w:val="Fuentedeprrafopredeter"/>
    <w:link w:val="Ttulo2"/>
    <w:uiPriority w:val="9"/>
    <w:rsid w:val="00364E90"/>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364E90"/>
    <w:rPr>
      <w:rFonts w:ascii="Palatino Linotype" w:eastAsiaTheme="minorHAnsi" w:hAnsi="Palatino Linotype" w:cstheme="minorBidi"/>
      <w:i/>
      <w:iCs/>
      <w:color w:val="5F2987"/>
      <w:sz w:val="22"/>
      <w:szCs w:val="22"/>
      <w:u w:val="single"/>
      <w:lang w:eastAsia="en-US"/>
    </w:rPr>
  </w:style>
  <w:style w:type="character" w:styleId="Hipervnculovisitado">
    <w:name w:val="FollowedHyperlink"/>
    <w:uiPriority w:val="99"/>
    <w:semiHidden/>
    <w:unhideWhenUsed/>
    <w:rsid w:val="00B4484B"/>
    <w:rPr>
      <w:color w:val="800080"/>
      <w:u w:val="single"/>
    </w:rPr>
  </w:style>
  <w:style w:type="character" w:customStyle="1" w:styleId="eop">
    <w:name w:val="eop"/>
    <w:rsid w:val="00332810"/>
  </w:style>
  <w:style w:type="character" w:customStyle="1" w:styleId="Ttulo1Car">
    <w:name w:val="Título 1 Car"/>
    <w:basedOn w:val="Fuentedeprrafopredeter"/>
    <w:link w:val="Ttulo1"/>
    <w:uiPriority w:val="9"/>
    <w:rsid w:val="00364E90"/>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4Car">
    <w:name w:val="Título 4 Car"/>
    <w:basedOn w:val="Fuentedeprrafopredeter"/>
    <w:link w:val="Ttulo4"/>
    <w:uiPriority w:val="9"/>
    <w:rsid w:val="00364E90"/>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364E90"/>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364E90"/>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364E90"/>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364E90"/>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364E90"/>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364E90"/>
    <w:pPr>
      <w:tabs>
        <w:tab w:val="center" w:pos="4252"/>
        <w:tab w:val="right" w:pos="8504"/>
      </w:tabs>
    </w:pPr>
  </w:style>
  <w:style w:type="character" w:customStyle="1" w:styleId="EncabezadoCar">
    <w:name w:val="Encabezado Car"/>
    <w:basedOn w:val="Fuentedeprrafopredeter"/>
    <w:link w:val="Encabezado"/>
    <w:uiPriority w:val="99"/>
    <w:rsid w:val="00364E90"/>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364E90"/>
    <w:rPr>
      <w:rFonts w:ascii="Garamond" w:hAnsi="Garamond"/>
      <w:lang w:val="es-ES"/>
    </w:rPr>
  </w:style>
  <w:style w:type="character" w:customStyle="1" w:styleId="FooterChar">
    <w:name w:val="Footer Char"/>
    <w:basedOn w:val="Fuentedeprrafopredeter"/>
    <w:uiPriority w:val="99"/>
    <w:rsid w:val="00364E90"/>
    <w:rPr>
      <w:rFonts w:ascii="Garamond" w:hAnsi="Garamond"/>
      <w:lang w:val="es-ES"/>
    </w:rPr>
  </w:style>
  <w:style w:type="character" w:styleId="Textodelmarcadordeposicin">
    <w:name w:val="Placeholder Text"/>
    <w:basedOn w:val="Fuentedeprrafopredeter"/>
    <w:uiPriority w:val="99"/>
    <w:semiHidden/>
    <w:rsid w:val="00364E90"/>
    <w:rPr>
      <w:color w:val="808080"/>
    </w:rPr>
  </w:style>
  <w:style w:type="paragraph" w:styleId="Ttulo">
    <w:name w:val="Title"/>
    <w:basedOn w:val="Normal"/>
    <w:next w:val="Normal"/>
    <w:link w:val="TtuloCar"/>
    <w:uiPriority w:val="10"/>
    <w:qFormat/>
    <w:rsid w:val="00364E90"/>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364E90"/>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364E90"/>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364E90"/>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364E90"/>
    <w:pPr>
      <w:numPr>
        <w:ilvl w:val="1"/>
        <w:numId w:val="4"/>
      </w:numPr>
      <w:spacing w:after="100"/>
      <w:ind w:left="1049" w:hanging="198"/>
      <w:contextualSpacing/>
    </w:pPr>
  </w:style>
  <w:style w:type="character" w:customStyle="1" w:styleId="Heading2Char">
    <w:name w:val="Heading 2 Char"/>
    <w:basedOn w:val="Fuentedeprrafopredeter"/>
    <w:uiPriority w:val="9"/>
    <w:rsid w:val="00364E90"/>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364E90"/>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364E90"/>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364E90"/>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364E90"/>
    <w:rPr>
      <w:rFonts w:ascii="Garamond" w:hAnsi="Garamond"/>
      <w:i/>
      <w:iCs/>
      <w:color w:val="5F2987"/>
      <w:u w:val="single"/>
      <w:lang w:val="es-ES"/>
    </w:rPr>
  </w:style>
  <w:style w:type="paragraph" w:styleId="TDC3">
    <w:name w:val="toc 3"/>
    <w:basedOn w:val="Normal"/>
    <w:next w:val="FinTDC"/>
    <w:autoRedefine/>
    <w:uiPriority w:val="39"/>
    <w:unhideWhenUsed/>
    <w:rsid w:val="00364E90"/>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364E90"/>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364E90"/>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364E90"/>
    <w:rPr>
      <w:color w:val="7F7F7F" w:themeColor="text1" w:themeTint="80"/>
      <w:sz w:val="16"/>
    </w:rPr>
  </w:style>
  <w:style w:type="character" w:customStyle="1" w:styleId="NocantarChar">
    <w:name w:val="No cantar Char"/>
    <w:basedOn w:val="Fuentedeprrafopredeter"/>
    <w:link w:val="Nocantar"/>
    <w:rsid w:val="00364E90"/>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364E90"/>
    <w:pPr>
      <w:numPr>
        <w:numId w:val="0"/>
      </w:numPr>
      <w:ind w:firstLine="142"/>
    </w:pPr>
  </w:style>
  <w:style w:type="character" w:customStyle="1" w:styleId="IntroduccinyconclusinChar">
    <w:name w:val="Introducción y conclusión Char"/>
    <w:basedOn w:val="Ttulo1Car"/>
    <w:link w:val="Introduccinyconclusin"/>
    <w:rsid w:val="00364E90"/>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364E90"/>
    <w:pPr>
      <w:numPr>
        <w:numId w:val="6"/>
      </w:numPr>
    </w:pPr>
  </w:style>
  <w:style w:type="paragraph" w:customStyle="1" w:styleId="Nivel1">
    <w:name w:val="Nivel 1"/>
    <w:basedOn w:val="Normal"/>
    <w:qFormat/>
    <w:rsid w:val="00364E90"/>
    <w:pPr>
      <w:numPr>
        <w:numId w:val="4"/>
      </w:numPr>
      <w:spacing w:before="100" w:after="100"/>
      <w:ind w:left="623" w:hanging="198"/>
    </w:pPr>
  </w:style>
  <w:style w:type="paragraph" w:customStyle="1" w:styleId="Nivel3">
    <w:name w:val="Nivel 3"/>
    <w:basedOn w:val="Nivel2"/>
    <w:link w:val="Nivel3Car"/>
    <w:qFormat/>
    <w:rsid w:val="00364E90"/>
    <w:pPr>
      <w:numPr>
        <w:ilvl w:val="2"/>
      </w:numPr>
      <w:spacing w:after="0"/>
      <w:ind w:left="1474" w:hanging="198"/>
    </w:pPr>
  </w:style>
  <w:style w:type="paragraph" w:customStyle="1" w:styleId="Letra">
    <w:name w:val="Letra"/>
    <w:basedOn w:val="Nivel1"/>
    <w:qFormat/>
    <w:rsid w:val="00364E90"/>
    <w:pPr>
      <w:numPr>
        <w:numId w:val="7"/>
      </w:numPr>
      <w:spacing w:before="0" w:after="40"/>
      <w:ind w:left="936" w:hanging="227"/>
    </w:pPr>
  </w:style>
  <w:style w:type="paragraph" w:customStyle="1" w:styleId="Nmero">
    <w:name w:val="Número"/>
    <w:basedOn w:val="Normal"/>
    <w:qFormat/>
    <w:rsid w:val="00364E90"/>
    <w:pPr>
      <w:numPr>
        <w:numId w:val="8"/>
      </w:numPr>
      <w:spacing w:after="40"/>
      <w:ind w:left="936" w:hanging="227"/>
    </w:pPr>
  </w:style>
  <w:style w:type="character" w:customStyle="1" w:styleId="BalloonTextChar">
    <w:name w:val="Balloon Text Char"/>
    <w:basedOn w:val="Fuentedeprrafopredeter"/>
    <w:uiPriority w:val="99"/>
    <w:semiHidden/>
    <w:rsid w:val="00364E90"/>
    <w:rPr>
      <w:rFonts w:ascii="Segoe UI" w:hAnsi="Segoe UI" w:cs="Segoe UI"/>
      <w:sz w:val="18"/>
      <w:szCs w:val="18"/>
      <w:lang w:val="es-ES"/>
    </w:rPr>
  </w:style>
  <w:style w:type="paragraph" w:customStyle="1" w:styleId="Notaalopositor">
    <w:name w:val="Nota al opositor"/>
    <w:basedOn w:val="Normal"/>
    <w:link w:val="NotaalopositorChar"/>
    <w:qFormat/>
    <w:rsid w:val="00364E90"/>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364E90"/>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364E90"/>
    <w:rPr>
      <w:rFonts w:ascii="Garamond" w:hAnsi="Garamond"/>
      <w:sz w:val="16"/>
      <w:szCs w:val="20"/>
      <w:lang w:val="es-ES"/>
    </w:rPr>
  </w:style>
  <w:style w:type="character" w:customStyle="1" w:styleId="Heading6Char">
    <w:name w:val="Heading 6 Char"/>
    <w:basedOn w:val="Fuentedeprrafopredeter"/>
    <w:uiPriority w:val="9"/>
    <w:semiHidden/>
    <w:rsid w:val="00364E90"/>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364E90"/>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364E90"/>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364E90"/>
    <w:rPr>
      <w:rFonts w:ascii="Garamond" w:eastAsiaTheme="minorEastAsia" w:hAnsi="Garamond"/>
      <w:smallCaps/>
      <w:color w:val="5A5A5A" w:themeColor="text1" w:themeTint="A5"/>
      <w:lang w:val="es-ES"/>
    </w:rPr>
  </w:style>
  <w:style w:type="paragraph" w:customStyle="1" w:styleId="Nivel1SM">
    <w:name w:val="Nivel 1 SM"/>
    <w:basedOn w:val="Nivel1"/>
    <w:qFormat/>
    <w:rsid w:val="00364E90"/>
    <w:pPr>
      <w:ind w:left="0"/>
    </w:pPr>
  </w:style>
  <w:style w:type="paragraph" w:customStyle="1" w:styleId="Nivel2SM">
    <w:name w:val="Nivel 2 SM"/>
    <w:basedOn w:val="Nivel2"/>
    <w:qFormat/>
    <w:rsid w:val="00364E90"/>
    <w:pPr>
      <w:ind w:left="567"/>
    </w:pPr>
  </w:style>
  <w:style w:type="paragraph" w:customStyle="1" w:styleId="Nivel3SM">
    <w:name w:val="Nivel 3 SM"/>
    <w:basedOn w:val="Nivel3"/>
    <w:qFormat/>
    <w:rsid w:val="00364E90"/>
    <w:pPr>
      <w:ind w:left="963"/>
    </w:pPr>
  </w:style>
  <w:style w:type="paragraph" w:styleId="Encabezadodelista">
    <w:name w:val="toa heading"/>
    <w:basedOn w:val="Normal"/>
    <w:next w:val="Normal"/>
    <w:uiPriority w:val="99"/>
    <w:semiHidden/>
    <w:unhideWhenUsed/>
    <w:rsid w:val="00364E90"/>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364E90"/>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364E90"/>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364E90"/>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364E90"/>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364E90"/>
    <w:rPr>
      <w:color w:val="605E5C"/>
      <w:shd w:val="clear" w:color="auto" w:fill="E1DFDD"/>
    </w:rPr>
  </w:style>
  <w:style w:type="paragraph" w:styleId="TDC5">
    <w:name w:val="toc 5"/>
    <w:basedOn w:val="Normal"/>
    <w:next w:val="FinTDC"/>
    <w:autoRedefine/>
    <w:uiPriority w:val="39"/>
    <w:unhideWhenUsed/>
    <w:rsid w:val="00364E90"/>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364E90"/>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364E90"/>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364E90"/>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364E90"/>
    <w:pPr>
      <w:spacing w:line="240" w:lineRule="auto"/>
      <w:ind w:left="567" w:hanging="567"/>
    </w:pPr>
  </w:style>
  <w:style w:type="paragraph" w:customStyle="1" w:styleId="Ttuloimagen">
    <w:name w:val="Título imagen"/>
    <w:basedOn w:val="PiedeImagen"/>
    <w:next w:val="Imagen"/>
    <w:link w:val="TtuloimagenCar"/>
    <w:qFormat/>
    <w:rsid w:val="00364E90"/>
    <w:pPr>
      <w:keepNext/>
      <w:spacing w:after="0"/>
    </w:pPr>
    <w:rPr>
      <w:i w:val="0"/>
      <w:smallCaps/>
      <w:sz w:val="20"/>
    </w:rPr>
  </w:style>
  <w:style w:type="character" w:customStyle="1" w:styleId="TtuloimagenCar">
    <w:name w:val="Título imagen Car"/>
    <w:basedOn w:val="ImagenCar"/>
    <w:link w:val="Ttuloimagen"/>
    <w:rsid w:val="00364E90"/>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364E90"/>
    <w:pPr>
      <w:ind w:left="1100"/>
    </w:pPr>
  </w:style>
  <w:style w:type="paragraph" w:styleId="Sinespaciado">
    <w:name w:val="No Spacing"/>
    <w:link w:val="SinespaciadoCar"/>
    <w:uiPriority w:val="1"/>
    <w:qFormat/>
    <w:rsid w:val="00364E90"/>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364E90"/>
    <w:rPr>
      <w:rFonts w:asciiTheme="minorHAnsi" w:eastAsiaTheme="minorEastAsia" w:hAnsiTheme="minorHAnsi" w:cstheme="minorBidi"/>
      <w:sz w:val="22"/>
      <w:szCs w:val="22"/>
    </w:rPr>
  </w:style>
  <w:style w:type="paragraph" w:customStyle="1" w:styleId="Nmeroromano">
    <w:name w:val="Número romano"/>
    <w:basedOn w:val="Prrafodelista"/>
    <w:qFormat/>
    <w:rsid w:val="00364E90"/>
    <w:pPr>
      <w:numPr>
        <w:numId w:val="11"/>
      </w:numPr>
      <w:spacing w:after="100"/>
      <w:ind w:left="567" w:hanging="113"/>
    </w:pPr>
  </w:style>
  <w:style w:type="paragraph" w:customStyle="1" w:styleId="Saltodettulos">
    <w:name w:val="Salto de títulos"/>
    <w:basedOn w:val="Normal"/>
    <w:rsid w:val="00364E90"/>
    <w:pPr>
      <w:spacing w:after="0" w:line="240" w:lineRule="auto"/>
    </w:pPr>
    <w:rPr>
      <w:color w:val="FFFFFF"/>
      <w:sz w:val="2"/>
    </w:rPr>
  </w:style>
  <w:style w:type="paragraph" w:styleId="TDC7">
    <w:name w:val="toc 7"/>
    <w:basedOn w:val="Normal"/>
    <w:next w:val="FinTDC"/>
    <w:autoRedefine/>
    <w:uiPriority w:val="39"/>
    <w:unhideWhenUsed/>
    <w:rsid w:val="00364E90"/>
    <w:pPr>
      <w:spacing w:after="0" w:line="20" w:lineRule="atLeast"/>
      <w:ind w:left="1418"/>
      <w:jc w:val="left"/>
    </w:pPr>
    <w:rPr>
      <w:i/>
      <w:color w:val="5F2987"/>
      <w:sz w:val="12"/>
    </w:rPr>
  </w:style>
  <w:style w:type="paragraph" w:customStyle="1" w:styleId="FinTDC">
    <w:name w:val="FinTDC"/>
    <w:basedOn w:val="Nivel1"/>
    <w:qFormat/>
    <w:rsid w:val="00364E90"/>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364E90"/>
    <w:pPr>
      <w:spacing w:after="0" w:line="240" w:lineRule="auto"/>
      <w:jc w:val="left"/>
    </w:pPr>
    <w:rPr>
      <w:sz w:val="15"/>
    </w:rPr>
  </w:style>
  <w:style w:type="paragraph" w:styleId="TDC9">
    <w:name w:val="toc 9"/>
    <w:basedOn w:val="TDC8"/>
    <w:next w:val="FinTDC"/>
    <w:autoRedefine/>
    <w:uiPriority w:val="39"/>
    <w:semiHidden/>
    <w:unhideWhenUsed/>
    <w:rsid w:val="00364E90"/>
    <w:pPr>
      <w:ind w:left="1760"/>
    </w:pPr>
  </w:style>
  <w:style w:type="paragraph" w:customStyle="1" w:styleId="Apartado0">
    <w:name w:val="Apartado 0"/>
    <w:basedOn w:val="Ttulo1"/>
    <w:next w:val="Normal"/>
    <w:link w:val="Apartado0Car"/>
    <w:qFormat/>
    <w:rsid w:val="00364E90"/>
    <w:pPr>
      <w:numPr>
        <w:numId w:val="10"/>
      </w:numPr>
      <w:ind w:left="357" w:hanging="357"/>
    </w:pPr>
  </w:style>
  <w:style w:type="character" w:customStyle="1" w:styleId="Apartado0Car">
    <w:name w:val="Apartado 0 Car"/>
    <w:basedOn w:val="Ttulo1Car"/>
    <w:link w:val="Apartado0"/>
    <w:rsid w:val="00364E90"/>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364E90"/>
    <w:pPr>
      <w:numPr>
        <w:ilvl w:val="3"/>
      </w:numPr>
      <w:ind w:left="1899" w:hanging="198"/>
    </w:pPr>
  </w:style>
  <w:style w:type="paragraph" w:customStyle="1" w:styleId="Nivel5">
    <w:name w:val="Nivel 5"/>
    <w:basedOn w:val="Nivel4"/>
    <w:link w:val="Nivel5Car"/>
    <w:qFormat/>
    <w:rsid w:val="00364E90"/>
    <w:pPr>
      <w:numPr>
        <w:ilvl w:val="4"/>
      </w:numPr>
      <w:ind w:left="2155" w:hanging="170"/>
    </w:pPr>
  </w:style>
  <w:style w:type="character" w:customStyle="1" w:styleId="Nivel2Car">
    <w:name w:val="Nivel 2 Car"/>
    <w:basedOn w:val="Fuentedeprrafopredeter"/>
    <w:link w:val="Nivel2"/>
    <w:rsid w:val="00364E90"/>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364E90"/>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364E90"/>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364E90"/>
    <w:pPr>
      <w:numPr>
        <w:ilvl w:val="5"/>
      </w:numPr>
      <w:ind w:left="2438" w:hanging="227"/>
    </w:pPr>
  </w:style>
  <w:style w:type="character" w:customStyle="1" w:styleId="Nivel5Car">
    <w:name w:val="Nivel 5 Car"/>
    <w:basedOn w:val="Nivel4Car"/>
    <w:link w:val="Nivel5"/>
    <w:rsid w:val="00364E90"/>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364E90"/>
    <w:pPr>
      <w:numPr>
        <w:ilvl w:val="6"/>
      </w:numPr>
      <w:ind w:left="2722" w:hanging="170"/>
    </w:pPr>
  </w:style>
  <w:style w:type="character" w:customStyle="1" w:styleId="Nivel6Car">
    <w:name w:val="Nivel 6 Car"/>
    <w:basedOn w:val="Nivel5Car"/>
    <w:link w:val="Nivel6"/>
    <w:rsid w:val="00364E90"/>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364E90"/>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364E90"/>
    <w:pPr>
      <w:spacing w:after="200" w:line="240" w:lineRule="auto"/>
    </w:pPr>
    <w:rPr>
      <w:i/>
      <w:iCs/>
      <w:color w:val="44546A" w:themeColor="text2"/>
      <w:sz w:val="18"/>
      <w:szCs w:val="18"/>
    </w:rPr>
  </w:style>
  <w:style w:type="paragraph" w:customStyle="1" w:styleId="Ttulo10">
    <w:name w:val="Título 10"/>
    <w:basedOn w:val="Ttulo9"/>
    <w:link w:val="Ttulo10Car"/>
    <w:qFormat/>
    <w:rsid w:val="00364E90"/>
    <w:pPr>
      <w:ind w:left="1276"/>
    </w:pPr>
    <w:rPr>
      <w:w w:val="97"/>
    </w:rPr>
  </w:style>
  <w:style w:type="character" w:customStyle="1" w:styleId="Ttulo10Car">
    <w:name w:val="Título 10 Car"/>
    <w:basedOn w:val="Ttulo9Car"/>
    <w:link w:val="Ttulo10"/>
    <w:rsid w:val="00364E90"/>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364E90"/>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364E90"/>
    <w:pPr>
      <w:numPr>
        <w:ilvl w:val="7"/>
      </w:numPr>
      <w:ind w:left="3005" w:hanging="170"/>
    </w:pPr>
  </w:style>
  <w:style w:type="character" w:customStyle="1" w:styleId="Nivel8Car">
    <w:name w:val="Nivel 8 Car"/>
    <w:basedOn w:val="Nivel7Car"/>
    <w:link w:val="Nivel8"/>
    <w:rsid w:val="00364E90"/>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364E90"/>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364E90"/>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semiHidden/>
    <w:unhideWhenUsed/>
    <w:rsid w:val="00364E9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64E90"/>
    <w:rPr>
      <w:rFonts w:ascii="Palatino Linotype" w:eastAsiaTheme="minorHAnsi" w:hAnsi="Palatino Linotype" w:cstheme="minorBidi"/>
      <w:lang w:eastAsia="en-US"/>
    </w:rPr>
  </w:style>
  <w:style w:type="character" w:styleId="Refdenotaalfinal">
    <w:name w:val="endnote reference"/>
    <w:basedOn w:val="Fuentedeprrafopredeter"/>
    <w:uiPriority w:val="99"/>
    <w:semiHidden/>
    <w:unhideWhenUsed/>
    <w:rsid w:val="00364E90"/>
    <w:rPr>
      <w:vertAlign w:val="superscript"/>
    </w:rPr>
  </w:style>
  <w:style w:type="character" w:customStyle="1" w:styleId="PiedepginaCar">
    <w:name w:val="Pie de página Car"/>
    <w:basedOn w:val="Fuentedeprrafopredeter"/>
    <w:link w:val="Piedepgina"/>
    <w:uiPriority w:val="99"/>
    <w:rsid w:val="00165C36"/>
    <w:rPr>
      <w:rFonts w:ascii="Palatino Linotype" w:eastAsiaTheme="minorHAnsi" w:hAnsi="Palatino Linotyp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773919">
      <w:bodyDiv w:val="1"/>
      <w:marLeft w:val="0"/>
      <w:marRight w:val="0"/>
      <w:marTop w:val="0"/>
      <w:marBottom w:val="0"/>
      <w:divBdr>
        <w:top w:val="none" w:sz="0" w:space="0" w:color="auto"/>
        <w:left w:val="none" w:sz="0" w:space="0" w:color="auto"/>
        <w:bottom w:val="none" w:sz="0" w:space="0" w:color="auto"/>
        <w:right w:val="none" w:sz="0" w:space="0" w:color="auto"/>
      </w:divBdr>
    </w:div>
    <w:div w:id="476453417">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38298239">
      <w:bodyDiv w:val="1"/>
      <w:marLeft w:val="0"/>
      <w:marRight w:val="0"/>
      <w:marTop w:val="0"/>
      <w:marBottom w:val="0"/>
      <w:divBdr>
        <w:top w:val="none" w:sz="0" w:space="0" w:color="auto"/>
        <w:left w:val="none" w:sz="0" w:space="0" w:color="auto"/>
        <w:bottom w:val="none" w:sz="0" w:space="0" w:color="auto"/>
        <w:right w:val="none" w:sz="0" w:space="0" w:color="auto"/>
      </w:divBdr>
      <w:divsChild>
        <w:div w:id="1408768774">
          <w:marLeft w:val="0"/>
          <w:marRight w:val="0"/>
          <w:marTop w:val="0"/>
          <w:marBottom w:val="0"/>
          <w:divBdr>
            <w:top w:val="none" w:sz="0" w:space="0" w:color="auto"/>
            <w:left w:val="none" w:sz="0" w:space="0" w:color="auto"/>
            <w:bottom w:val="none" w:sz="0" w:space="0" w:color="auto"/>
            <w:right w:val="none" w:sz="0" w:space="0" w:color="auto"/>
          </w:divBdr>
          <w:divsChild>
            <w:div w:id="960301029">
              <w:marLeft w:val="0"/>
              <w:marRight w:val="0"/>
              <w:marTop w:val="0"/>
              <w:marBottom w:val="0"/>
              <w:divBdr>
                <w:top w:val="none" w:sz="0" w:space="0" w:color="auto"/>
                <w:left w:val="none" w:sz="0" w:space="0" w:color="auto"/>
                <w:bottom w:val="none" w:sz="0" w:space="0" w:color="auto"/>
                <w:right w:val="none" w:sz="0" w:space="0" w:color="auto"/>
              </w:divBdr>
              <w:divsChild>
                <w:div w:id="2013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229784">
      <w:bodyDiv w:val="1"/>
      <w:marLeft w:val="0"/>
      <w:marRight w:val="0"/>
      <w:marTop w:val="0"/>
      <w:marBottom w:val="0"/>
      <w:divBdr>
        <w:top w:val="none" w:sz="0" w:space="0" w:color="auto"/>
        <w:left w:val="none" w:sz="0" w:space="0" w:color="auto"/>
        <w:bottom w:val="none" w:sz="0" w:space="0" w:color="auto"/>
        <w:right w:val="none" w:sz="0" w:space="0" w:color="auto"/>
      </w:divBdr>
      <w:divsChild>
        <w:div w:id="2126374">
          <w:marLeft w:val="0"/>
          <w:marRight w:val="0"/>
          <w:marTop w:val="0"/>
          <w:marBottom w:val="0"/>
          <w:divBdr>
            <w:top w:val="single" w:sz="24" w:space="0" w:color="FFFFFF"/>
            <w:left w:val="single" w:sz="24" w:space="0" w:color="FFFFFF"/>
            <w:bottom w:val="single" w:sz="24" w:space="0" w:color="FFFFFF"/>
            <w:right w:val="single" w:sz="24" w:space="0" w:color="FFFFFF"/>
          </w:divBdr>
          <w:divsChild>
            <w:div w:id="1929342560">
              <w:marLeft w:val="0"/>
              <w:marRight w:val="0"/>
              <w:marTop w:val="0"/>
              <w:marBottom w:val="0"/>
              <w:divBdr>
                <w:top w:val="single" w:sz="24" w:space="0" w:color="FFFFFF"/>
                <w:left w:val="single" w:sz="24" w:space="0" w:color="FFFFFF"/>
                <w:bottom w:val="single" w:sz="24" w:space="0" w:color="FFFFFF"/>
                <w:right w:val="single" w:sz="24" w:space="0" w:color="FFFFFF"/>
              </w:divBdr>
              <w:divsChild>
                <w:div w:id="1596554945">
                  <w:marLeft w:val="0"/>
                  <w:marRight w:val="0"/>
                  <w:marTop w:val="0"/>
                  <w:marBottom w:val="0"/>
                  <w:divBdr>
                    <w:top w:val="none" w:sz="0" w:space="0" w:color="auto"/>
                    <w:left w:val="none" w:sz="0" w:space="0" w:color="auto"/>
                    <w:bottom w:val="none" w:sz="0" w:space="0" w:color="auto"/>
                    <w:right w:val="none" w:sz="0" w:space="0" w:color="auto"/>
                  </w:divBdr>
                  <w:divsChild>
                    <w:div w:id="2122067627">
                      <w:marLeft w:val="0"/>
                      <w:marRight w:val="0"/>
                      <w:marTop w:val="0"/>
                      <w:marBottom w:val="0"/>
                      <w:divBdr>
                        <w:top w:val="none" w:sz="0" w:space="0" w:color="auto"/>
                        <w:left w:val="none" w:sz="0" w:space="0" w:color="auto"/>
                        <w:bottom w:val="none" w:sz="0" w:space="0" w:color="auto"/>
                        <w:right w:val="none" w:sz="0" w:space="0" w:color="auto"/>
                      </w:divBdr>
                      <w:divsChild>
                        <w:div w:id="1019157279">
                          <w:marLeft w:val="0"/>
                          <w:marRight w:val="0"/>
                          <w:marTop w:val="0"/>
                          <w:marBottom w:val="0"/>
                          <w:divBdr>
                            <w:top w:val="none" w:sz="0" w:space="0" w:color="auto"/>
                            <w:left w:val="none" w:sz="0" w:space="0" w:color="auto"/>
                            <w:bottom w:val="none" w:sz="0" w:space="0" w:color="auto"/>
                            <w:right w:val="none" w:sz="0" w:space="0" w:color="auto"/>
                          </w:divBdr>
                          <w:divsChild>
                            <w:div w:id="798375778">
                              <w:marLeft w:val="0"/>
                              <w:marRight w:val="0"/>
                              <w:marTop w:val="0"/>
                              <w:marBottom w:val="0"/>
                              <w:divBdr>
                                <w:top w:val="none" w:sz="0" w:space="0" w:color="auto"/>
                                <w:left w:val="none" w:sz="0" w:space="0" w:color="auto"/>
                                <w:bottom w:val="none" w:sz="0" w:space="0" w:color="auto"/>
                                <w:right w:val="single" w:sz="6" w:space="11" w:color="E1E1E1"/>
                              </w:divBdr>
                            </w:div>
                          </w:divsChild>
                        </w:div>
                      </w:divsChild>
                    </w:div>
                  </w:divsChild>
                </w:div>
              </w:divsChild>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8279">
      <w:bodyDiv w:val="1"/>
      <w:marLeft w:val="0"/>
      <w:marRight w:val="0"/>
      <w:marTop w:val="0"/>
      <w:marBottom w:val="0"/>
      <w:divBdr>
        <w:top w:val="none" w:sz="0" w:space="0" w:color="auto"/>
        <w:left w:val="none" w:sz="0" w:space="0" w:color="auto"/>
        <w:bottom w:val="none" w:sz="0" w:space="0" w:color="auto"/>
        <w:right w:val="none" w:sz="0" w:space="0" w:color="auto"/>
      </w:divBdr>
      <w:divsChild>
        <w:div w:id="808714439">
          <w:marLeft w:val="0"/>
          <w:marRight w:val="0"/>
          <w:marTop w:val="0"/>
          <w:marBottom w:val="0"/>
          <w:divBdr>
            <w:top w:val="none" w:sz="0" w:space="0" w:color="auto"/>
            <w:left w:val="none" w:sz="0" w:space="0" w:color="auto"/>
            <w:bottom w:val="none" w:sz="0" w:space="0" w:color="auto"/>
            <w:right w:val="none" w:sz="0" w:space="0" w:color="auto"/>
          </w:divBdr>
          <w:divsChild>
            <w:div w:id="1102188359">
              <w:marLeft w:val="0"/>
              <w:marRight w:val="0"/>
              <w:marTop w:val="0"/>
              <w:marBottom w:val="0"/>
              <w:divBdr>
                <w:top w:val="none" w:sz="0" w:space="0" w:color="auto"/>
                <w:left w:val="none" w:sz="0" w:space="0" w:color="auto"/>
                <w:bottom w:val="none" w:sz="0" w:space="0" w:color="auto"/>
                <w:right w:val="none" w:sz="0" w:space="0" w:color="auto"/>
              </w:divBdr>
              <w:divsChild>
                <w:div w:id="12327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820246">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700156">
      <w:bodyDiv w:val="1"/>
      <w:marLeft w:val="0"/>
      <w:marRight w:val="0"/>
      <w:marTop w:val="0"/>
      <w:marBottom w:val="0"/>
      <w:divBdr>
        <w:top w:val="none" w:sz="0" w:space="0" w:color="auto"/>
        <w:left w:val="none" w:sz="0" w:space="0" w:color="auto"/>
        <w:bottom w:val="none" w:sz="0" w:space="0" w:color="auto"/>
        <w:right w:val="none" w:sz="0" w:space="0" w:color="auto"/>
      </w:divBdr>
    </w:div>
    <w:div w:id="2136216198">
      <w:bodyDiv w:val="1"/>
      <w:marLeft w:val="0"/>
      <w:marRight w:val="0"/>
      <w:marTop w:val="0"/>
      <w:marBottom w:val="0"/>
      <w:divBdr>
        <w:top w:val="none" w:sz="0" w:space="0" w:color="auto"/>
        <w:left w:val="none" w:sz="0" w:space="0" w:color="auto"/>
        <w:bottom w:val="none" w:sz="0" w:space="0" w:color="auto"/>
        <w:right w:val="none" w:sz="0" w:space="0" w:color="auto"/>
      </w:divBdr>
      <w:divsChild>
        <w:div w:id="612328315">
          <w:marLeft w:val="0"/>
          <w:marRight w:val="0"/>
          <w:marTop w:val="100"/>
          <w:marBottom w:val="100"/>
          <w:divBdr>
            <w:top w:val="none" w:sz="0" w:space="0" w:color="auto"/>
            <w:left w:val="none" w:sz="0" w:space="0" w:color="auto"/>
            <w:bottom w:val="none" w:sz="0" w:space="0" w:color="auto"/>
            <w:right w:val="none" w:sz="0" w:space="0" w:color="auto"/>
          </w:divBdr>
          <w:divsChild>
            <w:div w:id="1617329929">
              <w:marLeft w:val="0"/>
              <w:marRight w:val="0"/>
              <w:marTop w:val="0"/>
              <w:marBottom w:val="0"/>
              <w:divBdr>
                <w:top w:val="none" w:sz="0" w:space="0" w:color="auto"/>
                <w:left w:val="single" w:sz="6" w:space="0" w:color="C6C4C4"/>
                <w:bottom w:val="none" w:sz="0" w:space="0" w:color="auto"/>
                <w:right w:val="single" w:sz="6" w:space="0" w:color="C6C4C4"/>
              </w:divBdr>
              <w:divsChild>
                <w:div w:id="367947369">
                  <w:marLeft w:val="0"/>
                  <w:marRight w:val="0"/>
                  <w:marTop w:val="0"/>
                  <w:marBottom w:val="0"/>
                  <w:divBdr>
                    <w:top w:val="none" w:sz="0" w:space="0" w:color="auto"/>
                    <w:left w:val="none" w:sz="0" w:space="0" w:color="auto"/>
                    <w:bottom w:val="none" w:sz="0" w:space="0" w:color="auto"/>
                    <w:right w:val="none" w:sz="0" w:space="0" w:color="auto"/>
                  </w:divBdr>
                  <w:divsChild>
                    <w:div w:id="295569052">
                      <w:marLeft w:val="0"/>
                      <w:marRight w:val="930"/>
                      <w:marTop w:val="705"/>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vistasice.com/index.php/ICE/article/view/7153/7168" TargetMode="Externa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revistasice.com/index.php/ICE/article/view/7162/7172" TargetMode="External"/><Relationship Id="rId17" Type="http://schemas.microsoft.com/office/2007/relationships/hdphoto" Target="media/hdphoto1.wdp"/><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vistasice.com/index.php/ICE/article/view/7156/717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de.es/f/webbe/Secciones/Publicaciones/InformesBoletinesRevistas/InformesEstabilidadFinancera/23/IEF_Otono2023.pdf" TargetMode="External"/><Relationship Id="rId23" Type="http://schemas.openxmlformats.org/officeDocument/2006/relationships/footer" Target="footer3.xml"/><Relationship Id="rId10" Type="http://schemas.openxmlformats.org/officeDocument/2006/relationships/hyperlink" Target="http://www.revistasice.com/index.php/ICE/article/view/7155/717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revistasice.com/index.php/ICE/article/view/7160/7176" TargetMode="External"/><Relationship Id="rId14" Type="http://schemas.openxmlformats.org/officeDocument/2006/relationships/hyperlink" Target="https://youtu.be/_sLxSK1PxC0"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ine.es/jaxiT3/Tabla.htm?t=32450" TargetMode="External"/><Relationship Id="rId4" Type="http://schemas.openxmlformats.org/officeDocument/2006/relationships/hyperlink" Target="http://cnmv.es/DocPortal/Publicaciones/Informes/IFNB_ejercicio_202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FA8556E65B34749BB33E2098E50D059"/>
        <w:category>
          <w:name w:val="General"/>
          <w:gallery w:val="placeholder"/>
        </w:category>
        <w:types>
          <w:type w:val="bbPlcHdr"/>
        </w:types>
        <w:behaviors>
          <w:behavior w:val="content"/>
        </w:behaviors>
        <w:guid w:val="{6F6A78F4-0C4A-4CB3-8B53-E0B070C6E54D}"/>
      </w:docPartPr>
      <w:docPartBody>
        <w:p w:rsidR="001F6AAB" w:rsidRDefault="006F2900" w:rsidP="006F2900">
          <w:pPr>
            <w:pStyle w:val="9FA8556E65B34749BB33E2098E50D059"/>
          </w:pPr>
          <w:r w:rsidRPr="00722470">
            <w:rPr>
              <w:rStyle w:val="Textodelmarcadordeposicin"/>
            </w:rPr>
            <w:t>[Título]</w:t>
          </w:r>
        </w:p>
      </w:docPartBody>
    </w:docPart>
    <w:docPart>
      <w:docPartPr>
        <w:name w:val="22045C92439349A4B82A8ABD9AB0B2CD"/>
        <w:category>
          <w:name w:val="General"/>
          <w:gallery w:val="placeholder"/>
        </w:category>
        <w:types>
          <w:type w:val="bbPlcHdr"/>
        </w:types>
        <w:behaviors>
          <w:behavior w:val="content"/>
        </w:behaviors>
        <w:guid w:val="{EAF0AB9B-2B6E-410E-8C11-4C3671D582A9}"/>
      </w:docPartPr>
      <w:docPartBody>
        <w:p w:rsidR="001F6AAB" w:rsidRDefault="006F2900" w:rsidP="006F2900">
          <w:pPr>
            <w:pStyle w:val="22045C92439349A4B82A8ABD9AB0B2CD"/>
          </w:pPr>
          <w:r w:rsidRPr="001B5103">
            <w:rPr>
              <w:rStyle w:val="Textodelmarcadordeposicin"/>
            </w:rPr>
            <w:t>[Title]</w:t>
          </w:r>
        </w:p>
      </w:docPartBody>
    </w:docPart>
    <w:docPart>
      <w:docPartPr>
        <w:name w:val="C5C69B3F80D842CD90D32600B5E12894"/>
        <w:category>
          <w:name w:val="General"/>
          <w:gallery w:val="placeholder"/>
        </w:category>
        <w:types>
          <w:type w:val="bbPlcHdr"/>
        </w:types>
        <w:behaviors>
          <w:behavior w:val="content"/>
        </w:behaviors>
        <w:guid w:val="{63C0484E-140D-4583-86BE-8C95981371BA}"/>
      </w:docPartPr>
      <w:docPartBody>
        <w:p w:rsidR="001F6AAB" w:rsidRDefault="006F2900" w:rsidP="006F2900">
          <w:pPr>
            <w:pStyle w:val="C5C69B3F80D842CD90D32600B5E12894"/>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900"/>
    <w:rsid w:val="00165BD2"/>
    <w:rsid w:val="001F520F"/>
    <w:rsid w:val="001F6AAB"/>
    <w:rsid w:val="002F21E8"/>
    <w:rsid w:val="003D3C01"/>
    <w:rsid w:val="00417EE0"/>
    <w:rsid w:val="00465408"/>
    <w:rsid w:val="005F63A4"/>
    <w:rsid w:val="006B7F16"/>
    <w:rsid w:val="006F2900"/>
    <w:rsid w:val="00700918"/>
    <w:rsid w:val="007D02B7"/>
    <w:rsid w:val="008117E0"/>
    <w:rsid w:val="00926CD5"/>
    <w:rsid w:val="00A70A95"/>
    <w:rsid w:val="00B42B44"/>
    <w:rsid w:val="00B545D4"/>
    <w:rsid w:val="00BB32E7"/>
    <w:rsid w:val="00BE664F"/>
    <w:rsid w:val="00D80B9B"/>
    <w:rsid w:val="00E069CC"/>
    <w:rsid w:val="00F02C0F"/>
    <w:rsid w:val="00F911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2900"/>
    <w:rPr>
      <w:color w:val="808080"/>
    </w:rPr>
  </w:style>
  <w:style w:type="paragraph" w:customStyle="1" w:styleId="9FA8556E65B34749BB33E2098E50D059">
    <w:name w:val="9FA8556E65B34749BB33E2098E50D059"/>
    <w:rsid w:val="006F2900"/>
  </w:style>
  <w:style w:type="paragraph" w:customStyle="1" w:styleId="22045C92439349A4B82A8ABD9AB0B2CD">
    <w:name w:val="22045C92439349A4B82A8ABD9AB0B2CD"/>
    <w:rsid w:val="006F2900"/>
  </w:style>
  <w:style w:type="paragraph" w:customStyle="1" w:styleId="C5C69B3F80D842CD90D32600B5E12894">
    <w:name w:val="C5C69B3F80D842CD90D32600B5E12894"/>
    <w:rsid w:val="006F29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DAEF8-D658-4371-8879-7F06990EE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873</TotalTime>
  <Pages>32</Pages>
  <Words>12899</Words>
  <Characters>70949</Characters>
  <Application>Microsoft Office Word</Application>
  <DocSecurity>0</DocSecurity>
  <Lines>591</Lines>
  <Paragraphs>167</Paragraphs>
  <ScaleCrop>false</ScaleCrop>
  <HeadingPairs>
    <vt:vector size="2" baseType="variant">
      <vt:variant>
        <vt:lpstr>Título</vt:lpstr>
      </vt:variant>
      <vt:variant>
        <vt:i4>1</vt:i4>
      </vt:variant>
    </vt:vector>
  </HeadingPairs>
  <TitlesOfParts>
    <vt:vector size="1" baseType="lpstr">
      <vt:lpstr>4.A.18</vt:lpstr>
    </vt:vector>
  </TitlesOfParts>
  <Company/>
  <LinksUpToDate>false</LinksUpToDate>
  <CharactersWithSpaces>83681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4.A.18</dc:title>
  <dc:subject>El sistema financiero español (I). Evolución hasta la actualidad. Instituciones y agentes.</dc:subject>
  <dc:creator>Víctor Gutiérrez Marcos</dc:creator>
  <cp:keywords/>
  <cp:lastModifiedBy>Víctor Gutiérrez Marcos</cp:lastModifiedBy>
  <dcterms:created xsi:type="dcterms:W3CDTF">2023-09-22T18:12:00Z</dcterms:created>
  <dcterms:modified xsi:type="dcterms:W3CDTF">2024-09-23T17:01:00Z</dcterms:modified>
</cp:coreProperties>
</file>