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90FCDD" w14:textId="4BC0C0B4" w:rsidR="000040EA" w:rsidRDefault="00000000" w:rsidP="00FA083A">
      <w:pPr>
        <w:pStyle w:val="Ttulo"/>
      </w:pPr>
      <w:sdt>
        <w:sdtPr>
          <w:rPr>
            <w:i/>
            <w:u w:val="single"/>
          </w:rPr>
          <w:alias w:val="Title"/>
          <w:tag w:val=""/>
          <w:id w:val="-780801520"/>
          <w:placeholder>
            <w:docPart w:val="5CBC8C7902A24BF2B3B4BF1D7C126A0A"/>
          </w:placeholder>
          <w:dataBinding w:prefixMappings="xmlns:ns0='http://purl.org/dc/elements/1.1/' xmlns:ns1='http://schemas.openxmlformats.org/package/2006/metadata/core-properties' " w:xpath="/ns1:coreProperties[1]/ns0:title[1]" w:storeItemID="{6C3C8BC8-F283-45AE-878A-BAB7291924A1}"/>
          <w:text/>
        </w:sdtPr>
        <w:sdtContent>
          <w:r w:rsidR="00FA083A">
            <w:rPr>
              <w:i/>
              <w:u w:val="single"/>
            </w:rPr>
            <w:t>4.A.17</w:t>
          </w:r>
        </w:sdtContent>
      </w:sdt>
      <w:r w:rsidR="00FA083A">
        <w:t xml:space="preserve"> :</w:t>
      </w:r>
      <w:r w:rsidR="00FA083A" w:rsidRPr="004C0C34">
        <w:t xml:space="preserve"> </w:t>
      </w:r>
      <w:sdt>
        <w:sdtPr>
          <w:alias w:val="Subject"/>
          <w:tag w:val=""/>
          <w:id w:val="-1903059896"/>
          <w:placeholder>
            <w:docPart w:val="8F1B7E8D1B54440C993B77A47764D277"/>
          </w:placeholder>
          <w:dataBinding w:prefixMappings="xmlns:ns0='http://purl.org/dc/elements/1.1/' xmlns:ns1='http://schemas.openxmlformats.org/package/2006/metadata/core-properties' " w:xpath="/ns1:coreProperties[1]/ns0:subject[1]" w:storeItemID="{6C3C8BC8-F283-45AE-878A-BAB7291924A1}"/>
          <w:text/>
        </w:sdtPr>
        <w:sdtContent>
          <w:r w:rsidR="00FA083A">
            <w:t>Economía de las regiones españolas: especialización regional, convergencia real y política de desarrollo regional.</w:t>
          </w:r>
        </w:sdtContent>
      </w:sdt>
    </w:p>
    <w:p w14:paraId="1E35E51D" w14:textId="1CD7037F" w:rsidR="00E34137" w:rsidRPr="00E34137" w:rsidRDefault="00293988" w:rsidP="00E34137">
      <w:pPr>
        <w:pStyle w:val="Notaalopositor"/>
      </w:pPr>
      <w:r>
        <w:t xml:space="preserve">El apartado </w:t>
      </w:r>
      <w:r w:rsidR="00021E65">
        <w:fldChar w:fldCharType="begin"/>
      </w:r>
      <w:r w:rsidR="00021E65">
        <w:instrText xml:space="preserve"> REF _Ref150454842 \r \h </w:instrText>
      </w:r>
      <w:r w:rsidR="00021E65">
        <w:fldChar w:fldCharType="separate"/>
      </w:r>
      <w:r w:rsidR="00EC13F1">
        <w:t>3.4</w:t>
      </w:r>
      <w:r w:rsidR="00021E65">
        <w:fldChar w:fldCharType="end"/>
      </w:r>
      <w:r>
        <w:t xml:space="preserve"> </w:t>
      </w:r>
      <w:r w:rsidR="0016208D">
        <w:t>mirar por lo de Juan Luis y coordinarlo con lo más actual que viene aquí.</w:t>
      </w:r>
    </w:p>
    <w:p w14:paraId="19786E40" w14:textId="5B271B31" w:rsidR="00CE1217" w:rsidRPr="00946F49" w:rsidRDefault="00CE1217" w:rsidP="0073740D">
      <w:pPr>
        <w:pStyle w:val="Introduccinyconclusin"/>
      </w:pPr>
      <w:r w:rsidRPr="00946F49">
        <w:t>INTRODUCCION</w:t>
      </w:r>
    </w:p>
    <w:p w14:paraId="5BE46997" w14:textId="77777777" w:rsidR="004A3B26" w:rsidRDefault="004A3B26" w:rsidP="004A3B26">
      <w:pPr>
        <w:pStyle w:val="Nivel1"/>
        <w:keepNext/>
        <w:spacing w:before="0" w:after="0"/>
      </w:pPr>
      <w:r>
        <w:rPr>
          <w:b/>
          <w:bCs/>
          <w:i/>
          <w:iCs/>
        </w:rPr>
        <w:t>Enganche</w:t>
      </w:r>
      <w:r>
        <w:t>:</w:t>
      </w:r>
    </w:p>
    <w:p w14:paraId="64B3AD8E" w14:textId="74281008" w:rsidR="004A3B26" w:rsidRDefault="00194580" w:rsidP="004A3B26">
      <w:pPr>
        <w:pStyle w:val="Nivel2"/>
      </w:pPr>
      <w:r>
        <w:t>El artículo 2 de la Constitución Española establece, por un lado, la indisoluble unidad de la Nación española y, por otro lado, garantiza el derecho a la autonomía de las nacionalidades y regiones que la integran</w:t>
      </w:r>
      <w:r>
        <w:rPr>
          <w:rStyle w:val="Refdenotaalpie"/>
        </w:rPr>
        <w:footnoteReference w:id="2"/>
      </w:r>
      <w:r>
        <w:t>.</w:t>
      </w:r>
    </w:p>
    <w:p w14:paraId="4EB35887" w14:textId="61F75F56" w:rsidR="00194580" w:rsidRDefault="00194580" w:rsidP="00194580">
      <w:pPr>
        <w:pStyle w:val="Nivel2"/>
        <w:keepNext/>
        <w:spacing w:after="0"/>
      </w:pPr>
      <w:r>
        <w:t xml:space="preserve">A raíz del garante del derecho a la autonomía de las regiones españolas se desarrolla el </w:t>
      </w:r>
      <w:r w:rsidRPr="00194580">
        <w:rPr>
          <w:i/>
          <w:iCs/>
        </w:rPr>
        <w:t>Estado de las Autonomías</w:t>
      </w:r>
      <w:r>
        <w:t>, lo que tiene 3 implicaciones:</w:t>
      </w:r>
    </w:p>
    <w:p w14:paraId="55D85DB3" w14:textId="42720097" w:rsidR="00194580" w:rsidRDefault="00194580" w:rsidP="00194580">
      <w:pPr>
        <w:pStyle w:val="Prrafodelista"/>
        <w:numPr>
          <w:ilvl w:val="0"/>
          <w:numId w:val="46"/>
        </w:numPr>
        <w:spacing w:after="0"/>
        <w:ind w:left="1701" w:hanging="113"/>
      </w:pPr>
      <w:r>
        <w:t>Los territorios se han agrupado en torno a una unidad económica (la CCAA) distinta a la imperante los 40 años anteriores (la provincia).</w:t>
      </w:r>
    </w:p>
    <w:p w14:paraId="16FEA7A4" w14:textId="3BF187D2" w:rsidR="00194580" w:rsidRDefault="00194580" w:rsidP="00194580">
      <w:pPr>
        <w:pStyle w:val="Prrafodelista"/>
        <w:numPr>
          <w:ilvl w:val="0"/>
          <w:numId w:val="46"/>
        </w:numPr>
        <w:spacing w:after="0"/>
        <w:ind w:left="1701" w:hanging="113"/>
      </w:pPr>
      <w:r>
        <w:t>Por otro lado, el desarrollo del Estado Autonómico ha ido conduciendo a una mayor descentralización, ya no sólo en cuanto a la política fiscal, sino también en cuenta a otras políticas microeconómicas, lo cual tiene sin duda un impacto en el crecimiento económico relativo de las regiones.</w:t>
      </w:r>
    </w:p>
    <w:p w14:paraId="25EB0C17" w14:textId="28CC7BF7" w:rsidR="00194580" w:rsidRDefault="00194580" w:rsidP="00194580">
      <w:pPr>
        <w:pStyle w:val="Prrafodelista"/>
        <w:numPr>
          <w:ilvl w:val="0"/>
          <w:numId w:val="46"/>
        </w:numPr>
        <w:spacing w:after="0"/>
        <w:ind w:left="1701" w:hanging="113"/>
      </w:pPr>
      <w:r>
        <w:t xml:space="preserve">Ha llevado a analizar buena parte de los fenómenos económicos no sólo desde una perspectiva de </w:t>
      </w:r>
      <w:r w:rsidR="00BC66C7">
        <w:t>conjunto, sino también desde un punto de vista regional.</w:t>
      </w:r>
    </w:p>
    <w:p w14:paraId="5C160969" w14:textId="77777777" w:rsidR="004A3B26" w:rsidRDefault="004A3B26" w:rsidP="004A3B26">
      <w:pPr>
        <w:pStyle w:val="Nivel1"/>
        <w:keepNext/>
        <w:spacing w:after="0"/>
      </w:pPr>
      <w:r>
        <w:rPr>
          <w:b/>
          <w:bCs/>
          <w:i/>
          <w:iCs/>
        </w:rPr>
        <w:t>Relevancia</w:t>
      </w:r>
      <w:bookmarkStart w:id="0" w:name="_Hlk145917891"/>
      <w:r>
        <w:t>:</w:t>
      </w:r>
      <w:bookmarkEnd w:id="0"/>
    </w:p>
    <w:p w14:paraId="5473DF67" w14:textId="2F98D415" w:rsidR="004A3B26" w:rsidRDefault="00BC66C7" w:rsidP="00BC66C7">
      <w:pPr>
        <w:pStyle w:val="Nivel2"/>
        <w:keepNext/>
        <w:spacing w:after="0"/>
      </w:pPr>
      <w:r>
        <w:t>Este estudio es de gran relevancia por diversos motivos:</w:t>
      </w:r>
    </w:p>
    <w:p w14:paraId="2B20743F" w14:textId="583FF351" w:rsidR="00BC66C7" w:rsidRDefault="00BC66C7" w:rsidP="00BC66C7">
      <w:pPr>
        <w:pStyle w:val="Nivel3"/>
        <w:keepNext/>
      </w:pPr>
      <w:r>
        <w:t>El estudio de las regiones españolas nos va a permitir testar algunas predicciones de teoría económica, en particular la existencia de convergencia.</w:t>
      </w:r>
    </w:p>
    <w:p w14:paraId="7C556698" w14:textId="274A639B" w:rsidR="00BC66C7" w:rsidRDefault="00BC66C7" w:rsidP="00CF4185">
      <w:pPr>
        <w:pStyle w:val="Nivel4"/>
        <w:keepNext/>
      </w:pPr>
      <w:r>
        <w:t>Por añadidura, como veremos, España es un país particularmente interesante para estudiar este campo de la economía por varias razones.</w:t>
      </w:r>
    </w:p>
    <w:p w14:paraId="43B84948" w14:textId="77777777" w:rsidR="00CF4185" w:rsidRDefault="00BC66C7" w:rsidP="00BC66C7">
      <w:pPr>
        <w:pStyle w:val="Nivel5"/>
      </w:pPr>
      <w:r>
        <w:t>En particular, para los estándares europeos, España es un país relativamente grande y con reducida densidad de población.</w:t>
      </w:r>
    </w:p>
    <w:p w14:paraId="77BD0635" w14:textId="15BE61BD" w:rsidR="00BC66C7" w:rsidRDefault="00BC66C7" w:rsidP="00BC66C7">
      <w:pPr>
        <w:pStyle w:val="Nivel5"/>
      </w:pPr>
      <w:r>
        <w:t xml:space="preserve">Esto supone un reto para la política de desarrollo regional por las complicaciones orográficas y por la existencia de regiones </w:t>
      </w:r>
      <w:proofErr w:type="spellStart"/>
      <w:r>
        <w:t>extrapeninsulares</w:t>
      </w:r>
      <w:proofErr w:type="spellEnd"/>
      <w:r>
        <w:t>.</w:t>
      </w:r>
    </w:p>
    <w:p w14:paraId="5A07F9F4" w14:textId="1958086C" w:rsidR="00BC66C7" w:rsidRDefault="00BC66C7" w:rsidP="00BC66C7">
      <w:pPr>
        <w:pStyle w:val="Nivel4"/>
      </w:pPr>
      <w:r>
        <w:t>Ante estos desafíos cabe preguntarse por el papel que debe jugar la política de desarrollo regional y las transferencias entre CCAA por motivos de cohesión</w:t>
      </w:r>
      <w:r w:rsidR="0090660E">
        <w:rPr>
          <w:rStyle w:val="Refdenotaalpie"/>
        </w:rPr>
        <w:footnoteReference w:id="3"/>
      </w:r>
      <w:r>
        <w:t>.</w:t>
      </w:r>
    </w:p>
    <w:p w14:paraId="7BB7CCF3" w14:textId="77777777" w:rsidR="00BC66C7" w:rsidRDefault="00BC66C7" w:rsidP="00BC66C7">
      <w:pPr>
        <w:pStyle w:val="Nivel3"/>
      </w:pPr>
    </w:p>
    <w:p w14:paraId="7C4E5F96" w14:textId="77777777" w:rsidR="004A3B26" w:rsidRDefault="004A3B26" w:rsidP="004A3B26">
      <w:pPr>
        <w:pStyle w:val="Nivel1"/>
        <w:keepNext/>
        <w:spacing w:after="0"/>
      </w:pPr>
      <w:r>
        <w:rPr>
          <w:b/>
          <w:bCs/>
          <w:i/>
          <w:iCs/>
        </w:rPr>
        <w:t>Contextualización</w:t>
      </w:r>
      <w:r>
        <w:t>:</w:t>
      </w:r>
    </w:p>
    <w:p w14:paraId="65B5F048" w14:textId="77777777" w:rsidR="004A3B26" w:rsidRPr="004F0012" w:rsidRDefault="004A3B26" w:rsidP="004A3B26">
      <w:pPr>
        <w:pStyle w:val="Nivel2"/>
        <w:keepNext/>
        <w:spacing w:after="0"/>
        <w:rPr>
          <w:spacing w:val="-2"/>
        </w:rPr>
      </w:pPr>
      <w:r w:rsidRPr="004F0012">
        <w:rPr>
          <w:spacing w:val="-2"/>
        </w:rPr>
        <w:t xml:space="preserve">La economía española ha experimentado un importante cambio a lo largo de las últimas </w:t>
      </w:r>
      <w:r>
        <w:rPr>
          <w:spacing w:val="-2"/>
        </w:rPr>
        <w:t>7</w:t>
      </w:r>
      <w:r w:rsidRPr="004F0012">
        <w:rPr>
          <w:spacing w:val="-2"/>
        </w:rPr>
        <w:t> décadas tanto desde un punto de vista político como desde un punto de vista económico.</w:t>
      </w:r>
    </w:p>
    <w:p w14:paraId="0FCFDE7D" w14:textId="77777777" w:rsidR="004A3B26" w:rsidRDefault="004A3B26" w:rsidP="004A3B26">
      <w:pPr>
        <w:pStyle w:val="Nivel3"/>
      </w:pPr>
      <w:r>
        <w:t>Desde un punto de vista político, el país ha pasado de un régimen autoritario a un régimen democrático.</w:t>
      </w:r>
    </w:p>
    <w:p w14:paraId="34971D34" w14:textId="77777777" w:rsidR="004A3B26" w:rsidRDefault="004A3B26" w:rsidP="004A3B26">
      <w:pPr>
        <w:pStyle w:val="Nivel3"/>
        <w:keepNext/>
      </w:pPr>
      <w:r>
        <w:t>Desde un punto de vista económico, ha pasado a estar caracterizado por un régimen de autarquía a formar parte del proceso de integración más avanzado del mundo: La Unión Económica y Monetaria Europea.</w:t>
      </w:r>
    </w:p>
    <w:p w14:paraId="24482BC9" w14:textId="77777777" w:rsidR="004A3B26" w:rsidRDefault="004A3B26" w:rsidP="004A3B26">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5181EA1D" w14:textId="6B8801E3" w:rsidR="004A3B26" w:rsidRDefault="004A3B26" w:rsidP="004A3B26">
      <w:pPr>
        <w:pStyle w:val="Nivel4"/>
      </w:pPr>
      <w:r w:rsidRPr="00946F49">
        <w:lastRenderedPageBreak/>
        <w:t>Este proceso ha llevado a las diferentes regiones a especializarse a nivel regional en diferentes ámbitos y a implementarse una política de desarrollo regional cada vez más descentralizada.</w:t>
      </w:r>
    </w:p>
    <w:p w14:paraId="7FFF3B30" w14:textId="77777777" w:rsidR="004A3B26" w:rsidRDefault="004A3B26" w:rsidP="004A3B26">
      <w:pPr>
        <w:pStyle w:val="Nivel1"/>
        <w:keepNext/>
        <w:spacing w:after="0"/>
      </w:pPr>
      <w:r>
        <w:rPr>
          <w:b/>
          <w:bCs/>
          <w:i/>
          <w:iCs/>
        </w:rPr>
        <w:t>Problemática</w:t>
      </w:r>
      <w:r>
        <w:t>:</w:t>
      </w:r>
    </w:p>
    <w:p w14:paraId="7D8EACC6" w14:textId="79FB97D6" w:rsidR="004A3B26" w:rsidRDefault="004A3B26" w:rsidP="004A3B26">
      <w:pPr>
        <w:pStyle w:val="Nivel2"/>
      </w:pPr>
      <w:r w:rsidRPr="008E3100">
        <w:t>El objetivo de est</w:t>
      </w:r>
      <w:r>
        <w:t>a</w:t>
      </w:r>
      <w:r w:rsidRPr="008E3100">
        <w:t xml:space="preserve"> </w:t>
      </w:r>
      <w:r>
        <w:t>exposición</w:t>
      </w:r>
      <w:r w:rsidRPr="008E3100">
        <w:t xml:space="preserve"> será llevar a cabo un análisis algo más en profundidad de</w:t>
      </w:r>
      <w:r>
        <w:t xml:space="preserve"> </w:t>
      </w:r>
      <w:r w:rsidRPr="008E3100">
        <w:t>l</w:t>
      </w:r>
      <w:r>
        <w:t>a</w:t>
      </w:r>
      <w:r w:rsidRPr="008E3100">
        <w:t xml:space="preserve"> </w:t>
      </w:r>
      <w:r>
        <w:t>economía de las regiones españolas.</w:t>
      </w:r>
    </w:p>
    <w:p w14:paraId="6587305F" w14:textId="77777777" w:rsidR="004A3B26" w:rsidRDefault="004A3B26" w:rsidP="004A3B26">
      <w:pPr>
        <w:pStyle w:val="Nivel1"/>
        <w:keepNext/>
        <w:spacing w:after="0"/>
      </w:pPr>
      <w:r>
        <w:rPr>
          <w:b/>
          <w:bCs/>
          <w:i/>
          <w:iCs/>
        </w:rPr>
        <w:t>Estructura</w:t>
      </w:r>
      <w:r>
        <w:t>:</w:t>
      </w:r>
    </w:p>
    <w:tbl>
      <w:tblPr>
        <w:tblStyle w:val="Tablaconcuadrcula"/>
        <w:tblW w:w="10205" w:type="dxa"/>
        <w:jc w:val="center"/>
        <w:tblLook w:val="04A0" w:firstRow="1" w:lastRow="0" w:firstColumn="1" w:lastColumn="0" w:noHBand="0" w:noVBand="1"/>
      </w:tblPr>
      <w:tblGrid>
        <w:gridCol w:w="10205"/>
      </w:tblGrid>
      <w:tr w:rsidR="004A3B26" w14:paraId="68772CBB" w14:textId="77777777" w:rsidTr="00AC1D63">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4D0EB8C" w14:textId="77777777" w:rsidR="004A3B26" w:rsidRPr="003C6F44" w:rsidRDefault="004A3B26" w:rsidP="003C6F44">
      <w:pPr>
        <w:spacing w:after="0"/>
        <w:rPr>
          <w:sz w:val="2"/>
          <w:szCs w:val="2"/>
        </w:rPr>
      </w:pPr>
      <w:r w:rsidRPr="003C6F44">
        <w:rPr>
          <w:sz w:val="2"/>
          <w:szCs w:val="2"/>
        </w:rPr>
        <w:br w:type="page"/>
      </w:r>
    </w:p>
    <w:p w14:paraId="7F1A72DA" w14:textId="77777777" w:rsidR="003D3875" w:rsidRDefault="003D3875" w:rsidP="003D3875">
      <w:pPr>
        <w:pStyle w:val="Ttulo1"/>
      </w:pPr>
      <w:bookmarkStart w:id="1" w:name="_Ref146741618"/>
      <w:bookmarkStart w:id="2" w:name="_Toc150452773"/>
      <w:r>
        <w:lastRenderedPageBreak/>
        <w:t>ANÁLISIS ESTÁTICO DE LA ESPECIALIZACIÓN REGIONAL:</w:t>
      </w:r>
      <w:r>
        <w:br/>
        <w:t>DIFERENCIAS REGIONALES EN ESPAÑA</w:t>
      </w:r>
      <w:bookmarkEnd w:id="1"/>
      <w:bookmarkEnd w:id="2"/>
    </w:p>
    <w:p w14:paraId="25C9BA08" w14:textId="77777777" w:rsidR="003D3875" w:rsidRDefault="003D3875" w:rsidP="003D3875">
      <w:pPr>
        <w:pStyle w:val="Ttulo2"/>
      </w:pPr>
      <w:bookmarkStart w:id="3" w:name="_Toc150452774"/>
      <w:r w:rsidRPr="008F103F">
        <w:t>Deli</w:t>
      </w:r>
      <w:r>
        <w:t>mitación y relevancia</w:t>
      </w:r>
      <w:bookmarkEnd w:id="3"/>
    </w:p>
    <w:p w14:paraId="46F28EDC" w14:textId="77777777" w:rsidR="003D3875" w:rsidRDefault="003D3875" w:rsidP="003D3875">
      <w:pPr>
        <w:pStyle w:val="Ttulo3"/>
        <w:spacing w:before="0"/>
      </w:pPr>
      <w:bookmarkStart w:id="4" w:name="_Toc150452775"/>
      <w:r>
        <w:t>Delimitación</w:t>
      </w:r>
      <w:bookmarkEnd w:id="4"/>
    </w:p>
    <w:p w14:paraId="625F7279" w14:textId="77777777" w:rsidR="003D3875" w:rsidRDefault="003D3875" w:rsidP="003D3875">
      <w:pPr>
        <w:pStyle w:val="Nivel1SM"/>
        <w:keepNext/>
        <w:spacing w:before="0" w:after="0"/>
      </w:pPr>
      <w:r>
        <w:t xml:space="preserve">Para valorar la </w:t>
      </w:r>
      <w:r w:rsidRPr="00691F5E">
        <w:rPr>
          <w:b/>
          <w:bCs/>
        </w:rPr>
        <w:t>especialización regional de España</w:t>
      </w:r>
      <w:r>
        <w:t xml:space="preserve"> hay que ver la </w:t>
      </w:r>
      <w:r w:rsidRPr="00691F5E">
        <w:rPr>
          <w:i/>
          <w:iCs/>
          <w:u w:val="single"/>
        </w:rPr>
        <w:t>distribución del PIB por cada CCAA y por ramas de actividad</w:t>
      </w:r>
      <w:r>
        <w:rPr>
          <w:rStyle w:val="Refdenotaalpie"/>
        </w:rPr>
        <w:footnoteReference w:id="4"/>
      </w:r>
      <w:r>
        <w:t>.</w:t>
      </w:r>
    </w:p>
    <w:p w14:paraId="02B78306" w14:textId="77777777" w:rsidR="003D3875" w:rsidRPr="00691F5E" w:rsidRDefault="003D3875" w:rsidP="003D3875">
      <w:pPr>
        <w:pStyle w:val="Nivel2SM"/>
      </w:pPr>
      <w:r>
        <w:t>Definimos que una CCAA tiene una especialización relativa en un sector si el peso relativo del sector en el PIB de la región es mayor que el peso del sector en el PIB nacional.</w:t>
      </w:r>
    </w:p>
    <w:p w14:paraId="552A2258" w14:textId="77777777" w:rsidR="003D3875" w:rsidRDefault="003D3875" w:rsidP="003D3875">
      <w:pPr>
        <w:pStyle w:val="Ttulo3"/>
      </w:pPr>
      <w:bookmarkStart w:id="5" w:name="_Toc150452776"/>
      <w:r>
        <w:t>Relevancia</w:t>
      </w:r>
      <w:bookmarkEnd w:id="5"/>
    </w:p>
    <w:p w14:paraId="4C746768" w14:textId="77777777" w:rsidR="003D3875" w:rsidRPr="00691F5E" w:rsidRDefault="003D3875" w:rsidP="003D3875">
      <w:pPr>
        <w:pStyle w:val="Nivel1SM"/>
        <w:spacing w:before="0"/>
      </w:pPr>
      <w:r>
        <w:t>El estudio de los patrones de especialización regional y su evolución pueden permitirnos descubrir cambios en la convergencia y velocidad de convergencia.</w:t>
      </w:r>
    </w:p>
    <w:p w14:paraId="05D921A1" w14:textId="77777777" w:rsidR="00660C25" w:rsidRPr="00946F49" w:rsidRDefault="00660C25" w:rsidP="00660C25">
      <w:pPr>
        <w:pStyle w:val="Ttulo2"/>
      </w:pPr>
      <w:bookmarkStart w:id="6" w:name="_Toc150452777"/>
      <w:r w:rsidRPr="00946F49">
        <w:t>Análisis estático: los desequilibrios territoriales</w:t>
      </w:r>
      <w:bookmarkEnd w:id="6"/>
    </w:p>
    <w:p w14:paraId="718A432C" w14:textId="77777777" w:rsidR="00660C25" w:rsidRPr="00C27EB4" w:rsidRDefault="00660C25" w:rsidP="00F93231">
      <w:pPr>
        <w:pStyle w:val="Nivel1SM"/>
        <w:spacing w:before="0"/>
      </w:pPr>
      <w:r w:rsidRPr="00F93231">
        <w:t>Si realizamos un análisis estático de los desequilibrios actuales</w:t>
      </w:r>
      <w:r w:rsidRPr="00F546F8">
        <w:t xml:space="preserve">, podemos comprobar que, pese al proceso de convergencia, </w:t>
      </w:r>
      <w:r w:rsidRPr="00F93231">
        <w:rPr>
          <w:i/>
          <w:iCs/>
        </w:rPr>
        <w:t>las disparidades entre regiones siguen siendo bastante importantes</w:t>
      </w:r>
      <w:r w:rsidRPr="00F546F8">
        <w:t>.</w:t>
      </w:r>
    </w:p>
    <w:p w14:paraId="603FEC7D" w14:textId="77777777" w:rsidR="00660C25" w:rsidRPr="00946F49" w:rsidRDefault="00660C25" w:rsidP="00660C25">
      <w:pPr>
        <w:pStyle w:val="Ttulo3"/>
      </w:pPr>
      <w:bookmarkStart w:id="7" w:name="_Toc150452779"/>
      <w:r w:rsidRPr="00946F49">
        <w:t>La distribución de la renta total</w:t>
      </w:r>
      <w:bookmarkEnd w:id="7"/>
    </w:p>
    <w:p w14:paraId="0F605AD8" w14:textId="77777777" w:rsidR="00660C25" w:rsidRPr="00F546F8" w:rsidRDefault="00660C25" w:rsidP="00660C25">
      <w:pPr>
        <w:pStyle w:val="Nivel2SM"/>
        <w:keepNext/>
        <w:spacing w:after="0"/>
      </w:pPr>
      <w:r w:rsidRPr="00F546F8">
        <w:t>Si nos fijamos en el PIB a precios de mercado, se evidencia una gran concentración de la producción en un pequeño porcentaje del territorio nacional:</w:t>
      </w:r>
    </w:p>
    <w:p w14:paraId="7E89C55D" w14:textId="4D2CFE59" w:rsidR="00660C25" w:rsidRPr="00F546F8" w:rsidRDefault="00660C25" w:rsidP="00660C25">
      <w:pPr>
        <w:pStyle w:val="Nivel3SM"/>
      </w:pPr>
      <w:r w:rsidRPr="00033379">
        <w:t>Cataluña</w:t>
      </w:r>
      <w:r w:rsidR="00033379">
        <w:t> </w:t>
      </w:r>
      <w:r w:rsidRPr="00033379">
        <w:t>+</w:t>
      </w:r>
      <w:r w:rsidR="00033379">
        <w:t> </w:t>
      </w:r>
      <w:r w:rsidRPr="00033379">
        <w:t>Madrid</w:t>
      </w:r>
      <w:r w:rsidR="00033379">
        <w:t> </w:t>
      </w:r>
      <w:r w:rsidRPr="00033379">
        <w:t>+</w:t>
      </w:r>
      <w:r w:rsidR="00033379">
        <w:t> </w:t>
      </w:r>
      <w:r w:rsidRPr="00033379">
        <w:t>Comunidad Valenciana</w:t>
      </w:r>
      <w:r w:rsidRPr="00F546F8">
        <w:t xml:space="preserve"> representan aproximadamente un 12</w:t>
      </w:r>
      <w:r>
        <w:t> %</w:t>
      </w:r>
      <w:r w:rsidRPr="00F546F8">
        <w:t xml:space="preserve"> del territorio nacional, pero un 46</w:t>
      </w:r>
      <w:r>
        <w:t> %</w:t>
      </w:r>
      <w:r w:rsidRPr="00F546F8">
        <w:t xml:space="preserve"> del PIB a precios de mercado.</w:t>
      </w:r>
    </w:p>
    <w:p w14:paraId="06658A22" w14:textId="16BB01EC" w:rsidR="00660C25" w:rsidRPr="00F546F8" w:rsidRDefault="00660C25" w:rsidP="00660C25">
      <w:pPr>
        <w:pStyle w:val="Nivel3SM"/>
      </w:pPr>
      <w:r w:rsidRPr="00033379">
        <w:t>Andalucía</w:t>
      </w:r>
      <w:r w:rsidR="00033379" w:rsidRPr="00033379">
        <w:t> </w:t>
      </w:r>
      <w:r w:rsidRPr="00033379">
        <w:t>+</w:t>
      </w:r>
      <w:r w:rsidR="00033379" w:rsidRPr="00033379">
        <w:t> Castilla-La Mancha + </w:t>
      </w:r>
      <w:r w:rsidRPr="00033379">
        <w:t>Castilla</w:t>
      </w:r>
      <w:r w:rsidR="00033379" w:rsidRPr="00033379">
        <w:t xml:space="preserve"> y León</w:t>
      </w:r>
      <w:r w:rsidRPr="00033379">
        <w:t xml:space="preserve"> re</w:t>
      </w:r>
      <w:r w:rsidRPr="00F546F8">
        <w:t>presentan algo más del 50</w:t>
      </w:r>
      <w:r>
        <w:t> %</w:t>
      </w:r>
      <w:r w:rsidRPr="00F546F8">
        <w:t xml:space="preserve"> del territorio nacional y en torno al 50</w:t>
      </w:r>
      <w:r>
        <w:t> %</w:t>
      </w:r>
      <w:r w:rsidRPr="00F546F8">
        <w:t xml:space="preserve"> de la población, pero apenas un 22</w:t>
      </w:r>
      <w:r>
        <w:t> %</w:t>
      </w:r>
      <w:r w:rsidRPr="00F546F8">
        <w:t xml:space="preserve"> del PIB.</w:t>
      </w:r>
    </w:p>
    <w:p w14:paraId="0070EBE2" w14:textId="1687FB19" w:rsidR="00660C25" w:rsidRDefault="00660C25" w:rsidP="00660C25">
      <w:pPr>
        <w:pStyle w:val="Ttulo3"/>
      </w:pPr>
      <w:bookmarkStart w:id="8" w:name="_Toc150452780"/>
      <w:r w:rsidRPr="00946F49">
        <w:t>La distribución de la renta per cápita</w:t>
      </w:r>
      <w:r w:rsidR="00834B45">
        <w:t xml:space="preserve"> y factores explicativos de los desequilibrios</w:t>
      </w:r>
      <w:bookmarkEnd w:id="8"/>
    </w:p>
    <w:p w14:paraId="7BE0538E" w14:textId="78FEED38" w:rsidR="00834B45" w:rsidRDefault="00834B45" w:rsidP="00834B45">
      <w:pPr>
        <w:pStyle w:val="Ttulo6"/>
        <w:spacing w:before="0"/>
      </w:pPr>
      <w:bookmarkStart w:id="9" w:name="_Toc150452781"/>
      <w:r>
        <w:t>Distribución de la renta per cápita</w:t>
      </w:r>
      <w:bookmarkEnd w:id="9"/>
    </w:p>
    <w:p w14:paraId="0E5B287B" w14:textId="1BFC1130" w:rsidR="00834B45" w:rsidRDefault="00834B45" w:rsidP="00834B45">
      <w:pPr>
        <w:pStyle w:val="Notaalopositor"/>
      </w:pPr>
      <w:r>
        <w:t>Esto habría que centrarlo desde una perspectiva estática. Posiblemente mejor dar estadística que refleje las enormes diferencias entre PIB per cápita en distintas regiones.</w:t>
      </w:r>
    </w:p>
    <w:p w14:paraId="35ABDB62" w14:textId="7BB3B9D5" w:rsidR="009971F3" w:rsidRDefault="009971F3" w:rsidP="009971F3">
      <w:pPr>
        <w:pStyle w:val="Nivel1SM"/>
        <w:keepNext/>
        <w:spacing w:before="0" w:after="0"/>
      </w:pPr>
      <w:r>
        <w:t>Existen enormes diferencias en la renta per cápita entre regiones y provincias españolas.</w:t>
      </w:r>
    </w:p>
    <w:p w14:paraId="12FD05AE" w14:textId="1EADE325" w:rsidR="00834B45" w:rsidRDefault="00834B45" w:rsidP="00834B45">
      <w:pPr>
        <w:pStyle w:val="Nivel2SM"/>
        <w:keepNext/>
        <w:spacing w:after="0"/>
      </w:pPr>
      <w:r>
        <w:t>E</w:t>
      </w:r>
      <w:r w:rsidR="009971F3">
        <w:t>n 2020, e</w:t>
      </w:r>
      <w:r>
        <w:t>l PIB per cápita de Álava (35.500 €) representa el 1</w:t>
      </w:r>
      <w:r w:rsidR="00F93231">
        <w:t>50</w:t>
      </w:r>
      <w:r>
        <w:t> % de la media nacional (</w:t>
      </w:r>
      <w:r w:rsidR="009971F3">
        <w:t xml:space="preserve">que es de </w:t>
      </w:r>
      <w:r>
        <w:t>23.600 €). El de Cádiz sólo el 68 % (1</w:t>
      </w:r>
      <w:r w:rsidR="00F93231">
        <w:t>6</w:t>
      </w:r>
      <w:r>
        <w:t>.000 €).</w:t>
      </w:r>
    </w:p>
    <w:p w14:paraId="269E0556" w14:textId="2ED3EB77" w:rsidR="00834B45" w:rsidRDefault="00834B45" w:rsidP="00834B45">
      <w:pPr>
        <w:pStyle w:val="Nivel3SM"/>
      </w:pPr>
      <w:r>
        <w:t>Es decir, 1 alavés produce de media más que 2,2 gaditanos.</w:t>
      </w:r>
    </w:p>
    <w:p w14:paraId="1727CD66" w14:textId="13101F39" w:rsidR="009971F3" w:rsidRDefault="009971F3" w:rsidP="009971F3">
      <w:pPr>
        <w:pStyle w:val="Nivel2SM"/>
        <w:keepNext/>
        <w:spacing w:after="0"/>
      </w:pPr>
      <w:r>
        <w:t>Entre regiones, el PIB per cápita medio de Madrid (la región más rica) es de 32.332 €, mientras que el de las Islas Canarias es de 17.199 €.</w:t>
      </w:r>
    </w:p>
    <w:p w14:paraId="1BCC543E" w14:textId="6A1336B7" w:rsidR="009971F3" w:rsidRPr="00834B45" w:rsidRDefault="009971F3" w:rsidP="009971F3">
      <w:pPr>
        <w:pStyle w:val="Nivel3SM"/>
      </w:pPr>
      <w:r>
        <w:t>Es decir, 1 madrileño produce casi el doble que un canario.</w:t>
      </w:r>
    </w:p>
    <w:p w14:paraId="701A0B2B" w14:textId="77777777" w:rsidR="00660C25" w:rsidRPr="00980FAF" w:rsidRDefault="00660C25" w:rsidP="00660C25">
      <w:pPr>
        <w:pStyle w:val="Nivel2SM"/>
        <w:keepNext/>
        <w:spacing w:after="0"/>
        <w:rPr>
          <w:highlight w:val="yellow"/>
        </w:rPr>
      </w:pPr>
      <w:r w:rsidRPr="00980FAF">
        <w:rPr>
          <w:highlight w:val="yellow"/>
          <w:u w:val="single"/>
        </w:rPr>
        <w:t>De las 4 regiones con menor PIB per cápita en 1955</w:t>
      </w:r>
      <w:r w:rsidRPr="00980FAF">
        <w:rPr>
          <w:highlight w:val="yellow"/>
        </w:rPr>
        <w:t xml:space="preserve"> (Extremadura, Castilla La Mancha, Galicia y Andalucía),</w:t>
      </w:r>
    </w:p>
    <w:p w14:paraId="322B66F9" w14:textId="77777777" w:rsidR="00660C25" w:rsidRPr="00980FAF" w:rsidRDefault="00660C25" w:rsidP="00660C25">
      <w:pPr>
        <w:pStyle w:val="Nivel3SM"/>
        <w:keepNext/>
        <w:rPr>
          <w:highlight w:val="yellow"/>
        </w:rPr>
      </w:pPr>
      <w:r w:rsidRPr="00980FAF">
        <w:rPr>
          <w:highlight w:val="yellow"/>
        </w:rPr>
        <w:t>3 siguen estando en la actualidad en ese grupo.</w:t>
      </w:r>
    </w:p>
    <w:p w14:paraId="461A215E" w14:textId="77777777" w:rsidR="00660C25" w:rsidRPr="00980FAF" w:rsidRDefault="00660C25" w:rsidP="00660C25">
      <w:pPr>
        <w:pStyle w:val="Nivel4"/>
        <w:ind w:left="1474"/>
        <w:rPr>
          <w:spacing w:val="-3"/>
          <w:highlight w:val="yellow"/>
        </w:rPr>
      </w:pPr>
      <w:r w:rsidRPr="00980FAF">
        <w:rPr>
          <w:spacing w:val="-3"/>
          <w:highlight w:val="yellow"/>
        </w:rPr>
        <w:t>Murcia sustituye a Galicia como la 3ª con menor PIB per cápita, y ahora Galicia es la 7ª.</w:t>
      </w:r>
    </w:p>
    <w:p w14:paraId="737EF4DA" w14:textId="77777777" w:rsidR="00660C25" w:rsidRPr="00980FAF" w:rsidRDefault="00660C25" w:rsidP="00660C25">
      <w:pPr>
        <w:pStyle w:val="Nivel2SM"/>
        <w:keepNext/>
        <w:spacing w:after="0"/>
        <w:rPr>
          <w:highlight w:val="yellow"/>
        </w:rPr>
      </w:pPr>
      <w:r w:rsidRPr="00980FAF">
        <w:rPr>
          <w:highlight w:val="yellow"/>
          <w:u w:val="single"/>
        </w:rPr>
        <w:t>De las 4 regiones con mayor PIB per cápita en 1955</w:t>
      </w:r>
      <w:r w:rsidRPr="00980FAF">
        <w:rPr>
          <w:highlight w:val="yellow"/>
        </w:rPr>
        <w:t xml:space="preserve"> (Madrid, Cataluña, País Vasco y Baleares),</w:t>
      </w:r>
    </w:p>
    <w:p w14:paraId="68844A00" w14:textId="77777777" w:rsidR="00660C25" w:rsidRPr="00980FAF" w:rsidRDefault="00660C25" w:rsidP="00660C25">
      <w:pPr>
        <w:pStyle w:val="Nivel3SM"/>
        <w:keepNext/>
        <w:rPr>
          <w:highlight w:val="yellow"/>
        </w:rPr>
      </w:pPr>
      <w:r w:rsidRPr="00980FAF">
        <w:rPr>
          <w:highlight w:val="yellow"/>
        </w:rPr>
        <w:t>3 siguen estando en la actualidad en ese grupo.</w:t>
      </w:r>
    </w:p>
    <w:p w14:paraId="3617D71D" w14:textId="77777777" w:rsidR="00660C25" w:rsidRPr="00980FAF" w:rsidRDefault="00660C25" w:rsidP="00660C25">
      <w:pPr>
        <w:pStyle w:val="Nivel4"/>
        <w:ind w:left="1474"/>
        <w:rPr>
          <w:highlight w:val="yellow"/>
        </w:rPr>
      </w:pPr>
      <w:r w:rsidRPr="00980FAF">
        <w:rPr>
          <w:highlight w:val="yellow"/>
        </w:rPr>
        <w:t>Navarra sustituye a Baleares.</w:t>
      </w:r>
    </w:p>
    <w:p w14:paraId="4BA449B4" w14:textId="77777777" w:rsidR="00660C25" w:rsidRPr="00946F49" w:rsidRDefault="00660C25" w:rsidP="00660C25">
      <w:pPr>
        <w:pStyle w:val="Ttulo6"/>
      </w:pPr>
      <w:bookmarkStart w:id="10" w:name="_Toc150452782"/>
      <w:r w:rsidRPr="00946F49">
        <w:lastRenderedPageBreak/>
        <w:t>Factores explicativos de los desequilibrios</w:t>
      </w:r>
      <w:bookmarkEnd w:id="10"/>
    </w:p>
    <w:p w14:paraId="78AC53E1" w14:textId="4902FBF8" w:rsidR="00660C25" w:rsidRPr="00946F49" w:rsidRDefault="00000000" w:rsidP="00372EB0">
      <w:pPr>
        <w:keepNext/>
        <w:spacing w:after="100"/>
        <w:ind w:left="720"/>
        <w:jc w:val="center"/>
      </w:pPr>
      <m:oMathPara>
        <m:oMath>
          <m:f>
            <m:fPr>
              <m:ctrlPr>
                <w:rPr>
                  <w:rFonts w:ascii="Cambria Math" w:hAnsi="Cambria Math"/>
                  <w:i/>
                  <w:iCs/>
                </w:rPr>
              </m:ctrlPr>
            </m:fPr>
            <m:num>
              <m:r>
                <m:rPr>
                  <m:nor/>
                </m:rPr>
                <w:rPr>
                  <w:i/>
                  <w:iCs/>
                </w:rPr>
                <m:t>Y</m:t>
              </m:r>
            </m:num>
            <m:den>
              <m:r>
                <m:rPr>
                  <m:nor/>
                </m:rPr>
                <w:rPr>
                  <w:i/>
                  <w:iCs/>
                </w:rPr>
                <m:t>POB</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Y</m:t>
                      </m:r>
                    </m:num>
                    <m:den>
                      <m:r>
                        <m:rPr>
                          <m:nor/>
                        </m:rPr>
                        <w:rPr>
                          <w:i/>
                          <w:iCs/>
                        </w:rPr>
                        <m:t>L</m:t>
                      </m:r>
                    </m:den>
                  </m:f>
                </m:e>
              </m:groupChr>
            </m:e>
            <m:lim>
              <m:r>
                <m:rPr>
                  <m:nor/>
                </m:rPr>
                <w:rPr>
                  <w:i/>
                  <w:iCs/>
                </w:rPr>
                <m:t>PAT</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L</m:t>
                      </m:r>
                    </m:num>
                    <m:den>
                      <m:r>
                        <m:rPr>
                          <m:nor/>
                        </m:rPr>
                        <w:rPr>
                          <w:i/>
                          <w:iCs/>
                        </w:rPr>
                        <m:t>POB</m:t>
                      </m:r>
                    </m:den>
                  </m:f>
                </m:e>
              </m:groupChr>
            </m:e>
            <m:lim>
              <m:eqArr>
                <m:eqArrPr>
                  <m:ctrlPr>
                    <w:rPr>
                      <w:rFonts w:ascii="Cambria Math" w:hAnsi="Cambria Math"/>
                      <w:i/>
                      <w:iCs/>
                    </w:rPr>
                  </m:ctrlPr>
                </m:eqArrPr>
                <m:e>
                  <m:r>
                    <m:rPr>
                      <m:nor/>
                    </m:rPr>
                    <w:rPr>
                      <w:i/>
                      <w:iCs/>
                    </w:rPr>
                    <m:t>tasa de</m:t>
                  </m:r>
                </m:e>
                <m:e>
                  <m:r>
                    <m:rPr>
                      <m:nor/>
                    </m:rPr>
                    <w:rPr>
                      <w:i/>
                      <w:iCs/>
                    </w:rPr>
                    <m:t>ocupación</m:t>
                  </m:r>
                </m:e>
              </m:eqArr>
            </m:lim>
          </m:limLow>
        </m:oMath>
      </m:oMathPara>
    </w:p>
    <w:p w14:paraId="061AE89C" w14:textId="77777777" w:rsidR="00660C25" w:rsidRPr="00F546F8" w:rsidRDefault="00660C25" w:rsidP="00660C25">
      <w:pPr>
        <w:pStyle w:val="Nivel2SM"/>
        <w:keepNext/>
        <w:spacing w:after="0"/>
      </w:pPr>
      <w:r w:rsidRPr="00660C25">
        <w:rPr>
          <w:i/>
          <w:iCs/>
          <w:u w:val="single"/>
        </w:rPr>
        <w:t>Cambio de tendencia</w:t>
      </w:r>
      <w:r w:rsidRPr="00F546F8">
        <w:t>:</w:t>
      </w:r>
    </w:p>
    <w:p w14:paraId="13CFE0FF" w14:textId="2C054D08" w:rsidR="00660C25" w:rsidRPr="00660C25" w:rsidRDefault="00660C25" w:rsidP="00660C25">
      <w:pPr>
        <w:pStyle w:val="Nivel3SM"/>
      </w:pPr>
      <w:r w:rsidRPr="00660C25">
        <w:rPr>
          <w:i/>
          <w:iCs/>
        </w:rPr>
        <w:t>Hasta 1955</w:t>
      </w:r>
      <w:r>
        <w:t xml:space="preserve"> l</w:t>
      </w:r>
      <w:r w:rsidRPr="00946F49">
        <w:t xml:space="preserve">as diferencias en renta per cápita se debían fundamentalmente a </w:t>
      </w:r>
      <w:r w:rsidRPr="00660C25">
        <w:rPr>
          <w:i/>
          <w:iCs/>
        </w:rPr>
        <w:t>diferencias de productividad</w:t>
      </w:r>
      <w:r w:rsidRPr="00660C25">
        <w:t>.</w:t>
      </w:r>
    </w:p>
    <w:p w14:paraId="31A3CF0E" w14:textId="2BF4AB89" w:rsidR="00660C25" w:rsidRPr="00F546F8" w:rsidRDefault="00660C25" w:rsidP="00660C25">
      <w:pPr>
        <w:pStyle w:val="Nivel3SM"/>
      </w:pPr>
      <w:r w:rsidRPr="00660C25">
        <w:rPr>
          <w:i/>
          <w:iCs/>
        </w:rPr>
        <w:t>En la actualidad ambos factores</w:t>
      </w:r>
      <w:r w:rsidRPr="00F546F8">
        <w:t xml:space="preserve"> juegan un papel igual de importante reflejándose en el problema de la despoblación.</w:t>
      </w:r>
    </w:p>
    <w:p w14:paraId="744B0D0C" w14:textId="77777777" w:rsidR="00660C25" w:rsidRPr="004C487F" w:rsidRDefault="00660C25" w:rsidP="00660C25">
      <w:pPr>
        <w:pStyle w:val="Nivel2SM"/>
        <w:keepNext/>
        <w:spacing w:after="0"/>
        <w:rPr>
          <w:u w:val="single"/>
        </w:rPr>
      </w:pPr>
      <w:r w:rsidRPr="00660C25">
        <w:rPr>
          <w:i/>
          <w:iCs/>
          <w:u w:val="single"/>
        </w:rPr>
        <w:t>Diferencias en productividad</w:t>
      </w:r>
      <w:r>
        <w:t>:</w:t>
      </w:r>
    </w:p>
    <w:p w14:paraId="0956F969" w14:textId="70486F8B" w:rsidR="00660C25" w:rsidRPr="00946F49" w:rsidRDefault="00660C25" w:rsidP="00E74ACF">
      <w:pPr>
        <w:pStyle w:val="Nivel3SM"/>
        <w:keepNext/>
      </w:pPr>
      <w:r w:rsidRPr="00E74ACF">
        <w:rPr>
          <w:i/>
          <w:iCs/>
        </w:rPr>
        <w:t>Un componente sectorial</w:t>
      </w:r>
      <w:r w:rsidR="00E74ACF">
        <w:t xml:space="preserve">: </w:t>
      </w:r>
      <w:r w:rsidRPr="00946F49">
        <w:t>Las diferencias entre regiones en cuanto a su especialización productiva en diferentes sectores.</w:t>
      </w:r>
    </w:p>
    <w:p w14:paraId="7E090554" w14:textId="7B1AC1A1" w:rsidR="00660C25" w:rsidRPr="00946F49" w:rsidRDefault="00660C25" w:rsidP="00594CAE">
      <w:pPr>
        <w:pStyle w:val="Nivel4"/>
        <w:ind w:left="1474"/>
      </w:pPr>
      <w:r w:rsidRPr="00946F49">
        <w:t>Es decir, en un sector como los servicios, la productividad será menor que un sector de I+D.</w:t>
      </w:r>
      <w:r w:rsidR="00C81705">
        <w:t xml:space="preserve"> </w:t>
      </w:r>
      <w:r>
        <w:t>L</w:t>
      </w:r>
      <w:r w:rsidRPr="00946F49">
        <w:t xml:space="preserve">a nueva economía digital juega </w:t>
      </w:r>
      <w:r>
        <w:t>un importante rol</w:t>
      </w:r>
      <w:r w:rsidRPr="00946F49">
        <w:t>.</w:t>
      </w:r>
    </w:p>
    <w:p w14:paraId="17C01821" w14:textId="4CE6BECB" w:rsidR="00660C25" w:rsidRPr="00E07F22" w:rsidRDefault="00660C25" w:rsidP="00E74ACF">
      <w:pPr>
        <w:pStyle w:val="Nivel3SM"/>
        <w:keepNext/>
      </w:pPr>
      <w:r w:rsidRPr="00E74ACF">
        <w:rPr>
          <w:i/>
          <w:iCs/>
        </w:rPr>
        <w:t>Un componente regional</w:t>
      </w:r>
      <w:r w:rsidR="00E74ACF">
        <w:t xml:space="preserve">: </w:t>
      </w:r>
      <w:r w:rsidRPr="00946F49">
        <w:t>Desigual</w:t>
      </w:r>
      <w:r w:rsidRPr="00E07F22">
        <w:t xml:space="preserve">dad de las regiones en elementos económicos </w:t>
      </w:r>
      <w:r w:rsidR="00644749">
        <w:t>(</w:t>
      </w:r>
      <w:r w:rsidRPr="00E07F22">
        <w:t>p</w:t>
      </w:r>
      <w:r w:rsidR="00644749">
        <w:t>.</w:t>
      </w:r>
      <w:r w:rsidRPr="00E07F22">
        <w:t>e</w:t>
      </w:r>
      <w:r w:rsidR="00866F73">
        <w:t>j</w:t>
      </w:r>
      <w:r w:rsidR="00644749">
        <w:t xml:space="preserve">. </w:t>
      </w:r>
      <w:r w:rsidRPr="00E07F22">
        <w:t>infraestructuras, capital humano, las tecnologías disponibles…</w:t>
      </w:r>
      <w:r w:rsidR="00644749">
        <w:t>).</w:t>
      </w:r>
    </w:p>
    <w:p w14:paraId="3F6A676E" w14:textId="77777777" w:rsidR="00660C25" w:rsidRPr="00E07F22" w:rsidRDefault="00660C25" w:rsidP="00E74ACF">
      <w:pPr>
        <w:pStyle w:val="Nivel4"/>
        <w:ind w:left="1474"/>
      </w:pPr>
      <w:r w:rsidRPr="00E07F22">
        <w:t xml:space="preserve">Desde los años 80, ambos componentes parecen haber tenido influencia, pero el </w:t>
      </w:r>
      <w:r w:rsidRPr="00E07F22">
        <w:rPr>
          <w:i/>
          <w:iCs/>
        </w:rPr>
        <w:t>componente regional</w:t>
      </w:r>
      <w:r w:rsidRPr="00E07F22">
        <w:t xml:space="preserve"> parece haber pesado más: el componente regional es de transición lenta. Cambios en las infraestructuras, dotación de capital humano, tecnologías disponibles cambiarán lentamente.</w:t>
      </w:r>
    </w:p>
    <w:p w14:paraId="700EBEB3" w14:textId="1944F148" w:rsidR="00660C25" w:rsidRPr="007B1F63" w:rsidRDefault="00660C25" w:rsidP="00660C25">
      <w:pPr>
        <w:pStyle w:val="Nivel2SM"/>
        <w:keepNext/>
        <w:spacing w:after="0"/>
        <w:rPr>
          <w:u w:val="single"/>
        </w:rPr>
      </w:pPr>
      <w:r w:rsidRPr="00F26401">
        <w:rPr>
          <w:i/>
          <w:iCs/>
          <w:u w:val="single"/>
        </w:rPr>
        <w:t>Diferencias en la tasa de ocupación (L/POB)</w:t>
      </w:r>
      <w:r w:rsidRPr="00660C25">
        <w:t>:</w:t>
      </w:r>
    </w:p>
    <w:p w14:paraId="00B6CDC5" w14:textId="77777777" w:rsidR="00660C25" w:rsidRPr="00F546F8" w:rsidRDefault="00660C25" w:rsidP="00660C25">
      <w:pPr>
        <w:pStyle w:val="Nivel3SM"/>
      </w:pPr>
      <w:r w:rsidRPr="00F26401">
        <w:rPr>
          <w:i/>
          <w:iCs/>
        </w:rPr>
        <w:t>Emigración</w:t>
      </w:r>
      <w:r w:rsidRPr="006C23D5">
        <w:t xml:space="preserve">: </w:t>
      </w:r>
      <w:r>
        <w:t xml:space="preserve">La </w:t>
      </w:r>
      <w:r w:rsidRPr="00F546F8">
        <w:t xml:space="preserve">población en edad de trabajar de las regiones pobres, sobre todo a los más jóvenes, </w:t>
      </w:r>
      <w:r>
        <w:t>emigra</w:t>
      </w:r>
      <w:r w:rsidRPr="00F546F8">
        <w:t>. Como resultado, se produce un envejecimiento en las regiones pobres que presiona a la baja la tasa de ocupación. En la medida en que las regiones más ricas sean capaces de ofrecer empleo a las personas que emigran hacia ellas, su tasa de ocupación aumentará.</w:t>
      </w:r>
    </w:p>
    <w:p w14:paraId="0000B20C" w14:textId="77777777" w:rsidR="00660C25" w:rsidRPr="00F546F8" w:rsidRDefault="00660C25" w:rsidP="00660C25">
      <w:pPr>
        <w:pStyle w:val="Nivel3SM"/>
      </w:pPr>
      <w:r w:rsidRPr="00F26401">
        <w:rPr>
          <w:i/>
          <w:iCs/>
        </w:rPr>
        <w:t>Nueva Economía Digital</w:t>
      </w:r>
      <w:r w:rsidRPr="00F26401">
        <w:t>: Uno de los principales factores que puede estar detrás de esta emigración es la nueva economía digital l</w:t>
      </w:r>
      <w:r w:rsidRPr="00F546F8">
        <w:t>a cual se sitúa sobre todo en las regiones más ricas (nueva geografía económica) al existir economías de alcance. Esto envejece aún más la población.</w:t>
      </w:r>
    </w:p>
    <w:p w14:paraId="35BB21AC" w14:textId="77777777" w:rsidR="00660C25" w:rsidRPr="00946F49" w:rsidRDefault="00660C25" w:rsidP="00660C25">
      <w:pPr>
        <w:pStyle w:val="Ttulo3"/>
      </w:pPr>
      <w:bookmarkStart w:id="11" w:name="_Toc150452783"/>
      <w:r w:rsidRPr="00946F49">
        <w:t>Resultados</w:t>
      </w:r>
      <w:bookmarkEnd w:id="11"/>
    </w:p>
    <w:p w14:paraId="67078202" w14:textId="77777777" w:rsidR="00660C25" w:rsidRPr="00946F49" w:rsidRDefault="00660C25" w:rsidP="00660C25">
      <w:pPr>
        <w:pStyle w:val="Nivel2SM"/>
        <w:keepNext/>
        <w:spacing w:after="0"/>
      </w:pPr>
      <w:r w:rsidRPr="00946F49">
        <w:t xml:space="preserve">Los principales </w:t>
      </w:r>
      <w:r w:rsidRPr="003D3875">
        <w:rPr>
          <w:b/>
          <w:bCs/>
        </w:rPr>
        <w:t>resultados</w:t>
      </w:r>
      <w:r w:rsidRPr="00946F49">
        <w:t xml:space="preserve"> son:</w:t>
      </w:r>
    </w:p>
    <w:p w14:paraId="2613753F" w14:textId="77777777" w:rsidR="00660C25" w:rsidRPr="00F546F8" w:rsidRDefault="00660C25" w:rsidP="00660C25">
      <w:pPr>
        <w:pStyle w:val="Nivel3SM"/>
      </w:pPr>
      <w:r w:rsidRPr="003D3875">
        <w:rPr>
          <w:i/>
          <w:iCs/>
          <w:u w:val="single"/>
        </w:rPr>
        <w:t>Diferencia en productividad</w:t>
      </w:r>
      <w:r>
        <w:t xml:space="preserve">: </w:t>
      </w:r>
      <w:r w:rsidRPr="00F546F8">
        <w:t>Diferencias en productividad aunque el factor de la tasa de ocupación ha ganado peso.</w:t>
      </w:r>
    </w:p>
    <w:p w14:paraId="5385C8A7" w14:textId="77777777" w:rsidR="00660C25" w:rsidRPr="008038BE" w:rsidRDefault="00660C25" w:rsidP="00660C25">
      <w:pPr>
        <w:pStyle w:val="Nivel3SM"/>
        <w:rPr>
          <w:u w:val="single"/>
        </w:rPr>
      </w:pPr>
      <w:r w:rsidRPr="003D3875">
        <w:rPr>
          <w:i/>
          <w:iCs/>
          <w:u w:val="single"/>
        </w:rPr>
        <w:t>Componente regional</w:t>
      </w:r>
      <w:r w:rsidRPr="008038BE">
        <w:t xml:space="preserve">: </w:t>
      </w:r>
      <w:r w:rsidRPr="00946F49">
        <w:t xml:space="preserve">Las diferencias de productividad a su vez se deben en mayor </w:t>
      </w:r>
      <w:r w:rsidRPr="00F546F8">
        <w:t>medida al componente regional.</w:t>
      </w:r>
    </w:p>
    <w:p w14:paraId="4E6F958B" w14:textId="77777777" w:rsidR="00660C25" w:rsidRPr="008038BE" w:rsidRDefault="00660C25" w:rsidP="00660C25">
      <w:pPr>
        <w:pStyle w:val="Nivel3SM"/>
        <w:rPr>
          <w:u w:val="single"/>
        </w:rPr>
      </w:pPr>
      <w:r w:rsidRPr="003D3875">
        <w:rPr>
          <w:i/>
          <w:iCs/>
          <w:u w:val="single"/>
        </w:rPr>
        <w:t>Desequilibrio persistente</w:t>
      </w:r>
      <w:r w:rsidRPr="008038BE">
        <w:t xml:space="preserve">: </w:t>
      </w:r>
      <w:r w:rsidRPr="00F546F8">
        <w:t>Los desequilibrios tienden a ser estables porque el componente regional sólo se modifica lentamente y porque además las fuerzas del mercado pueden contribuir de hecho a reforzarlo.</w:t>
      </w:r>
    </w:p>
    <w:p w14:paraId="34B5024B" w14:textId="77777777" w:rsidR="003D3875" w:rsidRDefault="003D3875" w:rsidP="003D3875">
      <w:pPr>
        <w:pStyle w:val="Ttulo2"/>
      </w:pPr>
      <w:bookmarkStart w:id="12" w:name="_Toc150452784"/>
      <w:r>
        <w:lastRenderedPageBreak/>
        <w:t>Patrón de especialización sectorial actual y determinantes</w:t>
      </w:r>
      <w:bookmarkEnd w:id="12"/>
    </w:p>
    <w:p w14:paraId="1F25BCB5" w14:textId="77777777" w:rsidR="003D3875" w:rsidRDefault="003D3875" w:rsidP="003D3875">
      <w:pPr>
        <w:pStyle w:val="Ttulo3"/>
        <w:spacing w:before="0"/>
      </w:pPr>
      <w:bookmarkStart w:id="13" w:name="_Toc150452785"/>
      <w:r>
        <w:t>Patrón de especialización sectorial</w:t>
      </w:r>
      <w:bookmarkEnd w:id="13"/>
    </w:p>
    <w:p w14:paraId="05C52DD8" w14:textId="77777777" w:rsidR="003D3875" w:rsidRDefault="003D3875" w:rsidP="003D3875">
      <w:pPr>
        <w:jc w:val="center"/>
      </w:pPr>
      <w:r>
        <w:rPr>
          <w:noProof/>
        </w:rPr>
        <w:drawing>
          <wp:inline distT="0" distB="0" distL="0" distR="0" wp14:anchorId="39A76B3F" wp14:editId="66CA2D2C">
            <wp:extent cx="3454211" cy="2445688"/>
            <wp:effectExtent l="0" t="0" r="0" b="0"/>
            <wp:docPr id="644631127" name="Imagen 1" descr="El mapa de las regiones productivas de España - Mapas de El Orden Mundial -  E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mapa de las regiones productivas de España - Mapas de El Orden Mundial -  E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1878" cy="2451116"/>
                    </a:xfrm>
                    <a:prstGeom prst="rect">
                      <a:avLst/>
                    </a:prstGeom>
                    <a:noFill/>
                    <a:ln>
                      <a:noFill/>
                    </a:ln>
                  </pic:spPr>
                </pic:pic>
              </a:graphicData>
            </a:graphic>
          </wp:inline>
        </w:drawing>
      </w:r>
    </w:p>
    <w:p w14:paraId="48E743E8" w14:textId="77777777" w:rsidR="0074668E" w:rsidRPr="0074668E" w:rsidRDefault="0074668E" w:rsidP="0074668E">
      <w:pPr>
        <w:pStyle w:val="Nivel2SM"/>
        <w:keepNext/>
        <w:spacing w:after="0"/>
      </w:pPr>
      <w:r>
        <w:rPr>
          <w:i/>
          <w:iCs/>
          <w:u w:val="single"/>
        </w:rPr>
        <w:t>Sector primario</w:t>
      </w:r>
      <w:r w:rsidRPr="0074668E">
        <w:t>:</w:t>
      </w:r>
    </w:p>
    <w:p w14:paraId="1D9E79E9" w14:textId="61F56D3D" w:rsidR="0074668E" w:rsidRDefault="0074668E" w:rsidP="0074668E">
      <w:pPr>
        <w:pStyle w:val="Nivel3SM"/>
        <w:keepNext/>
      </w:pPr>
      <w:r w:rsidRPr="0074668E">
        <w:rPr>
          <w:i/>
          <w:iCs/>
        </w:rPr>
        <w:t>Agricultura</w:t>
      </w:r>
      <w:r>
        <w:t>:</w:t>
      </w:r>
    </w:p>
    <w:p w14:paraId="3477305D" w14:textId="0F75FDE9" w:rsidR="0074668E" w:rsidRDefault="00CD6DFE" w:rsidP="0074668E">
      <w:pPr>
        <w:pStyle w:val="Nivel4"/>
        <w:ind w:left="1474"/>
      </w:pPr>
      <w:r>
        <w:t>Castilla y León, Castilla-La Mancha, Extremadura, Andalucía y Murcia.</w:t>
      </w:r>
    </w:p>
    <w:p w14:paraId="24EA5E5F" w14:textId="104D999C" w:rsidR="0074668E" w:rsidRPr="0074668E" w:rsidRDefault="0074668E" w:rsidP="0074668E">
      <w:pPr>
        <w:pStyle w:val="Nivel2SM"/>
        <w:keepNext/>
        <w:spacing w:after="0"/>
      </w:pPr>
      <w:r>
        <w:rPr>
          <w:i/>
          <w:iCs/>
          <w:u w:val="single"/>
        </w:rPr>
        <w:t>Sector secundario</w:t>
      </w:r>
      <w:r w:rsidRPr="0074668E">
        <w:t>:</w:t>
      </w:r>
    </w:p>
    <w:p w14:paraId="36F5F311" w14:textId="1B6C4D9E" w:rsidR="0074668E" w:rsidRPr="0074668E" w:rsidRDefault="0074668E" w:rsidP="0074668E">
      <w:pPr>
        <w:pStyle w:val="Nivel3SM"/>
        <w:keepNext/>
      </w:pPr>
      <w:r w:rsidRPr="0074668E">
        <w:rPr>
          <w:i/>
          <w:iCs/>
        </w:rPr>
        <w:t>Industrias extractivas</w:t>
      </w:r>
      <w:r>
        <w:t>:</w:t>
      </w:r>
    </w:p>
    <w:p w14:paraId="1D94F221" w14:textId="2624B128" w:rsidR="0074668E" w:rsidRPr="0074668E" w:rsidRDefault="00CD6DFE" w:rsidP="0074668E">
      <w:pPr>
        <w:pStyle w:val="Nivel4"/>
        <w:ind w:left="1474"/>
      </w:pPr>
      <w:r>
        <w:t>Dentro de que tiene un pequeño peso en toda España, la CCAA que destaca es Asturias por el peso del sector minero.</w:t>
      </w:r>
    </w:p>
    <w:p w14:paraId="101AB040" w14:textId="6FBEC807" w:rsidR="0074668E" w:rsidRDefault="0074668E" w:rsidP="0074668E">
      <w:pPr>
        <w:pStyle w:val="Nivel3SM"/>
        <w:keepNext/>
      </w:pPr>
      <w:r w:rsidRPr="0074668E">
        <w:rPr>
          <w:i/>
          <w:iCs/>
        </w:rPr>
        <w:t>Industria manufacturera</w:t>
      </w:r>
      <w:r>
        <w:t>:</w:t>
      </w:r>
    </w:p>
    <w:p w14:paraId="03B02255" w14:textId="74D7332F" w:rsidR="0074668E" w:rsidRDefault="00CD6DFE" w:rsidP="0074668E">
      <w:pPr>
        <w:pStyle w:val="Nivel4"/>
        <w:ind w:left="1474"/>
      </w:pPr>
      <w:r>
        <w:t xml:space="preserve">En el ámbito de las manufacturas, el protagonismo recae en las zonas con mayor accesibilidad para el transporte (por carretera </w:t>
      </w:r>
      <w:r w:rsidR="00C83193" w:rsidRPr="00C83193">
        <w:rPr>
          <w:sz w:val="19"/>
          <w:szCs w:val="19"/>
        </w:rPr>
        <w:t>(</w:t>
      </w:r>
      <w:r w:rsidRPr="00C83193">
        <w:rPr>
          <w:sz w:val="19"/>
          <w:szCs w:val="19"/>
        </w:rPr>
        <w:t>hacia Francia y Portugal</w:t>
      </w:r>
      <w:r w:rsidR="00C83193" w:rsidRPr="00C83193">
        <w:rPr>
          <w:sz w:val="19"/>
          <w:szCs w:val="19"/>
        </w:rPr>
        <w:t>)</w:t>
      </w:r>
      <w:r>
        <w:t xml:space="preserve"> y por mar)</w:t>
      </w:r>
      <w:r w:rsidR="00C83193">
        <w:t xml:space="preserve">, como las del norte de España (País Vasco, Navarra, Cantabria y </w:t>
      </w:r>
      <w:r w:rsidR="00F25406">
        <w:t>L</w:t>
      </w:r>
      <w:r w:rsidR="00C83193">
        <w:t>a Rioja) y el corredor mediterráneo (Cataluña y Comunidad Valenciana).</w:t>
      </w:r>
    </w:p>
    <w:p w14:paraId="177D2546" w14:textId="0B498A11" w:rsidR="004556A6" w:rsidRPr="004556A6" w:rsidRDefault="004556A6" w:rsidP="0074668E">
      <w:pPr>
        <w:pStyle w:val="Nivel4"/>
        <w:ind w:left="1474"/>
        <w:rPr>
          <w:spacing w:val="-2"/>
        </w:rPr>
      </w:pPr>
      <w:r w:rsidRPr="004556A6">
        <w:rPr>
          <w:spacing w:val="-2"/>
        </w:rPr>
        <w:t>En este sector de las manufacturas se aprecia muy claramente la tendencia de atenuación entre las diferencias sectoriales entre CCAA, pues dentro de la fuerte desindustrialización de España, ésta está siendo más aguda en regiones como Cataluña o la Comunidad Valenciana, si bien en otras regiones del norte están aguantando mejor ese peso de la industria. Esta tendencia a la desindustrialización no sólo fue patente en el período de excesos de la construcción, sino que continúa a posteriori (aunque más lentamente), lo que muestra que se trata de un proceso estructural.</w:t>
      </w:r>
    </w:p>
    <w:p w14:paraId="4258A79D" w14:textId="77777777" w:rsidR="00183FBD" w:rsidRDefault="00183FBD" w:rsidP="0074668E">
      <w:pPr>
        <w:pStyle w:val="Nivel3SM"/>
        <w:keepNext/>
      </w:pPr>
      <w:r>
        <w:rPr>
          <w:i/>
          <w:iCs/>
        </w:rPr>
        <w:t>Industria de bienes intermedios</w:t>
      </w:r>
      <w:r w:rsidRPr="00183FBD">
        <w:t>:</w:t>
      </w:r>
    </w:p>
    <w:p w14:paraId="73107FC9" w14:textId="2E31EBA3" w:rsidR="00183FBD" w:rsidRDefault="00183FBD" w:rsidP="00183FBD">
      <w:pPr>
        <w:pStyle w:val="Nivel4"/>
        <w:ind w:left="1474"/>
      </w:pPr>
      <w:r>
        <w:t>Siderurgia: País Vasco</w:t>
      </w:r>
      <w:r w:rsidR="00A17830">
        <w:t>,</w:t>
      </w:r>
      <w:r w:rsidR="00A17830" w:rsidRPr="00A17830">
        <w:t xml:space="preserve"> </w:t>
      </w:r>
      <w:r w:rsidR="00A17830">
        <w:t>Cantabria</w:t>
      </w:r>
      <w:r>
        <w:t>, Asturias y Cataluña.</w:t>
      </w:r>
    </w:p>
    <w:p w14:paraId="6DC1C94E" w14:textId="3CC85411" w:rsidR="00183FBD" w:rsidRDefault="00183FBD" w:rsidP="00183FBD">
      <w:pPr>
        <w:pStyle w:val="Nivel4"/>
        <w:ind w:left="1474"/>
      </w:pPr>
      <w:r>
        <w:t>Industria química: Destaca la especialización relativa de Cataluña.</w:t>
      </w:r>
    </w:p>
    <w:p w14:paraId="019669F8" w14:textId="40D7F5C4" w:rsidR="00183FBD" w:rsidRPr="00183FBD" w:rsidRDefault="00183FBD" w:rsidP="00183FBD">
      <w:pPr>
        <w:pStyle w:val="Nivel4"/>
        <w:ind w:left="1474"/>
      </w:pPr>
      <w:r>
        <w:t>Metales no férreos: País Vasco y Asturias.</w:t>
      </w:r>
    </w:p>
    <w:p w14:paraId="7F97388C" w14:textId="7D02E4CD" w:rsidR="00183FBD" w:rsidRDefault="00183FBD" w:rsidP="0074668E">
      <w:pPr>
        <w:pStyle w:val="Nivel3SM"/>
        <w:keepNext/>
      </w:pPr>
      <w:r>
        <w:rPr>
          <w:i/>
          <w:iCs/>
        </w:rPr>
        <w:t>Bienes de equipo</w:t>
      </w:r>
      <w:r w:rsidRPr="00183FBD">
        <w:t>:</w:t>
      </w:r>
    </w:p>
    <w:p w14:paraId="55B2C963" w14:textId="774D522B" w:rsidR="00183FBD" w:rsidRDefault="00183FBD" w:rsidP="00183FBD">
      <w:pPr>
        <w:pStyle w:val="Nivel4"/>
        <w:ind w:left="1474"/>
      </w:pPr>
      <w:r>
        <w:t xml:space="preserve">Productos metálicos: En País Vasco y Comunidad Valenciana hay importantes </w:t>
      </w:r>
      <w:proofErr w:type="spellStart"/>
      <w:r>
        <w:t>clusters</w:t>
      </w:r>
      <w:proofErr w:type="spellEnd"/>
      <w:r>
        <w:t>. También está desarrollado en Cataluña.</w:t>
      </w:r>
    </w:p>
    <w:p w14:paraId="43AC3A8A" w14:textId="19CBE729" w:rsidR="00183FBD" w:rsidRDefault="00183FBD" w:rsidP="00183FBD">
      <w:pPr>
        <w:pStyle w:val="Nivel4"/>
        <w:keepNext/>
        <w:ind w:left="1474"/>
      </w:pPr>
      <w:r>
        <w:t>Maquinarias y equipos mecánicos:</w:t>
      </w:r>
    </w:p>
    <w:p w14:paraId="6455BAC3" w14:textId="774FCBF1" w:rsidR="00183FBD" w:rsidRDefault="00183FBD" w:rsidP="00183FBD">
      <w:pPr>
        <w:pStyle w:val="Nivel5"/>
        <w:ind w:left="1871"/>
      </w:pPr>
      <w:r>
        <w:t>En general: País Vasco y Navarra.</w:t>
      </w:r>
    </w:p>
    <w:p w14:paraId="4E3153C3" w14:textId="0689C764" w:rsidR="00183FBD" w:rsidRDefault="00183FBD" w:rsidP="00183FBD">
      <w:pPr>
        <w:pStyle w:val="Nivel5"/>
        <w:ind w:left="1871"/>
      </w:pPr>
      <w:r>
        <w:t>Maquinaria agroalimentaria: Cataluña y Madrid.</w:t>
      </w:r>
    </w:p>
    <w:p w14:paraId="61DF72EE" w14:textId="2BE6B89C" w:rsidR="00183FBD" w:rsidRDefault="00183FBD" w:rsidP="00183FBD">
      <w:pPr>
        <w:pStyle w:val="Nivel5"/>
        <w:ind w:left="1871"/>
      </w:pPr>
      <w:r>
        <w:t>Maquinaria textil: Cataluña.</w:t>
      </w:r>
    </w:p>
    <w:p w14:paraId="6A5A85FF" w14:textId="0DE33B18" w:rsidR="00183FBD" w:rsidRDefault="00183FBD" w:rsidP="00183FBD">
      <w:pPr>
        <w:pStyle w:val="Nivel5"/>
        <w:ind w:left="1871"/>
      </w:pPr>
      <w:r>
        <w:t>Maquinaria-herramienta: Cataluña.</w:t>
      </w:r>
    </w:p>
    <w:p w14:paraId="0C73A57E" w14:textId="48FED354" w:rsidR="00183FBD" w:rsidRDefault="00183FBD" w:rsidP="00183FBD">
      <w:pPr>
        <w:pStyle w:val="Nivel5"/>
        <w:ind w:left="1871"/>
      </w:pPr>
      <w:r>
        <w:t>Maquinaria agrícola y ganadera: Cataluña y Aragón.</w:t>
      </w:r>
    </w:p>
    <w:p w14:paraId="1A5F7DE3" w14:textId="017DCB6E" w:rsidR="00183FBD" w:rsidRDefault="00183FBD" w:rsidP="00183FBD">
      <w:pPr>
        <w:pStyle w:val="Nivel5"/>
        <w:ind w:left="1871"/>
      </w:pPr>
      <w:r>
        <w:t>Equipos de riego, invernaderos y protección de cultivos: Almería, Murcia y Valencia.</w:t>
      </w:r>
    </w:p>
    <w:p w14:paraId="53F3DAF5" w14:textId="39A481ED" w:rsidR="00183FBD" w:rsidRDefault="00183FBD" w:rsidP="00183FBD">
      <w:pPr>
        <w:pStyle w:val="Nivel4"/>
        <w:ind w:left="1474"/>
      </w:pPr>
      <w:r>
        <w:lastRenderedPageBreak/>
        <w:t>Maquinarias y equipos eléctricos: Madrid y País Vasco.</w:t>
      </w:r>
    </w:p>
    <w:p w14:paraId="2713C4D0" w14:textId="5C9D2075" w:rsidR="00183FBD" w:rsidRDefault="00183FBD" w:rsidP="00183FBD">
      <w:pPr>
        <w:pStyle w:val="Nivel4"/>
        <w:keepNext/>
        <w:ind w:left="1474"/>
      </w:pPr>
      <w:r>
        <w:t>Equipos de transporte:</w:t>
      </w:r>
    </w:p>
    <w:p w14:paraId="144B267E" w14:textId="1CA8D099" w:rsidR="00183FBD" w:rsidRDefault="00183FBD" w:rsidP="00183FBD">
      <w:pPr>
        <w:pStyle w:val="Nivel5"/>
        <w:ind w:left="1871"/>
      </w:pPr>
      <w:r>
        <w:t>Producción naval: Galicia, País Vasco y Cádiz.</w:t>
      </w:r>
    </w:p>
    <w:p w14:paraId="1665F711" w14:textId="3D3A7441" w:rsidR="00183FBD" w:rsidRDefault="00183FBD" w:rsidP="00183FBD">
      <w:pPr>
        <w:pStyle w:val="Nivel5"/>
        <w:ind w:left="1871"/>
      </w:pPr>
      <w:r>
        <w:t>Producción ferroviaria: Madrid, Cataluña y País Vasco.</w:t>
      </w:r>
    </w:p>
    <w:p w14:paraId="058C154A" w14:textId="107E388C" w:rsidR="00183FBD" w:rsidRPr="00183FBD" w:rsidRDefault="00183FBD" w:rsidP="00183FBD">
      <w:pPr>
        <w:pStyle w:val="Nivel5"/>
        <w:ind w:left="1871"/>
      </w:pPr>
      <w:r>
        <w:t>Producción aeronáutica y espacia</w:t>
      </w:r>
      <w:r w:rsidR="00A17830">
        <w:t>l</w:t>
      </w:r>
      <w:r>
        <w:t>: Madrid, País Vasco y Andalucía (especialmente Sevilla y Cádiz).</w:t>
      </w:r>
    </w:p>
    <w:p w14:paraId="70BC496B" w14:textId="77777777" w:rsidR="009F2F96" w:rsidRDefault="009F2F96" w:rsidP="0074668E">
      <w:pPr>
        <w:pStyle w:val="Nivel3SM"/>
        <w:keepNext/>
      </w:pPr>
      <w:r w:rsidRPr="009F2F96">
        <w:rPr>
          <w:i/>
          <w:iCs/>
        </w:rPr>
        <w:t>Industria de los bienes de consumo de alta tecnología</w:t>
      </w:r>
      <w:r>
        <w:t>:</w:t>
      </w:r>
    </w:p>
    <w:p w14:paraId="3BFEBB9A" w14:textId="02B074DF" w:rsidR="009F2F96" w:rsidRDefault="009F2F96" w:rsidP="009F2F96">
      <w:pPr>
        <w:pStyle w:val="Nivel4"/>
        <w:ind w:left="1474"/>
      </w:pPr>
      <w:r>
        <w:t>Productos farmacéuticos: Madrid y Cataluña.</w:t>
      </w:r>
    </w:p>
    <w:p w14:paraId="41A045CB" w14:textId="31DF9D47" w:rsidR="009F2F96" w:rsidRDefault="009F2F96" w:rsidP="009F2F96">
      <w:pPr>
        <w:pStyle w:val="Nivel4"/>
        <w:ind w:left="1474"/>
      </w:pPr>
      <w:r>
        <w:t>Productos informáticos: Madrid y Cataluña.</w:t>
      </w:r>
    </w:p>
    <w:p w14:paraId="4EBFE8AA" w14:textId="59171231" w:rsidR="009F2F96" w:rsidRDefault="009F2F96" w:rsidP="009F2F96">
      <w:pPr>
        <w:pStyle w:val="Nivel4"/>
        <w:ind w:left="1474"/>
      </w:pPr>
      <w:r>
        <w:t>Automóviles: País Va</w:t>
      </w:r>
      <w:r w:rsidR="00735A81">
        <w:t>s</w:t>
      </w:r>
      <w:r>
        <w:t>co, Navarra, Cataluña, Valencia, Zaragoza, Vigo y Palencia.</w:t>
      </w:r>
    </w:p>
    <w:p w14:paraId="3E56193A" w14:textId="5DBCA1CA" w:rsidR="009F2F96" w:rsidRDefault="009F2F96" w:rsidP="0074668E">
      <w:pPr>
        <w:pStyle w:val="Nivel3SM"/>
        <w:keepNext/>
      </w:pPr>
      <w:r>
        <w:rPr>
          <w:i/>
          <w:iCs/>
        </w:rPr>
        <w:t>Industria de bienes de consumo tradicionales</w:t>
      </w:r>
      <w:r>
        <w:t>:</w:t>
      </w:r>
    </w:p>
    <w:p w14:paraId="5BAFE41C" w14:textId="69637F2E" w:rsidR="009F2F96" w:rsidRDefault="00B30BB5" w:rsidP="009F2F96">
      <w:pPr>
        <w:pStyle w:val="Nivel4"/>
        <w:ind w:left="1474"/>
      </w:pPr>
      <w:r>
        <w:t>Agroalimentación: Andalucía y Cataluña.</w:t>
      </w:r>
    </w:p>
    <w:p w14:paraId="54FEE8E9" w14:textId="58D08BF3" w:rsidR="00B30BB5" w:rsidRDefault="00B30BB5" w:rsidP="009F2F96">
      <w:pPr>
        <w:pStyle w:val="Nivel4"/>
        <w:ind w:left="1474"/>
      </w:pPr>
      <w:r>
        <w:t>Industria del papel: Madrid y Cataluña en el segmento de edición de libros.</w:t>
      </w:r>
    </w:p>
    <w:p w14:paraId="373C7B9A" w14:textId="20CE57E3" w:rsidR="00B30BB5" w:rsidRDefault="00B30BB5" w:rsidP="009F2F96">
      <w:pPr>
        <w:pStyle w:val="Nivel4"/>
        <w:ind w:left="1474"/>
      </w:pPr>
      <w:r>
        <w:t>Textil y confección: Cataluña y Galicia (cuna de Inditex).</w:t>
      </w:r>
    </w:p>
    <w:p w14:paraId="18C01A49" w14:textId="17A77186" w:rsidR="00B30BB5" w:rsidRDefault="00B30BB5" w:rsidP="009F2F96">
      <w:pPr>
        <w:pStyle w:val="Nivel4"/>
        <w:ind w:left="1474"/>
      </w:pPr>
      <w:r>
        <w:t>Calzado: Comunidad Valenciana, Cataluña, Murcia y La Rioja.</w:t>
      </w:r>
    </w:p>
    <w:p w14:paraId="58FF9EF4" w14:textId="25C203FF" w:rsidR="00B30BB5" w:rsidRDefault="00B30BB5" w:rsidP="009F2F96">
      <w:pPr>
        <w:pStyle w:val="Nivel4"/>
        <w:ind w:left="1474"/>
      </w:pPr>
      <w:r>
        <w:t>Fabricación de muebles: Cataluña, Valencia y Andalucía.</w:t>
      </w:r>
    </w:p>
    <w:p w14:paraId="01A217F2" w14:textId="18C40259" w:rsidR="00B30BB5" w:rsidRPr="009F2F96" w:rsidRDefault="00B30BB5" w:rsidP="009F2F96">
      <w:pPr>
        <w:pStyle w:val="Nivel4"/>
        <w:ind w:left="1474"/>
      </w:pPr>
      <w:r>
        <w:t>Juguetes: Cataluña y Comunidad Valenciana.</w:t>
      </w:r>
    </w:p>
    <w:p w14:paraId="504B9A11" w14:textId="55587A3B" w:rsidR="0074668E" w:rsidRDefault="0074668E" w:rsidP="0074668E">
      <w:pPr>
        <w:pStyle w:val="Nivel3SM"/>
        <w:keepNext/>
      </w:pPr>
      <w:r w:rsidRPr="0074668E">
        <w:rPr>
          <w:i/>
          <w:iCs/>
        </w:rPr>
        <w:t>Construcción</w:t>
      </w:r>
      <w:r>
        <w:t>:</w:t>
      </w:r>
    </w:p>
    <w:p w14:paraId="1A1E76E9" w14:textId="02E0A047" w:rsidR="0074668E" w:rsidRDefault="00B30BB5" w:rsidP="0074668E">
      <w:pPr>
        <w:pStyle w:val="Nivel4"/>
        <w:ind w:left="1474"/>
      </w:pPr>
      <w:r>
        <w:t xml:space="preserve">En </w:t>
      </w:r>
      <w:r w:rsidR="008F6039">
        <w:t>e</w:t>
      </w:r>
      <w:r>
        <w:t>l sector de la construcción, las CCAA con una mayor especialización son, entre otras, Madrid y Cataluña, lo que ha podido facilitar la mayor resiliencia de ambas regiones a la crisis económica. Por su parte, la especialización tendía a ser mayor en zonas turísticas como Baleares o Canarias (aunque en esta última el empleo de la construcción ha caído mucho y ya se si</w:t>
      </w:r>
      <w:r w:rsidR="00B447B4">
        <w:t>t</w:t>
      </w:r>
      <w:r>
        <w:t>úa por debajo de la media nacional).</w:t>
      </w:r>
    </w:p>
    <w:p w14:paraId="73582CA4" w14:textId="77777777" w:rsidR="0074668E" w:rsidRPr="0074668E" w:rsidRDefault="0074668E" w:rsidP="0074668E">
      <w:pPr>
        <w:pStyle w:val="Nivel2SM"/>
        <w:keepNext/>
        <w:spacing w:after="0"/>
      </w:pPr>
      <w:r>
        <w:rPr>
          <w:i/>
          <w:iCs/>
          <w:u w:val="single"/>
        </w:rPr>
        <w:t>Servicios</w:t>
      </w:r>
      <w:r w:rsidRPr="0074668E">
        <w:t>:</w:t>
      </w:r>
    </w:p>
    <w:p w14:paraId="050BECC5" w14:textId="0D0998FE" w:rsidR="0074668E" w:rsidRDefault="0074668E" w:rsidP="0074668E">
      <w:pPr>
        <w:pStyle w:val="Nivel3SM"/>
        <w:keepNext/>
      </w:pPr>
      <w:r w:rsidRPr="0074668E">
        <w:rPr>
          <w:i/>
          <w:iCs/>
        </w:rPr>
        <w:t>Comercio</w:t>
      </w:r>
      <w:r w:rsidR="006C2AAB">
        <w:rPr>
          <w:i/>
          <w:iCs/>
        </w:rPr>
        <w:t>, transporte y hostelería</w:t>
      </w:r>
      <w:r>
        <w:t>:</w:t>
      </w:r>
      <w:r w:rsidR="006C2AAB">
        <w:t xml:space="preserve"> Estos sectores no muestran la atenuación sectorial que muestran otros sectores. Es más, la dependencia es mayor en territorios como Baleares y Canarias. Esto puede ser debido al contexto que ha vivido el turismo dentro del proceso de recuperación de la economía española, que puede estar frenando la diversificación de estos territorios más dependientes de la afluencia de viajeros.</w:t>
      </w:r>
    </w:p>
    <w:p w14:paraId="0E7C704D" w14:textId="1EDF1DC5" w:rsidR="0074668E" w:rsidRDefault="006C2AAB" w:rsidP="0074668E">
      <w:pPr>
        <w:pStyle w:val="Nivel4"/>
        <w:ind w:left="1474"/>
      </w:pPr>
      <w:r>
        <w:t>Comercio: Destacan las regiones del corredor mediterráneo.</w:t>
      </w:r>
    </w:p>
    <w:p w14:paraId="7A99B611" w14:textId="229093CC" w:rsidR="006C2AAB" w:rsidRDefault="006C2AAB" w:rsidP="0074668E">
      <w:pPr>
        <w:pStyle w:val="Nivel4"/>
        <w:ind w:left="1474"/>
      </w:pPr>
      <w:r>
        <w:t xml:space="preserve">Transporte: </w:t>
      </w:r>
      <w:r w:rsidR="00FD1307">
        <w:t>Aparte de Canarias, destacan Madrid y Cataluña.</w:t>
      </w:r>
    </w:p>
    <w:p w14:paraId="66BB6777" w14:textId="3219AF5F" w:rsidR="006C2AAB" w:rsidRDefault="006C2AAB" w:rsidP="0074668E">
      <w:pPr>
        <w:pStyle w:val="Nivel4"/>
        <w:ind w:left="1474"/>
      </w:pPr>
      <w:r>
        <w:t>Hostelería:</w:t>
      </w:r>
      <w:r w:rsidR="00FD1307">
        <w:t xml:space="preserve"> Destacan Baleares y Canarias.</w:t>
      </w:r>
    </w:p>
    <w:p w14:paraId="11E6EB61" w14:textId="44FBD677" w:rsidR="0074668E" w:rsidRDefault="0074668E" w:rsidP="0074668E">
      <w:pPr>
        <w:pStyle w:val="Nivel3SM"/>
        <w:keepNext/>
      </w:pPr>
      <w:r w:rsidRPr="0074668E">
        <w:rPr>
          <w:i/>
          <w:iCs/>
        </w:rPr>
        <w:t>Otros servicios (comunicaciones, financieros, inmobiliarios, profesionales, científicos y</w:t>
      </w:r>
      <w:r>
        <w:rPr>
          <w:i/>
          <w:iCs/>
        </w:rPr>
        <w:t xml:space="preserve"> t</w:t>
      </w:r>
      <w:r w:rsidRPr="0074668E">
        <w:rPr>
          <w:i/>
          <w:iCs/>
        </w:rPr>
        <w:t>écnicos</w:t>
      </w:r>
      <w:r>
        <w:rPr>
          <w:i/>
          <w:iCs/>
        </w:rPr>
        <w:t>)</w:t>
      </w:r>
      <w:r>
        <w:t>:</w:t>
      </w:r>
    </w:p>
    <w:p w14:paraId="3641A246" w14:textId="554C07E8" w:rsidR="0074668E" w:rsidRPr="006C43FE" w:rsidRDefault="00FD1307" w:rsidP="0074668E">
      <w:pPr>
        <w:pStyle w:val="Nivel4"/>
        <w:ind w:left="1474"/>
        <w:rPr>
          <w:spacing w:val="-4"/>
        </w:rPr>
      </w:pPr>
      <w:r w:rsidRPr="006C43FE">
        <w:rPr>
          <w:spacing w:val="-4"/>
        </w:rPr>
        <w:t>Madrid y Cataluña. Se trata de servicios que muestran el atractivo de estas zonas densamente pobladas, especialmente en torno a sus capitales</w:t>
      </w:r>
      <w:r w:rsidR="0016035C" w:rsidRPr="006C43FE">
        <w:rPr>
          <w:spacing w:val="-4"/>
        </w:rPr>
        <w:t xml:space="preserve">. Esto permite el desarrollo de sectores que (en contraste con el comercio o la hostelería) son menos proclives a la </w:t>
      </w:r>
      <w:r w:rsidR="0016035C" w:rsidRPr="006C43FE">
        <w:rPr>
          <w:i/>
          <w:iCs/>
          <w:spacing w:val="-4"/>
        </w:rPr>
        <w:t>“</w:t>
      </w:r>
      <w:proofErr w:type="spellStart"/>
      <w:r w:rsidR="0016035C" w:rsidRPr="006C43FE">
        <w:rPr>
          <w:i/>
          <w:iCs/>
          <w:spacing w:val="-4"/>
        </w:rPr>
        <w:t>cost</w:t>
      </w:r>
      <w:proofErr w:type="spellEnd"/>
      <w:r w:rsidR="0016035C" w:rsidRPr="006C43FE">
        <w:rPr>
          <w:i/>
          <w:iCs/>
          <w:spacing w:val="-4"/>
        </w:rPr>
        <w:t xml:space="preserve"> </w:t>
      </w:r>
      <w:proofErr w:type="spellStart"/>
      <w:r w:rsidR="0016035C" w:rsidRPr="006C43FE">
        <w:rPr>
          <w:i/>
          <w:iCs/>
          <w:spacing w:val="-4"/>
        </w:rPr>
        <w:t>disease</w:t>
      </w:r>
      <w:proofErr w:type="spellEnd"/>
      <w:r w:rsidR="0016035C" w:rsidRPr="006C43FE">
        <w:rPr>
          <w:i/>
          <w:iCs/>
          <w:spacing w:val="-4"/>
        </w:rPr>
        <w:t>”</w:t>
      </w:r>
      <w:r w:rsidR="0016035C" w:rsidRPr="006C43FE">
        <w:rPr>
          <w:spacing w:val="-4"/>
        </w:rPr>
        <w:t xml:space="preserve"> à la </w:t>
      </w:r>
      <w:r w:rsidR="0016035C" w:rsidRPr="006C43FE">
        <w:rPr>
          <w:smallCaps/>
          <w:spacing w:val="-4"/>
        </w:rPr>
        <w:t>Baumol</w:t>
      </w:r>
      <w:r w:rsidR="0016035C" w:rsidRPr="006C43FE">
        <w:rPr>
          <w:spacing w:val="-4"/>
        </w:rPr>
        <w:t xml:space="preserve"> (i.e. si los salarios crecen de manera similar </w:t>
      </w:r>
      <w:r w:rsidR="00A17830" w:rsidRPr="006C43FE">
        <w:rPr>
          <w:spacing w:val="-4"/>
        </w:rPr>
        <w:t>e</w:t>
      </w:r>
      <w:r w:rsidR="0016035C" w:rsidRPr="006C43FE">
        <w:rPr>
          <w:spacing w:val="-4"/>
        </w:rPr>
        <w:t>n todos los sectores, aquellos sectores con mayores dificultades para aumentar la productividad presentarán aumentos de costes), pues son sectores más ligados a la economía del conocimiento y con un relativo margen para incrementar la productividad.</w:t>
      </w:r>
    </w:p>
    <w:p w14:paraId="59FAA37D" w14:textId="04DAC8E4" w:rsidR="0074668E" w:rsidRDefault="0074668E" w:rsidP="0074668E">
      <w:pPr>
        <w:pStyle w:val="Nivel3SM"/>
        <w:keepNext/>
      </w:pPr>
      <w:r w:rsidRPr="0074668E">
        <w:rPr>
          <w:i/>
          <w:iCs/>
        </w:rPr>
        <w:t>Servicios públicos</w:t>
      </w:r>
      <w:r w:rsidRPr="0074668E">
        <w:t>:</w:t>
      </w:r>
    </w:p>
    <w:p w14:paraId="7C431E5C" w14:textId="0E9B7B39" w:rsidR="0074668E" w:rsidRPr="00B75D06" w:rsidRDefault="0016035C" w:rsidP="0074668E">
      <w:pPr>
        <w:pStyle w:val="Nivel4"/>
        <w:ind w:left="1474"/>
      </w:pPr>
      <w:r>
        <w:t>En cambio, en el sector de los servicios públicos (administración pública, educación, sanidad y servicios sociales) son en general las CCAA de menor renta las que presentan un mayor peso, reflejando el poder compensador del sector público.</w:t>
      </w:r>
    </w:p>
    <w:p w14:paraId="787C72E2" w14:textId="77777777" w:rsidR="003D3875" w:rsidRDefault="003D3875" w:rsidP="003D3875">
      <w:pPr>
        <w:pStyle w:val="Ttulo3"/>
      </w:pPr>
      <w:bookmarkStart w:id="14" w:name="_Toc150452786"/>
      <w:r>
        <w:t>Determinantes del patrón de especialización</w:t>
      </w:r>
      <w:bookmarkEnd w:id="14"/>
    </w:p>
    <w:p w14:paraId="57746577" w14:textId="6EEBA3A6" w:rsidR="00EF5654" w:rsidRPr="00EF5654" w:rsidRDefault="00EF5654" w:rsidP="00EF5654">
      <w:pPr>
        <w:pStyle w:val="Nivel1SM"/>
        <w:spacing w:before="0"/>
      </w:pPr>
      <w:r>
        <w:t>El análisis de la especialización sectorial es interesante en sí mismo, pero también por su interconexión con otros factores de crecimiento y desarrollo como la apertura comercial o el desarrollo de capital humano y tecnológico.</w:t>
      </w:r>
    </w:p>
    <w:p w14:paraId="595049E0" w14:textId="77777777" w:rsidR="003D3875" w:rsidRDefault="003D3875" w:rsidP="003D3875">
      <w:pPr>
        <w:pStyle w:val="Ttulo6"/>
        <w:spacing w:before="0"/>
      </w:pPr>
      <w:bookmarkStart w:id="15" w:name="_Toc150452787"/>
      <w:r>
        <w:lastRenderedPageBreak/>
        <w:t>Diferencias en el grado de apertura de las CCAA</w:t>
      </w:r>
      <w:bookmarkEnd w:id="15"/>
    </w:p>
    <w:p w14:paraId="782F074A" w14:textId="77777777" w:rsidR="003D3875" w:rsidRPr="00B75D06" w:rsidRDefault="003D3875" w:rsidP="003D3875">
      <w:pPr>
        <w:pStyle w:val="Nivel1SM"/>
        <w:keepNext/>
        <w:spacing w:before="0" w:after="0"/>
        <w:rPr>
          <w:spacing w:val="-2"/>
        </w:rPr>
      </w:pPr>
      <w:r w:rsidRPr="00B75D06">
        <w:rPr>
          <w:spacing w:val="-2"/>
        </w:rPr>
        <w:t>Las CCAA más abiertas tanto en términos de propensión exportadora como de apertura tienden a ser:</w:t>
      </w:r>
    </w:p>
    <w:p w14:paraId="3F3797D2" w14:textId="77777777" w:rsidR="003D3875" w:rsidRDefault="003D3875" w:rsidP="003D3875">
      <w:pPr>
        <w:pStyle w:val="Nivel2SM"/>
      </w:pPr>
      <w:r>
        <w:t>Con frontera marítima (Murcia, Cataluña, Comunidad Valenciana) o terrestre con la Europa continental</w:t>
      </w:r>
      <w:r>
        <w:rPr>
          <w:rStyle w:val="Refdenotaalpie"/>
        </w:rPr>
        <w:footnoteReference w:id="5"/>
      </w:r>
      <w:r>
        <w:t xml:space="preserve"> (p.ej. Aragón).</w:t>
      </w:r>
    </w:p>
    <w:p w14:paraId="52C82988" w14:textId="77777777" w:rsidR="003D3875" w:rsidRDefault="003D3875" w:rsidP="003D3875">
      <w:pPr>
        <w:pStyle w:val="Nivel2SM"/>
      </w:pPr>
      <w:r>
        <w:t>Especialización relativa en manufacturas (p.ej. País Vasco).</w:t>
      </w:r>
    </w:p>
    <w:p w14:paraId="63EE22DE" w14:textId="77777777" w:rsidR="003D3875" w:rsidRDefault="003D3875" w:rsidP="003D3875">
      <w:pPr>
        <w:pStyle w:val="Nivel2SM"/>
      </w:pPr>
      <w:r>
        <w:t>Relativamente pequeñas (p.ej. Navarra (que de hecho cumple las 3 condiciones y es la comunidad más abierta en términos de exportaciones sobre PIB)).</w:t>
      </w:r>
    </w:p>
    <w:p w14:paraId="41BC7E08" w14:textId="77777777" w:rsidR="003D3875" w:rsidRDefault="003D3875" w:rsidP="003D3875">
      <w:pPr>
        <w:pStyle w:val="Nivel1SM"/>
        <w:keepNext/>
        <w:spacing w:after="0"/>
      </w:pPr>
      <w:r>
        <w:t>¡Ojo! Que sean abiertas no quiere decir que sean las más competitivas y las que crecen más. Los datos empleados (DataComex</w:t>
      </w:r>
      <w:r>
        <w:rPr>
          <w:rStyle w:val="Refdenotaalpie"/>
        </w:rPr>
        <w:footnoteReference w:id="6"/>
      </w:r>
      <w:r>
        <w:t>) son exclusivos del sector de bienes y podríamos interpretar que Madrid no es competitiva por ser relativamente poco abierta en el sector de bienes.</w:t>
      </w:r>
    </w:p>
    <w:p w14:paraId="773BDB82" w14:textId="4EAC39F1" w:rsidR="003D3875" w:rsidRPr="00B75D06" w:rsidRDefault="003D3875" w:rsidP="003D3875">
      <w:pPr>
        <w:pStyle w:val="Nivel2SM"/>
      </w:pPr>
      <w:r>
        <w:t>Por tanto, podríamos paliar estas carencias abordando la dotación de capital humano, otro factor cl</w:t>
      </w:r>
      <w:r w:rsidR="006F12A7">
        <w:t>a</w:t>
      </w:r>
      <w:r>
        <w:t>ve avalado por los modelos teóricos y empíricos como determinantes del crecimiento económico.</w:t>
      </w:r>
    </w:p>
    <w:p w14:paraId="4E610BED" w14:textId="77777777" w:rsidR="003D3875" w:rsidRDefault="003D3875" w:rsidP="003D3875">
      <w:pPr>
        <w:pStyle w:val="Ttulo6"/>
      </w:pPr>
      <w:bookmarkStart w:id="16" w:name="_Toc150452788"/>
      <w:r>
        <w:t>Diferencias en el capital humano</w:t>
      </w:r>
      <w:bookmarkEnd w:id="16"/>
    </w:p>
    <w:p w14:paraId="7C136D1E" w14:textId="77777777" w:rsidR="003D3875" w:rsidRDefault="003D3875" w:rsidP="003D3875">
      <w:pPr>
        <w:pStyle w:val="Nivel1SM"/>
        <w:keepNext/>
        <w:spacing w:before="0" w:after="0"/>
      </w:pPr>
      <w:r>
        <w:t>En España</w:t>
      </w:r>
      <w:r w:rsidRPr="007D07E5">
        <w:t xml:space="preserve"> </w:t>
      </w:r>
      <w:r>
        <w:t>existen importantes diferenciales regionales en este sentido. Y también pueden jugar un papel relevante elementos de economía urbana, porque factores como la densidad de población pueden generar (cuando ésta es elevada) o no externalidades positivas y rendimientos crecientes ligados a la economía del conocimiento.</w:t>
      </w:r>
    </w:p>
    <w:p w14:paraId="104E18EE" w14:textId="77777777" w:rsidR="003D3875" w:rsidRDefault="003D3875" w:rsidP="003D3875">
      <w:pPr>
        <w:pStyle w:val="Nivel2SM"/>
        <w:keepNext/>
        <w:spacing w:after="0"/>
      </w:pPr>
      <w:r w:rsidRPr="004562FB">
        <w:rPr>
          <w:i/>
          <w:iCs/>
        </w:rPr>
        <w:t>Aprovechamiento del capital humano</w:t>
      </w:r>
      <w:r>
        <w:t>:</w:t>
      </w:r>
    </w:p>
    <w:p w14:paraId="1F1F0DD9" w14:textId="77777777" w:rsidR="003D3875" w:rsidRDefault="003D3875" w:rsidP="003D3875">
      <w:pPr>
        <w:pStyle w:val="Nivel3SM"/>
      </w:pPr>
      <w:r>
        <w:t>La primera cuestión relevante para valorar el aprovechamiento del capital humano es la tasa de desempleo. Es especialmente relevante en España por 2 razones: porque la tasa de desempleo ya es muy elevada en media nacional y porque existen acusadas diferencias regionales.</w:t>
      </w:r>
    </w:p>
    <w:p w14:paraId="0562F7D5" w14:textId="77777777" w:rsidR="003D3875" w:rsidRDefault="003D3875" w:rsidP="003D3875">
      <w:pPr>
        <w:pStyle w:val="Nivel3SM"/>
        <w:keepNext/>
      </w:pPr>
      <w:r>
        <w:t>Existe una frontera muy marcada Norte-Sur en España.</w:t>
      </w:r>
    </w:p>
    <w:p w14:paraId="40CA4A1F" w14:textId="77777777" w:rsidR="003D3875" w:rsidRDefault="003D3875" w:rsidP="003D3875">
      <w:pPr>
        <w:pStyle w:val="Nivel4"/>
        <w:ind w:left="1474"/>
      </w:pPr>
      <w:r>
        <w:t>Andalucía y Extremadura: 18,05 % y el 17,05 %</w:t>
      </w:r>
    </w:p>
    <w:p w14:paraId="2B8A5364" w14:textId="77777777" w:rsidR="003D3875" w:rsidRDefault="003D3875" w:rsidP="003D3875">
      <w:pPr>
        <w:pStyle w:val="Nivel4"/>
        <w:ind w:left="1474"/>
      </w:pPr>
      <w:r>
        <w:t>En País Vasco (7,13 %) y la Rioja (7,46 %) es menos del 8 %. Son CCAA pequeñas, relativamente exportadores y orientadas a manufacturas. Sin embargo, más hacia el oeste hay peores datos en Asturias y Galicia por problemas de reconversión y dependencia del sector primario.</w:t>
      </w:r>
    </w:p>
    <w:p w14:paraId="74ADEBC8" w14:textId="0759671D" w:rsidR="003D3875" w:rsidRPr="00CA1976" w:rsidRDefault="003D3875" w:rsidP="003D3875">
      <w:pPr>
        <w:pStyle w:val="Ttuloimagen"/>
        <w:rPr>
          <w:i/>
          <w:iCs/>
          <w:smallCaps w:val="0"/>
        </w:rPr>
      </w:pPr>
      <w:r>
        <w:t>Imagen </w:t>
      </w:r>
      <w:r>
        <w:fldChar w:fldCharType="begin"/>
      </w:r>
      <w:r>
        <w:instrText xml:space="preserve"> SEQ Ilustración \* ARABIC </w:instrText>
      </w:r>
      <w:r>
        <w:fldChar w:fldCharType="separate"/>
      </w:r>
      <w:r w:rsidR="00EC13F1">
        <w:t>1</w:t>
      </w:r>
      <w:r>
        <w:fldChar w:fldCharType="end"/>
      </w:r>
      <w:r>
        <w:rPr>
          <w:smallCaps w:val="0"/>
        </w:rPr>
        <w:t xml:space="preserve">.– </w:t>
      </w:r>
      <w:r>
        <w:rPr>
          <w:i/>
          <w:iCs/>
          <w:smallCaps w:val="0"/>
        </w:rPr>
        <w:t>Tasa de Desempleo por CCAA,</w:t>
      </w:r>
      <w:r w:rsidRPr="00CA1976">
        <w:rPr>
          <w:i/>
          <w:iCs/>
          <w:smallCaps w:val="0"/>
        </w:rPr>
        <w:t xml:space="preserve"> 2023T2</w:t>
      </w:r>
    </w:p>
    <w:p w14:paraId="4F3B4A4C" w14:textId="77777777" w:rsidR="003D3875" w:rsidRDefault="003D3875" w:rsidP="003D3875">
      <w:pPr>
        <w:pStyle w:val="Imagen"/>
      </w:pPr>
      <w:r w:rsidRPr="00551260">
        <w:drawing>
          <wp:inline distT="0" distB="0" distL="0" distR="0" wp14:anchorId="7533D04A" wp14:editId="41B05E0B">
            <wp:extent cx="3200400" cy="1971776"/>
            <wp:effectExtent l="0" t="0" r="0" b="9525"/>
            <wp:docPr id="845271304"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71304" name="Imagen 1" descr="Mapa&#10;&#10;Descripción generada automáticamente"/>
                    <pic:cNvPicPr/>
                  </pic:nvPicPr>
                  <pic:blipFill>
                    <a:blip r:embed="rId9"/>
                    <a:stretch>
                      <a:fillRect/>
                    </a:stretch>
                  </pic:blipFill>
                  <pic:spPr>
                    <a:xfrm>
                      <a:off x="0" y="0"/>
                      <a:ext cx="3216422" cy="1981648"/>
                    </a:xfrm>
                    <a:prstGeom prst="rect">
                      <a:avLst/>
                    </a:prstGeom>
                  </pic:spPr>
                </pic:pic>
              </a:graphicData>
            </a:graphic>
          </wp:inline>
        </w:drawing>
      </w:r>
      <w:r w:rsidRPr="008A3F13">
        <w:t xml:space="preserve"> </w:t>
      </w:r>
      <w:r>
        <w:drawing>
          <wp:inline distT="0" distB="0" distL="0" distR="0" wp14:anchorId="7CBDC5A2" wp14:editId="1753C866">
            <wp:extent cx="2185233" cy="1655618"/>
            <wp:effectExtent l="0" t="0" r="5715" b="1905"/>
            <wp:docPr id="630922875" name="Imagen 2" descr="El PIB de cada comunidad autónoma en 2019, en gráf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IB de cada comunidad autónoma en 2019, en gráfic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8498" cy="1665668"/>
                    </a:xfrm>
                    <a:prstGeom prst="rect">
                      <a:avLst/>
                    </a:prstGeom>
                    <a:noFill/>
                    <a:ln>
                      <a:noFill/>
                    </a:ln>
                  </pic:spPr>
                </pic:pic>
              </a:graphicData>
            </a:graphic>
          </wp:inline>
        </w:drawing>
      </w:r>
    </w:p>
    <w:p w14:paraId="309E1C27" w14:textId="02C6BB31" w:rsidR="003D3875" w:rsidRPr="00551260" w:rsidRDefault="003D3875" w:rsidP="003D3875">
      <w:pPr>
        <w:pStyle w:val="PiedeImagen"/>
        <w:rPr>
          <w:i w:val="0"/>
          <w:iCs/>
        </w:rPr>
      </w:pPr>
      <w:r>
        <w:t>Fuente</w:t>
      </w:r>
      <w:r>
        <w:rPr>
          <w:i w:val="0"/>
          <w:iCs/>
        </w:rPr>
        <w:t xml:space="preserve">: INE (2023). Encuesta de Población Activa. </w:t>
      </w:r>
      <w:hyperlink r:id="rId11" w:anchor="!tabs-mapa" w:history="1">
        <w:r w:rsidRPr="008C4AF0">
          <w:rPr>
            <w:rStyle w:val="Hipervnculo"/>
            <w:i w:val="0"/>
            <w:iCs/>
          </w:rPr>
          <w:t>https://www.ine.es/jaxiT3/Datos.htm?t=4247#!tabs-mapa</w:t>
        </w:r>
      </w:hyperlink>
    </w:p>
    <w:p w14:paraId="3CAAD624" w14:textId="77777777" w:rsidR="003D3875" w:rsidRDefault="003D3875" w:rsidP="003D3875">
      <w:pPr>
        <w:pStyle w:val="Nivel2SM"/>
        <w:keepNext/>
        <w:spacing w:after="0"/>
      </w:pPr>
      <w:r>
        <w:rPr>
          <w:i/>
          <w:iCs/>
        </w:rPr>
        <w:t>C</w:t>
      </w:r>
      <w:r w:rsidRPr="004562FB">
        <w:rPr>
          <w:i/>
          <w:iCs/>
        </w:rPr>
        <w:t>alidad del capital humano</w:t>
      </w:r>
      <w:r>
        <w:t>:</w:t>
      </w:r>
    </w:p>
    <w:p w14:paraId="00E5F1FB" w14:textId="77777777" w:rsidR="003D3875" w:rsidRDefault="003D3875" w:rsidP="003D3875">
      <w:pPr>
        <w:pStyle w:val="Nivel3SM"/>
        <w:keepNext/>
      </w:pPr>
      <w:r>
        <w:t>Para complementar los datos sobre capital humano, aparte de su utilización (aproximada por la tasa de desempleo) es importante valorar su calidad.</w:t>
      </w:r>
    </w:p>
    <w:p w14:paraId="1080E7ED" w14:textId="77777777" w:rsidR="003D3875" w:rsidRPr="000146D1" w:rsidRDefault="003D3875" w:rsidP="003D3875">
      <w:pPr>
        <w:pStyle w:val="Nivel4"/>
        <w:keepNext/>
        <w:ind w:left="1474"/>
        <w:rPr>
          <w:spacing w:val="-2"/>
        </w:rPr>
      </w:pPr>
      <w:r w:rsidRPr="000146D1">
        <w:rPr>
          <w:spacing w:val="-2"/>
        </w:rPr>
        <w:t>Podemos tratar de hacerlo al medir en porcentaje de población con estudios superiores.</w:t>
      </w:r>
    </w:p>
    <w:p w14:paraId="76A56B68" w14:textId="77777777" w:rsidR="00F64272" w:rsidRDefault="003D3875" w:rsidP="003D3875">
      <w:pPr>
        <w:pStyle w:val="Nivel5"/>
        <w:ind w:left="1871"/>
      </w:pPr>
      <w:r>
        <w:t>De nuevo se aprecia la división norte-sur en la economía española.</w:t>
      </w:r>
    </w:p>
    <w:p w14:paraId="3C4E3C5A" w14:textId="6575E37F" w:rsidR="003D3875" w:rsidRDefault="003D3875" w:rsidP="003D3875">
      <w:pPr>
        <w:pStyle w:val="Nivel5"/>
        <w:ind w:left="1871"/>
      </w:pPr>
      <w:r>
        <w:lastRenderedPageBreak/>
        <w:t>La zona de Navarra, País Vasco, Cantabria y Asturias</w:t>
      </w:r>
      <w:r w:rsidR="00F64272">
        <w:t xml:space="preserve"> presenta un mayor porcentaje de población con estudios superiores</w:t>
      </w:r>
      <w:r>
        <w:t>.</w:t>
      </w:r>
    </w:p>
    <w:p w14:paraId="206E1217" w14:textId="77777777" w:rsidR="003D3875" w:rsidRDefault="003D3875" w:rsidP="003D3875">
      <w:pPr>
        <w:pStyle w:val="Nivel4"/>
        <w:keepNext/>
        <w:ind w:left="1474"/>
      </w:pPr>
      <w:r>
        <w:t>En cuanto a las calificaciones del informe PISA:</w:t>
      </w:r>
    </w:p>
    <w:p w14:paraId="39B8BFCB" w14:textId="2769080C" w:rsidR="003D3875" w:rsidRDefault="003D3875" w:rsidP="003D3875">
      <w:pPr>
        <w:pStyle w:val="Nivel5"/>
        <w:ind w:left="1871"/>
      </w:pPr>
      <w:r>
        <w:t>Navarra, Castilla y León</w:t>
      </w:r>
      <w:r w:rsidR="00F64272">
        <w:t xml:space="preserve"> y</w:t>
      </w:r>
      <w:r>
        <w:t xml:space="preserve"> País Vasco obtienen muy buenos resultados.</w:t>
      </w:r>
    </w:p>
    <w:p w14:paraId="7FA29480" w14:textId="77777777" w:rsidR="003D3875" w:rsidRDefault="003D3875" w:rsidP="003D3875">
      <w:pPr>
        <w:pStyle w:val="Nivel5"/>
        <w:keepNext/>
        <w:ind w:left="1871"/>
      </w:pPr>
      <w:r>
        <w:t>Por la cola aparecen Extremadura, Castilla-la Mancha, Canarias y Baleares.</w:t>
      </w:r>
    </w:p>
    <w:p w14:paraId="1B27F6D3" w14:textId="77777777" w:rsidR="003D3875" w:rsidRDefault="003D3875" w:rsidP="003D3875">
      <w:pPr>
        <w:pStyle w:val="Nivel6"/>
        <w:ind w:left="2212"/>
      </w:pPr>
      <w:r>
        <w:t>Para completar este análisis podemos analizar la inversión en I+D en euros por habitante (Eurostat). De nuevo se confirman patrones observados hasta el momento. País Vasco es la líder en cuanto a inversión en desarrollo tecnológico seguida de Madrid, Navarra y Cataluña.</w:t>
      </w:r>
    </w:p>
    <w:p w14:paraId="4B74F195" w14:textId="797B200E" w:rsidR="00F64272" w:rsidRDefault="00F64272" w:rsidP="00F64272">
      <w:pPr>
        <w:pStyle w:val="Ttulo6"/>
      </w:pPr>
      <w:bookmarkStart w:id="17" w:name="_Toc150452789"/>
      <w:r>
        <w:t>Diferencias en inversión en I+D</w:t>
      </w:r>
      <w:bookmarkEnd w:id="17"/>
    </w:p>
    <w:p w14:paraId="2177E102" w14:textId="54C2AD08" w:rsidR="00F64272" w:rsidRDefault="00F64272" w:rsidP="00F64272">
      <w:pPr>
        <w:pStyle w:val="Nivel2SM"/>
        <w:keepNext/>
        <w:spacing w:after="0"/>
      </w:pPr>
      <w:r>
        <w:t>Para completar este análisis podemos analizar la inversión en I+D por habitante (usando datos de Eurostat).</w:t>
      </w:r>
    </w:p>
    <w:p w14:paraId="27F73770" w14:textId="7E6845F4" w:rsidR="00F64272" w:rsidRPr="00F64272" w:rsidRDefault="00F64272" w:rsidP="00F64272">
      <w:pPr>
        <w:pStyle w:val="Nivel3SM"/>
      </w:pPr>
      <w:r>
        <w:t>De nuevo se confirman los patrones observados hasta el momento</w:t>
      </w:r>
      <w:r w:rsidR="00A119B5">
        <w:t>:</w:t>
      </w:r>
      <w:r>
        <w:t xml:space="preserve"> País Vasco es líder en cuanto a inversión en desarrollo tecnológico, seguida de Madrid, Navarra y Cataluña.</w:t>
      </w:r>
    </w:p>
    <w:p w14:paraId="6734CE19" w14:textId="6023B424" w:rsidR="003D3875" w:rsidRDefault="003D3875" w:rsidP="00F64272">
      <w:pPr>
        <w:pStyle w:val="Ttulo6"/>
      </w:pPr>
      <w:bookmarkStart w:id="18" w:name="_Toc150452790"/>
      <w:r>
        <w:t>C</w:t>
      </w:r>
      <w:r w:rsidRPr="004562FB">
        <w:t>onclusiones</w:t>
      </w:r>
      <w:bookmarkEnd w:id="18"/>
    </w:p>
    <w:p w14:paraId="6FD37FED" w14:textId="670AC5C4" w:rsidR="003D3875" w:rsidRDefault="003D3875" w:rsidP="00F64272">
      <w:pPr>
        <w:pStyle w:val="Nivel2SM"/>
      </w:pPr>
      <w:r>
        <w:t>Los factores que explican el liderazgo de Madrid se basa</w:t>
      </w:r>
      <w:r w:rsidR="00F64272">
        <w:t>n</w:t>
      </w:r>
      <w:r>
        <w:t xml:space="preserve"> en el capital humano y en su especialización en servicios de mayor </w:t>
      </w:r>
      <w:r w:rsidR="00F64272">
        <w:t>v</w:t>
      </w:r>
      <w:r>
        <w:t>alor añadido.</w:t>
      </w:r>
    </w:p>
    <w:p w14:paraId="1FDFA80D" w14:textId="77777777" w:rsidR="003D3875" w:rsidRDefault="003D3875" w:rsidP="00F64272">
      <w:pPr>
        <w:pStyle w:val="Nivel2SM"/>
      </w:pPr>
      <w:r>
        <w:t>País Vasco y Navarra, por su capital tecnológico por su especialización en manufacturas. La elevada densidad de población de estas regiones muestra la relevancia de fenómenos asociados a la economía urbana: economías de aglomeración, surgimiento de proveedores especializados, amplitud del mercado de trabajo, mayor propensión a innovar</w:t>
      </w:r>
    </w:p>
    <w:p w14:paraId="2CD6B1C5" w14:textId="1FCB8987" w:rsidR="009E39E6" w:rsidRPr="00946F49" w:rsidRDefault="00781441" w:rsidP="004A3B26">
      <w:pPr>
        <w:pStyle w:val="Ttulo1"/>
      </w:pPr>
      <w:bookmarkStart w:id="19" w:name="_Toc150452791"/>
      <w:r>
        <w:t>PERSPECTIVA</w:t>
      </w:r>
      <w:r w:rsidR="00CB15B1">
        <w:t xml:space="preserve"> DINÁMIC</w:t>
      </w:r>
      <w:r>
        <w:t>A</w:t>
      </w:r>
      <w:r w:rsidR="00CB15B1">
        <w:t xml:space="preserve"> DE LA </w:t>
      </w:r>
      <w:r w:rsidR="005416B9" w:rsidRPr="00946F49">
        <w:t>ESPECIALIZACIÓN REGIONAL</w:t>
      </w:r>
      <w:r w:rsidR="00CB15B1">
        <w:t>:</w:t>
      </w:r>
      <w:r w:rsidR="00CB15B1">
        <w:br/>
      </w:r>
      <w:r w:rsidR="001C7B2D">
        <w:t xml:space="preserve">EVOLUCIÓN Y </w:t>
      </w:r>
      <w:r w:rsidR="00CB15B1">
        <w:t>CONVERGENCIA REAL</w:t>
      </w:r>
      <w:bookmarkEnd w:id="19"/>
    </w:p>
    <w:p w14:paraId="457600E9" w14:textId="60B21E9E" w:rsidR="008F103F" w:rsidRDefault="00CA1A32" w:rsidP="00C373F0">
      <w:pPr>
        <w:pStyle w:val="Ttulo2"/>
      </w:pPr>
      <w:bookmarkStart w:id="20" w:name="_Toc150452792"/>
      <w:r>
        <w:t>Evolución de la especialización regional</w:t>
      </w:r>
      <w:bookmarkEnd w:id="20"/>
    </w:p>
    <w:p w14:paraId="3D2D91A0" w14:textId="746E8E36" w:rsidR="00A56D67" w:rsidRPr="00A56D67" w:rsidRDefault="00A56D67" w:rsidP="00A56D67">
      <w:pPr>
        <w:pStyle w:val="Nivel1SM"/>
        <w:keepNext/>
      </w:pPr>
      <w:r>
        <w:t>¿Cómo hemos llegado hasta aquí?</w:t>
      </w:r>
    </w:p>
    <w:p w14:paraId="639B0E4B" w14:textId="20BAA7C0" w:rsidR="00152756" w:rsidRPr="0047023A" w:rsidRDefault="008D7E3B" w:rsidP="008F103F">
      <w:pPr>
        <w:pStyle w:val="Ttulo6"/>
        <w:spacing w:before="0"/>
      </w:pPr>
      <w:bookmarkStart w:id="21" w:name="_Toc150452793"/>
      <w:r w:rsidRPr="0047023A">
        <w:t>Hasta 195</w:t>
      </w:r>
      <w:r w:rsidR="00A56D67">
        <w:t>9</w:t>
      </w:r>
      <w:r w:rsidR="0047023A">
        <w:t xml:space="preserve">: </w:t>
      </w:r>
      <w:r w:rsidR="00152756" w:rsidRPr="0047023A">
        <w:t>Especialización regional</w:t>
      </w:r>
      <w:bookmarkEnd w:id="21"/>
    </w:p>
    <w:p w14:paraId="294DF423" w14:textId="7D89E2B8" w:rsidR="008D7E3B" w:rsidRPr="00946F49" w:rsidRDefault="005416B9" w:rsidP="00691F5E">
      <w:pPr>
        <w:pStyle w:val="Nivel2SM"/>
        <w:keepNext/>
        <w:spacing w:after="0"/>
      </w:pPr>
      <w:r w:rsidRPr="00946F49">
        <w:t>La primera mitad del siglo</w:t>
      </w:r>
      <w:r w:rsidR="00691F5E">
        <w:t> </w:t>
      </w:r>
      <w:r w:rsidRPr="00946F49">
        <w:t xml:space="preserve">XX es testigo de </w:t>
      </w:r>
      <w:r w:rsidRPr="003E7B59">
        <w:rPr>
          <w:i/>
          <w:iCs/>
        </w:rPr>
        <w:t xml:space="preserve">importantes cambios en la especialización productiva </w:t>
      </w:r>
      <w:r w:rsidRPr="003E7B59">
        <w:t>de las regiones españolas</w:t>
      </w:r>
      <w:r w:rsidRPr="00946F49">
        <w:t>:</w:t>
      </w:r>
    </w:p>
    <w:p w14:paraId="2E9BA1F5" w14:textId="4C0B494E" w:rsidR="003C65C3" w:rsidRDefault="008D7E3B" w:rsidP="00691F5E">
      <w:pPr>
        <w:pStyle w:val="Nivel3SM"/>
      </w:pPr>
      <w:r w:rsidRPr="00946F49">
        <w:t>L</w:t>
      </w:r>
      <w:r w:rsidR="005416B9" w:rsidRPr="00946F49">
        <w:t xml:space="preserve">a puesta en marcha del </w:t>
      </w:r>
      <w:r w:rsidR="005416B9" w:rsidRPr="00946F49">
        <w:rPr>
          <w:b/>
        </w:rPr>
        <w:t xml:space="preserve">ferrocarril </w:t>
      </w:r>
      <w:r w:rsidR="005416B9" w:rsidRPr="00946F49">
        <w:t xml:space="preserve">permite cierta expansión de la </w:t>
      </w:r>
      <w:r w:rsidR="005416B9" w:rsidRPr="00946F49">
        <w:rPr>
          <w:b/>
        </w:rPr>
        <w:t>industria</w:t>
      </w:r>
      <w:r w:rsidR="005416B9" w:rsidRPr="00946F49">
        <w:t xml:space="preserve">, que empieza a concentrarse en </w:t>
      </w:r>
      <w:r w:rsidR="005416B9" w:rsidRPr="00946F49">
        <w:rPr>
          <w:b/>
        </w:rPr>
        <w:t>Madrid</w:t>
      </w:r>
      <w:r w:rsidR="005416B9" w:rsidRPr="003E7B59">
        <w:rPr>
          <w:bCs/>
        </w:rPr>
        <w:t xml:space="preserve">, </w:t>
      </w:r>
      <w:r w:rsidR="005416B9" w:rsidRPr="00946F49">
        <w:rPr>
          <w:b/>
        </w:rPr>
        <w:t>Barcelona</w:t>
      </w:r>
      <w:r w:rsidR="005416B9" w:rsidRPr="003E7B59">
        <w:rPr>
          <w:bCs/>
        </w:rPr>
        <w:t xml:space="preserve"> y </w:t>
      </w:r>
      <w:r w:rsidR="005416B9" w:rsidRPr="00946F49">
        <w:rPr>
          <w:b/>
        </w:rPr>
        <w:t>Bilbao</w:t>
      </w:r>
      <w:r w:rsidR="00923A29">
        <w:t>.</w:t>
      </w:r>
    </w:p>
    <w:p w14:paraId="23A0F32C" w14:textId="77777777" w:rsidR="005416B9" w:rsidRPr="00946F49" w:rsidRDefault="003C65C3" w:rsidP="00691F5E">
      <w:pPr>
        <w:pStyle w:val="Nivel3SM"/>
        <w:keepNext/>
      </w:pPr>
      <w:r>
        <w:t>M</w:t>
      </w:r>
      <w:r w:rsidR="005416B9" w:rsidRPr="00946F49">
        <w:t xml:space="preserve">ientras que el </w:t>
      </w:r>
      <w:r w:rsidR="005416B9" w:rsidRPr="00946F49">
        <w:rPr>
          <w:b/>
        </w:rPr>
        <w:t>resto</w:t>
      </w:r>
      <w:r w:rsidR="005416B9" w:rsidRPr="00946F49">
        <w:t xml:space="preserve"> de la Península sigue fuertemente especializada en la </w:t>
      </w:r>
      <w:r w:rsidR="005416B9" w:rsidRPr="00946F49">
        <w:rPr>
          <w:b/>
        </w:rPr>
        <w:t>agricultura</w:t>
      </w:r>
      <w:r w:rsidR="005416B9" w:rsidRPr="00946F49">
        <w:t>.</w:t>
      </w:r>
    </w:p>
    <w:p w14:paraId="68BDA264" w14:textId="3E3EEFF2" w:rsidR="003C65C3" w:rsidRDefault="005416B9" w:rsidP="00691F5E">
      <w:pPr>
        <w:pStyle w:val="Nivel4"/>
        <w:ind w:left="1474"/>
      </w:pPr>
      <w:r w:rsidRPr="00946F49">
        <w:t>Como resultado de este proceso,</w:t>
      </w:r>
      <w:r w:rsidR="008D7E3B" w:rsidRPr="00946F49">
        <w:t xml:space="preserve"> hasta</w:t>
      </w:r>
      <w:r w:rsidRPr="00946F49">
        <w:t xml:space="preserve"> </w:t>
      </w:r>
      <w:r w:rsidR="008D7E3B" w:rsidRPr="00946F49">
        <w:t>los años</w:t>
      </w:r>
      <w:r w:rsidR="0073740D">
        <w:t> </w:t>
      </w:r>
      <w:r w:rsidR="008D7E3B" w:rsidRPr="00946F49">
        <w:t xml:space="preserve">60 </w:t>
      </w:r>
      <w:r w:rsidRPr="00946F49">
        <w:t xml:space="preserve">existían </w:t>
      </w:r>
      <w:r w:rsidRPr="001D1A3F">
        <w:rPr>
          <w:bCs/>
          <w:i/>
          <w:iCs/>
        </w:rPr>
        <w:t xml:space="preserve">importantes </w:t>
      </w:r>
      <w:r w:rsidR="00A729E8" w:rsidRPr="001D1A3F">
        <w:rPr>
          <w:bCs/>
          <w:i/>
          <w:iCs/>
        </w:rPr>
        <w:t>desigualdades</w:t>
      </w:r>
      <w:r w:rsidRPr="001D1A3F">
        <w:rPr>
          <w:bCs/>
          <w:i/>
          <w:iCs/>
        </w:rPr>
        <w:t xml:space="preserve"> territoriales</w:t>
      </w:r>
      <w:r w:rsidRPr="00946F49">
        <w:t>.</w:t>
      </w:r>
    </w:p>
    <w:p w14:paraId="2081C52C" w14:textId="3710858B" w:rsidR="00152756" w:rsidRPr="0047023A" w:rsidRDefault="008D7E3B" w:rsidP="008F103F">
      <w:pPr>
        <w:pStyle w:val="Ttulo6"/>
      </w:pPr>
      <w:bookmarkStart w:id="22" w:name="_Toc150452794"/>
      <w:r w:rsidRPr="0047023A">
        <w:t>19</w:t>
      </w:r>
      <w:r w:rsidR="00A56D67">
        <w:t>60</w:t>
      </w:r>
      <w:r w:rsidR="00CF4185">
        <w:t>-</w:t>
      </w:r>
      <w:r w:rsidRPr="0047023A">
        <w:t>1973: El Milagro español</w:t>
      </w:r>
      <w:r w:rsidR="0047023A">
        <w:t xml:space="preserve"> (c</w:t>
      </w:r>
      <w:r w:rsidR="00152756" w:rsidRPr="0047023A">
        <w:t>ambios en la estructura productiva</w:t>
      </w:r>
      <w:r w:rsidR="0047023A">
        <w:t>)</w:t>
      </w:r>
      <w:bookmarkEnd w:id="22"/>
    </w:p>
    <w:p w14:paraId="224056DF" w14:textId="4F2C2DC8" w:rsidR="003C65C3" w:rsidRPr="003C65C3" w:rsidRDefault="002E373C" w:rsidP="00691F5E">
      <w:pPr>
        <w:pStyle w:val="Nivel2SM"/>
        <w:keepNext/>
        <w:spacing w:after="0"/>
      </w:pPr>
      <w:r w:rsidRPr="002E373C">
        <w:t xml:space="preserve">Se producen </w:t>
      </w:r>
      <w:r w:rsidRPr="002E373C">
        <w:rPr>
          <w:i/>
          <w:iCs/>
          <w:u w:val="single"/>
        </w:rPr>
        <w:t>g</w:t>
      </w:r>
      <w:r w:rsidR="003C65C3" w:rsidRPr="002E373C">
        <w:rPr>
          <w:i/>
          <w:iCs/>
          <w:u w:val="single"/>
        </w:rPr>
        <w:t>r</w:t>
      </w:r>
      <w:r w:rsidR="00874E34" w:rsidRPr="002E373C">
        <w:rPr>
          <w:i/>
          <w:iCs/>
          <w:u w:val="single"/>
        </w:rPr>
        <w:t>andes cambios en la estructura sectorial de la producción</w:t>
      </w:r>
      <w:r>
        <w:t xml:space="preserve"> y</w:t>
      </w:r>
      <w:r w:rsidR="003C65C3" w:rsidRPr="003C65C3">
        <w:t xml:space="preserve"> </w:t>
      </w:r>
      <w:r>
        <w:t>c</w:t>
      </w:r>
      <w:r w:rsidR="003C65C3" w:rsidRPr="003C65C3">
        <w:t xml:space="preserve">omo consecuencia </w:t>
      </w:r>
      <w:r w:rsidR="003C65C3" w:rsidRPr="002E373C">
        <w:rPr>
          <w:i/>
          <w:iCs/>
        </w:rPr>
        <w:t>se acentúan las especialidades productivas y las desigualdades territoriales</w:t>
      </w:r>
      <w:r w:rsidR="003C65C3" w:rsidRPr="003C65C3">
        <w:t>:</w:t>
      </w:r>
    </w:p>
    <w:p w14:paraId="19516C26" w14:textId="5441808B" w:rsidR="008D7E3B" w:rsidRPr="00691F5E" w:rsidRDefault="008D7E3B" w:rsidP="00691F5E">
      <w:pPr>
        <w:pStyle w:val="Nivel3SM"/>
        <w:keepNext/>
        <w:rPr>
          <w:u w:val="single"/>
        </w:rPr>
      </w:pPr>
      <w:r w:rsidRPr="00BC6E54">
        <w:rPr>
          <w:i/>
          <w:iCs/>
        </w:rPr>
        <w:t>Agricultura</w:t>
      </w:r>
      <w:r w:rsidR="002E373C">
        <w:t>:</w:t>
      </w:r>
    </w:p>
    <w:p w14:paraId="63AEBE0D" w14:textId="77777777" w:rsidR="00874E34" w:rsidRPr="003C65C3" w:rsidRDefault="00874E34" w:rsidP="00560FA1">
      <w:pPr>
        <w:pStyle w:val="Nivel4"/>
        <w:ind w:left="1474"/>
      </w:pPr>
      <w:r w:rsidRPr="003C65C3">
        <w:t>La crisis de la agricultura tradicional hace que el peso relativo de este sector se reduzca</w:t>
      </w:r>
      <w:r w:rsidR="00585482" w:rsidRPr="003C65C3">
        <w:t xml:space="preserve"> notablemente.</w:t>
      </w:r>
    </w:p>
    <w:p w14:paraId="41BDE72B" w14:textId="77777777" w:rsidR="00585482" w:rsidRPr="00C1262D" w:rsidRDefault="00585482" w:rsidP="00560FA1">
      <w:pPr>
        <w:pStyle w:val="Nivel4"/>
        <w:keepNext/>
        <w:ind w:left="1474"/>
        <w:rPr>
          <w:spacing w:val="-3"/>
        </w:rPr>
      </w:pPr>
      <w:r w:rsidRPr="00C1262D">
        <w:rPr>
          <w:spacing w:val="-3"/>
        </w:rPr>
        <w:t>Paralelamente, se produce un éxodo rural hacia las regiones industriales y la agricultura introduce innovaciones tecnológicas que permiten aumentar la productividad.</w:t>
      </w:r>
    </w:p>
    <w:p w14:paraId="2D5A2C6C" w14:textId="3A4343F1" w:rsidR="003C65C3" w:rsidRPr="00946F49" w:rsidRDefault="00803E81" w:rsidP="00560FA1">
      <w:pPr>
        <w:pStyle w:val="Nivel5"/>
        <w:ind w:left="1871"/>
      </w:pPr>
      <w:r w:rsidRPr="00803E81">
        <w:rPr>
          <w:i/>
          <w:iCs/>
        </w:rPr>
        <w:t>Castilla-La Mancha, Castilla y León</w:t>
      </w:r>
      <w:r w:rsidR="003C65C3" w:rsidRPr="00803E81">
        <w:rPr>
          <w:i/>
          <w:iCs/>
        </w:rPr>
        <w:t>, Extremadura, Galicia y Andalucía</w:t>
      </w:r>
      <w:r w:rsidR="003C65C3">
        <w:t xml:space="preserve"> </w:t>
      </w:r>
      <w:r w:rsidR="003C65C3" w:rsidRPr="00946F49">
        <w:t xml:space="preserve">mantenían un elevado </w:t>
      </w:r>
      <w:r w:rsidR="003C65C3" w:rsidRPr="003C65C3">
        <w:t>grado de especialización agrícola, así, crecerán por debajo de la media. Andalucía también se beneficia del turismo, pero esto se ve compensado por la contracción de la agricultura.</w:t>
      </w:r>
    </w:p>
    <w:p w14:paraId="7766EFDE" w14:textId="6CE539A8" w:rsidR="008D7E3B" w:rsidRPr="002E373C" w:rsidRDefault="008D7E3B" w:rsidP="00691F5E">
      <w:pPr>
        <w:pStyle w:val="Nivel3SM"/>
        <w:keepNext/>
      </w:pPr>
      <w:r w:rsidRPr="00BC6E54">
        <w:rPr>
          <w:i/>
          <w:iCs/>
        </w:rPr>
        <w:lastRenderedPageBreak/>
        <w:t>Industria</w:t>
      </w:r>
      <w:r w:rsidR="002E373C" w:rsidRPr="002E373C">
        <w:t>:</w:t>
      </w:r>
    </w:p>
    <w:p w14:paraId="64CC80CF" w14:textId="6633BC29" w:rsidR="008472C4" w:rsidRPr="003C65C3" w:rsidRDefault="008472C4" w:rsidP="006A04D2">
      <w:pPr>
        <w:pStyle w:val="Nivel4"/>
        <w:keepNext/>
        <w:ind w:left="1474"/>
      </w:pPr>
      <w:r w:rsidRPr="003C65C3">
        <w:t>Se intensifica el proceso de industrialización</w:t>
      </w:r>
      <w:r w:rsidR="003C65C3" w:rsidRPr="003C65C3">
        <w:t xml:space="preserve">, </w:t>
      </w:r>
      <w:r w:rsidRPr="003C65C3">
        <w:t xml:space="preserve">principalmente </w:t>
      </w:r>
      <w:r w:rsidR="003C65C3" w:rsidRPr="003C65C3">
        <w:t>en</w:t>
      </w:r>
      <w:r w:rsidR="00B30431" w:rsidRPr="003C65C3">
        <w:t xml:space="preserve"> ramas</w:t>
      </w:r>
      <w:r w:rsidR="007B7E6F" w:rsidRPr="003C65C3">
        <w:t xml:space="preserve"> manufactureras</w:t>
      </w:r>
      <w:r w:rsidR="00B30431" w:rsidRPr="003C65C3">
        <w:t xml:space="preserve"> como la siderurgia, la industria automovilística, </w:t>
      </w:r>
      <w:r w:rsidR="008868E4" w:rsidRPr="003C65C3">
        <w:t xml:space="preserve">industria </w:t>
      </w:r>
      <w:r w:rsidR="00B30431" w:rsidRPr="003C65C3">
        <w:t>química y ciertos bienes de equipo</w:t>
      </w:r>
      <w:r w:rsidR="00C70162" w:rsidRPr="003C65C3">
        <w:t xml:space="preserve">, muchas de las cuales se verán favorecidas por el apoyo que reciben del Estado para </w:t>
      </w:r>
      <w:r w:rsidR="007D187F" w:rsidRPr="003C65C3">
        <w:t xml:space="preserve">promover </w:t>
      </w:r>
      <w:r w:rsidR="00C70162" w:rsidRPr="003C65C3">
        <w:t>su expansión.</w:t>
      </w:r>
    </w:p>
    <w:p w14:paraId="14766376" w14:textId="2AE50683" w:rsidR="003C65C3" w:rsidRPr="00946F49" w:rsidRDefault="003C65C3" w:rsidP="00560FA1">
      <w:pPr>
        <w:pStyle w:val="Nivel5"/>
        <w:ind w:left="1871"/>
      </w:pPr>
      <w:r w:rsidRPr="00BC6E54">
        <w:rPr>
          <w:i/>
          <w:iCs/>
        </w:rPr>
        <w:t>Madrid, Cataluña, País Vasco y la Comunidad Valenciana</w:t>
      </w:r>
      <w:r w:rsidR="006F12A7">
        <w:t>, p</w:t>
      </w:r>
      <w:r w:rsidRPr="00946F49">
        <w:t xml:space="preserve">or entonces las regiones más </w:t>
      </w:r>
      <w:r w:rsidRPr="0039414D">
        <w:rPr>
          <w:bCs/>
        </w:rPr>
        <w:t>industrializadas</w:t>
      </w:r>
      <w:r w:rsidRPr="00946F49">
        <w:t>, fueron las que más crecieron</w:t>
      </w:r>
      <w:r>
        <w:t>.</w:t>
      </w:r>
    </w:p>
    <w:p w14:paraId="1CD26CAD" w14:textId="77777777" w:rsidR="007B7E6F" w:rsidRDefault="007B7E6F" w:rsidP="00560FA1">
      <w:pPr>
        <w:pStyle w:val="Nivel4"/>
        <w:keepNext/>
        <w:ind w:left="1474"/>
      </w:pPr>
      <w:r w:rsidRPr="003C65C3">
        <w:t>En contraste, las actividades mineras experimentaron durante este periodo una fuerte contracción económica.</w:t>
      </w:r>
    </w:p>
    <w:p w14:paraId="4F9FF546" w14:textId="77777777" w:rsidR="003C65C3" w:rsidRPr="003C65C3" w:rsidRDefault="003C65C3" w:rsidP="00560FA1">
      <w:pPr>
        <w:pStyle w:val="Nivel5"/>
        <w:ind w:left="1871"/>
      </w:pPr>
      <w:r w:rsidRPr="00BC6E54">
        <w:rPr>
          <w:i/>
          <w:iCs/>
        </w:rPr>
        <w:t>Asturias</w:t>
      </w:r>
      <w:r w:rsidRPr="00946F49">
        <w:t xml:space="preserve"> se verá particularm</w:t>
      </w:r>
      <w:r>
        <w:t>ente afectada por el declive.</w:t>
      </w:r>
    </w:p>
    <w:p w14:paraId="469162C2" w14:textId="30E1C05E" w:rsidR="008D7E3B" w:rsidRPr="002E373C" w:rsidRDefault="008D7E3B" w:rsidP="00691F5E">
      <w:pPr>
        <w:pStyle w:val="Nivel3SM"/>
        <w:keepNext/>
      </w:pPr>
      <w:r w:rsidRPr="00BC6E54">
        <w:rPr>
          <w:i/>
          <w:iCs/>
        </w:rPr>
        <w:t>Servicios</w:t>
      </w:r>
      <w:r w:rsidR="002E373C" w:rsidRPr="002E373C">
        <w:t>:</w:t>
      </w:r>
    </w:p>
    <w:p w14:paraId="52868EA2" w14:textId="77777777" w:rsidR="00A96888" w:rsidRDefault="00D46930" w:rsidP="00560FA1">
      <w:pPr>
        <w:pStyle w:val="Nivel4"/>
        <w:keepNext/>
        <w:ind w:left="1474"/>
      </w:pPr>
      <w:r w:rsidRPr="003C65C3">
        <w:t>El sector servicios también adquiere mayor importancia, sobre todo como consecuencia del gran aumento del turismo</w:t>
      </w:r>
      <w:r w:rsidR="00D56123" w:rsidRPr="003C65C3">
        <w:t>.</w:t>
      </w:r>
    </w:p>
    <w:p w14:paraId="0F1AB4BF" w14:textId="77777777" w:rsidR="003C65C3" w:rsidRPr="00BC6E54" w:rsidRDefault="003C65C3" w:rsidP="00560FA1">
      <w:pPr>
        <w:pStyle w:val="Nivel5"/>
        <w:ind w:left="1871"/>
        <w:rPr>
          <w:spacing w:val="-2"/>
          <w:u w:val="single"/>
        </w:rPr>
      </w:pPr>
      <w:r w:rsidRPr="00BC6E54">
        <w:rPr>
          <w:i/>
          <w:iCs/>
          <w:spacing w:val="-2"/>
        </w:rPr>
        <w:t>Baleares y Canarias</w:t>
      </w:r>
      <w:r w:rsidRPr="00BC6E54">
        <w:rPr>
          <w:spacing w:val="-2"/>
        </w:rPr>
        <w:t xml:space="preserve">, experimentaron un importante crecimiento gracias al </w:t>
      </w:r>
      <w:r w:rsidRPr="002C0B6B">
        <w:rPr>
          <w:bCs/>
          <w:i/>
          <w:iCs/>
          <w:spacing w:val="-2"/>
        </w:rPr>
        <w:t>turismo</w:t>
      </w:r>
      <w:r w:rsidRPr="00BC6E54">
        <w:rPr>
          <w:spacing w:val="-2"/>
        </w:rPr>
        <w:t>.</w:t>
      </w:r>
    </w:p>
    <w:p w14:paraId="7A96E9B0" w14:textId="6C170995" w:rsidR="00A729E8" w:rsidRPr="00BC6E54" w:rsidRDefault="003C65C3" w:rsidP="00691F5E">
      <w:pPr>
        <w:pStyle w:val="Nivel2SM"/>
        <w:keepNext/>
        <w:spacing w:after="0"/>
      </w:pPr>
      <w:r w:rsidRPr="00BC6E54">
        <w:rPr>
          <w:i/>
          <w:iCs/>
          <w:u w:val="single"/>
        </w:rPr>
        <w:t>Resultado</w:t>
      </w:r>
      <w:r w:rsidRPr="00BC6E54">
        <w:t xml:space="preserve">: </w:t>
      </w:r>
      <w:r w:rsidRPr="002C0B6B">
        <w:rPr>
          <w:b/>
          <w:bCs/>
        </w:rPr>
        <w:t>Aumenta l</w:t>
      </w:r>
      <w:r w:rsidR="001A5839" w:rsidRPr="002C0B6B">
        <w:rPr>
          <w:b/>
          <w:bCs/>
        </w:rPr>
        <w:t xml:space="preserve">a </w:t>
      </w:r>
      <w:r w:rsidR="00A729E8" w:rsidRPr="002C0B6B">
        <w:rPr>
          <w:b/>
          <w:bCs/>
        </w:rPr>
        <w:t xml:space="preserve">desigualdad </w:t>
      </w:r>
      <w:r w:rsidR="001A5839" w:rsidRPr="002C0B6B">
        <w:rPr>
          <w:b/>
          <w:bCs/>
        </w:rPr>
        <w:t>en términos de PIB</w:t>
      </w:r>
      <w:r w:rsidR="001A5839" w:rsidRPr="00BC6E54">
        <w:t>.</w:t>
      </w:r>
    </w:p>
    <w:p w14:paraId="0A8FEFCA" w14:textId="3A877DB2" w:rsidR="0035115C" w:rsidRPr="003C65C3" w:rsidRDefault="001A5839" w:rsidP="00691F5E">
      <w:pPr>
        <w:pStyle w:val="Nivel3SM"/>
      </w:pPr>
      <w:r w:rsidRPr="003C65C3">
        <w:t>Sin embargo,</w:t>
      </w:r>
      <w:r w:rsidR="005D6911" w:rsidRPr="003C65C3">
        <w:t xml:space="preserve"> en términos de PIB per cápita se producirá convergencia, dado que hay que recordar que durante este periodo se produce un fuerte éxodo rural hacia las regiones más pr</w:t>
      </w:r>
      <w:r w:rsidR="00962187">
        <w:t>ó</w:t>
      </w:r>
      <w:r w:rsidR="005D6911" w:rsidRPr="003C65C3">
        <w:t>speras.</w:t>
      </w:r>
    </w:p>
    <w:p w14:paraId="6095F084" w14:textId="77777777" w:rsidR="0047023A" w:rsidRPr="0047023A" w:rsidRDefault="00372C5B" w:rsidP="008F103F">
      <w:pPr>
        <w:pStyle w:val="Ttulo6"/>
      </w:pPr>
      <w:bookmarkStart w:id="23" w:name="_Toc150452795"/>
      <w:r w:rsidRPr="0047023A">
        <w:t>1973</w:t>
      </w:r>
      <w:r w:rsidR="00A22D56" w:rsidRPr="0047023A">
        <w:t>-198</w:t>
      </w:r>
      <w:r w:rsidR="00966EA0" w:rsidRPr="0047023A">
        <w:t>9</w:t>
      </w:r>
      <w:r w:rsidR="0047023A">
        <w:t xml:space="preserve">: </w:t>
      </w:r>
      <w:r w:rsidR="00152756" w:rsidRPr="0047023A">
        <w:t xml:space="preserve">Crisis </w:t>
      </w:r>
      <w:r w:rsidR="003C65C3" w:rsidRPr="0047023A">
        <w:t>del petróleo</w:t>
      </w:r>
      <w:r w:rsidR="0047023A">
        <w:t xml:space="preserve"> y adhesión a la UE</w:t>
      </w:r>
      <w:bookmarkEnd w:id="23"/>
    </w:p>
    <w:p w14:paraId="6E02D954" w14:textId="2D1036B1" w:rsidR="00152756" w:rsidRPr="0047023A" w:rsidRDefault="0047023A" w:rsidP="006A04D2">
      <w:pPr>
        <w:pStyle w:val="Ttulo7"/>
        <w:spacing w:before="0"/>
      </w:pPr>
      <w:r>
        <w:t>Crisis del petróleo</w:t>
      </w:r>
    </w:p>
    <w:p w14:paraId="1E7762A2" w14:textId="77777777" w:rsidR="003C65C3" w:rsidRPr="003C65C3" w:rsidRDefault="003C65C3" w:rsidP="00BD47C3">
      <w:pPr>
        <w:pStyle w:val="Nivel2SM"/>
        <w:keepNext/>
        <w:spacing w:after="0"/>
        <w:ind w:left="708" w:hanging="339"/>
      </w:pPr>
      <w:r w:rsidRPr="00BD47C3">
        <w:rPr>
          <w:i/>
          <w:iCs/>
          <w:u w:val="single"/>
        </w:rPr>
        <w:t>Fuerte shock</w:t>
      </w:r>
      <w:r w:rsidRPr="003C65C3">
        <w:t xml:space="preserve"> </w:t>
      </w:r>
      <w:r w:rsidR="001016C6" w:rsidRPr="003C65C3">
        <w:t xml:space="preserve">sobre las </w:t>
      </w:r>
      <w:r w:rsidR="001016C6" w:rsidRPr="00BD47C3">
        <w:rPr>
          <w:i/>
          <w:iCs/>
        </w:rPr>
        <w:t>regiones especializadas en industrias básicas y de bienes de equipo</w:t>
      </w:r>
      <w:r w:rsidR="00E17B77" w:rsidRPr="003C65C3">
        <w:t xml:space="preserve"> (ligado también al aumento del coste de la energía)</w:t>
      </w:r>
      <w:r w:rsidRPr="003C65C3">
        <w:t>.</w:t>
      </w:r>
    </w:p>
    <w:p w14:paraId="650F9287" w14:textId="77777777" w:rsidR="005416B9" w:rsidRPr="003C65C3" w:rsidRDefault="003C65C3" w:rsidP="007A73DF">
      <w:pPr>
        <w:pStyle w:val="Nivel3SM"/>
      </w:pPr>
      <w:r w:rsidRPr="003C65C3">
        <w:t>R</w:t>
      </w:r>
      <w:r w:rsidR="005416B9" w:rsidRPr="003C65C3">
        <w:t>egiones como Cataluña y País Vasco experimentaron tasas de crecimiento negativas.</w:t>
      </w:r>
    </w:p>
    <w:p w14:paraId="27A41974" w14:textId="6663570D" w:rsidR="003C65C3" w:rsidRPr="003C65C3" w:rsidRDefault="00CC7DDC" w:rsidP="00CC7DDC">
      <w:pPr>
        <w:pStyle w:val="Nivel3SM"/>
        <w:keepNext/>
      </w:pPr>
      <w:r>
        <w:t>L</w:t>
      </w:r>
      <w:r w:rsidR="00A729E8" w:rsidRPr="003C65C3">
        <w:t>as regiones más pobres (Extremadura, Galicia y las dos Castillas) crecen por encima de la media nacional</w:t>
      </w:r>
      <w:r w:rsidR="003C65C3" w:rsidRPr="003C65C3">
        <w:t>.</w:t>
      </w:r>
    </w:p>
    <w:p w14:paraId="5D713C5F" w14:textId="77777777" w:rsidR="00A729E8" w:rsidRPr="003C65C3" w:rsidRDefault="003C65C3" w:rsidP="00CC7DDC">
      <w:pPr>
        <w:pStyle w:val="Nivel4"/>
        <w:ind w:left="1474"/>
      </w:pPr>
      <w:r w:rsidRPr="003C65C3">
        <w:t>N</w:t>
      </w:r>
      <w:r w:rsidR="00A729E8" w:rsidRPr="003C65C3">
        <w:t xml:space="preserve">o por crecer mucho, ya que de hecho sus </w:t>
      </w:r>
      <w:r w:rsidRPr="003C65C3">
        <w:t>tasas</w:t>
      </w:r>
      <w:r w:rsidR="00A729E8" w:rsidRPr="003C65C3">
        <w:t xml:space="preserve"> de crecimiento se reducen de forma significativa respecto al periodo precedente, sino porque las regiones industriales crecen especialmente poco</w:t>
      </w:r>
      <w:r w:rsidR="004D1ADF" w:rsidRPr="003C65C3">
        <w:t>.</w:t>
      </w:r>
    </w:p>
    <w:p w14:paraId="3937B104" w14:textId="77777777" w:rsidR="00152756" w:rsidRPr="00946F49" w:rsidRDefault="00152756" w:rsidP="008F103F">
      <w:pPr>
        <w:pStyle w:val="Ttulo7"/>
      </w:pPr>
      <w:r w:rsidRPr="00946F49">
        <w:t>Adhesión a la UE</w:t>
      </w:r>
    </w:p>
    <w:p w14:paraId="07850E25" w14:textId="626DC667" w:rsidR="00966EA0" w:rsidRPr="00012356" w:rsidRDefault="00966EA0" w:rsidP="00FD208F">
      <w:pPr>
        <w:pStyle w:val="Nivel2SM"/>
        <w:keepNext/>
        <w:spacing w:after="0"/>
        <w:rPr>
          <w:spacing w:val="-3"/>
        </w:rPr>
      </w:pPr>
      <w:r w:rsidRPr="00012356">
        <w:rPr>
          <w:spacing w:val="-3"/>
        </w:rPr>
        <w:t xml:space="preserve">La </w:t>
      </w:r>
      <w:r w:rsidRPr="00012356">
        <w:rPr>
          <w:i/>
          <w:iCs/>
          <w:spacing w:val="-3"/>
          <w:u w:val="single"/>
        </w:rPr>
        <w:t>adhesión a la UE</w:t>
      </w:r>
      <w:r w:rsidRPr="00012356">
        <w:rPr>
          <w:spacing w:val="-3"/>
        </w:rPr>
        <w:t xml:space="preserve"> en cambio permite llevar a la economía de nuevo hacia una </w:t>
      </w:r>
      <w:r w:rsidRPr="00012356">
        <w:rPr>
          <w:i/>
          <w:iCs/>
          <w:spacing w:val="-3"/>
        </w:rPr>
        <w:t>senda de crecimiento</w:t>
      </w:r>
      <w:r w:rsidRPr="00012356">
        <w:rPr>
          <w:spacing w:val="-3"/>
        </w:rPr>
        <w:t>.</w:t>
      </w:r>
    </w:p>
    <w:p w14:paraId="167C621B" w14:textId="1BE7D04C" w:rsidR="00152756" w:rsidRPr="00946F49" w:rsidRDefault="00152756" w:rsidP="007A73DF">
      <w:pPr>
        <w:pStyle w:val="Nivel3SM"/>
      </w:pPr>
      <w:r w:rsidRPr="00946F49">
        <w:t>Además</w:t>
      </w:r>
      <w:r w:rsidR="0088448D">
        <w:t>,</w:t>
      </w:r>
      <w:r w:rsidRPr="00946F49">
        <w:t xml:space="preserve"> España es desde el comienzo receptor neto de ayudas de los fondos regionales contribuyendo éstos a la reducción de las disparidades.</w:t>
      </w:r>
    </w:p>
    <w:p w14:paraId="09E7AD06" w14:textId="24E26F3B" w:rsidR="00C90E59" w:rsidRPr="00C90E59" w:rsidRDefault="00C90E59" w:rsidP="00C90E59">
      <w:pPr>
        <w:pStyle w:val="Ttulo7"/>
      </w:pPr>
      <w:r>
        <w:t>Evolución en el período</w:t>
      </w:r>
    </w:p>
    <w:p w14:paraId="2F1A9FE1" w14:textId="7961734E" w:rsidR="00966EA0" w:rsidRPr="00B45C4E" w:rsidRDefault="00B45C4E" w:rsidP="00C90E59">
      <w:pPr>
        <w:pStyle w:val="Nivel2SM"/>
      </w:pPr>
      <w:r w:rsidRPr="00C90E59">
        <w:rPr>
          <w:u w:val="single"/>
        </w:rPr>
        <w:t>Desde la crisis del petróleo hasta los años</w:t>
      </w:r>
      <w:r w:rsidR="007A73DF" w:rsidRPr="00C90E59">
        <w:rPr>
          <w:u w:val="single"/>
        </w:rPr>
        <w:t> </w:t>
      </w:r>
      <w:r w:rsidRPr="00C90E59">
        <w:rPr>
          <w:u w:val="single"/>
        </w:rPr>
        <w:t>90</w:t>
      </w:r>
      <w:r w:rsidRPr="00B45C4E">
        <w:t>,</w:t>
      </w:r>
      <w:r w:rsidR="00C90E59">
        <w:t xml:space="preserve"> </w:t>
      </w:r>
      <w:r w:rsidR="00152756" w:rsidRPr="00CC7DDC">
        <w:rPr>
          <w:i/>
          <w:iCs/>
        </w:rPr>
        <w:t>se produce convergencia</w:t>
      </w:r>
      <w:r w:rsidR="00152756" w:rsidRPr="00B45C4E">
        <w:t xml:space="preserve"> tanto en términos de PIB como en PIB </w:t>
      </w:r>
      <w:r w:rsidR="00C90E59">
        <w:t>per cápita</w:t>
      </w:r>
      <w:r w:rsidR="00152756" w:rsidRPr="00B45C4E">
        <w:t xml:space="preserve">. </w:t>
      </w:r>
      <w:r w:rsidRPr="00B45C4E">
        <w:t xml:space="preserve">Con respecto a </w:t>
      </w:r>
      <w:r w:rsidR="00152756" w:rsidRPr="00B45C4E">
        <w:t xml:space="preserve">1955, </w:t>
      </w:r>
      <w:r w:rsidR="00966EA0" w:rsidRPr="00B45C4E">
        <w:t>las diferencias</w:t>
      </w:r>
      <w:r>
        <w:t xml:space="preserve"> p</w:t>
      </w:r>
      <w:r w:rsidR="006307C0">
        <w:t xml:space="preserve">er </w:t>
      </w:r>
      <w:r>
        <w:t>c</w:t>
      </w:r>
      <w:r w:rsidR="006307C0">
        <w:t>ápita</w:t>
      </w:r>
      <w:r w:rsidR="00966EA0" w:rsidRPr="00B45C4E">
        <w:t xml:space="preserve"> entre regiones se ha</w:t>
      </w:r>
      <w:r w:rsidRPr="00B45C4E">
        <w:t>bían</w:t>
      </w:r>
      <w:r w:rsidR="00966EA0" w:rsidRPr="00B45C4E">
        <w:t xml:space="preserve"> reducido a la mita</w:t>
      </w:r>
      <w:r w:rsidR="008868E4" w:rsidRPr="00B45C4E">
        <w:t>d</w:t>
      </w:r>
      <w:r w:rsidR="00966EA0" w:rsidRPr="00B45C4E">
        <w:t>.</w:t>
      </w:r>
    </w:p>
    <w:p w14:paraId="25DB2619" w14:textId="1BDCBE35" w:rsidR="008F70CB" w:rsidRPr="00946F49" w:rsidRDefault="00826C32" w:rsidP="008F103F">
      <w:pPr>
        <w:pStyle w:val="Ttulo6"/>
      </w:pPr>
      <w:bookmarkStart w:id="24" w:name="_Toc150452796"/>
      <w:r w:rsidRPr="00946F49">
        <w:t>19</w:t>
      </w:r>
      <w:r w:rsidR="00C90E59">
        <w:t>90</w:t>
      </w:r>
      <w:r w:rsidR="00CF4185">
        <w:t>-2007</w:t>
      </w:r>
      <w:bookmarkEnd w:id="24"/>
    </w:p>
    <w:p w14:paraId="439E8C26" w14:textId="7BD61CC7" w:rsidR="00152756" w:rsidRPr="00946F49" w:rsidRDefault="00152756" w:rsidP="008F103F">
      <w:pPr>
        <w:pStyle w:val="Ttulo7"/>
        <w:spacing w:before="0"/>
      </w:pPr>
      <w:r w:rsidRPr="00946F49">
        <w:t>Especialización productiva</w:t>
      </w:r>
    </w:p>
    <w:p w14:paraId="4BB4E718" w14:textId="71F4DCDA" w:rsidR="005416B9" w:rsidRPr="00FD208F" w:rsidRDefault="00420227" w:rsidP="00FD208F">
      <w:pPr>
        <w:pStyle w:val="Nivel2SM"/>
        <w:keepNext/>
        <w:spacing w:after="0"/>
        <w:rPr>
          <w:u w:val="single"/>
        </w:rPr>
      </w:pPr>
      <w:r w:rsidRPr="00FD208F">
        <w:rPr>
          <w:u w:val="single"/>
        </w:rPr>
        <w:t>Cornisa Cantábrica</w:t>
      </w:r>
      <w:r w:rsidR="00CA1A32">
        <w:rPr>
          <w:u w:val="single"/>
        </w:rPr>
        <w:t xml:space="preserve"> (</w:t>
      </w:r>
      <w:r w:rsidRPr="00FD208F">
        <w:rPr>
          <w:u w:val="single"/>
        </w:rPr>
        <w:t>Galicia, Asturias, Cantabria y País Vasco</w:t>
      </w:r>
      <w:r w:rsidR="00CA1A32">
        <w:rPr>
          <w:u w:val="single"/>
        </w:rPr>
        <w:t>)</w:t>
      </w:r>
      <w:r w:rsidR="00CC7DDC">
        <w:t>:</w:t>
      </w:r>
    </w:p>
    <w:p w14:paraId="7612614D" w14:textId="77777777" w:rsidR="005416B9" w:rsidRPr="00B45C4E" w:rsidRDefault="005416B9" w:rsidP="00FD208F">
      <w:pPr>
        <w:pStyle w:val="Nivel3SM"/>
        <w:keepNext/>
      </w:pPr>
      <w:r w:rsidRPr="00B45C4E">
        <w:t>Pese a crisis y reconversión, elevado grado de especialización industrial, sobre todo en industrias maduras (siderurgia, astilleros).</w:t>
      </w:r>
    </w:p>
    <w:p w14:paraId="3A2BC228" w14:textId="2A917BD0" w:rsidR="00420227" w:rsidRPr="00B45C4E" w:rsidRDefault="00420227" w:rsidP="00FD208F">
      <w:pPr>
        <w:pStyle w:val="Nivel4"/>
        <w:ind w:left="1474"/>
      </w:pPr>
      <w:r w:rsidRPr="00B45C4E">
        <w:t>Galicia tiene un importante peso la pesca</w:t>
      </w:r>
      <w:r w:rsidR="00CE2555" w:rsidRPr="00B45C4E">
        <w:t xml:space="preserve"> (crustáceos),</w:t>
      </w:r>
      <w:r w:rsidRPr="00B45C4E">
        <w:t xml:space="preserve"> ganadería (vacun</w:t>
      </w:r>
      <w:r w:rsidR="00152756" w:rsidRPr="00B45C4E">
        <w:t>o</w:t>
      </w:r>
      <w:r w:rsidR="00CE2555" w:rsidRPr="00B45C4E">
        <w:t xml:space="preserve"> de cría y avícola) y la industria textil.</w:t>
      </w:r>
    </w:p>
    <w:p w14:paraId="3BC443AF" w14:textId="77777777" w:rsidR="00020189" w:rsidRPr="00B45C4E" w:rsidRDefault="00020189" w:rsidP="00FD208F">
      <w:pPr>
        <w:pStyle w:val="Nivel4"/>
        <w:ind w:left="1474"/>
      </w:pPr>
      <w:r w:rsidRPr="00B45C4E">
        <w:t xml:space="preserve">País Vasco </w:t>
      </w:r>
      <w:r w:rsidR="00B45C4E">
        <w:t>m</w:t>
      </w:r>
      <w:r w:rsidRPr="00B45C4E">
        <w:t>antiene un elevado grado de especialización industrial de industrias con elevada productividad.</w:t>
      </w:r>
    </w:p>
    <w:p w14:paraId="73657187" w14:textId="77777777" w:rsidR="005416B9" w:rsidRPr="00B45C4E" w:rsidRDefault="00420227" w:rsidP="00FD208F">
      <w:pPr>
        <w:pStyle w:val="Nivel4"/>
        <w:ind w:left="1474"/>
      </w:pPr>
      <w:r w:rsidRPr="00B45C4E">
        <w:t xml:space="preserve">Asturias, </w:t>
      </w:r>
      <w:r w:rsidR="00020189" w:rsidRPr="00B45C4E">
        <w:t xml:space="preserve">Cantabria </w:t>
      </w:r>
      <w:r w:rsidRPr="00B45C4E">
        <w:t xml:space="preserve">y Galicia </w:t>
      </w:r>
      <w:r w:rsidR="00020189" w:rsidRPr="00B45C4E">
        <w:t>continúan en cierto retroceso</w:t>
      </w:r>
      <w:r w:rsidR="00B45C4E">
        <w:t xml:space="preserve"> con respecto a otras zonas.</w:t>
      </w:r>
    </w:p>
    <w:p w14:paraId="333CA7CA" w14:textId="3BEF9D18" w:rsidR="00D03C06" w:rsidRPr="00FD208F" w:rsidRDefault="00781217" w:rsidP="00FD208F">
      <w:pPr>
        <w:pStyle w:val="Nivel2SM"/>
        <w:keepNext/>
        <w:spacing w:after="0"/>
        <w:rPr>
          <w:u w:val="single"/>
        </w:rPr>
      </w:pPr>
      <w:r w:rsidRPr="00FD208F">
        <w:rPr>
          <w:u w:val="single"/>
        </w:rPr>
        <w:lastRenderedPageBreak/>
        <w:t>Valle del Ebro (Navarra, La Rioja,</w:t>
      </w:r>
      <w:r w:rsidR="003524BB" w:rsidRPr="00FD208F">
        <w:rPr>
          <w:u w:val="single"/>
        </w:rPr>
        <w:t xml:space="preserve"> </w:t>
      </w:r>
      <w:r w:rsidR="00152756" w:rsidRPr="00FD208F">
        <w:rPr>
          <w:u w:val="single"/>
        </w:rPr>
        <w:t>Aragón</w:t>
      </w:r>
      <w:r w:rsidRPr="00FD208F">
        <w:rPr>
          <w:u w:val="single"/>
        </w:rPr>
        <w:t>)</w:t>
      </w:r>
      <w:r w:rsidR="00342716">
        <w:t>:</w:t>
      </w:r>
    </w:p>
    <w:p w14:paraId="38FDC2CE" w14:textId="77777777" w:rsidR="00B45C4E" w:rsidRDefault="003B2561" w:rsidP="00FD208F">
      <w:pPr>
        <w:pStyle w:val="Nivel3SM"/>
        <w:keepNext/>
      </w:pPr>
      <w:r w:rsidRPr="00B45C4E">
        <w:t>Región dinámica, en parte gracias a su t</w:t>
      </w:r>
      <w:r w:rsidR="003856B9" w:rsidRPr="00B45C4E">
        <w:t>ejido industrial diversificado</w:t>
      </w:r>
      <w:r w:rsidR="00F045C1" w:rsidRPr="00B45C4E">
        <w:t xml:space="preserve"> y con industrias de elevada productividad</w:t>
      </w:r>
      <w:r w:rsidR="00B45C4E">
        <w:t>.</w:t>
      </w:r>
    </w:p>
    <w:p w14:paraId="7A272B2E" w14:textId="3BC503A6" w:rsidR="00F44CCB" w:rsidRPr="00B45C4E" w:rsidRDefault="00FF4DF9" w:rsidP="00FD208F">
      <w:pPr>
        <w:pStyle w:val="Nivel4"/>
        <w:ind w:left="1474"/>
      </w:pPr>
      <w:r>
        <w:t>Por ejemplo, el</w:t>
      </w:r>
      <w:r w:rsidR="00F045C1" w:rsidRPr="00B45C4E">
        <w:t xml:space="preserve"> sector agroalimentario</w:t>
      </w:r>
      <w:r w:rsidR="00D95E3E" w:rsidRPr="00B45C4E">
        <w:t xml:space="preserve"> bastante productivo, pero también tiene una importancia creciente los bienes intermedios y algunos bienes de equipo.</w:t>
      </w:r>
      <w:r w:rsidR="00B4746C" w:rsidRPr="00B45C4E">
        <w:t xml:space="preserve"> También cuenta con una a</w:t>
      </w:r>
      <w:r w:rsidR="00F44CCB" w:rsidRPr="00B45C4E">
        <w:t>gricultura intensiva.</w:t>
      </w:r>
    </w:p>
    <w:p w14:paraId="4BB07574" w14:textId="1218885D" w:rsidR="00F65596" w:rsidRPr="00B45C4E" w:rsidRDefault="00D35A4F" w:rsidP="00FD208F">
      <w:pPr>
        <w:pStyle w:val="Nivel3SM"/>
      </w:pPr>
      <w:r w:rsidRPr="00B45C4E">
        <w:t>Navarra: Elevado I+D (2</w:t>
      </w:r>
      <w:r w:rsidR="00AE7DE8">
        <w:t> %</w:t>
      </w:r>
      <w:r w:rsidRPr="00B45C4E">
        <w:t xml:space="preserve"> del PIB, muy superior a la media española).</w:t>
      </w:r>
    </w:p>
    <w:p w14:paraId="6F55CC71" w14:textId="77777777" w:rsidR="00010601" w:rsidRPr="00946F49" w:rsidRDefault="007B76E2" w:rsidP="00FD208F">
      <w:pPr>
        <w:pStyle w:val="Nivel2SM"/>
        <w:keepNext/>
        <w:spacing w:after="0"/>
      </w:pPr>
      <w:r w:rsidRPr="00FD208F">
        <w:rPr>
          <w:u w:val="single"/>
        </w:rPr>
        <w:t>Arco mediterráneo (Cataluña, Comunidad Valenciana)</w:t>
      </w:r>
      <w:r w:rsidRPr="00946F49">
        <w:t>:</w:t>
      </w:r>
    </w:p>
    <w:p w14:paraId="5A196900" w14:textId="06BFD466" w:rsidR="007B76E2" w:rsidRPr="00B45C4E" w:rsidRDefault="007B76E2" w:rsidP="003E630B">
      <w:pPr>
        <w:pStyle w:val="Nivel3SM"/>
        <w:keepNext/>
      </w:pPr>
      <w:r w:rsidRPr="003E630B">
        <w:rPr>
          <w:i/>
          <w:iCs/>
        </w:rPr>
        <w:t>Agricultura</w:t>
      </w:r>
      <w:r w:rsidRPr="00946F49">
        <w:t>:</w:t>
      </w:r>
      <w:r w:rsidR="002E373C">
        <w:t xml:space="preserve"> </w:t>
      </w:r>
      <w:r w:rsidRPr="00B45C4E">
        <w:t>Comunidad Valenciana, con una importante especialización en productos como productos de la huerta y sobre todo cítricos, producto de gran exportación.</w:t>
      </w:r>
    </w:p>
    <w:p w14:paraId="303E1BFE" w14:textId="6DBFA27F" w:rsidR="00B4746C" w:rsidRPr="00B45C4E" w:rsidRDefault="007B76E2" w:rsidP="003E630B">
      <w:pPr>
        <w:pStyle w:val="Nivel3SM"/>
        <w:keepNext/>
      </w:pPr>
      <w:r w:rsidRPr="003E630B">
        <w:rPr>
          <w:i/>
          <w:iCs/>
        </w:rPr>
        <w:t>Industria</w:t>
      </w:r>
      <w:r w:rsidRPr="00946F49">
        <w:t>:</w:t>
      </w:r>
      <w:r w:rsidR="002E373C">
        <w:t xml:space="preserve"> </w:t>
      </w:r>
      <w:r w:rsidRPr="00B45C4E">
        <w:t>En ambas regiones tienen peso los materiales de construcción</w:t>
      </w:r>
      <w:r w:rsidR="005350B1" w:rsidRPr="00B45C4E">
        <w:t xml:space="preserve"> por lo que la reciente crisis les afectó considerablemente.</w:t>
      </w:r>
    </w:p>
    <w:p w14:paraId="59C4A7F4" w14:textId="77777777" w:rsidR="00B4746C" w:rsidRPr="00B45C4E" w:rsidRDefault="007B76E2" w:rsidP="003E630B">
      <w:pPr>
        <w:pStyle w:val="Nivel4"/>
        <w:ind w:left="1474"/>
      </w:pPr>
      <w:r w:rsidRPr="00B45C4E">
        <w:t xml:space="preserve">Pero Cataluña tiene mucho más potencial para resistir, dado que tienen también mucho peso ramas de elevado valor añadido, como bienes de equipo o química. </w:t>
      </w:r>
    </w:p>
    <w:p w14:paraId="686C1CD2" w14:textId="77777777" w:rsidR="007B76E2" w:rsidRPr="00B45C4E" w:rsidRDefault="007B76E2" w:rsidP="003E630B">
      <w:pPr>
        <w:pStyle w:val="Nivel4"/>
        <w:ind w:left="1474"/>
      </w:pPr>
      <w:r w:rsidRPr="00B45C4E">
        <w:t>En Comunidad Valenciana mayor especialización en bienes tradicionales de consumo</w:t>
      </w:r>
      <w:r w:rsidR="00B45C4E">
        <w:t xml:space="preserve"> (atravesó más dificultades)</w:t>
      </w:r>
      <w:r w:rsidRPr="00B45C4E">
        <w:t>.</w:t>
      </w:r>
    </w:p>
    <w:p w14:paraId="169A94AF" w14:textId="758A872E" w:rsidR="002E1A12" w:rsidRPr="00946F49" w:rsidRDefault="002E1A12" w:rsidP="003E630B">
      <w:pPr>
        <w:pStyle w:val="Nivel3SM"/>
        <w:keepNext/>
      </w:pPr>
      <w:r w:rsidRPr="003E630B">
        <w:rPr>
          <w:i/>
          <w:iCs/>
        </w:rPr>
        <w:t>Servicios</w:t>
      </w:r>
      <w:r w:rsidRPr="00946F49">
        <w:t>:</w:t>
      </w:r>
    </w:p>
    <w:p w14:paraId="4346C2BC" w14:textId="65DC0507" w:rsidR="002E1A12" w:rsidRPr="00B45C4E" w:rsidRDefault="002E1A12" w:rsidP="003E630B">
      <w:pPr>
        <w:pStyle w:val="Nivel4"/>
        <w:ind w:left="1474"/>
      </w:pPr>
      <w:r w:rsidRPr="00B45C4E">
        <w:t xml:space="preserve">Importante peso de servicios, muchos de ellos de importante </w:t>
      </w:r>
      <w:r w:rsidR="00CA1A32">
        <w:t>valor añadido</w:t>
      </w:r>
      <w:r w:rsidRPr="00B45C4E">
        <w:t>.</w:t>
      </w:r>
    </w:p>
    <w:p w14:paraId="0CA972E1" w14:textId="77777777" w:rsidR="002E1A12" w:rsidRPr="00B45C4E" w:rsidRDefault="002E1A12" w:rsidP="003E630B">
      <w:pPr>
        <w:pStyle w:val="Nivel4"/>
        <w:ind w:left="1474"/>
      </w:pPr>
      <w:r w:rsidRPr="00B45C4E">
        <w:t>Turismo muy importante en ambas regiones, aunque mayor valor añadido en Cataluña.</w:t>
      </w:r>
    </w:p>
    <w:p w14:paraId="74F1C8B4" w14:textId="77777777" w:rsidR="00756865" w:rsidRPr="00B45C4E" w:rsidRDefault="00756865" w:rsidP="00342716">
      <w:pPr>
        <w:pStyle w:val="Nivel2SM"/>
        <w:keepNext/>
        <w:spacing w:after="0"/>
      </w:pPr>
      <w:r w:rsidRPr="00342716">
        <w:rPr>
          <w:u w:val="single"/>
        </w:rPr>
        <w:t>Madrid</w:t>
      </w:r>
      <w:r w:rsidRPr="00B45C4E">
        <w:t>:</w:t>
      </w:r>
    </w:p>
    <w:p w14:paraId="7AADA064" w14:textId="3D0EC151" w:rsidR="00D17748" w:rsidRPr="00B45C4E" w:rsidRDefault="00D17748" w:rsidP="00342716">
      <w:pPr>
        <w:pStyle w:val="Nivel3SM"/>
      </w:pPr>
      <w:r w:rsidRPr="00B45C4E">
        <w:t>Marcada especialización en servicios de elevado valor añadido (transportes y comunicaciones, servicios financieros</w:t>
      </w:r>
      <w:r w:rsidR="00AE7DE8">
        <w:t>…</w:t>
      </w:r>
      <w:r w:rsidRPr="00B45C4E">
        <w:t>).</w:t>
      </w:r>
    </w:p>
    <w:p w14:paraId="7C79E6E9" w14:textId="77777777" w:rsidR="007E43A0" w:rsidRPr="00B45C4E" w:rsidRDefault="007E43A0" w:rsidP="00342716">
      <w:pPr>
        <w:pStyle w:val="Nivel2SM"/>
        <w:keepNext/>
        <w:spacing w:after="0"/>
      </w:pPr>
      <w:r w:rsidRPr="00342716">
        <w:rPr>
          <w:u w:val="single"/>
        </w:rPr>
        <w:t>Archipiélagos (Baleares y Canarias)</w:t>
      </w:r>
      <w:r w:rsidRPr="00B45C4E">
        <w:t>:</w:t>
      </w:r>
    </w:p>
    <w:p w14:paraId="6B9C6A29" w14:textId="77777777" w:rsidR="00F44CCB" w:rsidRPr="00B45C4E" w:rsidRDefault="00B45C4E" w:rsidP="006C2234">
      <w:pPr>
        <w:pStyle w:val="Nivel3SM"/>
      </w:pPr>
      <w:r>
        <w:t>Mu</w:t>
      </w:r>
      <w:r w:rsidR="005416B9" w:rsidRPr="00B45C4E">
        <w:t>y dependientes del turismo, habiendo superado los principales problemas que tradicionalmente han estrangulado el desarrollo del sector en las islas: escasez de agua y mal transporte</w:t>
      </w:r>
      <w:r w:rsidR="00F44CCB" w:rsidRPr="00B45C4E">
        <w:t>.</w:t>
      </w:r>
    </w:p>
    <w:p w14:paraId="51E871A1" w14:textId="77777777" w:rsidR="00DF13C3" w:rsidRPr="00B45C4E" w:rsidRDefault="005D46D8" w:rsidP="00342716">
      <w:pPr>
        <w:pStyle w:val="Nivel2SM"/>
        <w:keepNext/>
        <w:spacing w:after="0"/>
      </w:pPr>
      <w:r w:rsidRPr="00342716">
        <w:rPr>
          <w:u w:val="single"/>
        </w:rPr>
        <w:t>Interior (las dos Castillas y Extremadura</w:t>
      </w:r>
      <w:r w:rsidR="00DF13C3" w:rsidRPr="00342716">
        <w:rPr>
          <w:u w:val="single"/>
        </w:rPr>
        <w:t>)</w:t>
      </w:r>
      <w:r w:rsidRPr="00B45C4E">
        <w:t>:</w:t>
      </w:r>
    </w:p>
    <w:p w14:paraId="5D5C01DB" w14:textId="77777777" w:rsidR="005416B9" w:rsidRPr="00B45C4E" w:rsidRDefault="005416B9" w:rsidP="006C2234">
      <w:pPr>
        <w:pStyle w:val="Nivel3SM"/>
      </w:pPr>
      <w:r w:rsidRPr="00B45C4E">
        <w:t>Conforman un área muy extensa pero poco desarrollada.</w:t>
      </w:r>
    </w:p>
    <w:p w14:paraId="2DC01CA1" w14:textId="77777777" w:rsidR="005416B9" w:rsidRPr="00B45C4E" w:rsidRDefault="005416B9" w:rsidP="006C2234">
      <w:pPr>
        <w:pStyle w:val="Nivel3SM"/>
      </w:pPr>
      <w:r w:rsidRPr="00B45C4E">
        <w:t>Importante peso de la agricultura extensiva: trigo, cebada, vid, olivar.</w:t>
      </w:r>
    </w:p>
    <w:p w14:paraId="3E171FCF" w14:textId="77777777" w:rsidR="005416B9" w:rsidRPr="00B45C4E" w:rsidRDefault="005416B9" w:rsidP="006C2234">
      <w:pPr>
        <w:pStyle w:val="Nivel3SM"/>
      </w:pPr>
      <w:r w:rsidRPr="00B45C4E">
        <w:t>Importante peso de la ganadería</w:t>
      </w:r>
      <w:r w:rsidR="00CE2555" w:rsidRPr="00B45C4E">
        <w:t xml:space="preserve"> extensiva</w:t>
      </w:r>
      <w:r w:rsidRPr="00B45C4E">
        <w:t>: vacuno de cría, ovino y caprino. Su rentabilidad está ligada a la recepción de ayudas de la PAC.</w:t>
      </w:r>
    </w:p>
    <w:p w14:paraId="700BAC56" w14:textId="77777777" w:rsidR="007136BE" w:rsidRPr="00B45C4E" w:rsidRDefault="007136BE" w:rsidP="00342716">
      <w:pPr>
        <w:pStyle w:val="Nivel2SM"/>
        <w:keepNext/>
        <w:spacing w:after="0"/>
      </w:pPr>
      <w:r w:rsidRPr="00342716">
        <w:rPr>
          <w:u w:val="single"/>
        </w:rPr>
        <w:t>Sur (Andalucía, Murcia)</w:t>
      </w:r>
      <w:r w:rsidRPr="00B45C4E">
        <w:t>:</w:t>
      </w:r>
    </w:p>
    <w:p w14:paraId="0ADF599B" w14:textId="77777777" w:rsidR="00B45C4E" w:rsidRDefault="005416B9" w:rsidP="00342716">
      <w:pPr>
        <w:pStyle w:val="Nivel3SM"/>
        <w:keepNext/>
      </w:pPr>
      <w:r w:rsidRPr="00B45C4E">
        <w:t>Importante peso de</w:t>
      </w:r>
      <w:r w:rsidR="00B45C4E">
        <w:t>:</w:t>
      </w:r>
    </w:p>
    <w:p w14:paraId="357D3440" w14:textId="77777777" w:rsidR="00B45C4E" w:rsidRDefault="00B45C4E" w:rsidP="00342716">
      <w:pPr>
        <w:pStyle w:val="Nivel4"/>
        <w:ind w:left="1474"/>
      </w:pPr>
      <w:r>
        <w:t>Turismo</w:t>
      </w:r>
    </w:p>
    <w:p w14:paraId="1F4A43C8" w14:textId="4F091733" w:rsidR="005416B9" w:rsidRPr="00B45C4E" w:rsidRDefault="00342716" w:rsidP="00342716">
      <w:pPr>
        <w:pStyle w:val="Nivel4"/>
        <w:ind w:left="1474"/>
      </w:pPr>
      <w:r>
        <w:t>A</w:t>
      </w:r>
      <w:r w:rsidR="005416B9" w:rsidRPr="00B45C4E">
        <w:t>gricultura intensiva: hortofrutícola (aunque también olivar).</w:t>
      </w:r>
    </w:p>
    <w:p w14:paraId="7F1722E6" w14:textId="69339EC2" w:rsidR="005416B9" w:rsidRPr="00B45C4E" w:rsidRDefault="00342716" w:rsidP="00342716">
      <w:pPr>
        <w:pStyle w:val="Nivel4"/>
        <w:ind w:left="1474"/>
      </w:pPr>
      <w:r>
        <w:t>G</w:t>
      </w:r>
      <w:r w:rsidR="005416B9" w:rsidRPr="00B45C4E">
        <w:t>anadería</w:t>
      </w:r>
      <w:r w:rsidR="00CE2555" w:rsidRPr="00B45C4E">
        <w:t xml:space="preserve"> intensiva</w:t>
      </w:r>
      <w:r w:rsidR="005416B9" w:rsidRPr="00B45C4E">
        <w:t xml:space="preserve">: vacuno de cebo, porcino y avicultura. </w:t>
      </w:r>
    </w:p>
    <w:p w14:paraId="35A2CA31" w14:textId="4CFB3765" w:rsidR="005416B9" w:rsidRPr="00B45C4E" w:rsidRDefault="00342716" w:rsidP="00342716">
      <w:pPr>
        <w:pStyle w:val="Nivel4"/>
        <w:ind w:left="1474"/>
      </w:pPr>
      <w:r>
        <w:t>P</w:t>
      </w:r>
      <w:r w:rsidR="005416B9" w:rsidRPr="00B45C4E">
        <w:t>esca: crustáceos en la costa atlántica, y acuicultura en la costa murciana (destacando el atún, la lubina y la dorada).</w:t>
      </w:r>
    </w:p>
    <w:p w14:paraId="41337E5C" w14:textId="44B9C4B8" w:rsidR="00966EA0" w:rsidRPr="00B45C4E" w:rsidRDefault="005416B9" w:rsidP="006C2234">
      <w:pPr>
        <w:pStyle w:val="Nivel3SM"/>
      </w:pPr>
      <w:r w:rsidRPr="00B45C4E">
        <w:t>La industria se concentra en la zona occidental (p.ej. industria química en Huelva) y en torno a los principales núcleo urbanos.</w:t>
      </w:r>
    </w:p>
    <w:p w14:paraId="209213B2" w14:textId="77777777" w:rsidR="00CE2555" w:rsidRPr="00B45C4E" w:rsidRDefault="00CE2555" w:rsidP="008F103F">
      <w:pPr>
        <w:pStyle w:val="Ttulo7"/>
      </w:pPr>
      <w:r w:rsidRPr="00B45C4E">
        <w:t>Desigualdad regional</w:t>
      </w:r>
    </w:p>
    <w:p w14:paraId="67EAC6AA" w14:textId="3DAD3814" w:rsidR="00D02D28" w:rsidRPr="00B45C4E" w:rsidRDefault="00CE2555" w:rsidP="00342716">
      <w:pPr>
        <w:pStyle w:val="Nivel2SM"/>
      </w:pPr>
      <w:r w:rsidRPr="00B45C4E">
        <w:t xml:space="preserve">La </w:t>
      </w:r>
      <w:r w:rsidRPr="00B45C4E">
        <w:rPr>
          <w:u w:val="single"/>
        </w:rPr>
        <w:t>diversidad productiva</w:t>
      </w:r>
      <w:r w:rsidRPr="00B45C4E">
        <w:rPr>
          <w:i/>
        </w:rPr>
        <w:t xml:space="preserve"> </w:t>
      </w:r>
      <w:r w:rsidRPr="00B45C4E">
        <w:t xml:space="preserve">actual de las regiones españolas da lugar a un </w:t>
      </w:r>
      <w:r w:rsidRPr="00B45C4E">
        <w:rPr>
          <w:u w:val="single"/>
        </w:rPr>
        <w:t>crecimiento dispar</w:t>
      </w:r>
      <w:r w:rsidRPr="00B45C4E">
        <w:t>, pues crecen más las comunidades con mayor peso de los servicios y la industria (Madrid, Cataluña y País Vasco), quedando rezagadas el resto, lo que va a tener importantes consecuencias en el proceso de convergencia.</w:t>
      </w:r>
    </w:p>
    <w:p w14:paraId="74F7E710" w14:textId="35ABF071" w:rsidR="00A2142D" w:rsidRPr="0073740D" w:rsidRDefault="00B45C4E" w:rsidP="00CA1A32">
      <w:pPr>
        <w:pStyle w:val="Ttulo6"/>
      </w:pPr>
      <w:bookmarkStart w:id="25" w:name="_Toc150452797"/>
      <w:r>
        <w:lastRenderedPageBreak/>
        <w:t xml:space="preserve">Impacto de la </w:t>
      </w:r>
      <w:r w:rsidR="005165B6">
        <w:t>crisis financiera global</w:t>
      </w:r>
      <w:r w:rsidR="00CA1A32">
        <w:t xml:space="preserve"> (2008-20</w:t>
      </w:r>
      <w:r w:rsidR="00A152E7">
        <w:t>19</w:t>
      </w:r>
      <w:r w:rsidR="00CA1A32">
        <w:t>)</w:t>
      </w:r>
      <w:bookmarkEnd w:id="25"/>
    </w:p>
    <w:p w14:paraId="6E40B4E4" w14:textId="5E387871" w:rsidR="0060790E" w:rsidRDefault="00826C32" w:rsidP="008D1144">
      <w:pPr>
        <w:pStyle w:val="Nivel2SM"/>
        <w:keepNext/>
        <w:spacing w:after="0"/>
      </w:pPr>
      <w:r w:rsidRPr="00946F49">
        <w:t>La crisis económica golpeó fuertemente las regiones españolas, aunque las más afectadas fueron las más pobres.</w:t>
      </w:r>
    </w:p>
    <w:p w14:paraId="60A9B2C1" w14:textId="0884488F" w:rsidR="00CA1A32" w:rsidRDefault="00CA1A32" w:rsidP="008D1144">
      <w:pPr>
        <w:pStyle w:val="Nivel3SM"/>
        <w:keepNext/>
      </w:pPr>
      <w:r>
        <w:t>Pocos cambios en la evolución de los sectores (la especialización relativa no ha variado en gran medida):</w:t>
      </w:r>
    </w:p>
    <w:p w14:paraId="6FF03146" w14:textId="0705A419" w:rsidR="008D1144" w:rsidRDefault="008D1144" w:rsidP="008D1144">
      <w:pPr>
        <w:pStyle w:val="Nivel4"/>
        <w:ind w:left="1474"/>
      </w:pPr>
      <w:r>
        <w:t>La agricultura pierde peso desde el año 2000 en las regiones especializadas en este sector (a excepción de Murcia), si bien desde 2008 se mantiene más estable actuando como sector refugio.</w:t>
      </w:r>
    </w:p>
    <w:p w14:paraId="6CF651AF" w14:textId="0A925EFA" w:rsidR="008D1144" w:rsidRDefault="008D1144" w:rsidP="008D1144">
      <w:pPr>
        <w:pStyle w:val="Nivel4"/>
        <w:ind w:left="1474"/>
      </w:pPr>
      <w:r>
        <w:t>Se produce un reajuste en el sector de la construcción (entre 2008 y 2013) y desde 2013 una reorientación de la economía hacia sectores exportadores.</w:t>
      </w:r>
    </w:p>
    <w:p w14:paraId="172CD11F" w14:textId="44DD8338" w:rsidR="00CA1A32" w:rsidRDefault="008D1144" w:rsidP="00CA1A32">
      <w:pPr>
        <w:pStyle w:val="Nivel3SM"/>
      </w:pPr>
      <w:r>
        <w:t>Ahora bien, los patrones de especialización se atenúan. Es decir, las CCAA que tenían una especialización muy fuerte en un sector tienden en general a reducirlo y a converger con la media nacional.</w:t>
      </w:r>
    </w:p>
    <w:p w14:paraId="1941C5E6" w14:textId="5CC7208C" w:rsidR="0060790E" w:rsidRPr="007178D0" w:rsidRDefault="0060790E" w:rsidP="00CA1A32">
      <w:pPr>
        <w:pStyle w:val="Ttulo6"/>
      </w:pPr>
      <w:bookmarkStart w:id="26" w:name="_Toc150452798"/>
      <w:r w:rsidRPr="0060790E">
        <w:t>Crisis del Covid-19</w:t>
      </w:r>
      <w:bookmarkEnd w:id="26"/>
    </w:p>
    <w:p w14:paraId="5DAF4226" w14:textId="736CD617" w:rsidR="007178D0" w:rsidRDefault="007178D0" w:rsidP="0047023A">
      <w:pPr>
        <w:pStyle w:val="Nivel2SM"/>
      </w:pPr>
      <w:r>
        <w:t>La crisis provocada por la pandemia de la COVID-19 se caracteriza, entre otros factores, por la asimetría con la que ha impactado en la economía, desde una triple perspectiva: temporal, sectorial y territorial.</w:t>
      </w:r>
    </w:p>
    <w:p w14:paraId="278995E8" w14:textId="77777777" w:rsidR="007178D0" w:rsidRPr="00227A51" w:rsidRDefault="007178D0" w:rsidP="0047023A">
      <w:pPr>
        <w:pStyle w:val="Nivel2SM"/>
        <w:keepNext/>
        <w:spacing w:after="0"/>
      </w:pPr>
      <w:r w:rsidRPr="00227A51">
        <w:t>En el ámbito territorial, las más afectadas serán las regiones:</w:t>
      </w:r>
    </w:p>
    <w:p w14:paraId="6448A08C" w14:textId="175D3BCE" w:rsidR="007178D0" w:rsidRDefault="0000363E" w:rsidP="0047023A">
      <w:pPr>
        <w:pStyle w:val="Nivel3SM"/>
      </w:pPr>
      <w:r>
        <w:t>M</w:t>
      </w:r>
      <w:r w:rsidR="007178D0">
        <w:t>ás expuestas a la</w:t>
      </w:r>
      <w:r w:rsidR="007178D0" w:rsidRPr="007178D0">
        <w:t xml:space="preserve"> hostelería, el transporte, el comercio y el ocio</w:t>
      </w:r>
      <w:r w:rsidR="008A4C23">
        <w:t>.</w:t>
      </w:r>
    </w:p>
    <w:p w14:paraId="51440EB3" w14:textId="6ECC0C8C" w:rsidR="007178D0" w:rsidRDefault="0000363E" w:rsidP="0047023A">
      <w:pPr>
        <w:pStyle w:val="Nivel3SM"/>
      </w:pPr>
      <w:r>
        <w:t>L</w:t>
      </w:r>
      <w:r w:rsidR="007178D0">
        <w:t>as más afectadas por las restricciones sanitarias</w:t>
      </w:r>
      <w:r w:rsidR="008A4C23">
        <w:t>.</w:t>
      </w:r>
    </w:p>
    <w:p w14:paraId="59D65C7A" w14:textId="015BA39F" w:rsidR="007178D0" w:rsidRDefault="007178D0" w:rsidP="0047023A">
      <w:pPr>
        <w:pStyle w:val="Nivel2SM"/>
        <w:keepNext/>
        <w:spacing w:after="0"/>
      </w:pPr>
      <w:r>
        <w:t>Como consecuencia de la especialización sectorial y la estacionalidad de algunos de sectores, las regiones que más han reducido su actividad han sido los dos archipiélagos y algunas provincias del arco mediterráneo.</w:t>
      </w:r>
    </w:p>
    <w:p w14:paraId="0FA69176" w14:textId="4C199813" w:rsidR="007178D0" w:rsidRDefault="007178D0" w:rsidP="0047023A">
      <w:pPr>
        <w:pStyle w:val="Nivel3SM"/>
      </w:pPr>
      <w:r>
        <w:t>Baleares redujo su actividad económica un 17,4</w:t>
      </w:r>
      <w:r w:rsidR="00AE7DE8">
        <w:t> %</w:t>
      </w:r>
      <w:r>
        <w:t xml:space="preserve"> anual en media durante 2020. Según </w:t>
      </w:r>
      <w:proofErr w:type="spellStart"/>
      <w:r>
        <w:t>Exceltur</w:t>
      </w:r>
      <w:proofErr w:type="spellEnd"/>
      <w:r>
        <w:t xml:space="preserve"> (2015), el turismo explica un 44,8</w:t>
      </w:r>
      <w:r w:rsidR="00AE7DE8">
        <w:t> %</w:t>
      </w:r>
      <w:r>
        <w:t xml:space="preserve"> de la economía regional de forma directa, indirecta e inducida.</w:t>
      </w:r>
    </w:p>
    <w:p w14:paraId="042706E1" w14:textId="21A9AFFE" w:rsidR="00227A51" w:rsidRDefault="00227A51" w:rsidP="0047023A">
      <w:pPr>
        <w:pStyle w:val="Nivel2SM"/>
        <w:keepNext/>
        <w:spacing w:after="0"/>
      </w:pPr>
      <w:r w:rsidRPr="00227A51">
        <w:rPr>
          <w:u w:val="single"/>
        </w:rPr>
        <w:t>De acuerdo con FUNCAS</w:t>
      </w:r>
      <w:r>
        <w:t xml:space="preserve">, </w:t>
      </w:r>
      <w:r w:rsidR="007178D0">
        <w:t>el crecimiento previsto para los próximos años seguirá caracterizado por una marcada heterogeneidad, tanto sectorial como territorial, lo que podría acentuar la desigualdad ya existente.</w:t>
      </w:r>
    </w:p>
    <w:p w14:paraId="683FA341" w14:textId="6A21D8D4" w:rsidR="007178D0" w:rsidRDefault="007178D0" w:rsidP="0047023A">
      <w:pPr>
        <w:pStyle w:val="Nivel3SM"/>
      </w:pPr>
      <w:r>
        <w:t xml:space="preserve">Ahora bien, no será equivalente a la observada en la </w:t>
      </w:r>
      <w:r w:rsidR="005B234B">
        <w:t>crisis financiera global</w:t>
      </w:r>
      <w:r>
        <w:t xml:space="preserve">. Igualmente, los fondos europeos provenientes del </w:t>
      </w:r>
      <w:r w:rsidR="00227A51">
        <w:t>NGEU</w:t>
      </w:r>
      <w:r>
        <w:t xml:space="preserve"> deberían contribuir a mitigar los efectos negativos de este diferente ritmo de recuperación económica, ya que una de sus palancas es, precisamente, la cohesión territorial y el reto demográfico.</w:t>
      </w:r>
    </w:p>
    <w:p w14:paraId="23CE24FA" w14:textId="7A61E5C9" w:rsidR="00CB15B1" w:rsidRPr="00946F49" w:rsidRDefault="00CB15B1" w:rsidP="00CB15B1">
      <w:pPr>
        <w:pStyle w:val="Ttulo2"/>
      </w:pPr>
      <w:bookmarkStart w:id="27" w:name="_Toc150452799"/>
      <w:r w:rsidRPr="00946F49">
        <w:t xml:space="preserve">Análisis </w:t>
      </w:r>
      <w:r>
        <w:t>dinámico de</w:t>
      </w:r>
      <w:r w:rsidRPr="00946F49">
        <w:t xml:space="preserve"> convergencia real</w:t>
      </w:r>
      <w:bookmarkEnd w:id="27"/>
    </w:p>
    <w:p w14:paraId="366D590C" w14:textId="77A56F99" w:rsidR="00CB15B1" w:rsidRDefault="00CB15B1" w:rsidP="00CB15B1">
      <w:pPr>
        <w:pStyle w:val="Ttulo3"/>
        <w:spacing w:before="0"/>
      </w:pPr>
      <w:bookmarkStart w:id="28" w:name="_Toc150452800"/>
      <w:r w:rsidRPr="00946F49">
        <w:t>Introducción</w:t>
      </w:r>
      <w:bookmarkEnd w:id="28"/>
      <w:r w:rsidR="002179C4">
        <w:t xml:space="preserve"> e indicadores de convergencia</w:t>
      </w:r>
    </w:p>
    <w:p w14:paraId="6939C1A5" w14:textId="53E114EA" w:rsidR="002179C4" w:rsidRPr="002179C4" w:rsidRDefault="002179C4" w:rsidP="002179C4">
      <w:pPr>
        <w:pStyle w:val="Ttulo6"/>
        <w:spacing w:before="0"/>
      </w:pPr>
      <w:r>
        <w:t>Introducción</w:t>
      </w:r>
    </w:p>
    <w:p w14:paraId="1BFDED1D" w14:textId="1441B11B" w:rsidR="00CB15B1" w:rsidRPr="00CE19E8" w:rsidRDefault="00CB15B1" w:rsidP="00CE19E8">
      <w:pPr>
        <w:pStyle w:val="Nivel1SM"/>
        <w:spacing w:before="0"/>
        <w:rPr>
          <w:b/>
        </w:rPr>
      </w:pPr>
      <w:r>
        <w:t xml:space="preserve">Se observa, a </w:t>
      </w:r>
      <w:r w:rsidRPr="0060790E">
        <w:t xml:space="preserve">pesar de un crecimiento dispar de las regiones y un aumento de la desigualdad en las últimas décadas, un </w:t>
      </w:r>
      <w:r w:rsidRPr="00A05AE9">
        <w:rPr>
          <w:b/>
          <w:bCs/>
        </w:rPr>
        <w:t>proceso de convergencia regional</w:t>
      </w:r>
      <w:r w:rsidRPr="0060790E">
        <w:t xml:space="preserve"> a nivel dinámico si lo comparamos con el inicio de la serie temporal (1955</w:t>
      </w:r>
      <w:r w:rsidR="009725D8">
        <w:rPr>
          <w:rStyle w:val="Refdenotaalpie"/>
        </w:rPr>
        <w:footnoteReference w:id="7"/>
      </w:r>
      <w:r w:rsidRPr="0060790E">
        <w:t>).</w:t>
      </w:r>
    </w:p>
    <w:p w14:paraId="59D91823" w14:textId="77777777" w:rsidR="00CE19E8" w:rsidRDefault="00CE19E8" w:rsidP="00CE19E8">
      <w:pPr>
        <w:pStyle w:val="Nivel1SM"/>
      </w:pPr>
      <w:r>
        <w:t xml:space="preserve">El objetivo de la literatura de convergencia es dilucidar si el proceso de crecimiento económico incorpora una </w:t>
      </w:r>
      <w:r w:rsidRPr="006477E3">
        <w:rPr>
          <w:b/>
          <w:bCs/>
        </w:rPr>
        <w:t>tendencia a largo plazo al acercamiento de rentas entre países</w:t>
      </w:r>
      <w:r>
        <w:t>. Se trata de uno de los temas centrales de la literatura empírica de crecimiento económico. Trabajamos con convergencia real (i.e. convergencia en el PIB real, no en el PIB nominal).</w:t>
      </w:r>
    </w:p>
    <w:p w14:paraId="787FE7C7" w14:textId="04C5DE84" w:rsidR="00CE19E8" w:rsidRPr="00E45274" w:rsidRDefault="00CE19E8" w:rsidP="00CE19E8">
      <w:pPr>
        <w:pStyle w:val="Ttuloimagen"/>
        <w:rPr>
          <w:smallCaps w:val="0"/>
        </w:rPr>
      </w:pPr>
      <w:r>
        <w:lastRenderedPageBreak/>
        <w:t>Imagen </w:t>
      </w:r>
      <w:r>
        <w:fldChar w:fldCharType="begin"/>
      </w:r>
      <w:r>
        <w:instrText xml:space="preserve"> SEQ Ilustración \* ARABIC </w:instrText>
      </w:r>
      <w:r>
        <w:fldChar w:fldCharType="separate"/>
      </w:r>
      <w:r w:rsidR="00EC13F1">
        <w:t>2</w:t>
      </w:r>
      <w:r>
        <w:fldChar w:fldCharType="end"/>
      </w:r>
      <w:r>
        <w:rPr>
          <w:smallCaps w:val="0"/>
        </w:rPr>
        <w:t xml:space="preserve">.– </w:t>
      </w:r>
      <w:r>
        <w:rPr>
          <w:i/>
          <w:iCs/>
          <w:smallCaps w:val="0"/>
        </w:rPr>
        <w:t>Tipos de convergencia</w:t>
      </w:r>
    </w:p>
    <w:p w14:paraId="397D7620" w14:textId="615C1C87" w:rsidR="00CE19E8" w:rsidRDefault="00CE19E8" w:rsidP="00CE19E8">
      <w:pPr>
        <w:pStyle w:val="Imagen"/>
      </w:pPr>
      <w:r w:rsidRPr="00B05D17">
        <w:drawing>
          <wp:inline distT="0" distB="0" distL="0" distR="0" wp14:anchorId="170E5D3C" wp14:editId="33336737">
            <wp:extent cx="1528837" cy="1044000"/>
            <wp:effectExtent l="0" t="0" r="0" b="3810"/>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10;&#10;Descripción generada automáticamente"/>
                    <pic:cNvPicPr/>
                  </pic:nvPicPr>
                  <pic:blipFill rotWithShape="1">
                    <a:blip r:embed="rId12"/>
                    <a:srcRect t="7338" b="5465"/>
                    <a:stretch/>
                  </pic:blipFill>
                  <pic:spPr bwMode="auto">
                    <a:xfrm>
                      <a:off x="0" y="0"/>
                      <a:ext cx="1528837" cy="1044000"/>
                    </a:xfrm>
                    <a:prstGeom prst="rect">
                      <a:avLst/>
                    </a:prstGeom>
                    <a:ln>
                      <a:noFill/>
                    </a:ln>
                    <a:extLst>
                      <a:ext uri="{53640926-AAD7-44D8-BBD7-CCE9431645EC}">
                        <a14:shadowObscured xmlns:a14="http://schemas.microsoft.com/office/drawing/2010/main"/>
                      </a:ext>
                    </a:extLst>
                  </pic:spPr>
                </pic:pic>
              </a:graphicData>
            </a:graphic>
          </wp:inline>
        </w:drawing>
      </w:r>
    </w:p>
    <w:p w14:paraId="0D1539E0" w14:textId="6F4EE6A7" w:rsidR="00CE19E8" w:rsidRPr="00CE19E8" w:rsidRDefault="00CE19E8" w:rsidP="00CE19E8">
      <w:pPr>
        <w:pStyle w:val="PiedeImagen"/>
      </w:pPr>
      <w:r>
        <w:t>Fuente</w:t>
      </w:r>
      <w:r>
        <w:rPr>
          <w:i w:val="0"/>
          <w:iCs/>
        </w:rPr>
        <w:t xml:space="preserve">: </w:t>
      </w:r>
      <w:r w:rsidRPr="00BA1D0F">
        <w:rPr>
          <w:i w:val="0"/>
          <w:iCs/>
        </w:rPr>
        <w:t xml:space="preserve">del Río Casasola, A. (2018). </w:t>
      </w:r>
      <w:r w:rsidRPr="00B05D17">
        <w:t>Análisis centro-periferia en la UE-20 (1995-2014)</w:t>
      </w:r>
      <w:r>
        <w:rPr>
          <w:i w:val="0"/>
          <w:iCs/>
        </w:rPr>
        <w:t>. Universidad Complutense de Madrid</w:t>
      </w:r>
      <w:r w:rsidRPr="00BA1D0F">
        <w:rPr>
          <w:i w:val="0"/>
          <w:iCs/>
        </w:rPr>
        <w:t>.</w:t>
      </w:r>
      <w:r>
        <w:rPr>
          <w:i w:val="0"/>
          <w:iCs/>
        </w:rPr>
        <w:t xml:space="preserve"> </w:t>
      </w:r>
      <w:hyperlink r:id="rId13" w:history="1">
        <w:r w:rsidRPr="00FF0FF0">
          <w:rPr>
            <w:rStyle w:val="Hipervnculo"/>
            <w:i w:val="0"/>
            <w:iCs/>
          </w:rPr>
          <w:t>https://eprints.ucm.es/id/eprint/55279/1/T41082.pdf</w:t>
        </w:r>
      </w:hyperlink>
    </w:p>
    <w:p w14:paraId="410AAB79" w14:textId="56B0A8A8" w:rsidR="00CB15B1" w:rsidRPr="00946F49" w:rsidRDefault="002179C4" w:rsidP="00CB15B1">
      <w:pPr>
        <w:pStyle w:val="Ttulo6"/>
        <w:spacing w:before="0"/>
      </w:pPr>
      <w:bookmarkStart w:id="29" w:name="_Toc150452802"/>
      <w:r>
        <w:t xml:space="preserve">Indicadores de convergencia: </w:t>
      </w:r>
      <w:r w:rsidR="00CB15B1" w:rsidRPr="00946F49">
        <w:t>Convergencia beta y convergencia sigma</w:t>
      </w:r>
      <w:bookmarkEnd w:id="29"/>
    </w:p>
    <w:p w14:paraId="5161158D" w14:textId="7C42B600" w:rsidR="00CB15B1" w:rsidRPr="00946F49" w:rsidRDefault="00CB15B1" w:rsidP="00CB15B1">
      <w:pPr>
        <w:pStyle w:val="Nivel2SM"/>
        <w:keepNext/>
        <w:spacing w:after="0"/>
      </w:pPr>
      <w:r w:rsidRPr="00946F49">
        <w:t xml:space="preserve">Los indicadores más habituales a la hora de realizar estudios de convergencia son la convergencia-beta y la convergencia-sigma (atendiendo a la clasificación propuesta en 1990 por </w:t>
      </w:r>
      <w:r w:rsidRPr="0047023A">
        <w:rPr>
          <w:smallCaps/>
        </w:rPr>
        <w:t>Sala-i-Martín</w:t>
      </w:r>
      <w:r w:rsidR="00CE19E8">
        <w:t xml:space="preserve"> (1990)</w:t>
      </w:r>
      <w:r w:rsidRPr="00946F49">
        <w:t>):</w:t>
      </w:r>
    </w:p>
    <w:p w14:paraId="4B02F5DC" w14:textId="77777777" w:rsidR="00CE19E8" w:rsidRDefault="00CE19E8" w:rsidP="00CE19E8">
      <w:pPr>
        <w:pStyle w:val="Nivel3SM"/>
        <w:keepNext/>
      </w:pPr>
      <w:r>
        <w:t xml:space="preserve">Se dice que existe </w:t>
      </w:r>
      <w:r w:rsidRPr="00E223AC">
        <w:rPr>
          <w:i/>
          <w:iCs/>
          <w:u w:val="single"/>
        </w:rPr>
        <w:t>β</w:t>
      </w:r>
      <w:r w:rsidRPr="00882671">
        <w:rPr>
          <w:i/>
          <w:iCs/>
          <w:sz w:val="2"/>
          <w:szCs w:val="2"/>
          <w:u w:val="single"/>
        </w:rPr>
        <w:t> </w:t>
      </w:r>
      <w:r w:rsidRPr="00882671">
        <w:rPr>
          <w:i/>
          <w:iCs/>
          <w:u w:val="single"/>
        </w:rPr>
        <w:t>-</w:t>
      </w:r>
      <w:r w:rsidRPr="00882671">
        <w:rPr>
          <w:i/>
          <w:iCs/>
          <w:sz w:val="2"/>
          <w:szCs w:val="2"/>
          <w:u w:val="single"/>
        </w:rPr>
        <w:t> </w:t>
      </w:r>
      <w:r w:rsidRPr="00E223AC">
        <w:rPr>
          <w:i/>
          <w:iCs/>
          <w:u w:val="single"/>
        </w:rPr>
        <w:t>convergencia</w:t>
      </w:r>
      <w:r>
        <w:t xml:space="preserve"> si las economías con menor renta per cápita crecen más que las economías con mayor renta per cápita.</w:t>
      </w:r>
    </w:p>
    <w:p w14:paraId="4B9ED35C" w14:textId="77777777" w:rsidR="00CE19E8" w:rsidRDefault="00CE19E8" w:rsidP="00CE19E8">
      <w:pPr>
        <w:pStyle w:val="Nivel4"/>
        <w:ind w:left="1474"/>
      </w:pPr>
      <w:r>
        <w:t>La tasa de crecimiento es por tanto una función negativa del nivel de renta inicial.</w:t>
      </w:r>
    </w:p>
    <w:p w14:paraId="271F537B" w14:textId="77777777" w:rsidR="00CE19E8" w:rsidRDefault="00CE19E8" w:rsidP="00CE19E8">
      <w:pPr>
        <w:pStyle w:val="Nivel4"/>
        <w:keepNext/>
        <w:ind w:left="1474"/>
      </w:pPr>
      <w:r>
        <w:t>La tasa de crecimiento se podría escribir como:</w:t>
      </w:r>
    </w:p>
    <w:p w14:paraId="77D24E1A" w14:textId="77777777" w:rsidR="00CE19E8" w:rsidRPr="0026308C" w:rsidRDefault="00000000" w:rsidP="00CE19E8">
      <w:pPr>
        <w:pStyle w:val="Nivel3SM"/>
        <w:numPr>
          <w:ilvl w:val="0"/>
          <w:numId w:val="0"/>
        </w:numPr>
        <w:ind w:left="1474"/>
        <w:rPr>
          <w:rFonts w:eastAsiaTheme="minorEastAsia"/>
          <w:i/>
          <w:lang w:val="fr-FR"/>
        </w:rPr>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m:rPr>
                              <m:sty m:val="p"/>
                            </m:rPr>
                            <w:rPr>
                              <w:rFonts w:ascii="Cambria Math" w:hAnsi="Cambria Math"/>
                              <w:lang w:val="fr-FR"/>
                            </w:rPr>
                            <m:t>-</m:t>
                          </m:r>
                          <m:r>
                            <m:rPr>
                              <m:nor/>
                            </m:rPr>
                            <w:rPr>
                              <w:i/>
                              <w:lang w:val="fr-FR"/>
                            </w:rPr>
                            <m:t>1</m:t>
                          </m:r>
                        </m:sub>
                      </m:sSub>
                    </m:e>
                  </m:d>
                </m:e>
              </m:fun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e>
          </m:borderBox>
        </m:oMath>
      </m:oMathPara>
    </w:p>
    <w:p w14:paraId="5A0B3308" w14:textId="77777777" w:rsidR="00CE19E8" w:rsidRPr="00563C01" w:rsidRDefault="00CE19E8" w:rsidP="00CE19E8">
      <w:pPr>
        <w:pStyle w:val="Nivel4"/>
        <w:ind w:left="1474"/>
      </w:pPr>
      <w:r w:rsidRPr="00563C01">
        <w:t>Existirá β</w:t>
      </w:r>
      <w:r w:rsidRPr="00776AEE">
        <w:rPr>
          <w:sz w:val="2"/>
          <w:szCs w:val="2"/>
        </w:rPr>
        <w:t> </w:t>
      </w:r>
      <w:r w:rsidRPr="0026308C">
        <w:t>-</w:t>
      </w:r>
      <w:r w:rsidRPr="00776AEE">
        <w:rPr>
          <w:sz w:val="2"/>
          <w:szCs w:val="2"/>
        </w:rPr>
        <w:t> </w:t>
      </w:r>
      <w:r w:rsidRPr="00563C01">
        <w:t xml:space="preserve">convergencia si el valor del parámetro </w:t>
      </w:r>
      <m:oMath>
        <m:sSub>
          <m:sSubPr>
            <m:ctrlPr>
              <w:rPr>
                <w:rFonts w:ascii="Cambria Math" w:hAnsi="Cambria Math"/>
                <w:i/>
              </w:rPr>
            </m:ctrlPr>
          </m:sSubPr>
          <m:e>
            <m:r>
              <m:rPr>
                <m:nor/>
              </m:rPr>
              <w:rPr>
                <w:i/>
              </w:rPr>
              <m:t>β</m:t>
            </m:r>
          </m:e>
          <m:sub>
            <m:r>
              <m:rPr>
                <m:nor/>
              </m:rPr>
              <w:rPr>
                <w:i/>
              </w:rPr>
              <m:t>1</m:t>
            </m:r>
          </m:sub>
        </m:sSub>
      </m:oMath>
      <w:r w:rsidRPr="00563C01">
        <w:rPr>
          <w:rFonts w:eastAsiaTheme="minorEastAsia"/>
        </w:rPr>
        <w:t xml:space="preserve"> es menor que cero y es estadísticamente significativo.</w:t>
      </w:r>
    </w:p>
    <w:p w14:paraId="7AB18FD9" w14:textId="77777777" w:rsidR="00CE19E8" w:rsidRPr="002179C4" w:rsidRDefault="00CE19E8" w:rsidP="00CE19E8">
      <w:pPr>
        <w:pStyle w:val="Nivel3SM"/>
        <w:keepNext/>
        <w:rPr>
          <w:spacing w:val="-2"/>
        </w:rPr>
      </w:pPr>
      <w:r w:rsidRPr="002179C4">
        <w:rPr>
          <w:spacing w:val="-2"/>
        </w:rPr>
        <w:t xml:space="preserve">Se dice que existe </w:t>
      </w:r>
      <w:r w:rsidRPr="002179C4">
        <w:rPr>
          <w:i/>
          <w:iCs/>
          <w:spacing w:val="-2"/>
          <w:u w:val="single"/>
        </w:rPr>
        <w:t>σ</w:t>
      </w:r>
      <w:r w:rsidRPr="002179C4">
        <w:rPr>
          <w:i/>
          <w:iCs/>
          <w:spacing w:val="-2"/>
          <w:sz w:val="2"/>
          <w:szCs w:val="2"/>
          <w:u w:val="single"/>
        </w:rPr>
        <w:t> </w:t>
      </w:r>
      <w:r w:rsidRPr="002179C4">
        <w:rPr>
          <w:i/>
          <w:iCs/>
          <w:spacing w:val="-2"/>
          <w:u w:val="single"/>
        </w:rPr>
        <w:t>-</w:t>
      </w:r>
      <w:r w:rsidRPr="002179C4">
        <w:rPr>
          <w:i/>
          <w:iCs/>
          <w:spacing w:val="-2"/>
          <w:sz w:val="2"/>
          <w:szCs w:val="2"/>
          <w:u w:val="single"/>
        </w:rPr>
        <w:t> </w:t>
      </w:r>
      <w:r w:rsidRPr="002179C4">
        <w:rPr>
          <w:i/>
          <w:iCs/>
          <w:spacing w:val="-2"/>
          <w:u w:val="single"/>
        </w:rPr>
        <w:t>convergencia</w:t>
      </w:r>
      <w:r w:rsidRPr="002179C4">
        <w:rPr>
          <w:spacing w:val="-2"/>
        </w:rPr>
        <w:t xml:space="preserve"> si la dispersión (medida, p.ej. con la varianza) de sus niveles de renta per cápita en términos reales tiende a reducirse a lo largo del tiempo. Es decir:</w:t>
      </w:r>
    </w:p>
    <w:p w14:paraId="08E85ECA" w14:textId="77777777" w:rsidR="00CE19E8" w:rsidRPr="00CE19E8" w:rsidRDefault="00000000" w:rsidP="00CE19E8">
      <w:pPr>
        <w:pStyle w:val="Nivel3SM"/>
        <w:numPr>
          <w:ilvl w:val="0"/>
          <w:numId w:val="0"/>
        </w:numPr>
        <w:ind w:left="963"/>
        <w:rPr>
          <w:rFonts w:eastAsiaTheme="minorEastAsia"/>
          <w:i/>
        </w:rPr>
      </w:pPr>
      <m:oMathPara>
        <m:oMath>
          <m:borderBox>
            <m:borderBoxPr>
              <m:ctrlPr>
                <w:rPr>
                  <w:rFonts w:ascii="Cambria Math" w:hAnsi="Cambria Math"/>
                  <w:i/>
                </w:rPr>
              </m:ctrlPr>
            </m:borderBoxPr>
            <m:e>
              <m:sSubSup>
                <m:sSubSupPr>
                  <m:ctrlPr>
                    <w:rPr>
                      <w:rFonts w:ascii="Cambria Math" w:hAnsi="Cambria Math"/>
                      <w:i/>
                      <w:lang w:val="fr-FR"/>
                    </w:rPr>
                  </m:ctrlPr>
                </m:sSubSupPr>
                <m:e>
                  <m:r>
                    <m:rPr>
                      <m:nor/>
                    </m:rPr>
                    <w:rPr>
                      <w:i/>
                      <w:u w:val="single"/>
                    </w:rPr>
                    <m:t>σ</m:t>
                  </m:r>
                </m:e>
                <m:sub>
                  <m:r>
                    <m:rPr>
                      <m:nor/>
                    </m:rPr>
                    <w:rPr>
                      <w:i/>
                      <w:lang w:val="fr-FR"/>
                    </w:rPr>
                    <m:t>y,t</m:t>
                  </m:r>
                  <m:r>
                    <m:rPr>
                      <m:sty m:val="p"/>
                    </m:rPr>
                    <w:rPr>
                      <w:rFonts w:ascii="Cambria Math" w:hAnsi="Cambria Math"/>
                      <w:lang w:val="fr-FR"/>
                    </w:rPr>
                    <m:t>-</m:t>
                  </m:r>
                  <m:r>
                    <m:rPr>
                      <m:nor/>
                    </m:rPr>
                    <w:rPr>
                      <w:i/>
                      <w:lang w:val="fr-FR"/>
                    </w:rPr>
                    <m:t>1</m:t>
                  </m:r>
                </m:sub>
                <m:sup>
                  <m:r>
                    <m:rPr>
                      <m:nor/>
                    </m:rPr>
                    <w:rPr>
                      <w:i/>
                      <w:u w:val="single"/>
                      <w:lang w:val="fr-FR"/>
                    </w:rPr>
                    <m:t>2</m:t>
                  </m:r>
                </m:sup>
              </m:sSubSup>
              <m:r>
                <w:rPr>
                  <w:rFonts w:ascii="Cambria Math" w:hAnsi="Cambria Math"/>
                  <w:lang w:val="fr-FR"/>
                </w:rPr>
                <m:t>&gt;</m:t>
              </m:r>
              <m:sSubSup>
                <m:sSubSupPr>
                  <m:ctrlPr>
                    <w:rPr>
                      <w:rFonts w:ascii="Cambria Math" w:hAnsi="Cambria Math"/>
                      <w:i/>
                      <w:lang w:val="fr-FR"/>
                    </w:rPr>
                  </m:ctrlPr>
                </m:sSubSupPr>
                <m:e>
                  <m:r>
                    <m:rPr>
                      <m:nor/>
                    </m:rPr>
                    <w:rPr>
                      <w:i/>
                      <w:u w:val="single"/>
                    </w:rPr>
                    <m:t>σ</m:t>
                  </m:r>
                </m:e>
                <m:sub>
                  <m:r>
                    <m:rPr>
                      <m:nor/>
                    </m:rPr>
                    <w:rPr>
                      <w:i/>
                      <w:lang w:val="fr-FR"/>
                    </w:rPr>
                    <m:t>y,t</m:t>
                  </m:r>
                </m:sub>
                <m:sup>
                  <m:r>
                    <m:rPr>
                      <m:nor/>
                    </m:rPr>
                    <w:rPr>
                      <w:i/>
                      <w:u w:val="single"/>
                      <w:lang w:val="fr-FR"/>
                    </w:rPr>
                    <m:t>2</m:t>
                  </m:r>
                </m:sup>
              </m:sSubSup>
            </m:e>
          </m:borderBox>
        </m:oMath>
      </m:oMathPara>
    </w:p>
    <w:p w14:paraId="5F7D9ED8" w14:textId="77777777" w:rsidR="00CE19E8" w:rsidRDefault="00CE19E8" w:rsidP="00CE19E8">
      <w:pPr>
        <w:pStyle w:val="Nivel1SM"/>
        <w:keepNext/>
        <w:spacing w:after="0"/>
      </w:pPr>
      <w:r>
        <w:t xml:space="preserve">Los conceptos de </w:t>
      </w:r>
      <w:r w:rsidRPr="0026308C">
        <w:t>β</w:t>
      </w:r>
      <w:r w:rsidRPr="00776AEE">
        <w:rPr>
          <w:sz w:val="2"/>
          <w:szCs w:val="2"/>
        </w:rPr>
        <w:t> </w:t>
      </w:r>
      <w:r w:rsidRPr="0026308C">
        <w:t>-</w:t>
      </w:r>
      <w:r w:rsidRPr="00776AEE">
        <w:rPr>
          <w:sz w:val="2"/>
          <w:szCs w:val="2"/>
        </w:rPr>
        <w:t> </w:t>
      </w:r>
      <w:r w:rsidRPr="0026308C">
        <w:t>convergencia</w:t>
      </w:r>
      <w:r>
        <w:t xml:space="preserve"> y</w:t>
      </w:r>
      <w:r w:rsidRPr="00E223AC">
        <w:t xml:space="preserve"> σ</w:t>
      </w:r>
      <w:r w:rsidRPr="00776AEE">
        <w:rPr>
          <w:sz w:val="2"/>
          <w:szCs w:val="2"/>
        </w:rPr>
        <w:t> </w:t>
      </w:r>
      <w:r w:rsidRPr="0026308C">
        <w:t>-</w:t>
      </w:r>
      <w:r w:rsidRPr="00776AEE">
        <w:rPr>
          <w:sz w:val="2"/>
          <w:szCs w:val="2"/>
        </w:rPr>
        <w:t> </w:t>
      </w:r>
      <w:r w:rsidRPr="00E223AC">
        <w:t>convergencia</w:t>
      </w:r>
      <w:r>
        <w:t xml:space="preserve"> están estrechamente relacionados. Es fácil entender que si los niveles de PIB se acercan con el paso del tiempo (</w:t>
      </w:r>
      <w:r w:rsidRPr="00E223AC">
        <w:t>σ</w:t>
      </w:r>
      <w:r w:rsidRPr="00776AEE">
        <w:rPr>
          <w:sz w:val="2"/>
          <w:szCs w:val="2"/>
        </w:rPr>
        <w:t> </w:t>
      </w:r>
      <w:r w:rsidRPr="0026308C">
        <w:t>-</w:t>
      </w:r>
      <w:r w:rsidRPr="00776AEE">
        <w:rPr>
          <w:sz w:val="2"/>
          <w:szCs w:val="2"/>
        </w:rPr>
        <w:t> </w:t>
      </w:r>
      <w:r w:rsidRPr="00E223AC">
        <w:t>convergencia</w:t>
      </w:r>
      <w:r>
        <w:t>), la economía pobre deberá habrá crecido más rápidamente que la rica (</w:t>
      </w:r>
      <w:r w:rsidRPr="0026308C">
        <w:t>β</w:t>
      </w:r>
      <w:r w:rsidRPr="00776AEE">
        <w:rPr>
          <w:sz w:val="2"/>
          <w:szCs w:val="2"/>
        </w:rPr>
        <w:t> </w:t>
      </w:r>
      <w:r w:rsidRPr="0026308C">
        <w:t>-</w:t>
      </w:r>
      <w:r w:rsidRPr="00776AEE">
        <w:rPr>
          <w:sz w:val="2"/>
          <w:szCs w:val="2"/>
        </w:rPr>
        <w:t> </w:t>
      </w:r>
      <w:r w:rsidRPr="0026308C">
        <w:t>convergencia</w:t>
      </w:r>
      <w:r>
        <w:t xml:space="preserve">). De hecho, la </w:t>
      </w:r>
      <w:r w:rsidRPr="0026308C">
        <w:t>β</w:t>
      </w:r>
      <w:r w:rsidRPr="00776AEE">
        <w:rPr>
          <w:sz w:val="2"/>
          <w:szCs w:val="2"/>
        </w:rPr>
        <w:t> </w:t>
      </w:r>
      <w:r w:rsidRPr="0026308C">
        <w:t>-</w:t>
      </w:r>
      <w:r w:rsidRPr="00776AEE">
        <w:rPr>
          <w:sz w:val="2"/>
          <w:szCs w:val="2"/>
        </w:rPr>
        <w:t> </w:t>
      </w:r>
      <w:r w:rsidRPr="0026308C">
        <w:t>convergencia</w:t>
      </w:r>
      <w:r>
        <w:t xml:space="preserve"> es una condición necesaria de </w:t>
      </w:r>
      <w:r w:rsidRPr="00E223AC">
        <w:t>σ-convergencia</w:t>
      </w:r>
      <w:r>
        <w:t>. Es decir:</w:t>
      </w:r>
    </w:p>
    <w:p w14:paraId="7143BBC0" w14:textId="77777777" w:rsidR="00CE19E8" w:rsidRPr="00E223AC" w:rsidRDefault="00CE19E8" w:rsidP="00CE19E8">
      <w:pPr>
        <w:pStyle w:val="Nivel1SM"/>
        <w:numPr>
          <w:ilvl w:val="0"/>
          <w:numId w:val="0"/>
        </w:numPr>
        <w:spacing w:before="0"/>
        <w:rPr>
          <w:rFonts w:eastAsiaTheme="minorEastAsia"/>
          <w:iCs/>
        </w:rPr>
      </w:pPr>
      <m:oMathPara>
        <m:oMath>
          <m:r>
            <m:rPr>
              <m:nor/>
            </m:rPr>
            <w:rPr>
              <w:i/>
              <w:iCs/>
            </w:rPr>
            <m:t>β-convergencia</m:t>
          </m:r>
          <m:r>
            <m:rPr>
              <m:nor/>
            </m:rPr>
            <w:rPr>
              <w:rFonts w:ascii="Cambria Math"/>
              <w:i/>
              <w:iCs/>
            </w:rPr>
            <m:t xml:space="preserve">  </m:t>
          </m:r>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r>
            <m:rPr>
              <m:nor/>
            </m:rPr>
            <w:rPr>
              <w:rFonts w:ascii="Cambria Math"/>
              <w:i/>
              <w:iCs/>
            </w:rPr>
            <m:t xml:space="preserve">  </m:t>
          </m:r>
          <m:r>
            <m:rPr>
              <m:nor/>
            </m:rPr>
            <w:rPr>
              <w:i/>
              <w:iCs/>
            </w:rPr>
            <m:t>σ-convergencia</m:t>
          </m:r>
        </m:oMath>
      </m:oMathPara>
    </w:p>
    <w:p w14:paraId="4E86BB8C" w14:textId="77777777" w:rsidR="00CE19E8" w:rsidRDefault="00CE19E8" w:rsidP="00CE19E8">
      <w:pPr>
        <w:pStyle w:val="Nivel1SM"/>
        <w:keepNext/>
        <w:spacing w:after="0"/>
      </w:pPr>
      <w:r>
        <w:t xml:space="preserve">Así, se pueden dar 3 casos </w:t>
      </w:r>
      <w:r w:rsidRPr="00E44366">
        <w:rPr>
          <w:sz w:val="19"/>
          <w:szCs w:val="19"/>
        </w:rPr>
        <w:t>(que ilustraremos suponiendo 2 países por simplicidad (</w:t>
      </w:r>
      <w:r w:rsidRPr="00E44366">
        <w:rPr>
          <w:color w:val="00B0F0"/>
          <w:sz w:val="19"/>
          <w:szCs w:val="19"/>
        </w:rPr>
        <w:t>economía </w:t>
      </w:r>
      <w:r w:rsidRPr="00E44366">
        <w:rPr>
          <w:i/>
          <w:iCs/>
          <w:color w:val="00B0F0"/>
          <w:sz w:val="19"/>
          <w:szCs w:val="19"/>
        </w:rPr>
        <w:t>A</w:t>
      </w:r>
      <w:r w:rsidRPr="00E44366">
        <w:rPr>
          <w:sz w:val="19"/>
          <w:szCs w:val="19"/>
        </w:rPr>
        <w:t xml:space="preserve"> y </w:t>
      </w:r>
      <w:r w:rsidRPr="00E44366">
        <w:rPr>
          <w:color w:val="5F2987"/>
          <w:sz w:val="19"/>
          <w:szCs w:val="19"/>
        </w:rPr>
        <w:t>economía </w:t>
      </w:r>
      <w:r w:rsidRPr="00E44366">
        <w:rPr>
          <w:i/>
          <w:iCs/>
          <w:color w:val="5F2987"/>
          <w:sz w:val="19"/>
          <w:szCs w:val="19"/>
        </w:rPr>
        <w:t>B</w:t>
      </w:r>
      <w:r w:rsidRPr="00E44366">
        <w:rPr>
          <w:sz w:val="19"/>
          <w:szCs w:val="19"/>
        </w:rPr>
        <w:t>))</w:t>
      </w:r>
      <w:r>
        <w:t>:</w:t>
      </w:r>
    </w:p>
    <w:p w14:paraId="21D5BB02" w14:textId="208D1EE1" w:rsidR="00CE19E8" w:rsidRDefault="00CE19E8" w:rsidP="00CE19E8">
      <w:pPr>
        <w:pStyle w:val="Ttuloimagen"/>
        <w:rPr>
          <w:i/>
          <w:iCs/>
          <w:smallCaps w:val="0"/>
        </w:rPr>
      </w:pPr>
      <w:r>
        <w:t>Imagen </w:t>
      </w:r>
      <w:r>
        <w:fldChar w:fldCharType="begin"/>
      </w:r>
      <w:r>
        <w:instrText xml:space="preserve"> SEQ Ilustración \* ARABIC </w:instrText>
      </w:r>
      <w:r>
        <w:fldChar w:fldCharType="separate"/>
      </w:r>
      <w:r w:rsidR="00EC13F1">
        <w:t>3</w:t>
      </w:r>
      <w:r>
        <w:fldChar w:fldCharType="end"/>
      </w:r>
      <w:r w:rsidRPr="00803CC6">
        <w:rPr>
          <w:smallCaps w:val="0"/>
        </w:rPr>
        <w:t>.–</w:t>
      </w:r>
      <w:r>
        <w:rPr>
          <w:smallCaps w:val="0"/>
        </w:rPr>
        <w:t xml:space="preserve"> </w:t>
      </w:r>
      <w:r>
        <w:rPr>
          <w:i/>
          <w:iCs/>
          <w:smallCaps w:val="0"/>
        </w:rPr>
        <w:t xml:space="preserve">Relación entre </w:t>
      </w:r>
      <w:r w:rsidRPr="00803CC6">
        <w:rPr>
          <w:i/>
          <w:iCs/>
          <w:smallCaps w:val="0"/>
        </w:rPr>
        <w:t>β-convergencia y σ-convergencia</w:t>
      </w:r>
    </w:p>
    <w:p w14:paraId="1F740AB4" w14:textId="77777777" w:rsidR="00CE19E8" w:rsidRDefault="00CE19E8" w:rsidP="00CE19E8">
      <w:pPr>
        <w:pStyle w:val="Imagen"/>
      </w:pPr>
      <w:r>
        <w:drawing>
          <wp:inline distT="0" distB="0" distL="0" distR="0" wp14:anchorId="32328E94" wp14:editId="1FCCEF90">
            <wp:extent cx="1029836" cy="900000"/>
            <wp:effectExtent l="0" t="0" r="0" b="0"/>
            <wp:docPr id="29" name="Imagen 29"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Gráfico&#10;&#10;Descripción generada automáticamente con confianza media"/>
                    <pic:cNvPicPr/>
                  </pic:nvPicPr>
                  <pic:blipFill>
                    <a:blip r:embed="rId14"/>
                    <a:srcRect l="17818" r="17818"/>
                    <a:stretch>
                      <a:fillRect/>
                    </a:stretch>
                  </pic:blipFill>
                  <pic:spPr bwMode="auto">
                    <a:xfrm>
                      <a:off x="0" y="0"/>
                      <a:ext cx="1029836" cy="90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544D4492" wp14:editId="71F74459">
            <wp:extent cx="1017555" cy="900000"/>
            <wp:effectExtent l="0" t="0" r="0" b="0"/>
            <wp:docPr id="25" name="Imagen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10;&#10;Descripción generada automáticamente"/>
                    <pic:cNvPicPr/>
                  </pic:nvPicPr>
                  <pic:blipFill>
                    <a:blip r:embed="rId15"/>
                    <a:srcRect l="18201" r="18201"/>
                    <a:stretch>
                      <a:fillRect/>
                    </a:stretch>
                  </pic:blipFill>
                  <pic:spPr bwMode="auto">
                    <a:xfrm>
                      <a:off x="0" y="0"/>
                      <a:ext cx="1017555" cy="90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19431D03" wp14:editId="34040287">
            <wp:extent cx="1011435" cy="900000"/>
            <wp:effectExtent l="0" t="0" r="0" b="0"/>
            <wp:docPr id="26" name="Imagen 2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pic:nvPicPr>
                  <pic:blipFill>
                    <a:blip r:embed="rId16"/>
                    <a:srcRect l="18393" r="18393"/>
                    <a:stretch>
                      <a:fillRect/>
                    </a:stretch>
                  </pic:blipFill>
                  <pic:spPr bwMode="auto">
                    <a:xfrm>
                      <a:off x="0" y="0"/>
                      <a:ext cx="1011435" cy="900000"/>
                    </a:xfrm>
                    <a:prstGeom prst="rect">
                      <a:avLst/>
                    </a:prstGeom>
                    <a:ln>
                      <a:noFill/>
                    </a:ln>
                    <a:extLst>
                      <a:ext uri="{53640926-AAD7-44D8-BBD7-CCE9431645EC}">
                        <a14:shadowObscured xmlns:a14="http://schemas.microsoft.com/office/drawing/2010/main"/>
                      </a:ext>
                    </a:extLst>
                  </pic:spPr>
                </pic:pic>
              </a:graphicData>
            </a:graphic>
          </wp:inline>
        </w:drawing>
      </w:r>
    </w:p>
    <w:p w14:paraId="41CB601A" w14:textId="77777777" w:rsidR="00CE19E8" w:rsidRDefault="00CE19E8" w:rsidP="00CE19E8">
      <w:pPr>
        <w:pStyle w:val="PiedeImagen"/>
        <w:rPr>
          <w:i w:val="0"/>
          <w:iCs/>
        </w:rPr>
      </w:pPr>
      <w:r>
        <w:t>Fuente</w:t>
      </w:r>
      <w:r>
        <w:rPr>
          <w:i w:val="0"/>
          <w:iCs/>
        </w:rPr>
        <w:t>: Elaboración propia</w:t>
      </w:r>
    </w:p>
    <w:p w14:paraId="2AABE15D" w14:textId="1F54DBD5" w:rsidR="00CE19E8" w:rsidRDefault="00CE19E8" w:rsidP="00CE19E8">
      <w:pPr>
        <w:pStyle w:val="Nivel1SM"/>
        <w:keepNext/>
        <w:spacing w:before="0" w:after="0"/>
      </w:pPr>
      <w:r>
        <w:t>¿Cuál debemos usar? En la práctica, este último caso es más extraño porque requiere no sólo que un</w:t>
      </w:r>
      <w:r w:rsidR="00FC4F52">
        <w:t>a economía</w:t>
      </w:r>
      <w:r>
        <w:t xml:space="preserve"> sobrepase en renta per cápita a otr</w:t>
      </w:r>
      <w:r w:rsidR="00FC4F52">
        <w:t>a</w:t>
      </w:r>
      <w:r>
        <w:t>, sino que lo haga por un margen considerable. Por ello, habitualmente, ambos conceptos apuntan en la misma dirección. En cualquier caso, ambos conceptos son relevantes:</w:t>
      </w:r>
    </w:p>
    <w:p w14:paraId="1EF18953" w14:textId="77777777" w:rsidR="00CE19E8" w:rsidRDefault="00CE19E8" w:rsidP="00CE19E8">
      <w:pPr>
        <w:pStyle w:val="Nivel2SM"/>
      </w:pPr>
      <w:r>
        <w:t xml:space="preserve">La </w:t>
      </w:r>
      <w:r w:rsidRPr="00E223AC">
        <w:t>σ</w:t>
      </w:r>
      <w:r w:rsidRPr="00776AEE">
        <w:rPr>
          <w:sz w:val="2"/>
          <w:szCs w:val="2"/>
        </w:rPr>
        <w:t> </w:t>
      </w:r>
      <w:r w:rsidRPr="0026308C">
        <w:t>-</w:t>
      </w:r>
      <w:r w:rsidRPr="00776AEE">
        <w:rPr>
          <w:sz w:val="2"/>
          <w:szCs w:val="2"/>
        </w:rPr>
        <w:t> </w:t>
      </w:r>
      <w:r w:rsidRPr="0026308C">
        <w:t>convergencia</w:t>
      </w:r>
      <w:r>
        <w:t xml:space="preserve"> capturaría el elemento que nos interesa analizar: si las rentas reales per cápita de las distintas economías se acercan con el paso del tiempo.</w:t>
      </w:r>
    </w:p>
    <w:p w14:paraId="332DF524" w14:textId="561221DB" w:rsidR="00CE19E8" w:rsidRDefault="00CE19E8" w:rsidP="00CE19E8">
      <w:pPr>
        <w:pStyle w:val="Nivel2SM"/>
      </w:pPr>
      <w:r>
        <w:t xml:space="preserve">La </w:t>
      </w:r>
      <w:r w:rsidRPr="0026308C">
        <w:t>β</w:t>
      </w:r>
      <w:r w:rsidRPr="00776AEE">
        <w:rPr>
          <w:sz w:val="2"/>
          <w:szCs w:val="2"/>
        </w:rPr>
        <w:t> </w:t>
      </w:r>
      <w:r w:rsidRPr="0026308C">
        <w:t>-</w:t>
      </w:r>
      <w:r w:rsidRPr="00776AEE">
        <w:rPr>
          <w:sz w:val="2"/>
          <w:szCs w:val="2"/>
        </w:rPr>
        <w:t> </w:t>
      </w:r>
      <w:r w:rsidRPr="0026308C">
        <w:t>convergencia</w:t>
      </w:r>
      <w:r>
        <w:t xml:space="preserve"> es interesante para ver la rapidez con la que </w:t>
      </w:r>
      <w:r w:rsidR="0063465B">
        <w:t>la</w:t>
      </w:r>
      <w:r>
        <w:t xml:space="preserve"> </w:t>
      </w:r>
      <w:r w:rsidR="0063465B">
        <w:t xml:space="preserve">región </w:t>
      </w:r>
      <w:r>
        <w:t>pobre promedio se puede convertir en un</w:t>
      </w:r>
      <w:r w:rsidR="0063465B">
        <w:t>a</w:t>
      </w:r>
      <w:r>
        <w:t xml:space="preserve"> </w:t>
      </w:r>
      <w:r w:rsidR="0063465B">
        <w:t>región</w:t>
      </w:r>
      <w:r>
        <w:t xml:space="preserve"> ric</w:t>
      </w:r>
      <w:r w:rsidR="0063465B">
        <w:t>a</w:t>
      </w:r>
      <w:r>
        <w:t>.</w:t>
      </w:r>
    </w:p>
    <w:p w14:paraId="31E85F6B" w14:textId="77777777" w:rsidR="00CB15B1" w:rsidRPr="00946F49" w:rsidRDefault="00CB15B1" w:rsidP="00386288">
      <w:pPr>
        <w:pStyle w:val="Ttulo3"/>
      </w:pPr>
      <w:bookmarkStart w:id="30" w:name="_Toc150452803"/>
      <w:r w:rsidRPr="00946F49">
        <w:lastRenderedPageBreak/>
        <w:t>Resultados</w:t>
      </w:r>
      <w:bookmarkEnd w:id="30"/>
    </w:p>
    <w:p w14:paraId="182AA93D" w14:textId="312379F4" w:rsidR="00770DFB" w:rsidRDefault="00770DFB" w:rsidP="00CB15B1">
      <w:pPr>
        <w:pStyle w:val="Nivel2SM"/>
        <w:keepNext/>
        <w:spacing w:after="0"/>
      </w:pPr>
      <w:r>
        <w:t xml:space="preserve">Si comenzamos por un análisis de </w:t>
      </w:r>
      <w:r w:rsidRPr="0026308C">
        <w:t>β</w:t>
      </w:r>
      <w:r w:rsidRPr="00776AEE">
        <w:rPr>
          <w:sz w:val="2"/>
          <w:szCs w:val="2"/>
        </w:rPr>
        <w:t> </w:t>
      </w:r>
      <w:r>
        <w:t>–</w:t>
      </w:r>
      <w:r w:rsidRPr="00776AEE">
        <w:rPr>
          <w:sz w:val="2"/>
          <w:szCs w:val="2"/>
        </w:rPr>
        <w:t> </w:t>
      </w:r>
      <w:r w:rsidRPr="0026308C">
        <w:t>convergencia</w:t>
      </w:r>
      <w:r>
        <w:t>, es necesario hacer una regresión en la que la variable dependiente sea el crecimiento del PIB per cápita en el período y la variable dependiente sea el PIB per cápita:</w:t>
      </w:r>
    </w:p>
    <w:p w14:paraId="5CDB706A" w14:textId="175EF3EF" w:rsidR="00770DFB" w:rsidRPr="00770DFB" w:rsidRDefault="00000000" w:rsidP="00770DFB">
      <w:pPr>
        <w:pStyle w:val="Nivel2SM"/>
        <w:keepNext/>
        <w:numPr>
          <w:ilvl w:val="0"/>
          <w:numId w:val="0"/>
        </w:numPr>
        <w:spacing w:after="0"/>
        <w:ind w:left="567"/>
        <w:rPr>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m:rPr>
                          <m:sty m:val="p"/>
                        </m:rPr>
                        <w:rPr>
                          <w:rFonts w:ascii="Cambria Math" w:hAnsi="Cambria Math"/>
                          <w:lang w:val="fr-FR"/>
                        </w:rPr>
                        <m:t>-</m:t>
                      </m:r>
                      <m:r>
                        <m:rPr>
                          <m:nor/>
                        </m:rPr>
                        <w:rPr>
                          <w:i/>
                          <w:lang w:val="fr-FR"/>
                        </w:rPr>
                        <m:t>1</m:t>
                      </m:r>
                    </m:sub>
                  </m:sSub>
                </m:e>
              </m:d>
            </m:e>
          </m:fun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75A1C6D8" w14:textId="3EAAB9A4" w:rsidR="00770DFB" w:rsidRDefault="00770DFB" w:rsidP="00770DFB">
      <w:pPr>
        <w:pStyle w:val="Nivel2SM"/>
        <w:keepNext/>
        <w:numPr>
          <w:ilvl w:val="0"/>
          <w:numId w:val="0"/>
        </w:numPr>
        <w:spacing w:after="0"/>
        <w:ind w:left="567"/>
      </w:pPr>
      <w:r w:rsidRPr="00770DFB">
        <w:t xml:space="preserve">Normalmente, se añaden variables de </w:t>
      </w:r>
      <w:r>
        <w:t>control para evitar un sesgo de variable omitida. El problema es que no hay disponibilidad de muchos datos que se emplean como controles en el análisis entre países (el único control habitual es el nivel educativo).</w:t>
      </w:r>
    </w:p>
    <w:p w14:paraId="4D74FE2B" w14:textId="4328FC53" w:rsidR="00770DFB" w:rsidRPr="00770DFB" w:rsidRDefault="00770DFB" w:rsidP="00770DFB">
      <w:pPr>
        <w:pStyle w:val="Nivel3SM"/>
      </w:pPr>
      <w:r>
        <w:t xml:space="preserve">Estos análisis encuentran un coeficiente </w:t>
      </w:r>
      <m:oMath>
        <m:sSub>
          <m:sSubPr>
            <m:ctrlPr>
              <w:rPr>
                <w:rFonts w:ascii="Cambria Math" w:hAnsi="Cambria Math"/>
                <w:i/>
              </w:rPr>
            </m:ctrlPr>
          </m:sSubPr>
          <m:e>
            <m:r>
              <m:rPr>
                <m:nor/>
              </m:rPr>
              <w:rPr>
                <w:i/>
              </w:rPr>
              <m:t>β</m:t>
            </m:r>
          </m:e>
          <m:sub>
            <m:r>
              <m:rPr>
                <m:nor/>
              </m:rPr>
              <w:rPr>
                <w:i/>
              </w:rPr>
              <m:t>1</m:t>
            </m:r>
          </m:sub>
        </m:sSub>
      </m:oMath>
      <w:r>
        <w:rPr>
          <w:rFonts w:eastAsiaTheme="minorEastAsia"/>
        </w:rPr>
        <w:t xml:space="preserve"> negativo, por lo que encuentran evidencia favorable a la </w:t>
      </w:r>
      <w:r w:rsidRPr="00770DFB">
        <w:t>β</w:t>
      </w:r>
      <w:r w:rsidRPr="00770DFB">
        <w:rPr>
          <w:sz w:val="2"/>
          <w:szCs w:val="2"/>
        </w:rPr>
        <w:t> </w:t>
      </w:r>
      <w:r w:rsidRPr="00770DFB">
        <w:t>-</w:t>
      </w:r>
      <w:r w:rsidRPr="00770DFB">
        <w:rPr>
          <w:sz w:val="2"/>
          <w:szCs w:val="2"/>
        </w:rPr>
        <w:t> </w:t>
      </w:r>
      <w:r w:rsidRPr="00770DFB">
        <w:t>convergencia</w:t>
      </w:r>
      <w:r>
        <w:rPr>
          <w:rStyle w:val="Refdenotaalpie"/>
        </w:rPr>
        <w:footnoteReference w:id="8"/>
      </w:r>
      <w:r>
        <w:t>.</w:t>
      </w:r>
    </w:p>
    <w:p w14:paraId="3AA1486A" w14:textId="05F16134" w:rsidR="00CB15B1" w:rsidRPr="00B45C4E" w:rsidRDefault="00CB15B1" w:rsidP="00CB15B1">
      <w:pPr>
        <w:pStyle w:val="Nivel2SM"/>
        <w:keepNext/>
        <w:spacing w:after="0"/>
      </w:pPr>
      <w:r w:rsidRPr="00946F49">
        <w:t xml:space="preserve">Atendiendo a la </w:t>
      </w:r>
      <w:r w:rsidRPr="00B45C4E">
        <w:t xml:space="preserve">evolución del PIB </w:t>
      </w:r>
      <w:r>
        <w:t>per cápita</w:t>
      </w:r>
      <w:r w:rsidRPr="00B45C4E">
        <w:t xml:space="preserve"> de las regiones </w:t>
      </w:r>
      <w:proofErr w:type="gramStart"/>
      <w:r w:rsidRPr="00B45C4E">
        <w:t>más ricas y más pobres</w:t>
      </w:r>
      <w:proofErr w:type="gramEnd"/>
      <w:r w:rsidRPr="00B45C4E">
        <w:t xml:space="preserve"> en los distintos periodos obtenemos los siguientes resultados:</w:t>
      </w:r>
    </w:p>
    <w:p w14:paraId="5863DB5B" w14:textId="77777777" w:rsidR="00CB15B1" w:rsidRPr="00B45C4E" w:rsidRDefault="00CB15B1" w:rsidP="00CB15B1">
      <w:pPr>
        <w:pStyle w:val="Nivel3SM"/>
        <w:keepNext/>
      </w:pPr>
      <w:r w:rsidRPr="00B45C4E">
        <w:t>1955</w:t>
      </w:r>
      <w:r>
        <w:t>:</w:t>
      </w:r>
    </w:p>
    <w:p w14:paraId="09E30B87" w14:textId="77777777" w:rsidR="00CB15B1" w:rsidRPr="00B45C4E" w:rsidRDefault="00CB15B1" w:rsidP="00CB15B1">
      <w:pPr>
        <w:pStyle w:val="Nivel4"/>
        <w:ind w:left="1474"/>
      </w:pPr>
      <w:r w:rsidRPr="00B45C4E">
        <w:t>La región más rica en términos de PIB per cápita era Madrid y la más pobre, Extremadura. El cociente de sus PIB per cápita era 3,5.</w:t>
      </w:r>
    </w:p>
    <w:p w14:paraId="663DE8DF" w14:textId="296B5AA1" w:rsidR="00CB15B1" w:rsidRPr="00B45C4E" w:rsidRDefault="00CB15B1" w:rsidP="00CB15B1">
      <w:pPr>
        <w:pStyle w:val="Nivel3SM"/>
        <w:keepNext/>
      </w:pPr>
      <w:r w:rsidRPr="00B45C4E">
        <w:t>Actualmente</w:t>
      </w:r>
      <w:r w:rsidR="00F02D9E">
        <w:t xml:space="preserve"> (2020)</w:t>
      </w:r>
      <w:r>
        <w:t>:</w:t>
      </w:r>
    </w:p>
    <w:p w14:paraId="701BA101" w14:textId="7176F760" w:rsidR="00CB15B1" w:rsidRPr="00B45C4E" w:rsidRDefault="009971F3" w:rsidP="00CB15B1">
      <w:pPr>
        <w:pStyle w:val="Nivel4"/>
        <w:ind w:left="1474"/>
      </w:pPr>
      <w:r>
        <w:t>La Comunidad de Madrid</w:t>
      </w:r>
      <w:r w:rsidR="00CB15B1" w:rsidRPr="00B45C4E">
        <w:t xml:space="preserve"> es la región con mayor renta per cápita (32.000</w:t>
      </w:r>
      <w:r w:rsidR="00CB15B1">
        <w:t> </w:t>
      </w:r>
      <w:r w:rsidR="00CB15B1" w:rsidRPr="00B45C4E">
        <w:t xml:space="preserve">€), seguida muy cerca de </w:t>
      </w:r>
      <w:r>
        <w:t>País Vasco</w:t>
      </w:r>
      <w:r w:rsidR="00CB15B1" w:rsidRPr="00B45C4E">
        <w:t xml:space="preserve"> (3</w:t>
      </w:r>
      <w:r>
        <w:t>0</w:t>
      </w:r>
      <w:r w:rsidR="00CB15B1" w:rsidRPr="00B45C4E">
        <w:t>.000</w:t>
      </w:r>
      <w:r w:rsidR="00CB15B1">
        <w:t> </w:t>
      </w:r>
      <w:r w:rsidR="00CB15B1" w:rsidRPr="00B45C4E">
        <w:t>€) y Navarra (</w:t>
      </w:r>
      <w:r>
        <w:t>29</w:t>
      </w:r>
      <w:r w:rsidR="00CB15B1" w:rsidRPr="00B45C4E">
        <w:t>.</w:t>
      </w:r>
      <w:r>
        <w:t>0</w:t>
      </w:r>
      <w:r w:rsidR="00CB15B1" w:rsidRPr="00B45C4E">
        <w:t>00</w:t>
      </w:r>
      <w:r w:rsidR="00CB15B1">
        <w:t> </w:t>
      </w:r>
      <w:r w:rsidR="00CB15B1" w:rsidRPr="00B45C4E">
        <w:t xml:space="preserve">€). La región con menor renta per cápita sigue siendo </w:t>
      </w:r>
      <w:r>
        <w:t>Canarias</w:t>
      </w:r>
      <w:r w:rsidR="00CB15B1" w:rsidRPr="00B45C4E">
        <w:t xml:space="preserve"> (17.000</w:t>
      </w:r>
      <w:r w:rsidR="00CB15B1">
        <w:t> </w:t>
      </w:r>
      <w:r w:rsidR="00CB15B1" w:rsidRPr="00B45C4E">
        <w:t xml:space="preserve">€). El cociente entre la renta per cápita del </w:t>
      </w:r>
      <w:r>
        <w:t>Madrid</w:t>
      </w:r>
      <w:r w:rsidR="00CB15B1" w:rsidRPr="00B45C4E">
        <w:t xml:space="preserve"> y </w:t>
      </w:r>
      <w:r w:rsidR="00F02D9E">
        <w:t>Canarias</w:t>
      </w:r>
      <w:r w:rsidR="00CB15B1" w:rsidRPr="00B45C4E">
        <w:t xml:space="preserve"> es 1,9</w:t>
      </w:r>
      <w:r w:rsidR="00980FAF">
        <w:rPr>
          <w:rStyle w:val="Refdenotaalpie"/>
        </w:rPr>
        <w:footnoteReference w:id="9"/>
      </w:r>
      <w:r w:rsidR="00CB15B1" w:rsidRPr="00B45C4E">
        <w:t>.</w:t>
      </w:r>
    </w:p>
    <w:p w14:paraId="6EFC9613" w14:textId="01CE72ED" w:rsidR="00CB15B1" w:rsidRPr="00946F49" w:rsidRDefault="00770DFB" w:rsidP="00CB15B1">
      <w:pPr>
        <w:pStyle w:val="Nivel2SM"/>
        <w:keepNext/>
        <w:spacing w:after="0"/>
        <w:rPr>
          <w:b/>
        </w:rPr>
      </w:pPr>
      <w:r w:rsidRPr="00604428">
        <w:rPr>
          <w:i/>
          <w:iCs/>
          <w:u w:val="single"/>
        </w:rPr>
        <w:t>σ</w:t>
      </w:r>
      <w:r w:rsidRPr="00604428">
        <w:rPr>
          <w:i/>
          <w:iCs/>
          <w:sz w:val="2"/>
          <w:szCs w:val="2"/>
          <w:u w:val="single"/>
        </w:rPr>
        <w:t> </w:t>
      </w:r>
      <w:r w:rsidRPr="00604428">
        <w:rPr>
          <w:i/>
          <w:iCs/>
          <w:u w:val="single"/>
        </w:rPr>
        <w:t>-</w:t>
      </w:r>
      <w:r w:rsidRPr="00604428">
        <w:rPr>
          <w:i/>
          <w:iCs/>
          <w:sz w:val="2"/>
          <w:szCs w:val="2"/>
          <w:u w:val="single"/>
        </w:rPr>
        <w:t> </w:t>
      </w:r>
      <w:r w:rsidRPr="00604428">
        <w:rPr>
          <w:i/>
          <w:iCs/>
          <w:u w:val="single"/>
        </w:rPr>
        <w:t>convergencia</w:t>
      </w:r>
      <w:r w:rsidR="00CB15B1" w:rsidRPr="00946F49">
        <w:t>:</w:t>
      </w:r>
    </w:p>
    <w:p w14:paraId="6B165AB3" w14:textId="77777777" w:rsidR="00CB15B1" w:rsidRPr="00DC0A31" w:rsidRDefault="00CB15B1" w:rsidP="00CB15B1">
      <w:pPr>
        <w:pStyle w:val="Nivel3SM"/>
        <w:rPr>
          <w:spacing w:val="-2"/>
        </w:rPr>
      </w:pPr>
      <w:r w:rsidRPr="00DC0A31">
        <w:rPr>
          <w:spacing w:val="-2"/>
        </w:rPr>
        <w:t xml:space="preserve">En términos de </w:t>
      </w:r>
      <w:r w:rsidRPr="00DC0A31">
        <w:rPr>
          <w:spacing w:val="-2"/>
          <w:u w:val="single"/>
        </w:rPr>
        <w:t>PIB per cápita</w:t>
      </w:r>
      <w:r w:rsidRPr="00DC0A31">
        <w:rPr>
          <w:spacing w:val="-2"/>
        </w:rPr>
        <w:t>, se observa un proceso bastante continuado de convergencia. La dispersión de los niveles de renta per cápita se reduce a lo largo del tiempo.</w:t>
      </w:r>
    </w:p>
    <w:p w14:paraId="53A27259" w14:textId="38B9C86E" w:rsidR="00CB15B1" w:rsidRPr="00946F49" w:rsidRDefault="00770DFB" w:rsidP="00CB15B1">
      <w:pPr>
        <w:pStyle w:val="Nivel2SM"/>
        <w:keepNext/>
        <w:spacing w:after="0"/>
        <w:rPr>
          <w:b/>
        </w:rPr>
      </w:pPr>
      <w:r w:rsidRPr="00604428">
        <w:rPr>
          <w:i/>
          <w:iCs/>
          <w:u w:val="single"/>
        </w:rPr>
        <w:t>β</w:t>
      </w:r>
      <w:r w:rsidRPr="00604428">
        <w:rPr>
          <w:i/>
          <w:iCs/>
          <w:sz w:val="2"/>
          <w:szCs w:val="2"/>
          <w:u w:val="single"/>
        </w:rPr>
        <w:t> </w:t>
      </w:r>
      <w:r w:rsidRPr="00604428">
        <w:rPr>
          <w:i/>
          <w:iCs/>
          <w:u w:val="single"/>
        </w:rPr>
        <w:t>-</w:t>
      </w:r>
      <w:r w:rsidRPr="00604428">
        <w:rPr>
          <w:i/>
          <w:iCs/>
          <w:sz w:val="2"/>
          <w:szCs w:val="2"/>
          <w:u w:val="single"/>
        </w:rPr>
        <w:t> </w:t>
      </w:r>
      <w:r w:rsidRPr="00604428">
        <w:rPr>
          <w:i/>
          <w:iCs/>
          <w:u w:val="single"/>
        </w:rPr>
        <w:t>convergencia</w:t>
      </w:r>
      <w:r w:rsidR="00CB15B1" w:rsidRPr="00946F49">
        <w:t>:</w:t>
      </w:r>
    </w:p>
    <w:p w14:paraId="1A099AC6" w14:textId="170B0898" w:rsidR="00CB15B1" w:rsidRPr="00946F49" w:rsidRDefault="00CB15B1" w:rsidP="00CB15B1">
      <w:pPr>
        <w:pStyle w:val="Nivel3SM"/>
        <w:keepNext/>
        <w:rPr>
          <w:b/>
        </w:rPr>
      </w:pPr>
      <w:r w:rsidRPr="00946F49">
        <w:t xml:space="preserve">Dados los resultados para la </w:t>
      </w:r>
      <w:r w:rsidR="00770DFB" w:rsidRPr="00E223AC">
        <w:t>σ</w:t>
      </w:r>
      <w:r w:rsidR="00770DFB" w:rsidRPr="00776AEE">
        <w:rPr>
          <w:sz w:val="2"/>
          <w:szCs w:val="2"/>
        </w:rPr>
        <w:t> </w:t>
      </w:r>
      <w:r w:rsidR="00770DFB" w:rsidRPr="0026308C">
        <w:t>-</w:t>
      </w:r>
      <w:r w:rsidR="00770DFB" w:rsidRPr="00776AEE">
        <w:rPr>
          <w:sz w:val="2"/>
          <w:szCs w:val="2"/>
        </w:rPr>
        <w:t> </w:t>
      </w:r>
      <w:r w:rsidR="00770DFB" w:rsidRPr="0026308C">
        <w:t>convergencia</w:t>
      </w:r>
      <w:r w:rsidRPr="00946F49">
        <w:t xml:space="preserve">, ya sabemos que tiene que haberse producido </w:t>
      </w:r>
      <w:r w:rsidR="00770DFB" w:rsidRPr="00770DFB">
        <w:t>β</w:t>
      </w:r>
      <w:r w:rsidR="00770DFB" w:rsidRPr="00776AEE">
        <w:rPr>
          <w:sz w:val="2"/>
          <w:szCs w:val="2"/>
        </w:rPr>
        <w:t> </w:t>
      </w:r>
      <w:r w:rsidR="00770DFB" w:rsidRPr="0026308C">
        <w:t>-</w:t>
      </w:r>
      <w:r w:rsidR="00770DFB" w:rsidRPr="00776AEE">
        <w:rPr>
          <w:sz w:val="2"/>
          <w:szCs w:val="2"/>
        </w:rPr>
        <w:t> </w:t>
      </w:r>
      <w:r w:rsidR="00770DFB" w:rsidRPr="0026308C">
        <w:t>convergencia</w:t>
      </w:r>
      <w:r w:rsidRPr="00946F49">
        <w:t xml:space="preserve"> en términos de renta per cápita. </w:t>
      </w:r>
    </w:p>
    <w:p w14:paraId="7D835A9E" w14:textId="77777777" w:rsidR="00CB15B1" w:rsidRPr="00946F49" w:rsidRDefault="00CB15B1" w:rsidP="00CB15B1">
      <w:pPr>
        <w:pStyle w:val="Nivel4"/>
        <w:ind w:left="1474"/>
        <w:rPr>
          <w:b/>
        </w:rPr>
      </w:pPr>
      <w:r w:rsidRPr="00946F49">
        <w:t>Por lo general, a mayor nivel de renta per cápita de partida (en 1955), menor tasa media de crecimiento desde entonces.</w:t>
      </w:r>
    </w:p>
    <w:p w14:paraId="3338648C" w14:textId="2D4C6FA9" w:rsidR="00CB15B1" w:rsidRDefault="00CB15B1" w:rsidP="00CB15B1">
      <w:pPr>
        <w:pStyle w:val="Ttulo3"/>
      </w:pPr>
      <w:bookmarkStart w:id="31" w:name="_Toc150452804"/>
      <w:r w:rsidRPr="00946F49">
        <w:t>Factores explicativos de la convergencia</w:t>
      </w:r>
      <w:r w:rsidR="0003177C">
        <w:t>: Cambios en la productividad total de los factores</w:t>
      </w:r>
      <w:bookmarkEnd w:id="31"/>
    </w:p>
    <w:p w14:paraId="12EF76DC" w14:textId="77777777" w:rsidR="0003177C" w:rsidRDefault="0003177C" w:rsidP="0003177C">
      <w:pPr>
        <w:pStyle w:val="Ttulo6"/>
        <w:numPr>
          <w:ilvl w:val="0"/>
          <w:numId w:val="47"/>
        </w:numPr>
        <w:tabs>
          <w:tab w:val="num" w:pos="720"/>
        </w:tabs>
        <w:spacing w:before="0"/>
        <w:ind w:left="0" w:hanging="284"/>
        <w:jc w:val="left"/>
      </w:pPr>
      <w:bookmarkStart w:id="32" w:name="_Toc150452805"/>
      <w:r>
        <w:t>Análisis con la productividad</w:t>
      </w:r>
      <w:bookmarkEnd w:id="32"/>
    </w:p>
    <w:p w14:paraId="07AF81E9" w14:textId="77777777" w:rsidR="0003177C" w:rsidRDefault="0003177C" w:rsidP="00CF4185">
      <w:pPr>
        <w:pStyle w:val="Nivel1SM"/>
        <w:keepNext/>
        <w:spacing w:before="0" w:after="0"/>
      </w:pPr>
      <w:r>
        <w:t>Para ver las diferencias en la productividad que han tenido lugar entre las regiones podemos expresar el PIB per cápita como el producto de la productividad aparente (PAT) por el cociente entre empleo y población (tasa de ocupación).</w:t>
      </w:r>
    </w:p>
    <w:p w14:paraId="73176CA8" w14:textId="70B53D75" w:rsidR="0003177C" w:rsidRPr="00946F49" w:rsidRDefault="00000000" w:rsidP="0003177C">
      <w:pPr>
        <w:pStyle w:val="Nivel4"/>
        <w:keepNext/>
        <w:numPr>
          <w:ilvl w:val="0"/>
          <w:numId w:val="0"/>
        </w:numPr>
        <w:rPr>
          <w:b/>
        </w:rPr>
      </w:pPr>
      <m:oMathPara>
        <m:oMath>
          <m:f>
            <m:fPr>
              <m:ctrlPr>
                <w:rPr>
                  <w:rFonts w:ascii="Cambria Math" w:hAnsi="Cambria Math"/>
                  <w:i/>
                  <w:iCs/>
                </w:rPr>
              </m:ctrlPr>
            </m:fPr>
            <m:num>
              <m:r>
                <m:rPr>
                  <m:nor/>
                </m:rPr>
                <w:rPr>
                  <w:i/>
                  <w:iCs/>
                </w:rPr>
                <m:t>Y</m:t>
              </m:r>
            </m:num>
            <m:den>
              <m:r>
                <m:rPr>
                  <m:nor/>
                </m:rPr>
                <w:rPr>
                  <w:i/>
                  <w:iCs/>
                </w:rPr>
                <m:t>POB</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Y</m:t>
                      </m:r>
                    </m:num>
                    <m:den>
                      <m:r>
                        <m:rPr>
                          <m:nor/>
                        </m:rPr>
                        <w:rPr>
                          <w:i/>
                          <w:iCs/>
                        </w:rPr>
                        <m:t>L</m:t>
                      </m:r>
                    </m:den>
                  </m:f>
                </m:e>
              </m:groupChr>
            </m:e>
            <m:lim>
              <m:r>
                <m:rPr>
                  <m:nor/>
                </m:rPr>
                <w:rPr>
                  <w:i/>
                  <w:iCs/>
                </w:rPr>
                <m:t>PAT</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L</m:t>
                      </m:r>
                    </m:num>
                    <m:den>
                      <m:r>
                        <m:rPr>
                          <m:nor/>
                        </m:rPr>
                        <w:rPr>
                          <w:i/>
                          <w:iCs/>
                        </w:rPr>
                        <m:t>POB</m:t>
                      </m:r>
                    </m:den>
                  </m:f>
                </m:e>
              </m:groupChr>
            </m:e>
            <m:lim>
              <m:eqArr>
                <m:eqArrPr>
                  <m:ctrlPr>
                    <w:rPr>
                      <w:rFonts w:ascii="Cambria Math" w:hAnsi="Cambria Math"/>
                      <w:i/>
                      <w:iCs/>
                    </w:rPr>
                  </m:ctrlPr>
                </m:eqArrPr>
                <m:e>
                  <m:r>
                    <m:rPr>
                      <m:nor/>
                    </m:rPr>
                    <w:rPr>
                      <w:i/>
                      <w:iCs/>
                    </w:rPr>
                    <m:t>tasa de</m:t>
                  </m:r>
                </m:e>
                <m:e>
                  <m:r>
                    <m:rPr>
                      <m:nor/>
                    </m:rPr>
                    <w:rPr>
                      <w:i/>
                      <w:iCs/>
                    </w:rPr>
                    <m:t>ocupación</m:t>
                  </m:r>
                </m:e>
              </m:eqArr>
            </m:lim>
          </m:limLow>
          <m:r>
            <m:rPr>
              <m:sty m:val="p"/>
            </m:rPr>
            <w:rPr>
              <w:rFonts w:ascii="Cambria Math" w:hAnsi="Cambria Math"/>
            </w:rPr>
            <w:br/>
          </m:r>
        </m:oMath>
      </m:oMathPara>
      <w:r w:rsidR="0003177C" w:rsidRPr="00C96549">
        <w:rPr>
          <w:iCs/>
        </w:rPr>
        <w:t>donde</w:t>
      </w:r>
      <w:r w:rsidR="0003177C">
        <w:rPr>
          <w:i/>
        </w:rPr>
        <w:t xml:space="preserve"> </w:t>
      </w:r>
      <w:r w:rsidR="0003177C" w:rsidRPr="00946F49">
        <w:rPr>
          <w:i/>
        </w:rPr>
        <w:t>POB</w:t>
      </w:r>
      <w:r w:rsidR="0003177C" w:rsidRPr="00946F49">
        <w:t xml:space="preserve"> es el número de habitantes, y </w:t>
      </w:r>
      <w:r w:rsidR="0003177C" w:rsidRPr="00946F49">
        <w:rPr>
          <w:i/>
        </w:rPr>
        <w:t>L</w:t>
      </w:r>
      <w:r w:rsidR="0003177C" w:rsidRPr="00946F49">
        <w:t xml:space="preserve"> es el número de ocupados.</w:t>
      </w:r>
    </w:p>
    <w:p w14:paraId="64B05EE4" w14:textId="77777777" w:rsidR="0003177C" w:rsidRDefault="0003177C" w:rsidP="0003177C">
      <w:pPr>
        <w:pStyle w:val="Nivel2SM"/>
        <w:keepNext/>
        <w:spacing w:after="0"/>
      </w:pPr>
      <w:r>
        <w:t xml:space="preserve">Si comparamos la PAT y la tasa de ocupación de las distintas regiones entre 1955 y 2017, podemos apreciar que las diferencias en términos de PIB per cápita se basan ahora, en mayor </w:t>
      </w:r>
      <w:r>
        <w:lastRenderedPageBreak/>
        <w:t xml:space="preserve">medida que en 1955, en las diferencias en las tasas de ocupación, </w:t>
      </w:r>
      <w:r w:rsidRPr="004A2C6C">
        <w:rPr>
          <w:i/>
          <w:iCs/>
        </w:rPr>
        <w:t>siendo el diferencial de productividad más reducido</w:t>
      </w:r>
      <w:r>
        <w:t>.</w:t>
      </w:r>
    </w:p>
    <w:p w14:paraId="5D354664" w14:textId="77777777" w:rsidR="0003177C" w:rsidRPr="00C96549" w:rsidRDefault="0003177C" w:rsidP="0003177C">
      <w:pPr>
        <w:pStyle w:val="Nivel3SM"/>
      </w:pPr>
      <w:r>
        <w:t>Pese a ello, las regiones con un PIB per cápita inferior a la media española en 1955 continúan caracterizándose en la actualidad por tener un diferencial de productividad aparente del trabajo negativo respecto a la media española.</w:t>
      </w:r>
    </w:p>
    <w:p w14:paraId="74138B49" w14:textId="3D486AEC" w:rsidR="005547E8" w:rsidRPr="00CF4185" w:rsidRDefault="005547E8" w:rsidP="00C96549">
      <w:pPr>
        <w:pStyle w:val="Ttulo6"/>
        <w:numPr>
          <w:ilvl w:val="0"/>
          <w:numId w:val="47"/>
        </w:numPr>
        <w:spacing w:before="0"/>
        <w:ind w:left="0" w:hanging="284"/>
        <w:jc w:val="left"/>
        <w:rPr>
          <w:u w:val="none"/>
        </w:rPr>
      </w:pPr>
      <w:bookmarkStart w:id="33" w:name="_Toc150452806"/>
      <w:r>
        <w:t>Cambios en la población (análisis con PIB total)</w:t>
      </w:r>
      <w:r w:rsidR="00CF4185">
        <w:t>:</w:t>
      </w:r>
      <w:r w:rsidR="00C96549">
        <w:br/>
      </w:r>
      <w:r w:rsidR="00C96549" w:rsidRPr="00CF4185">
        <w:rPr>
          <w:u w:val="none"/>
        </w:rPr>
        <w:t>Cambios en la productividad incitan movimientos en los factores productivos</w:t>
      </w:r>
      <w:bookmarkEnd w:id="33"/>
    </w:p>
    <w:p w14:paraId="19C545CF" w14:textId="77777777" w:rsidR="005547E8" w:rsidRDefault="005547E8" w:rsidP="005547E8">
      <w:pPr>
        <w:pStyle w:val="Nivel1SM"/>
        <w:keepNext/>
        <w:spacing w:before="0" w:after="0"/>
      </w:pPr>
      <w:r>
        <w:t xml:space="preserve">Aunque realizar el análisis en términos de renta per cápita nos da un indicador más cercano a la evolución de las condiciones de vida media, tomar el PIB tiene ventajas porque </w:t>
      </w:r>
      <w:r w:rsidRPr="005547E8">
        <w:rPr>
          <w:i/>
          <w:iCs/>
          <w:u w:val="single"/>
        </w:rPr>
        <w:t>la convergencia en términos de PIB per cápita puede ocultar cambios en la población</w:t>
      </w:r>
      <w:r>
        <w:t>.</w:t>
      </w:r>
    </w:p>
    <w:p w14:paraId="617B8C4A" w14:textId="77777777" w:rsidR="005547E8" w:rsidRDefault="005547E8" w:rsidP="005547E8">
      <w:pPr>
        <w:pStyle w:val="Nivel2SM"/>
      </w:pPr>
      <w:r>
        <w:t>Pues bien, considerando el crecimiento del PIB la relación deja de ser significativa.</w:t>
      </w:r>
    </w:p>
    <w:p w14:paraId="14821FC6" w14:textId="18F87AB1" w:rsidR="005547E8" w:rsidRDefault="005547E8" w:rsidP="005547E8">
      <w:pPr>
        <w:pStyle w:val="Nivel2SM"/>
      </w:pPr>
      <w:r>
        <w:t>Esto sugiere que el crecimiento del PIB per cápita de las regiones de menor nivel de renta no</w:t>
      </w:r>
      <w:r w:rsidR="0003177C">
        <w:t xml:space="preserve"> </w:t>
      </w:r>
      <w:r>
        <w:t>se produce tanto por un aumento de su peso económico como por una pérdida de población.</w:t>
      </w:r>
    </w:p>
    <w:p w14:paraId="3517CF40" w14:textId="74E2893C" w:rsidR="005547E8" w:rsidRDefault="005547E8" w:rsidP="005547E8">
      <w:pPr>
        <w:pStyle w:val="Nivel2SM"/>
        <w:keepNext/>
        <w:spacing w:after="0"/>
      </w:pPr>
      <w:r>
        <w:t>Es decir, la convergencia tiene que ver, fundamentalmente, con que la integración de las distintas regiones en un mismo mercado ha conducido a un desplazamiento neto de los factores productivos hacia las zonas de mayor nivel de renta donde su productividad y remuneración es mayor.</w:t>
      </w:r>
    </w:p>
    <w:p w14:paraId="090DCAA7" w14:textId="77777777" w:rsidR="005547E8" w:rsidRDefault="005547E8" w:rsidP="005125F8">
      <w:pPr>
        <w:pStyle w:val="Nivel3SM"/>
      </w:pPr>
      <w:r>
        <w:t xml:space="preserve">Este fenómeno podría ser explicado mediante la Teoría de la Nueva Geografía Económica, estudiada por autores como </w:t>
      </w:r>
      <w:r>
        <w:rPr>
          <w:smallCaps/>
        </w:rPr>
        <w:t>Fujita</w:t>
      </w:r>
      <w:r>
        <w:t xml:space="preserve">, </w:t>
      </w:r>
      <w:r>
        <w:rPr>
          <w:smallCaps/>
        </w:rPr>
        <w:t>Venables</w:t>
      </w:r>
      <w:r>
        <w:t xml:space="preserve"> y </w:t>
      </w:r>
      <w:r w:rsidRPr="005547E8">
        <w:rPr>
          <w:smallCaps/>
        </w:rPr>
        <w:t>Krugman</w:t>
      </w:r>
      <w:r>
        <w:t>.</w:t>
      </w:r>
    </w:p>
    <w:p w14:paraId="04C546E3" w14:textId="4B6C9B01" w:rsidR="005547E8" w:rsidRDefault="005547E8" w:rsidP="005547E8">
      <w:pPr>
        <w:pStyle w:val="Nivel3SM"/>
        <w:keepNext/>
      </w:pPr>
      <w:r>
        <w:rPr>
          <w:smallCaps/>
        </w:rPr>
        <w:t>Krugman</w:t>
      </w:r>
      <w:r>
        <w:t xml:space="preserve"> (1991) estudia los efectos de la localización geográfica de la actividad económica. </w:t>
      </w:r>
      <w:r w:rsidRPr="00565034">
        <w:rPr>
          <w:smallCaps/>
        </w:rPr>
        <w:t>Krugman</w:t>
      </w:r>
      <w:r>
        <w:t xml:space="preserve"> defiende que la localización de las actividades es el resultado de 2 fuerzas contrapuestas:</w:t>
      </w:r>
    </w:p>
    <w:p w14:paraId="1F3D2B0A" w14:textId="583E256F" w:rsidR="005547E8" w:rsidRPr="00F237E4" w:rsidRDefault="005547E8" w:rsidP="005547E8">
      <w:pPr>
        <w:pStyle w:val="Nivel4"/>
        <w:ind w:left="1474"/>
        <w:rPr>
          <w:spacing w:val="-3"/>
        </w:rPr>
      </w:pPr>
      <w:r w:rsidRPr="00F237E4">
        <w:rPr>
          <w:i/>
          <w:iCs/>
          <w:spacing w:val="-3"/>
        </w:rPr>
        <w:t>Fuerzas centrípetas</w:t>
      </w:r>
      <w:r w:rsidRPr="00F237E4">
        <w:rPr>
          <w:spacing w:val="-3"/>
        </w:rPr>
        <w:t>, que incentivan la concentración geográfica de actividades por la existencia de economías de aglomeración</w:t>
      </w:r>
      <w:r w:rsidR="00C96549" w:rsidRPr="00F237E4">
        <w:rPr>
          <w:spacing w:val="-3"/>
        </w:rPr>
        <w:t xml:space="preserve"> </w:t>
      </w:r>
      <w:r w:rsidRPr="00F237E4">
        <w:rPr>
          <w:spacing w:val="-3"/>
        </w:rPr>
        <w:t>(asociadas con economías de escala externa)</w:t>
      </w:r>
      <w:r w:rsidR="00C96549" w:rsidRPr="00F237E4">
        <w:rPr>
          <w:spacing w:val="-3"/>
        </w:rPr>
        <w:t>.</w:t>
      </w:r>
    </w:p>
    <w:p w14:paraId="29EB8F19" w14:textId="632F09EF" w:rsidR="005547E8" w:rsidRDefault="005547E8" w:rsidP="005547E8">
      <w:pPr>
        <w:pStyle w:val="Nivel4"/>
        <w:ind w:left="1474"/>
      </w:pPr>
      <w:r w:rsidRPr="005547E8">
        <w:rPr>
          <w:i/>
          <w:iCs/>
        </w:rPr>
        <w:t>Fuerzas centrífugas</w:t>
      </w:r>
      <w:r>
        <w:t>, que incentivan la dispersión económica de actividades y contribuirían a la convergencia-inmovilidad del factor trabajo, aumento precio suelo en regiones ricas, etc.</w:t>
      </w:r>
    </w:p>
    <w:p w14:paraId="4E009B9F" w14:textId="6ACA6124" w:rsidR="005547E8" w:rsidRDefault="005547E8" w:rsidP="00C96549">
      <w:pPr>
        <w:pStyle w:val="Nivel1SM"/>
        <w:keepNext/>
        <w:spacing w:after="0"/>
      </w:pPr>
      <w:r>
        <w:t xml:space="preserve">En resumidas cuentas, se puede afirmar que, de la misma manera que es posible constatar un proceso de convergencia en términos de renta </w:t>
      </w:r>
      <w:r w:rsidR="00C96549">
        <w:t>per cápita</w:t>
      </w:r>
      <w:r>
        <w:t>, se observa, por el contrario, un proceso de divergencia regional en términos de renta total y de población</w:t>
      </w:r>
      <w:r w:rsidR="00C96549">
        <w:t>.</w:t>
      </w:r>
    </w:p>
    <w:p w14:paraId="29F9D87F" w14:textId="77777777" w:rsidR="00C96549" w:rsidRPr="00F546F8" w:rsidRDefault="00C96549" w:rsidP="00C96549">
      <w:pPr>
        <w:pStyle w:val="Nivel2SM"/>
        <w:keepNext/>
        <w:spacing w:after="0"/>
      </w:pPr>
      <w:r>
        <w:t>E</w:t>
      </w:r>
      <w:r w:rsidRPr="00946F49">
        <w:t xml:space="preserve">l </w:t>
      </w:r>
      <w:r w:rsidRPr="00F546F8">
        <w:t>principal factor explicativo de la convergencia dinámica está relacionado con la productividad:</w:t>
      </w:r>
    </w:p>
    <w:p w14:paraId="70F358B3" w14:textId="77777777" w:rsidR="00C96549" w:rsidRPr="00F546F8" w:rsidRDefault="00C96549" w:rsidP="00C96549">
      <w:pPr>
        <w:pStyle w:val="Nivel3SM"/>
      </w:pPr>
      <w:r w:rsidRPr="003E22D3">
        <w:rPr>
          <w:i/>
          <w:iCs/>
          <w:u w:val="single"/>
        </w:rPr>
        <w:t>Éxodo rural</w:t>
      </w:r>
      <w:r w:rsidRPr="00F546F8">
        <w:t xml:space="preserve">: </w:t>
      </w:r>
      <w:r>
        <w:t>E</w:t>
      </w:r>
      <w:r w:rsidRPr="00F546F8">
        <w:t>l trabajo se vuelve más escaso en las regiones más pobres, y más abundante en las más ricas, por lo que la productividad del trabajo aumenta en las regiones pobres y disminuye en las ricas.</w:t>
      </w:r>
    </w:p>
    <w:p w14:paraId="429EBFB1" w14:textId="77777777" w:rsidR="00C96549" w:rsidRPr="00F546F8" w:rsidRDefault="00C96549" w:rsidP="00C96549">
      <w:pPr>
        <w:pStyle w:val="Nivel3SM"/>
      </w:pPr>
      <w:r w:rsidRPr="003E22D3">
        <w:rPr>
          <w:i/>
          <w:iCs/>
          <w:u w:val="single"/>
        </w:rPr>
        <w:t>Política regional</w:t>
      </w:r>
      <w:r w:rsidRPr="00F546F8">
        <w:t>, que luego veremos.</w:t>
      </w:r>
    </w:p>
    <w:p w14:paraId="16B6E61A" w14:textId="72AAB52C" w:rsidR="00A568F1" w:rsidRDefault="00A568F1" w:rsidP="00A568F1">
      <w:pPr>
        <w:pStyle w:val="Ttulo3"/>
      </w:pPr>
      <w:bookmarkStart w:id="34" w:name="_Toc150452807"/>
      <w:r>
        <w:t>Situación actual</w:t>
      </w:r>
      <w:bookmarkEnd w:id="34"/>
    </w:p>
    <w:p w14:paraId="5DA6422D" w14:textId="72789213" w:rsidR="00A568F1" w:rsidRDefault="001179A4" w:rsidP="001179A4">
      <w:pPr>
        <w:pStyle w:val="Nivel1SM"/>
        <w:spacing w:before="0"/>
      </w:pPr>
      <w:r>
        <w:t>Un informe del Banco de España (2023)</w:t>
      </w:r>
      <w:r>
        <w:rPr>
          <w:rStyle w:val="Refdenotaalpie"/>
        </w:rPr>
        <w:footnoteReference w:id="10"/>
      </w:r>
      <w:r>
        <w:t>, encuentra que, s</w:t>
      </w:r>
      <w:r w:rsidR="00A568F1">
        <w:t>i bien este proceso se produjo con una cierta intensidad desde 1980</w:t>
      </w:r>
      <w:r w:rsidR="00445584">
        <w:rPr>
          <w:rStyle w:val="Refdenotaalpie"/>
        </w:rPr>
        <w:footnoteReference w:id="11"/>
      </w:r>
      <w:r w:rsidR="00A568F1">
        <w:t xml:space="preserve"> entre las comunidades autónomas españolas, parece haberse detenido </w:t>
      </w:r>
      <w:r w:rsidR="00A568F1">
        <w:lastRenderedPageBreak/>
        <w:t>a partir de 2008, coincidiendo con el estallido de la crisis financiera, por lo que resulta de interés documentar este fenómeno e indagar sobre sus posibles causas.</w:t>
      </w:r>
    </w:p>
    <w:p w14:paraId="6BE93F2A" w14:textId="5471AAF7" w:rsidR="00A568F1" w:rsidRPr="00A568F1" w:rsidRDefault="00A568F1" w:rsidP="00A568F1">
      <w:pPr>
        <w:pStyle w:val="Ttuloimagen"/>
        <w:rPr>
          <w:i/>
          <w:iCs/>
          <w:smallCaps w:val="0"/>
        </w:rPr>
      </w:pPr>
      <w:r>
        <w:t>Imagen </w:t>
      </w:r>
      <w:r>
        <w:fldChar w:fldCharType="begin"/>
      </w:r>
      <w:r>
        <w:instrText xml:space="preserve"> SEQ Ilustración \* ARABIC </w:instrText>
      </w:r>
      <w:r>
        <w:fldChar w:fldCharType="separate"/>
      </w:r>
      <w:r w:rsidR="00EC13F1">
        <w:t>4</w:t>
      </w:r>
      <w:r>
        <w:fldChar w:fldCharType="end"/>
      </w:r>
      <w:r>
        <w:rPr>
          <w:smallCaps w:val="0"/>
        </w:rPr>
        <w:t xml:space="preserve">.– </w:t>
      </w:r>
      <w:r>
        <w:rPr>
          <w:i/>
          <w:iCs/>
          <w:smallCaps w:val="0"/>
        </w:rPr>
        <w:t xml:space="preserve">Evolución de la </w:t>
      </w:r>
      <w:r w:rsidRPr="00A568F1">
        <w:rPr>
          <w:i/>
          <w:iCs/>
          <w:smallCaps w:val="0"/>
        </w:rPr>
        <w:t>β</w:t>
      </w:r>
      <w:r w:rsidRPr="00A568F1">
        <w:rPr>
          <w:i/>
          <w:iCs/>
          <w:smallCaps w:val="0"/>
          <w:sz w:val="2"/>
          <w:szCs w:val="2"/>
        </w:rPr>
        <w:t> </w:t>
      </w:r>
      <w:r w:rsidRPr="00A568F1">
        <w:rPr>
          <w:i/>
          <w:iCs/>
          <w:smallCaps w:val="0"/>
        </w:rPr>
        <w:t>-</w:t>
      </w:r>
      <w:r w:rsidRPr="00A568F1">
        <w:rPr>
          <w:i/>
          <w:iCs/>
          <w:smallCaps w:val="0"/>
          <w:sz w:val="2"/>
          <w:szCs w:val="2"/>
        </w:rPr>
        <w:t> </w:t>
      </w:r>
      <w:r w:rsidRPr="00A568F1">
        <w:rPr>
          <w:i/>
          <w:iCs/>
          <w:smallCaps w:val="0"/>
        </w:rPr>
        <w:t>convergencia y σ</w:t>
      </w:r>
      <w:r w:rsidRPr="00A568F1">
        <w:rPr>
          <w:i/>
          <w:iCs/>
          <w:smallCaps w:val="0"/>
          <w:sz w:val="2"/>
          <w:szCs w:val="2"/>
        </w:rPr>
        <w:t> </w:t>
      </w:r>
      <w:r>
        <w:rPr>
          <w:i/>
          <w:iCs/>
          <w:smallCaps w:val="0"/>
        </w:rPr>
        <w:t>–</w:t>
      </w:r>
      <w:r w:rsidRPr="00A568F1">
        <w:rPr>
          <w:i/>
          <w:iCs/>
          <w:smallCaps w:val="0"/>
          <w:sz w:val="2"/>
          <w:szCs w:val="2"/>
        </w:rPr>
        <w:t> </w:t>
      </w:r>
      <w:r w:rsidRPr="00A568F1">
        <w:rPr>
          <w:i/>
          <w:iCs/>
          <w:smallCaps w:val="0"/>
        </w:rPr>
        <w:t>convergencia</w:t>
      </w:r>
      <w:r>
        <w:rPr>
          <w:i/>
          <w:iCs/>
          <w:smallCaps w:val="0"/>
        </w:rPr>
        <w:t xml:space="preserve"> entre las regiones españolas</w:t>
      </w:r>
    </w:p>
    <w:p w14:paraId="36E7347B" w14:textId="405B2CD6" w:rsidR="00A568F1" w:rsidRDefault="00A568F1" w:rsidP="00A568F1">
      <w:pPr>
        <w:pStyle w:val="Imagen"/>
      </w:pPr>
      <w:r w:rsidRPr="00A568F1">
        <w:drawing>
          <wp:inline distT="0" distB="0" distL="0" distR="0" wp14:anchorId="5F0757D5" wp14:editId="409513CA">
            <wp:extent cx="6120130" cy="2387600"/>
            <wp:effectExtent l="0" t="0" r="0" b="0"/>
            <wp:docPr id="393659957"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59957" name="Imagen 1" descr="Gráfico, Gráfico de dispersión&#10;&#10;Descripción generada automáticamente"/>
                    <pic:cNvPicPr/>
                  </pic:nvPicPr>
                  <pic:blipFill>
                    <a:blip r:embed="rId17"/>
                    <a:stretch>
                      <a:fillRect/>
                    </a:stretch>
                  </pic:blipFill>
                  <pic:spPr>
                    <a:xfrm>
                      <a:off x="0" y="0"/>
                      <a:ext cx="6120130" cy="2387600"/>
                    </a:xfrm>
                    <a:prstGeom prst="rect">
                      <a:avLst/>
                    </a:prstGeom>
                  </pic:spPr>
                </pic:pic>
              </a:graphicData>
            </a:graphic>
          </wp:inline>
        </w:drawing>
      </w:r>
      <w:r w:rsidRPr="00A568F1">
        <w:drawing>
          <wp:inline distT="0" distB="0" distL="0" distR="0" wp14:anchorId="16A324BB" wp14:editId="0BC4D881">
            <wp:extent cx="4596130" cy="2222242"/>
            <wp:effectExtent l="0" t="0" r="0" b="6985"/>
            <wp:docPr id="53424096"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4096" name="Imagen 1" descr="Gráfico, Gráfico de líneas&#10;&#10;Descripción generada automáticamente"/>
                    <pic:cNvPicPr/>
                  </pic:nvPicPr>
                  <pic:blipFill>
                    <a:blip r:embed="rId18"/>
                    <a:stretch>
                      <a:fillRect/>
                    </a:stretch>
                  </pic:blipFill>
                  <pic:spPr>
                    <a:xfrm>
                      <a:off x="0" y="0"/>
                      <a:ext cx="4599057" cy="2223657"/>
                    </a:xfrm>
                    <a:prstGeom prst="rect">
                      <a:avLst/>
                    </a:prstGeom>
                  </pic:spPr>
                </pic:pic>
              </a:graphicData>
            </a:graphic>
          </wp:inline>
        </w:drawing>
      </w:r>
    </w:p>
    <w:p w14:paraId="14AA08BE" w14:textId="3290A48D" w:rsidR="00A568F1" w:rsidRDefault="00A568F1" w:rsidP="00A568F1">
      <w:pPr>
        <w:pStyle w:val="PiedeImagen"/>
        <w:rPr>
          <w:i w:val="0"/>
          <w:iCs/>
        </w:rPr>
      </w:pPr>
      <w:r>
        <w:t>Fuente</w:t>
      </w:r>
      <w:r>
        <w:rPr>
          <w:i w:val="0"/>
          <w:iCs/>
        </w:rPr>
        <w:t xml:space="preserve">: </w:t>
      </w:r>
      <w:r w:rsidRPr="00A568F1">
        <w:rPr>
          <w:i w:val="0"/>
          <w:iCs/>
        </w:rPr>
        <w:t xml:space="preserve">Auciello, I. &amp; Puente, S. (2023). Cambios recientes en el patrón de convergencia entre regiones. </w:t>
      </w:r>
      <w:r w:rsidRPr="00A568F1">
        <w:t>Boletín Económico, 2023/T1, 17</w:t>
      </w:r>
      <w:r w:rsidRPr="00A568F1">
        <w:rPr>
          <w:i w:val="0"/>
          <w:iCs/>
        </w:rPr>
        <w:t xml:space="preserve">. </w:t>
      </w:r>
      <w:hyperlink r:id="rId19" w:history="1">
        <w:r w:rsidRPr="008C4AF0">
          <w:rPr>
            <w:rStyle w:val="Hipervnculo"/>
            <w:i w:val="0"/>
            <w:iCs/>
          </w:rPr>
          <w:t>https://doi.org/10.53479/29770</w:t>
        </w:r>
      </w:hyperlink>
    </w:p>
    <w:p w14:paraId="2CEFAF68" w14:textId="242478A3" w:rsidR="001179A4" w:rsidRPr="001179A4" w:rsidRDefault="001179A4" w:rsidP="001179A4">
      <w:pPr>
        <w:jc w:val="center"/>
      </w:pPr>
      <w:r w:rsidRPr="001179A4">
        <w:rPr>
          <w:noProof/>
        </w:rPr>
        <w:drawing>
          <wp:inline distT="0" distB="0" distL="0" distR="0" wp14:anchorId="2634C08F" wp14:editId="6B2EAB45">
            <wp:extent cx="4945710" cy="1593321"/>
            <wp:effectExtent l="0" t="0" r="7620" b="6985"/>
            <wp:docPr id="43831075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310754" name="Imagen 1" descr="Interfaz de usuario gráfica, Texto, Aplicación&#10;&#10;Descripción generada automáticamente"/>
                    <pic:cNvPicPr/>
                  </pic:nvPicPr>
                  <pic:blipFill>
                    <a:blip r:embed="rId20"/>
                    <a:stretch>
                      <a:fillRect/>
                    </a:stretch>
                  </pic:blipFill>
                  <pic:spPr>
                    <a:xfrm>
                      <a:off x="0" y="0"/>
                      <a:ext cx="4966532" cy="1600029"/>
                    </a:xfrm>
                    <a:prstGeom prst="rect">
                      <a:avLst/>
                    </a:prstGeom>
                  </pic:spPr>
                </pic:pic>
              </a:graphicData>
            </a:graphic>
          </wp:inline>
        </w:drawing>
      </w:r>
    </w:p>
    <w:p w14:paraId="0BF3CAEB" w14:textId="724E787B" w:rsidR="00AC1D63" w:rsidRPr="00946F49" w:rsidRDefault="00AC1D63" w:rsidP="00AC1D63">
      <w:pPr>
        <w:pStyle w:val="Ttulo3"/>
      </w:pPr>
      <w:bookmarkStart w:id="35" w:name="_Toc150452808"/>
      <w:r w:rsidRPr="00946F49">
        <w:t>Perspectivas de futuro</w:t>
      </w:r>
      <w:bookmarkEnd w:id="35"/>
    </w:p>
    <w:p w14:paraId="22BC4E46" w14:textId="77777777" w:rsidR="00AC1D63" w:rsidRPr="00946F49" w:rsidRDefault="00AC1D63" w:rsidP="00AC1D63">
      <w:pPr>
        <w:pStyle w:val="Ttulo6"/>
        <w:spacing w:before="0"/>
      </w:pPr>
      <w:bookmarkStart w:id="36" w:name="_Toc150452809"/>
      <w:r w:rsidRPr="00946F49">
        <w:t>Primera visión</w:t>
      </w:r>
      <w:bookmarkEnd w:id="36"/>
    </w:p>
    <w:p w14:paraId="2D13900C" w14:textId="77777777" w:rsidR="00AC1D63" w:rsidRPr="00F546F8" w:rsidRDefault="00AC1D63" w:rsidP="00AC1D63">
      <w:pPr>
        <w:pStyle w:val="Nivel2SM"/>
      </w:pPr>
      <w:r w:rsidRPr="00F546F8">
        <w:t>Según algunos estudios se espera que la desigualdad aumente a lo largo de los siguientes años pero vuelva a reducirse posteriormente.</w:t>
      </w:r>
    </w:p>
    <w:p w14:paraId="6289F42C" w14:textId="77777777" w:rsidR="00AC1D63" w:rsidRPr="00F546F8" w:rsidRDefault="00AC1D63" w:rsidP="00770DFB">
      <w:pPr>
        <w:pStyle w:val="Nivel2SM"/>
        <w:keepNext/>
        <w:spacing w:after="0"/>
      </w:pPr>
      <w:r w:rsidRPr="00EA5FBE">
        <w:rPr>
          <w:i/>
          <w:iCs/>
          <w:u w:val="single"/>
        </w:rPr>
        <w:lastRenderedPageBreak/>
        <w:t>Mecanismo</w:t>
      </w:r>
      <w:r w:rsidRPr="00F546F8">
        <w:t>:</w:t>
      </w:r>
    </w:p>
    <w:p w14:paraId="616937B0" w14:textId="6EAA490C" w:rsidR="00AC1D63" w:rsidRPr="008038BE" w:rsidRDefault="00AC1D63" w:rsidP="00770DFB">
      <w:pPr>
        <w:pStyle w:val="Nivel3SM"/>
        <w:keepNext/>
        <w:rPr>
          <w:u w:val="single"/>
        </w:rPr>
      </w:pPr>
      <w:r w:rsidRPr="00EA5FBE">
        <w:rPr>
          <w:i/>
          <w:iCs/>
        </w:rPr>
        <w:t>Primera fase</w:t>
      </w:r>
      <w:r w:rsidRPr="00E0149A">
        <w:t xml:space="preserve">: </w:t>
      </w:r>
      <w:r w:rsidRPr="00F546F8">
        <w:t>Los shocks tecnológicos que alimentan el crecimiento económico se concentran inicialmente en aquellas regiones con mejor dotación de factores o instituciones y la desigualdad territorial tiende inicialmente a crecer.</w:t>
      </w:r>
    </w:p>
    <w:p w14:paraId="1C8A56DF" w14:textId="77777777" w:rsidR="00AC1D63" w:rsidRPr="00F546F8" w:rsidRDefault="00AC1D63" w:rsidP="00770DFB">
      <w:pPr>
        <w:pStyle w:val="Nivel4"/>
        <w:keepNext/>
        <w:ind w:left="1474"/>
      </w:pPr>
      <w:r w:rsidRPr="00F546F8">
        <w:t>Por ejemplo en la actualidad en España existe una importante disparidad regional en términos de porcentajes de empleos STEM y TIC con respecto al empleo total.</w:t>
      </w:r>
    </w:p>
    <w:p w14:paraId="02336D20" w14:textId="77777777" w:rsidR="00AC1D63" w:rsidRPr="00F546F8" w:rsidRDefault="00AC1D63" w:rsidP="00770DFB">
      <w:pPr>
        <w:pStyle w:val="Nivel5"/>
        <w:ind w:left="1871"/>
      </w:pPr>
      <w:r w:rsidRPr="00F546F8">
        <w:t>Madrid (13</w:t>
      </w:r>
      <w:r>
        <w:t> %</w:t>
      </w:r>
      <w:r w:rsidRPr="00F546F8">
        <w:t>), Navarra (9</w:t>
      </w:r>
      <w:r>
        <w:t> %</w:t>
      </w:r>
      <w:r w:rsidRPr="00F546F8">
        <w:t>), PV (9</w:t>
      </w:r>
      <w:r>
        <w:t> %</w:t>
      </w:r>
      <w:r w:rsidRPr="00F546F8">
        <w:t>), Cataluña (9</w:t>
      </w:r>
      <w:r>
        <w:t> %</w:t>
      </w:r>
      <w:r w:rsidRPr="00F546F8">
        <w:t>), Asturias y Aragón se sitúan por encima de la media.</w:t>
      </w:r>
    </w:p>
    <w:p w14:paraId="09EE1C60" w14:textId="77777777" w:rsidR="00AC1D63" w:rsidRPr="00F546F8" w:rsidRDefault="00AC1D63" w:rsidP="00770DFB">
      <w:pPr>
        <w:pStyle w:val="Nivel5"/>
        <w:ind w:left="1871"/>
      </w:pPr>
      <w:r w:rsidRPr="00F546F8">
        <w:t>Canarias, Extremadura y Baleares son las que menos empleo dedican a dichas áreas (3</w:t>
      </w:r>
      <w:r>
        <w:t> %</w:t>
      </w:r>
      <w:r w:rsidRPr="00F546F8">
        <w:t>-4</w:t>
      </w:r>
      <w:r>
        <w:t> %</w:t>
      </w:r>
      <w:r w:rsidRPr="00F546F8">
        <w:t>).</w:t>
      </w:r>
    </w:p>
    <w:p w14:paraId="0EC347C0" w14:textId="77777777" w:rsidR="00AC1D63" w:rsidRDefault="00AC1D63" w:rsidP="00770DFB">
      <w:pPr>
        <w:pStyle w:val="Nivel3SM"/>
        <w:keepNext/>
        <w:rPr>
          <w:u w:val="single"/>
        </w:rPr>
      </w:pPr>
      <w:r w:rsidRPr="00EA5FBE">
        <w:rPr>
          <w:i/>
          <w:iCs/>
        </w:rPr>
        <w:t>Segunda fase</w:t>
      </w:r>
      <w:r w:rsidRPr="008038BE">
        <w:t>: La</w:t>
      </w:r>
      <w:r w:rsidRPr="00F546F8">
        <w:t xml:space="preserve"> difusión de las nuevas tecnologías desde la región líder a las seguidoras provoca el inicio de un proceso de convergencia regional impulsado por el catch-up tecnológico y los flujos de factores.</w:t>
      </w:r>
    </w:p>
    <w:p w14:paraId="74A4560C" w14:textId="673720EE" w:rsidR="00AC1D63" w:rsidRPr="008038BE" w:rsidRDefault="00AC1D63" w:rsidP="00770DFB">
      <w:pPr>
        <w:pStyle w:val="Nivel4"/>
        <w:ind w:left="1474"/>
        <w:rPr>
          <w:u w:val="single"/>
        </w:rPr>
      </w:pPr>
      <w:r w:rsidRPr="00F546F8">
        <w:t>Un reciente estudio de FEDEA estima que la disparidad tardará aproximadamente 80</w:t>
      </w:r>
      <w:r w:rsidR="00E0149A">
        <w:t> </w:t>
      </w:r>
      <w:r w:rsidRPr="00F546F8">
        <w:t>años para reducirse un 50</w:t>
      </w:r>
      <w:r>
        <w:t> %</w:t>
      </w:r>
      <w:r w:rsidRPr="00F546F8">
        <w:t xml:space="preserve"> adicional.</w:t>
      </w:r>
    </w:p>
    <w:p w14:paraId="5F85FBFD" w14:textId="77777777" w:rsidR="00AC1D63" w:rsidRPr="00F546F8" w:rsidRDefault="00AC1D63" w:rsidP="00AC1D63">
      <w:pPr>
        <w:pStyle w:val="Ttulo6"/>
      </w:pPr>
      <w:bookmarkStart w:id="37" w:name="_Toc150452810"/>
      <w:r w:rsidRPr="00F546F8">
        <w:t>Teoría de la Nueva Geografía Económica</w:t>
      </w:r>
      <w:bookmarkEnd w:id="37"/>
    </w:p>
    <w:p w14:paraId="3220F140" w14:textId="77777777" w:rsidR="00AC1D63" w:rsidRPr="00F546F8" w:rsidRDefault="00AC1D63" w:rsidP="00AC1D63">
      <w:pPr>
        <w:pStyle w:val="Nivel2SM"/>
      </w:pPr>
      <w:r w:rsidRPr="00F546F8">
        <w:t>No obstante</w:t>
      </w:r>
      <w:r>
        <w:t>,</w:t>
      </w:r>
      <w:r w:rsidRPr="00F546F8">
        <w:t xml:space="preserve"> existen otras voces que alertan no solo de un estancamiento de las disparidades si no de un aumento de </w:t>
      </w:r>
      <w:proofErr w:type="gramStart"/>
      <w:r w:rsidRPr="00F546F8">
        <w:t>las mismas</w:t>
      </w:r>
      <w:proofErr w:type="gramEnd"/>
      <w:r w:rsidRPr="00F546F8">
        <w:t xml:space="preserve"> basándose en los argumentos de la </w:t>
      </w:r>
      <w:r w:rsidRPr="00E34338">
        <w:rPr>
          <w:b/>
          <w:bCs/>
        </w:rPr>
        <w:t>Nueva Geografía Económica</w:t>
      </w:r>
      <w:r w:rsidRPr="00F546F8">
        <w:t xml:space="preserve"> de </w:t>
      </w:r>
      <w:r w:rsidRPr="00E24757">
        <w:rPr>
          <w:smallCaps/>
        </w:rPr>
        <w:t>Krugman</w:t>
      </w:r>
      <w:r w:rsidRPr="00F546F8">
        <w:t>.</w:t>
      </w:r>
    </w:p>
    <w:p w14:paraId="34D40402" w14:textId="77777777" w:rsidR="00AC1D63" w:rsidRPr="00946F49" w:rsidRDefault="00AC1D63" w:rsidP="00AC1D63">
      <w:pPr>
        <w:pStyle w:val="Nivel2SM"/>
        <w:keepNext/>
        <w:spacing w:after="0"/>
      </w:pPr>
      <w:r w:rsidRPr="00946F49">
        <w:t xml:space="preserve">En efecto, la Teoría de la Nueva Geografía Económica, propuesta por </w:t>
      </w:r>
      <w:r w:rsidRPr="00E24757">
        <w:rPr>
          <w:smallCaps/>
        </w:rPr>
        <w:t>Krugman</w:t>
      </w:r>
      <w:r w:rsidRPr="00946F49">
        <w:t xml:space="preserve">, defiende que </w:t>
      </w:r>
      <w:r w:rsidRPr="00E34338">
        <w:t>la localización de las actividades en un libre mercado es el resultado de</w:t>
      </w:r>
      <w:r w:rsidRPr="00946F49">
        <w:rPr>
          <w:u w:val="single"/>
        </w:rPr>
        <w:t xml:space="preserve"> </w:t>
      </w:r>
      <w:r w:rsidRPr="00E34338">
        <w:rPr>
          <w:i/>
          <w:iCs/>
          <w:u w:val="single"/>
        </w:rPr>
        <w:t>2 fuerzas contrapuestas</w:t>
      </w:r>
      <w:r w:rsidRPr="00946F49">
        <w:t>:</w:t>
      </w:r>
    </w:p>
    <w:p w14:paraId="44AA9FD0" w14:textId="77777777" w:rsidR="00AC1D63" w:rsidRPr="00E34338" w:rsidRDefault="00AC1D63" w:rsidP="00AC1D63">
      <w:pPr>
        <w:pStyle w:val="Nivel3SM"/>
      </w:pPr>
      <w:r w:rsidRPr="00E34338">
        <w:rPr>
          <w:i/>
          <w:iCs/>
          <w:u w:val="single"/>
        </w:rPr>
        <w:t>Fuerzas centrípetas</w:t>
      </w:r>
      <w:r w:rsidRPr="00946F49">
        <w:t>:</w:t>
      </w:r>
      <w:r>
        <w:t xml:space="preserve"> </w:t>
      </w:r>
      <w:r w:rsidRPr="00946F49">
        <w:t xml:space="preserve">Incentivan la </w:t>
      </w:r>
      <w:r w:rsidRPr="00E34338">
        <w:t xml:space="preserve">concentración geográfica de actividades por la existencia de economías de aglomeración (pues los </w:t>
      </w:r>
      <w:proofErr w:type="spellStart"/>
      <w:r w:rsidRPr="00E34338">
        <w:t>clusters</w:t>
      </w:r>
      <w:proofErr w:type="spellEnd"/>
      <w:r w:rsidRPr="00E34338">
        <w:t xml:space="preserve"> permiten la especialización del trabajo, una reducción de los costes de transporte y almacenamiento, y la generación externalidades productivas).</w:t>
      </w:r>
    </w:p>
    <w:p w14:paraId="60C1B54B" w14:textId="77777777" w:rsidR="00AC1D63" w:rsidRPr="006A6C72" w:rsidRDefault="00AC1D63" w:rsidP="00AC1D63">
      <w:pPr>
        <w:pStyle w:val="Nivel3SM"/>
      </w:pPr>
      <w:r w:rsidRPr="006A6C72">
        <w:rPr>
          <w:i/>
          <w:iCs/>
          <w:u w:val="single"/>
        </w:rPr>
        <w:t>Fuerzas centrífugas</w:t>
      </w:r>
      <w:r w:rsidRPr="006A6C72">
        <w:t>: Incentivan la dispersión geográfica de actividades por la existencia de economías de congestión (pues, p.ej., aumenta el precio de los factores –particularmente, suelo–).</w:t>
      </w:r>
    </w:p>
    <w:p w14:paraId="0254EA12" w14:textId="77777777" w:rsidR="00AC1D63" w:rsidRPr="00FF7563" w:rsidRDefault="00AC1D63" w:rsidP="00AC1D63">
      <w:pPr>
        <w:pStyle w:val="Nivel2SM"/>
        <w:rPr>
          <w:spacing w:val="-2"/>
        </w:rPr>
      </w:pPr>
      <w:r w:rsidRPr="00FF7563">
        <w:rPr>
          <w:spacing w:val="-2"/>
        </w:rPr>
        <w:t>Empíricamente parecen ser las fuerzas centrípetas las que predominan llevando así las fuerzas del mercado a una despoblación sin previsión de reducción de las disparidades posteriormente.</w:t>
      </w:r>
    </w:p>
    <w:p w14:paraId="783F8BE1" w14:textId="77777777" w:rsidR="003E22D3" w:rsidRDefault="003E22D3" w:rsidP="003E22D3">
      <w:pPr>
        <w:pStyle w:val="Ttulo3"/>
      </w:pPr>
      <w:bookmarkStart w:id="38" w:name="_Toc150452811"/>
      <w:r>
        <w:t>Comparación de la convergencia regional en España en relación a otros países de la UE</w:t>
      </w:r>
      <w:bookmarkEnd w:id="38"/>
    </w:p>
    <w:p w14:paraId="38E62A6E" w14:textId="77777777" w:rsidR="003E22D3" w:rsidRPr="00FD55F7" w:rsidRDefault="003E22D3" w:rsidP="003E22D3">
      <w:pPr>
        <w:pStyle w:val="Ttulo6"/>
        <w:spacing w:before="0"/>
      </w:pPr>
      <w:bookmarkStart w:id="39" w:name="_Toc150452812"/>
      <w:r>
        <w:t>Convergencia de España respecto a la UE</w:t>
      </w:r>
      <w:bookmarkEnd w:id="39"/>
    </w:p>
    <w:p w14:paraId="70F682D1" w14:textId="286D55EB" w:rsidR="003E22D3" w:rsidRDefault="003E22D3" w:rsidP="003E22D3">
      <w:pPr>
        <w:pStyle w:val="Nivel1SM"/>
        <w:keepNext/>
        <w:spacing w:before="0" w:after="0"/>
      </w:pPr>
      <w:r>
        <w:t xml:space="preserve">Otro análisis relevante es la </w:t>
      </w:r>
      <w:r w:rsidRPr="00FD55F7">
        <w:rPr>
          <w:b/>
          <w:bCs/>
        </w:rPr>
        <w:t>situación de las regiones españolas en su conjunto en el marco europeo</w:t>
      </w:r>
      <w:r>
        <w:t>. Podemos diferenciar 2 etapas</w:t>
      </w:r>
      <w:r w:rsidR="00AA257F">
        <w:t>:</w:t>
      </w:r>
    </w:p>
    <w:p w14:paraId="3C05895B" w14:textId="77777777" w:rsidR="003E22D3" w:rsidRDefault="003E22D3" w:rsidP="003E22D3">
      <w:pPr>
        <w:pStyle w:val="Nivel2SM"/>
      </w:pPr>
      <w:r>
        <w:t>Tras la Adhesión a la CEE y hasta el año 2007, la renta pc española convergió e incluso llegó a superar la de la UE-28. Si limitamos el análisis a la UE-15, los datos muestran que para el conjunto de España la renta pc en 1996 era del 80% de la UE, mientras que en 2007 esa cifra había subido hasta el 95%, lo que muestra un innegable proceso de convergencia.</w:t>
      </w:r>
    </w:p>
    <w:p w14:paraId="3B734498" w14:textId="77777777" w:rsidR="003E22D3" w:rsidRDefault="003E22D3" w:rsidP="003E22D3">
      <w:pPr>
        <w:pStyle w:val="Nivel2SM"/>
      </w:pPr>
      <w:r>
        <w:t>Sin embargo, desde el año 2007, y como consecuencia de la crisis económica, que ha afectado más a España que al conjunto de la UE, tenemos que en la actualidad el PIB pc equivale al 96% del de la UE-28, 9 puntos porcentuales menos que en el año 2007. En el caso de la UE-15, además, nuestra renta pc solo supera la de Portugal y Grecia, y está más de 10 puntos porcentuales por debajo de la media.</w:t>
      </w:r>
    </w:p>
    <w:p w14:paraId="501B6192" w14:textId="77777777" w:rsidR="003E22D3" w:rsidRDefault="003E22D3" w:rsidP="003E22D3">
      <w:pPr>
        <w:pStyle w:val="Ttulo6"/>
      </w:pPr>
      <w:bookmarkStart w:id="40" w:name="_Toc150452813"/>
      <w:r>
        <w:t>Análisis por Comunidades Autónomas</w:t>
      </w:r>
      <w:bookmarkEnd w:id="40"/>
    </w:p>
    <w:p w14:paraId="457AFC86" w14:textId="77777777" w:rsidR="003E22D3" w:rsidRDefault="003E22D3" w:rsidP="003E22D3">
      <w:pPr>
        <w:pStyle w:val="Nivel1SM"/>
        <w:keepNext/>
        <w:spacing w:before="0" w:after="0"/>
      </w:pPr>
      <w:r>
        <w:t>Si realizamos nuestro análisis por CCAA, observamos que:</w:t>
      </w:r>
    </w:p>
    <w:p w14:paraId="1A367C65" w14:textId="77777777" w:rsidR="003E22D3" w:rsidRDefault="003E22D3" w:rsidP="003E22D3">
      <w:pPr>
        <w:pStyle w:val="Nivel2SM"/>
      </w:pPr>
      <w:r>
        <w:t>Mientras que en 1996 sólo Navarra y Madrid presentaban una renta per cápita por encima de la media comunitaria, en la actualidad existen ya 7 comunidades.</w:t>
      </w:r>
    </w:p>
    <w:p w14:paraId="374EEEC2" w14:textId="77777777" w:rsidR="003E22D3" w:rsidRDefault="003E22D3" w:rsidP="003E22D3">
      <w:pPr>
        <w:pStyle w:val="Nivel2SM"/>
      </w:pPr>
      <w:r>
        <w:lastRenderedPageBreak/>
        <w:t>En el extremo opuesto, Extremadura presenta una renta per cápita más de 25 puntos porcentuales inferior a la media de la UE-28.</w:t>
      </w:r>
    </w:p>
    <w:p w14:paraId="6A2A4790" w14:textId="77777777" w:rsidR="003E22D3" w:rsidRDefault="003E22D3" w:rsidP="003E22D3">
      <w:pPr>
        <w:pStyle w:val="Ttulo6"/>
      </w:pPr>
      <w:bookmarkStart w:id="41" w:name="_Toc150452814"/>
      <w:r>
        <w:t>Comparación de la convergencia regional de España con la de otros países de la UE</w:t>
      </w:r>
      <w:bookmarkEnd w:id="41"/>
    </w:p>
    <w:p w14:paraId="73085D44" w14:textId="77777777" w:rsidR="003E22D3" w:rsidRDefault="003E22D3" w:rsidP="003E22D3">
      <w:pPr>
        <w:pStyle w:val="Nivel1SM"/>
        <w:keepNext/>
        <w:spacing w:before="0" w:after="0"/>
      </w:pPr>
      <w:r>
        <w:t xml:space="preserve">Finalmente, cabe destacar que las desigualdades en el PIB per cápita existentes entre las regiones españolas son </w:t>
      </w:r>
      <w:r w:rsidRPr="00FD55F7">
        <w:rPr>
          <w:b/>
          <w:bCs/>
        </w:rPr>
        <w:t>ligeramente inferiores</w:t>
      </w:r>
      <w:r>
        <w:t xml:space="preserve"> a las que se observan en gran parte de los países comunitarios.</w:t>
      </w:r>
    </w:p>
    <w:p w14:paraId="22EEE082" w14:textId="77777777" w:rsidR="003E22D3" w:rsidRDefault="003E22D3" w:rsidP="003E22D3">
      <w:pPr>
        <w:pStyle w:val="Nivel2SM"/>
      </w:pPr>
      <w:r w:rsidRPr="00FD55F7">
        <w:rPr>
          <w:i/>
          <w:iCs/>
        </w:rPr>
        <w:t xml:space="preserve">España presenta </w:t>
      </w:r>
      <w:r w:rsidRPr="00FD55F7">
        <w:t>una</w:t>
      </w:r>
      <w:r w:rsidRPr="00FD55F7">
        <w:rPr>
          <w:i/>
          <w:iCs/>
        </w:rPr>
        <w:t xml:space="preserve"> dispersión superior</w:t>
      </w:r>
      <w:r>
        <w:t xml:space="preserve"> a países como Suecia, Dinamarca, Finlandia, Austria, Alemania, Holanda y una </w:t>
      </w:r>
      <w:r w:rsidRPr="00FD55F7">
        <w:rPr>
          <w:i/>
          <w:iCs/>
        </w:rPr>
        <w:t>dispersión menor</w:t>
      </w:r>
      <w:r>
        <w:t xml:space="preserve"> que Francia o Italia.</w:t>
      </w:r>
    </w:p>
    <w:p w14:paraId="412796CB" w14:textId="77777777" w:rsidR="003E22D3" w:rsidRPr="009544F0" w:rsidRDefault="003E22D3" w:rsidP="003E22D3">
      <w:pPr>
        <w:pStyle w:val="Nivel1SM"/>
      </w:pPr>
      <w:r>
        <w:t>Por otro lado subrayemos que el estancamiento de la convergencia en España no es fenómeno exclusivo de la economía española sino que también se da en economías de nuestro entorno como Francia e Italia</w:t>
      </w:r>
    </w:p>
    <w:p w14:paraId="3FC5E168" w14:textId="76FFC0EA" w:rsidR="00B8752F" w:rsidRPr="00946F49" w:rsidRDefault="00B8752F" w:rsidP="00C27EB4">
      <w:pPr>
        <w:pStyle w:val="Ttulo2"/>
      </w:pPr>
      <w:bookmarkStart w:id="42" w:name="_Toc150452815"/>
      <w:r w:rsidRPr="00946F49">
        <w:t>Conclusión</w:t>
      </w:r>
      <w:bookmarkEnd w:id="42"/>
    </w:p>
    <w:p w14:paraId="357920EB" w14:textId="4AA4A9C9" w:rsidR="00016883" w:rsidRPr="00946F49" w:rsidRDefault="00016883" w:rsidP="0047023A">
      <w:pPr>
        <w:pStyle w:val="Nivel2SM"/>
        <w:keepNext/>
        <w:spacing w:after="0"/>
      </w:pPr>
      <w:r w:rsidRPr="00946F49">
        <w:t xml:space="preserve">Tras este análisis cabe destacar </w:t>
      </w:r>
      <w:r w:rsidR="0047023A" w:rsidRPr="0047023A">
        <w:rPr>
          <w:b/>
          <w:bCs/>
        </w:rPr>
        <w:t>4 </w:t>
      </w:r>
      <w:r w:rsidRPr="0047023A">
        <w:rPr>
          <w:b/>
          <w:bCs/>
        </w:rPr>
        <w:t>elementos claves</w:t>
      </w:r>
      <w:r w:rsidRPr="00946F49">
        <w:t>:</w:t>
      </w:r>
    </w:p>
    <w:p w14:paraId="64419384" w14:textId="77777777" w:rsidR="00016883" w:rsidRPr="00B45C4E" w:rsidRDefault="00016883" w:rsidP="0047023A">
      <w:pPr>
        <w:pStyle w:val="Prrafodelista"/>
        <w:numPr>
          <w:ilvl w:val="0"/>
          <w:numId w:val="45"/>
        </w:numPr>
        <w:spacing w:after="0"/>
        <w:ind w:left="1134" w:hanging="113"/>
      </w:pPr>
      <w:r w:rsidRPr="0047023A">
        <w:rPr>
          <w:i/>
          <w:iCs/>
        </w:rPr>
        <w:t>La desigualdad regional ha disminuido desde 1955 hasta 1985 y lleva creciendo desde entonces</w:t>
      </w:r>
      <w:r w:rsidRPr="00B45C4E">
        <w:t>.</w:t>
      </w:r>
    </w:p>
    <w:p w14:paraId="1D762AD6" w14:textId="61362E97" w:rsidR="00016883" w:rsidRPr="00B45C4E" w:rsidRDefault="00016883" w:rsidP="0047023A">
      <w:pPr>
        <w:pStyle w:val="Prrafodelista"/>
        <w:numPr>
          <w:ilvl w:val="0"/>
          <w:numId w:val="45"/>
        </w:numPr>
        <w:spacing w:after="0"/>
        <w:ind w:left="1134" w:hanging="113"/>
      </w:pPr>
      <w:r w:rsidRPr="00B45C4E">
        <w:t xml:space="preserve">Se está dando una </w:t>
      </w:r>
      <w:r w:rsidRPr="0047023A">
        <w:rPr>
          <w:i/>
          <w:iCs/>
        </w:rPr>
        <w:t>polarización de rentas entre territorios relativamente ricos y pobres</w:t>
      </w:r>
      <w:r w:rsidR="00374E4C" w:rsidRPr="00B45C4E">
        <w:t>.</w:t>
      </w:r>
    </w:p>
    <w:p w14:paraId="55319793" w14:textId="77777777" w:rsidR="00016883" w:rsidRDefault="00016883" w:rsidP="0047023A">
      <w:pPr>
        <w:pStyle w:val="Prrafodelista"/>
        <w:numPr>
          <w:ilvl w:val="0"/>
          <w:numId w:val="45"/>
        </w:numPr>
        <w:spacing w:after="0"/>
        <w:ind w:left="1134" w:hanging="113"/>
      </w:pPr>
      <w:r w:rsidRPr="0047023A">
        <w:rPr>
          <w:i/>
          <w:iCs/>
        </w:rPr>
        <w:t>Se está conformando un marcado y persistente patrón geográfico norte-sur</w:t>
      </w:r>
      <w:r w:rsidRPr="00B45C4E">
        <w:t>.</w:t>
      </w:r>
    </w:p>
    <w:p w14:paraId="4E69FE7F" w14:textId="77777777" w:rsidR="00227A51" w:rsidRPr="00227A51" w:rsidRDefault="00227A51" w:rsidP="0047023A">
      <w:pPr>
        <w:pStyle w:val="Prrafodelista"/>
        <w:numPr>
          <w:ilvl w:val="0"/>
          <w:numId w:val="45"/>
        </w:numPr>
        <w:spacing w:after="0"/>
        <w:ind w:left="1134" w:hanging="113"/>
      </w:pPr>
      <w:r w:rsidRPr="0047023A">
        <w:rPr>
          <w:i/>
          <w:iCs/>
        </w:rPr>
        <w:t xml:space="preserve">Ante el impacto asimétrico del </w:t>
      </w:r>
      <w:proofErr w:type="spellStart"/>
      <w:r w:rsidRPr="0047023A">
        <w:rPr>
          <w:i/>
          <w:iCs/>
        </w:rPr>
        <w:t>Covid</w:t>
      </w:r>
      <w:proofErr w:type="spellEnd"/>
      <w:r w:rsidRPr="0047023A">
        <w:rPr>
          <w:i/>
          <w:iCs/>
        </w:rPr>
        <w:t xml:space="preserve"> en las regiones españolas, un diseño adecuado de las políticas económicas, será esencial para revertir un posible aumento de la desigualdad</w:t>
      </w:r>
      <w:r w:rsidRPr="00227A51">
        <w:t>.</w:t>
      </w:r>
    </w:p>
    <w:p w14:paraId="51A7E617" w14:textId="77777777" w:rsidR="003E05AD" w:rsidRDefault="002637D9" w:rsidP="00E24757">
      <w:pPr>
        <w:pStyle w:val="Ttulo1"/>
      </w:pPr>
      <w:bookmarkStart w:id="43" w:name="_Toc150452816"/>
      <w:bookmarkStart w:id="44" w:name="_Ref150454818"/>
      <w:r w:rsidRPr="00F546F8">
        <w:t xml:space="preserve">POLÍTICA </w:t>
      </w:r>
      <w:r w:rsidR="003E05AD">
        <w:t>DE DESARROLLO REGIONAL</w:t>
      </w:r>
      <w:bookmarkEnd w:id="43"/>
      <w:bookmarkEnd w:id="44"/>
    </w:p>
    <w:p w14:paraId="39ADDB64" w14:textId="77777777" w:rsidR="003F76EA" w:rsidRDefault="003F76EA" w:rsidP="003F76EA">
      <w:pPr>
        <w:pStyle w:val="Ttulo2"/>
      </w:pPr>
      <w:bookmarkStart w:id="45" w:name="_Toc150452817"/>
      <w:r>
        <w:t xml:space="preserve">Evolución histórica de la política de desarrollo </w:t>
      </w:r>
      <w:r w:rsidRPr="00F546F8">
        <w:t>regional</w:t>
      </w:r>
      <w:bookmarkEnd w:id="45"/>
    </w:p>
    <w:p w14:paraId="5DC66FA8" w14:textId="77777777" w:rsidR="003F76EA" w:rsidRPr="00F164B4" w:rsidRDefault="003F76EA" w:rsidP="003F76EA">
      <w:pPr>
        <w:pStyle w:val="Nivel1SM"/>
        <w:keepNext/>
        <w:spacing w:before="0"/>
      </w:pPr>
      <w:r>
        <w:t xml:space="preserve">En España, la política regional se vio sometida a profundos cambios tras la adhesión a la CEE. Por este motivo conviene distinguir </w:t>
      </w:r>
      <w:r w:rsidRPr="00F164B4">
        <w:rPr>
          <w:b/>
          <w:bCs/>
        </w:rPr>
        <w:t>2 etapas en la política regional española</w:t>
      </w:r>
      <w:r>
        <w:t>: antes y después de 1986.</w:t>
      </w:r>
    </w:p>
    <w:p w14:paraId="20B66231" w14:textId="77777777" w:rsidR="003F76EA" w:rsidRPr="00E24757" w:rsidRDefault="003F76EA" w:rsidP="003F76EA">
      <w:pPr>
        <w:pStyle w:val="Ttulo3"/>
      </w:pPr>
      <w:bookmarkStart w:id="46" w:name="_Toc150452818"/>
      <w:r>
        <w:t xml:space="preserve">Política de desarrollo regional </w:t>
      </w:r>
      <w:proofErr w:type="spellStart"/>
      <w:r w:rsidRPr="00F546F8">
        <w:t>pre</w:t>
      </w:r>
      <w:r>
        <w:t>-</w:t>
      </w:r>
      <w:r w:rsidRPr="00F546F8">
        <w:t>adhesión</w:t>
      </w:r>
      <w:bookmarkEnd w:id="46"/>
      <w:proofErr w:type="spellEnd"/>
    </w:p>
    <w:p w14:paraId="64D6FB76" w14:textId="77777777" w:rsidR="003F76EA" w:rsidRPr="00E24757" w:rsidRDefault="003F76EA" w:rsidP="00F307FF">
      <w:pPr>
        <w:pStyle w:val="Ttulo6"/>
        <w:spacing w:before="0"/>
      </w:pPr>
      <w:bookmarkStart w:id="47" w:name="_Toc150452819"/>
      <w:r w:rsidRPr="00946F49">
        <w:t>Planes de Desarrollo</w:t>
      </w:r>
      <w:bookmarkEnd w:id="47"/>
    </w:p>
    <w:p w14:paraId="2679C8B8" w14:textId="77777777" w:rsidR="003F76EA" w:rsidRPr="00946F49" w:rsidRDefault="003F76EA" w:rsidP="003F76EA">
      <w:pPr>
        <w:pStyle w:val="Nivel2SM"/>
        <w:keepNext/>
        <w:spacing w:after="0"/>
        <w:rPr>
          <w:u w:val="single"/>
        </w:rPr>
      </w:pPr>
      <w:r w:rsidRPr="00946F49">
        <w:t xml:space="preserve">La política regional más destacable con anterioridad a la adhesión de España a la CEE fueron los </w:t>
      </w:r>
      <w:r w:rsidRPr="00946F49">
        <w:rPr>
          <w:b/>
        </w:rPr>
        <w:t>Planes de Desarrollo</w:t>
      </w:r>
      <w:r w:rsidRPr="00946F49">
        <w:t xml:space="preserve"> que se pusieron en marcha en los años 60 e incorporaron </w:t>
      </w:r>
      <w:r w:rsidRPr="00946F49">
        <w:rPr>
          <w:i/>
        </w:rPr>
        <w:t>objetivos de política regional</w:t>
      </w:r>
      <w:r w:rsidRPr="00946F49">
        <w:t>.</w:t>
      </w:r>
    </w:p>
    <w:p w14:paraId="2915EF12" w14:textId="77777777" w:rsidR="003F76EA" w:rsidRDefault="003F76EA" w:rsidP="003F76EA">
      <w:pPr>
        <w:pStyle w:val="Nivel3SM"/>
        <w:keepNext/>
      </w:pPr>
      <w:r w:rsidRPr="00946F49">
        <w:t>Los Planes de Desarrollo respondían</w:t>
      </w:r>
      <w:r>
        <w:t>:</w:t>
      </w:r>
    </w:p>
    <w:p w14:paraId="4981502B" w14:textId="77777777" w:rsidR="003F76EA" w:rsidRDefault="003F76EA" w:rsidP="003F76EA">
      <w:pPr>
        <w:pStyle w:val="Nivel4"/>
        <w:ind w:left="1474"/>
      </w:pPr>
      <w:r>
        <w:t xml:space="preserve">Al </w:t>
      </w:r>
      <w:r w:rsidRPr="00946F49">
        <w:t>temor en el seno del Gobierno a los efectos negativos de la desprotección y la liberalización,</w:t>
      </w:r>
    </w:p>
    <w:p w14:paraId="00ED582B" w14:textId="77777777" w:rsidR="003F76EA" w:rsidRDefault="003F76EA" w:rsidP="003F76EA">
      <w:pPr>
        <w:pStyle w:val="Nivel4"/>
        <w:keepNext/>
        <w:ind w:left="1474"/>
      </w:pPr>
      <w:r>
        <w:t xml:space="preserve">A </w:t>
      </w:r>
      <w:r w:rsidRPr="00946F49">
        <w:t>la falta de confianza en el sector privado para definir la evolución de la economía.</w:t>
      </w:r>
    </w:p>
    <w:p w14:paraId="2C5C153B" w14:textId="77777777" w:rsidR="003F76EA" w:rsidRPr="00946F49" w:rsidRDefault="003F76EA" w:rsidP="003F76EA">
      <w:pPr>
        <w:pStyle w:val="Nivel5"/>
        <w:ind w:left="1871"/>
      </w:pPr>
      <w:r w:rsidRPr="00946F49">
        <w:t>Así, supusieron un freno a la apertura y liberalización económica iniciada en 1959</w:t>
      </w:r>
      <w:r>
        <w:t>.</w:t>
      </w:r>
    </w:p>
    <w:p w14:paraId="63A74755" w14:textId="77777777" w:rsidR="003F76EA" w:rsidRPr="00E24757" w:rsidRDefault="003F76EA" w:rsidP="003F76EA">
      <w:pPr>
        <w:pStyle w:val="Ttulo7"/>
      </w:pPr>
      <w:r w:rsidRPr="00946F49">
        <w:t>Estructura del Plan</w:t>
      </w:r>
    </w:p>
    <w:p w14:paraId="2368777D" w14:textId="77777777" w:rsidR="003F76EA" w:rsidRPr="00946F49" w:rsidRDefault="003F76EA" w:rsidP="003F76EA">
      <w:pPr>
        <w:pStyle w:val="Nivel2SM"/>
        <w:keepNext/>
        <w:spacing w:after="0"/>
      </w:pPr>
      <w:r w:rsidRPr="00946F49">
        <w:t xml:space="preserve">Los </w:t>
      </w:r>
      <w:r w:rsidRPr="00075EDF">
        <w:rPr>
          <w:b/>
          <w:bCs/>
        </w:rPr>
        <w:t>planes de desarrollo</w:t>
      </w:r>
      <w:r w:rsidRPr="00946F49">
        <w:t xml:space="preserve"> tenían </w:t>
      </w:r>
      <w:r w:rsidRPr="00075EDF">
        <w:rPr>
          <w:b/>
          <w:bCs/>
        </w:rPr>
        <w:t>2 partes fundamentales</w:t>
      </w:r>
      <w:r w:rsidRPr="00946F49">
        <w:t>:</w:t>
      </w:r>
    </w:p>
    <w:p w14:paraId="696D42B5" w14:textId="77777777" w:rsidR="005C3BBD" w:rsidRDefault="005C3BBD" w:rsidP="005C3BBD">
      <w:pPr>
        <w:pStyle w:val="Nivel3SM"/>
      </w:pPr>
      <w:r w:rsidRPr="005C3BBD">
        <w:rPr>
          <w:i/>
          <w:iCs/>
          <w:u w:val="single"/>
        </w:rPr>
        <w:t>Parte vinculante (Intervención pública)</w:t>
      </w:r>
      <w:r>
        <w:t xml:space="preserve">: Una parte vinculante que afectaba al sector público y que consistía en un </w:t>
      </w:r>
      <w:r w:rsidRPr="00A756A0">
        <w:t>programa de inversiones públicas</w:t>
      </w:r>
      <w:r>
        <w:t xml:space="preserve"> y el </w:t>
      </w:r>
      <w:r w:rsidRPr="00A756A0">
        <w:t>desarrollo de industrias de forma concertada entre el Estado y el sector privado</w:t>
      </w:r>
      <w:r>
        <w:t>.</w:t>
      </w:r>
    </w:p>
    <w:p w14:paraId="561BD7A5" w14:textId="791369BE" w:rsidR="003F76EA" w:rsidRPr="005C3BBD" w:rsidRDefault="005C3BBD" w:rsidP="002275D3">
      <w:pPr>
        <w:pStyle w:val="Nivel3SM"/>
        <w:keepNext/>
        <w:rPr>
          <w:spacing w:val="-2"/>
        </w:rPr>
      </w:pPr>
      <w:r w:rsidRPr="005C3BBD">
        <w:rPr>
          <w:i/>
          <w:iCs/>
          <w:u w:val="single"/>
        </w:rPr>
        <w:t>Planificación indicativa (Intervención privada)</w:t>
      </w:r>
      <w:r w:rsidRPr="00D665E2">
        <w:t>:</w:t>
      </w:r>
      <w:r>
        <w:t xml:space="preserve"> Una parte indicativa para el sector privado, en una suerte de “economía recomendada”, que </w:t>
      </w:r>
      <w:r w:rsidRPr="009133F4">
        <w:t>respetaba la iniciativa privada pero aspiraba a orientarla mediante un sistema de incentivos financieros y fiscales</w:t>
      </w:r>
      <w:r>
        <w:t xml:space="preserve"> </w:t>
      </w:r>
      <w:r w:rsidRPr="005C3BBD">
        <w:rPr>
          <w:sz w:val="19"/>
          <w:szCs w:val="19"/>
        </w:rPr>
        <w:t>(práctica iniciada en Francia)</w:t>
      </w:r>
      <w:r>
        <w:t xml:space="preserve">. Contaba </w:t>
      </w:r>
      <w:r w:rsidR="003F76EA" w:rsidRPr="005C3BBD">
        <w:rPr>
          <w:spacing w:val="-2"/>
        </w:rPr>
        <w:t>con 3 objetivos:</w:t>
      </w:r>
    </w:p>
    <w:p w14:paraId="052CB23B" w14:textId="77777777" w:rsidR="003F76EA" w:rsidRPr="009A1FDF" w:rsidRDefault="003F76EA" w:rsidP="003F76EA">
      <w:pPr>
        <w:pStyle w:val="Nivel4"/>
        <w:ind w:left="1474"/>
      </w:pPr>
      <w:r w:rsidRPr="00EA5FBE">
        <w:rPr>
          <w:i/>
          <w:iCs/>
        </w:rPr>
        <w:t>Impulsar la concentración</w:t>
      </w:r>
      <w:r w:rsidRPr="009A1FDF">
        <w:t>:</w:t>
      </w:r>
      <w:r>
        <w:t xml:space="preserve"> </w:t>
      </w:r>
      <w:r w:rsidRPr="009A1FDF">
        <w:t xml:space="preserve">Para un mayor aprovechamiento de las </w:t>
      </w:r>
      <w:r>
        <w:t>economías de escala</w:t>
      </w:r>
      <w:r w:rsidRPr="009A1FDF">
        <w:t>.</w:t>
      </w:r>
    </w:p>
    <w:p w14:paraId="1EBE3A62" w14:textId="77777777" w:rsidR="003F76EA" w:rsidRPr="009A1FDF" w:rsidRDefault="003F76EA" w:rsidP="003F76EA">
      <w:pPr>
        <w:pStyle w:val="Nivel4"/>
        <w:ind w:left="1474"/>
      </w:pPr>
      <w:r w:rsidRPr="00EA5FBE">
        <w:rPr>
          <w:i/>
          <w:iCs/>
        </w:rPr>
        <w:t>Políticas sectoriales</w:t>
      </w:r>
      <w:r w:rsidRPr="009A1FDF">
        <w:t>:</w:t>
      </w:r>
      <w:r>
        <w:t xml:space="preserve"> </w:t>
      </w:r>
      <w:r w:rsidRPr="009A1FDF">
        <w:t>Modernizar sectores con problemas de competitividad. Los sectores apoyados debían cumplir ciertos requisitos en materia de creación de empleo, producción y exportación.</w:t>
      </w:r>
    </w:p>
    <w:p w14:paraId="02D276E1" w14:textId="77777777" w:rsidR="003F76EA" w:rsidRPr="009A1FDF" w:rsidRDefault="003F76EA" w:rsidP="003F76EA">
      <w:pPr>
        <w:pStyle w:val="Nivel4"/>
        <w:keepNext/>
        <w:ind w:left="1474"/>
      </w:pPr>
      <w:r w:rsidRPr="00EA5FBE">
        <w:rPr>
          <w:i/>
          <w:iCs/>
        </w:rPr>
        <w:lastRenderedPageBreak/>
        <w:t>Políticas regionales</w:t>
      </w:r>
      <w:r w:rsidRPr="009A1FDF">
        <w:t>:</w:t>
      </w:r>
      <w:r>
        <w:t xml:space="preserve"> </w:t>
      </w:r>
      <w:r w:rsidRPr="009A1FDF">
        <w:t>Objetivo: Reducir los desequilibrios regionales en términos de renta p</w:t>
      </w:r>
      <w:r>
        <w:t xml:space="preserve">er </w:t>
      </w:r>
      <w:r w:rsidRPr="009A1FDF">
        <w:t>c</w:t>
      </w:r>
      <w:r>
        <w:t>ápita</w:t>
      </w:r>
      <w:r w:rsidRPr="009A1FDF">
        <w:t>. Creación de:</w:t>
      </w:r>
    </w:p>
    <w:p w14:paraId="5F274ED5" w14:textId="08F3F7E1" w:rsidR="003F76EA" w:rsidRPr="00946F49" w:rsidRDefault="003F76EA" w:rsidP="003F76EA">
      <w:pPr>
        <w:pStyle w:val="Nivel5"/>
        <w:ind w:left="1871"/>
      </w:pPr>
      <w:r>
        <w:t>L</w:t>
      </w:r>
      <w:r w:rsidRPr="00946F49">
        <w:t xml:space="preserve">os </w:t>
      </w:r>
      <w:r w:rsidRPr="00EA5FBE">
        <w:rPr>
          <w:i/>
          <w:iCs/>
        </w:rPr>
        <w:t>polos de desarrollo</w:t>
      </w:r>
      <w:r w:rsidRPr="00EA5FBE">
        <w:t xml:space="preserve"> y </w:t>
      </w:r>
      <w:r w:rsidRPr="00EA5FBE">
        <w:rPr>
          <w:i/>
          <w:iCs/>
        </w:rPr>
        <w:t xml:space="preserve">polos </w:t>
      </w:r>
      <w:r w:rsidR="00AE5A96">
        <w:rPr>
          <w:i/>
          <w:iCs/>
        </w:rPr>
        <w:t xml:space="preserve">de </w:t>
      </w:r>
      <w:r w:rsidRPr="00EA5FBE">
        <w:rPr>
          <w:i/>
          <w:iCs/>
        </w:rPr>
        <w:t>promoción industrial</w:t>
      </w:r>
      <w:r w:rsidRPr="00946F49">
        <w:t xml:space="preserve"> se ubicaban respectivamente en zonas que contaban y que no contaban con una cierta base industrial, y tenían por objetivo potenciar el crecimiento industrial de determinadas ciudades para liderar de esta forma el crecimiento de su entorno.</w:t>
      </w:r>
    </w:p>
    <w:p w14:paraId="02082AF6" w14:textId="77777777" w:rsidR="003F76EA" w:rsidRDefault="003F76EA" w:rsidP="003F76EA">
      <w:pPr>
        <w:pStyle w:val="Nivel5"/>
        <w:ind w:left="1871"/>
      </w:pPr>
      <w:r w:rsidRPr="00EA5FBE">
        <w:t xml:space="preserve">Los </w:t>
      </w:r>
      <w:r w:rsidRPr="00EA5FBE">
        <w:rPr>
          <w:i/>
          <w:iCs/>
        </w:rPr>
        <w:t>polígonos industriales</w:t>
      </w:r>
      <w:r w:rsidRPr="009A1FDF">
        <w:t xml:space="preserve"> trataban de aprovechar las </w:t>
      </w:r>
      <w:r>
        <w:t>economías</w:t>
      </w:r>
      <w:r w:rsidRPr="009A1FDF">
        <w:t xml:space="preserve"> de aglomeración.</w:t>
      </w:r>
    </w:p>
    <w:p w14:paraId="0E64C0DD" w14:textId="27558972" w:rsidR="003F76EA" w:rsidRPr="00E24757" w:rsidRDefault="003F76EA" w:rsidP="003F76EA">
      <w:pPr>
        <w:pStyle w:val="Ttulo7"/>
      </w:pPr>
      <w:r w:rsidRPr="00946F49">
        <w:t>El I</w:t>
      </w:r>
      <w:r>
        <w:t> </w:t>
      </w:r>
      <w:r w:rsidRPr="00946F49">
        <w:t>Plan de Desarrollo (1964</w:t>
      </w:r>
      <w:r w:rsidR="005E5005">
        <w:t>-</w:t>
      </w:r>
      <w:r w:rsidRPr="00946F49">
        <w:t>1967)</w:t>
      </w:r>
    </w:p>
    <w:p w14:paraId="4A47992E" w14:textId="77777777" w:rsidR="003F76EA" w:rsidRPr="00946F49" w:rsidRDefault="003F76EA" w:rsidP="003F76EA">
      <w:pPr>
        <w:pStyle w:val="Nivel2SM"/>
        <w:keepNext/>
        <w:spacing w:after="0"/>
      </w:pPr>
      <w:r w:rsidRPr="00EA5FBE">
        <w:rPr>
          <w:i/>
          <w:iCs/>
          <w:u w:val="single"/>
        </w:rPr>
        <w:t>Objetivos</w:t>
      </w:r>
      <w:r w:rsidRPr="00946F49">
        <w:t>:</w:t>
      </w:r>
    </w:p>
    <w:p w14:paraId="37CC61B6" w14:textId="77777777" w:rsidR="003F76EA" w:rsidRPr="009A1FDF" w:rsidRDefault="003F76EA" w:rsidP="003F76EA">
      <w:pPr>
        <w:pStyle w:val="Nivel3SM"/>
      </w:pPr>
      <w:r w:rsidRPr="009A1FDF">
        <w:t>Maximizar el crecimiento del PIB (objetivo del 6</w:t>
      </w:r>
      <w:r>
        <w:t> %</w:t>
      </w:r>
      <w:r w:rsidRPr="009A1FDF">
        <w:t>) a través del aumento de la inversión pública y privada.</w:t>
      </w:r>
    </w:p>
    <w:p w14:paraId="36CD6174" w14:textId="77777777" w:rsidR="003F76EA" w:rsidRPr="009A1FDF" w:rsidRDefault="003F76EA" w:rsidP="003F76EA">
      <w:pPr>
        <w:pStyle w:val="Nivel3SM"/>
        <w:keepNext/>
      </w:pPr>
      <w:r w:rsidRPr="009A1FDF">
        <w:t xml:space="preserve">Mejora de la distribución de la renta. </w:t>
      </w:r>
    </w:p>
    <w:p w14:paraId="00206CEC" w14:textId="77777777" w:rsidR="003F76EA" w:rsidRPr="009A1FDF" w:rsidRDefault="003F76EA" w:rsidP="003F76EA">
      <w:pPr>
        <w:pStyle w:val="Nivel4"/>
        <w:ind w:left="1474"/>
      </w:pPr>
      <w:r w:rsidRPr="009A1FDF">
        <w:t xml:space="preserve">Los desequilibrios regionales deberían atenuarse con la creación de los polos. </w:t>
      </w:r>
    </w:p>
    <w:p w14:paraId="76FF3BAD" w14:textId="77777777" w:rsidR="003F76EA" w:rsidRPr="009A1FDF" w:rsidRDefault="003F76EA" w:rsidP="003F76EA">
      <w:pPr>
        <w:pStyle w:val="Nivel2SM"/>
        <w:keepNext/>
        <w:spacing w:after="0"/>
      </w:pPr>
      <w:r w:rsidRPr="00EA5FBE">
        <w:rPr>
          <w:i/>
          <w:iCs/>
          <w:u w:val="single"/>
        </w:rPr>
        <w:t>Medidas</w:t>
      </w:r>
      <w:r w:rsidRPr="00946F49">
        <w:t>:</w:t>
      </w:r>
    </w:p>
    <w:p w14:paraId="38A1408E" w14:textId="77777777" w:rsidR="003F76EA" w:rsidRPr="009A1FDF" w:rsidRDefault="003F76EA" w:rsidP="003F76EA">
      <w:pPr>
        <w:pStyle w:val="Nivel3SM"/>
      </w:pPr>
      <w:r w:rsidRPr="009A1FDF">
        <w:t>Para ello se establecieron 5</w:t>
      </w:r>
      <w:r>
        <w:t> </w:t>
      </w:r>
      <w:r w:rsidRPr="009A1FDF">
        <w:t>polos de desarrollo y 2</w:t>
      </w:r>
      <w:r>
        <w:t> </w:t>
      </w:r>
      <w:r w:rsidRPr="009A1FDF">
        <w:t>polos de promoción (Burgos y Huelva).</w:t>
      </w:r>
    </w:p>
    <w:p w14:paraId="1D364E3F" w14:textId="77777777" w:rsidR="003F76EA" w:rsidRPr="0006186A" w:rsidRDefault="003F76EA" w:rsidP="003F76EA">
      <w:pPr>
        <w:pStyle w:val="Nivel3SM"/>
        <w:rPr>
          <w:spacing w:val="-2"/>
        </w:rPr>
      </w:pPr>
      <w:r w:rsidRPr="0006186A">
        <w:rPr>
          <w:spacing w:val="-2"/>
        </w:rPr>
        <w:t>Reduce a 3 las causas por las que pueden crearse empresas públicas, como la defensa nacional, la ruptura de posiciones monopolísticas y la insuficiencia de la iniciativa privada.</w:t>
      </w:r>
    </w:p>
    <w:p w14:paraId="47648560" w14:textId="77777777" w:rsidR="003F76EA" w:rsidRPr="009A1FDF" w:rsidRDefault="003F76EA" w:rsidP="003F76EA">
      <w:pPr>
        <w:pStyle w:val="Nivel2SM"/>
        <w:keepNext/>
        <w:spacing w:after="0"/>
      </w:pPr>
      <w:r w:rsidRPr="00EA5FBE">
        <w:rPr>
          <w:i/>
          <w:iCs/>
          <w:u w:val="single"/>
        </w:rPr>
        <w:t>Resultados</w:t>
      </w:r>
      <w:r w:rsidRPr="009A1FDF">
        <w:t>:</w:t>
      </w:r>
    </w:p>
    <w:p w14:paraId="765DA071" w14:textId="4690804E" w:rsidR="003F76EA" w:rsidRPr="009A1FDF" w:rsidRDefault="003F76EA" w:rsidP="003F76EA">
      <w:pPr>
        <w:pStyle w:val="Nivel3SM"/>
      </w:pPr>
      <w:r w:rsidRPr="009A1FDF">
        <w:t>Aunque el objetivo de PIB se superó, los desequilibrios regionales no se atenuaron e incluso llegaron a aumentar.</w:t>
      </w:r>
    </w:p>
    <w:p w14:paraId="00E116D3" w14:textId="30971D82" w:rsidR="003F76EA" w:rsidRPr="009A1FDF" w:rsidRDefault="003F76EA" w:rsidP="003F76EA">
      <w:pPr>
        <w:pStyle w:val="Nivel3SM"/>
      </w:pPr>
      <w:r w:rsidRPr="009A1FDF">
        <w:t>El plan fue criticado por el carácter distorsionador y discriminatorio de los incentivos a la inversión.</w:t>
      </w:r>
    </w:p>
    <w:p w14:paraId="56355539" w14:textId="77777777" w:rsidR="003F76EA" w:rsidRPr="009A1FDF" w:rsidRDefault="003F76EA" w:rsidP="003F76EA">
      <w:pPr>
        <w:pStyle w:val="Nivel3SM"/>
      </w:pPr>
      <w:r w:rsidRPr="009A1FDF">
        <w:t>Además, el escaso desarrollo de las infraestructuras de transporte generaba islas de desarrollo, impidiendo que los efectos se extendiesen por un área mayor.</w:t>
      </w:r>
    </w:p>
    <w:p w14:paraId="57134ADE" w14:textId="77777777" w:rsidR="003F76EA" w:rsidRPr="00946F49" w:rsidRDefault="003F76EA" w:rsidP="003F76EA">
      <w:pPr>
        <w:pStyle w:val="Ttulo7"/>
      </w:pPr>
      <w:r w:rsidRPr="00946F49">
        <w:t>El II</w:t>
      </w:r>
      <w:r>
        <w:t> </w:t>
      </w:r>
      <w:r w:rsidRPr="00946F49">
        <w:t>Plan de Desarrollo (1969 – 1971)</w:t>
      </w:r>
    </w:p>
    <w:p w14:paraId="1A2BFFD1" w14:textId="77777777" w:rsidR="003F76EA" w:rsidRPr="00946F49" w:rsidRDefault="003F76EA" w:rsidP="003F76EA">
      <w:pPr>
        <w:pStyle w:val="Nivel2SM"/>
        <w:keepNext/>
        <w:spacing w:after="0"/>
      </w:pPr>
      <w:r w:rsidRPr="00EA5FBE">
        <w:rPr>
          <w:i/>
          <w:iCs/>
          <w:u w:val="single"/>
        </w:rPr>
        <w:t>Objetivos</w:t>
      </w:r>
      <w:r w:rsidRPr="00946F49">
        <w:t>:</w:t>
      </w:r>
    </w:p>
    <w:p w14:paraId="2501AE3F" w14:textId="77777777" w:rsidR="003F76EA" w:rsidRDefault="003F76EA" w:rsidP="003F76EA">
      <w:pPr>
        <w:pStyle w:val="Nivel3SM"/>
        <w:keepNext/>
      </w:pPr>
      <w:r w:rsidRPr="009A1FDF">
        <w:t xml:space="preserve">Perseguía una cierta coherencia con el resto de objetivos de </w:t>
      </w:r>
      <w:r>
        <w:t>PE</w:t>
      </w:r>
      <w:r w:rsidRPr="009A1FDF">
        <w:t xml:space="preserve">. </w:t>
      </w:r>
    </w:p>
    <w:p w14:paraId="4C867F00" w14:textId="77777777" w:rsidR="003F76EA" w:rsidRPr="009A1FDF" w:rsidRDefault="003F76EA" w:rsidP="003F76EA">
      <w:pPr>
        <w:pStyle w:val="Nivel4"/>
        <w:ind w:left="1474"/>
      </w:pPr>
      <w:r>
        <w:t>E</w:t>
      </w:r>
      <w:r w:rsidRPr="009A1FDF">
        <w:t>n</w:t>
      </w:r>
      <w:r>
        <w:t xml:space="preserve"> vez de buscar</w:t>
      </w:r>
      <w:r w:rsidRPr="009A1FDF">
        <w:t xml:space="preserve"> aumentar la inversión se perseguía en su lugar aumentar la capacidad exportadora de la economía.  </w:t>
      </w:r>
    </w:p>
    <w:p w14:paraId="5EC31437" w14:textId="77777777" w:rsidR="003F76EA" w:rsidRPr="00946F49" w:rsidRDefault="003F76EA" w:rsidP="003F76EA">
      <w:pPr>
        <w:pStyle w:val="Nivel2SM"/>
        <w:keepNext/>
        <w:spacing w:after="0"/>
      </w:pPr>
      <w:r w:rsidRPr="00EA5FBE">
        <w:rPr>
          <w:i/>
          <w:iCs/>
          <w:u w:val="single"/>
        </w:rPr>
        <w:t>Medidas</w:t>
      </w:r>
      <w:r w:rsidRPr="00946F49">
        <w:t>:</w:t>
      </w:r>
    </w:p>
    <w:p w14:paraId="7CEB6D6D" w14:textId="77777777" w:rsidR="003F76EA" w:rsidRPr="009A1FDF" w:rsidRDefault="003F76EA" w:rsidP="003F76EA">
      <w:pPr>
        <w:pStyle w:val="Nivel3SM"/>
      </w:pPr>
      <w:r w:rsidRPr="009A1FDF">
        <w:t xml:space="preserve">El Plan estableció unos objetivos de crecimiento económico selectivos en función del peso y carácter estratégico de los distintos </w:t>
      </w:r>
      <w:r>
        <w:t>sectores</w:t>
      </w:r>
      <w:r w:rsidRPr="009A1FDF">
        <w:t>.</w:t>
      </w:r>
    </w:p>
    <w:p w14:paraId="6ED1DA91" w14:textId="77777777" w:rsidR="003F76EA" w:rsidRPr="009A1FDF" w:rsidRDefault="003F76EA" w:rsidP="003F76EA">
      <w:pPr>
        <w:pStyle w:val="Nivel3SM"/>
        <w:keepNext/>
      </w:pPr>
      <w:r w:rsidRPr="009A1FDF">
        <w:t xml:space="preserve">Respecto al desarrollo regional, se clasifican las regiones en función de su grado de industrialización para así promover distintos tipos de industrialización. </w:t>
      </w:r>
    </w:p>
    <w:p w14:paraId="03BAE324" w14:textId="77777777" w:rsidR="003F76EA" w:rsidRPr="009A1FDF" w:rsidRDefault="003F76EA" w:rsidP="003F76EA">
      <w:pPr>
        <w:pStyle w:val="Nivel4"/>
        <w:ind w:left="1474"/>
      </w:pPr>
      <w:r w:rsidRPr="009A1FDF">
        <w:t>De este modo, en las regiones eminentemente agrarias se promueve la industria agroalimentaria y una industria de carácter más general, mientras que en las zonas más industrializadas las medidas fueron encaminadas a conseguir la descongestión y el fomento de un adecuado urbanismo.</w:t>
      </w:r>
    </w:p>
    <w:p w14:paraId="33A8964C" w14:textId="77777777" w:rsidR="003F76EA" w:rsidRPr="009A1FDF" w:rsidRDefault="003F76EA" w:rsidP="003F76EA">
      <w:pPr>
        <w:pStyle w:val="Nivel3SM"/>
      </w:pPr>
      <w:r>
        <w:t>Se introdujeron</w:t>
      </w:r>
      <w:r w:rsidRPr="009A1FDF">
        <w:t xml:space="preserve"> señales de alerta para intervenir en la economía cuando variables como la producción, el desempleo, las reservas u otras variables relevantes alcanzasen ciertos valores.</w:t>
      </w:r>
    </w:p>
    <w:p w14:paraId="659AC09E" w14:textId="77777777" w:rsidR="003F76EA" w:rsidRPr="00946F49" w:rsidRDefault="003F76EA" w:rsidP="003F76EA">
      <w:pPr>
        <w:pStyle w:val="Nivel2SM"/>
        <w:keepNext/>
        <w:spacing w:after="0"/>
      </w:pPr>
      <w:r w:rsidRPr="00EA5FBE">
        <w:rPr>
          <w:i/>
          <w:iCs/>
          <w:u w:val="single"/>
        </w:rPr>
        <w:t>Resultados</w:t>
      </w:r>
      <w:r w:rsidRPr="00946F49">
        <w:t>:</w:t>
      </w:r>
    </w:p>
    <w:p w14:paraId="7CDC5386" w14:textId="77777777" w:rsidR="003F76EA" w:rsidRPr="009A1FDF" w:rsidRDefault="003F76EA" w:rsidP="003F76EA">
      <w:pPr>
        <w:pStyle w:val="Nivel3SM"/>
      </w:pPr>
      <w:r w:rsidRPr="00946F49">
        <w:t xml:space="preserve">A nivel agregado, el </w:t>
      </w:r>
      <w:r w:rsidRPr="009A1FDF">
        <w:t>objetivo de crecimiento del PIB se fijó en el 4</w:t>
      </w:r>
      <w:r>
        <w:t> %</w:t>
      </w:r>
      <w:r w:rsidRPr="009A1FDF">
        <w:t>, si bien este sería ampliamente superado (6</w:t>
      </w:r>
      <w:r>
        <w:t> %</w:t>
      </w:r>
      <w:r w:rsidRPr="009A1FDF">
        <w:t>).</w:t>
      </w:r>
    </w:p>
    <w:p w14:paraId="2B7D2BA0" w14:textId="77777777" w:rsidR="003F76EA" w:rsidRPr="009A1FDF" w:rsidRDefault="003F76EA" w:rsidP="003F76EA">
      <w:pPr>
        <w:pStyle w:val="Nivel3SM"/>
      </w:pPr>
      <w:r w:rsidRPr="009A1FDF">
        <w:t>No obstante, existieron ciertas deficiencias en la aplicación del plan, y además no quedaba totalmente claro qué tipo de industrialización debía perseguirse en regiones intermedias.</w:t>
      </w:r>
    </w:p>
    <w:p w14:paraId="7BFF5AFC" w14:textId="77777777" w:rsidR="003F76EA" w:rsidRPr="009A1FDF" w:rsidRDefault="003F76EA" w:rsidP="003F76EA">
      <w:pPr>
        <w:pStyle w:val="Nivel3SM"/>
      </w:pPr>
      <w:r w:rsidRPr="009A1FDF">
        <w:t>Todo ello, unido una política estabilizadora que actuaba con ciertos retardos, hizo que el plan no consiguiese todos sus objetivos.</w:t>
      </w:r>
    </w:p>
    <w:p w14:paraId="0E5268CA" w14:textId="77777777" w:rsidR="003F76EA" w:rsidRPr="00946F49" w:rsidRDefault="003F76EA" w:rsidP="003F76EA">
      <w:pPr>
        <w:pStyle w:val="Ttulo7"/>
      </w:pPr>
      <w:r w:rsidRPr="00946F49">
        <w:lastRenderedPageBreak/>
        <w:t>El III</w:t>
      </w:r>
      <w:r>
        <w:t> </w:t>
      </w:r>
      <w:r w:rsidRPr="00946F49">
        <w:t>Plan de Desarrollo (1972 – 1975)</w:t>
      </w:r>
    </w:p>
    <w:p w14:paraId="0A8ACEF3" w14:textId="77777777" w:rsidR="003F76EA" w:rsidRPr="00946F49" w:rsidRDefault="003F76EA" w:rsidP="003F76EA">
      <w:pPr>
        <w:pStyle w:val="Nivel2SM"/>
        <w:keepNext/>
        <w:spacing w:after="0"/>
      </w:pPr>
      <w:r w:rsidRPr="00EA5FBE">
        <w:rPr>
          <w:i/>
          <w:iCs/>
          <w:u w:val="single"/>
        </w:rPr>
        <w:t>Objetivos (además de los tradicionales)</w:t>
      </w:r>
      <w:r w:rsidRPr="00946F49">
        <w:t>:</w:t>
      </w:r>
    </w:p>
    <w:p w14:paraId="0A31F149" w14:textId="77777777" w:rsidR="003F76EA" w:rsidRPr="009A1FDF" w:rsidRDefault="003F76EA" w:rsidP="003F76EA">
      <w:pPr>
        <w:pStyle w:val="Nivel3SM"/>
      </w:pPr>
      <w:r w:rsidRPr="00946F49">
        <w:t xml:space="preserve">Mayor atención </w:t>
      </w:r>
      <w:r w:rsidRPr="009A1FDF">
        <w:t>al fortalecimiento del mercado en su conjunto y no solo de sectores específicos.</w:t>
      </w:r>
    </w:p>
    <w:p w14:paraId="3902290E" w14:textId="77777777" w:rsidR="003F76EA" w:rsidRPr="009A1FDF" w:rsidRDefault="003F76EA" w:rsidP="003F76EA">
      <w:pPr>
        <w:pStyle w:val="Nivel3SM"/>
      </w:pPr>
      <w:r w:rsidRPr="009A1FDF">
        <w:t xml:space="preserve">Se consideran por primera vez factores cualitativos de desarrollo. </w:t>
      </w:r>
    </w:p>
    <w:p w14:paraId="22EDC605" w14:textId="77777777" w:rsidR="003F76EA" w:rsidRPr="009A1FDF" w:rsidRDefault="003F76EA" w:rsidP="003F76EA">
      <w:pPr>
        <w:pStyle w:val="Nivel2SM"/>
        <w:keepNext/>
        <w:spacing w:after="0"/>
      </w:pPr>
      <w:r w:rsidRPr="00EA5FBE">
        <w:rPr>
          <w:i/>
          <w:iCs/>
          <w:u w:val="single"/>
        </w:rPr>
        <w:t>Medidas</w:t>
      </w:r>
      <w:r w:rsidRPr="009A1FDF">
        <w:t>:</w:t>
      </w:r>
    </w:p>
    <w:p w14:paraId="16D26FAE" w14:textId="77777777" w:rsidR="003F76EA" w:rsidRPr="009A1FDF" w:rsidRDefault="003F76EA" w:rsidP="003F76EA">
      <w:pPr>
        <w:pStyle w:val="Nivel3SM"/>
      </w:pPr>
      <w:r w:rsidRPr="009A1FDF">
        <w:t>El desarrollo regional dejó de basarse en islas y pasaron a definirse Grandes Áreas de Expansión Económica.</w:t>
      </w:r>
    </w:p>
    <w:p w14:paraId="22133317" w14:textId="77777777" w:rsidR="003F76EA" w:rsidRPr="009A1FDF" w:rsidRDefault="003F76EA" w:rsidP="003F76EA">
      <w:pPr>
        <w:pStyle w:val="Nivel3SM"/>
      </w:pPr>
      <w:r w:rsidRPr="009A1FDF">
        <w:t>Las inversiones se centraron en la construcción de infraestructuras que favoreciesen la iniciativa privada.</w:t>
      </w:r>
    </w:p>
    <w:p w14:paraId="559BBAC4" w14:textId="77777777" w:rsidR="003F76EA" w:rsidRPr="009A1FDF" w:rsidRDefault="003F76EA" w:rsidP="003F76EA">
      <w:pPr>
        <w:pStyle w:val="Nivel3SM"/>
      </w:pPr>
      <w:r w:rsidRPr="009A1FDF">
        <w:t>Importancia de aspectos como la calidad de vida, medio ambiente…</w:t>
      </w:r>
    </w:p>
    <w:p w14:paraId="5258E0FF" w14:textId="77777777" w:rsidR="003F76EA" w:rsidRPr="009A1FDF" w:rsidRDefault="003F76EA" w:rsidP="003F76EA">
      <w:pPr>
        <w:pStyle w:val="Nivel2SM"/>
        <w:keepNext/>
        <w:spacing w:after="0"/>
      </w:pPr>
      <w:r w:rsidRPr="00EA5FBE">
        <w:rPr>
          <w:i/>
          <w:iCs/>
          <w:u w:val="single"/>
        </w:rPr>
        <w:t>Resultados</w:t>
      </w:r>
      <w:r w:rsidRPr="009A1FDF">
        <w:t>:</w:t>
      </w:r>
    </w:p>
    <w:p w14:paraId="36BC70C7" w14:textId="77777777" w:rsidR="003F76EA" w:rsidRPr="009A1FDF" w:rsidRDefault="003F76EA" w:rsidP="003F76EA">
      <w:pPr>
        <w:pStyle w:val="Nivel3SM"/>
      </w:pPr>
      <w:r w:rsidRPr="009A1FDF">
        <w:t>Este tercer plan preveía un crecimiento del PIB del 7</w:t>
      </w:r>
      <w:r>
        <w:t> %</w:t>
      </w:r>
      <w:r w:rsidRPr="009A1FDF">
        <w:t xml:space="preserve"> anual, muy alejado del que realmente tuvo lugar.</w:t>
      </w:r>
    </w:p>
    <w:p w14:paraId="763F4979" w14:textId="77777777" w:rsidR="003F76EA" w:rsidRPr="009A1FDF" w:rsidRDefault="003F76EA" w:rsidP="003F76EA">
      <w:pPr>
        <w:pStyle w:val="Nivel3SM"/>
      </w:pPr>
      <w:r w:rsidRPr="00946F49">
        <w:t xml:space="preserve">Esto se debió a factores como el </w:t>
      </w:r>
      <w:r w:rsidRPr="009A1FDF">
        <w:t xml:space="preserve">estallido de la primera crisis del petróleo, que dio lugar a problemas financieros que provocaron que el plan no fuese plenamente implementado. </w:t>
      </w:r>
    </w:p>
    <w:p w14:paraId="74F29639" w14:textId="77777777" w:rsidR="003F76EA" w:rsidRPr="00946F49" w:rsidRDefault="003F76EA" w:rsidP="003F76EA">
      <w:pPr>
        <w:pStyle w:val="Nivel3SM"/>
      </w:pPr>
      <w:r w:rsidRPr="009A1FDF">
        <w:t>Aunque existía un IV</w:t>
      </w:r>
      <w:r>
        <w:t> </w:t>
      </w:r>
      <w:r w:rsidRPr="009A1FDF">
        <w:t>Plan previsto a partir de 1976, la crisis económica y la difícil situación política provocaron su cancelación</w:t>
      </w:r>
      <w:r w:rsidRPr="00946F49">
        <w:t>.</w:t>
      </w:r>
    </w:p>
    <w:p w14:paraId="1979FEDF" w14:textId="77777777" w:rsidR="003F76EA" w:rsidRPr="00946F49" w:rsidRDefault="003F76EA" w:rsidP="003F76EA">
      <w:pPr>
        <w:pStyle w:val="Ttulo7"/>
      </w:pPr>
      <w:r w:rsidRPr="00946F49">
        <w:t>Valoración</w:t>
      </w:r>
    </w:p>
    <w:p w14:paraId="783375B8" w14:textId="77777777" w:rsidR="003F76EA" w:rsidRPr="00946F49" w:rsidRDefault="003F76EA" w:rsidP="003F76EA">
      <w:pPr>
        <w:pStyle w:val="Nivel2SM"/>
        <w:keepNext/>
        <w:spacing w:after="0"/>
      </w:pPr>
      <w:r w:rsidRPr="00EA5FBE">
        <w:rPr>
          <w:i/>
          <w:iCs/>
          <w:u w:val="single"/>
        </w:rPr>
        <w:t>Aspecto positivo</w:t>
      </w:r>
      <w:r w:rsidRPr="00946F49">
        <w:t>:</w:t>
      </w:r>
    </w:p>
    <w:p w14:paraId="69380356" w14:textId="77777777" w:rsidR="003F76EA" w:rsidRPr="009A1FDF" w:rsidRDefault="003F76EA" w:rsidP="003F76EA">
      <w:pPr>
        <w:pStyle w:val="Nivel3SM"/>
      </w:pPr>
      <w:r w:rsidRPr="00946F49">
        <w:t xml:space="preserve">Mejoran la planificación económica, en la medida en que implanta una visión de medio-largo plazo en la </w:t>
      </w:r>
      <w:r w:rsidRPr="009A1FDF">
        <w:t>programación de las actuaciones del sector público.</w:t>
      </w:r>
    </w:p>
    <w:p w14:paraId="24E4DEDF" w14:textId="77777777" w:rsidR="003F76EA" w:rsidRPr="009A1FDF" w:rsidRDefault="003F76EA" w:rsidP="003F76EA">
      <w:pPr>
        <w:pStyle w:val="Nivel2SM"/>
        <w:keepNext/>
        <w:spacing w:after="0"/>
      </w:pPr>
      <w:r w:rsidRPr="00EA5FBE">
        <w:rPr>
          <w:i/>
          <w:iCs/>
          <w:u w:val="single"/>
        </w:rPr>
        <w:t>Aspectos negativos</w:t>
      </w:r>
      <w:r>
        <w:t>:</w:t>
      </w:r>
    </w:p>
    <w:p w14:paraId="7B46E8AD" w14:textId="77777777" w:rsidR="003F76EA" w:rsidRPr="009A1FDF" w:rsidRDefault="003F76EA" w:rsidP="003F76EA">
      <w:pPr>
        <w:pStyle w:val="Nivel3SM"/>
      </w:pPr>
      <w:r w:rsidRPr="009A1FDF">
        <w:t xml:space="preserve">Los objetivos marcados con frecuencia no eran cumplidos a nivel sectorial y no existía un mecanismo adecuado de corrección. </w:t>
      </w:r>
    </w:p>
    <w:p w14:paraId="6A59229E" w14:textId="77777777" w:rsidR="003F76EA" w:rsidRPr="009A1FDF" w:rsidRDefault="003F76EA" w:rsidP="003F76EA">
      <w:pPr>
        <w:pStyle w:val="Nivel3SM"/>
      </w:pPr>
      <w:r w:rsidRPr="009A1FDF">
        <w:t>A esto se unía en muchos casos la falta de los recursos financieros necesarios para la implementación de los planes, así como de un aparato estadístico que permitiese valorar el grado cumplimiento.</w:t>
      </w:r>
    </w:p>
    <w:p w14:paraId="7891E548" w14:textId="77777777" w:rsidR="003F76EA" w:rsidRPr="009A1FDF" w:rsidRDefault="003F76EA" w:rsidP="003F76EA">
      <w:pPr>
        <w:pStyle w:val="Nivel3SM"/>
      </w:pPr>
      <w:r w:rsidRPr="009A1FDF">
        <w:t xml:space="preserve">Además, los planes no consiguieron evitar la aparición de fuertes desequilibrios macroeconómicos. </w:t>
      </w:r>
    </w:p>
    <w:p w14:paraId="1015EBDA" w14:textId="77777777" w:rsidR="003F76EA" w:rsidRPr="00946F49" w:rsidRDefault="003F76EA" w:rsidP="003F76EA">
      <w:pPr>
        <w:pStyle w:val="Ttulo6"/>
      </w:pPr>
      <w:bookmarkStart w:id="48" w:name="_Toc150452820"/>
      <w:r w:rsidRPr="00946F49">
        <w:t>Reconversión y Reindustrialización</w:t>
      </w:r>
      <w:bookmarkEnd w:id="48"/>
    </w:p>
    <w:p w14:paraId="3405C4DD" w14:textId="77777777" w:rsidR="003F76EA" w:rsidRPr="00946F49" w:rsidRDefault="003F76EA" w:rsidP="003F76EA">
      <w:pPr>
        <w:pStyle w:val="Ttulo7"/>
        <w:spacing w:before="0"/>
      </w:pPr>
      <w:r w:rsidRPr="00946F49">
        <w:t>Crisis</w:t>
      </w:r>
    </w:p>
    <w:p w14:paraId="5C5E34BD" w14:textId="77777777" w:rsidR="003F76EA" w:rsidRPr="009A1FDF" w:rsidRDefault="003F76EA" w:rsidP="003F76EA">
      <w:pPr>
        <w:pStyle w:val="Nivel2SM"/>
      </w:pPr>
      <w:r w:rsidRPr="009A1FDF">
        <w:t>En la segunda mitad de los años</w:t>
      </w:r>
      <w:r>
        <w:t> </w:t>
      </w:r>
      <w:r w:rsidRPr="009A1FDF">
        <w:t xml:space="preserve">70, la economía española así como el sector industrial español entran en una profunda crisis debida principalmente al primer shock del petróleo. </w:t>
      </w:r>
    </w:p>
    <w:p w14:paraId="251A2A6D" w14:textId="77777777" w:rsidR="003F76EA" w:rsidRPr="00946F49" w:rsidRDefault="003F76EA" w:rsidP="003F76EA">
      <w:pPr>
        <w:pStyle w:val="Nivel2SM"/>
        <w:keepNext/>
        <w:spacing w:after="0"/>
      </w:pPr>
      <w:r w:rsidRPr="00946F49">
        <w:t xml:space="preserve">La política económica del </w:t>
      </w:r>
      <w:r>
        <w:t>sector públicos</w:t>
      </w:r>
      <w:r w:rsidRPr="00946F49">
        <w:t xml:space="preserve"> tuvo </w:t>
      </w:r>
      <w:r>
        <w:t>2 </w:t>
      </w:r>
      <w:r w:rsidRPr="00946F49">
        <w:t>vertientes secuenciales.</w:t>
      </w:r>
    </w:p>
    <w:p w14:paraId="77DA636C" w14:textId="77777777" w:rsidR="003F76EA" w:rsidRPr="00946F49" w:rsidRDefault="003F76EA" w:rsidP="003F76EA">
      <w:pPr>
        <w:pStyle w:val="Nivel3SM"/>
      </w:pPr>
      <w:r w:rsidRPr="00946F49">
        <w:t>Actitud pasiva</w:t>
      </w:r>
      <w:r>
        <w:t xml:space="preserve">: </w:t>
      </w:r>
      <w:r w:rsidRPr="00946F49">
        <w:t>En un primer momento, el Gobierno adopta una actitud pasiva al subordinar la política económica a los problemas políticos de la Transición, y al creer que se trataba de una crisis económica pasajera.</w:t>
      </w:r>
    </w:p>
    <w:p w14:paraId="10251F8C" w14:textId="77777777" w:rsidR="003F76EA" w:rsidRPr="009A1FDF" w:rsidRDefault="003F76EA" w:rsidP="003F76EA">
      <w:pPr>
        <w:pStyle w:val="Nivel3SM"/>
        <w:keepNext/>
      </w:pPr>
      <w:r w:rsidRPr="00946F49">
        <w:t xml:space="preserve">No obstante, en octubre de 1977 se firman los Pactos de La Moncloa, que incorporarán dos tipos de </w:t>
      </w:r>
      <w:r w:rsidRPr="009A1FDF">
        <w:t>medidas: medidas de estabilización (a las que se da prioridad) y medidas de reformas estructurales (para sentar las bases de una economía saneada).</w:t>
      </w:r>
    </w:p>
    <w:p w14:paraId="7B37F454" w14:textId="77777777" w:rsidR="003F76EA" w:rsidRPr="009A1FDF" w:rsidRDefault="003F76EA" w:rsidP="003F76EA">
      <w:pPr>
        <w:pStyle w:val="Nivel4"/>
        <w:ind w:left="1474"/>
      </w:pPr>
      <w:r w:rsidRPr="009A1FDF">
        <w:t xml:space="preserve">Además, la Constitución </w:t>
      </w:r>
      <w:r>
        <w:t>E</w:t>
      </w:r>
      <w:r w:rsidRPr="009A1FDF">
        <w:t>spañola aprobada en esos años cambió la filosofía de la economía: se pasó de la planificación de la economía al libre mercado.</w:t>
      </w:r>
    </w:p>
    <w:p w14:paraId="2CA53CBE" w14:textId="77777777" w:rsidR="003F76EA" w:rsidRPr="00946F49" w:rsidRDefault="003F76EA" w:rsidP="003F76EA">
      <w:pPr>
        <w:pStyle w:val="Ttulo7"/>
      </w:pPr>
      <w:r w:rsidRPr="00946F49">
        <w:lastRenderedPageBreak/>
        <w:t>Política industrial</w:t>
      </w:r>
    </w:p>
    <w:p w14:paraId="5A18132C" w14:textId="77777777" w:rsidR="003F76EA" w:rsidRPr="00946F49" w:rsidRDefault="003F76EA" w:rsidP="003F76EA">
      <w:pPr>
        <w:pStyle w:val="Nivel2SM"/>
        <w:keepNext/>
        <w:spacing w:after="0"/>
      </w:pPr>
      <w:r w:rsidRPr="00EA5FBE">
        <w:rPr>
          <w:i/>
          <w:iCs/>
          <w:u w:val="single"/>
        </w:rPr>
        <w:t>Reconversión y reindustrialización</w:t>
      </w:r>
      <w:r>
        <w:t>.</w:t>
      </w:r>
    </w:p>
    <w:p w14:paraId="68A46A21" w14:textId="77777777" w:rsidR="003F76EA" w:rsidRPr="009A1FDF" w:rsidRDefault="003F76EA" w:rsidP="003F76EA">
      <w:pPr>
        <w:pStyle w:val="Nivel3SM"/>
        <w:keepNext/>
      </w:pPr>
      <w:r w:rsidRPr="00946F49">
        <w:t xml:space="preserve">A pesar de las </w:t>
      </w:r>
      <w:r w:rsidRPr="009A1FDF">
        <w:t>medidas de reformas estructurales de los Pactos de la Moncloa, la transformación del sector industrial se demorará hasta las medidas de reconversión y de reindustrialización de los años</w:t>
      </w:r>
      <w:r>
        <w:t> </w:t>
      </w:r>
      <w:r w:rsidRPr="009A1FDF">
        <w:t>80.</w:t>
      </w:r>
    </w:p>
    <w:p w14:paraId="06886A74" w14:textId="77777777" w:rsidR="003F76EA" w:rsidRPr="009A1FDF" w:rsidRDefault="003F76EA" w:rsidP="003F76EA">
      <w:pPr>
        <w:pStyle w:val="Nivel4"/>
        <w:keepNext/>
        <w:ind w:left="1474"/>
      </w:pPr>
      <w:r w:rsidRPr="00EA5FBE">
        <w:rPr>
          <w:i/>
          <w:iCs/>
        </w:rPr>
        <w:t>Reconversión</w:t>
      </w:r>
      <w:r w:rsidRPr="009A1FDF">
        <w:t>:</w:t>
      </w:r>
    </w:p>
    <w:p w14:paraId="3A689E49" w14:textId="77777777" w:rsidR="003F76EA" w:rsidRPr="009A1FDF" w:rsidRDefault="003F76EA" w:rsidP="003F76EA">
      <w:pPr>
        <w:pStyle w:val="Nivel5"/>
        <w:ind w:left="1871"/>
      </w:pPr>
      <w:r w:rsidRPr="009A1FDF">
        <w:t>El objetivo era reformar los sectores en crisis para hacerlos más viables y competitivos.</w:t>
      </w:r>
    </w:p>
    <w:p w14:paraId="5A8D2E8F" w14:textId="77777777" w:rsidR="003F76EA" w:rsidRPr="009A1FDF" w:rsidRDefault="003F76EA" w:rsidP="003F76EA">
      <w:pPr>
        <w:pStyle w:val="Nivel5"/>
        <w:keepNext/>
        <w:ind w:left="1871"/>
      </w:pPr>
      <w:r w:rsidRPr="009A1FDF">
        <w:t>Se actuó a través de ajustes por el lado de la oferta:</w:t>
      </w:r>
    </w:p>
    <w:p w14:paraId="75400E32" w14:textId="77777777" w:rsidR="003F76EA" w:rsidRPr="009A1FDF" w:rsidRDefault="003F76EA" w:rsidP="003F76EA">
      <w:pPr>
        <w:pStyle w:val="Nivel6"/>
        <w:ind w:left="2212"/>
      </w:pPr>
      <w:r w:rsidRPr="009A1FDF">
        <w:t xml:space="preserve">Ayudas al cierre de empresas, prejubilaciones, créditos y avales del Banco de Crédito Industrial para sanear empresas, etc. </w:t>
      </w:r>
    </w:p>
    <w:p w14:paraId="356D83BC" w14:textId="77777777" w:rsidR="003F76EA" w:rsidRPr="009A1FDF" w:rsidRDefault="003F76EA" w:rsidP="003F76EA">
      <w:pPr>
        <w:pStyle w:val="Nivel6"/>
        <w:ind w:left="2212"/>
      </w:pPr>
      <w:r w:rsidRPr="009A1FDF">
        <w:t>Las áreas más afectadas fueron la siderurgia, la metalurgia, los astilleros y el textil.</w:t>
      </w:r>
    </w:p>
    <w:p w14:paraId="4563889B" w14:textId="77777777" w:rsidR="003F76EA" w:rsidRPr="009A1FDF" w:rsidRDefault="003F76EA" w:rsidP="003F76EA">
      <w:pPr>
        <w:pStyle w:val="Nivel4"/>
        <w:keepNext/>
        <w:ind w:left="1474"/>
      </w:pPr>
      <w:r w:rsidRPr="00EA5FBE">
        <w:rPr>
          <w:i/>
          <w:iCs/>
        </w:rPr>
        <w:t>Reindustrialización</w:t>
      </w:r>
      <w:r w:rsidRPr="009A1FDF">
        <w:t>:</w:t>
      </w:r>
    </w:p>
    <w:p w14:paraId="167C7CD3" w14:textId="77777777" w:rsidR="003F76EA" w:rsidRPr="00946F49" w:rsidRDefault="003F76EA" w:rsidP="003F76EA">
      <w:pPr>
        <w:pStyle w:val="Nivel5"/>
        <w:ind w:left="1871"/>
      </w:pPr>
      <w:r w:rsidRPr="009A1FDF">
        <w:t>El objetivo era desarrollar industrias de futuro. Se actuó a través de las denominadas “</w:t>
      </w:r>
      <w:r w:rsidRPr="009A1FDF">
        <w:rPr>
          <w:u w:val="single"/>
        </w:rPr>
        <w:t>zonas de urgente reindustrialización</w:t>
      </w:r>
      <w:r w:rsidRPr="009A1FDF">
        <w:t>”, en las que se trataba de fomentar la instalación de empresas a través de subvenciones. Las áreas más afectadas fueron Galicia</w:t>
      </w:r>
      <w:r w:rsidRPr="00946F49">
        <w:t>, Asturias y País Vasco.</w:t>
      </w:r>
    </w:p>
    <w:p w14:paraId="40CD6E50" w14:textId="77777777" w:rsidR="003F76EA" w:rsidRPr="00946F49" w:rsidRDefault="003F76EA" w:rsidP="003F76EA">
      <w:pPr>
        <w:pStyle w:val="Nivel2SM"/>
      </w:pPr>
      <w:r w:rsidRPr="00946F49">
        <w:t xml:space="preserve">Estas medidas afectan sobre todo al </w:t>
      </w:r>
      <w:r w:rsidRPr="00946F49">
        <w:rPr>
          <w:b/>
        </w:rPr>
        <w:t>componente sectorial</w:t>
      </w:r>
      <w:r w:rsidRPr="00946F49">
        <w:t>.</w:t>
      </w:r>
    </w:p>
    <w:p w14:paraId="240DCDBA" w14:textId="77777777" w:rsidR="003F76EA" w:rsidRPr="006C2234" w:rsidRDefault="003F76EA" w:rsidP="003F76EA">
      <w:pPr>
        <w:pStyle w:val="Ttulo3"/>
      </w:pPr>
      <w:bookmarkStart w:id="49" w:name="_Toc150452821"/>
      <w:r>
        <w:t>Política</w:t>
      </w:r>
      <w:r w:rsidRPr="005457D8">
        <w:t xml:space="preserve"> </w:t>
      </w:r>
      <w:r>
        <w:t xml:space="preserve">de desarrollo regional </w:t>
      </w:r>
      <w:proofErr w:type="spellStart"/>
      <w:r>
        <w:t>post-adhesión</w:t>
      </w:r>
      <w:bookmarkEnd w:id="49"/>
      <w:proofErr w:type="spellEnd"/>
    </w:p>
    <w:p w14:paraId="409A2A2B" w14:textId="77777777" w:rsidR="003F76EA" w:rsidRPr="009A1FDF" w:rsidRDefault="003F76EA" w:rsidP="003F76EA">
      <w:pPr>
        <w:pStyle w:val="Nivel2SM"/>
        <w:keepNext/>
        <w:spacing w:after="0"/>
      </w:pPr>
      <w:r w:rsidRPr="009A1FDF">
        <w:t xml:space="preserve">En 1986, España se adhiere a la CEE, </w:t>
      </w:r>
      <w:r>
        <w:t>lo que supuso un giro en su política de desarrollo regional</w:t>
      </w:r>
      <w:r w:rsidRPr="009A1FDF">
        <w:t>.</w:t>
      </w:r>
    </w:p>
    <w:p w14:paraId="7550860A" w14:textId="77777777" w:rsidR="003F76EA" w:rsidRDefault="003F76EA" w:rsidP="003F76EA">
      <w:pPr>
        <w:pStyle w:val="Nivel3SM"/>
      </w:pPr>
      <w:r w:rsidRPr="009A1FDF">
        <w:t>No obstante</w:t>
      </w:r>
      <w:r>
        <w:t>,</w:t>
      </w:r>
      <w:r w:rsidRPr="009A1FDF">
        <w:t xml:space="preserve"> las autoridades españolas junto con la C</w:t>
      </w:r>
      <w:r>
        <w:t xml:space="preserve">omisión </w:t>
      </w:r>
      <w:r w:rsidRPr="009A1FDF">
        <w:t>E</w:t>
      </w:r>
      <w:r>
        <w:t>uropea</w:t>
      </w:r>
      <w:r w:rsidRPr="009A1FDF">
        <w:t xml:space="preserve"> decidirán las áreas de inversión de los fondos concretadas en el Acuerdo de Asociación para cada país.</w:t>
      </w:r>
    </w:p>
    <w:p w14:paraId="2D332658" w14:textId="77777777" w:rsidR="003F76EA" w:rsidRDefault="003F76EA" w:rsidP="003F76EA">
      <w:pPr>
        <w:pStyle w:val="Nivel2SM"/>
      </w:pPr>
      <w:r w:rsidRPr="00227A51">
        <w:rPr>
          <w:u w:val="single"/>
        </w:rPr>
        <w:t>Nota</w:t>
      </w:r>
      <w:r>
        <w:t>: Existen esquemas de solidaridad financiera con la EFTA, donaciones a Estados miembros</w:t>
      </w:r>
      <w:r w:rsidRPr="00434A1D">
        <w:t xml:space="preserve"> de la UE de menor desarrollo económico y social.</w:t>
      </w:r>
    </w:p>
    <w:p w14:paraId="00BF48C6" w14:textId="54CF6C43" w:rsidR="00CF2ADC" w:rsidRDefault="00CF2ADC" w:rsidP="003E05AD">
      <w:pPr>
        <w:pStyle w:val="Ttulo2"/>
      </w:pPr>
      <w:bookmarkStart w:id="50" w:name="_Toc150452822"/>
      <w:r>
        <w:t>Justificación</w:t>
      </w:r>
      <w:bookmarkEnd w:id="50"/>
    </w:p>
    <w:p w14:paraId="296C2D00" w14:textId="6FF5332D" w:rsidR="00CF2ADC" w:rsidRDefault="00CF2ADC" w:rsidP="00CF2ADC">
      <w:pPr>
        <w:pStyle w:val="Nivel1SM"/>
        <w:keepNext/>
        <w:spacing w:before="0" w:after="0"/>
      </w:pPr>
      <w:r>
        <w:t xml:space="preserve">La existencia de desigualdades territoriales y la convicción de que el mercado por sí solo no es suficiente para atenuarlas ha impulsado la intervención del sector público (i.e. </w:t>
      </w:r>
      <w:r w:rsidRPr="00CF2ADC">
        <w:rPr>
          <w:i/>
          <w:iCs/>
          <w:u w:val="single"/>
        </w:rPr>
        <w:t>motivos de equidad</w:t>
      </w:r>
      <w:r>
        <w:t>).</w:t>
      </w:r>
    </w:p>
    <w:p w14:paraId="30BAD5F3" w14:textId="0EDE5855" w:rsidR="00CF2ADC" w:rsidRPr="00CF2ADC" w:rsidRDefault="00CF2ADC" w:rsidP="00CF2ADC">
      <w:pPr>
        <w:pStyle w:val="Nivel2SM"/>
      </w:pPr>
      <w:r>
        <w:t xml:space="preserve">Esta intervención se articula en torno a la </w:t>
      </w:r>
      <w:r w:rsidRPr="00CF2ADC">
        <w:rPr>
          <w:b/>
          <w:bCs/>
        </w:rPr>
        <w:t>política de desarrollo regional</w:t>
      </w:r>
      <w:r>
        <w:t>.</w:t>
      </w:r>
    </w:p>
    <w:p w14:paraId="266B6D03" w14:textId="77777777" w:rsidR="003F76EA" w:rsidRDefault="003F76EA" w:rsidP="00D70B59">
      <w:pPr>
        <w:pStyle w:val="Ttulo2"/>
      </w:pPr>
      <w:bookmarkStart w:id="51" w:name="_Toc150452823"/>
      <w:bookmarkStart w:id="52" w:name="_Ref150454840"/>
      <w:r>
        <w:t>Marco jurídico-institucional</w:t>
      </w:r>
      <w:bookmarkEnd w:id="51"/>
      <w:bookmarkEnd w:id="52"/>
    </w:p>
    <w:p w14:paraId="39F17895" w14:textId="77777777" w:rsidR="00CC4921" w:rsidRDefault="00CC4921" w:rsidP="00CC4921">
      <w:pPr>
        <w:pStyle w:val="Ttulo3"/>
        <w:spacing w:before="0"/>
      </w:pPr>
      <w:bookmarkStart w:id="53" w:name="_Toc150452824"/>
      <w:r>
        <w:t>Delimitación de competencias</w:t>
      </w:r>
      <w:bookmarkEnd w:id="53"/>
    </w:p>
    <w:p w14:paraId="7FABCDAF" w14:textId="77777777" w:rsidR="00CC4921" w:rsidRDefault="00CC4921" w:rsidP="00CC4921">
      <w:pPr>
        <w:pStyle w:val="Nivel1SM"/>
        <w:keepNext/>
        <w:spacing w:before="0" w:after="0"/>
      </w:pPr>
      <w:r>
        <w:t xml:space="preserve">Según el artículo 4 del TFUE, uno de los ámbitos en los que la Unión tiene </w:t>
      </w:r>
      <w:r w:rsidRPr="003F7B7A">
        <w:rPr>
          <w:b/>
          <w:bCs/>
        </w:rPr>
        <w:t>competencia compartida</w:t>
      </w:r>
      <w:r>
        <w:t xml:space="preserve"> es la cohesión económica, social y territorial.</w:t>
      </w:r>
    </w:p>
    <w:p w14:paraId="7CFE9F71" w14:textId="77777777" w:rsidR="00CC4921" w:rsidRDefault="00CC4921" w:rsidP="00CC4921">
      <w:pPr>
        <w:pStyle w:val="Nivel2SM"/>
        <w:rPr>
          <w:spacing w:val="-4"/>
        </w:rPr>
      </w:pPr>
      <w:r w:rsidRPr="00EE3A79">
        <w:rPr>
          <w:spacing w:val="-4"/>
        </w:rPr>
        <w:t>El artículo 2 del TFUE establece que cuando los Tratados atribuyan a la Unión una competencia compartida con los Estados miembros en un ámbito determinado, la Unión y los Estados miembros podrán legislar y adoptar actos jurídicamente vinculantes en dicho ámbito. Los Estados miembros ejercerán su competencia en la medida en que la Unión no haya ejercido la suya.</w:t>
      </w:r>
    </w:p>
    <w:p w14:paraId="4F37AF68" w14:textId="77777777" w:rsidR="00CC4921" w:rsidRPr="00EE3A79" w:rsidRDefault="00CC4921" w:rsidP="00CC4921">
      <w:pPr>
        <w:pStyle w:val="Nivel2SM"/>
        <w:rPr>
          <w:spacing w:val="-4"/>
        </w:rPr>
      </w:pPr>
      <w:r>
        <w:rPr>
          <w:spacing w:val="-4"/>
        </w:rPr>
        <w:t>Se complementa con principios que rigen la atribución de competencias (principio de atribución, principio de subsidiariedad y principio de proporcionalidad).</w:t>
      </w:r>
    </w:p>
    <w:p w14:paraId="2028D23A" w14:textId="77777777" w:rsidR="00CC4921" w:rsidRDefault="00CC4921" w:rsidP="00CC4921">
      <w:pPr>
        <w:pStyle w:val="Ttulo3"/>
      </w:pPr>
      <w:bookmarkStart w:id="54" w:name="_Toc150452825"/>
      <w:r>
        <w:t>Fundamentos jurídicos</w:t>
      </w:r>
      <w:bookmarkEnd w:id="54"/>
    </w:p>
    <w:p w14:paraId="5915CC71" w14:textId="77777777" w:rsidR="00CC4921" w:rsidRDefault="00CC4921" w:rsidP="00CC4921">
      <w:pPr>
        <w:pStyle w:val="Nivel1SM"/>
        <w:keepNext/>
        <w:spacing w:before="0" w:after="0"/>
      </w:pPr>
      <w:r>
        <w:t xml:space="preserve">Los </w:t>
      </w:r>
      <w:r w:rsidRPr="00D70B59">
        <w:rPr>
          <w:b/>
          <w:bCs/>
        </w:rPr>
        <w:t>fundamentos jurídicos</w:t>
      </w:r>
      <w:r>
        <w:t xml:space="preserve"> de la política de desarrollo regional los encontramos en la </w:t>
      </w:r>
      <w:r w:rsidRPr="00D70B59">
        <w:rPr>
          <w:i/>
          <w:iCs/>
          <w:u w:val="single"/>
        </w:rPr>
        <w:t>Constitución Española</w:t>
      </w:r>
      <w:r>
        <w:t>:</w:t>
      </w:r>
    </w:p>
    <w:p w14:paraId="3450EEEE" w14:textId="52D18308" w:rsidR="00CC4921" w:rsidRDefault="00CC4921" w:rsidP="00CC4921">
      <w:pPr>
        <w:pStyle w:val="Nivel2SM"/>
      </w:pPr>
      <w:r>
        <w:rPr>
          <w:i/>
          <w:iCs/>
        </w:rPr>
        <w:t>Artículo 2</w:t>
      </w:r>
      <w:r>
        <w:t>: Principio de solidaridad entre las CCAA</w:t>
      </w:r>
      <w:r w:rsidR="00293988">
        <w:t>.</w:t>
      </w:r>
    </w:p>
    <w:p w14:paraId="1FEAFF2C" w14:textId="77777777" w:rsidR="00CC4921" w:rsidRDefault="00CC4921" w:rsidP="00CC4921">
      <w:pPr>
        <w:pStyle w:val="Nivel2SM"/>
      </w:pPr>
      <w:r>
        <w:rPr>
          <w:i/>
          <w:iCs/>
        </w:rPr>
        <w:t>Artículo 158</w:t>
      </w:r>
      <w:r w:rsidRPr="00D70B59">
        <w:t>:</w:t>
      </w:r>
      <w:r>
        <w:t xml:space="preserve"> Con el fin de corregir desequilibrios económicos interterritoriales se constituirá un Fondo de Compensación con destino a los gastos de inversión.</w:t>
      </w:r>
    </w:p>
    <w:p w14:paraId="154C053E" w14:textId="77777777" w:rsidR="00CC4921" w:rsidRPr="006D07EC" w:rsidRDefault="00CC4921" w:rsidP="00CC4921">
      <w:pPr>
        <w:pStyle w:val="Nivel1SM"/>
        <w:keepNext/>
        <w:spacing w:before="0" w:after="0"/>
        <w:rPr>
          <w:highlight w:val="yellow"/>
        </w:rPr>
      </w:pPr>
      <w:r w:rsidRPr="006D07EC">
        <w:rPr>
          <w:highlight w:val="yellow"/>
        </w:rPr>
        <w:lastRenderedPageBreak/>
        <w:t>En relación a la Política de Cohesión Económica y Social, podemos encontrar sus fundamentos jurídicos en los artículos 174 a 178 del TFUE:</w:t>
      </w:r>
    </w:p>
    <w:p w14:paraId="2071CF3A" w14:textId="77777777" w:rsidR="00CC4921" w:rsidRPr="006D07EC" w:rsidRDefault="00CC4921" w:rsidP="00CC4921">
      <w:pPr>
        <w:pStyle w:val="Nivel2SM"/>
        <w:keepNext/>
        <w:spacing w:after="0"/>
        <w:rPr>
          <w:highlight w:val="yellow"/>
        </w:rPr>
      </w:pPr>
      <w:r w:rsidRPr="006D07EC">
        <w:rPr>
          <w:i/>
          <w:iCs/>
          <w:highlight w:val="yellow"/>
          <w:u w:val="single"/>
        </w:rPr>
        <w:t>Artículo 174 del TFUE</w:t>
      </w:r>
      <w:r w:rsidRPr="006D07EC">
        <w:rPr>
          <w:highlight w:val="yellow"/>
        </w:rPr>
        <w:t>: Promover un desarrollo armonioso del conjunto de la UE.</w:t>
      </w:r>
    </w:p>
    <w:p w14:paraId="4927A449" w14:textId="77777777" w:rsidR="00CC4921" w:rsidRPr="006D07EC" w:rsidRDefault="00CC4921" w:rsidP="00CC4921">
      <w:pPr>
        <w:pStyle w:val="Nivel3SM"/>
        <w:keepNext/>
        <w:rPr>
          <w:highlight w:val="yellow"/>
        </w:rPr>
      </w:pPr>
      <w:r w:rsidRPr="006D07EC">
        <w:rPr>
          <w:highlight w:val="yellow"/>
        </w:rPr>
        <w:t>Se prestará especial atención a:</w:t>
      </w:r>
    </w:p>
    <w:p w14:paraId="10D6518D" w14:textId="77777777" w:rsidR="00CC4921" w:rsidRPr="006D07EC" w:rsidRDefault="00CC4921" w:rsidP="00CC4921">
      <w:pPr>
        <w:pStyle w:val="Nivel4"/>
        <w:ind w:left="1474"/>
        <w:rPr>
          <w:highlight w:val="yellow"/>
        </w:rPr>
      </w:pPr>
      <w:r w:rsidRPr="006D07EC">
        <w:rPr>
          <w:highlight w:val="yellow"/>
        </w:rPr>
        <w:t>Zonas rurales</w:t>
      </w:r>
    </w:p>
    <w:p w14:paraId="09033736" w14:textId="77777777" w:rsidR="00CC4921" w:rsidRPr="006D07EC" w:rsidRDefault="00CC4921" w:rsidP="00CC4921">
      <w:pPr>
        <w:pStyle w:val="Nivel4"/>
        <w:ind w:left="1474"/>
        <w:rPr>
          <w:highlight w:val="yellow"/>
        </w:rPr>
      </w:pPr>
      <w:r w:rsidRPr="006D07EC">
        <w:rPr>
          <w:highlight w:val="yellow"/>
        </w:rPr>
        <w:t>Zonas afectadas por una transición industrial.</w:t>
      </w:r>
    </w:p>
    <w:p w14:paraId="5B69D3CE" w14:textId="77777777" w:rsidR="00CC4921" w:rsidRPr="006D07EC" w:rsidRDefault="00CC4921" w:rsidP="00CC4921">
      <w:pPr>
        <w:pStyle w:val="Nivel4"/>
        <w:ind w:left="1474"/>
        <w:rPr>
          <w:highlight w:val="yellow"/>
        </w:rPr>
      </w:pPr>
      <w:r w:rsidRPr="006D07EC">
        <w:rPr>
          <w:highlight w:val="yellow"/>
        </w:rPr>
        <w:t>Regiones que padecen desventajas naturales o demográficas (p.ej. regiones insulares y de montaña)</w:t>
      </w:r>
    </w:p>
    <w:p w14:paraId="05EF60BA" w14:textId="77777777" w:rsidR="00CC4921" w:rsidRPr="006D07EC" w:rsidRDefault="00CC4921" w:rsidP="00CC4921">
      <w:pPr>
        <w:pStyle w:val="Nivel3SM"/>
        <w:keepNext/>
        <w:rPr>
          <w:highlight w:val="yellow"/>
        </w:rPr>
      </w:pPr>
      <w:r w:rsidRPr="006D07EC">
        <w:rPr>
          <w:highlight w:val="yellow"/>
        </w:rPr>
        <w:t>Varias disposiciones del TFUE incorporan otros objetivos aplicables al conjunto de las políticas de la UE y que, en consecuencia, son también objetivos de la política regional:</w:t>
      </w:r>
    </w:p>
    <w:p w14:paraId="4B5E7FB5" w14:textId="77777777" w:rsidR="00CC4921" w:rsidRPr="006D07EC" w:rsidRDefault="00CC4921" w:rsidP="00CC4921">
      <w:pPr>
        <w:pStyle w:val="Nivel4"/>
        <w:ind w:left="1474"/>
        <w:rPr>
          <w:highlight w:val="yellow"/>
        </w:rPr>
      </w:pPr>
      <w:r w:rsidRPr="006D07EC">
        <w:rPr>
          <w:highlight w:val="yellow"/>
        </w:rPr>
        <w:t>Promoción de un nivel de empleo elevado.</w:t>
      </w:r>
    </w:p>
    <w:p w14:paraId="03562F2E" w14:textId="77777777" w:rsidR="00CC4921" w:rsidRPr="006D07EC" w:rsidRDefault="00CC4921" w:rsidP="00CC4921">
      <w:pPr>
        <w:pStyle w:val="Nivel4"/>
        <w:ind w:left="1474"/>
        <w:rPr>
          <w:highlight w:val="yellow"/>
        </w:rPr>
      </w:pPr>
      <w:r w:rsidRPr="006D07EC">
        <w:rPr>
          <w:highlight w:val="yellow"/>
        </w:rPr>
        <w:t>Protección del medioambiente con objetivo de fomentar un desarrollo sostenible.</w:t>
      </w:r>
    </w:p>
    <w:p w14:paraId="1C5CA4D2" w14:textId="77777777" w:rsidR="00CC4921" w:rsidRPr="006D07EC" w:rsidRDefault="00CC4921" w:rsidP="00CC4921">
      <w:pPr>
        <w:pStyle w:val="Nivel4"/>
        <w:ind w:left="1474"/>
        <w:rPr>
          <w:highlight w:val="yellow"/>
        </w:rPr>
      </w:pPr>
      <w:r w:rsidRPr="006D07EC">
        <w:rPr>
          <w:highlight w:val="yellow"/>
        </w:rPr>
        <w:t>Protección de los consumidores.</w:t>
      </w:r>
    </w:p>
    <w:p w14:paraId="292BCD1B" w14:textId="77777777" w:rsidR="00CC4921" w:rsidRPr="006D07EC" w:rsidRDefault="00CC4921" w:rsidP="00CC4921">
      <w:pPr>
        <w:pStyle w:val="Nivel4"/>
        <w:ind w:left="1474"/>
        <w:rPr>
          <w:highlight w:val="yellow"/>
        </w:rPr>
      </w:pPr>
      <w:r w:rsidRPr="006D07EC">
        <w:rPr>
          <w:highlight w:val="yellow"/>
        </w:rPr>
        <w:t>Exigencias en materia de bienestar de los animales.</w:t>
      </w:r>
    </w:p>
    <w:p w14:paraId="10683CDC" w14:textId="77777777" w:rsidR="00CC4921" w:rsidRPr="006D07EC" w:rsidRDefault="00CC4921" w:rsidP="00CC4921">
      <w:pPr>
        <w:pStyle w:val="Nivel4"/>
        <w:ind w:left="1474"/>
        <w:rPr>
          <w:highlight w:val="yellow"/>
        </w:rPr>
      </w:pPr>
      <w:r w:rsidRPr="006D07EC">
        <w:rPr>
          <w:highlight w:val="yellow"/>
        </w:rPr>
        <w:t>Protección de la salud pública.</w:t>
      </w:r>
    </w:p>
    <w:p w14:paraId="09F3724E" w14:textId="77777777" w:rsidR="00CC4921" w:rsidRPr="006D07EC" w:rsidRDefault="00CC4921" w:rsidP="00CC4921">
      <w:pPr>
        <w:pStyle w:val="Nivel2SM"/>
        <w:rPr>
          <w:highlight w:val="yellow"/>
        </w:rPr>
      </w:pPr>
      <w:r w:rsidRPr="006D07EC">
        <w:rPr>
          <w:i/>
          <w:iCs/>
          <w:highlight w:val="yellow"/>
          <w:u w:val="single"/>
        </w:rPr>
        <w:t>Artículo 175 del TFUE</w:t>
      </w:r>
      <w:r w:rsidRPr="006D07EC">
        <w:rPr>
          <w:highlight w:val="yellow"/>
        </w:rPr>
        <w:t>: A fin de desarrollar el mercado interior</w:t>
      </w:r>
      <w:r w:rsidRPr="006D07EC">
        <w:rPr>
          <w:rStyle w:val="Refdenotaalpie"/>
          <w:highlight w:val="yellow"/>
        </w:rPr>
        <w:footnoteReference w:id="12"/>
      </w:r>
      <w:r w:rsidRPr="006D07EC">
        <w:rPr>
          <w:highlight w:val="yellow"/>
        </w:rPr>
        <w:t>, la UE apoyará dicha consecución a través de fondos con finalidad estructural. Por tanto, apoyo financiero con estos fondos será la principal vía de actuación de la UE en la política de cohesión.</w:t>
      </w:r>
    </w:p>
    <w:p w14:paraId="5B74DE85" w14:textId="77777777" w:rsidR="00CC4921" w:rsidRPr="006D07EC" w:rsidRDefault="00CC4921" w:rsidP="00CC4921">
      <w:pPr>
        <w:pStyle w:val="Nivel2SM"/>
        <w:keepNext/>
        <w:spacing w:after="0"/>
        <w:rPr>
          <w:highlight w:val="yellow"/>
        </w:rPr>
      </w:pPr>
      <w:r w:rsidRPr="006D07EC">
        <w:rPr>
          <w:i/>
          <w:iCs/>
          <w:highlight w:val="yellow"/>
          <w:u w:val="single"/>
        </w:rPr>
        <w:t>Artículo 176 del TFUE</w:t>
      </w:r>
      <w:r w:rsidRPr="006D07EC">
        <w:rPr>
          <w:highlight w:val="yellow"/>
        </w:rPr>
        <w:t>: El FEDER</w:t>
      </w:r>
      <w:r w:rsidRPr="006D07EC">
        <w:rPr>
          <w:rStyle w:val="Refdenotaalpie"/>
          <w:highlight w:val="yellow"/>
        </w:rPr>
        <w:footnoteReference w:id="13"/>
      </w:r>
      <w:r w:rsidRPr="006D07EC">
        <w:rPr>
          <w:highlight w:val="yellow"/>
        </w:rPr>
        <w:t xml:space="preserve"> está destinado a contribuir a la corrección de los principales desequilibrios regionales dentro de la Unión. Puede lograr su objetivo a través del apoyo:</w:t>
      </w:r>
    </w:p>
    <w:p w14:paraId="2D897965" w14:textId="77777777" w:rsidR="00CC4921" w:rsidRPr="006D07EC" w:rsidRDefault="00CC4921" w:rsidP="00CC4921">
      <w:pPr>
        <w:pStyle w:val="Nivel3SM"/>
        <w:rPr>
          <w:highlight w:val="yellow"/>
        </w:rPr>
      </w:pPr>
      <w:r w:rsidRPr="006D07EC">
        <w:rPr>
          <w:highlight w:val="yellow"/>
        </w:rPr>
        <w:t>Al desarrollo y el ajuste estructural de las regiones menos desarrolladas;</w:t>
      </w:r>
    </w:p>
    <w:p w14:paraId="0E02F2CF" w14:textId="77777777" w:rsidR="00CC4921" w:rsidRPr="006D07EC" w:rsidRDefault="00CC4921" w:rsidP="00CC4921">
      <w:pPr>
        <w:pStyle w:val="Nivel3SM"/>
        <w:rPr>
          <w:highlight w:val="yellow"/>
        </w:rPr>
      </w:pPr>
      <w:r w:rsidRPr="006D07EC">
        <w:rPr>
          <w:highlight w:val="yellow"/>
        </w:rPr>
        <w:t>A la transformación de las regiones industriales en declive.</w:t>
      </w:r>
    </w:p>
    <w:p w14:paraId="305EDA83" w14:textId="1E52C96D" w:rsidR="00D70B59" w:rsidRDefault="00D70B59" w:rsidP="00D70B59">
      <w:pPr>
        <w:pStyle w:val="Ttulo2"/>
      </w:pPr>
      <w:bookmarkStart w:id="55" w:name="_Toc150452826"/>
      <w:bookmarkStart w:id="56" w:name="_Ref150454842"/>
      <w:r>
        <w:t>Política de desarrollo regional actual</w:t>
      </w:r>
      <w:bookmarkEnd w:id="55"/>
      <w:bookmarkEnd w:id="56"/>
    </w:p>
    <w:p w14:paraId="7D1568AB" w14:textId="63DFCC1E" w:rsidR="00F307FF" w:rsidRDefault="00F307FF" w:rsidP="00CC4921">
      <w:pPr>
        <w:pStyle w:val="Ttulo3"/>
        <w:spacing w:before="0"/>
      </w:pPr>
      <w:bookmarkStart w:id="57" w:name="_Toc150452827"/>
      <w:r>
        <w:t>Planes de acción</w:t>
      </w:r>
      <w:bookmarkEnd w:id="57"/>
    </w:p>
    <w:p w14:paraId="7B1CE160" w14:textId="0337571B" w:rsidR="00D70B59" w:rsidRPr="00D70B59" w:rsidRDefault="00D70B59" w:rsidP="00F307FF">
      <w:pPr>
        <w:pStyle w:val="Ttulo3"/>
      </w:pPr>
      <w:bookmarkStart w:id="58" w:name="_Toc150452828"/>
      <w:r>
        <w:t>Instrumentos financieros</w:t>
      </w:r>
      <w:bookmarkEnd w:id="58"/>
    </w:p>
    <w:p w14:paraId="393EB4BF" w14:textId="77777777" w:rsidR="009A1FDF" w:rsidRDefault="0060790E" w:rsidP="006754C0">
      <w:pPr>
        <w:pStyle w:val="Ttulo6"/>
        <w:spacing w:before="0"/>
      </w:pPr>
      <w:bookmarkStart w:id="59" w:name="_Toc150452829"/>
      <w:r w:rsidRPr="009A1FDF">
        <w:t xml:space="preserve">Fondos </w:t>
      </w:r>
      <w:r w:rsidR="009A1FDF">
        <w:t>comunitarios</w:t>
      </w:r>
      <w:bookmarkEnd w:id="59"/>
    </w:p>
    <w:p w14:paraId="2B3E801B" w14:textId="4B5A9C2B" w:rsidR="0060790E" w:rsidRPr="009A1FDF" w:rsidRDefault="009A1FDF" w:rsidP="006754C0">
      <w:pPr>
        <w:pStyle w:val="Ttulo7"/>
        <w:spacing w:before="0"/>
      </w:pPr>
      <w:r w:rsidRPr="009A1FDF">
        <w:t xml:space="preserve">Fondos </w:t>
      </w:r>
      <w:r w:rsidR="0060790E" w:rsidRPr="009A1FDF">
        <w:t>estructurales</w:t>
      </w:r>
    </w:p>
    <w:p w14:paraId="06F10FFC" w14:textId="2415B06E" w:rsidR="0060790E" w:rsidRPr="00F55B41" w:rsidRDefault="0060790E" w:rsidP="006754C0">
      <w:pPr>
        <w:pStyle w:val="Nivel1SM"/>
        <w:keepNext/>
        <w:spacing w:before="0" w:after="0"/>
      </w:pPr>
      <w:r w:rsidRPr="00F55B41">
        <w:t xml:space="preserve">Los </w:t>
      </w:r>
      <w:r w:rsidRPr="006754C0">
        <w:rPr>
          <w:b/>
          <w:bCs/>
        </w:rPr>
        <w:t>fondos estructurales</w:t>
      </w:r>
      <w:r w:rsidRPr="00F55B41">
        <w:t xml:space="preserve"> </w:t>
      </w:r>
      <w:r w:rsidR="006754C0">
        <w:t xml:space="preserve">(así </w:t>
      </w:r>
      <w:r w:rsidR="006754C0" w:rsidRPr="00F55B41">
        <w:t>denomina</w:t>
      </w:r>
      <w:r w:rsidR="006754C0">
        <w:t>dos</w:t>
      </w:r>
      <w:r w:rsidR="006754C0" w:rsidRPr="00F55B41">
        <w:t xml:space="preserve"> porque invierten en la reestructuración económica, regional y social</w:t>
      </w:r>
      <w:r w:rsidR="006754C0">
        <w:t xml:space="preserve">) </w:t>
      </w:r>
      <w:r w:rsidRPr="00F55B41">
        <w:t>están compuestos por el Fondo Europeo de Desarrollo Regional (</w:t>
      </w:r>
      <w:r w:rsidRPr="006754C0">
        <w:t>FEDER</w:t>
      </w:r>
      <w:r w:rsidRPr="00F55B41">
        <w:t>) y Fondo Social Europeo (</w:t>
      </w:r>
      <w:r w:rsidRPr="006754C0">
        <w:t>FSE</w:t>
      </w:r>
      <w:r w:rsidRPr="00F55B41">
        <w:t>).</w:t>
      </w:r>
    </w:p>
    <w:p w14:paraId="097D50D0" w14:textId="02613545" w:rsidR="0060790E" w:rsidRPr="00F55B41" w:rsidRDefault="0060790E" w:rsidP="00AA581B">
      <w:pPr>
        <w:pStyle w:val="Nivel2SM"/>
        <w:keepNext/>
        <w:spacing w:after="0"/>
      </w:pPr>
      <w:r w:rsidRPr="006754C0">
        <w:rPr>
          <w:i/>
          <w:iCs/>
          <w:u w:val="single"/>
        </w:rPr>
        <w:t>Fondo Europeo de Desarrollo Regional (FEDER)</w:t>
      </w:r>
      <w:r w:rsidRPr="00F55B41">
        <w:t>:</w:t>
      </w:r>
    </w:p>
    <w:p w14:paraId="1730ACC9" w14:textId="7AC2F49C" w:rsidR="0060790E" w:rsidRPr="00F55B41" w:rsidRDefault="00345C0B" w:rsidP="00C044A7">
      <w:pPr>
        <w:pStyle w:val="Nivel3SM"/>
      </w:pPr>
      <w:r>
        <w:t>L</w:t>
      </w:r>
      <w:r w:rsidR="0060790E" w:rsidRPr="00F55B41">
        <w:t>a inversión en crecimiento y empleo, que está orientada a fortalecer el mercado laboral y las economías regionales;</w:t>
      </w:r>
      <w:r>
        <w:t xml:space="preserve"> </w:t>
      </w:r>
      <w:r w:rsidR="0060790E" w:rsidRPr="00F55B41">
        <w:t>la cooperación territorial europea, el desarrollo sostenible, la competitividad y el empleo en todas las regiones y ciudades de la UE.</w:t>
      </w:r>
    </w:p>
    <w:p w14:paraId="4161602E" w14:textId="77777777" w:rsidR="0060790E" w:rsidRPr="00F55B41" w:rsidRDefault="0060790E" w:rsidP="00AA581B">
      <w:pPr>
        <w:pStyle w:val="Nivel3SM"/>
      </w:pPr>
      <w:r w:rsidRPr="00F55B41">
        <w:t xml:space="preserve">Busca corregir los principales desequilibrios regionales de la Unión. </w:t>
      </w:r>
    </w:p>
    <w:p w14:paraId="36D98FC9" w14:textId="21A723A8" w:rsidR="0060790E" w:rsidRPr="00F55B41" w:rsidRDefault="0060790E" w:rsidP="00751CB9">
      <w:pPr>
        <w:pStyle w:val="Nivel3SM"/>
      </w:pPr>
      <w:r w:rsidRPr="00F55B41">
        <w:t>Apoya a las regiones cuyo desarrollo va más lento</w:t>
      </w:r>
      <w:r w:rsidR="00345C0B">
        <w:t xml:space="preserve"> </w:t>
      </w:r>
      <w:r w:rsidRPr="00F55B41">
        <w:t>además de la conversión de las regiones industriales en declive.</w:t>
      </w:r>
    </w:p>
    <w:p w14:paraId="3B010877" w14:textId="45E41DA6" w:rsidR="0060790E" w:rsidRPr="00F55B41" w:rsidRDefault="0060790E" w:rsidP="00AA581B">
      <w:pPr>
        <w:pStyle w:val="Nivel2SM"/>
        <w:keepNext/>
        <w:spacing w:after="0"/>
      </w:pPr>
      <w:r w:rsidRPr="006754C0">
        <w:rPr>
          <w:i/>
          <w:iCs/>
          <w:u w:val="single"/>
        </w:rPr>
        <w:t>Fondo Social Europeo Plus (FSE +)</w:t>
      </w:r>
      <w:r w:rsidRPr="00F55B41">
        <w:t>:</w:t>
      </w:r>
    </w:p>
    <w:p w14:paraId="31AE9280" w14:textId="77777777" w:rsidR="0060790E" w:rsidRPr="00F55B41" w:rsidRDefault="0060790E" w:rsidP="001876F5">
      <w:pPr>
        <w:pStyle w:val="Nivel3SM"/>
        <w:keepNext/>
      </w:pPr>
      <w:r w:rsidRPr="00F55B41">
        <w:t>El Fondo Social Europeo (desde 2021, llamado FSE+) es el principal instrumento de la Unión para el apoyo de medidas encaminadas a:</w:t>
      </w:r>
    </w:p>
    <w:p w14:paraId="1137071A" w14:textId="4A04C9C2" w:rsidR="0060790E" w:rsidRPr="00F55B41" w:rsidRDefault="00345C0B" w:rsidP="001876F5">
      <w:pPr>
        <w:pStyle w:val="Nivel4"/>
        <w:ind w:left="1474"/>
      </w:pPr>
      <w:r>
        <w:t>P</w:t>
      </w:r>
      <w:r w:rsidR="0060790E" w:rsidRPr="00F55B41">
        <w:t>revenir y combatir el desempleo,</w:t>
      </w:r>
    </w:p>
    <w:p w14:paraId="071838AE" w14:textId="3A3979DC" w:rsidR="0060790E" w:rsidRPr="00F55B41" w:rsidRDefault="00345C0B" w:rsidP="001876F5">
      <w:pPr>
        <w:pStyle w:val="Nivel4"/>
        <w:ind w:left="1474"/>
      </w:pPr>
      <w:r>
        <w:t>D</w:t>
      </w:r>
      <w:r w:rsidR="0060790E" w:rsidRPr="00F55B41">
        <w:t>esarrollar los recursos humanos</w:t>
      </w:r>
      <w:r w:rsidR="00712E61">
        <w:t>,</w:t>
      </w:r>
    </w:p>
    <w:p w14:paraId="47432295" w14:textId="737DBFF1" w:rsidR="0060790E" w:rsidRPr="00F55B41" w:rsidRDefault="00345C0B" w:rsidP="001876F5">
      <w:pPr>
        <w:pStyle w:val="Nivel4"/>
        <w:ind w:left="1474"/>
      </w:pPr>
      <w:r>
        <w:t>F</w:t>
      </w:r>
      <w:r w:rsidR="0060790E" w:rsidRPr="00F55B41">
        <w:t>omentar la integración social en el mercado de trabajo</w:t>
      </w:r>
      <w:r w:rsidR="00712E61">
        <w:t>,</w:t>
      </w:r>
    </w:p>
    <w:p w14:paraId="759290E2" w14:textId="6F3586B5" w:rsidR="0060790E" w:rsidRPr="00F55B41" w:rsidRDefault="00345C0B" w:rsidP="001876F5">
      <w:pPr>
        <w:pStyle w:val="Nivel4"/>
        <w:ind w:left="1474"/>
      </w:pPr>
      <w:r>
        <w:t>Fomentar l</w:t>
      </w:r>
      <w:r w:rsidR="0060790E" w:rsidRPr="00F55B41">
        <w:t>a igualdad de oportunidades para mujeres y hombres,</w:t>
      </w:r>
    </w:p>
    <w:p w14:paraId="61069FA8" w14:textId="5AE8A789" w:rsidR="0060790E" w:rsidRDefault="00345C0B" w:rsidP="001876F5">
      <w:pPr>
        <w:pStyle w:val="Nivel4"/>
        <w:ind w:left="1474"/>
      </w:pPr>
      <w:r>
        <w:lastRenderedPageBreak/>
        <w:t>Fomentar l</w:t>
      </w:r>
      <w:r w:rsidR="0060790E" w:rsidRPr="00F55B41">
        <w:t>a cohesión económica y social.</w:t>
      </w:r>
    </w:p>
    <w:p w14:paraId="624D1D96" w14:textId="5692F285" w:rsidR="00387B17" w:rsidRDefault="00387B17" w:rsidP="00387B17">
      <w:pPr>
        <w:pStyle w:val="Nivel1SM"/>
        <w:keepNext/>
        <w:spacing w:after="0"/>
      </w:pPr>
      <w:r>
        <w:t>Todas las regiones pueden beneficiarse de los fondos estructurales. En cualquier caso, con el fin de que las ayudas se concentren en las regiones más necesitadas, las regiones se clasifican según su nivel de necesidad:</w:t>
      </w:r>
    </w:p>
    <w:p w14:paraId="5A5EBB8D" w14:textId="757F1E7B" w:rsidR="00387B17" w:rsidRDefault="00387B17" w:rsidP="00387B17">
      <w:pPr>
        <w:pStyle w:val="Nivel2SM"/>
      </w:pPr>
      <w:r>
        <w:rPr>
          <w:i/>
          <w:iCs/>
        </w:rPr>
        <w:t>Regiones menos desarrolladas</w:t>
      </w:r>
      <w:r>
        <w:t xml:space="preserve">: Aquellas cuyo PIB per cápita es inferior al 75 % de la media d </w:t>
      </w:r>
      <w:proofErr w:type="spellStart"/>
      <w:r>
        <w:t>ela</w:t>
      </w:r>
      <w:proofErr w:type="spellEnd"/>
      <w:r>
        <w:t xml:space="preserve"> UE. En el caso español, Extremadura, Castilla-La Mancha, Andalucía, Murcia y Canarias.</w:t>
      </w:r>
    </w:p>
    <w:p w14:paraId="6091CD5B" w14:textId="3DC3BD6D" w:rsidR="00387B17" w:rsidRDefault="00387B17" w:rsidP="00387B17">
      <w:pPr>
        <w:pStyle w:val="Nivel2SM"/>
      </w:pPr>
      <w:r>
        <w:rPr>
          <w:i/>
          <w:iCs/>
        </w:rPr>
        <w:t>Regiones en transición</w:t>
      </w:r>
      <w:r>
        <w:t>: Aquellas cuyo PIB per cápita se encuentre entre el 75 % y el 90 % del promedio comunitario. En el caso español, Galicia, Asturias, Cantabria, Castilla y León, Comunidad Valenciana.</w:t>
      </w:r>
    </w:p>
    <w:p w14:paraId="3E7E423C" w14:textId="426584E1" w:rsidR="00387B17" w:rsidRPr="00F55B41" w:rsidRDefault="00387B17" w:rsidP="00387B17">
      <w:pPr>
        <w:pStyle w:val="Nivel2SM"/>
      </w:pPr>
      <w:r>
        <w:rPr>
          <w:i/>
          <w:iCs/>
        </w:rPr>
        <w:t>Regiones más desarrolladas</w:t>
      </w:r>
      <w:r w:rsidRPr="00387B17">
        <w:t>:</w:t>
      </w:r>
      <w:r>
        <w:t xml:space="preserve"> Aquellas cuyo PIB per cápita se encuentra por encima del 90 % del promedio comunitario. En el caso español, Madrid, Cataluña, País Vasco,</w:t>
      </w:r>
      <w:r w:rsidR="009E3C07">
        <w:t xml:space="preserve"> Navarra,</w:t>
      </w:r>
      <w:r>
        <w:t xml:space="preserve"> La Rioja, Aragón, Baleares.</w:t>
      </w:r>
    </w:p>
    <w:p w14:paraId="4FB49EF8" w14:textId="58C9821B" w:rsidR="0060790E" w:rsidRPr="00F55B41" w:rsidRDefault="0060790E" w:rsidP="005457D8">
      <w:pPr>
        <w:pStyle w:val="Ttulo7"/>
      </w:pPr>
      <w:r w:rsidRPr="009A1FDF">
        <w:t>Fondo de Cohesión</w:t>
      </w:r>
    </w:p>
    <w:p w14:paraId="5F435FAA" w14:textId="6A976C8B" w:rsidR="0060790E" w:rsidRPr="00F55B41" w:rsidRDefault="0060790E" w:rsidP="001876F5">
      <w:pPr>
        <w:pStyle w:val="Nivel2SM"/>
        <w:keepNext/>
        <w:spacing w:after="0"/>
      </w:pPr>
      <w:r w:rsidRPr="00F55B41">
        <w:t xml:space="preserve">El Fondo de Cohesión ofrece una contribución económica a los proyectos relacionados con el </w:t>
      </w:r>
      <w:r w:rsidRPr="006754C0">
        <w:rPr>
          <w:i/>
          <w:iCs/>
        </w:rPr>
        <w:t>medio ambiente</w:t>
      </w:r>
      <w:r w:rsidRPr="00F55B41">
        <w:t xml:space="preserve"> y con las </w:t>
      </w:r>
      <w:r w:rsidRPr="006754C0">
        <w:rPr>
          <w:i/>
          <w:iCs/>
        </w:rPr>
        <w:t>redes transeuropeas en el ámbito de la infraestructura de transportes</w:t>
      </w:r>
      <w:r w:rsidRPr="00F55B41">
        <w:t>.</w:t>
      </w:r>
    </w:p>
    <w:p w14:paraId="36B9F937" w14:textId="49450C24" w:rsidR="0060790E" w:rsidRPr="00F55B41" w:rsidRDefault="0060790E" w:rsidP="001876F5">
      <w:pPr>
        <w:pStyle w:val="Nivel3SM"/>
      </w:pPr>
      <w:r w:rsidRPr="00F55B41">
        <w:t>Solo pueden acceder a este fondo aquellos E</w:t>
      </w:r>
      <w:r w:rsidR="00F96502">
        <w:t>stados miembros</w:t>
      </w:r>
      <w:r w:rsidRPr="00F55B41">
        <w:t xml:space="preserve"> cuya renta nacional bruta por habitante sea inferior al 90</w:t>
      </w:r>
      <w:r w:rsidR="00AE7DE8">
        <w:t> %</w:t>
      </w:r>
      <w:r w:rsidRPr="00F55B41">
        <w:t xml:space="preserve"> de la media de la Unión. (</w:t>
      </w:r>
      <w:r w:rsidR="006E32AA">
        <w:t xml:space="preserve">Son 15: </w:t>
      </w:r>
      <w:r w:rsidRPr="00F55B41">
        <w:t xml:space="preserve">notablemente, </w:t>
      </w:r>
      <w:proofErr w:type="spellStart"/>
      <w:r w:rsidRPr="00F55B41">
        <w:t>PECOs</w:t>
      </w:r>
      <w:proofErr w:type="spellEnd"/>
      <w:r w:rsidRPr="00F55B41">
        <w:t>, Chipre, Malta, Grecia y Portugal).</w:t>
      </w:r>
      <w:r w:rsidR="006E32AA">
        <w:t xml:space="preserve"> España no</w:t>
      </w:r>
      <w:r w:rsidR="006754C0">
        <w:t>, ya que supero el umbral en 2013</w:t>
      </w:r>
      <w:r w:rsidR="006E32AA">
        <w:t>.</w:t>
      </w:r>
    </w:p>
    <w:p w14:paraId="179A8182" w14:textId="77777777" w:rsidR="0060790E" w:rsidRDefault="0060790E" w:rsidP="001876F5">
      <w:pPr>
        <w:pStyle w:val="Nivel3SM"/>
      </w:pPr>
      <w:r w:rsidRPr="00F55B41">
        <w:t xml:space="preserve">Particularmente, este fondo presta apoyo económico a proyectos como el </w:t>
      </w:r>
      <w:r w:rsidRPr="006754C0">
        <w:rPr>
          <w:i/>
          <w:iCs/>
          <w:u w:val="single"/>
        </w:rPr>
        <w:t>Mecanismo Interconectar Europa</w:t>
      </w:r>
      <w:r w:rsidR="00473996" w:rsidRPr="00F55B41">
        <w:t>, (</w:t>
      </w:r>
      <w:r w:rsidRPr="00F55B41">
        <w:t xml:space="preserve">creado en 2013) que es primordial para el correcto </w:t>
      </w:r>
      <w:r w:rsidRPr="00F55B41">
        <w:rPr>
          <w:u w:val="single"/>
        </w:rPr>
        <w:t>funcionamiento del mercado interior</w:t>
      </w:r>
      <w:r w:rsidRPr="00F55B41">
        <w:t xml:space="preserve"> al invertir en infraestructuras de banda ancha, carreteras, ferrocarriles, redes eléctricas y gasoductos.</w:t>
      </w:r>
    </w:p>
    <w:p w14:paraId="5C02E9C7" w14:textId="28A07F8F" w:rsidR="00F96502" w:rsidRPr="0076559E" w:rsidRDefault="00F96502" w:rsidP="00F96502">
      <w:pPr>
        <w:pStyle w:val="Ttuloimagen"/>
        <w:rPr>
          <w:i/>
          <w:iCs/>
          <w:smallCaps w:val="0"/>
          <w:spacing w:val="-3"/>
        </w:rPr>
      </w:pPr>
      <w:r w:rsidRPr="0076559E">
        <w:rPr>
          <w:spacing w:val="-3"/>
        </w:rPr>
        <w:t>Imagen</w:t>
      </w:r>
      <w:r>
        <w:rPr>
          <w:spacing w:val="-3"/>
        </w:rPr>
        <w:t> </w:t>
      </w:r>
      <w:r w:rsidRPr="0076559E">
        <w:rPr>
          <w:spacing w:val="-3"/>
        </w:rPr>
        <w:fldChar w:fldCharType="begin"/>
      </w:r>
      <w:r w:rsidRPr="0076559E">
        <w:rPr>
          <w:spacing w:val="-3"/>
        </w:rPr>
        <w:instrText xml:space="preserve"> SEQ Ilustración \* ARABIC </w:instrText>
      </w:r>
      <w:r w:rsidRPr="0076559E">
        <w:rPr>
          <w:spacing w:val="-3"/>
        </w:rPr>
        <w:fldChar w:fldCharType="separate"/>
      </w:r>
      <w:r w:rsidR="00EC13F1">
        <w:rPr>
          <w:spacing w:val="-3"/>
        </w:rPr>
        <w:t>5</w:t>
      </w:r>
      <w:r w:rsidRPr="0076559E">
        <w:rPr>
          <w:spacing w:val="-3"/>
        </w:rPr>
        <w:fldChar w:fldCharType="end"/>
      </w:r>
      <w:r w:rsidRPr="0076559E">
        <w:rPr>
          <w:smallCaps w:val="0"/>
          <w:spacing w:val="-3"/>
        </w:rPr>
        <w:t xml:space="preserve">.– </w:t>
      </w:r>
      <w:r w:rsidRPr="0076559E">
        <w:rPr>
          <w:i/>
          <w:iCs/>
          <w:smallCaps w:val="0"/>
          <w:spacing w:val="-3"/>
        </w:rPr>
        <w:t>Regiones de Europa en función de su PIB per cápita y tasa de crecimiento del PIB per cápita entre 200</w:t>
      </w:r>
      <w:r>
        <w:rPr>
          <w:i/>
          <w:iCs/>
          <w:smallCaps w:val="0"/>
          <w:spacing w:val="-3"/>
        </w:rPr>
        <w:t>1</w:t>
      </w:r>
      <w:r w:rsidRPr="0076559E">
        <w:rPr>
          <w:i/>
          <w:iCs/>
          <w:smallCaps w:val="0"/>
          <w:spacing w:val="-3"/>
        </w:rPr>
        <w:t xml:space="preserve"> y 2019</w:t>
      </w:r>
    </w:p>
    <w:p w14:paraId="76CF516E" w14:textId="77777777" w:rsidR="00F96502" w:rsidRDefault="00F96502" w:rsidP="00F96502">
      <w:pPr>
        <w:pStyle w:val="Imagen"/>
      </w:pPr>
      <w:r>
        <w:drawing>
          <wp:inline distT="0" distB="0" distL="0" distR="0" wp14:anchorId="0A2CB584" wp14:editId="703C43EB">
            <wp:extent cx="5040000" cy="3412642"/>
            <wp:effectExtent l="0" t="0" r="8255" b="0"/>
            <wp:docPr id="5" name="Imagen 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Mapa&#10;&#10;Descripción generada automáticamente"/>
                    <pic:cNvPicPr/>
                  </pic:nvPicPr>
                  <pic:blipFill>
                    <a:blip r:embed="rId21"/>
                    <a:stretch>
                      <a:fillRect/>
                    </a:stretch>
                  </pic:blipFill>
                  <pic:spPr>
                    <a:xfrm>
                      <a:off x="0" y="0"/>
                      <a:ext cx="5040000" cy="3412642"/>
                    </a:xfrm>
                    <a:prstGeom prst="rect">
                      <a:avLst/>
                    </a:prstGeom>
                  </pic:spPr>
                </pic:pic>
              </a:graphicData>
            </a:graphic>
          </wp:inline>
        </w:drawing>
      </w:r>
    </w:p>
    <w:p w14:paraId="0A73D682" w14:textId="2F647EE7" w:rsidR="00F96502" w:rsidRDefault="00F96502" w:rsidP="00F96502">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22" w:history="1">
        <w:r w:rsidRPr="00826C0E">
          <w:rPr>
            <w:rStyle w:val="Hipervnculo"/>
            <w:i w:val="0"/>
            <w:iCs/>
          </w:rPr>
          <w:t>https://ec.europa.eu/regional_policy/sources/reports/cohesion8/8cr_es.pdf</w:t>
        </w:r>
      </w:hyperlink>
    </w:p>
    <w:p w14:paraId="18F90249" w14:textId="75B50B97" w:rsidR="00F96502" w:rsidRPr="0076559E" w:rsidRDefault="00F96502" w:rsidP="00F96502">
      <w:pPr>
        <w:pStyle w:val="Ttuloimagen"/>
        <w:rPr>
          <w:i/>
          <w:iCs/>
          <w:smallCaps w:val="0"/>
          <w:spacing w:val="-3"/>
        </w:rPr>
      </w:pPr>
      <w:r w:rsidRPr="0076559E">
        <w:rPr>
          <w:spacing w:val="-3"/>
        </w:rPr>
        <w:lastRenderedPageBreak/>
        <w:t>Imagen</w:t>
      </w:r>
      <w:r>
        <w:rPr>
          <w:spacing w:val="-3"/>
        </w:rPr>
        <w:t> </w:t>
      </w:r>
      <w:r w:rsidRPr="0076559E">
        <w:rPr>
          <w:spacing w:val="-3"/>
        </w:rPr>
        <w:fldChar w:fldCharType="begin"/>
      </w:r>
      <w:r w:rsidRPr="0076559E">
        <w:rPr>
          <w:spacing w:val="-3"/>
        </w:rPr>
        <w:instrText xml:space="preserve"> SEQ Ilustración \* ARABIC </w:instrText>
      </w:r>
      <w:r w:rsidRPr="0076559E">
        <w:rPr>
          <w:spacing w:val="-3"/>
        </w:rPr>
        <w:fldChar w:fldCharType="separate"/>
      </w:r>
      <w:r w:rsidR="00EC13F1">
        <w:rPr>
          <w:spacing w:val="-3"/>
        </w:rPr>
        <w:t>6</w:t>
      </w:r>
      <w:r w:rsidRPr="0076559E">
        <w:rPr>
          <w:spacing w:val="-3"/>
        </w:rPr>
        <w:fldChar w:fldCharType="end"/>
      </w:r>
      <w:r w:rsidRPr="0076559E">
        <w:rPr>
          <w:smallCaps w:val="0"/>
          <w:spacing w:val="-3"/>
        </w:rPr>
        <w:t xml:space="preserve">.– </w:t>
      </w:r>
      <w:r>
        <w:rPr>
          <w:i/>
          <w:iCs/>
          <w:smallCaps w:val="0"/>
          <w:spacing w:val="-3"/>
        </w:rPr>
        <w:t>Crecimiento del PIB real per cápita según el nivel de desarrollo regional (2000-2019)</w:t>
      </w:r>
    </w:p>
    <w:p w14:paraId="23D961D2" w14:textId="77777777" w:rsidR="00F96502" w:rsidRDefault="00F96502" w:rsidP="00F96502">
      <w:pPr>
        <w:pStyle w:val="Imagen"/>
      </w:pPr>
      <w:r>
        <w:drawing>
          <wp:inline distT="0" distB="0" distL="0" distR="0" wp14:anchorId="53068CB3" wp14:editId="3D509275">
            <wp:extent cx="4320000" cy="2362150"/>
            <wp:effectExtent l="0" t="0" r="4445" b="635"/>
            <wp:docPr id="7" name="Imagen 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Gráfico de líneas&#10;&#10;Descripción generada automáticamente"/>
                    <pic:cNvPicPr/>
                  </pic:nvPicPr>
                  <pic:blipFill>
                    <a:blip r:embed="rId23"/>
                    <a:stretch>
                      <a:fillRect/>
                    </a:stretch>
                  </pic:blipFill>
                  <pic:spPr>
                    <a:xfrm>
                      <a:off x="0" y="0"/>
                      <a:ext cx="4320000" cy="2362150"/>
                    </a:xfrm>
                    <a:prstGeom prst="rect">
                      <a:avLst/>
                    </a:prstGeom>
                  </pic:spPr>
                </pic:pic>
              </a:graphicData>
            </a:graphic>
          </wp:inline>
        </w:drawing>
      </w:r>
    </w:p>
    <w:p w14:paraId="658A6AB6" w14:textId="631B7666" w:rsidR="00F96502" w:rsidRDefault="00F96502" w:rsidP="00F96502">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24" w:history="1">
        <w:r w:rsidRPr="00826C0E">
          <w:rPr>
            <w:rStyle w:val="Hipervnculo"/>
            <w:i w:val="0"/>
            <w:iCs/>
          </w:rPr>
          <w:t>https://ec.europa.eu/regional_policy/sources/reports/cohesion8/8cr_es.pdf</w:t>
        </w:r>
      </w:hyperlink>
    </w:p>
    <w:p w14:paraId="1749B245" w14:textId="77777777" w:rsidR="0060790E" w:rsidRPr="00473996" w:rsidRDefault="0060790E" w:rsidP="005457D8">
      <w:pPr>
        <w:pStyle w:val="Ttulo7"/>
      </w:pPr>
      <w:r w:rsidRPr="00473996">
        <w:t>Fondos complementarios</w:t>
      </w:r>
    </w:p>
    <w:p w14:paraId="5E8ABB6C" w14:textId="77777777" w:rsidR="0060790E" w:rsidRPr="00572229" w:rsidRDefault="0060790E" w:rsidP="00572229">
      <w:pPr>
        <w:pStyle w:val="Nivel2SM"/>
        <w:keepNext/>
        <w:spacing w:after="0"/>
        <w:rPr>
          <w:u w:val="single"/>
        </w:rPr>
      </w:pPr>
      <w:r w:rsidRPr="00572229">
        <w:rPr>
          <w:u w:val="single"/>
        </w:rPr>
        <w:t>Fondos de Inversión Europeos</w:t>
      </w:r>
    </w:p>
    <w:p w14:paraId="74321CE4" w14:textId="6E4B5B9C" w:rsidR="008038BE" w:rsidRDefault="0060790E" w:rsidP="005469A4">
      <w:pPr>
        <w:pStyle w:val="Nivel3SM"/>
      </w:pPr>
      <w:r w:rsidRPr="00572229">
        <w:rPr>
          <w:u w:val="single"/>
        </w:rPr>
        <w:t>FEADER</w:t>
      </w:r>
      <w:r w:rsidR="008038BE" w:rsidRPr="00572229">
        <w:rPr>
          <w:u w:val="single"/>
        </w:rPr>
        <w:t xml:space="preserve"> y FEMPA</w:t>
      </w:r>
      <w:r w:rsidR="00572229" w:rsidRPr="00572229">
        <w:t>:</w:t>
      </w:r>
      <w:r w:rsidR="00572229">
        <w:t xml:space="preserve"> </w:t>
      </w:r>
      <w:r w:rsidRPr="00F55B41">
        <w:t>Invierte en desarrollo rural</w:t>
      </w:r>
      <w:r w:rsidR="008038BE">
        <w:t>, agricultura y pesca</w:t>
      </w:r>
      <w:r w:rsidRPr="00F55B41">
        <w:t xml:space="preserve"> </w:t>
      </w:r>
      <w:r w:rsidR="008038BE">
        <w:t>más</w:t>
      </w:r>
      <w:r w:rsidRPr="00F55B41">
        <w:t xml:space="preserve"> </w:t>
      </w:r>
      <w:r w:rsidR="008038BE">
        <w:t>sostenible y competitivas.</w:t>
      </w:r>
    </w:p>
    <w:p w14:paraId="195A4272" w14:textId="77777777" w:rsidR="0060790E" w:rsidRPr="00572229" w:rsidRDefault="0060790E" w:rsidP="00572229">
      <w:pPr>
        <w:pStyle w:val="Nivel2SM"/>
        <w:keepNext/>
        <w:spacing w:after="0"/>
        <w:rPr>
          <w:u w:val="single"/>
        </w:rPr>
      </w:pPr>
      <w:r w:rsidRPr="00572229">
        <w:rPr>
          <w:u w:val="single"/>
        </w:rPr>
        <w:t>Fondo de Solidaridad de la UE</w:t>
      </w:r>
    </w:p>
    <w:p w14:paraId="36B3DA32" w14:textId="5A2B854B" w:rsidR="0060790E" w:rsidRPr="00F55B41" w:rsidRDefault="0060790E" w:rsidP="00572229">
      <w:pPr>
        <w:pStyle w:val="Nivel3SM"/>
      </w:pPr>
      <w:r w:rsidRPr="00F55B41">
        <w:t>Fue creado en el verano de 2002 con el objetivo original de paliar las graves inundaciones que se produjeron en Europa central. El FSUE es ahora un fondo estable con un presupuesto anual de 500</w:t>
      </w:r>
      <w:r w:rsidR="00EA5FBE">
        <w:t> </w:t>
      </w:r>
      <w:r w:rsidRPr="00F55B41">
        <w:t>M€, y se destina a catástrofes naturales.</w:t>
      </w:r>
    </w:p>
    <w:p w14:paraId="2B93991D" w14:textId="77777777" w:rsidR="0060790E" w:rsidRPr="00F55B41" w:rsidRDefault="0060790E" w:rsidP="00572229">
      <w:pPr>
        <w:pStyle w:val="Nivel2SM"/>
        <w:keepNext/>
        <w:spacing w:after="0"/>
      </w:pPr>
      <w:r w:rsidRPr="00572229">
        <w:rPr>
          <w:u w:val="single"/>
        </w:rPr>
        <w:t>Fondo de Transición Justa (FTJ)</w:t>
      </w:r>
      <w:r w:rsidRPr="00F55B41">
        <w:t>.</w:t>
      </w:r>
    </w:p>
    <w:p w14:paraId="541A19FC" w14:textId="36CF8D43" w:rsidR="0060790E" w:rsidRPr="00F55B41" w:rsidRDefault="0060790E" w:rsidP="00572229">
      <w:pPr>
        <w:pStyle w:val="Nivel3SM"/>
      </w:pPr>
      <w:r w:rsidRPr="00F55B41">
        <w:t>Creado en 2021, herramienta clave para</w:t>
      </w:r>
      <w:r w:rsidR="00572229">
        <w:t xml:space="preserve"> </w:t>
      </w:r>
      <w:r w:rsidR="00572229" w:rsidRPr="00572229">
        <w:t>a</w:t>
      </w:r>
      <w:r w:rsidRPr="00572229">
        <w:t>poyar</w:t>
      </w:r>
      <w:r w:rsidRPr="00F55B41">
        <w:t xml:space="preserve"> los territorios más afectados por la transición a la neutralidad climática</w:t>
      </w:r>
      <w:r w:rsidR="008038BE">
        <w:t xml:space="preserve">. </w:t>
      </w:r>
      <w:r w:rsidRPr="00F55B41">
        <w:t>Evitar el aumento de las dispari</w:t>
      </w:r>
      <w:r w:rsidR="008038BE">
        <w:t>dades</w:t>
      </w:r>
      <w:r w:rsidRPr="00F55B41">
        <w:t xml:space="preserve">. </w:t>
      </w:r>
    </w:p>
    <w:p w14:paraId="75DE9931" w14:textId="77777777" w:rsidR="006E32AA" w:rsidRPr="00F55B41" w:rsidRDefault="006E32AA" w:rsidP="00572229">
      <w:pPr>
        <w:pStyle w:val="Nivel2SM"/>
        <w:keepNext/>
        <w:spacing w:after="0"/>
      </w:pPr>
      <w:r w:rsidRPr="006E32AA">
        <w:rPr>
          <w:i/>
          <w:u w:val="single"/>
        </w:rPr>
        <w:t>En el período 2021-2027</w:t>
      </w:r>
      <w:r w:rsidRPr="00F55B41">
        <w:rPr>
          <w:u w:val="single"/>
        </w:rPr>
        <w:t>,</w:t>
      </w:r>
      <w:r w:rsidRPr="00F55B41">
        <w:t xml:space="preserve"> la política de cohesión será financiada en parte por el MFP y, en el caso de algunos programas, por el «Next Generation EU».</w:t>
      </w:r>
    </w:p>
    <w:p w14:paraId="77A7E0F0" w14:textId="20972F0B" w:rsidR="006E32AA" w:rsidRPr="00F55B41" w:rsidRDefault="006E32AA" w:rsidP="00572229">
      <w:pPr>
        <w:pStyle w:val="Nivel3SM"/>
      </w:pPr>
      <w:r w:rsidRPr="00F55B41">
        <w:t>«Cooperación territorial europea» (</w:t>
      </w:r>
      <w:proofErr w:type="spellStart"/>
      <w:r w:rsidRPr="00F55B41">
        <w:t>Interreg</w:t>
      </w:r>
      <w:proofErr w:type="spellEnd"/>
      <w:r w:rsidRPr="00F55B41">
        <w:t>)</w:t>
      </w:r>
      <w:r w:rsidR="007E6085">
        <w:t>,</w:t>
      </w:r>
    </w:p>
    <w:p w14:paraId="7E6D4601" w14:textId="28D2230B" w:rsidR="006E32AA" w:rsidRPr="00F55B41" w:rsidRDefault="006E32AA" w:rsidP="00572229">
      <w:pPr>
        <w:pStyle w:val="Nivel3SM"/>
      </w:pPr>
      <w:r w:rsidRPr="00F55B41">
        <w:t>El nuevo Fondo de Transición Justa,</w:t>
      </w:r>
    </w:p>
    <w:p w14:paraId="41238714" w14:textId="52A57B44" w:rsidR="006E32AA" w:rsidRPr="006E32AA" w:rsidRDefault="006E32AA" w:rsidP="00572229">
      <w:pPr>
        <w:pStyle w:val="Nivel3SM"/>
      </w:pPr>
      <w:r w:rsidRPr="00F55B41">
        <w:t>REACT-UE</w:t>
      </w:r>
      <w:r>
        <w:t>:</w:t>
      </w:r>
      <w:r w:rsidRPr="00F55B41">
        <w:t xml:space="preserve"> se sumará a las asignaciones para la cohesión para el período 2021-2027.</w:t>
      </w:r>
      <w:r>
        <w:t xml:space="preserve"> A</w:t>
      </w:r>
      <w:r w:rsidRPr="00F55B41">
        <w:t>poyará a los sectores más importantes para lograr una recuperación sólida tras la crisis de la COVID-19.</w:t>
      </w:r>
    </w:p>
    <w:p w14:paraId="0B01E7B4" w14:textId="49B669BC" w:rsidR="006E32AA" w:rsidRPr="00F55B41" w:rsidRDefault="006E32AA" w:rsidP="00572229">
      <w:pPr>
        <w:pStyle w:val="Nivel3SM"/>
      </w:pPr>
      <w:proofErr w:type="spellStart"/>
      <w:r w:rsidRPr="006E32AA">
        <w:t>Invest</w:t>
      </w:r>
      <w:proofErr w:type="spellEnd"/>
      <w:r w:rsidRPr="006E32AA">
        <w:t xml:space="preserve"> EU</w:t>
      </w:r>
      <w:r>
        <w:t>:</w:t>
      </w:r>
      <w:r w:rsidRPr="00F55B41">
        <w:t xml:space="preserve"> De forma voluntaria, los E</w:t>
      </w:r>
      <w:r>
        <w:t>M podrán</w:t>
      </w:r>
      <w:r w:rsidRPr="00F55B41">
        <w:t xml:space="preserve"> transferir una parte de sus recursos de política de cohesión al nuevo</w:t>
      </w:r>
      <w:r w:rsidR="007E6085">
        <w:t xml:space="preserve"> </w:t>
      </w:r>
      <w:r w:rsidRPr="006E32AA">
        <w:rPr>
          <w:rStyle w:val="Textoennegrita"/>
          <w:bdr w:val="none" w:sz="0" w:space="0" w:color="auto" w:frame="1"/>
        </w:rPr>
        <w:t>Fondo</w:t>
      </w:r>
      <w:r w:rsidRPr="007E6085">
        <w:rPr>
          <w:rStyle w:val="Textoennegrita"/>
          <w:b w:val="0"/>
          <w:bCs w:val="0"/>
          <w:bdr w:val="none" w:sz="0" w:space="0" w:color="auto" w:frame="1"/>
        </w:rPr>
        <w:t xml:space="preserve"> </w:t>
      </w:r>
      <w:r w:rsidRPr="00F55B41">
        <w:t>para que actúe como palanca para financiación privada. Estará garantizado por el presupuesto.</w:t>
      </w:r>
    </w:p>
    <w:p w14:paraId="3385E277" w14:textId="34D38EEF" w:rsidR="00796A0D" w:rsidRDefault="00796A0D" w:rsidP="005457D8">
      <w:pPr>
        <w:pStyle w:val="Ttulo6"/>
      </w:pPr>
      <w:bookmarkStart w:id="60" w:name="_Toc150452830"/>
      <w:r>
        <w:t>Fondo de Compensación Interterritorial</w:t>
      </w:r>
      <w:bookmarkEnd w:id="60"/>
    </w:p>
    <w:p w14:paraId="42D3D846" w14:textId="781AFDCB" w:rsidR="00796A0D" w:rsidRDefault="00796A0D" w:rsidP="00796A0D">
      <w:pPr>
        <w:pStyle w:val="Nivel1SM"/>
        <w:keepNext/>
        <w:spacing w:before="0" w:after="0"/>
      </w:pPr>
      <w:r>
        <w:rPr>
          <w:i/>
          <w:iCs/>
          <w:u w:val="single"/>
        </w:rPr>
        <w:t>Delimitación</w:t>
      </w:r>
      <w:r>
        <w:t>:</w:t>
      </w:r>
    </w:p>
    <w:p w14:paraId="4E1DCCAA" w14:textId="7662AEAB" w:rsidR="00796A0D" w:rsidRDefault="00796A0D" w:rsidP="00796A0D">
      <w:pPr>
        <w:pStyle w:val="Nivel2SM"/>
      </w:pPr>
      <w:r>
        <w:t>Su distribución entre regiones se realiza atendiendo a criterios de renta per cápita, saldos migratorios, tasa de paro, superficie y un factor de corrección por motivos de insularidad.</w:t>
      </w:r>
    </w:p>
    <w:p w14:paraId="5363A827" w14:textId="7E490334" w:rsidR="00796A0D" w:rsidRDefault="00796A0D" w:rsidP="00796A0D">
      <w:pPr>
        <w:pStyle w:val="Nivel2SM"/>
      </w:pPr>
      <w:r>
        <w:t>Actualmente las disposiciones legales lo configuran como un fondo de recursos incorporados en el Presupuesto del Estado.</w:t>
      </w:r>
    </w:p>
    <w:p w14:paraId="4EDB7B5E" w14:textId="63D234BF" w:rsidR="00796A0D" w:rsidRDefault="00796A0D" w:rsidP="00796A0D">
      <w:pPr>
        <w:pStyle w:val="Nivel2SM"/>
      </w:pPr>
      <w:r>
        <w:t>Actualmente, en términos brutos, los mayores beneficiarios son Andalucía, Comunidad Valenciana, Canarias y Galicia. La dotación mínima de inversión pública es del 30 %.</w:t>
      </w:r>
    </w:p>
    <w:p w14:paraId="5B229816" w14:textId="2B339EE0" w:rsidR="00796A0D" w:rsidRDefault="00796A0D" w:rsidP="00796A0D">
      <w:pPr>
        <w:pStyle w:val="Nivel1SM"/>
        <w:keepNext/>
        <w:spacing w:after="0"/>
      </w:pPr>
      <w:r w:rsidRPr="00796A0D">
        <w:rPr>
          <w:i/>
          <w:iCs/>
          <w:u w:val="single"/>
        </w:rPr>
        <w:lastRenderedPageBreak/>
        <w:t>Valoración</w:t>
      </w:r>
      <w:r>
        <w:t>:</w:t>
      </w:r>
    </w:p>
    <w:p w14:paraId="52B50B31" w14:textId="603FB3CC" w:rsidR="00796A0D" w:rsidRDefault="00796A0D" w:rsidP="00AF0AD2">
      <w:pPr>
        <w:pStyle w:val="Nivel2SM"/>
        <w:keepNext/>
        <w:spacing w:after="0"/>
      </w:pPr>
      <w:r>
        <w:t>Como cualquier herramienta de financiación autonómica, el FCI debe evaluarse</w:t>
      </w:r>
      <w:r w:rsidR="00AF0AD2">
        <w:t xml:space="preserve"> según su contribución a la equidad vertical (nivel de redistribución entre CCAA) y la equidad horizontal (tratamiento equitativo en cuanto a criterio de reparto entre regiones):</w:t>
      </w:r>
    </w:p>
    <w:p w14:paraId="232ACC21" w14:textId="77777777" w:rsidR="00AF0AD2" w:rsidRDefault="00AF0AD2" w:rsidP="00AF0AD2">
      <w:pPr>
        <w:pStyle w:val="Nivel3SM"/>
        <w:keepNext/>
      </w:pPr>
      <w:r>
        <w:rPr>
          <w:i/>
          <w:iCs/>
        </w:rPr>
        <w:t>Equidad vertical</w:t>
      </w:r>
      <w:r>
        <w:t>:</w:t>
      </w:r>
    </w:p>
    <w:p w14:paraId="6EE07D72" w14:textId="77777777" w:rsidR="00AF0AD2" w:rsidRDefault="00AF0AD2" w:rsidP="00AF0AD2">
      <w:pPr>
        <w:pStyle w:val="Nivel4"/>
        <w:ind w:left="1474"/>
      </w:pPr>
      <w:r>
        <w:t>El análisis de la equidad vertical requiere juicios de valor subjetivos a la hora de decidir cuál es el nivel óptimo de redistribución entre CCAA que debe ser decidido por el Estado central a través del FCI.</w:t>
      </w:r>
    </w:p>
    <w:p w14:paraId="1EC31EB6" w14:textId="77777777" w:rsidR="00053F33" w:rsidRDefault="00AF0AD2" w:rsidP="00053F33">
      <w:pPr>
        <w:pStyle w:val="Nivel4"/>
        <w:keepNext/>
        <w:ind w:left="1474"/>
      </w:pPr>
      <w:r>
        <w:t>Se ha de valorar si la dotación del FCI con un mínimo del 30 % de la inversión pública es suficiente.</w:t>
      </w:r>
    </w:p>
    <w:p w14:paraId="72ABBB4A" w14:textId="77777777" w:rsidR="00053F33" w:rsidRDefault="00AF0AD2" w:rsidP="00053F33">
      <w:pPr>
        <w:pStyle w:val="Nivel5"/>
        <w:ind w:left="1871"/>
      </w:pPr>
      <w:r>
        <w:t>Todo ello en un contexto de pérdida de peso de los fondos europeos en comparación con la situación hasta principios de siglo.</w:t>
      </w:r>
    </w:p>
    <w:p w14:paraId="16B25006" w14:textId="57B916C7" w:rsidR="00AF0AD2" w:rsidRDefault="00AF0AD2" w:rsidP="00053F33">
      <w:pPr>
        <w:pStyle w:val="Nivel5"/>
        <w:ind w:left="1871"/>
      </w:pPr>
      <w:r>
        <w:t>En este sentido, existe evidencia de que el umbral mínimo del 30 % se ha superado muchos años. Pero se ha de tener en cuenta que la inversión pública de los PGE presenta una tendencia a la baja, lo que también afecta al FCI. Se subraya además que no introdujo un papel contracíclico a raíz de la crisis financiera.</w:t>
      </w:r>
    </w:p>
    <w:p w14:paraId="092520EF" w14:textId="6E5C45A9" w:rsidR="00AF0AD2" w:rsidRDefault="00AF0AD2" w:rsidP="00AF0AD2">
      <w:pPr>
        <w:pStyle w:val="Nivel3SM"/>
        <w:keepNext/>
      </w:pPr>
      <w:r>
        <w:rPr>
          <w:i/>
          <w:iCs/>
        </w:rPr>
        <w:t>Equidad horizontal</w:t>
      </w:r>
      <w:r w:rsidRPr="00AF0AD2">
        <w:t>:</w:t>
      </w:r>
    </w:p>
    <w:p w14:paraId="2C0B742C" w14:textId="001D19BF" w:rsidR="00AF0AD2" w:rsidRDefault="002849D8" w:rsidP="002849D8">
      <w:pPr>
        <w:pStyle w:val="Nivel4"/>
        <w:keepNext/>
        <w:ind w:left="1474"/>
      </w:pPr>
      <w:r>
        <w:t>Algunos autores (</w:t>
      </w:r>
      <w:r>
        <w:rPr>
          <w:smallCaps/>
        </w:rPr>
        <w:t>Lago Peñas</w:t>
      </w:r>
      <w:r>
        <w:t xml:space="preserve"> y </w:t>
      </w:r>
      <w:r>
        <w:rPr>
          <w:smallCaps/>
        </w:rPr>
        <w:t>Álvarez-Corbacho</w:t>
      </w:r>
      <w:r>
        <w:t>) plantean que la dotación del FCI no solo se ajuste a la renta per cápita de una región sino también a la situación coyuntural de una región.</w:t>
      </w:r>
    </w:p>
    <w:p w14:paraId="52E04EC8" w14:textId="40D70533" w:rsidR="002849D8" w:rsidRPr="00796A0D" w:rsidRDefault="002849D8" w:rsidP="002849D8">
      <w:pPr>
        <w:pStyle w:val="Nivel5"/>
        <w:ind w:left="1871"/>
      </w:pPr>
      <w:r>
        <w:t>Estos autores aluden a Baleares que no es beneficiaria del FCI desde los 90 y no tiene tratamiento especial como región ultraperiférica, pero su lento crecimiento por debajo de otras CCAA podrían justificar este cambio de dotación. Es decir, esta propuesta llevaría a que ciertas zonas deprimidas de regiones menos pobres pudieran ser beneficiarias.</w:t>
      </w:r>
    </w:p>
    <w:p w14:paraId="44116FD3" w14:textId="36C15FD3" w:rsidR="0060790E" w:rsidRPr="00F55B41" w:rsidRDefault="0060790E" w:rsidP="005457D8">
      <w:pPr>
        <w:pStyle w:val="Ttulo6"/>
      </w:pPr>
      <w:bookmarkStart w:id="61" w:name="_Toc150452831"/>
      <w:r>
        <w:t>N</w:t>
      </w:r>
      <w:r w:rsidRPr="00F55B41">
        <w:t>ueva Política Regional (2021-2027)</w:t>
      </w:r>
      <w:bookmarkEnd w:id="61"/>
    </w:p>
    <w:p w14:paraId="6BFBD1DC" w14:textId="0F9E1787" w:rsidR="0060790E" w:rsidRPr="00F55B41" w:rsidRDefault="00DD0880" w:rsidP="00684341">
      <w:pPr>
        <w:pStyle w:val="Ttulo7"/>
        <w:spacing w:before="0"/>
      </w:pPr>
      <w:r>
        <w:t>5 </w:t>
      </w:r>
      <w:r w:rsidR="0060790E" w:rsidRPr="00F55B41">
        <w:t>prioridades de inversión. Lograr una Europa más…</w:t>
      </w:r>
    </w:p>
    <w:p w14:paraId="6A268195" w14:textId="345F6828" w:rsidR="0060790E" w:rsidRPr="00F55B41" w:rsidRDefault="0060790E" w:rsidP="001876F5">
      <w:pPr>
        <w:pStyle w:val="Nivel2SM"/>
        <w:keepNext/>
        <w:spacing w:after="0"/>
      </w:pPr>
      <w:r w:rsidRPr="00EA5FBE">
        <w:rPr>
          <w:rStyle w:val="Textoennegrita"/>
          <w:b w:val="0"/>
          <w:i/>
          <w:iCs/>
          <w:u w:val="single"/>
          <w:bdr w:val="none" w:sz="0" w:space="0" w:color="auto" w:frame="1"/>
        </w:rPr>
        <w:t>Inteligente</w:t>
      </w:r>
      <w:r w:rsidR="00EA5FBE" w:rsidRPr="00EA5FBE">
        <w:rPr>
          <w:rStyle w:val="Textoennegrita"/>
          <w:b w:val="0"/>
          <w:bdr w:val="none" w:sz="0" w:space="0" w:color="auto" w:frame="1"/>
        </w:rPr>
        <w:t>:</w:t>
      </w:r>
    </w:p>
    <w:p w14:paraId="6246262A" w14:textId="77777777" w:rsidR="0060790E" w:rsidRPr="00F55B41" w:rsidRDefault="0060790E" w:rsidP="00E24757">
      <w:pPr>
        <w:pStyle w:val="Nivel3SM"/>
      </w:pPr>
      <w:r w:rsidRPr="00F55B41">
        <w:t>Mediante la innovación, la digitalización, la transformación económica y el apoyo a las pequeñas y medianas empresas;</w:t>
      </w:r>
    </w:p>
    <w:p w14:paraId="38330ED2" w14:textId="3176C48F" w:rsidR="0060790E" w:rsidRPr="00F55B41" w:rsidRDefault="0060790E" w:rsidP="001876F5">
      <w:pPr>
        <w:pStyle w:val="Nivel2SM"/>
        <w:keepNext/>
        <w:spacing w:after="0"/>
      </w:pPr>
      <w:r w:rsidRPr="00EA5FBE">
        <w:rPr>
          <w:rStyle w:val="Textoennegrita"/>
          <w:b w:val="0"/>
          <w:i/>
          <w:iCs/>
          <w:u w:val="single"/>
          <w:bdr w:val="none" w:sz="0" w:space="0" w:color="auto" w:frame="1"/>
        </w:rPr>
        <w:t>Verde y baja en carbono</w:t>
      </w:r>
      <w:r w:rsidRPr="00F55B41">
        <w:t>, promoviendo:</w:t>
      </w:r>
    </w:p>
    <w:p w14:paraId="19CC67E8" w14:textId="77777777" w:rsidR="0060790E" w:rsidRPr="00F55B41" w:rsidRDefault="0060790E" w:rsidP="00E24757">
      <w:pPr>
        <w:pStyle w:val="Nivel3SM"/>
      </w:pPr>
      <w:r w:rsidRPr="00F55B41">
        <w:t>energías renovables;</w:t>
      </w:r>
    </w:p>
    <w:p w14:paraId="51BAEC0C" w14:textId="77777777" w:rsidR="0060790E" w:rsidRPr="00F55B41" w:rsidRDefault="0060790E" w:rsidP="00E24757">
      <w:pPr>
        <w:pStyle w:val="Nivel3SM"/>
      </w:pPr>
      <w:r w:rsidRPr="00F55B41">
        <w:t>eficiencia energética;</w:t>
      </w:r>
    </w:p>
    <w:p w14:paraId="0AFE6E1E" w14:textId="77777777" w:rsidR="0060790E" w:rsidRPr="00F55B41" w:rsidRDefault="0060790E" w:rsidP="00E24757">
      <w:pPr>
        <w:pStyle w:val="Nivel3SM"/>
      </w:pPr>
      <w:r w:rsidRPr="00F55B41">
        <w:t>desarrollo de sistemas de energía, redes y almacenamiento</w:t>
      </w:r>
    </w:p>
    <w:p w14:paraId="5DD31BA3" w14:textId="77777777" w:rsidR="0060790E" w:rsidRPr="00F55B41" w:rsidRDefault="0060790E" w:rsidP="00E24757">
      <w:pPr>
        <w:pStyle w:val="Nivel3SM"/>
      </w:pPr>
      <w:r w:rsidRPr="00F55B41">
        <w:t>inteligentes a escala local;</w:t>
      </w:r>
    </w:p>
    <w:p w14:paraId="06D81289" w14:textId="77777777" w:rsidR="0060790E" w:rsidRPr="00F55B41" w:rsidRDefault="0060790E" w:rsidP="00E24757">
      <w:pPr>
        <w:pStyle w:val="Nivel3SM"/>
      </w:pPr>
      <w:r w:rsidRPr="00F55B41">
        <w:t>la adaptación al CC, resiliencia ante las catástrofes;</w:t>
      </w:r>
    </w:p>
    <w:p w14:paraId="2A4BCED6" w14:textId="77777777" w:rsidR="0060790E" w:rsidRPr="00F55B41" w:rsidRDefault="0060790E" w:rsidP="00E24757">
      <w:pPr>
        <w:pStyle w:val="Nivel3SM"/>
      </w:pPr>
      <w:r w:rsidRPr="00F55B41">
        <w:t>la transición a una economía circular;</w:t>
      </w:r>
    </w:p>
    <w:p w14:paraId="394AC301" w14:textId="77777777" w:rsidR="0060790E" w:rsidRPr="00F55B41" w:rsidRDefault="0060790E" w:rsidP="001876F5">
      <w:pPr>
        <w:pStyle w:val="Nivel3SM"/>
        <w:keepNext/>
      </w:pPr>
      <w:r w:rsidRPr="00F55B41">
        <w:t>biodiversidad, las infraestructuras verdes en el entorno urbano y reduciendo la contaminación;</w:t>
      </w:r>
    </w:p>
    <w:p w14:paraId="0427E059" w14:textId="77777777" w:rsidR="0060790E" w:rsidRPr="00F55B41" w:rsidRDefault="0060790E" w:rsidP="001876F5">
      <w:pPr>
        <w:pStyle w:val="Nivel4"/>
        <w:ind w:left="1474"/>
      </w:pPr>
      <w:r w:rsidRPr="00F55B41">
        <w:t>Todo ello, en línea con el objetivo neutralidad climática en 2050.</w:t>
      </w:r>
    </w:p>
    <w:p w14:paraId="08D667CA" w14:textId="60D727DE" w:rsidR="0060790E" w:rsidRPr="00F55B41" w:rsidRDefault="0060790E" w:rsidP="001876F5">
      <w:pPr>
        <w:pStyle w:val="Nivel2SM"/>
        <w:keepNext/>
        <w:spacing w:after="0"/>
      </w:pPr>
      <w:r w:rsidRPr="00EA5FBE">
        <w:rPr>
          <w:rStyle w:val="Textoennegrita"/>
          <w:b w:val="0"/>
          <w:i/>
          <w:iCs/>
          <w:u w:val="single"/>
          <w:bdr w:val="none" w:sz="0" w:space="0" w:color="auto" w:frame="1"/>
        </w:rPr>
        <w:t>Conectada</w:t>
      </w:r>
      <w:r w:rsidR="00EA5FBE">
        <w:rPr>
          <w:rStyle w:val="Textoennegrita"/>
          <w:b w:val="0"/>
          <w:bdr w:val="none" w:sz="0" w:space="0" w:color="auto" w:frame="1"/>
        </w:rPr>
        <w:t>:</w:t>
      </w:r>
    </w:p>
    <w:p w14:paraId="24585F5D" w14:textId="77777777" w:rsidR="0060790E" w:rsidRPr="00F55B41" w:rsidRDefault="0060790E" w:rsidP="00E24757">
      <w:pPr>
        <w:pStyle w:val="Nivel3SM"/>
      </w:pPr>
      <w:r w:rsidRPr="00F55B41">
        <w:t>A través del impulso a la movilidad y conectividad vía TIC.</w:t>
      </w:r>
    </w:p>
    <w:p w14:paraId="6D4F485A" w14:textId="6C814878" w:rsidR="0060790E" w:rsidRPr="00F55B41" w:rsidRDefault="0060790E" w:rsidP="00E24757">
      <w:pPr>
        <w:pStyle w:val="Nivel3SM"/>
      </w:pPr>
      <w:r w:rsidRPr="00F55B41">
        <w:t xml:space="preserve">Lo que permitirá fortalecer el </w:t>
      </w:r>
      <w:r w:rsidR="001876F5">
        <w:t>mercado único</w:t>
      </w:r>
      <w:r w:rsidRPr="00F55B41">
        <w:t xml:space="preserve"> en los ámbitos de energía, transporte y telecomunicaciones.</w:t>
      </w:r>
    </w:p>
    <w:p w14:paraId="15978F2C" w14:textId="392169EF" w:rsidR="0060790E" w:rsidRPr="00E24757" w:rsidRDefault="0060790E" w:rsidP="001876F5">
      <w:pPr>
        <w:pStyle w:val="Nivel2SM"/>
        <w:keepNext/>
        <w:spacing w:after="0"/>
        <w:rPr>
          <w:u w:val="single"/>
        </w:rPr>
      </w:pPr>
      <w:r w:rsidRPr="00EA5FBE">
        <w:rPr>
          <w:i/>
          <w:iCs/>
          <w:u w:val="single"/>
        </w:rPr>
        <w:t>Social</w:t>
      </w:r>
      <w:r w:rsidR="00EA5FBE">
        <w:t>:</w:t>
      </w:r>
    </w:p>
    <w:p w14:paraId="725C42CE" w14:textId="7757FAD6" w:rsidR="0060790E" w:rsidRPr="00F55B41" w:rsidRDefault="0060790E" w:rsidP="00E24757">
      <w:pPr>
        <w:pStyle w:val="Nivel3SM"/>
      </w:pPr>
      <w:r w:rsidRPr="00F55B41">
        <w:t xml:space="preserve">Basada en el </w:t>
      </w:r>
      <w:r w:rsidRPr="00F55B41">
        <w:rPr>
          <w:u w:val="single"/>
        </w:rPr>
        <w:t>Pilar Europeo de Derechos Sociales</w:t>
      </w:r>
      <w:r w:rsidRPr="00F55B41">
        <w:t>, 20</w:t>
      </w:r>
      <w:r w:rsidR="00EA5FBE">
        <w:t> </w:t>
      </w:r>
      <w:r w:rsidRPr="00F55B41">
        <w:t>principios que nos guiarán hacia una Europa social fuerte, justa, inclusiva y llena de oportunidades, destacamos entre ellos:</w:t>
      </w:r>
    </w:p>
    <w:p w14:paraId="587BBF09" w14:textId="51E9BA15" w:rsidR="0060790E" w:rsidRPr="00F55B41" w:rsidRDefault="0060790E" w:rsidP="001876F5">
      <w:pPr>
        <w:pStyle w:val="Nivel2SM"/>
        <w:keepNext/>
        <w:spacing w:after="0"/>
      </w:pPr>
      <w:r w:rsidRPr="00EA5FBE">
        <w:rPr>
          <w:rStyle w:val="Textoennegrita"/>
          <w:b w:val="0"/>
          <w:i/>
          <w:iCs/>
          <w:u w:val="single"/>
          <w:bdr w:val="none" w:sz="0" w:space="0" w:color="auto" w:frame="1"/>
        </w:rPr>
        <w:lastRenderedPageBreak/>
        <w:t>Más próxima a los ciudadanos</w:t>
      </w:r>
      <w:r w:rsidR="00EA5FBE" w:rsidRPr="00EA5FBE">
        <w:rPr>
          <w:rStyle w:val="Textoennegrita"/>
          <w:b w:val="0"/>
          <w:bdr w:val="none" w:sz="0" w:space="0" w:color="auto" w:frame="1"/>
        </w:rPr>
        <w:t>:</w:t>
      </w:r>
    </w:p>
    <w:p w14:paraId="1E5CB32F" w14:textId="77777777" w:rsidR="0060790E" w:rsidRPr="00F55B41" w:rsidRDefault="0060790E" w:rsidP="00E24757">
      <w:pPr>
        <w:pStyle w:val="Nivel3SM"/>
      </w:pPr>
      <w:r w:rsidRPr="00F55B41">
        <w:t>Que contribuya a un desarrollo sostenible e integrado de las zonas urbanas, rurales y costeras mediante iniciativas locales.</w:t>
      </w:r>
    </w:p>
    <w:p w14:paraId="34F59270" w14:textId="77777777" w:rsidR="0060790E" w:rsidRPr="00F55B41" w:rsidRDefault="0060790E" w:rsidP="005457D8">
      <w:pPr>
        <w:pStyle w:val="Ttulo7"/>
      </w:pPr>
      <w:r w:rsidRPr="00F55B41">
        <w:t>Distribución de fondos</w:t>
      </w:r>
    </w:p>
    <w:p w14:paraId="27968ABB" w14:textId="77777777" w:rsidR="0060790E" w:rsidRPr="00F55B41" w:rsidRDefault="0060790E" w:rsidP="00D16C36">
      <w:pPr>
        <w:pStyle w:val="Nivel2SM"/>
        <w:keepNext/>
        <w:spacing w:after="0"/>
      </w:pPr>
      <w:r w:rsidRPr="00F55B41">
        <w:t>Aspectos destacados:</w:t>
      </w:r>
    </w:p>
    <w:p w14:paraId="5554E4A0" w14:textId="4005AAE1" w:rsidR="0060790E" w:rsidRPr="00F55B41" w:rsidRDefault="0060790E" w:rsidP="00D16C36">
      <w:pPr>
        <w:pStyle w:val="Nivel3SM"/>
        <w:keepNext/>
      </w:pPr>
      <w:r w:rsidRPr="00F55B41">
        <w:t>Nuevos criterios de distribución</w:t>
      </w:r>
      <w:r w:rsidR="00B14695">
        <w:t>:</w:t>
      </w:r>
    </w:p>
    <w:p w14:paraId="34D3ACE9" w14:textId="731E9CC1" w:rsidR="006E32AA" w:rsidRDefault="006E32AA" w:rsidP="00D16C36">
      <w:pPr>
        <w:pStyle w:val="Nivel4"/>
        <w:keepNext/>
        <w:ind w:left="1474"/>
      </w:pPr>
      <w:r>
        <w:t>PIB pc: Menos desarrollada (&lt;75</w:t>
      </w:r>
      <w:r w:rsidR="00AE7DE8">
        <w:t> %</w:t>
      </w:r>
      <w:r>
        <w:t>), en transición (75-100</w:t>
      </w:r>
      <w:r w:rsidR="00AE7DE8">
        <w:t> %</w:t>
      </w:r>
      <w:r>
        <w:t>) y más desarrollada (&gt;100</w:t>
      </w:r>
      <w:r w:rsidR="00AE7DE8">
        <w:t> %</w:t>
      </w:r>
      <w:r>
        <w:t>).</w:t>
      </w:r>
    </w:p>
    <w:p w14:paraId="379D37DE" w14:textId="5222AE11" w:rsidR="00434A1D" w:rsidRPr="006E32AA" w:rsidRDefault="00434A1D" w:rsidP="00D16C36">
      <w:pPr>
        <w:pStyle w:val="Nivel5"/>
        <w:ind w:left="1871"/>
      </w:pPr>
      <w:r>
        <w:rPr>
          <w:u w:val="single"/>
        </w:rPr>
        <w:t>M</w:t>
      </w:r>
      <w:r w:rsidRPr="00473996">
        <w:rPr>
          <w:u w:val="single"/>
        </w:rPr>
        <w:t>enos desarrolladas</w:t>
      </w:r>
      <w:r w:rsidRPr="00473996">
        <w:t xml:space="preserve">: </w:t>
      </w:r>
      <w:r w:rsidRPr="006E32AA">
        <w:t>Extremadura</w:t>
      </w:r>
      <w:r>
        <w:t xml:space="preserve">. </w:t>
      </w:r>
      <w:r w:rsidRPr="00434A1D">
        <w:rPr>
          <w:u w:val="single"/>
        </w:rPr>
        <w:t>En transición</w:t>
      </w:r>
      <w:r w:rsidRPr="009A1FDF">
        <w:t>:</w:t>
      </w:r>
      <w:r>
        <w:t xml:space="preserve"> A</w:t>
      </w:r>
      <w:r w:rsidRPr="006E32AA">
        <w:t>ndalucía, Murcia, Castilla-La Mancha, Canarias y Melilla.</w:t>
      </w:r>
      <w:r>
        <w:t xml:space="preserve"> </w:t>
      </w:r>
      <w:r w:rsidRPr="00434A1D">
        <w:rPr>
          <w:u w:val="single"/>
        </w:rPr>
        <w:t>Más desarrolladas</w:t>
      </w:r>
      <w:r w:rsidRPr="009A1FDF">
        <w:t xml:space="preserve">: </w:t>
      </w:r>
      <w:r w:rsidRPr="006E32AA">
        <w:t>El resto de comunidades.</w:t>
      </w:r>
    </w:p>
    <w:p w14:paraId="25751598" w14:textId="27F5C714" w:rsidR="0060790E" w:rsidRPr="00F55B41" w:rsidRDefault="006E32AA" w:rsidP="00D16C36">
      <w:pPr>
        <w:pStyle w:val="Nivel4"/>
        <w:ind w:left="1474"/>
      </w:pPr>
      <w:r>
        <w:t>También se</w:t>
      </w:r>
      <w:r w:rsidR="0060790E" w:rsidRPr="00F55B41">
        <w:t xml:space="preserve"> añaden criterios adicionales para la asignación de fondos: </w:t>
      </w:r>
      <w:r w:rsidR="0060790E" w:rsidRPr="00F55B41">
        <w:rPr>
          <w:u w:val="single"/>
        </w:rPr>
        <w:t>Desempleo juvenil</w:t>
      </w:r>
      <w:r w:rsidR="0060790E" w:rsidRPr="00F55B41">
        <w:t xml:space="preserve">, niveles educativos bajos, cambio climático y </w:t>
      </w:r>
      <w:r w:rsidR="0060790E" w:rsidRPr="00F55B41">
        <w:rPr>
          <w:u w:val="single"/>
        </w:rPr>
        <w:t>acogida e integración de inmigrantes</w:t>
      </w:r>
      <w:r w:rsidR="0060790E" w:rsidRPr="00F55B41">
        <w:t>.</w:t>
      </w:r>
    </w:p>
    <w:p w14:paraId="17CA28CF" w14:textId="778FEF4F" w:rsidR="0060790E" w:rsidRPr="00F55B41" w:rsidRDefault="0060790E" w:rsidP="00D16C36">
      <w:pPr>
        <w:pStyle w:val="Nivel3SM"/>
        <w:keepNext/>
      </w:pPr>
      <w:r w:rsidRPr="00F55B41">
        <w:t>Regiones ultraperiféricas</w:t>
      </w:r>
      <w:r w:rsidR="00773E54">
        <w:t>:</w:t>
      </w:r>
    </w:p>
    <w:p w14:paraId="418C56B4" w14:textId="01EF3307" w:rsidR="0060790E" w:rsidRPr="00F55B41" w:rsidRDefault="0060790E" w:rsidP="00D16C36">
      <w:pPr>
        <w:pStyle w:val="Nivel4"/>
        <w:ind w:left="1474"/>
      </w:pPr>
      <w:r w:rsidRPr="00F55B41">
        <w:t>Las regiones ultraperiféricas seguirán beneficiándose de una ayuda especial de la UE.</w:t>
      </w:r>
    </w:p>
    <w:p w14:paraId="3FE7187F" w14:textId="5769E99A" w:rsidR="0060790E" w:rsidRPr="00F55B41" w:rsidRDefault="0060790E" w:rsidP="00D16C36">
      <w:pPr>
        <w:pStyle w:val="Nivel3SM"/>
        <w:keepNext/>
      </w:pPr>
      <w:r w:rsidRPr="00F55B41">
        <w:t>Descentralización</w:t>
      </w:r>
      <w:r w:rsidR="00773E54">
        <w:t>:</w:t>
      </w:r>
    </w:p>
    <w:p w14:paraId="1FA3A990" w14:textId="3E1425FC" w:rsidR="0060790E" w:rsidRPr="00F55B41" w:rsidRDefault="0060790E" w:rsidP="00D16C36">
      <w:pPr>
        <w:pStyle w:val="Nivel4"/>
        <w:ind w:left="1474"/>
      </w:pPr>
      <w:r w:rsidRPr="00F55B41">
        <w:t>La política de cohesión sigue apoyando las estrategias de desarrollo de gestión local y empoderando a los entes locales en la gestión de los fondos.</w:t>
      </w:r>
    </w:p>
    <w:p w14:paraId="64ACC297" w14:textId="15339962" w:rsidR="0060790E" w:rsidRPr="00F55B41" w:rsidRDefault="0060790E" w:rsidP="00D16C36">
      <w:pPr>
        <w:pStyle w:val="Nivel3SM"/>
        <w:keepNext/>
      </w:pPr>
      <w:r w:rsidRPr="00F55B41">
        <w:t>Importancia de las ciudades</w:t>
      </w:r>
      <w:r w:rsidR="00773E54">
        <w:t>:</w:t>
      </w:r>
    </w:p>
    <w:p w14:paraId="52B20D6C" w14:textId="13EE753B" w:rsidR="0060790E" w:rsidRPr="00F55B41" w:rsidRDefault="0060790E" w:rsidP="00D16C36">
      <w:pPr>
        <w:pStyle w:val="Nivel4"/>
        <w:ind w:left="1474"/>
      </w:pPr>
      <w:r w:rsidRPr="00F55B41">
        <w:t>Apoyará especialmente el desarrollo urbano sostenible (6</w:t>
      </w:r>
      <w:r w:rsidR="00AE7DE8">
        <w:t> %</w:t>
      </w:r>
      <w:r w:rsidRPr="00F55B41">
        <w:t xml:space="preserve"> del FEDER).</w:t>
      </w:r>
    </w:p>
    <w:p w14:paraId="56C7968D" w14:textId="77777777" w:rsidR="0060790E" w:rsidRPr="00F55B41" w:rsidRDefault="001D5D31" w:rsidP="005457D8">
      <w:pPr>
        <w:pStyle w:val="Ttulo7"/>
      </w:pPr>
      <w:r w:rsidRPr="00E24757">
        <w:t>Otros</w:t>
      </w:r>
      <w:r>
        <w:t xml:space="preserve"> aspectos destacados</w:t>
      </w:r>
    </w:p>
    <w:p w14:paraId="67A651C9" w14:textId="77777777" w:rsidR="0060790E" w:rsidRPr="00F55B41" w:rsidRDefault="0060790E" w:rsidP="00572229">
      <w:pPr>
        <w:pStyle w:val="Nivel2SM"/>
        <w:keepNext/>
        <w:spacing w:after="0"/>
      </w:pPr>
      <w:r w:rsidRPr="00F55B41">
        <w:t>Entre ellas destacan:</w:t>
      </w:r>
    </w:p>
    <w:p w14:paraId="729C74EB" w14:textId="26020E50" w:rsidR="0060790E" w:rsidRPr="00F55B41" w:rsidRDefault="0060790E" w:rsidP="00572229">
      <w:pPr>
        <w:pStyle w:val="Nivel3SM"/>
        <w:keepNext/>
      </w:pPr>
      <w:r w:rsidRPr="00F55B41">
        <w:t>Simplificación:</w:t>
      </w:r>
    </w:p>
    <w:p w14:paraId="773E4099" w14:textId="77777777" w:rsidR="0060790E" w:rsidRPr="00F55B41" w:rsidRDefault="0060790E" w:rsidP="00572229">
      <w:pPr>
        <w:pStyle w:val="Nivel4"/>
        <w:ind w:left="1474"/>
      </w:pPr>
      <w:r w:rsidRPr="00F55B41">
        <w:t>Normas más claras, más cortas y en menor cantidad.</w:t>
      </w:r>
    </w:p>
    <w:p w14:paraId="2A4116B5" w14:textId="63F0475C" w:rsidR="0060790E" w:rsidRPr="00F55B41" w:rsidRDefault="0060790E" w:rsidP="00572229">
      <w:pPr>
        <w:pStyle w:val="Nivel4"/>
        <w:ind w:left="1474"/>
      </w:pPr>
      <w:r w:rsidRPr="00F55B41">
        <w:t>Destaca el código normativo único.</w:t>
      </w:r>
    </w:p>
    <w:p w14:paraId="1E10F19A" w14:textId="77777777" w:rsidR="0060790E" w:rsidRPr="00F55B41" w:rsidRDefault="0060790E" w:rsidP="00572229">
      <w:pPr>
        <w:pStyle w:val="Nivel3SM"/>
        <w:keepNext/>
      </w:pPr>
      <w:r w:rsidRPr="00F55B41">
        <w:t>Un marco más flexible</w:t>
      </w:r>
    </w:p>
    <w:p w14:paraId="0B115E3D" w14:textId="77777777" w:rsidR="0060790E" w:rsidRPr="00F55B41" w:rsidRDefault="0060790E" w:rsidP="00572229">
      <w:pPr>
        <w:pStyle w:val="Nivel4"/>
        <w:ind w:left="1474"/>
      </w:pPr>
      <w:r w:rsidRPr="00F55B41">
        <w:t>Se permitirá la transferencia temporal y temática de fondos con un mayor grado de flexibilidad ajustada a los nuevos retos</w:t>
      </w:r>
      <w:r w:rsidR="006E32AA">
        <w:t>.</w:t>
      </w:r>
    </w:p>
    <w:p w14:paraId="345913F7" w14:textId="77777777" w:rsidR="0060790E" w:rsidRPr="00F55B41" w:rsidRDefault="0060790E" w:rsidP="00572229">
      <w:pPr>
        <w:pStyle w:val="Nivel3SM"/>
        <w:keepNext/>
      </w:pPr>
      <w:r w:rsidRPr="00F55B41">
        <w:t>Apoyo al Semestre Europeo y la Gobernanza Europea</w:t>
      </w:r>
    </w:p>
    <w:p w14:paraId="585FC159" w14:textId="77777777" w:rsidR="0060790E" w:rsidRPr="00F55B41" w:rsidRDefault="0060790E" w:rsidP="00572229">
      <w:pPr>
        <w:pStyle w:val="Nivel4"/>
        <w:ind w:left="1474"/>
        <w:rPr>
          <w:rStyle w:val="Textoennegrita"/>
          <w:b w:val="0"/>
          <w:bCs w:val="0"/>
        </w:rPr>
      </w:pPr>
      <w:r w:rsidRPr="00F55B41">
        <w:rPr>
          <w:rStyle w:val="Textoennegrita"/>
          <w:b w:val="0"/>
          <w:bdr w:val="none" w:sz="0" w:space="0" w:color="auto" w:frame="1"/>
        </w:rPr>
        <w:t>La política de cohesión se instrumentarán apoyando y coordinándose con las reformas económicas acordadas en el marco del semestre europeo y gobernanza económica.</w:t>
      </w:r>
    </w:p>
    <w:p w14:paraId="6C894C45" w14:textId="77777777" w:rsidR="0060790E" w:rsidRPr="00F55B41" w:rsidRDefault="0060790E" w:rsidP="00572229">
      <w:pPr>
        <w:pStyle w:val="Nivel3SM"/>
        <w:keepNext/>
      </w:pPr>
      <w:r w:rsidRPr="00F55B41">
        <w:t>Sinergias entre los instrumentos presupuestarios de la UE</w:t>
      </w:r>
    </w:p>
    <w:p w14:paraId="6A3FE435" w14:textId="77777777" w:rsidR="0060790E" w:rsidRPr="00F55B41" w:rsidRDefault="0060790E" w:rsidP="00572229">
      <w:pPr>
        <w:pStyle w:val="Nivel4"/>
        <w:ind w:left="1474"/>
        <w:rPr>
          <w:rStyle w:val="Textoennegrita"/>
          <w:b w:val="0"/>
          <w:bCs w:val="0"/>
        </w:rPr>
      </w:pPr>
      <w:r w:rsidRPr="00F55B41">
        <w:t>Se buscarán sinergias con otros instrumentos de la UE como los pertenecientes a la PAC</w:t>
      </w:r>
      <w:r w:rsidRPr="00F55B41">
        <w:rPr>
          <w:rStyle w:val="Textoennegrita"/>
          <w:bdr w:val="none" w:sz="0" w:space="0" w:color="auto" w:frame="1"/>
        </w:rPr>
        <w:t xml:space="preserve">, </w:t>
      </w:r>
      <w:r w:rsidRPr="00F55B41">
        <w:rPr>
          <w:rStyle w:val="Textoennegrita"/>
          <w:b w:val="0"/>
          <w:bdr w:val="none" w:sz="0" w:space="0" w:color="auto" w:frame="1"/>
        </w:rPr>
        <w:t>Horizonte Europa, el Programa de Medio Ambiente y Acción por el Clima o Erasmus+.</w:t>
      </w:r>
    </w:p>
    <w:p w14:paraId="3022A9E2" w14:textId="77777777" w:rsidR="0060790E" w:rsidRPr="00F55B41" w:rsidRDefault="0060790E" w:rsidP="00572229">
      <w:pPr>
        <w:pStyle w:val="Nivel3SM"/>
        <w:keepNext/>
      </w:pPr>
      <w:r w:rsidRPr="00F55B41">
        <w:t>Cooperación interregional</w:t>
      </w:r>
    </w:p>
    <w:p w14:paraId="64A476FE" w14:textId="3DE8DC85" w:rsidR="00572229" w:rsidRPr="00572229" w:rsidRDefault="0060790E" w:rsidP="00572229">
      <w:pPr>
        <w:pStyle w:val="Nivel4"/>
        <w:ind w:left="1474"/>
      </w:pPr>
      <w:r w:rsidRPr="00F55B41">
        <w:t>Los E</w:t>
      </w:r>
      <w:r w:rsidR="00EB3C7F">
        <w:t>stados miembros</w:t>
      </w:r>
      <w:r w:rsidRPr="00F55B41">
        <w:t xml:space="preserve"> podrán utilizar parte de su asignación para financiar proyectos en </w:t>
      </w:r>
      <w:r w:rsidRPr="006E32AA">
        <w:t>cualquier lugar de Europa con otras regiones de forma conjunta.</w:t>
      </w:r>
      <w:r w:rsidR="006E32AA" w:rsidRPr="006E32AA">
        <w:t xml:space="preserve"> Nu</w:t>
      </w:r>
      <w:r w:rsidRPr="006E32AA">
        <w:t>evo instrumento</w:t>
      </w:r>
      <w:r w:rsidRPr="00572229">
        <w:rPr>
          <w:b/>
        </w:rPr>
        <w:t xml:space="preserve"> </w:t>
      </w:r>
      <w:r w:rsidRPr="00572229">
        <w:rPr>
          <w:rStyle w:val="Textoennegrita"/>
          <w:b w:val="0"/>
          <w:bdr w:val="none" w:sz="0" w:space="0" w:color="auto" w:frame="1"/>
        </w:rPr>
        <w:t xml:space="preserve">Mecanismo Europeo </w:t>
      </w:r>
      <w:r w:rsidRPr="00572229">
        <w:rPr>
          <w:rStyle w:val="Textoennegrita"/>
          <w:b w:val="0"/>
          <w:bCs w:val="0"/>
        </w:rPr>
        <w:t>Transfronterizo</w:t>
      </w:r>
      <w:r w:rsidRPr="00572229">
        <w:t>.</w:t>
      </w:r>
    </w:p>
    <w:p w14:paraId="62FBBEF9" w14:textId="3730BDDB" w:rsidR="0060790E" w:rsidRPr="00572229" w:rsidRDefault="0060790E" w:rsidP="00572229">
      <w:pPr>
        <w:pStyle w:val="Nivel4"/>
        <w:ind w:left="1474"/>
      </w:pPr>
      <w:r w:rsidRPr="00572229">
        <w:t xml:space="preserve">Nuevos programas de cooperación interregional dentro de la iniciativa </w:t>
      </w:r>
      <w:proofErr w:type="spellStart"/>
      <w:r w:rsidRPr="00572229">
        <w:t>Interreg</w:t>
      </w:r>
      <w:proofErr w:type="spellEnd"/>
      <w:r w:rsidRPr="00572229">
        <w:t>.</w:t>
      </w:r>
    </w:p>
    <w:p w14:paraId="6EDA3444" w14:textId="77777777" w:rsidR="0060790E" w:rsidRPr="00F55B41" w:rsidRDefault="0060790E" w:rsidP="00572229">
      <w:pPr>
        <w:pStyle w:val="Nivel3SM"/>
        <w:keepNext/>
      </w:pPr>
      <w:r w:rsidRPr="00F55B41">
        <w:t>Efectividad de las inversiones</w:t>
      </w:r>
    </w:p>
    <w:p w14:paraId="4413FE6D" w14:textId="2BEBDB7D" w:rsidR="0060790E" w:rsidRPr="00F55B41" w:rsidRDefault="0060790E" w:rsidP="00572229">
      <w:pPr>
        <w:pStyle w:val="Nivel4"/>
        <w:ind w:left="1474"/>
      </w:pPr>
      <w:r w:rsidRPr="00F55B41">
        <w:t>El nuevo marco introduce una </w:t>
      </w:r>
      <w:r w:rsidRPr="00F55B41">
        <w:rPr>
          <w:rStyle w:val="Textoennegrita"/>
          <w:b w:val="0"/>
          <w:u w:val="single"/>
          <w:bdr w:val="none" w:sz="0" w:space="0" w:color="auto" w:frame="1"/>
        </w:rPr>
        <w:t>revisión de la ejecución anual</w:t>
      </w:r>
      <w:r w:rsidRPr="00F55B41">
        <w:t xml:space="preserve">, que revestirá la forma de un diálogo político estructurado entre las </w:t>
      </w:r>
      <w:r w:rsidRPr="00F55B41">
        <w:rPr>
          <w:u w:val="single"/>
        </w:rPr>
        <w:t>autoridades del programa y la Comisión</w:t>
      </w:r>
      <w:r w:rsidRPr="00F55B41">
        <w:t>.</w:t>
      </w:r>
    </w:p>
    <w:p w14:paraId="4E1480D3" w14:textId="4AD680FF" w:rsidR="0060790E" w:rsidRPr="00AE7DE8" w:rsidRDefault="0060790E" w:rsidP="00572229">
      <w:pPr>
        <w:pStyle w:val="Nivel4"/>
        <w:ind w:left="1474"/>
      </w:pPr>
      <w:r w:rsidRPr="00F55B41">
        <w:rPr>
          <w:rStyle w:val="Textoennegrita"/>
          <w:b w:val="0"/>
          <w:bdr w:val="none" w:sz="0" w:space="0" w:color="auto" w:frame="1"/>
        </w:rPr>
        <w:lastRenderedPageBreak/>
        <w:t xml:space="preserve">Los Estados miembros </w:t>
      </w:r>
      <w:r w:rsidRPr="00F55B41">
        <w:rPr>
          <w:rStyle w:val="Textoennegrita"/>
          <w:b w:val="0"/>
          <w:u w:val="single"/>
          <w:bdr w:val="none" w:sz="0" w:space="0" w:color="auto" w:frame="1"/>
        </w:rPr>
        <w:t>tendrán que comunicar</w:t>
      </w:r>
      <w:r w:rsidRPr="00F55B41">
        <w:rPr>
          <w:rStyle w:val="Textoennegrita"/>
          <w:b w:val="0"/>
          <w:bdr w:val="none" w:sz="0" w:space="0" w:color="auto" w:frame="1"/>
        </w:rPr>
        <w:t xml:space="preserve"> todos los datos de ejecución cada </w:t>
      </w:r>
      <w:r w:rsidR="00A76518">
        <w:rPr>
          <w:rStyle w:val="Textoennegrita"/>
          <w:b w:val="0"/>
          <w:bdr w:val="none" w:sz="0" w:space="0" w:color="auto" w:frame="1"/>
        </w:rPr>
        <w:t>2 </w:t>
      </w:r>
      <w:r w:rsidRPr="00F55B41">
        <w:rPr>
          <w:rStyle w:val="Textoennegrita"/>
          <w:b w:val="0"/>
          <w:bdr w:val="none" w:sz="0" w:space="0" w:color="auto" w:frame="1"/>
        </w:rPr>
        <w:t>meses</w:t>
      </w:r>
      <w:r w:rsidR="00A76518">
        <w:t xml:space="preserve"> </w:t>
      </w:r>
      <w:r w:rsidRPr="00F55B41">
        <w:t>y la plataforma de datos abierta sobre la cohesión se actualizará entonces automáticamente.</w:t>
      </w:r>
    </w:p>
    <w:p w14:paraId="06F75132" w14:textId="5E686E73" w:rsidR="001D5D31" w:rsidRPr="00AE7DE8" w:rsidRDefault="001D5D31" w:rsidP="005457D8">
      <w:pPr>
        <w:pStyle w:val="Ttulo6"/>
      </w:pPr>
      <w:bookmarkStart w:id="62" w:name="_Toc150452832"/>
      <w:r w:rsidRPr="001D5D31">
        <w:t>Política de cohesión UE en España</w:t>
      </w:r>
      <w:bookmarkEnd w:id="62"/>
    </w:p>
    <w:p w14:paraId="6FC81F38" w14:textId="67620F10" w:rsidR="001D5D31" w:rsidRPr="00AE7DE8" w:rsidRDefault="001D5D31" w:rsidP="005457D8">
      <w:pPr>
        <w:pStyle w:val="Ttulo7"/>
        <w:spacing w:before="0"/>
      </w:pPr>
      <w:r w:rsidRPr="001D5D31">
        <w:t>Acuerdo de Asociación de España 2021-2027</w:t>
      </w:r>
    </w:p>
    <w:p w14:paraId="6B62A778" w14:textId="070B04C5" w:rsidR="001D5D31" w:rsidRPr="001D5D31" w:rsidRDefault="001D5D31" w:rsidP="00572229">
      <w:pPr>
        <w:pStyle w:val="Nivel2SM"/>
        <w:keepNext/>
        <w:spacing w:after="0"/>
      </w:pPr>
      <w:r w:rsidRPr="001D5D31">
        <w:t xml:space="preserve">Aprobado en </w:t>
      </w:r>
      <w:r w:rsidR="00A70553">
        <w:t>n</w:t>
      </w:r>
      <w:r w:rsidRPr="001D5D31">
        <w:t xml:space="preserve">oviembre </w:t>
      </w:r>
      <w:r w:rsidR="00A70553">
        <w:t xml:space="preserve">de </w:t>
      </w:r>
      <w:r w:rsidRPr="001D5D31">
        <w:t xml:space="preserve">2022, el </w:t>
      </w:r>
      <w:r w:rsidRPr="001D5D31">
        <w:rPr>
          <w:u w:val="single"/>
        </w:rPr>
        <w:t>Acuerdo de Asociación de España 2021-2027</w:t>
      </w:r>
      <w:r w:rsidRPr="001D5D31">
        <w:t xml:space="preserve"> para la recepción de 36.682</w:t>
      </w:r>
      <w:r w:rsidR="00786D96">
        <w:t> </w:t>
      </w:r>
      <w:r w:rsidRPr="001D5D31">
        <w:t>millones de euros de fondos europeos</w:t>
      </w:r>
    </w:p>
    <w:p w14:paraId="42BF97D0" w14:textId="77777777" w:rsidR="001D5D31" w:rsidRDefault="001D5D31" w:rsidP="00E24757">
      <w:pPr>
        <w:pStyle w:val="Nivel3SM"/>
      </w:pPr>
      <w:r w:rsidRPr="001D5D31">
        <w:t>Recoge las grandes líneas de actuació</w:t>
      </w:r>
      <w:r>
        <w:t>n y prioridades de inversión de los fondos estructurales, de cohesión, FEMPA, FEADER y FTJ</w:t>
      </w:r>
      <w:r w:rsidRPr="001D5D31">
        <w:t>.</w:t>
      </w:r>
    </w:p>
    <w:p w14:paraId="4B2FCBB9" w14:textId="77777777" w:rsidR="001D5D31" w:rsidRDefault="001D5D31" w:rsidP="00572229">
      <w:pPr>
        <w:pStyle w:val="Nivel3SM"/>
        <w:keepNext/>
      </w:pPr>
      <w:r>
        <w:t>Tercer mayor beneficiario:</w:t>
      </w:r>
    </w:p>
    <w:p w14:paraId="03A744CA" w14:textId="078E8023" w:rsidR="001D5D31" w:rsidRDefault="001D5D31" w:rsidP="00572229">
      <w:pPr>
        <w:pStyle w:val="Nivel4"/>
        <w:ind w:left="1474"/>
      </w:pPr>
      <w:r w:rsidRPr="001D5D31">
        <w:t>35.562</w:t>
      </w:r>
      <w:r w:rsidR="006659DF">
        <w:t> millones</w:t>
      </w:r>
      <w:r w:rsidRPr="001D5D31">
        <w:t xml:space="preserve"> corresponden a los fondos de la política de cohes</w:t>
      </w:r>
      <w:r>
        <w:t>ión de la UE. E</w:t>
      </w:r>
      <w:r w:rsidRPr="001D5D31">
        <w:t xml:space="preserve">spaña es el tercer mayor beneficiario en el periodo, solo por detrás de Polonia e Italia. </w:t>
      </w:r>
      <w:r w:rsidR="00434A1D">
        <w:t xml:space="preserve">Con </w:t>
      </w:r>
      <w:r w:rsidR="00434A1D" w:rsidRPr="006659DF">
        <w:rPr>
          <w:smallCaps/>
        </w:rPr>
        <w:t>Juncker</w:t>
      </w:r>
      <w:r w:rsidR="00434A1D">
        <w:t xml:space="preserve"> también fuimos de los mayores beneficiarios.</w:t>
      </w:r>
    </w:p>
    <w:p w14:paraId="43069EEC" w14:textId="67DD9A96" w:rsidR="001D5D31" w:rsidRPr="001D5D31" w:rsidRDefault="001D5D31" w:rsidP="00572229">
      <w:pPr>
        <w:pStyle w:val="Nivel4"/>
        <w:ind w:left="1474"/>
      </w:pPr>
      <w:r>
        <w:t>Reparto de la</w:t>
      </w:r>
      <w:r w:rsidRPr="001D5D31">
        <w:t xml:space="preserve"> asignación</w:t>
      </w:r>
      <w:r>
        <w:t>:</w:t>
      </w:r>
      <w:r w:rsidRPr="001D5D31">
        <w:t xml:space="preserve"> FEDER</w:t>
      </w:r>
      <w:r>
        <w:t xml:space="preserve"> (63</w:t>
      </w:r>
      <w:r w:rsidR="00AE7DE8">
        <w:t> %</w:t>
      </w:r>
      <w:r>
        <w:t>)</w:t>
      </w:r>
      <w:r w:rsidRPr="001D5D31">
        <w:t>, FSE+</w:t>
      </w:r>
      <w:r>
        <w:t xml:space="preserve"> (30</w:t>
      </w:r>
      <w:r w:rsidR="00AE7DE8">
        <w:t> %</w:t>
      </w:r>
      <w:r>
        <w:t>),</w:t>
      </w:r>
      <w:r w:rsidRPr="001D5D31">
        <w:t xml:space="preserve"> FTJ</w:t>
      </w:r>
      <w:r>
        <w:t xml:space="preserve"> (2</w:t>
      </w:r>
      <w:r w:rsidR="00AE7DE8">
        <w:t> %</w:t>
      </w:r>
      <w:r>
        <w:t>)</w:t>
      </w:r>
      <w:r w:rsidRPr="001D5D31">
        <w:t xml:space="preserve">. </w:t>
      </w:r>
      <w:r>
        <w:t>y</w:t>
      </w:r>
      <w:r w:rsidRPr="001D5D31">
        <w:t xml:space="preserve"> FEMPA</w:t>
      </w:r>
      <w:r>
        <w:t xml:space="preserve"> (3</w:t>
      </w:r>
      <w:r w:rsidR="00AE7DE8">
        <w:t> %</w:t>
      </w:r>
      <w:r>
        <w:t>)</w:t>
      </w:r>
      <w:r w:rsidRPr="001D5D31">
        <w:t>.</w:t>
      </w:r>
    </w:p>
    <w:p w14:paraId="08ABC1F3" w14:textId="0170C5FF" w:rsidR="001D5D31" w:rsidRDefault="001D5D31" w:rsidP="00572229">
      <w:pPr>
        <w:pStyle w:val="Nivel4"/>
        <w:ind w:left="1474"/>
      </w:pPr>
      <w:r>
        <w:t xml:space="preserve">Este </w:t>
      </w:r>
      <w:r w:rsidRPr="001D5D31">
        <w:t>acuerdo es complementario con los objetivos e hitos recogidos en el P</w:t>
      </w:r>
      <w:r>
        <w:t>RTR</w:t>
      </w:r>
      <w:r w:rsidRPr="001D5D31">
        <w:t>, que impulsa la transformación del modelo productivo del país.</w:t>
      </w:r>
    </w:p>
    <w:p w14:paraId="403C3642" w14:textId="18752E7F" w:rsidR="001D5D31" w:rsidRPr="00434A1D" w:rsidRDefault="001D5D31" w:rsidP="00572229">
      <w:pPr>
        <w:pStyle w:val="Nivel2SM"/>
        <w:keepNext/>
        <w:spacing w:after="0"/>
      </w:pPr>
      <w:r w:rsidRPr="00434A1D">
        <w:t xml:space="preserve">Esta inversión se organiza en torno a </w:t>
      </w:r>
      <w:r w:rsidR="00B975F3">
        <w:t>5 </w:t>
      </w:r>
      <w:r w:rsidRPr="00434A1D">
        <w:t xml:space="preserve">grandes </w:t>
      </w:r>
      <w:r w:rsidR="00434A1D" w:rsidRPr="00434A1D">
        <w:t>objetivos políticos</w:t>
      </w:r>
      <w:r w:rsidR="00434A1D">
        <w:t>. Apoyado por el Plan de recuperación, transformación y resiliencia</w:t>
      </w:r>
      <w:r w:rsidRPr="00434A1D">
        <w:t>:</w:t>
      </w:r>
    </w:p>
    <w:p w14:paraId="60FA578B" w14:textId="77777777" w:rsidR="001D5D31" w:rsidRDefault="00434A1D" w:rsidP="00E24757">
      <w:pPr>
        <w:pStyle w:val="Nivel3SM"/>
      </w:pPr>
      <w:r>
        <w:rPr>
          <w:u w:val="single"/>
        </w:rPr>
        <w:t>OP 1</w:t>
      </w:r>
      <w:r w:rsidRPr="006016D1">
        <w:t>:</w:t>
      </w:r>
      <w:r w:rsidR="001D5D31">
        <w:t xml:space="preserve"> investigación, apoyar a las empresa</w:t>
      </w:r>
      <w:r>
        <w:t>s y favorecer la digitalización</w:t>
      </w:r>
      <w:r w:rsidR="001D5D31">
        <w:t>.</w:t>
      </w:r>
    </w:p>
    <w:p w14:paraId="7EFD59F7" w14:textId="02196838" w:rsidR="001D5D31" w:rsidRDefault="001D5D31" w:rsidP="00E24757">
      <w:pPr>
        <w:pStyle w:val="Nivel3SM"/>
      </w:pPr>
      <w:r w:rsidRPr="001D5D31">
        <w:rPr>
          <w:u w:val="single"/>
        </w:rPr>
        <w:t>OP 2</w:t>
      </w:r>
      <w:r w:rsidR="006016D1">
        <w:t xml:space="preserve">: </w:t>
      </w:r>
      <w:r>
        <w:t>mejora de la eficiencia energética, el despliegue de energías renovables, actuaciones de adaptación al cambio climático, la implantación de un modelo de economía circular y atención a la biodiversidad.</w:t>
      </w:r>
    </w:p>
    <w:p w14:paraId="58715D34" w14:textId="23BFD33C" w:rsidR="001D5D31" w:rsidRDefault="00434A1D" w:rsidP="00E24757">
      <w:pPr>
        <w:pStyle w:val="Nivel3SM"/>
      </w:pPr>
      <w:r w:rsidRPr="00434A1D">
        <w:rPr>
          <w:u w:val="single"/>
        </w:rPr>
        <w:t xml:space="preserve">OP </w:t>
      </w:r>
      <w:r w:rsidR="001D5D31" w:rsidRPr="00434A1D">
        <w:rPr>
          <w:u w:val="single"/>
        </w:rPr>
        <w:t>3</w:t>
      </w:r>
      <w:r w:rsidR="006016D1" w:rsidRPr="006016D1">
        <w:t>:</w:t>
      </w:r>
      <w:r w:rsidR="001D5D31">
        <w:t xml:space="preserve"> desarrollo de corredores ferroviarios, en garantizar la accesibilidad ferroviaria a los puertos de interés general y en el apoyo al uso de vehículos limpios y mejora del servicio de transporte público.</w:t>
      </w:r>
    </w:p>
    <w:p w14:paraId="10117321" w14:textId="4931EC21" w:rsidR="001D5D31" w:rsidRDefault="00434A1D" w:rsidP="00E24757">
      <w:pPr>
        <w:pStyle w:val="Nivel3SM"/>
      </w:pPr>
      <w:r w:rsidRPr="00434A1D">
        <w:rPr>
          <w:u w:val="single"/>
        </w:rPr>
        <w:t>OP 4</w:t>
      </w:r>
      <w:r w:rsidR="006016D1">
        <w:t>:</w:t>
      </w:r>
      <w:r w:rsidR="001D5D31">
        <w:t xml:space="preserve"> empleo, la educación, formación profesional, inclusión y lucha contra la pobreza y pobreza infantil.</w:t>
      </w:r>
    </w:p>
    <w:p w14:paraId="5AD98BD3" w14:textId="1B3C80F0" w:rsidR="0060790E" w:rsidRPr="00AE7DE8" w:rsidRDefault="001D5D31" w:rsidP="00E24757">
      <w:pPr>
        <w:pStyle w:val="Nivel3SM"/>
      </w:pPr>
      <w:r w:rsidRPr="00434A1D">
        <w:rPr>
          <w:u w:val="single"/>
        </w:rPr>
        <w:t>O</w:t>
      </w:r>
      <w:r w:rsidR="00434A1D" w:rsidRPr="00434A1D">
        <w:rPr>
          <w:u w:val="single"/>
        </w:rPr>
        <w:t>P 5</w:t>
      </w:r>
      <w:r w:rsidR="006016D1" w:rsidRPr="006016D1">
        <w:t>:</w:t>
      </w:r>
      <w:r>
        <w:t xml:space="preserve"> desarrollo urbano y no urbano a través del diseño de p</w:t>
      </w:r>
      <w:r w:rsidR="00434A1D">
        <w:t>rogramas de inversión integrada</w:t>
      </w:r>
      <w:r>
        <w:t>.</w:t>
      </w:r>
    </w:p>
    <w:p w14:paraId="3BD1B3EF" w14:textId="5031D814" w:rsidR="00082A7A" w:rsidRPr="00AE7DE8" w:rsidRDefault="00DD0880" w:rsidP="005457D8">
      <w:pPr>
        <w:pStyle w:val="Ttulo6"/>
      </w:pPr>
      <w:bookmarkStart w:id="63" w:name="_Toc150452833"/>
      <w:r>
        <w:t>Otras iniciativas regionales recientes</w:t>
      </w:r>
      <w:bookmarkEnd w:id="63"/>
    </w:p>
    <w:p w14:paraId="0AABBAA2" w14:textId="56FE4C4F" w:rsidR="00082A7A" w:rsidRPr="00946F49" w:rsidRDefault="00082A7A" w:rsidP="005457D8">
      <w:pPr>
        <w:pStyle w:val="Ttulo7"/>
      </w:pPr>
      <w:r w:rsidRPr="00434A1D">
        <w:t>Reto demográfico: Envejecimiento y despoblación</w:t>
      </w:r>
    </w:p>
    <w:p w14:paraId="79238548" w14:textId="77777777" w:rsidR="00082A7A" w:rsidRPr="00946F49" w:rsidRDefault="00082A7A" w:rsidP="00572229">
      <w:pPr>
        <w:pStyle w:val="Nivel2SM"/>
        <w:keepNext/>
        <w:spacing w:after="0"/>
      </w:pPr>
      <w:r w:rsidRPr="00946F49">
        <w:t xml:space="preserve">El problema de la despoblación y el envejecimiento de la población en algunos territorios representa en la actualidad un desafío para la economía territorial. </w:t>
      </w:r>
    </w:p>
    <w:p w14:paraId="62BD1058" w14:textId="77777777" w:rsidR="00082A7A" w:rsidRPr="00572229" w:rsidRDefault="00082A7A" w:rsidP="00572229">
      <w:pPr>
        <w:pStyle w:val="Nivel3SM"/>
        <w:keepNext/>
        <w:rPr>
          <w:u w:val="single"/>
        </w:rPr>
      </w:pPr>
      <w:r w:rsidRPr="00572229">
        <w:rPr>
          <w:u w:val="single"/>
        </w:rPr>
        <w:t xml:space="preserve">Estrategia </w:t>
      </w:r>
      <w:r w:rsidR="00FA0756" w:rsidRPr="00572229">
        <w:rPr>
          <w:u w:val="single"/>
        </w:rPr>
        <w:t>N</w:t>
      </w:r>
      <w:r w:rsidRPr="00572229">
        <w:rPr>
          <w:u w:val="single"/>
        </w:rPr>
        <w:t>acional frente al reto demográfico</w:t>
      </w:r>
    </w:p>
    <w:p w14:paraId="0A28DD1C" w14:textId="54A82500" w:rsidR="00082A7A" w:rsidRPr="007178D0" w:rsidRDefault="00082A7A" w:rsidP="00572229">
      <w:pPr>
        <w:pStyle w:val="Nivel4"/>
        <w:ind w:left="1474"/>
      </w:pPr>
      <w:r w:rsidRPr="00946F49">
        <w:t xml:space="preserve">Mejora de la conectividad digital (despliegue de redes </w:t>
      </w:r>
      <w:r w:rsidRPr="007178D0">
        <w:t>ultrarrápidas).</w:t>
      </w:r>
      <w:r w:rsidR="007178D0" w:rsidRPr="007178D0">
        <w:t xml:space="preserve"> </w:t>
      </w:r>
      <w:r w:rsidRPr="007178D0">
        <w:t>Apoyo a la población joven y las mujeres.</w:t>
      </w:r>
    </w:p>
    <w:p w14:paraId="5CB7262E" w14:textId="7A2F8E1C" w:rsidR="00082A7A" w:rsidRPr="007178D0" w:rsidRDefault="00082A7A" w:rsidP="00572229">
      <w:pPr>
        <w:pStyle w:val="Nivel4"/>
        <w:ind w:left="1474"/>
      </w:pPr>
      <w:r w:rsidRPr="007178D0">
        <w:t>Oficinas de despoblación</w:t>
      </w:r>
      <w:r w:rsidR="007178D0" w:rsidRPr="007178D0">
        <w:t>:</w:t>
      </w:r>
      <w:r w:rsidR="007178D0">
        <w:t xml:space="preserve"> </w:t>
      </w:r>
      <w:r w:rsidRPr="007178D0">
        <w:t>En al menos 20</w:t>
      </w:r>
      <w:r w:rsidR="00572229">
        <w:t> c</w:t>
      </w:r>
      <w:r w:rsidRPr="007178D0">
        <w:t>omarcas que requieran una intervención urgente, cuya función será acompañar a las personas o empresas que quieran instalarse en la zona.</w:t>
      </w:r>
    </w:p>
    <w:p w14:paraId="79409696" w14:textId="77777777" w:rsidR="00082A7A" w:rsidRPr="007178D0" w:rsidRDefault="00082A7A" w:rsidP="00572229">
      <w:pPr>
        <w:pStyle w:val="Nivel4"/>
        <w:ind w:left="1474"/>
      </w:pPr>
      <w:r w:rsidRPr="007178D0">
        <w:t>Inversiones públicas</w:t>
      </w:r>
    </w:p>
    <w:p w14:paraId="08556DEF" w14:textId="4B4CA90E" w:rsidR="00434A1D" w:rsidRPr="00946F49" w:rsidRDefault="00082A7A" w:rsidP="00572229">
      <w:pPr>
        <w:pStyle w:val="Nivel4"/>
        <w:ind w:left="1474"/>
      </w:pPr>
      <w:r w:rsidRPr="007178D0">
        <w:t>Espacios de Innovación Rural</w:t>
      </w:r>
    </w:p>
    <w:p w14:paraId="28676982" w14:textId="77777777" w:rsidR="00EA1D1B" w:rsidRPr="007178D0" w:rsidRDefault="00EA1D1B" w:rsidP="00EA1D1B">
      <w:pPr>
        <w:pStyle w:val="Ttulo7"/>
      </w:pPr>
      <w:r w:rsidRPr="007178D0">
        <w:t>La España vaciada</w:t>
      </w:r>
    </w:p>
    <w:p w14:paraId="224773EC" w14:textId="77777777" w:rsidR="00EA1D1B" w:rsidRPr="007D74F5" w:rsidRDefault="00EA1D1B" w:rsidP="00EA1D1B">
      <w:pPr>
        <w:pStyle w:val="Nivel2SM"/>
        <w:keepNext/>
        <w:spacing w:after="0"/>
      </w:pPr>
      <w:r w:rsidRPr="00572229">
        <w:rPr>
          <w:u w:val="single"/>
        </w:rPr>
        <w:t>Foro permanente para el reto demográfico</w:t>
      </w:r>
      <w:r w:rsidRPr="007D74F5">
        <w:t>:</w:t>
      </w:r>
    </w:p>
    <w:p w14:paraId="2A36FA74" w14:textId="77777777" w:rsidR="00EA1D1B" w:rsidRDefault="00EA1D1B" w:rsidP="00EA1D1B">
      <w:pPr>
        <w:pStyle w:val="Nivel3SM"/>
      </w:pPr>
      <w:r>
        <w:t xml:space="preserve">La vicepresidenta y ministra para la Transición Ecológica y el Reto Demográfico, </w:t>
      </w:r>
      <w:r w:rsidRPr="00572229">
        <w:rPr>
          <w:smallCaps/>
        </w:rPr>
        <w:t>Teresa Ribera</w:t>
      </w:r>
      <w:r>
        <w:t xml:space="preserve">, ha convocado este órgano abierto que dará voz a los actores locales, asociaciones del medio rural, académicos y expertos cuyas aportaciones y experiencias sobre el </w:t>
      </w:r>
      <w:r>
        <w:lastRenderedPageBreak/>
        <w:t>territorio contribuyan a avanzar en cohesión territorial y en la lucha contra la despoblación.</w:t>
      </w:r>
    </w:p>
    <w:p w14:paraId="1A330631" w14:textId="77777777" w:rsidR="00EA1D1B" w:rsidRDefault="00EA1D1B" w:rsidP="00EA1D1B">
      <w:pPr>
        <w:pStyle w:val="Nivel2SM"/>
        <w:keepNext/>
        <w:spacing w:after="0"/>
      </w:pPr>
      <w:r w:rsidRPr="00D21DAF">
        <w:rPr>
          <w:u w:val="single"/>
        </w:rPr>
        <w:t xml:space="preserve">El </w:t>
      </w:r>
      <w:r>
        <w:rPr>
          <w:u w:val="single"/>
        </w:rPr>
        <w:t>‘</w:t>
      </w:r>
      <w:r w:rsidRPr="00D21DAF">
        <w:rPr>
          <w:u w:val="single"/>
        </w:rPr>
        <w:t>Plan de Recuperación: 130</w:t>
      </w:r>
      <w:r>
        <w:rPr>
          <w:u w:val="single"/>
        </w:rPr>
        <w:t> </w:t>
      </w:r>
      <w:r w:rsidRPr="00D21DAF">
        <w:rPr>
          <w:u w:val="single"/>
        </w:rPr>
        <w:t>medidas frente al Reto Demográfico</w:t>
      </w:r>
      <w:r>
        <w:rPr>
          <w:u w:val="single"/>
        </w:rPr>
        <w:t>’</w:t>
      </w:r>
      <w:r>
        <w:t xml:space="preserve"> es fruto de la acción coordinada de todos los departamentos ministeriales para marcar una agenda de igualdad y cohesión social y territorial. </w:t>
      </w:r>
    </w:p>
    <w:p w14:paraId="3281354E" w14:textId="77777777" w:rsidR="00EA1D1B" w:rsidRDefault="00EA1D1B" w:rsidP="00EA1D1B">
      <w:pPr>
        <w:pStyle w:val="Nivel3SM"/>
        <w:keepNext/>
      </w:pPr>
      <w:r>
        <w:t>Los más de 10.000 millones destinados a desarrollar políticas activas sobre el territorio suponen el mayor esfuerzo inversor realizado nunca en el ámbito rural. Los objetivos del plan,</w:t>
      </w:r>
    </w:p>
    <w:p w14:paraId="21E6D152" w14:textId="77777777" w:rsidR="00EA1D1B" w:rsidRDefault="00EA1D1B" w:rsidP="00EA1D1B">
      <w:pPr>
        <w:pStyle w:val="Nivel4"/>
        <w:ind w:left="1474"/>
      </w:pPr>
      <w:r>
        <w:t xml:space="preserve">impulsar actuaciones sobre el territorio para reactivar las zonas más afectadas por las urgencias del reto demográfico. </w:t>
      </w:r>
    </w:p>
    <w:p w14:paraId="2EF9046B" w14:textId="77777777" w:rsidR="00EA1D1B" w:rsidRDefault="00EA1D1B" w:rsidP="00EA1D1B">
      <w:pPr>
        <w:pStyle w:val="Nivel4"/>
        <w:ind w:left="1474"/>
      </w:pPr>
      <w:r>
        <w:t>Igualdad de derechos en prestación de servicios, igualdad de género o la eliminación de brechas sociales</w:t>
      </w:r>
    </w:p>
    <w:p w14:paraId="222B373E" w14:textId="77777777" w:rsidR="00EA1D1B" w:rsidRDefault="00EA1D1B" w:rsidP="00EA1D1B">
      <w:pPr>
        <w:pStyle w:val="Nivel4"/>
        <w:ind w:left="1474"/>
      </w:pPr>
      <w:r>
        <w:t>generar oportunidades de emprendimiento e impulso de la actividad económica en los territorios con mayores dificultades para competir en mercados globalizados.</w:t>
      </w:r>
    </w:p>
    <w:p w14:paraId="6EF30C1A" w14:textId="77777777" w:rsidR="00EA1D1B" w:rsidRPr="00ED0D27" w:rsidRDefault="00EA1D1B" w:rsidP="00EA1D1B">
      <w:pPr>
        <w:pStyle w:val="Nivel2SM"/>
        <w:keepNext/>
        <w:spacing w:after="0"/>
      </w:pPr>
      <w:r w:rsidRPr="00572229">
        <w:rPr>
          <w:u w:val="single"/>
        </w:rPr>
        <w:t>Ejemplo</w:t>
      </w:r>
      <w:r w:rsidRPr="00ED0D27">
        <w:t>:</w:t>
      </w:r>
    </w:p>
    <w:p w14:paraId="7D2445B1" w14:textId="77777777" w:rsidR="00EA1D1B" w:rsidRDefault="00EA1D1B" w:rsidP="00EA1D1B">
      <w:pPr>
        <w:pStyle w:val="Nivel3SM"/>
      </w:pPr>
      <w:r>
        <w:t xml:space="preserve">programas como el </w:t>
      </w:r>
      <w:r w:rsidRPr="007178D0">
        <w:rPr>
          <w:u w:val="single"/>
        </w:rPr>
        <w:t>Erasmus Rural</w:t>
      </w:r>
      <w:r>
        <w:t xml:space="preserve"> para que los estudiantes en sus últimos años de formación puedan hacer prácticas sobre el territorio y conozcan de primera mano las posibilidades del entorno rural.</w:t>
      </w:r>
    </w:p>
    <w:p w14:paraId="31FE5C27" w14:textId="77777777" w:rsidR="00EA1D1B" w:rsidRPr="007178D0" w:rsidRDefault="00EA1D1B" w:rsidP="00EA1D1B">
      <w:pPr>
        <w:pStyle w:val="Ttulo7"/>
        <w:rPr>
          <w:lang w:eastAsia="en-GB"/>
        </w:rPr>
      </w:pPr>
      <w:r w:rsidRPr="007178D0">
        <w:rPr>
          <w:lang w:eastAsia="en-GB"/>
        </w:rPr>
        <w:t>Secretaría General para el Reto Demográfico</w:t>
      </w:r>
    </w:p>
    <w:p w14:paraId="062213BF" w14:textId="77777777" w:rsidR="00EA1D1B" w:rsidRPr="00946F49" w:rsidRDefault="00EA1D1B" w:rsidP="00EA1D1B">
      <w:pPr>
        <w:pStyle w:val="Nivel2SM"/>
        <w:keepNext/>
        <w:spacing w:after="0"/>
      </w:pPr>
      <w:r w:rsidRPr="00946F49">
        <w:rPr>
          <w:u w:val="single"/>
          <w:lang w:eastAsia="en-GB"/>
        </w:rPr>
        <w:t>La Secretaría General para el Reto Demográfico</w:t>
      </w:r>
      <w:r w:rsidRPr="00946F49">
        <w:rPr>
          <w:lang w:eastAsia="en-GB"/>
        </w:rPr>
        <w:t xml:space="preserve"> es el órgano directivo al que corresponde, bajo la superior dirección del titular del Ministerio para la Transición Ecológica y el Reto Demográfico, el impulso y la coordinación de las competencias atribuidas al Departamento referentes al reto demográfico.</w:t>
      </w:r>
    </w:p>
    <w:p w14:paraId="645C361D" w14:textId="77777777" w:rsidR="00EA1D1B" w:rsidRDefault="00EA1D1B" w:rsidP="00EA1D1B">
      <w:pPr>
        <w:pStyle w:val="Nivel3SM"/>
      </w:pPr>
      <w:r w:rsidRPr="00AE7DE8">
        <w:rPr>
          <w:smallCaps/>
        </w:rPr>
        <w:t>Francesc Boya</w:t>
      </w:r>
      <w:r>
        <w:t xml:space="preserve"> Secretario General para el Reto Demográfico.</w:t>
      </w:r>
    </w:p>
    <w:p w14:paraId="4094EB6C" w14:textId="77777777" w:rsidR="00EA1D1B" w:rsidRPr="00572229" w:rsidRDefault="00EA1D1B" w:rsidP="00EA1D1B">
      <w:pPr>
        <w:pStyle w:val="Nivel2SM"/>
        <w:keepNext/>
        <w:spacing w:after="0"/>
        <w:rPr>
          <w:u w:val="single"/>
        </w:rPr>
      </w:pPr>
      <w:r w:rsidRPr="00572229">
        <w:rPr>
          <w:u w:val="single"/>
        </w:rPr>
        <w:t>El 30 % del territorio español concentra el 90 % de la población</w:t>
      </w:r>
    </w:p>
    <w:p w14:paraId="2C1875DD" w14:textId="77777777" w:rsidR="00EA1D1B" w:rsidRDefault="00EA1D1B" w:rsidP="00EA1D1B">
      <w:pPr>
        <w:pStyle w:val="Nivel3SM"/>
      </w:pPr>
      <w:r>
        <w:t>Más de 42 millones de personas viven en Madrid y en el litoral español. El resto, 4,6 millones, habita en el 70 % restante en el interior de la Península.</w:t>
      </w:r>
    </w:p>
    <w:p w14:paraId="416E5AC7" w14:textId="77777777" w:rsidR="00EA1D1B" w:rsidRPr="00572229" w:rsidRDefault="00EA1D1B" w:rsidP="00EA1D1B">
      <w:pPr>
        <w:pStyle w:val="Nivel2SM"/>
        <w:keepNext/>
        <w:spacing w:after="0"/>
        <w:rPr>
          <w:u w:val="single"/>
        </w:rPr>
      </w:pPr>
      <w:r w:rsidRPr="00572229">
        <w:rPr>
          <w:u w:val="single"/>
        </w:rPr>
        <w:t>Las funciones básicas de la Secretaría General para el Reto Demográfico</w:t>
      </w:r>
      <w:r w:rsidRPr="00572229">
        <w:t>:</w:t>
      </w:r>
    </w:p>
    <w:p w14:paraId="419D66AD" w14:textId="77777777" w:rsidR="00EA1D1B" w:rsidRDefault="00EA1D1B" w:rsidP="00EA1D1B">
      <w:pPr>
        <w:pStyle w:val="Nivel3SM"/>
      </w:pPr>
      <w:r>
        <w:t xml:space="preserve">La elaboración e impulso de estrategias, planes y actuaciones prioritarias en materia de reto demográfico; </w:t>
      </w:r>
    </w:p>
    <w:p w14:paraId="4E78C148" w14:textId="77777777" w:rsidR="00EA1D1B" w:rsidRDefault="00EA1D1B" w:rsidP="00EA1D1B">
      <w:pPr>
        <w:pStyle w:val="Nivel3SM"/>
      </w:pPr>
      <w:r>
        <w:t xml:space="preserve">La coordinación de los departamentos ministeriales y de las administraciones públicas territoriales en materia de reto demográfico, </w:t>
      </w:r>
    </w:p>
    <w:p w14:paraId="099BB71C" w14:textId="77777777" w:rsidR="00EA1D1B" w:rsidRDefault="00EA1D1B" w:rsidP="00EA1D1B">
      <w:pPr>
        <w:pStyle w:val="Nivel3SM"/>
      </w:pPr>
      <w:r>
        <w:t xml:space="preserve">Impulso de la colaboración público-privada; </w:t>
      </w:r>
    </w:p>
    <w:p w14:paraId="35CC5961" w14:textId="77777777" w:rsidR="00EA1D1B" w:rsidRDefault="00EA1D1B" w:rsidP="00EA1D1B">
      <w:pPr>
        <w:pStyle w:val="Nivel3SM"/>
      </w:pPr>
      <w:r>
        <w:t xml:space="preserve">El desarrollo de las políticas que garanticen la igualdad de derechos y oportunidades sin discriminación por razón de lugar de residencia o edad, y especialmente para las áreas rurales; </w:t>
      </w:r>
    </w:p>
    <w:p w14:paraId="7B8DBE85" w14:textId="77777777" w:rsidR="00EA1D1B" w:rsidRPr="00946F49" w:rsidRDefault="00EA1D1B" w:rsidP="00EA1D1B">
      <w:pPr>
        <w:pStyle w:val="Nivel3SM"/>
      </w:pPr>
      <w:r>
        <w:t>La participación en representación de la AGE en Consejos de la Unión Europea en materia de reto demográfico y otros organismos internacionales.</w:t>
      </w:r>
    </w:p>
    <w:p w14:paraId="1F4FC754" w14:textId="77777777" w:rsidR="00EA1D1B" w:rsidRPr="00AE7DE8" w:rsidRDefault="00EA1D1B" w:rsidP="00EA1D1B">
      <w:pPr>
        <w:pStyle w:val="Ttulo7"/>
      </w:pPr>
      <w:r w:rsidRPr="00434A1D">
        <w:t>Desarrollo sostenible</w:t>
      </w:r>
    </w:p>
    <w:p w14:paraId="529EAD91" w14:textId="77777777" w:rsidR="00EA1D1B" w:rsidRPr="00AE7DE8" w:rsidRDefault="00EA1D1B" w:rsidP="00EA1D1B">
      <w:pPr>
        <w:pStyle w:val="Nivel2SM"/>
      </w:pPr>
      <w:r w:rsidRPr="00946F49">
        <w:t>En línea con los ODS y la estrategia europea en el marco del CC el desarrollo regional en la actualidad no solo debe de ir dirigido en términos de PIB pc sino además en términos de desarrollo sostenible.</w:t>
      </w:r>
    </w:p>
    <w:p w14:paraId="7EE1E371" w14:textId="77777777" w:rsidR="00EA1D1B" w:rsidRPr="00AE7DE8" w:rsidRDefault="00EA1D1B" w:rsidP="00EA1D1B">
      <w:pPr>
        <w:pStyle w:val="Ttulo7"/>
      </w:pPr>
      <w:r w:rsidRPr="00434A1D">
        <w:t>Otras políticas regionales</w:t>
      </w:r>
    </w:p>
    <w:p w14:paraId="3ADF5DDD" w14:textId="77777777" w:rsidR="00EA1D1B" w:rsidRPr="00AE7DE8" w:rsidRDefault="00EA1D1B" w:rsidP="00EA1D1B">
      <w:pPr>
        <w:pStyle w:val="Ttulo8"/>
        <w:spacing w:before="0"/>
      </w:pPr>
      <w:r w:rsidRPr="007178D0">
        <w:t>PGE 2023: Incentivos regionales</w:t>
      </w:r>
    </w:p>
    <w:p w14:paraId="2620ABD9" w14:textId="77777777" w:rsidR="00EA1D1B" w:rsidRPr="00AE7DE8" w:rsidRDefault="00EA1D1B" w:rsidP="00EA1D1B">
      <w:pPr>
        <w:pStyle w:val="Nivel2SM"/>
      </w:pPr>
      <w:r>
        <w:t>C</w:t>
      </w:r>
      <w:r w:rsidRPr="00B543DD">
        <w:t>abe destacar el incremento de 50</w:t>
      </w:r>
      <w:r>
        <w:t> millones de euros</w:t>
      </w:r>
      <w:r w:rsidRPr="00B543DD">
        <w:t xml:space="preserve"> que experimentan los créditos destinados a la línea de ayudas de </w:t>
      </w:r>
      <w:r w:rsidRPr="00F307FF">
        <w:rPr>
          <w:b/>
          <w:bCs/>
        </w:rPr>
        <w:t>incentivos regionales</w:t>
      </w:r>
      <w:r w:rsidRPr="00B543DD">
        <w:t>, que se</w:t>
      </w:r>
      <w:r>
        <w:t xml:space="preserve"> </w:t>
      </w:r>
      <w:r w:rsidRPr="00B543DD">
        <w:t xml:space="preserve">configura como un importante </w:t>
      </w:r>
      <w:r w:rsidRPr="00F307FF">
        <w:rPr>
          <w:i/>
          <w:iCs/>
        </w:rPr>
        <w:t>instrumento de política regional</w:t>
      </w:r>
      <w:r w:rsidRPr="00B543DD">
        <w:t xml:space="preserve"> que fomenta</w:t>
      </w:r>
      <w:r>
        <w:t xml:space="preserve"> </w:t>
      </w:r>
      <w:r w:rsidRPr="00B543DD">
        <w:t xml:space="preserve">la </w:t>
      </w:r>
      <w:r w:rsidRPr="00F307FF">
        <w:rPr>
          <w:i/>
          <w:iCs/>
        </w:rPr>
        <w:t>cohesión económica, social y territorial</w:t>
      </w:r>
      <w:r w:rsidRPr="00B543DD">
        <w:t xml:space="preserve"> mediante la concesión de ayudas para</w:t>
      </w:r>
      <w:r>
        <w:t xml:space="preserve"> </w:t>
      </w:r>
      <w:r w:rsidRPr="00B543DD">
        <w:t xml:space="preserve">la financiación de proyectos de inversión productiva, generadores </w:t>
      </w:r>
      <w:r w:rsidRPr="00B543DD">
        <w:lastRenderedPageBreak/>
        <w:t>de empleo,</w:t>
      </w:r>
      <w:r>
        <w:t xml:space="preserve"> </w:t>
      </w:r>
      <w:r w:rsidRPr="00B543DD">
        <w:t>tecnológicamente avanzados y medio ambientalmente sostenibles, al objeto</w:t>
      </w:r>
      <w:r>
        <w:t xml:space="preserve"> </w:t>
      </w:r>
      <w:r w:rsidRPr="00B543DD">
        <w:t>de impulsar y localizar la actividad empresarial en dichas zonas y así contribuir</w:t>
      </w:r>
      <w:r>
        <w:t xml:space="preserve"> </w:t>
      </w:r>
      <w:r w:rsidRPr="00B543DD">
        <w:t>al equilibrio económico interterritorial y al crecimiento económico inteligente,</w:t>
      </w:r>
      <w:r>
        <w:t xml:space="preserve"> </w:t>
      </w:r>
      <w:r w:rsidRPr="00B543DD">
        <w:t>sostenible e integrador.</w:t>
      </w:r>
    </w:p>
    <w:p w14:paraId="4E6D5F06" w14:textId="77777777" w:rsidR="00EA1D1B" w:rsidRPr="00AE7DE8" w:rsidRDefault="00EA1D1B" w:rsidP="00EA1D1B">
      <w:pPr>
        <w:pStyle w:val="Ttulo8"/>
      </w:pPr>
      <w:r w:rsidRPr="00946F49">
        <w:t>Incentivos regionales</w:t>
      </w:r>
    </w:p>
    <w:p w14:paraId="54E3560D" w14:textId="77777777" w:rsidR="00EA1D1B" w:rsidRPr="00946F49" w:rsidRDefault="00EA1D1B" w:rsidP="00EA1D1B">
      <w:pPr>
        <w:pStyle w:val="Nivel2SM"/>
        <w:keepNext/>
        <w:spacing w:after="0"/>
      </w:pPr>
      <w:r w:rsidRPr="00946F49">
        <w:t xml:space="preserve">Son </w:t>
      </w:r>
      <w:r w:rsidRPr="00946F49">
        <w:rPr>
          <w:b/>
        </w:rPr>
        <w:t>ayudas</w:t>
      </w:r>
      <w:r w:rsidRPr="00946F49">
        <w:t xml:space="preserve"> que el Estado concede a la </w:t>
      </w:r>
      <w:r w:rsidRPr="00946F49">
        <w:rPr>
          <w:b/>
        </w:rPr>
        <w:t>inversión productiva</w:t>
      </w:r>
      <w:r w:rsidRPr="00946F49">
        <w:t xml:space="preserve"> y que se realizan teniendo en cuenta </w:t>
      </w:r>
      <w:r w:rsidRPr="00946F49">
        <w:rPr>
          <w:b/>
        </w:rPr>
        <w:t>consideraciones territoriales</w:t>
      </w:r>
      <w:r w:rsidRPr="00946F49">
        <w:t>.</w:t>
      </w:r>
    </w:p>
    <w:p w14:paraId="306907A4" w14:textId="77777777" w:rsidR="00EA1D1B" w:rsidRPr="00946F49" w:rsidRDefault="00EA1D1B" w:rsidP="00EA1D1B">
      <w:pPr>
        <w:pStyle w:val="Nivel3SM"/>
      </w:pPr>
      <w:r w:rsidRPr="00946F49">
        <w:t>Surgen con la “</w:t>
      </w:r>
      <w:r w:rsidRPr="00946F49">
        <w:rPr>
          <w:b/>
        </w:rPr>
        <w:t xml:space="preserve">Ley de Incentivos Regionales de </w:t>
      </w:r>
      <w:smartTag w:uri="urn:schemas-microsoft-com:office:smarttags" w:element="metricconverter">
        <w:smartTagPr>
          <w:attr w:name="ProductID" w:val="1985”"/>
        </w:smartTagPr>
        <w:r w:rsidRPr="00946F49">
          <w:rPr>
            <w:b/>
          </w:rPr>
          <w:t>1985</w:t>
        </w:r>
        <w:r w:rsidRPr="00946F49">
          <w:t>”</w:t>
        </w:r>
      </w:smartTag>
      <w:r w:rsidRPr="00946F49">
        <w:t>, que regula las ayudas públicas en el marco de la política regional.</w:t>
      </w:r>
    </w:p>
    <w:p w14:paraId="6E2D9191" w14:textId="77777777" w:rsidR="00EA1D1B" w:rsidRPr="00AE7DE8" w:rsidRDefault="00EA1D1B" w:rsidP="00EA1D1B">
      <w:pPr>
        <w:pStyle w:val="Ttulo7"/>
      </w:pPr>
      <w:r w:rsidRPr="00946F49">
        <w:t>Bonos verdes</w:t>
      </w:r>
    </w:p>
    <w:p w14:paraId="65366A33" w14:textId="77777777" w:rsidR="00EA1D1B" w:rsidRPr="00AE7DE8" w:rsidRDefault="00EA1D1B" w:rsidP="00EA1D1B">
      <w:pPr>
        <w:pStyle w:val="Nivel2SM"/>
        <w:rPr>
          <w:u w:val="single"/>
        </w:rPr>
      </w:pPr>
      <w:r w:rsidRPr="00946F49">
        <w:t xml:space="preserve">Se trata de un tipo de emisiones cuyos fondos se destinan a financiar proyectos en las áreas relacionadas con el </w:t>
      </w:r>
      <w:r>
        <w:t>medioambiente</w:t>
      </w:r>
      <w:r w:rsidRPr="00946F49">
        <w:t xml:space="preserve"> entre ellas las energías renovables.</w:t>
      </w:r>
    </w:p>
    <w:p w14:paraId="49D00633" w14:textId="6D4E4E5A" w:rsidR="00EA1D1B" w:rsidRDefault="00EA1D1B" w:rsidP="00EA1D1B">
      <w:pPr>
        <w:pStyle w:val="Ttulo6"/>
        <w:rPr>
          <w:lang w:eastAsia="en-GB"/>
        </w:rPr>
      </w:pPr>
      <w:bookmarkStart w:id="64" w:name="_Toc150452834"/>
      <w:r>
        <w:rPr>
          <w:lang w:eastAsia="en-GB"/>
        </w:rPr>
        <w:t>Plan de Recuperación, Transformación y Resiliencia (PRTR)</w:t>
      </w:r>
      <w:bookmarkEnd w:id="64"/>
    </w:p>
    <w:p w14:paraId="31B58A66" w14:textId="77777777" w:rsidR="00EA1D1B" w:rsidRDefault="00EA1D1B" w:rsidP="00EA1D1B">
      <w:pPr>
        <w:pStyle w:val="Ttulo7"/>
        <w:spacing w:before="0"/>
      </w:pPr>
      <w:r>
        <w:t>PRTR: Uno de los 4 ejes principales es la cohesión social y territorial</w:t>
      </w:r>
    </w:p>
    <w:p w14:paraId="1EE48442" w14:textId="4856ED07" w:rsidR="00227A51" w:rsidRPr="00AE7DE8" w:rsidRDefault="00434A1D" w:rsidP="00EA1D1B">
      <w:pPr>
        <w:pStyle w:val="Ttulo7"/>
        <w:rPr>
          <w:lang w:eastAsia="en-GB"/>
        </w:rPr>
      </w:pPr>
      <w:r w:rsidRPr="00434A1D">
        <w:rPr>
          <w:lang w:eastAsia="en-GB"/>
        </w:rPr>
        <w:t>Palanca</w:t>
      </w:r>
      <w:r w:rsidR="00AE7DE8">
        <w:rPr>
          <w:lang w:eastAsia="en-GB"/>
        </w:rPr>
        <w:t> </w:t>
      </w:r>
      <w:r w:rsidRPr="00434A1D">
        <w:rPr>
          <w:lang w:eastAsia="en-GB"/>
        </w:rPr>
        <w:t>I: Agenda urbana y rural, lucha contra la despoblación y desarrollo de la agricultura</w:t>
      </w:r>
    </w:p>
    <w:p w14:paraId="4370E6B6" w14:textId="0C4D9FF0" w:rsidR="00434A1D" w:rsidRPr="00AE7DE8" w:rsidRDefault="00434A1D" w:rsidP="00572229">
      <w:pPr>
        <w:pStyle w:val="Nivel2SM"/>
        <w:rPr>
          <w:lang w:eastAsia="en-GB"/>
        </w:rPr>
      </w:pPr>
      <w:r w:rsidRPr="00227A51">
        <w:rPr>
          <w:lang w:eastAsia="en-GB"/>
        </w:rPr>
        <w:t xml:space="preserve">Resulta necesario articular medidas específicas para la </w:t>
      </w:r>
      <w:r w:rsidRPr="00227A51">
        <w:rPr>
          <w:u w:val="single"/>
          <w:lang w:eastAsia="en-GB"/>
        </w:rPr>
        <w:t>España despoblada</w:t>
      </w:r>
      <w:r w:rsidRPr="00227A51">
        <w:rPr>
          <w:lang w:eastAsia="en-GB"/>
        </w:rPr>
        <w:t xml:space="preserve"> que impulsen la innovación social y territorial y faciliten el desarrollo de nuevos proyectos profesionales, la fijación de población, la atracción de talento, la prestación de servicios, así como un uso sostenible de nuestros recursos.</w:t>
      </w:r>
    </w:p>
    <w:p w14:paraId="79036855" w14:textId="77777777" w:rsidR="00EA1D1B" w:rsidRDefault="00434A1D" w:rsidP="00EA1D1B">
      <w:pPr>
        <w:pStyle w:val="Ttulo7"/>
      </w:pPr>
      <w:r w:rsidRPr="00434A1D">
        <w:t>Palanca</w:t>
      </w:r>
      <w:r w:rsidR="00AE7DE8">
        <w:t> </w:t>
      </w:r>
      <w:r w:rsidRPr="00434A1D">
        <w:t>II</w:t>
      </w:r>
    </w:p>
    <w:p w14:paraId="56DF6A02" w14:textId="37197812" w:rsidR="00434A1D" w:rsidRPr="00AE7DE8" w:rsidRDefault="00434A1D" w:rsidP="00EA1D1B">
      <w:pPr>
        <w:pStyle w:val="Ttulo8"/>
        <w:spacing w:before="0"/>
      </w:pPr>
      <w:r w:rsidRPr="00374A46">
        <w:t>C</w:t>
      </w:r>
      <w:r w:rsidR="00EA1D1B">
        <w:t>omponente </w:t>
      </w:r>
      <w:r w:rsidR="00227A51">
        <w:t>4</w:t>
      </w:r>
      <w:r w:rsidRPr="00374A46">
        <w:t>: Conservación y restauración de ecosistemas y su biodiversidad</w:t>
      </w:r>
    </w:p>
    <w:p w14:paraId="53F2B53A" w14:textId="77777777" w:rsidR="007178D0" w:rsidRDefault="00434A1D" w:rsidP="00572229">
      <w:pPr>
        <w:pStyle w:val="Nivel2SM"/>
        <w:keepNext/>
        <w:spacing w:after="0"/>
      </w:pPr>
      <w:r w:rsidRPr="00572229">
        <w:rPr>
          <w:u w:val="single"/>
        </w:rPr>
        <w:t>Objetivo</w:t>
      </w:r>
      <w:r w:rsidRPr="00930798">
        <w:t>:</w:t>
      </w:r>
    </w:p>
    <w:p w14:paraId="211F5E7E" w14:textId="0C73FD94" w:rsidR="007178D0" w:rsidRPr="007178D0" w:rsidRDefault="007178D0" w:rsidP="00572229">
      <w:pPr>
        <w:pStyle w:val="Nivel3SM"/>
        <w:keepNext/>
        <w:rPr>
          <w:u w:val="single"/>
        </w:rPr>
      </w:pPr>
      <w:r>
        <w:t>C</w:t>
      </w:r>
      <w:r w:rsidR="00434A1D">
        <w:t>onservación de los ecosistemas y revertir la pérdida de biodiversidad,</w:t>
      </w:r>
    </w:p>
    <w:p w14:paraId="767FC0B2" w14:textId="4D8FAF48" w:rsidR="00434A1D" w:rsidRPr="00AE7DE8" w:rsidRDefault="00434A1D" w:rsidP="00572229">
      <w:pPr>
        <w:pStyle w:val="Nivel4"/>
        <w:ind w:left="1474"/>
      </w:pPr>
      <w:r w:rsidRPr="007178D0">
        <w:rPr>
          <w:u w:val="single"/>
        </w:rPr>
        <w:t>Despoblación</w:t>
      </w:r>
      <w:r>
        <w:t xml:space="preserve">: </w:t>
      </w:r>
      <w:r w:rsidR="00227A51">
        <w:t>E</w:t>
      </w:r>
      <w:r>
        <w:t>l medio rural, donde la despoblación tiene una especial incidencia, alberga gran parte del rico patr</w:t>
      </w:r>
      <w:r w:rsidR="00227A51">
        <w:t>imonio natural de nuestro país.</w:t>
      </w:r>
    </w:p>
    <w:p w14:paraId="5A2439B9" w14:textId="19BDDCE8" w:rsidR="00F307FF" w:rsidRDefault="00434A1D" w:rsidP="00F307FF">
      <w:pPr>
        <w:pStyle w:val="Ttulo7"/>
      </w:pPr>
      <w:r w:rsidRPr="00434A1D">
        <w:t>Palanca</w:t>
      </w:r>
      <w:r w:rsidR="00160175">
        <w:t> </w:t>
      </w:r>
      <w:r w:rsidRPr="00434A1D">
        <w:t>III</w:t>
      </w:r>
    </w:p>
    <w:p w14:paraId="401854BE" w14:textId="46A8F0A1" w:rsidR="00434A1D" w:rsidRPr="00BA0E23" w:rsidRDefault="00434A1D" w:rsidP="00F307FF">
      <w:pPr>
        <w:pStyle w:val="Ttulo8"/>
        <w:spacing w:before="0"/>
      </w:pPr>
      <w:r w:rsidRPr="00BA0E23">
        <w:t>Componente</w:t>
      </w:r>
      <w:r w:rsidR="00160175">
        <w:t> </w:t>
      </w:r>
      <w:r w:rsidRPr="00BA0E23">
        <w:t>7: Despliegue e integración de energías renovables</w:t>
      </w:r>
    </w:p>
    <w:p w14:paraId="416B7F7A" w14:textId="386066B5" w:rsidR="00434A1D" w:rsidRPr="00AE7DE8" w:rsidRDefault="008038BE" w:rsidP="00572229">
      <w:pPr>
        <w:pStyle w:val="Nivel2SM"/>
      </w:pPr>
      <w:r>
        <w:t>Para 2030:</w:t>
      </w:r>
      <w:r w:rsidR="00434A1D" w:rsidRPr="00C20EF7">
        <w:t xml:space="preserve"> un 40</w:t>
      </w:r>
      <w:r w:rsidR="00AE7DE8">
        <w:t> %</w:t>
      </w:r>
      <w:r w:rsidR="00434A1D" w:rsidRPr="00C20EF7">
        <w:t xml:space="preserve"> de</w:t>
      </w:r>
      <w:r w:rsidR="00434A1D">
        <w:t xml:space="preserve"> </w:t>
      </w:r>
      <w:r w:rsidR="00434A1D" w:rsidRPr="00C20EF7">
        <w:t xml:space="preserve">reducción de emisiones de </w:t>
      </w:r>
      <w:r>
        <w:t>GEI</w:t>
      </w:r>
      <w:r w:rsidR="00434A1D" w:rsidRPr="00C20EF7">
        <w:t xml:space="preserve"> </w:t>
      </w:r>
      <w:r w:rsidR="002503AF">
        <w:t>con respecto a</w:t>
      </w:r>
      <w:r w:rsidR="00434A1D" w:rsidRPr="00C20EF7">
        <w:t xml:space="preserve"> 1990;</w:t>
      </w:r>
      <w:r w:rsidR="00434A1D">
        <w:t xml:space="preserve"> </w:t>
      </w:r>
      <w:r w:rsidR="00434A1D" w:rsidRPr="00C20EF7">
        <w:t>una cuota del 32</w:t>
      </w:r>
      <w:r w:rsidR="00AE7DE8">
        <w:t> %</w:t>
      </w:r>
      <w:r w:rsidR="00434A1D" w:rsidRPr="00C20EF7">
        <w:t xml:space="preserve"> de renovables;</w:t>
      </w:r>
      <w:r w:rsidR="00434A1D">
        <w:t xml:space="preserve"> </w:t>
      </w:r>
      <w:r w:rsidR="00434A1D" w:rsidRPr="00C20EF7">
        <w:t>un 32,5</w:t>
      </w:r>
      <w:r w:rsidR="00AE7DE8">
        <w:t> %</w:t>
      </w:r>
      <w:r w:rsidR="00434A1D" w:rsidRPr="00C20EF7">
        <w:t xml:space="preserve"> de mejora de la eficiencia energética</w:t>
      </w:r>
      <w:r>
        <w:t>.</w:t>
      </w:r>
    </w:p>
    <w:p w14:paraId="0FF29389" w14:textId="012CD47A" w:rsidR="00434A1D" w:rsidRPr="00AE7DE8" w:rsidRDefault="00434A1D" w:rsidP="005457D8">
      <w:pPr>
        <w:pStyle w:val="Ttulo8"/>
      </w:pPr>
      <w:r w:rsidRPr="00BA0E23">
        <w:t>Componente</w:t>
      </w:r>
      <w:r w:rsidR="00160175">
        <w:t> </w:t>
      </w:r>
      <w:r w:rsidR="008038BE">
        <w:t>8: Infraestructuras eléctricas</w:t>
      </w:r>
    </w:p>
    <w:p w14:paraId="6812968E" w14:textId="77777777" w:rsidR="00434A1D" w:rsidRPr="00572229" w:rsidRDefault="00434A1D" w:rsidP="00572229">
      <w:pPr>
        <w:pStyle w:val="Nivel2SM"/>
        <w:keepNext/>
        <w:spacing w:after="0"/>
        <w:rPr>
          <w:u w:val="single"/>
        </w:rPr>
      </w:pPr>
      <w:r w:rsidRPr="00572229">
        <w:rPr>
          <w:u w:val="single"/>
        </w:rPr>
        <w:t>Retos y objetivos</w:t>
      </w:r>
    </w:p>
    <w:p w14:paraId="6356EC65" w14:textId="1DB6DA57" w:rsidR="00434A1D" w:rsidRDefault="00434A1D" w:rsidP="00572229">
      <w:pPr>
        <w:pStyle w:val="Nivel3SM"/>
      </w:pPr>
      <w:r>
        <w:t xml:space="preserve">digitalización de las redes, el almacenamiento y la gestión de la demanda. </w:t>
      </w:r>
      <w:proofErr w:type="spellStart"/>
      <w:r>
        <w:t>Sandboxes</w:t>
      </w:r>
      <w:proofErr w:type="spellEnd"/>
      <w:r>
        <w:t xml:space="preserve"> o</w:t>
      </w:r>
      <w:r w:rsidR="007178D0">
        <w:t xml:space="preserve"> bancos de pruebas regulatorios.</w:t>
      </w:r>
    </w:p>
    <w:p w14:paraId="5C2EDF91" w14:textId="04D7E28E" w:rsidR="00434A1D" w:rsidRPr="00AE7DE8" w:rsidRDefault="00434A1D" w:rsidP="005457D8">
      <w:pPr>
        <w:pStyle w:val="Ttulo8"/>
      </w:pPr>
      <w:r w:rsidRPr="00BA0E23">
        <w:t>Componente</w:t>
      </w:r>
      <w:r w:rsidR="00160175">
        <w:t> </w:t>
      </w:r>
      <w:r w:rsidRPr="00BA0E23">
        <w:t>9: Hoja de ruta del hidrógeno renovable y su integración sectorial</w:t>
      </w:r>
    </w:p>
    <w:p w14:paraId="778DF84D" w14:textId="40038AE4" w:rsidR="00434A1D" w:rsidRPr="00AE7DE8" w:rsidRDefault="00434A1D" w:rsidP="00572229">
      <w:pPr>
        <w:pStyle w:val="Nivel2SM"/>
        <w:rPr>
          <w:u w:val="single"/>
        </w:rPr>
      </w:pPr>
      <w:r w:rsidRPr="003A69CA">
        <w:rPr>
          <w:u w:val="single"/>
        </w:rPr>
        <w:t>Retos y objetivos</w:t>
      </w:r>
      <w:r w:rsidR="007178D0" w:rsidRPr="003637C5">
        <w:t>: P</w:t>
      </w:r>
      <w:r>
        <w:t>osicionar a España como referente tecnológico en producción y aprovechamiento del hidrógeno renovable, creando cadenas de valor del hidrógeno innovadoras.</w:t>
      </w:r>
    </w:p>
    <w:p w14:paraId="4AF2ED95" w14:textId="180AF862" w:rsidR="00434A1D" w:rsidRPr="00AE7DE8" w:rsidRDefault="00434A1D" w:rsidP="005457D8">
      <w:pPr>
        <w:pStyle w:val="Ttulo8"/>
      </w:pPr>
      <w:r w:rsidRPr="00BA0E23">
        <w:t>Componente</w:t>
      </w:r>
      <w:r w:rsidR="00160175">
        <w:t> </w:t>
      </w:r>
      <w:r w:rsidRPr="00BA0E23">
        <w:t>10: Estrategia de Transición Justa</w:t>
      </w:r>
    </w:p>
    <w:p w14:paraId="64915B46" w14:textId="77777777" w:rsidR="00434A1D" w:rsidRDefault="00434A1D" w:rsidP="00572229">
      <w:pPr>
        <w:pStyle w:val="Nivel2SM"/>
      </w:pPr>
      <w:r w:rsidRPr="00227A51">
        <w:rPr>
          <w:u w:val="single"/>
        </w:rPr>
        <w:t>El objetivo del C10</w:t>
      </w:r>
      <w:r w:rsidR="008038BE">
        <w:rPr>
          <w:u w:val="single"/>
        </w:rPr>
        <w:t>:</w:t>
      </w:r>
      <w:r>
        <w:t xml:space="preserve"> minimizar el impacto de la transición a una economía verde y baja en carbono, que implicará el cese de la minería del carbón, centrales térmicas de carbón y las c</w:t>
      </w:r>
      <w:r w:rsidR="008038BE">
        <w:t>entrales nucleares</w:t>
      </w:r>
      <w:r>
        <w:t>.</w:t>
      </w:r>
    </w:p>
    <w:p w14:paraId="239C7200" w14:textId="3CA3CA34" w:rsidR="00E2006A" w:rsidRPr="00946F49" w:rsidRDefault="00684BD7" w:rsidP="00AE7DE8">
      <w:pPr>
        <w:pStyle w:val="Introduccinyconclusin"/>
      </w:pPr>
      <w:r w:rsidRPr="00946F49">
        <w:lastRenderedPageBreak/>
        <w:t>CONCLUSION</w:t>
      </w:r>
    </w:p>
    <w:p w14:paraId="4479BF45" w14:textId="760BEEC5" w:rsidR="0074668E" w:rsidRDefault="0074668E" w:rsidP="0074668E">
      <w:pPr>
        <w:pStyle w:val="Nivel1"/>
        <w:keepNext/>
        <w:spacing w:before="0" w:after="0"/>
      </w:pPr>
      <w:r w:rsidRPr="0074668E">
        <w:rPr>
          <w:b/>
          <w:bCs/>
          <w:i/>
          <w:iCs/>
        </w:rPr>
        <w:t>Recapitulación (Ideas clave)</w:t>
      </w:r>
      <w:r>
        <w:t>:</w:t>
      </w:r>
    </w:p>
    <w:p w14:paraId="30D7FDA3" w14:textId="0A644A0E" w:rsidR="0021360C" w:rsidRDefault="0021360C" w:rsidP="00667CFE">
      <w:pPr>
        <w:pStyle w:val="Nivel2"/>
        <w:keepNext/>
        <w:spacing w:after="0"/>
      </w:pPr>
      <w:r>
        <w:t xml:space="preserve">A lo largo de esta exposición hemos visto cómo ha tenido lugar una cierta </w:t>
      </w:r>
      <w:r w:rsidRPr="0021360C">
        <w:rPr>
          <w:i/>
          <w:iCs/>
          <w:u w:val="single"/>
        </w:rPr>
        <w:t>convergencia interregional</w:t>
      </w:r>
      <w:r>
        <w:t xml:space="preserve"> en España desde 1955.</w:t>
      </w:r>
    </w:p>
    <w:p w14:paraId="771835F6" w14:textId="47B4614E" w:rsidR="0021360C" w:rsidRDefault="0021360C" w:rsidP="0021360C">
      <w:pPr>
        <w:pStyle w:val="Nivel3"/>
      </w:pPr>
      <w:r>
        <w:t>Dicha convergencia se da sobre todo en los primeros años de la serie al calor de desplazamientos de factores productivos y de cambio estructural en cuanto a la industrialización y desagrarizaci</w:t>
      </w:r>
      <w:r w:rsidR="00FA50BE">
        <w:t>ó</w:t>
      </w:r>
      <w:r>
        <w:t>n del país.</w:t>
      </w:r>
    </w:p>
    <w:p w14:paraId="50A647F9" w14:textId="379E7847" w:rsidR="0021360C" w:rsidRDefault="0021360C" w:rsidP="00667CFE">
      <w:pPr>
        <w:pStyle w:val="Nivel3"/>
        <w:keepNext/>
      </w:pPr>
      <w:r>
        <w:t>Sin embargo, desde finales de los 1970 la convergencia se ha estancado y a raíz de la crisis financiera de 2008 se ha experimentado un cierto proceso de divergencia regional, que como hemos visto no es exclusivo de nuestro país</w:t>
      </w:r>
    </w:p>
    <w:p w14:paraId="6985E97D" w14:textId="77777777" w:rsidR="00D1209B" w:rsidRDefault="0021360C" w:rsidP="00667CFE">
      <w:pPr>
        <w:pStyle w:val="Nivel4"/>
      </w:pPr>
      <w:r>
        <w:t xml:space="preserve">Dicho proceso tiene implicaciones políticas. Un ejemplo de este patrón espacial sería el declive relativo que han experimentado zonas antaño prósperas y dinámicas como el norte de Inglaterra o el cinturón industrial de Estados Unidos y que en las últimas décadas han sufrido un intenso declive económico; en ambos casos, estos territorios han nutrido las urnas de votos a favor del Brexit y de </w:t>
      </w:r>
      <w:r w:rsidRPr="00667CFE">
        <w:rPr>
          <w:smallCaps/>
        </w:rPr>
        <w:t>Trump</w:t>
      </w:r>
      <w:r>
        <w:t xml:space="preserve"> apostando por un cambio radical en el statu quo.</w:t>
      </w:r>
    </w:p>
    <w:p w14:paraId="7DB6E892" w14:textId="52E02A91" w:rsidR="0021360C" w:rsidRPr="00D1209B" w:rsidRDefault="0021360C" w:rsidP="00667CFE">
      <w:pPr>
        <w:pStyle w:val="Nivel4"/>
        <w:rPr>
          <w:spacing w:val="-4"/>
        </w:rPr>
      </w:pPr>
      <w:r w:rsidRPr="00D1209B">
        <w:rPr>
          <w:spacing w:val="-4"/>
        </w:rPr>
        <w:t xml:space="preserve">En España también ha entrado en política, las divergencias territoriales, cuando se hablaba de </w:t>
      </w:r>
      <w:r w:rsidRPr="00D1209B">
        <w:rPr>
          <w:i/>
          <w:iCs/>
          <w:spacing w:val="-4"/>
        </w:rPr>
        <w:t>“La España vacía”</w:t>
      </w:r>
      <w:r w:rsidRPr="00D1209B">
        <w:rPr>
          <w:spacing w:val="-4"/>
        </w:rPr>
        <w:t xml:space="preserve">, </w:t>
      </w:r>
      <w:r w:rsidR="00667CFE" w:rsidRPr="00D1209B">
        <w:rPr>
          <w:spacing w:val="-4"/>
        </w:rPr>
        <w:t xml:space="preserve">lo </w:t>
      </w:r>
      <w:r w:rsidRPr="00D1209B">
        <w:rPr>
          <w:spacing w:val="-4"/>
        </w:rPr>
        <w:t xml:space="preserve">que </w:t>
      </w:r>
      <w:r w:rsidR="00667CFE" w:rsidRPr="00D1209B">
        <w:rPr>
          <w:spacing w:val="-4"/>
        </w:rPr>
        <w:t>puede</w:t>
      </w:r>
      <w:r w:rsidRPr="00D1209B">
        <w:rPr>
          <w:spacing w:val="-4"/>
        </w:rPr>
        <w:t xml:space="preserve"> influenciar el resultado de </w:t>
      </w:r>
      <w:r w:rsidR="00667CFE" w:rsidRPr="00D1209B">
        <w:rPr>
          <w:spacing w:val="-4"/>
        </w:rPr>
        <w:t xml:space="preserve">las </w:t>
      </w:r>
      <w:r w:rsidRPr="00D1209B">
        <w:rPr>
          <w:spacing w:val="-4"/>
        </w:rPr>
        <w:t>elecciones</w:t>
      </w:r>
      <w:r w:rsidR="00D1209B" w:rsidRPr="00D1209B">
        <w:rPr>
          <w:spacing w:val="-4"/>
        </w:rPr>
        <w:t>, dando paso a una mayor inestabilidad política o al auge de nacionalismos</w:t>
      </w:r>
      <w:r w:rsidRPr="00D1209B">
        <w:rPr>
          <w:spacing w:val="-4"/>
        </w:rPr>
        <w:t>.</w:t>
      </w:r>
    </w:p>
    <w:p w14:paraId="1DFC2427" w14:textId="3CC68ED3" w:rsidR="00667CFE" w:rsidRDefault="009766CE" w:rsidP="00667CFE">
      <w:pPr>
        <w:pStyle w:val="Nivel2"/>
        <w:keepNext/>
        <w:spacing w:after="0"/>
      </w:pPr>
      <w:r>
        <w:t>En este escenario</w:t>
      </w:r>
      <w:r w:rsidR="0021360C">
        <w:t xml:space="preserve">, la constatación del frenazo de la convergencia </w:t>
      </w:r>
      <w:r w:rsidR="00293455">
        <w:t xml:space="preserve">y el impacto asimétrico del </w:t>
      </w:r>
      <w:proofErr w:type="spellStart"/>
      <w:r w:rsidR="00293455">
        <w:t>Covid</w:t>
      </w:r>
      <w:proofErr w:type="spellEnd"/>
      <w:r w:rsidR="00293455">
        <w:t xml:space="preserve"> en las regiones españolas, </w:t>
      </w:r>
      <w:r w:rsidR="0021360C">
        <w:t>plantea</w:t>
      </w:r>
      <w:r w:rsidR="00293455">
        <w:t>n</w:t>
      </w:r>
      <w:r w:rsidR="0021360C">
        <w:t xml:space="preserve"> reto</w:t>
      </w:r>
      <w:r w:rsidR="00293455">
        <w:t>s</w:t>
      </w:r>
      <w:r w:rsidR="0021360C">
        <w:t xml:space="preserve"> para </w:t>
      </w:r>
      <w:r w:rsidR="0021360C" w:rsidRPr="00667CFE">
        <w:rPr>
          <w:i/>
          <w:iCs/>
        </w:rPr>
        <w:t>reorientar la política regional</w:t>
      </w:r>
      <w:r w:rsidR="0021360C">
        <w:t xml:space="preserve"> en un entorno más competitivo.</w:t>
      </w:r>
    </w:p>
    <w:p w14:paraId="77C19BA6" w14:textId="5F1BD327" w:rsidR="0021360C" w:rsidRPr="00D1209B" w:rsidRDefault="0021360C" w:rsidP="00667CFE">
      <w:pPr>
        <w:pStyle w:val="Nivel3"/>
        <w:rPr>
          <w:spacing w:val="-2"/>
        </w:rPr>
      </w:pPr>
      <w:r w:rsidRPr="00D1209B">
        <w:rPr>
          <w:spacing w:val="-2"/>
        </w:rPr>
        <w:t>Ante este escenario la Comisión Europea propone varias políticas, incluyendo estrategias regionales de especialización tecnológica, mejora del entorno empresarial, reducción de las brechas de infraestructuras y educación</w:t>
      </w:r>
      <w:r w:rsidR="00293455" w:rsidRPr="00D1209B">
        <w:rPr>
          <w:spacing w:val="-2"/>
        </w:rPr>
        <w:t>,</w:t>
      </w:r>
      <w:r w:rsidRPr="00D1209B">
        <w:rPr>
          <w:spacing w:val="-2"/>
        </w:rPr>
        <w:t xml:space="preserve"> mejora de la capacidad </w:t>
      </w:r>
      <w:r w:rsidR="00667CFE" w:rsidRPr="00D1209B">
        <w:rPr>
          <w:spacing w:val="-2"/>
        </w:rPr>
        <w:t>administrativa</w:t>
      </w:r>
      <w:r w:rsidRPr="00D1209B">
        <w:rPr>
          <w:spacing w:val="-2"/>
        </w:rPr>
        <w:t xml:space="preserve"> o el impulso de las ciudades en las regiones pobres para que ejerzan de locomotora regional</w:t>
      </w:r>
      <w:r w:rsidR="00D1209B" w:rsidRPr="00D1209B">
        <w:rPr>
          <w:spacing w:val="-2"/>
        </w:rPr>
        <w:t>.</w:t>
      </w:r>
    </w:p>
    <w:p w14:paraId="5229121C" w14:textId="22F84363" w:rsidR="00E32A29" w:rsidRDefault="00693BF8" w:rsidP="00590898">
      <w:pPr>
        <w:pStyle w:val="Nivel1"/>
        <w:keepNext/>
        <w:spacing w:after="0"/>
      </w:pPr>
      <w:r w:rsidRPr="00590898">
        <w:rPr>
          <w:b/>
          <w:bCs/>
          <w:i/>
          <w:iCs/>
        </w:rPr>
        <w:t>Idea final (</w:t>
      </w:r>
      <w:r w:rsidR="00E32A29" w:rsidRPr="00590898">
        <w:rPr>
          <w:b/>
          <w:bCs/>
          <w:i/>
          <w:iCs/>
        </w:rPr>
        <w:t>Salida o cierre</w:t>
      </w:r>
      <w:r w:rsidRPr="00590898">
        <w:rPr>
          <w:b/>
          <w:bCs/>
          <w:i/>
          <w:iCs/>
        </w:rPr>
        <w:t>)</w:t>
      </w:r>
      <w:r w:rsidR="00E32A29">
        <w:t>:</w:t>
      </w:r>
    </w:p>
    <w:p w14:paraId="767A1D63" w14:textId="40DF6C48" w:rsidR="00E010C0" w:rsidRDefault="0021360C" w:rsidP="0021360C">
      <w:pPr>
        <w:pStyle w:val="Nivel2"/>
      </w:pPr>
      <w:r>
        <w:t>Todo ello debería de ir acompañado de una reforma del m</w:t>
      </w:r>
      <w:r w:rsidR="00667CFE">
        <w:t>erca</w:t>
      </w:r>
      <w:r>
        <w:t>do laboral, para reducir el desempleo en las regiones más desfavorecidas</w:t>
      </w:r>
      <w:r w:rsidR="00293455">
        <w:t>, pues a día de hoy, las principales diferencias en términos de renta per cápita se derivan de las distintas tasas de ocupación entre regiones. Por ello, la reducción del desempleo resulta esencial para reducir también las disparidades regionales.</w:t>
      </w:r>
    </w:p>
    <w:p w14:paraId="60F037E4" w14:textId="77777777" w:rsidR="00E010C0" w:rsidRDefault="00E010C0" w:rsidP="00E010C0">
      <w:pPr>
        <w:pStyle w:val="Ttulo4"/>
      </w:pPr>
      <w:r>
        <w:br w:type="page"/>
      </w:r>
      <w:bookmarkStart w:id="65" w:name="_Hlk146443581"/>
      <w:r>
        <w:lastRenderedPageBreak/>
        <w:t>Bibliografía</w:t>
      </w:r>
    </w:p>
    <w:p w14:paraId="7A9D1A90" w14:textId="77777777" w:rsidR="00E010C0" w:rsidRDefault="00E010C0" w:rsidP="00E010C0">
      <w:r>
        <w:t xml:space="preserve">Tema María Palacios </w:t>
      </w:r>
      <w:proofErr w:type="spellStart"/>
      <w:r>
        <w:t>Carrere</w:t>
      </w:r>
      <w:proofErr w:type="spellEnd"/>
    </w:p>
    <w:p w14:paraId="5C81CB0C" w14:textId="1307F9B0" w:rsidR="00E6132C" w:rsidRDefault="00E6132C" w:rsidP="00E010C0">
      <w:r>
        <w:t>Tema Juan Luis Cordero Tarifa</w:t>
      </w:r>
    </w:p>
    <w:p w14:paraId="40F42AAE" w14:textId="77777777" w:rsidR="00E010C0" w:rsidRDefault="00E010C0" w:rsidP="00E010C0">
      <w:pPr>
        <w:pStyle w:val="Ttulo4"/>
      </w:pPr>
      <w:r>
        <w:t>Preguntas de otros exámenes</w:t>
      </w:r>
    </w:p>
    <w:p w14:paraId="72162588" w14:textId="77777777" w:rsidR="00E010C0" w:rsidRPr="002908B3" w:rsidRDefault="00E010C0" w:rsidP="00E010C0">
      <w:pPr>
        <w:pStyle w:val="Nivel2SM"/>
      </w:pPr>
    </w:p>
    <w:p w14:paraId="56AAC7D1" w14:textId="77777777" w:rsidR="00E010C0" w:rsidRDefault="00E010C0" w:rsidP="00E010C0">
      <w:pPr>
        <w:pStyle w:val="Ttulo4"/>
      </w:pPr>
      <w:r w:rsidRPr="00342648">
        <w:t>Anexos</w:t>
      </w:r>
    </w:p>
    <w:p w14:paraId="70C08F0A" w14:textId="77777777" w:rsidR="00E010C0" w:rsidRPr="00AF1FE6" w:rsidRDefault="00E010C0" w:rsidP="00E010C0">
      <w:pPr>
        <w:pStyle w:val="Ttulo5"/>
        <w:rPr>
          <w:u w:val="none"/>
        </w:rPr>
      </w:pPr>
      <w:r w:rsidRPr="0002549F">
        <w:t>Anexo</w:t>
      </w:r>
      <w:r>
        <w:t> </w:t>
      </w:r>
      <w:r w:rsidRPr="0002549F">
        <w:t>1</w:t>
      </w:r>
      <w:r w:rsidRPr="00AF1FE6">
        <w:rPr>
          <w:u w:val="none"/>
        </w:rPr>
        <w:t xml:space="preserve">: </w:t>
      </w:r>
    </w:p>
    <w:bookmarkEnd w:id="65"/>
    <w:p w14:paraId="1DA793D7" w14:textId="263C64FA" w:rsidR="0021360C" w:rsidRDefault="0021360C" w:rsidP="00E010C0">
      <w:pPr>
        <w:spacing w:after="0" w:line="240" w:lineRule="auto"/>
        <w:jc w:val="left"/>
      </w:pPr>
    </w:p>
    <w:sectPr w:rsidR="0021360C" w:rsidSect="00B25BD3">
      <w:headerReference w:type="even" r:id="rId25"/>
      <w:headerReference w:type="default" r:id="rId26"/>
      <w:footerReference w:type="even" r:id="rId27"/>
      <w:footerReference w:type="default" r:id="rId28"/>
      <w:headerReference w:type="first" r:id="rId29"/>
      <w:footerReference w:type="first" r:id="rId3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F1C34" w14:textId="77777777" w:rsidR="00D03130" w:rsidRDefault="00D03130">
      <w:r>
        <w:separator/>
      </w:r>
    </w:p>
  </w:endnote>
  <w:endnote w:type="continuationSeparator" w:id="0">
    <w:p w14:paraId="6E7C0729" w14:textId="77777777" w:rsidR="00D03130" w:rsidRDefault="00D03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B25BD3" w:rsidRPr="009B5FC2" w14:paraId="0E4E9019" w14:textId="77777777" w:rsidTr="00B25BD3">
      <w:trPr>
        <w:trHeight w:val="138"/>
        <w:jc w:val="center"/>
      </w:trPr>
      <w:tc>
        <w:tcPr>
          <w:tcW w:w="1134" w:type="dxa"/>
          <w:shd w:val="clear" w:color="auto" w:fill="auto"/>
        </w:tcPr>
        <w:p w14:paraId="3CBC60F8" w14:textId="77777777" w:rsidR="00B25BD3" w:rsidRPr="00B25BD3" w:rsidRDefault="00B25BD3" w:rsidP="00B25BD3">
          <w:pPr>
            <w:pStyle w:val="Encabezado"/>
            <w:tabs>
              <w:tab w:val="clear" w:pos="4252"/>
              <w:tab w:val="clear" w:pos="8504"/>
              <w:tab w:val="right" w:pos="924"/>
              <w:tab w:val="center" w:pos="1310"/>
            </w:tabs>
            <w:spacing w:after="0"/>
            <w:contextualSpacing/>
            <w:jc w:val="left"/>
            <w:rPr>
              <w:i/>
              <w:iCs/>
              <w:color w:val="5F2987"/>
              <w:sz w:val="18"/>
              <w:szCs w:val="18"/>
            </w:rPr>
          </w:pPr>
          <w:r w:rsidRPr="00B25BD3">
            <w:rPr>
              <w:b/>
              <w:bCs/>
              <w:i/>
              <w:iCs/>
              <w:color w:val="5F2987"/>
              <w:spacing w:val="-6"/>
              <w:sz w:val="18"/>
              <w:szCs w:val="18"/>
            </w:rPr>
            <w:fldChar w:fldCharType="begin"/>
          </w:r>
          <w:r w:rsidRPr="00B25BD3">
            <w:rPr>
              <w:b/>
              <w:bCs/>
              <w:i/>
              <w:iCs/>
              <w:color w:val="5F2987"/>
              <w:spacing w:val="-6"/>
              <w:sz w:val="18"/>
              <w:szCs w:val="18"/>
            </w:rPr>
            <w:instrText>PAGE  \* Arabic  \* MERGEFORMAT</w:instrText>
          </w:r>
          <w:r w:rsidRPr="00B25BD3">
            <w:rPr>
              <w:b/>
              <w:bCs/>
              <w:i/>
              <w:iCs/>
              <w:color w:val="5F2987"/>
              <w:spacing w:val="-6"/>
              <w:sz w:val="18"/>
              <w:szCs w:val="18"/>
            </w:rPr>
            <w:fldChar w:fldCharType="separate"/>
          </w:r>
          <w:r w:rsidRPr="00B25BD3">
            <w:rPr>
              <w:b/>
              <w:bCs/>
              <w:i/>
              <w:iCs/>
              <w:color w:val="5F2987"/>
              <w:spacing w:val="-6"/>
              <w:sz w:val="18"/>
              <w:szCs w:val="18"/>
            </w:rPr>
            <w:t>2</w:t>
          </w:r>
          <w:r w:rsidRPr="00B25BD3">
            <w:rPr>
              <w:b/>
              <w:bCs/>
              <w:i/>
              <w:iCs/>
              <w:color w:val="5F2987"/>
              <w:spacing w:val="-6"/>
              <w:sz w:val="18"/>
              <w:szCs w:val="18"/>
            </w:rPr>
            <w:fldChar w:fldCharType="end"/>
          </w:r>
          <w:r w:rsidRPr="00B25BD3">
            <w:rPr>
              <w:b/>
              <w:bCs/>
              <w:i/>
              <w:iCs/>
              <w:color w:val="5F2987"/>
              <w:spacing w:val="-6"/>
              <w:sz w:val="18"/>
              <w:szCs w:val="18"/>
            </w:rPr>
            <w:t>/</w:t>
          </w:r>
          <w:r w:rsidRPr="00B25BD3">
            <w:rPr>
              <w:b/>
              <w:bCs/>
              <w:i/>
              <w:iCs/>
              <w:color w:val="5F2987"/>
              <w:spacing w:val="-6"/>
              <w:sz w:val="18"/>
              <w:szCs w:val="18"/>
            </w:rPr>
            <w:fldChar w:fldCharType="begin"/>
          </w:r>
          <w:r w:rsidRPr="00B25BD3">
            <w:rPr>
              <w:b/>
              <w:bCs/>
              <w:i/>
              <w:iCs/>
              <w:color w:val="5F2987"/>
              <w:spacing w:val="-6"/>
              <w:sz w:val="18"/>
              <w:szCs w:val="18"/>
            </w:rPr>
            <w:instrText>NUMPAGES  \* Arabic  \* MERGEFORMAT</w:instrText>
          </w:r>
          <w:r w:rsidRPr="00B25BD3">
            <w:rPr>
              <w:b/>
              <w:bCs/>
              <w:i/>
              <w:iCs/>
              <w:color w:val="5F2987"/>
              <w:spacing w:val="-6"/>
              <w:sz w:val="18"/>
              <w:szCs w:val="18"/>
            </w:rPr>
            <w:fldChar w:fldCharType="separate"/>
          </w:r>
          <w:r w:rsidRPr="00B25BD3">
            <w:rPr>
              <w:b/>
              <w:bCs/>
              <w:i/>
              <w:iCs/>
              <w:color w:val="5F2987"/>
              <w:spacing w:val="-6"/>
              <w:sz w:val="18"/>
              <w:szCs w:val="18"/>
            </w:rPr>
            <w:t>9</w:t>
          </w:r>
          <w:r w:rsidRPr="00B25BD3">
            <w:rPr>
              <w:b/>
              <w:bCs/>
              <w:i/>
              <w:iCs/>
              <w:color w:val="5F2987"/>
              <w:spacing w:val="-6"/>
              <w:sz w:val="18"/>
              <w:szCs w:val="18"/>
            </w:rPr>
            <w:fldChar w:fldCharType="end"/>
          </w:r>
        </w:p>
      </w:tc>
      <w:tc>
        <w:tcPr>
          <w:tcW w:w="7088" w:type="dxa"/>
          <w:shd w:val="clear" w:color="auto" w:fill="auto"/>
          <w:vAlign w:val="center"/>
        </w:tcPr>
        <w:p w14:paraId="21E0EDD3" w14:textId="77777777" w:rsidR="00B25BD3" w:rsidRPr="00B25BD3" w:rsidRDefault="00B25BD3" w:rsidP="00B25BD3">
          <w:pPr>
            <w:pStyle w:val="Encabezado"/>
            <w:spacing w:after="0"/>
            <w:ind w:right="-110"/>
            <w:contextualSpacing/>
            <w:jc w:val="center"/>
            <w:rPr>
              <w:i/>
              <w:iCs/>
              <w:color w:val="5F2987"/>
              <w:sz w:val="18"/>
              <w:szCs w:val="18"/>
            </w:rPr>
          </w:pPr>
        </w:p>
      </w:tc>
      <w:tc>
        <w:tcPr>
          <w:tcW w:w="2551" w:type="dxa"/>
          <w:shd w:val="clear" w:color="auto" w:fill="auto"/>
          <w:vAlign w:val="center"/>
        </w:tcPr>
        <w:p w14:paraId="4D10886D" w14:textId="77777777" w:rsidR="00B25BD3" w:rsidRPr="00B25BD3" w:rsidRDefault="00B25BD3" w:rsidP="00B25BD3">
          <w:pPr>
            <w:pStyle w:val="Encabezado"/>
            <w:spacing w:after="0"/>
            <w:contextualSpacing/>
            <w:jc w:val="right"/>
            <w:rPr>
              <w:b/>
              <w:bCs/>
              <w:i/>
              <w:iCs/>
              <w:color w:val="5F2987"/>
              <w:spacing w:val="-6"/>
              <w:sz w:val="18"/>
              <w:szCs w:val="18"/>
            </w:rPr>
          </w:pPr>
        </w:p>
      </w:tc>
    </w:tr>
  </w:tbl>
  <w:p w14:paraId="76FAC208" w14:textId="77777777" w:rsidR="00B25BD3" w:rsidRPr="009C61AF" w:rsidRDefault="00B25BD3"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B25BD3" w:rsidRPr="00C44422" w14:paraId="4F8DED5C" w14:textId="77777777" w:rsidTr="00B25BD3">
      <w:trPr>
        <w:trHeight w:val="138"/>
        <w:jc w:val="center"/>
      </w:trPr>
      <w:tc>
        <w:tcPr>
          <w:tcW w:w="1134" w:type="dxa"/>
          <w:shd w:val="clear" w:color="auto" w:fill="auto"/>
          <w:vAlign w:val="center"/>
        </w:tcPr>
        <w:p w14:paraId="68C328B0" w14:textId="77777777" w:rsidR="00B25BD3" w:rsidRPr="00B25BD3" w:rsidRDefault="00B25BD3" w:rsidP="00B25BD3">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21FCD0B0" w14:textId="77777777" w:rsidR="00B25BD3" w:rsidRPr="00B25BD3" w:rsidRDefault="00B25BD3" w:rsidP="00B25BD3">
          <w:pPr>
            <w:pStyle w:val="Encabezado"/>
            <w:spacing w:after="0"/>
            <w:ind w:right="-110"/>
            <w:contextualSpacing/>
            <w:jc w:val="center"/>
            <w:rPr>
              <w:i/>
              <w:iCs/>
              <w:color w:val="5F2987"/>
              <w:sz w:val="18"/>
              <w:szCs w:val="18"/>
            </w:rPr>
          </w:pPr>
        </w:p>
      </w:tc>
      <w:tc>
        <w:tcPr>
          <w:tcW w:w="2551" w:type="dxa"/>
          <w:shd w:val="clear" w:color="auto" w:fill="auto"/>
          <w:vAlign w:val="center"/>
        </w:tcPr>
        <w:p w14:paraId="7ADEC73A" w14:textId="77777777" w:rsidR="00B25BD3" w:rsidRPr="00B25BD3" w:rsidRDefault="00B25BD3" w:rsidP="00B25BD3">
          <w:pPr>
            <w:pStyle w:val="Encabezado"/>
            <w:spacing w:after="0"/>
            <w:contextualSpacing/>
            <w:jc w:val="right"/>
            <w:rPr>
              <w:b/>
              <w:bCs/>
              <w:i/>
              <w:iCs/>
              <w:color w:val="5F2987"/>
              <w:spacing w:val="-6"/>
              <w:sz w:val="18"/>
              <w:szCs w:val="18"/>
            </w:rPr>
          </w:pPr>
          <w:r w:rsidRPr="00B25BD3">
            <w:rPr>
              <w:b/>
              <w:bCs/>
              <w:i/>
              <w:iCs/>
              <w:color w:val="5F2987"/>
              <w:spacing w:val="-6"/>
              <w:sz w:val="18"/>
              <w:szCs w:val="18"/>
            </w:rPr>
            <w:fldChar w:fldCharType="begin"/>
          </w:r>
          <w:r w:rsidRPr="00B25BD3">
            <w:rPr>
              <w:b/>
              <w:bCs/>
              <w:i/>
              <w:iCs/>
              <w:color w:val="5F2987"/>
              <w:spacing w:val="-6"/>
              <w:sz w:val="18"/>
              <w:szCs w:val="18"/>
            </w:rPr>
            <w:instrText>PAGE  \* Arabic  \* MERGEFORMAT</w:instrText>
          </w:r>
          <w:r w:rsidRPr="00B25BD3">
            <w:rPr>
              <w:b/>
              <w:bCs/>
              <w:i/>
              <w:iCs/>
              <w:color w:val="5F2987"/>
              <w:spacing w:val="-6"/>
              <w:sz w:val="18"/>
              <w:szCs w:val="18"/>
            </w:rPr>
            <w:fldChar w:fldCharType="separate"/>
          </w:r>
          <w:r w:rsidRPr="00B25BD3">
            <w:rPr>
              <w:b/>
              <w:bCs/>
              <w:i/>
              <w:iCs/>
              <w:color w:val="5F2987"/>
              <w:spacing w:val="-6"/>
              <w:sz w:val="18"/>
              <w:szCs w:val="18"/>
            </w:rPr>
            <w:t>1</w:t>
          </w:r>
          <w:r w:rsidRPr="00B25BD3">
            <w:rPr>
              <w:b/>
              <w:bCs/>
              <w:i/>
              <w:iCs/>
              <w:color w:val="5F2987"/>
              <w:spacing w:val="-6"/>
              <w:sz w:val="18"/>
              <w:szCs w:val="18"/>
            </w:rPr>
            <w:fldChar w:fldCharType="end"/>
          </w:r>
          <w:r w:rsidRPr="00B25BD3">
            <w:rPr>
              <w:b/>
              <w:bCs/>
              <w:i/>
              <w:iCs/>
              <w:color w:val="5F2987"/>
              <w:spacing w:val="-6"/>
              <w:sz w:val="18"/>
              <w:szCs w:val="18"/>
            </w:rPr>
            <w:t>/</w:t>
          </w:r>
          <w:r w:rsidRPr="00B25BD3">
            <w:rPr>
              <w:b/>
              <w:bCs/>
              <w:i/>
              <w:iCs/>
              <w:color w:val="5F2987"/>
              <w:spacing w:val="-6"/>
              <w:sz w:val="18"/>
              <w:szCs w:val="18"/>
            </w:rPr>
            <w:fldChar w:fldCharType="begin"/>
          </w:r>
          <w:r w:rsidRPr="00B25BD3">
            <w:rPr>
              <w:b/>
              <w:bCs/>
              <w:i/>
              <w:iCs/>
              <w:color w:val="5F2987"/>
              <w:spacing w:val="-6"/>
              <w:sz w:val="18"/>
              <w:szCs w:val="18"/>
            </w:rPr>
            <w:instrText>NUMPAGES  \* Arabic  \* MERGEFORMAT</w:instrText>
          </w:r>
          <w:r w:rsidRPr="00B25BD3">
            <w:rPr>
              <w:b/>
              <w:bCs/>
              <w:i/>
              <w:iCs/>
              <w:color w:val="5F2987"/>
              <w:spacing w:val="-6"/>
              <w:sz w:val="18"/>
              <w:szCs w:val="18"/>
            </w:rPr>
            <w:fldChar w:fldCharType="separate"/>
          </w:r>
          <w:r w:rsidRPr="00B25BD3">
            <w:rPr>
              <w:b/>
              <w:bCs/>
              <w:i/>
              <w:iCs/>
              <w:color w:val="5F2987"/>
              <w:spacing w:val="-6"/>
              <w:sz w:val="18"/>
              <w:szCs w:val="18"/>
            </w:rPr>
            <w:t>2</w:t>
          </w:r>
          <w:r w:rsidRPr="00B25BD3">
            <w:rPr>
              <w:b/>
              <w:bCs/>
              <w:i/>
              <w:iCs/>
              <w:color w:val="5F2987"/>
              <w:spacing w:val="-6"/>
              <w:sz w:val="18"/>
              <w:szCs w:val="18"/>
            </w:rPr>
            <w:fldChar w:fldCharType="end"/>
          </w:r>
        </w:p>
      </w:tc>
    </w:tr>
  </w:tbl>
  <w:p w14:paraId="12D7D4D7" w14:textId="77777777" w:rsidR="00B25BD3" w:rsidRPr="00BE1B62" w:rsidRDefault="00B25BD3"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B25BD3" w:rsidRPr="00C44422" w14:paraId="72933604" w14:textId="77777777" w:rsidTr="00B25BD3">
      <w:trPr>
        <w:trHeight w:val="138"/>
        <w:jc w:val="center"/>
      </w:trPr>
      <w:tc>
        <w:tcPr>
          <w:tcW w:w="1134" w:type="dxa"/>
          <w:shd w:val="clear" w:color="auto" w:fill="auto"/>
          <w:vAlign w:val="center"/>
        </w:tcPr>
        <w:p w14:paraId="3E3C5267" w14:textId="77777777" w:rsidR="00B25BD3" w:rsidRPr="00B25BD3" w:rsidRDefault="00B25BD3" w:rsidP="00B25BD3">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2B320971" w14:textId="77777777" w:rsidR="00B25BD3" w:rsidRPr="00B25BD3" w:rsidRDefault="00B25BD3" w:rsidP="00B25BD3">
          <w:pPr>
            <w:pStyle w:val="Encabezado"/>
            <w:spacing w:after="0"/>
            <w:ind w:right="-110"/>
            <w:contextualSpacing/>
            <w:jc w:val="center"/>
            <w:rPr>
              <w:i/>
              <w:iCs/>
              <w:color w:val="5F2987"/>
              <w:sz w:val="18"/>
              <w:szCs w:val="18"/>
            </w:rPr>
          </w:pPr>
        </w:p>
      </w:tc>
      <w:tc>
        <w:tcPr>
          <w:tcW w:w="2551" w:type="dxa"/>
          <w:shd w:val="clear" w:color="auto" w:fill="auto"/>
          <w:vAlign w:val="center"/>
        </w:tcPr>
        <w:p w14:paraId="39A10D97" w14:textId="77777777" w:rsidR="00B25BD3" w:rsidRPr="00B25BD3" w:rsidRDefault="00B25BD3" w:rsidP="00B25BD3">
          <w:pPr>
            <w:pStyle w:val="Encabezado"/>
            <w:spacing w:after="0"/>
            <w:contextualSpacing/>
            <w:jc w:val="right"/>
            <w:rPr>
              <w:b/>
              <w:bCs/>
              <w:i/>
              <w:iCs/>
              <w:color w:val="5F2987"/>
              <w:spacing w:val="-6"/>
              <w:sz w:val="18"/>
              <w:szCs w:val="18"/>
            </w:rPr>
          </w:pPr>
          <w:r w:rsidRPr="00B25BD3">
            <w:rPr>
              <w:b/>
              <w:bCs/>
              <w:i/>
              <w:iCs/>
              <w:color w:val="5F2987"/>
              <w:spacing w:val="-6"/>
              <w:sz w:val="18"/>
              <w:szCs w:val="18"/>
            </w:rPr>
            <w:fldChar w:fldCharType="begin"/>
          </w:r>
          <w:r w:rsidRPr="00B25BD3">
            <w:rPr>
              <w:b/>
              <w:bCs/>
              <w:i/>
              <w:iCs/>
              <w:color w:val="5F2987"/>
              <w:spacing w:val="-6"/>
              <w:sz w:val="18"/>
              <w:szCs w:val="18"/>
            </w:rPr>
            <w:instrText>PAGE  \* Arabic  \* MERGEFORMAT</w:instrText>
          </w:r>
          <w:r w:rsidRPr="00B25BD3">
            <w:rPr>
              <w:b/>
              <w:bCs/>
              <w:i/>
              <w:iCs/>
              <w:color w:val="5F2987"/>
              <w:spacing w:val="-6"/>
              <w:sz w:val="18"/>
              <w:szCs w:val="18"/>
            </w:rPr>
            <w:fldChar w:fldCharType="separate"/>
          </w:r>
          <w:r w:rsidRPr="00B25BD3">
            <w:rPr>
              <w:b/>
              <w:bCs/>
              <w:i/>
              <w:iCs/>
              <w:color w:val="5F2987"/>
              <w:spacing w:val="-6"/>
              <w:sz w:val="18"/>
              <w:szCs w:val="18"/>
            </w:rPr>
            <w:t>1</w:t>
          </w:r>
          <w:r w:rsidRPr="00B25BD3">
            <w:rPr>
              <w:b/>
              <w:bCs/>
              <w:i/>
              <w:iCs/>
              <w:color w:val="5F2987"/>
              <w:spacing w:val="-6"/>
              <w:sz w:val="18"/>
              <w:szCs w:val="18"/>
            </w:rPr>
            <w:fldChar w:fldCharType="end"/>
          </w:r>
          <w:r w:rsidRPr="00B25BD3">
            <w:rPr>
              <w:b/>
              <w:bCs/>
              <w:i/>
              <w:iCs/>
              <w:color w:val="5F2987"/>
              <w:spacing w:val="-6"/>
              <w:sz w:val="18"/>
              <w:szCs w:val="18"/>
            </w:rPr>
            <w:t>/</w:t>
          </w:r>
          <w:r w:rsidRPr="00B25BD3">
            <w:rPr>
              <w:b/>
              <w:bCs/>
              <w:i/>
              <w:iCs/>
              <w:color w:val="5F2987"/>
              <w:spacing w:val="-6"/>
              <w:sz w:val="18"/>
              <w:szCs w:val="18"/>
            </w:rPr>
            <w:fldChar w:fldCharType="begin"/>
          </w:r>
          <w:r w:rsidRPr="00B25BD3">
            <w:rPr>
              <w:b/>
              <w:bCs/>
              <w:i/>
              <w:iCs/>
              <w:color w:val="5F2987"/>
              <w:spacing w:val="-6"/>
              <w:sz w:val="18"/>
              <w:szCs w:val="18"/>
            </w:rPr>
            <w:instrText>NUMPAGES  \* Arabic  \* MERGEFORMAT</w:instrText>
          </w:r>
          <w:r w:rsidRPr="00B25BD3">
            <w:rPr>
              <w:b/>
              <w:bCs/>
              <w:i/>
              <w:iCs/>
              <w:color w:val="5F2987"/>
              <w:spacing w:val="-6"/>
              <w:sz w:val="18"/>
              <w:szCs w:val="18"/>
            </w:rPr>
            <w:fldChar w:fldCharType="separate"/>
          </w:r>
          <w:r w:rsidRPr="00B25BD3">
            <w:rPr>
              <w:b/>
              <w:bCs/>
              <w:i/>
              <w:iCs/>
              <w:color w:val="5F2987"/>
              <w:spacing w:val="-6"/>
              <w:sz w:val="18"/>
              <w:szCs w:val="18"/>
            </w:rPr>
            <w:t>2</w:t>
          </w:r>
          <w:r w:rsidRPr="00B25BD3">
            <w:rPr>
              <w:b/>
              <w:bCs/>
              <w:i/>
              <w:iCs/>
              <w:color w:val="5F2987"/>
              <w:spacing w:val="-6"/>
              <w:sz w:val="18"/>
              <w:szCs w:val="18"/>
            </w:rPr>
            <w:fldChar w:fldCharType="end"/>
          </w:r>
        </w:p>
      </w:tc>
    </w:tr>
  </w:tbl>
  <w:p w14:paraId="148C2154" w14:textId="77777777" w:rsidR="00B25BD3" w:rsidRPr="00BE1B62" w:rsidRDefault="00B25BD3"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F1B4E1" w14:textId="77777777" w:rsidR="00D03130" w:rsidRPr="00B76C4D" w:rsidRDefault="00D03130" w:rsidP="0073740D">
      <w:pPr>
        <w:spacing w:after="0" w:line="240" w:lineRule="auto"/>
        <w:rPr>
          <w:sz w:val="16"/>
          <w:szCs w:val="16"/>
        </w:rPr>
      </w:pPr>
      <w:r w:rsidRPr="00B76C4D">
        <w:rPr>
          <w:sz w:val="16"/>
          <w:szCs w:val="16"/>
        </w:rPr>
        <w:separator/>
      </w:r>
    </w:p>
  </w:footnote>
  <w:footnote w:type="continuationSeparator" w:id="0">
    <w:p w14:paraId="20DC44D6" w14:textId="77777777" w:rsidR="00D03130" w:rsidRPr="00B76C4D" w:rsidRDefault="00D03130" w:rsidP="0073740D">
      <w:pPr>
        <w:spacing w:after="0" w:line="240" w:lineRule="auto"/>
        <w:rPr>
          <w:sz w:val="16"/>
          <w:szCs w:val="16"/>
        </w:rPr>
      </w:pPr>
      <w:r w:rsidRPr="00B76C4D">
        <w:rPr>
          <w:sz w:val="16"/>
          <w:szCs w:val="16"/>
        </w:rPr>
        <w:continuationSeparator/>
      </w:r>
    </w:p>
  </w:footnote>
  <w:footnote w:type="continuationNotice" w:id="1">
    <w:p w14:paraId="4A6B0099" w14:textId="77777777" w:rsidR="00D03130" w:rsidRDefault="00D03130" w:rsidP="00B76C4D">
      <w:pPr>
        <w:spacing w:after="0" w:line="192" w:lineRule="auto"/>
        <w:jc w:val="right"/>
        <w:rPr>
          <w:sz w:val="16"/>
          <w:szCs w:val="16"/>
        </w:rPr>
      </w:pPr>
      <w:r>
        <w:rPr>
          <w:rFonts w:ascii="Cambria Math" w:hAnsi="Cambria Math" w:cs="Cambria Math"/>
          <w:color w:val="202122"/>
          <w:sz w:val="16"/>
          <w:szCs w:val="16"/>
          <w:shd w:val="clear" w:color="auto" w:fill="FFFFFF"/>
        </w:rPr>
        <w:t>↪</w:t>
      </w:r>
    </w:p>
  </w:footnote>
  <w:footnote w:id="2">
    <w:p w14:paraId="3FFBF612" w14:textId="2D62FBAE" w:rsidR="00194580" w:rsidRDefault="00194580">
      <w:pPr>
        <w:pStyle w:val="Textonotapie"/>
      </w:pPr>
      <w:r>
        <w:rPr>
          <w:rStyle w:val="Refdenotaalpie"/>
        </w:rPr>
        <w:footnoteRef/>
      </w:r>
      <w:r>
        <w:t xml:space="preserve"> Artículo 2: </w:t>
      </w:r>
      <w:r w:rsidRPr="00194580">
        <w:rPr>
          <w:i/>
          <w:iCs/>
        </w:rPr>
        <w:t>“La Constitución se fundamenta en la indisoluble unidad de la Nación española, patria común e indivisible de todos los españoles, y reconoce y garantiza el derecho a la autonomía de las nacionalidades y regiones que la integran y la solidaridad entre todas ellas.”</w:t>
      </w:r>
    </w:p>
  </w:footnote>
  <w:footnote w:id="3">
    <w:p w14:paraId="6147E0D0" w14:textId="3BE4CCF9" w:rsidR="0090660E" w:rsidRDefault="0090660E">
      <w:pPr>
        <w:pStyle w:val="Textonotapie"/>
      </w:pPr>
      <w:r>
        <w:rPr>
          <w:rStyle w:val="Refdenotaalpie"/>
        </w:rPr>
        <w:footnoteRef/>
      </w:r>
      <w:r>
        <w:t xml:space="preserve"> Dentro de este proceso de descentralización cobra importancia el objetivo de la cohesión territorial, recogido en el artículo 40.1 de la Constitución Española: </w:t>
      </w:r>
      <w:r w:rsidRPr="00BC66C7">
        <w:rPr>
          <w:i/>
          <w:iCs/>
        </w:rPr>
        <w:t>“</w:t>
      </w:r>
      <w:r w:rsidRPr="00BC66C7">
        <w:rPr>
          <w:i/>
          <w:iCs/>
          <w:u w:val="single"/>
        </w:rPr>
        <w:t>Los poderes públicos promoverán las condiciones favorables</w:t>
      </w:r>
      <w:r w:rsidRPr="00BC66C7">
        <w:rPr>
          <w:i/>
          <w:iCs/>
        </w:rPr>
        <w:t xml:space="preserve"> para el progreso social y económico y </w:t>
      </w:r>
      <w:r w:rsidRPr="00BC66C7">
        <w:rPr>
          <w:i/>
          <w:iCs/>
          <w:u w:val="single"/>
        </w:rPr>
        <w:t>para una distribución de la renta regional y personal más equitativa</w:t>
      </w:r>
      <w:r w:rsidRPr="00BC66C7">
        <w:rPr>
          <w:i/>
          <w:iCs/>
        </w:rPr>
        <w:t>, en el marco de una política de estabilidad económica. De manera especial realizarán una política</w:t>
      </w:r>
      <w:r>
        <w:rPr>
          <w:i/>
          <w:iCs/>
        </w:rPr>
        <w:t xml:space="preserve"> </w:t>
      </w:r>
      <w:r w:rsidRPr="00BC66C7">
        <w:rPr>
          <w:i/>
          <w:iCs/>
        </w:rPr>
        <w:t>orientada al pleno empleo.”</w:t>
      </w:r>
      <w:r>
        <w:t>.</w:t>
      </w:r>
    </w:p>
  </w:footnote>
  <w:footnote w:id="4">
    <w:p w14:paraId="28AFDEAB" w14:textId="23639B60" w:rsidR="003D3875" w:rsidRDefault="003D3875" w:rsidP="003D3875">
      <w:pPr>
        <w:pStyle w:val="Textonotapie"/>
      </w:pPr>
      <w:r>
        <w:rPr>
          <w:rStyle w:val="Refdenotaalpie"/>
        </w:rPr>
        <w:footnoteRef/>
      </w:r>
      <w:r>
        <w:t xml:space="preserve"> </w:t>
      </w:r>
      <w:hyperlink r:id="rId1" w:history="1">
        <w:r w:rsidR="0074668E" w:rsidRPr="00A12562">
          <w:rPr>
            <w:rStyle w:val="Hipervnculo"/>
          </w:rPr>
          <w:t>https://www.ine.es/dyngs/INEbase/es/operacion.htm?c=Estadistica_C&amp;cid=1254736167628&amp;menu=ultiDatos&amp;idp=1254735576581</w:t>
        </w:r>
      </w:hyperlink>
    </w:p>
  </w:footnote>
  <w:footnote w:id="5">
    <w:p w14:paraId="3264BD47" w14:textId="77777777" w:rsidR="003D3875" w:rsidRDefault="003D3875" w:rsidP="003D3875">
      <w:pPr>
        <w:pStyle w:val="Textonotapie"/>
      </w:pPr>
      <w:r>
        <w:rPr>
          <w:rStyle w:val="Refdenotaalpie"/>
        </w:rPr>
        <w:footnoteRef/>
      </w:r>
      <w:r>
        <w:t xml:space="preserve"> Se revela más importante que la frontera con Portugal, tal y como demuestra el escaso protagonismo de Extremadura y Andalucía.</w:t>
      </w:r>
    </w:p>
  </w:footnote>
  <w:footnote w:id="6">
    <w:p w14:paraId="5DBE207D" w14:textId="77777777" w:rsidR="003D3875" w:rsidRDefault="003D3875" w:rsidP="003D3875">
      <w:pPr>
        <w:pStyle w:val="Textonotapie"/>
      </w:pPr>
      <w:r>
        <w:rPr>
          <w:rStyle w:val="Refdenotaalpie"/>
        </w:rPr>
        <w:footnoteRef/>
      </w:r>
      <w:r>
        <w:t xml:space="preserve"> </w:t>
      </w:r>
      <w:hyperlink r:id="rId2" w:history="1">
        <w:r w:rsidRPr="008C4AF0">
          <w:rPr>
            <w:rStyle w:val="Hipervnculo"/>
          </w:rPr>
          <w:t>https://datacomex.comercio.es/</w:t>
        </w:r>
      </w:hyperlink>
    </w:p>
  </w:footnote>
  <w:footnote w:id="7">
    <w:p w14:paraId="3734028B" w14:textId="746C957E" w:rsidR="009725D8" w:rsidRDefault="009725D8">
      <w:pPr>
        <w:pStyle w:val="Textonotapie"/>
      </w:pPr>
      <w:r>
        <w:rPr>
          <w:rStyle w:val="Refdenotaalpie"/>
        </w:rPr>
        <w:footnoteRef/>
      </w:r>
      <w:r>
        <w:t xml:space="preserve"> Primer año del que </w:t>
      </w:r>
      <w:r w:rsidR="00F83BF3">
        <w:t xml:space="preserve">nos proporciona </w:t>
      </w:r>
      <w:r>
        <w:t>datos</w:t>
      </w:r>
      <w:r w:rsidR="00F83BF3">
        <w:t xml:space="preserve"> el INE</w:t>
      </w:r>
      <w:r>
        <w:t>.</w:t>
      </w:r>
    </w:p>
  </w:footnote>
  <w:footnote w:id="8">
    <w:p w14:paraId="7FD04ADB" w14:textId="63DCCBB3" w:rsidR="00A568F1" w:rsidRDefault="00770DFB">
      <w:pPr>
        <w:pStyle w:val="Textonotapie"/>
      </w:pPr>
      <w:r>
        <w:rPr>
          <w:rStyle w:val="Refdenotaalpie"/>
        </w:rPr>
        <w:footnoteRef/>
      </w:r>
      <w:r>
        <w:t xml:space="preserve"> </w:t>
      </w:r>
      <w:r w:rsidR="005547E8">
        <w:t>Esto es así nítidamente en Extremadura, las dos Castillas y Galicia y en menor medida en Murcia, la Rioja y Aragón. Andalucía a pesar una de las 5 regiones más pobres crece menos de lo esperado (en media) y Canarias por debajo de la media.</w:t>
      </w:r>
    </w:p>
    <w:p w14:paraId="40677B20" w14:textId="4C2496EE" w:rsidR="005547E8" w:rsidRDefault="005547E8">
      <w:pPr>
        <w:pStyle w:val="Textonotapie"/>
      </w:pPr>
      <w:r>
        <w:t>Por añadidura, las regiones más ricas en 1955 han tendido a crecer menos que las más pobres. Esto ocurre nítidamente en Madrid, Baleares, País Vasco y Cataluña. Navarra es la excepción.</w:t>
      </w:r>
    </w:p>
  </w:footnote>
  <w:footnote w:id="9">
    <w:p w14:paraId="6C90E802" w14:textId="363B3E88" w:rsidR="00980FAF" w:rsidRPr="00980FAF" w:rsidRDefault="00980FAF" w:rsidP="00980FAF">
      <w:pPr>
        <w:pStyle w:val="Textonotapie"/>
        <w:rPr>
          <w:spacing w:val="-3"/>
        </w:rPr>
      </w:pPr>
      <w:r w:rsidRPr="00980FAF">
        <w:rPr>
          <w:vertAlign w:val="superscript"/>
        </w:rPr>
        <w:footnoteRef/>
      </w:r>
      <w:r w:rsidRPr="00980FAF">
        <w:t xml:space="preserve"> De las 4 regiones con menor PIB per cápita en 1955 (Extremadura, Castilla La Mancha, Galicia y Andalucía), 3 siguen estando en la actualidad en ese grupo (</w:t>
      </w:r>
      <w:r w:rsidR="00F02D9E">
        <w:rPr>
          <w:spacing w:val="-3"/>
        </w:rPr>
        <w:t>Canarias</w:t>
      </w:r>
      <w:r w:rsidRPr="00980FAF">
        <w:rPr>
          <w:spacing w:val="-3"/>
        </w:rPr>
        <w:t xml:space="preserve"> sustituye a Galicia como la </w:t>
      </w:r>
      <w:r w:rsidR="00F02D9E">
        <w:rPr>
          <w:spacing w:val="-3"/>
        </w:rPr>
        <w:t>1</w:t>
      </w:r>
      <w:r w:rsidRPr="00980FAF">
        <w:rPr>
          <w:spacing w:val="-3"/>
        </w:rPr>
        <w:t xml:space="preserve">ª con menor PIB per cápita, y ahora Galicia es la </w:t>
      </w:r>
      <w:r w:rsidR="00F02D9E">
        <w:rPr>
          <w:spacing w:val="-3"/>
        </w:rPr>
        <w:t>9</w:t>
      </w:r>
      <w:r w:rsidRPr="00980FAF">
        <w:rPr>
          <w:spacing w:val="-3"/>
        </w:rPr>
        <w:t>ª</w:t>
      </w:r>
      <w:r w:rsidR="00F02D9E">
        <w:rPr>
          <w:spacing w:val="-3"/>
        </w:rPr>
        <w:t xml:space="preserve"> con mayor PIB per cápita</w:t>
      </w:r>
      <w:r w:rsidRPr="00980FAF">
        <w:rPr>
          <w:spacing w:val="-3"/>
        </w:rPr>
        <w:t>).</w:t>
      </w:r>
    </w:p>
    <w:p w14:paraId="6D869913" w14:textId="44D08901" w:rsidR="00980FAF" w:rsidRDefault="00980FAF">
      <w:pPr>
        <w:pStyle w:val="Textonotapie"/>
      </w:pPr>
      <w:r w:rsidRPr="00980FAF">
        <w:t>De las 4 regiones con mayor PIB per cápita en 1955 (Madrid, Cataluña, País Vasco y Baleares), 3 siguen estando en la actualidad en ese grupo (Navarra sustituye a Baleares)</w:t>
      </w:r>
      <w:r w:rsidRPr="00F546F8">
        <w:t>.</w:t>
      </w:r>
    </w:p>
  </w:footnote>
  <w:footnote w:id="10">
    <w:p w14:paraId="3812FCFD" w14:textId="772D0A43" w:rsidR="001179A4" w:rsidRDefault="001179A4">
      <w:pPr>
        <w:pStyle w:val="Textonotapie"/>
      </w:pPr>
      <w:r>
        <w:rPr>
          <w:rStyle w:val="Refdenotaalpie"/>
        </w:rPr>
        <w:footnoteRef/>
      </w:r>
      <w:r>
        <w:t xml:space="preserve"> </w:t>
      </w:r>
      <w:r w:rsidRPr="00A568F1">
        <w:t xml:space="preserve">Auciello, I. &amp; Puente, S. (2023). Cambios recientes en el patrón de convergencia entre regiones. </w:t>
      </w:r>
      <w:r w:rsidRPr="00A568F1">
        <w:rPr>
          <w:i/>
          <w:iCs/>
        </w:rPr>
        <w:t>Boletín Económico, 2023/T1</w:t>
      </w:r>
      <w:r w:rsidRPr="00A568F1">
        <w:t xml:space="preserve">, 17. </w:t>
      </w:r>
      <w:hyperlink r:id="rId3" w:history="1">
        <w:r w:rsidRPr="008C4AF0">
          <w:rPr>
            <w:rStyle w:val="Hipervnculo"/>
          </w:rPr>
          <w:t>https://doi.org/10.53479/29770</w:t>
        </w:r>
      </w:hyperlink>
    </w:p>
  </w:footnote>
  <w:footnote w:id="11">
    <w:p w14:paraId="396FF10F" w14:textId="77A3447E" w:rsidR="00445584" w:rsidRDefault="00445584" w:rsidP="00612D3B">
      <w:pPr>
        <w:pStyle w:val="Textonotapie"/>
        <w:keepNext/>
        <w:spacing w:after="0"/>
      </w:pPr>
      <w:r>
        <w:rPr>
          <w:rStyle w:val="Refdenotaalpie"/>
        </w:rPr>
        <w:footnoteRef/>
      </w:r>
      <w:r>
        <w:t xml:space="preserve"> El proceso de convergencia en términos de PIB per cápita y divergencia en términos de PIB no ha evolucionado de manera uniforme en el periodo de análisis.</w:t>
      </w:r>
      <w:r w:rsidR="00612D3B">
        <w:t xml:space="preserve"> </w:t>
      </w:r>
      <w:r>
        <w:t xml:space="preserve">Hay </w:t>
      </w:r>
      <w:r w:rsidR="00612D3B">
        <w:t>3</w:t>
      </w:r>
      <w:r>
        <w:t> subperiodos</w:t>
      </w:r>
      <w:r w:rsidR="00612D3B">
        <w:t>:</w:t>
      </w:r>
    </w:p>
    <w:p w14:paraId="70F00259" w14:textId="77777777" w:rsidR="00612D3B" w:rsidRDefault="00445584" w:rsidP="00612D3B">
      <w:pPr>
        <w:pStyle w:val="Textonotapie"/>
        <w:numPr>
          <w:ilvl w:val="0"/>
          <w:numId w:val="48"/>
        </w:numPr>
        <w:spacing w:after="0"/>
        <w:ind w:left="283" w:hanging="113"/>
      </w:pPr>
      <w:r>
        <w:t>Desde 1955 hasta 1980 se produjo una clara reducción de la desigualdad en términos del PIB per cápita y una reducción de la dispersión en términos del PIB</w:t>
      </w:r>
      <w:r w:rsidR="00612D3B">
        <w:t>.</w:t>
      </w:r>
    </w:p>
    <w:p w14:paraId="40D56BCC" w14:textId="103D0A3D" w:rsidR="00445584" w:rsidRDefault="00612D3B" w:rsidP="0028666C">
      <w:pPr>
        <w:pStyle w:val="Textonotapie"/>
        <w:keepNext/>
        <w:numPr>
          <w:ilvl w:val="0"/>
          <w:numId w:val="48"/>
        </w:numPr>
        <w:spacing w:after="0"/>
        <w:ind w:left="283" w:hanging="113"/>
      </w:pPr>
      <w:r>
        <w:t>Entre 1980 y 2008</w:t>
      </w:r>
      <w:r w:rsidR="00445584">
        <w:t xml:space="preserve"> los cambios han sido más moderados</w:t>
      </w:r>
      <w:r>
        <w:t>. Esto se puede explicar por diversos factores:</w:t>
      </w:r>
    </w:p>
    <w:p w14:paraId="35724018" w14:textId="3F460747" w:rsidR="00445584" w:rsidRDefault="00445584" w:rsidP="0028666C">
      <w:pPr>
        <w:pStyle w:val="Textonotapie"/>
        <w:numPr>
          <w:ilvl w:val="1"/>
          <w:numId w:val="48"/>
        </w:numPr>
        <w:spacing w:after="0"/>
        <w:ind w:left="567" w:hanging="113"/>
      </w:pPr>
      <w:r>
        <w:t>Una primera explicación de la existencia de estas 2 grandes etapas en el comportamiento de las desigualdades en la distribución del PIB y del PIB per cápita entre las regiones españolas se encuentra en el cambio en las pautas de la evolución demográfica, que alcanza su máxima expresión en la significativa reducción de los elevados flujos migratorios que habían tenido lugar en los decenios de 1960 y 1970</w:t>
      </w:r>
    </w:p>
    <w:p w14:paraId="6D3BD4D0" w14:textId="6F0DD844" w:rsidR="00445584" w:rsidRDefault="00445584" w:rsidP="0028666C">
      <w:pPr>
        <w:pStyle w:val="Textonotapie"/>
        <w:numPr>
          <w:ilvl w:val="1"/>
          <w:numId w:val="48"/>
        </w:numPr>
        <w:spacing w:after="0"/>
        <w:ind w:left="567" w:hanging="113"/>
      </w:pPr>
      <w:r>
        <w:t>Una segunda explicación se basa en la reducción del peso de la agricultura.</w:t>
      </w:r>
    </w:p>
    <w:p w14:paraId="2351CCBF" w14:textId="45822DDC" w:rsidR="00445584" w:rsidRDefault="00445584" w:rsidP="0028666C">
      <w:pPr>
        <w:pStyle w:val="Textonotapie"/>
        <w:numPr>
          <w:ilvl w:val="0"/>
          <w:numId w:val="48"/>
        </w:numPr>
        <w:spacing w:after="0"/>
        <w:ind w:left="283" w:hanging="113"/>
      </w:pPr>
      <w:r>
        <w:t xml:space="preserve">Asimismo, es interesante hacer referencia a lo que ha sucedido </w:t>
      </w:r>
      <w:r w:rsidR="0028666C">
        <w:t>desde</w:t>
      </w:r>
      <w:r>
        <w:t xml:space="preserve"> la crisis </w:t>
      </w:r>
      <w:r w:rsidR="0028666C">
        <w:t>financiera</w:t>
      </w:r>
      <w:r>
        <w:t xml:space="preserve"> 2008. Así buena parte de las regiones que tenían un nivel superior a la media de PIB per cápita antes de la misma han mejorado su posición relativa, sobre todo Madrid y P</w:t>
      </w:r>
      <w:r w:rsidR="00FD55F3">
        <w:t xml:space="preserve">aís </w:t>
      </w:r>
      <w:r>
        <w:t>V</w:t>
      </w:r>
      <w:r w:rsidR="00FD55F3">
        <w:t>asco</w:t>
      </w:r>
      <w:r>
        <w:t xml:space="preserve"> y lo contrario a las que partían de un nivel inferior a la media</w:t>
      </w:r>
      <w:r w:rsidR="00BD6E03">
        <w:t xml:space="preserve"> </w:t>
      </w:r>
      <w:r>
        <w:t>(con la excepción de Castilla León y Galicia). Esto es, se ha producido una cierta divergencia en el PIB p</w:t>
      </w:r>
      <w:r w:rsidR="00C37CB2">
        <w:t xml:space="preserve">er </w:t>
      </w:r>
      <w:r>
        <w:t>c</w:t>
      </w:r>
      <w:r w:rsidR="00C37CB2">
        <w:t>ápita</w:t>
      </w:r>
      <w:r>
        <w:t xml:space="preserve"> durante la crisis. Una estructura productiva con mayor peso de los sectores de alta tecnología o basados en el conocimiento y fortaleza del sector exterior, entre otros aspectos, han hecho más resistentes ante las crisis a las Comunidades que partían de una situación de ventaja en el PIB per cápita.</w:t>
      </w:r>
    </w:p>
    <w:p w14:paraId="1688E9ED" w14:textId="130B1E1E" w:rsidR="00445584" w:rsidRDefault="00445584" w:rsidP="00612D3B">
      <w:pPr>
        <w:pStyle w:val="Textonotapie"/>
        <w:numPr>
          <w:ilvl w:val="0"/>
          <w:numId w:val="48"/>
        </w:numPr>
        <w:ind w:left="283" w:hanging="113"/>
      </w:pPr>
      <w:r>
        <w:t>También es interesante conocer qué comunidades se verán más afectadas por el Covid. Según BBVA Research, las CCAA más afectadas serán Andalucía, Baleares, Canarias, Murcia, Comunidad Valenciana y Cataluña, por lo que a priori resulta difícil aventurar implicaciones para la convergencia o divergencia en el corto plazo</w:t>
      </w:r>
      <w:r w:rsidR="00C37CB2">
        <w:t>.</w:t>
      </w:r>
    </w:p>
  </w:footnote>
  <w:footnote w:id="12">
    <w:p w14:paraId="22299DE2" w14:textId="77777777" w:rsidR="00CC4921" w:rsidRDefault="00CC4921" w:rsidP="00CC4921">
      <w:pPr>
        <w:pStyle w:val="Textonotapie"/>
      </w:pPr>
      <w:r>
        <w:rPr>
          <w:rStyle w:val="Refdenotaalpie"/>
        </w:rPr>
        <w:footnoteRef/>
      </w:r>
      <w:r>
        <w:t xml:space="preserve"> </w:t>
      </w:r>
      <w:r w:rsidRPr="00FF6F2E">
        <w:t>El mercado interior implica un espacio sin fronteras interiores en el que la libre circulación de mercancías, servicios, personas y capitales estará garantizada de acuerdo con las disposiciones de los Tratados</w:t>
      </w:r>
      <w:r>
        <w:t xml:space="preserve"> </w:t>
      </w:r>
      <w:r w:rsidRPr="00FF6F2E">
        <w:rPr>
          <w:color w:val="767171" w:themeColor="background2" w:themeShade="80"/>
          <w:sz w:val="14"/>
          <w:szCs w:val="14"/>
        </w:rPr>
        <w:t>[ver tema 3.B.</w:t>
      </w:r>
      <w:r>
        <w:rPr>
          <w:color w:val="767171" w:themeColor="background2" w:themeShade="80"/>
          <w:sz w:val="14"/>
          <w:szCs w:val="14"/>
        </w:rPr>
        <w:t>40</w:t>
      </w:r>
      <w:r w:rsidRPr="00FF6F2E">
        <w:rPr>
          <w:color w:val="767171" w:themeColor="background2" w:themeShade="80"/>
          <w:sz w:val="14"/>
          <w:szCs w:val="14"/>
        </w:rPr>
        <w:t>]</w:t>
      </w:r>
      <w:r w:rsidRPr="00FF6F2E">
        <w:t>.</w:t>
      </w:r>
    </w:p>
  </w:footnote>
  <w:footnote w:id="13">
    <w:p w14:paraId="319AA0CC" w14:textId="77777777" w:rsidR="00CC4921" w:rsidRDefault="00CC4921" w:rsidP="00CC4921">
      <w:pPr>
        <w:pStyle w:val="Textonotapie"/>
        <w:keepNext/>
        <w:spacing w:after="0"/>
      </w:pPr>
      <w:r>
        <w:rPr>
          <w:rStyle w:val="Refdenotaalpie"/>
        </w:rPr>
        <w:footnoteRef/>
      </w:r>
      <w:r>
        <w:t xml:space="preserve"> El FEDER tiene 2 objetivos principales, a saber:</w:t>
      </w:r>
    </w:p>
    <w:p w14:paraId="141786B5" w14:textId="77777777" w:rsidR="00CC4921" w:rsidRDefault="00CC4921" w:rsidP="00CC4921">
      <w:pPr>
        <w:pStyle w:val="Textonotapie"/>
        <w:numPr>
          <w:ilvl w:val="0"/>
          <w:numId w:val="49"/>
        </w:numPr>
        <w:spacing w:after="0"/>
        <w:ind w:left="283" w:hanging="113"/>
      </w:pPr>
      <w:r>
        <w:t>La inversión en crecimiento y empleo, que está orientada a fortalecer el mercado laboral y las economías regionales;</w:t>
      </w:r>
    </w:p>
    <w:p w14:paraId="65978400" w14:textId="77777777" w:rsidR="00CC4921" w:rsidRPr="006E4E55" w:rsidRDefault="00CC4921" w:rsidP="00CC4921">
      <w:pPr>
        <w:pStyle w:val="Textonotapie"/>
        <w:numPr>
          <w:ilvl w:val="0"/>
          <w:numId w:val="49"/>
        </w:numPr>
        <w:ind w:left="283" w:hanging="113"/>
        <w:rPr>
          <w:spacing w:val="-2"/>
        </w:rPr>
      </w:pPr>
      <w:r w:rsidRPr="006E4E55">
        <w:rPr>
          <w:spacing w:val="-2"/>
        </w:rPr>
        <w:t>La cooperación territorial europea, orientada a reforzar la cooperación transfronteriza, transnacional e interregional dentro de la Unión.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30F5F" w:rsidRPr="00C44422" w14:paraId="7BC706C8"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5D846052" w14:textId="49C05A6E" w:rsidR="00F30F5F" w:rsidRPr="00851FCE" w:rsidRDefault="00F30F5F"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4.A.17</w:t>
              </w:r>
            </w:p>
          </w:tc>
        </w:sdtContent>
      </w:sdt>
      <w:tc>
        <w:tcPr>
          <w:tcW w:w="7937" w:type="dxa"/>
          <w:vAlign w:val="center"/>
        </w:tcPr>
        <w:sdt>
          <w:sdtPr>
            <w:rPr>
              <w:i/>
              <w:iCs/>
              <w:color w:val="5F2987"/>
              <w:spacing w:val="-2"/>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3A70013B" w14:textId="36233D72" w:rsidR="00F30F5F" w:rsidRPr="00F30F5F" w:rsidRDefault="00F30F5F" w:rsidP="00C80BBD">
              <w:pPr>
                <w:pStyle w:val="Encabezado"/>
                <w:spacing w:after="0"/>
                <w:ind w:right="-110"/>
                <w:contextualSpacing/>
                <w:jc w:val="center"/>
                <w:rPr>
                  <w:i/>
                  <w:iCs/>
                  <w:color w:val="5F2987"/>
                  <w:spacing w:val="-2"/>
                  <w:sz w:val="18"/>
                  <w:szCs w:val="18"/>
                  <w:lang w:val="es-ES"/>
                </w:rPr>
              </w:pPr>
              <w:r w:rsidRPr="00F30F5F">
                <w:rPr>
                  <w:i/>
                  <w:iCs/>
                  <w:color w:val="5F2987"/>
                  <w:spacing w:val="-2"/>
                  <w:sz w:val="18"/>
                  <w:szCs w:val="18"/>
                  <w:lang w:val="es-ES"/>
                </w:rPr>
                <w:t>Economía de las regiones españolas: especialización regional, convergencia real y política de desarrollo regional.</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5EC0D4C" w14:textId="77777777" w:rsidR="00F30F5F" w:rsidRPr="00C44422" w:rsidRDefault="00F30F5F"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F30F5F" w:rsidRPr="00C44422" w14:paraId="12499C60" w14:textId="77777777" w:rsidTr="009F6145">
      <w:trPr>
        <w:trHeight w:val="136"/>
        <w:jc w:val="center"/>
      </w:trPr>
      <w:sdt>
        <w:sdtPr>
          <w:rPr>
            <w:b/>
            <w:bCs/>
            <w:i/>
            <w:iCs/>
            <w:caps/>
            <w:color w:val="5F2987"/>
            <w:sz w:val="18"/>
            <w:szCs w:val="18"/>
          </w:rPr>
          <w:alias w:val="Title"/>
          <w:tag w:val=""/>
          <w:id w:val="-15774725"/>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7E94AA55" w14:textId="217884B1" w:rsidR="00F30F5F" w:rsidRPr="00851FCE" w:rsidRDefault="00F30F5F"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4.A.17</w:t>
              </w:r>
            </w:p>
          </w:tc>
        </w:sdtContent>
      </w:sdt>
      <w:tc>
        <w:tcPr>
          <w:tcW w:w="7937" w:type="dxa"/>
          <w:vAlign w:val="center"/>
        </w:tcPr>
        <w:sdt>
          <w:sdtPr>
            <w:rPr>
              <w:i/>
              <w:iCs/>
              <w:color w:val="5F2987"/>
              <w:spacing w:val="-2"/>
              <w:sz w:val="18"/>
              <w:szCs w:val="18"/>
            </w:rPr>
            <w:alias w:val="Subject"/>
            <w:tag w:val=""/>
            <w:id w:val="750015756"/>
            <w:dataBinding w:prefixMappings="xmlns:ns0='http://purl.org/dc/elements/1.1/' xmlns:ns1='http://schemas.openxmlformats.org/package/2006/metadata/core-properties' " w:xpath="/ns1:coreProperties[1]/ns0:subject[1]" w:storeItemID="{6C3C8BC8-F283-45AE-878A-BAB7291924A1}"/>
            <w:text/>
          </w:sdtPr>
          <w:sdtContent>
            <w:p w14:paraId="2857762B" w14:textId="4BC6906A" w:rsidR="00F30F5F" w:rsidRPr="00F30F5F" w:rsidRDefault="00F30F5F" w:rsidP="00C80BBD">
              <w:pPr>
                <w:pStyle w:val="Encabezado"/>
                <w:spacing w:after="0"/>
                <w:ind w:right="-110"/>
                <w:contextualSpacing/>
                <w:jc w:val="center"/>
                <w:rPr>
                  <w:i/>
                  <w:iCs/>
                  <w:color w:val="5F2987"/>
                  <w:spacing w:val="-2"/>
                  <w:sz w:val="18"/>
                  <w:szCs w:val="18"/>
                  <w:lang w:val="es-ES"/>
                </w:rPr>
              </w:pPr>
              <w:r w:rsidRPr="00F30F5F">
                <w:rPr>
                  <w:i/>
                  <w:iCs/>
                  <w:color w:val="5F2987"/>
                  <w:spacing w:val="-2"/>
                  <w:sz w:val="18"/>
                  <w:szCs w:val="18"/>
                  <w:lang w:val="es-ES"/>
                </w:rPr>
                <w:t>Economía de las regiones españolas: especialización regional, convergencia real y política de desarrollo regional.</w:t>
              </w:r>
            </w:p>
          </w:sdtContent>
        </w:sdt>
      </w:tc>
      <w:sdt>
        <w:sdtPr>
          <w:rPr>
            <w:b/>
            <w:bCs/>
            <w:i/>
            <w:iCs/>
            <w:color w:val="5F2987"/>
            <w:spacing w:val="-6"/>
            <w:sz w:val="18"/>
            <w:szCs w:val="18"/>
          </w:rPr>
          <w:alias w:val="Author"/>
          <w:tag w:val=""/>
          <w:id w:val="132454887"/>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E5D09B1" w14:textId="77777777" w:rsidR="00F30F5F" w:rsidRPr="00C44422" w:rsidRDefault="00F30F5F"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3F601844" w14:textId="77777777" w:rsidR="00B25BD3" w:rsidRPr="00C80BBD" w:rsidRDefault="00B25BD3" w:rsidP="00C80BBD">
    <w:pPr>
      <w:pStyle w:val="Encabezado"/>
      <w:spacing w:after="0"/>
      <w:rPr>
        <w:i/>
        <w:iCs/>
        <w:color w:val="5F2987"/>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B76C4D" w:rsidRPr="00B76C4D" w14:paraId="14F3274F" w14:textId="77777777" w:rsidTr="00B76C4D">
      <w:tc>
        <w:tcPr>
          <w:tcW w:w="3261" w:type="dxa"/>
          <w:tcBorders>
            <w:bottom w:val="thickThinSmallGap" w:sz="12" w:space="0" w:color="5F2987"/>
          </w:tcBorders>
          <w:shd w:val="clear" w:color="auto" w:fill="auto"/>
        </w:tcPr>
        <w:p w14:paraId="2BB3B698" w14:textId="35F8DBA8" w:rsidR="00B25BD3" w:rsidRPr="00B76C4D" w:rsidRDefault="00B25BD3" w:rsidP="00B25BD3">
          <w:pPr>
            <w:pStyle w:val="Encabezado"/>
            <w:spacing w:after="0"/>
            <w:jc w:val="left"/>
            <w:rPr>
              <w:i/>
              <w:iCs/>
              <w:color w:val="5F2987"/>
              <w:spacing w:val="-6"/>
              <w:sz w:val="18"/>
              <w:szCs w:val="18"/>
            </w:rPr>
          </w:pPr>
          <w:r w:rsidRPr="00B76C4D">
            <w:rPr>
              <w:i/>
              <w:iCs/>
              <w:color w:val="5F2987"/>
              <w:spacing w:val="-6"/>
              <w:sz w:val="14"/>
              <w:szCs w:val="14"/>
            </w:rPr>
            <w:t>Fecha de la última actualización:</w:t>
          </w:r>
          <w:r w:rsidRPr="00B76C4D">
            <w:rPr>
              <w:i/>
              <w:iCs/>
              <w:color w:val="5F2987"/>
              <w:spacing w:val="-6"/>
              <w:sz w:val="18"/>
              <w:szCs w:val="18"/>
            </w:rPr>
            <w:t xml:space="preserve"> </w:t>
          </w:r>
          <w:r w:rsidRPr="00B76C4D">
            <w:rPr>
              <w:i/>
              <w:iCs/>
              <w:color w:val="5F2987"/>
              <w:spacing w:val="-6"/>
              <w:sz w:val="18"/>
              <w:szCs w:val="18"/>
            </w:rPr>
            <w:fldChar w:fldCharType="begin"/>
          </w:r>
          <w:r w:rsidRPr="00B76C4D">
            <w:rPr>
              <w:i/>
              <w:iCs/>
              <w:color w:val="5F2987"/>
              <w:spacing w:val="-6"/>
              <w:sz w:val="18"/>
              <w:szCs w:val="18"/>
            </w:rPr>
            <w:instrText xml:space="preserve"> SAVEDATE  \@ "dd/MM/yyyy"  \* MERGEFORMAT </w:instrText>
          </w:r>
          <w:r w:rsidRPr="00B76C4D">
            <w:rPr>
              <w:i/>
              <w:iCs/>
              <w:color w:val="5F2987"/>
              <w:spacing w:val="-6"/>
              <w:sz w:val="18"/>
              <w:szCs w:val="18"/>
            </w:rPr>
            <w:fldChar w:fldCharType="separate"/>
          </w:r>
          <w:r w:rsidR="00EC13F1">
            <w:rPr>
              <w:i/>
              <w:iCs/>
              <w:noProof/>
              <w:color w:val="5F2987"/>
              <w:spacing w:val="-6"/>
              <w:sz w:val="18"/>
              <w:szCs w:val="18"/>
            </w:rPr>
            <w:t>23/09/2024</w:t>
          </w:r>
          <w:r w:rsidRPr="00B76C4D">
            <w:rPr>
              <w:i/>
              <w:iCs/>
              <w:color w:val="5F2987"/>
              <w:spacing w:val="-6"/>
              <w:sz w:val="18"/>
              <w:szCs w:val="18"/>
            </w:rPr>
            <w:fldChar w:fldCharType="end"/>
          </w:r>
        </w:p>
      </w:tc>
      <w:tc>
        <w:tcPr>
          <w:tcW w:w="4819" w:type="dxa"/>
          <w:tcBorders>
            <w:bottom w:val="thickThinSmallGap" w:sz="12" w:space="0" w:color="5F2987"/>
          </w:tcBorders>
          <w:shd w:val="clear" w:color="auto" w:fill="auto"/>
        </w:tcPr>
        <w:p w14:paraId="2870BE9C" w14:textId="77777777" w:rsidR="00B25BD3" w:rsidRPr="00B76C4D" w:rsidRDefault="00B25BD3" w:rsidP="00B25BD3">
          <w:pPr>
            <w:pStyle w:val="Encabezado"/>
            <w:spacing w:after="0"/>
            <w:jc w:val="center"/>
            <w:rPr>
              <w:i/>
              <w:iCs/>
              <w:color w:val="5F2987"/>
              <w:spacing w:val="-6"/>
              <w:sz w:val="18"/>
              <w:szCs w:val="18"/>
            </w:rPr>
          </w:pPr>
          <w:r w:rsidRPr="00B76C4D">
            <w:rPr>
              <w:i/>
              <w:iCs/>
              <w:color w:val="5F2987"/>
              <w:spacing w:val="-6"/>
              <w:sz w:val="18"/>
              <w:szCs w:val="18"/>
            </w:rPr>
            <w:t>Oposición a Técnico Comercial y Economista del Estado</w:t>
          </w:r>
        </w:p>
      </w:tc>
      <w:sdt>
        <w:sdtPr>
          <w:rPr>
            <w:i/>
            <w:iCs/>
            <w:color w:val="5F2987"/>
            <w:spacing w:val="-6"/>
            <w:sz w:val="18"/>
            <w:szCs w:val="18"/>
          </w:rPr>
          <w:alias w:val="Título"/>
          <w:tag w:val=""/>
          <w:id w:val="-1893567095"/>
          <w:placeholder>
            <w:docPart w:val="FE257E3FEFF644879F51623413B7680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shd w:val="clear" w:color="auto" w:fill="auto"/>
            </w:tcPr>
            <w:p w14:paraId="084D34E7" w14:textId="0C415888" w:rsidR="00B25BD3" w:rsidRPr="00B76C4D" w:rsidRDefault="00B25BD3" w:rsidP="00B25BD3">
              <w:pPr>
                <w:pStyle w:val="Encabezado"/>
                <w:spacing w:after="0"/>
                <w:jc w:val="right"/>
                <w:rPr>
                  <w:i/>
                  <w:iCs/>
                  <w:color w:val="5F2987"/>
                  <w:spacing w:val="-6"/>
                  <w:sz w:val="18"/>
                  <w:szCs w:val="18"/>
                </w:rPr>
              </w:pPr>
              <w:r w:rsidRPr="00B76C4D">
                <w:rPr>
                  <w:i/>
                  <w:iCs/>
                  <w:color w:val="5F2987"/>
                  <w:spacing w:val="-6"/>
                  <w:sz w:val="18"/>
                  <w:szCs w:val="18"/>
                </w:rPr>
                <w:t>4.A.17</w:t>
              </w:r>
            </w:p>
          </w:tc>
        </w:sdtContent>
      </w:sdt>
    </w:tr>
  </w:tbl>
  <w:p w14:paraId="4F37CDAD" w14:textId="77777777" w:rsidR="00B25BD3" w:rsidRPr="00C80BBD" w:rsidRDefault="00B25BD3"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C792A69"/>
    <w:multiLevelType w:val="hybridMultilevel"/>
    <w:tmpl w:val="586226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6A024D8"/>
    <w:multiLevelType w:val="hybridMultilevel"/>
    <w:tmpl w:val="B58C4D6C"/>
    <w:lvl w:ilvl="0" w:tplc="44F02B3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9784821"/>
    <w:multiLevelType w:val="hybridMultilevel"/>
    <w:tmpl w:val="B106E1B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E00CD6D8">
      <w:start w:val="1"/>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1B2479C7"/>
    <w:multiLevelType w:val="hybridMultilevel"/>
    <w:tmpl w:val="CC545676"/>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52E207B2">
      <w:start w:val="1"/>
      <w:numFmt w:val="bullet"/>
      <w:lvlText w:val=""/>
      <w:lvlJc w:val="left"/>
      <w:pPr>
        <w:tabs>
          <w:tab w:val="num" w:pos="2160"/>
        </w:tabs>
        <w:ind w:left="2160" w:hanging="360"/>
      </w:pPr>
      <w:rPr>
        <w:rFonts w:ascii="Wingdings" w:hAnsi="Wingdings" w:hint="default"/>
        <w:color w:val="auto"/>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2A070500"/>
    <w:multiLevelType w:val="hybridMultilevel"/>
    <w:tmpl w:val="C2467DB8"/>
    <w:lvl w:ilvl="0" w:tplc="9814B6A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C1E4299"/>
    <w:multiLevelType w:val="hybridMultilevel"/>
    <w:tmpl w:val="B106E1B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E00CD6D8">
      <w:start w:val="1"/>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33F02E7A"/>
    <w:multiLevelType w:val="hybridMultilevel"/>
    <w:tmpl w:val="64604D9E"/>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6E70B55"/>
    <w:multiLevelType w:val="hybridMultilevel"/>
    <w:tmpl w:val="2BCEDA0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A116157"/>
    <w:multiLevelType w:val="hybridMultilevel"/>
    <w:tmpl w:val="3F6C6AD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3E8419F3"/>
    <w:multiLevelType w:val="hybridMultilevel"/>
    <w:tmpl w:val="83304B3E"/>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0FB7C1A"/>
    <w:multiLevelType w:val="multilevel"/>
    <w:tmpl w:val="0809001D"/>
    <w:numStyleLink w:val="Lista1"/>
  </w:abstractNum>
  <w:abstractNum w:abstractNumId="33"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4732AA"/>
    <w:multiLevelType w:val="hybridMultilevel"/>
    <w:tmpl w:val="B106E1B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E00CD6D8">
      <w:start w:val="1"/>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9" w15:restartNumberingAfterBreak="0">
    <w:nsid w:val="6A687888"/>
    <w:multiLevelType w:val="hybridMultilevel"/>
    <w:tmpl w:val="2520A5B6"/>
    <w:lvl w:ilvl="0" w:tplc="D33C5FE4">
      <w:numFmt w:val="bullet"/>
      <w:lvlText w:val="-"/>
      <w:lvlJc w:val="left"/>
      <w:pPr>
        <w:tabs>
          <w:tab w:val="num" w:pos="720"/>
        </w:tabs>
        <w:ind w:left="720" w:hanging="360"/>
      </w:pPr>
      <w:rPr>
        <w:rFonts w:ascii="Times New Roman" w:eastAsia="Batang"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EC083A"/>
    <w:multiLevelType w:val="hybridMultilevel"/>
    <w:tmpl w:val="7B12E4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B17C81"/>
    <w:multiLevelType w:val="hybridMultilevel"/>
    <w:tmpl w:val="46BC307E"/>
    <w:lvl w:ilvl="0" w:tplc="85D8163A">
      <w:numFmt w:val="bullet"/>
      <w:lvlText w:val="-"/>
      <w:lvlJc w:val="left"/>
      <w:pPr>
        <w:ind w:left="2160" w:hanging="360"/>
      </w:pPr>
      <w:rPr>
        <w:rFonts w:ascii="Calibri" w:eastAsia="Calibri" w:hAnsi="Calibri" w:cs="Calibri"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564267357">
    <w:abstractNumId w:val="20"/>
  </w:num>
  <w:num w:numId="2" w16cid:durableId="1487942170">
    <w:abstractNumId w:val="25"/>
  </w:num>
  <w:num w:numId="3" w16cid:durableId="1544946188">
    <w:abstractNumId w:val="18"/>
  </w:num>
  <w:num w:numId="4" w16cid:durableId="793864175">
    <w:abstractNumId w:val="12"/>
  </w:num>
  <w:num w:numId="5" w16cid:durableId="72120544">
    <w:abstractNumId w:val="40"/>
  </w:num>
  <w:num w:numId="6" w16cid:durableId="1765565720">
    <w:abstractNumId w:val="10"/>
  </w:num>
  <w:num w:numId="7" w16cid:durableId="214703063">
    <w:abstractNumId w:val="34"/>
  </w:num>
  <w:num w:numId="8" w16cid:durableId="1135100275">
    <w:abstractNumId w:val="19"/>
  </w:num>
  <w:num w:numId="9" w16cid:durableId="475222876">
    <w:abstractNumId w:val="39"/>
  </w:num>
  <w:num w:numId="10" w16cid:durableId="725034614">
    <w:abstractNumId w:val="9"/>
  </w:num>
  <w:num w:numId="11" w16cid:durableId="858814500">
    <w:abstractNumId w:val="27"/>
  </w:num>
  <w:num w:numId="12" w16cid:durableId="1154835492">
    <w:abstractNumId w:val="29"/>
  </w:num>
  <w:num w:numId="13" w16cid:durableId="275215923">
    <w:abstractNumId w:val="36"/>
  </w:num>
  <w:num w:numId="14" w16cid:durableId="1707636110">
    <w:abstractNumId w:val="17"/>
  </w:num>
  <w:num w:numId="15" w16cid:durableId="484710121">
    <w:abstractNumId w:val="26"/>
  </w:num>
  <w:num w:numId="16" w16cid:durableId="807823874">
    <w:abstractNumId w:val="44"/>
  </w:num>
  <w:num w:numId="17" w16cid:durableId="1692413999">
    <w:abstractNumId w:val="42"/>
  </w:num>
  <w:num w:numId="18" w16cid:durableId="741486865">
    <w:abstractNumId w:val="13"/>
  </w:num>
  <w:num w:numId="19" w16cid:durableId="276259246">
    <w:abstractNumId w:val="43"/>
  </w:num>
  <w:num w:numId="20" w16cid:durableId="224875626">
    <w:abstractNumId w:val="47"/>
  </w:num>
  <w:num w:numId="21" w16cid:durableId="927931098">
    <w:abstractNumId w:val="46"/>
  </w:num>
  <w:num w:numId="22" w16cid:durableId="1164469819">
    <w:abstractNumId w:val="21"/>
  </w:num>
  <w:num w:numId="23" w16cid:durableId="874931255">
    <w:abstractNumId w:val="35"/>
  </w:num>
  <w:num w:numId="24" w16cid:durableId="1584341465">
    <w:abstractNumId w:val="22"/>
  </w:num>
  <w:num w:numId="25" w16cid:durableId="1056927509">
    <w:abstractNumId w:val="32"/>
  </w:num>
  <w:num w:numId="26" w16cid:durableId="937104060">
    <w:abstractNumId w:val="38"/>
  </w:num>
  <w:num w:numId="27" w16cid:durableId="1673800844">
    <w:abstractNumId w:val="23"/>
  </w:num>
  <w:num w:numId="28" w16cid:durableId="1106345626">
    <w:abstractNumId w:val="7"/>
  </w:num>
  <w:num w:numId="29" w16cid:durableId="494152803">
    <w:abstractNumId w:val="6"/>
  </w:num>
  <w:num w:numId="30" w16cid:durableId="90709493">
    <w:abstractNumId w:val="5"/>
  </w:num>
  <w:num w:numId="31" w16cid:durableId="2079553067">
    <w:abstractNumId w:val="4"/>
  </w:num>
  <w:num w:numId="32" w16cid:durableId="555361372">
    <w:abstractNumId w:val="8"/>
  </w:num>
  <w:num w:numId="33" w16cid:durableId="418063938">
    <w:abstractNumId w:val="3"/>
  </w:num>
  <w:num w:numId="34" w16cid:durableId="1529366188">
    <w:abstractNumId w:val="2"/>
  </w:num>
  <w:num w:numId="35" w16cid:durableId="2112386500">
    <w:abstractNumId w:val="1"/>
  </w:num>
  <w:num w:numId="36" w16cid:durableId="1145199212">
    <w:abstractNumId w:val="0"/>
  </w:num>
  <w:num w:numId="37" w16cid:durableId="558175964">
    <w:abstractNumId w:val="45"/>
  </w:num>
  <w:num w:numId="38" w16cid:durableId="591165126">
    <w:abstractNumId w:val="28"/>
  </w:num>
  <w:num w:numId="39" w16cid:durableId="1237201562">
    <w:abstractNumId w:val="31"/>
  </w:num>
  <w:num w:numId="40"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88450031">
    <w:abstractNumId w:val="33"/>
  </w:num>
  <w:num w:numId="42" w16cid:durableId="1591691867">
    <w:abstractNumId w:val="11"/>
  </w:num>
  <w:num w:numId="43" w16cid:durableId="1058623567">
    <w:abstractNumId w:val="16"/>
  </w:num>
  <w:num w:numId="44" w16cid:durableId="627324749">
    <w:abstractNumId w:val="37"/>
  </w:num>
  <w:num w:numId="45" w16cid:durableId="1997611117">
    <w:abstractNumId w:val="30"/>
  </w:num>
  <w:num w:numId="46" w16cid:durableId="910382752">
    <w:abstractNumId w:val="24"/>
  </w:num>
  <w:num w:numId="47" w16cid:durableId="136118919">
    <w:abstractNumId w:val="15"/>
  </w:num>
  <w:num w:numId="48" w16cid:durableId="28072464">
    <w:abstractNumId w:val="41"/>
  </w:num>
  <w:num w:numId="49" w16cid:durableId="2920538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A83"/>
    <w:rsid w:val="00000F08"/>
    <w:rsid w:val="00001448"/>
    <w:rsid w:val="0000166E"/>
    <w:rsid w:val="000016E3"/>
    <w:rsid w:val="00001E3D"/>
    <w:rsid w:val="000021CD"/>
    <w:rsid w:val="000023C4"/>
    <w:rsid w:val="00002450"/>
    <w:rsid w:val="000027A0"/>
    <w:rsid w:val="00002A09"/>
    <w:rsid w:val="00002B76"/>
    <w:rsid w:val="00002E3A"/>
    <w:rsid w:val="00002EB6"/>
    <w:rsid w:val="000032B1"/>
    <w:rsid w:val="0000330D"/>
    <w:rsid w:val="0000363E"/>
    <w:rsid w:val="00003A25"/>
    <w:rsid w:val="000040EA"/>
    <w:rsid w:val="00004264"/>
    <w:rsid w:val="00004D68"/>
    <w:rsid w:val="00004F22"/>
    <w:rsid w:val="000051EF"/>
    <w:rsid w:val="000053F9"/>
    <w:rsid w:val="00005501"/>
    <w:rsid w:val="000055F6"/>
    <w:rsid w:val="00005700"/>
    <w:rsid w:val="00005F38"/>
    <w:rsid w:val="00005F55"/>
    <w:rsid w:val="00006177"/>
    <w:rsid w:val="00006470"/>
    <w:rsid w:val="0000663D"/>
    <w:rsid w:val="000066BD"/>
    <w:rsid w:val="000066C0"/>
    <w:rsid w:val="0000675F"/>
    <w:rsid w:val="000076BF"/>
    <w:rsid w:val="000077E2"/>
    <w:rsid w:val="00007F0E"/>
    <w:rsid w:val="00010601"/>
    <w:rsid w:val="00011154"/>
    <w:rsid w:val="00011356"/>
    <w:rsid w:val="00011A0F"/>
    <w:rsid w:val="00011E91"/>
    <w:rsid w:val="00012356"/>
    <w:rsid w:val="00012701"/>
    <w:rsid w:val="0001280A"/>
    <w:rsid w:val="00012A77"/>
    <w:rsid w:val="00012CD0"/>
    <w:rsid w:val="00013192"/>
    <w:rsid w:val="000135D2"/>
    <w:rsid w:val="00013A71"/>
    <w:rsid w:val="00013BF9"/>
    <w:rsid w:val="00013C30"/>
    <w:rsid w:val="00013D16"/>
    <w:rsid w:val="000146D1"/>
    <w:rsid w:val="0001470D"/>
    <w:rsid w:val="0001569A"/>
    <w:rsid w:val="000157F5"/>
    <w:rsid w:val="00015997"/>
    <w:rsid w:val="000160C9"/>
    <w:rsid w:val="000161D0"/>
    <w:rsid w:val="00016574"/>
    <w:rsid w:val="0001668B"/>
    <w:rsid w:val="00016883"/>
    <w:rsid w:val="00016C02"/>
    <w:rsid w:val="00017A57"/>
    <w:rsid w:val="00017B40"/>
    <w:rsid w:val="00017C10"/>
    <w:rsid w:val="00020189"/>
    <w:rsid w:val="00020275"/>
    <w:rsid w:val="0002076A"/>
    <w:rsid w:val="00020816"/>
    <w:rsid w:val="00020868"/>
    <w:rsid w:val="00021052"/>
    <w:rsid w:val="000214D2"/>
    <w:rsid w:val="000214D5"/>
    <w:rsid w:val="00021872"/>
    <w:rsid w:val="000219B4"/>
    <w:rsid w:val="00021E32"/>
    <w:rsid w:val="00021E65"/>
    <w:rsid w:val="00022152"/>
    <w:rsid w:val="00022263"/>
    <w:rsid w:val="00022463"/>
    <w:rsid w:val="000230C3"/>
    <w:rsid w:val="000233DD"/>
    <w:rsid w:val="0002361F"/>
    <w:rsid w:val="0002386C"/>
    <w:rsid w:val="0002394F"/>
    <w:rsid w:val="0002399C"/>
    <w:rsid w:val="000239B1"/>
    <w:rsid w:val="00023DA9"/>
    <w:rsid w:val="00023E6B"/>
    <w:rsid w:val="00023FD6"/>
    <w:rsid w:val="00024095"/>
    <w:rsid w:val="00024146"/>
    <w:rsid w:val="00024A80"/>
    <w:rsid w:val="00024BA7"/>
    <w:rsid w:val="00024CD1"/>
    <w:rsid w:val="00024DF7"/>
    <w:rsid w:val="00024FB5"/>
    <w:rsid w:val="00025297"/>
    <w:rsid w:val="000254B1"/>
    <w:rsid w:val="000255BC"/>
    <w:rsid w:val="00025A5C"/>
    <w:rsid w:val="00025C75"/>
    <w:rsid w:val="00025C78"/>
    <w:rsid w:val="00026457"/>
    <w:rsid w:val="00026E2C"/>
    <w:rsid w:val="00026E3D"/>
    <w:rsid w:val="00027073"/>
    <w:rsid w:val="000272EA"/>
    <w:rsid w:val="000279CA"/>
    <w:rsid w:val="00027D34"/>
    <w:rsid w:val="00027DD5"/>
    <w:rsid w:val="0003011A"/>
    <w:rsid w:val="00030166"/>
    <w:rsid w:val="00030BE9"/>
    <w:rsid w:val="0003115D"/>
    <w:rsid w:val="0003122B"/>
    <w:rsid w:val="0003128A"/>
    <w:rsid w:val="0003177C"/>
    <w:rsid w:val="000319FC"/>
    <w:rsid w:val="00031D49"/>
    <w:rsid w:val="000322BC"/>
    <w:rsid w:val="000325D4"/>
    <w:rsid w:val="000329E8"/>
    <w:rsid w:val="00032AA1"/>
    <w:rsid w:val="00032E0F"/>
    <w:rsid w:val="00032EA1"/>
    <w:rsid w:val="00032ECC"/>
    <w:rsid w:val="00033379"/>
    <w:rsid w:val="0003359A"/>
    <w:rsid w:val="000335BC"/>
    <w:rsid w:val="00034407"/>
    <w:rsid w:val="0003506A"/>
    <w:rsid w:val="00036360"/>
    <w:rsid w:val="00036EAA"/>
    <w:rsid w:val="00037286"/>
    <w:rsid w:val="00037980"/>
    <w:rsid w:val="000379B1"/>
    <w:rsid w:val="00037BA7"/>
    <w:rsid w:val="00037D18"/>
    <w:rsid w:val="0004045E"/>
    <w:rsid w:val="0004047C"/>
    <w:rsid w:val="000408D7"/>
    <w:rsid w:val="00040C13"/>
    <w:rsid w:val="00040ED7"/>
    <w:rsid w:val="00041671"/>
    <w:rsid w:val="0004175F"/>
    <w:rsid w:val="000419AD"/>
    <w:rsid w:val="00041BFD"/>
    <w:rsid w:val="000421C1"/>
    <w:rsid w:val="000422C5"/>
    <w:rsid w:val="000423AB"/>
    <w:rsid w:val="00042696"/>
    <w:rsid w:val="00042DAB"/>
    <w:rsid w:val="00042DAE"/>
    <w:rsid w:val="00042F40"/>
    <w:rsid w:val="00043363"/>
    <w:rsid w:val="0004351B"/>
    <w:rsid w:val="000436A6"/>
    <w:rsid w:val="00043790"/>
    <w:rsid w:val="000439C9"/>
    <w:rsid w:val="00043AF6"/>
    <w:rsid w:val="00043B1C"/>
    <w:rsid w:val="00043BD9"/>
    <w:rsid w:val="00043E46"/>
    <w:rsid w:val="00043FA0"/>
    <w:rsid w:val="00044164"/>
    <w:rsid w:val="00044994"/>
    <w:rsid w:val="00044E0E"/>
    <w:rsid w:val="00044EEE"/>
    <w:rsid w:val="00045070"/>
    <w:rsid w:val="00045285"/>
    <w:rsid w:val="00045432"/>
    <w:rsid w:val="000456D4"/>
    <w:rsid w:val="00045AF0"/>
    <w:rsid w:val="00045F40"/>
    <w:rsid w:val="00045FC7"/>
    <w:rsid w:val="0004640E"/>
    <w:rsid w:val="00046477"/>
    <w:rsid w:val="000464E5"/>
    <w:rsid w:val="00046894"/>
    <w:rsid w:val="00046E12"/>
    <w:rsid w:val="00046F0A"/>
    <w:rsid w:val="000470A7"/>
    <w:rsid w:val="000472B2"/>
    <w:rsid w:val="00047596"/>
    <w:rsid w:val="00047F74"/>
    <w:rsid w:val="00047FD5"/>
    <w:rsid w:val="00050399"/>
    <w:rsid w:val="0005073C"/>
    <w:rsid w:val="000508A6"/>
    <w:rsid w:val="000508D3"/>
    <w:rsid w:val="00050CA9"/>
    <w:rsid w:val="00050FB5"/>
    <w:rsid w:val="00051268"/>
    <w:rsid w:val="000515EB"/>
    <w:rsid w:val="0005188E"/>
    <w:rsid w:val="000519BB"/>
    <w:rsid w:val="00052224"/>
    <w:rsid w:val="00052BBD"/>
    <w:rsid w:val="00052E5A"/>
    <w:rsid w:val="0005333B"/>
    <w:rsid w:val="00053B06"/>
    <w:rsid w:val="00053C54"/>
    <w:rsid w:val="00053CEF"/>
    <w:rsid w:val="00053F33"/>
    <w:rsid w:val="000540BB"/>
    <w:rsid w:val="00054289"/>
    <w:rsid w:val="0005451E"/>
    <w:rsid w:val="000549AD"/>
    <w:rsid w:val="00054CB3"/>
    <w:rsid w:val="0005534A"/>
    <w:rsid w:val="00055368"/>
    <w:rsid w:val="00055643"/>
    <w:rsid w:val="00056419"/>
    <w:rsid w:val="000567DF"/>
    <w:rsid w:val="0005681F"/>
    <w:rsid w:val="00057058"/>
    <w:rsid w:val="000570D0"/>
    <w:rsid w:val="000576F2"/>
    <w:rsid w:val="0005794D"/>
    <w:rsid w:val="000601B9"/>
    <w:rsid w:val="00060228"/>
    <w:rsid w:val="000603B8"/>
    <w:rsid w:val="0006089F"/>
    <w:rsid w:val="00060B47"/>
    <w:rsid w:val="00061379"/>
    <w:rsid w:val="00061865"/>
    <w:rsid w:val="0006186A"/>
    <w:rsid w:val="0006187D"/>
    <w:rsid w:val="000619C0"/>
    <w:rsid w:val="00061EB1"/>
    <w:rsid w:val="00061F61"/>
    <w:rsid w:val="000621FB"/>
    <w:rsid w:val="00062547"/>
    <w:rsid w:val="00062584"/>
    <w:rsid w:val="00062667"/>
    <w:rsid w:val="00062B55"/>
    <w:rsid w:val="0006321F"/>
    <w:rsid w:val="00063852"/>
    <w:rsid w:val="00064985"/>
    <w:rsid w:val="000649BE"/>
    <w:rsid w:val="00064AA9"/>
    <w:rsid w:val="0006564D"/>
    <w:rsid w:val="00065961"/>
    <w:rsid w:val="00065B17"/>
    <w:rsid w:val="00065B51"/>
    <w:rsid w:val="00065D37"/>
    <w:rsid w:val="00065F29"/>
    <w:rsid w:val="00066A3F"/>
    <w:rsid w:val="00066AD2"/>
    <w:rsid w:val="00066DB4"/>
    <w:rsid w:val="00066EA5"/>
    <w:rsid w:val="00066EE2"/>
    <w:rsid w:val="00066F58"/>
    <w:rsid w:val="000675E4"/>
    <w:rsid w:val="00067750"/>
    <w:rsid w:val="0007015B"/>
    <w:rsid w:val="00070191"/>
    <w:rsid w:val="000705E3"/>
    <w:rsid w:val="0007064D"/>
    <w:rsid w:val="00070743"/>
    <w:rsid w:val="00070AB1"/>
    <w:rsid w:val="00070B1F"/>
    <w:rsid w:val="00070B7A"/>
    <w:rsid w:val="00070C1B"/>
    <w:rsid w:val="00070D19"/>
    <w:rsid w:val="0007141A"/>
    <w:rsid w:val="00071619"/>
    <w:rsid w:val="0007194A"/>
    <w:rsid w:val="0007205B"/>
    <w:rsid w:val="0007259E"/>
    <w:rsid w:val="000725F5"/>
    <w:rsid w:val="00072CBD"/>
    <w:rsid w:val="000734C4"/>
    <w:rsid w:val="00073C42"/>
    <w:rsid w:val="00073EAD"/>
    <w:rsid w:val="0007449E"/>
    <w:rsid w:val="0007452D"/>
    <w:rsid w:val="000747BB"/>
    <w:rsid w:val="0007480F"/>
    <w:rsid w:val="00074AAF"/>
    <w:rsid w:val="0007508F"/>
    <w:rsid w:val="0007525E"/>
    <w:rsid w:val="00075726"/>
    <w:rsid w:val="00075EDF"/>
    <w:rsid w:val="00076240"/>
    <w:rsid w:val="000762DE"/>
    <w:rsid w:val="00076382"/>
    <w:rsid w:val="000764AD"/>
    <w:rsid w:val="00076897"/>
    <w:rsid w:val="00076B08"/>
    <w:rsid w:val="0007702B"/>
    <w:rsid w:val="00077DFE"/>
    <w:rsid w:val="000811D6"/>
    <w:rsid w:val="00081B23"/>
    <w:rsid w:val="00082241"/>
    <w:rsid w:val="00082A7A"/>
    <w:rsid w:val="00082C9E"/>
    <w:rsid w:val="0008348F"/>
    <w:rsid w:val="00083882"/>
    <w:rsid w:val="000840CA"/>
    <w:rsid w:val="000841B0"/>
    <w:rsid w:val="00084408"/>
    <w:rsid w:val="00084D71"/>
    <w:rsid w:val="00085177"/>
    <w:rsid w:val="00085598"/>
    <w:rsid w:val="0008577C"/>
    <w:rsid w:val="00085FC9"/>
    <w:rsid w:val="000860BF"/>
    <w:rsid w:val="0008641E"/>
    <w:rsid w:val="0008688A"/>
    <w:rsid w:val="00086893"/>
    <w:rsid w:val="00086AF2"/>
    <w:rsid w:val="000871EF"/>
    <w:rsid w:val="00087BA9"/>
    <w:rsid w:val="00090006"/>
    <w:rsid w:val="00090B01"/>
    <w:rsid w:val="00090D15"/>
    <w:rsid w:val="00090F2F"/>
    <w:rsid w:val="000912CF"/>
    <w:rsid w:val="00091307"/>
    <w:rsid w:val="0009195F"/>
    <w:rsid w:val="00091DC2"/>
    <w:rsid w:val="00091F4E"/>
    <w:rsid w:val="0009319B"/>
    <w:rsid w:val="00093BD9"/>
    <w:rsid w:val="00093C52"/>
    <w:rsid w:val="00093F18"/>
    <w:rsid w:val="000943C5"/>
    <w:rsid w:val="000947AC"/>
    <w:rsid w:val="00094B37"/>
    <w:rsid w:val="00094FE7"/>
    <w:rsid w:val="0009506D"/>
    <w:rsid w:val="000954D2"/>
    <w:rsid w:val="00095F6E"/>
    <w:rsid w:val="00096069"/>
    <w:rsid w:val="00096096"/>
    <w:rsid w:val="000961BF"/>
    <w:rsid w:val="00096521"/>
    <w:rsid w:val="00096569"/>
    <w:rsid w:val="000968C5"/>
    <w:rsid w:val="00096C51"/>
    <w:rsid w:val="00096DFA"/>
    <w:rsid w:val="000974BE"/>
    <w:rsid w:val="00097738"/>
    <w:rsid w:val="000979F7"/>
    <w:rsid w:val="00097AF7"/>
    <w:rsid w:val="000A00F4"/>
    <w:rsid w:val="000A0126"/>
    <w:rsid w:val="000A0363"/>
    <w:rsid w:val="000A0643"/>
    <w:rsid w:val="000A09CA"/>
    <w:rsid w:val="000A12DC"/>
    <w:rsid w:val="000A16CE"/>
    <w:rsid w:val="000A1771"/>
    <w:rsid w:val="000A1D85"/>
    <w:rsid w:val="000A1EEE"/>
    <w:rsid w:val="000A1FA9"/>
    <w:rsid w:val="000A27FB"/>
    <w:rsid w:val="000A280C"/>
    <w:rsid w:val="000A2927"/>
    <w:rsid w:val="000A312B"/>
    <w:rsid w:val="000A39AE"/>
    <w:rsid w:val="000A3A91"/>
    <w:rsid w:val="000A3D7D"/>
    <w:rsid w:val="000A3EA6"/>
    <w:rsid w:val="000A3EEA"/>
    <w:rsid w:val="000A442B"/>
    <w:rsid w:val="000A44F7"/>
    <w:rsid w:val="000A454A"/>
    <w:rsid w:val="000A4D28"/>
    <w:rsid w:val="000A500F"/>
    <w:rsid w:val="000A5413"/>
    <w:rsid w:val="000A5531"/>
    <w:rsid w:val="000A58DA"/>
    <w:rsid w:val="000A6519"/>
    <w:rsid w:val="000A67FF"/>
    <w:rsid w:val="000A6D0A"/>
    <w:rsid w:val="000A6DE8"/>
    <w:rsid w:val="000A6F79"/>
    <w:rsid w:val="000A6FA7"/>
    <w:rsid w:val="000A73E3"/>
    <w:rsid w:val="000A76CF"/>
    <w:rsid w:val="000A7DBE"/>
    <w:rsid w:val="000A7E52"/>
    <w:rsid w:val="000A7EAE"/>
    <w:rsid w:val="000B0054"/>
    <w:rsid w:val="000B0096"/>
    <w:rsid w:val="000B05A2"/>
    <w:rsid w:val="000B0925"/>
    <w:rsid w:val="000B09C4"/>
    <w:rsid w:val="000B0BAE"/>
    <w:rsid w:val="000B0FE2"/>
    <w:rsid w:val="000B11F8"/>
    <w:rsid w:val="000B1534"/>
    <w:rsid w:val="000B15D8"/>
    <w:rsid w:val="000B19FF"/>
    <w:rsid w:val="000B1AB6"/>
    <w:rsid w:val="000B1C3E"/>
    <w:rsid w:val="000B1D8F"/>
    <w:rsid w:val="000B1E8A"/>
    <w:rsid w:val="000B2526"/>
    <w:rsid w:val="000B2B60"/>
    <w:rsid w:val="000B30E2"/>
    <w:rsid w:val="000B3444"/>
    <w:rsid w:val="000B3B89"/>
    <w:rsid w:val="000B3C7C"/>
    <w:rsid w:val="000B4761"/>
    <w:rsid w:val="000B48BB"/>
    <w:rsid w:val="000B4B3B"/>
    <w:rsid w:val="000B4D1F"/>
    <w:rsid w:val="000B6476"/>
    <w:rsid w:val="000B64E0"/>
    <w:rsid w:val="000B676C"/>
    <w:rsid w:val="000B69FA"/>
    <w:rsid w:val="000B7003"/>
    <w:rsid w:val="000B7180"/>
    <w:rsid w:val="000B7442"/>
    <w:rsid w:val="000B744C"/>
    <w:rsid w:val="000B7548"/>
    <w:rsid w:val="000B7686"/>
    <w:rsid w:val="000C0074"/>
    <w:rsid w:val="000C025D"/>
    <w:rsid w:val="000C0260"/>
    <w:rsid w:val="000C0489"/>
    <w:rsid w:val="000C10F8"/>
    <w:rsid w:val="000C13F2"/>
    <w:rsid w:val="000C1462"/>
    <w:rsid w:val="000C1523"/>
    <w:rsid w:val="000C1935"/>
    <w:rsid w:val="000C197A"/>
    <w:rsid w:val="000C1DBE"/>
    <w:rsid w:val="000C1EEB"/>
    <w:rsid w:val="000C2052"/>
    <w:rsid w:val="000C20FD"/>
    <w:rsid w:val="000C2166"/>
    <w:rsid w:val="000C21EA"/>
    <w:rsid w:val="000C2492"/>
    <w:rsid w:val="000C254C"/>
    <w:rsid w:val="000C283F"/>
    <w:rsid w:val="000C3DC2"/>
    <w:rsid w:val="000C3F12"/>
    <w:rsid w:val="000C3FA8"/>
    <w:rsid w:val="000C4450"/>
    <w:rsid w:val="000C4B4C"/>
    <w:rsid w:val="000C4FD1"/>
    <w:rsid w:val="000C525D"/>
    <w:rsid w:val="000C56EF"/>
    <w:rsid w:val="000C5B28"/>
    <w:rsid w:val="000C6528"/>
    <w:rsid w:val="000C6B51"/>
    <w:rsid w:val="000C6E66"/>
    <w:rsid w:val="000C6FA4"/>
    <w:rsid w:val="000C703F"/>
    <w:rsid w:val="000C762E"/>
    <w:rsid w:val="000C76CF"/>
    <w:rsid w:val="000C7A08"/>
    <w:rsid w:val="000C7AB9"/>
    <w:rsid w:val="000D010B"/>
    <w:rsid w:val="000D013F"/>
    <w:rsid w:val="000D05DE"/>
    <w:rsid w:val="000D0FDC"/>
    <w:rsid w:val="000D1552"/>
    <w:rsid w:val="000D18D7"/>
    <w:rsid w:val="000D198E"/>
    <w:rsid w:val="000D1B72"/>
    <w:rsid w:val="000D22F9"/>
    <w:rsid w:val="000D2489"/>
    <w:rsid w:val="000D2CD4"/>
    <w:rsid w:val="000D2E97"/>
    <w:rsid w:val="000D324F"/>
    <w:rsid w:val="000D329E"/>
    <w:rsid w:val="000D3789"/>
    <w:rsid w:val="000D37C8"/>
    <w:rsid w:val="000D3DDE"/>
    <w:rsid w:val="000D4047"/>
    <w:rsid w:val="000D5122"/>
    <w:rsid w:val="000D5658"/>
    <w:rsid w:val="000D568F"/>
    <w:rsid w:val="000D5C47"/>
    <w:rsid w:val="000D6A38"/>
    <w:rsid w:val="000D72B2"/>
    <w:rsid w:val="000D7434"/>
    <w:rsid w:val="000D79D9"/>
    <w:rsid w:val="000D7B09"/>
    <w:rsid w:val="000D7F37"/>
    <w:rsid w:val="000D7F8A"/>
    <w:rsid w:val="000D7FAC"/>
    <w:rsid w:val="000E0CA1"/>
    <w:rsid w:val="000E0D36"/>
    <w:rsid w:val="000E0D60"/>
    <w:rsid w:val="000E0F78"/>
    <w:rsid w:val="000E1061"/>
    <w:rsid w:val="000E112F"/>
    <w:rsid w:val="000E11D2"/>
    <w:rsid w:val="000E1335"/>
    <w:rsid w:val="000E140A"/>
    <w:rsid w:val="000E144E"/>
    <w:rsid w:val="000E1949"/>
    <w:rsid w:val="000E1A81"/>
    <w:rsid w:val="000E23AA"/>
    <w:rsid w:val="000E23EA"/>
    <w:rsid w:val="000E2483"/>
    <w:rsid w:val="000E2F28"/>
    <w:rsid w:val="000E35AE"/>
    <w:rsid w:val="000E3E9D"/>
    <w:rsid w:val="000E45EE"/>
    <w:rsid w:val="000E47C9"/>
    <w:rsid w:val="000E48DC"/>
    <w:rsid w:val="000E537D"/>
    <w:rsid w:val="000E596E"/>
    <w:rsid w:val="000E599F"/>
    <w:rsid w:val="000E5A0A"/>
    <w:rsid w:val="000E5A42"/>
    <w:rsid w:val="000E5C8C"/>
    <w:rsid w:val="000E5C8D"/>
    <w:rsid w:val="000E5CE6"/>
    <w:rsid w:val="000E63FC"/>
    <w:rsid w:val="000E65E9"/>
    <w:rsid w:val="000E6621"/>
    <w:rsid w:val="000E69E0"/>
    <w:rsid w:val="000E6B23"/>
    <w:rsid w:val="000E7029"/>
    <w:rsid w:val="000E70A6"/>
    <w:rsid w:val="000E70E0"/>
    <w:rsid w:val="000E7318"/>
    <w:rsid w:val="000E7529"/>
    <w:rsid w:val="000E7B38"/>
    <w:rsid w:val="000F05E1"/>
    <w:rsid w:val="000F08BD"/>
    <w:rsid w:val="000F0914"/>
    <w:rsid w:val="000F0B43"/>
    <w:rsid w:val="000F12FD"/>
    <w:rsid w:val="000F1641"/>
    <w:rsid w:val="000F1991"/>
    <w:rsid w:val="000F21A2"/>
    <w:rsid w:val="000F2883"/>
    <w:rsid w:val="000F36D8"/>
    <w:rsid w:val="000F3978"/>
    <w:rsid w:val="000F41A6"/>
    <w:rsid w:val="000F4301"/>
    <w:rsid w:val="000F4754"/>
    <w:rsid w:val="000F48D4"/>
    <w:rsid w:val="000F4E33"/>
    <w:rsid w:val="000F51DA"/>
    <w:rsid w:val="000F5218"/>
    <w:rsid w:val="000F5222"/>
    <w:rsid w:val="000F57A9"/>
    <w:rsid w:val="000F57CE"/>
    <w:rsid w:val="000F58E0"/>
    <w:rsid w:val="000F591C"/>
    <w:rsid w:val="000F595B"/>
    <w:rsid w:val="000F5BA1"/>
    <w:rsid w:val="000F5E3F"/>
    <w:rsid w:val="000F6025"/>
    <w:rsid w:val="000F675C"/>
    <w:rsid w:val="000F69E9"/>
    <w:rsid w:val="000F6E15"/>
    <w:rsid w:val="000F765B"/>
    <w:rsid w:val="000F79E6"/>
    <w:rsid w:val="000F7C08"/>
    <w:rsid w:val="000F7CCF"/>
    <w:rsid w:val="00100149"/>
    <w:rsid w:val="00100480"/>
    <w:rsid w:val="00100599"/>
    <w:rsid w:val="00100DE1"/>
    <w:rsid w:val="00101138"/>
    <w:rsid w:val="001014A7"/>
    <w:rsid w:val="001014AA"/>
    <w:rsid w:val="001016C6"/>
    <w:rsid w:val="00101A75"/>
    <w:rsid w:val="00101CA5"/>
    <w:rsid w:val="001025D7"/>
    <w:rsid w:val="001028B4"/>
    <w:rsid w:val="00102D75"/>
    <w:rsid w:val="00102E18"/>
    <w:rsid w:val="001033DC"/>
    <w:rsid w:val="00103552"/>
    <w:rsid w:val="0010381F"/>
    <w:rsid w:val="001039D3"/>
    <w:rsid w:val="00103C93"/>
    <w:rsid w:val="00103D94"/>
    <w:rsid w:val="00103FD3"/>
    <w:rsid w:val="00104196"/>
    <w:rsid w:val="00104262"/>
    <w:rsid w:val="00104428"/>
    <w:rsid w:val="001048FB"/>
    <w:rsid w:val="00104A2E"/>
    <w:rsid w:val="00104A41"/>
    <w:rsid w:val="001054FC"/>
    <w:rsid w:val="00105598"/>
    <w:rsid w:val="001059C9"/>
    <w:rsid w:val="001062F1"/>
    <w:rsid w:val="00106401"/>
    <w:rsid w:val="00106927"/>
    <w:rsid w:val="00106B92"/>
    <w:rsid w:val="00106C24"/>
    <w:rsid w:val="00106ECE"/>
    <w:rsid w:val="0010709A"/>
    <w:rsid w:val="00107175"/>
    <w:rsid w:val="00107300"/>
    <w:rsid w:val="00107791"/>
    <w:rsid w:val="00107C93"/>
    <w:rsid w:val="001100D5"/>
    <w:rsid w:val="0011029F"/>
    <w:rsid w:val="0011097C"/>
    <w:rsid w:val="00110A50"/>
    <w:rsid w:val="00110BC8"/>
    <w:rsid w:val="00110C5E"/>
    <w:rsid w:val="00110FE6"/>
    <w:rsid w:val="0011118B"/>
    <w:rsid w:val="001111EE"/>
    <w:rsid w:val="00111F70"/>
    <w:rsid w:val="00112249"/>
    <w:rsid w:val="001123A7"/>
    <w:rsid w:val="00112A64"/>
    <w:rsid w:val="00112B5D"/>
    <w:rsid w:val="00113038"/>
    <w:rsid w:val="00113181"/>
    <w:rsid w:val="00113545"/>
    <w:rsid w:val="001138C0"/>
    <w:rsid w:val="001138F3"/>
    <w:rsid w:val="00113926"/>
    <w:rsid w:val="00113BE1"/>
    <w:rsid w:val="00113C92"/>
    <w:rsid w:val="00113F74"/>
    <w:rsid w:val="0011405A"/>
    <w:rsid w:val="00114156"/>
    <w:rsid w:val="00114458"/>
    <w:rsid w:val="00114844"/>
    <w:rsid w:val="0011502D"/>
    <w:rsid w:val="001150C5"/>
    <w:rsid w:val="00115210"/>
    <w:rsid w:val="001152BD"/>
    <w:rsid w:val="00115659"/>
    <w:rsid w:val="001159C0"/>
    <w:rsid w:val="0011604E"/>
    <w:rsid w:val="001164CB"/>
    <w:rsid w:val="001168B8"/>
    <w:rsid w:val="00116AFE"/>
    <w:rsid w:val="001179A4"/>
    <w:rsid w:val="00120078"/>
    <w:rsid w:val="001205E1"/>
    <w:rsid w:val="00120660"/>
    <w:rsid w:val="001206D9"/>
    <w:rsid w:val="0012126B"/>
    <w:rsid w:val="001212AF"/>
    <w:rsid w:val="00121369"/>
    <w:rsid w:val="00121D71"/>
    <w:rsid w:val="001221B5"/>
    <w:rsid w:val="00122278"/>
    <w:rsid w:val="00122371"/>
    <w:rsid w:val="001224E0"/>
    <w:rsid w:val="00122900"/>
    <w:rsid w:val="00122936"/>
    <w:rsid w:val="00123AF0"/>
    <w:rsid w:val="0012434D"/>
    <w:rsid w:val="001244FF"/>
    <w:rsid w:val="001247BA"/>
    <w:rsid w:val="001247FA"/>
    <w:rsid w:val="001249B3"/>
    <w:rsid w:val="001249BE"/>
    <w:rsid w:val="00124E01"/>
    <w:rsid w:val="00125188"/>
    <w:rsid w:val="00125993"/>
    <w:rsid w:val="00125A75"/>
    <w:rsid w:val="00125B31"/>
    <w:rsid w:val="00125D43"/>
    <w:rsid w:val="00125D87"/>
    <w:rsid w:val="0012616F"/>
    <w:rsid w:val="001263B1"/>
    <w:rsid w:val="001269C5"/>
    <w:rsid w:val="00126B77"/>
    <w:rsid w:val="00126E38"/>
    <w:rsid w:val="001274F1"/>
    <w:rsid w:val="00127594"/>
    <w:rsid w:val="0012792C"/>
    <w:rsid w:val="00127935"/>
    <w:rsid w:val="00127D1E"/>
    <w:rsid w:val="00127D7D"/>
    <w:rsid w:val="00130361"/>
    <w:rsid w:val="001306CD"/>
    <w:rsid w:val="00131138"/>
    <w:rsid w:val="001313B0"/>
    <w:rsid w:val="0013168E"/>
    <w:rsid w:val="00131782"/>
    <w:rsid w:val="00131B2C"/>
    <w:rsid w:val="00131D37"/>
    <w:rsid w:val="00131DCF"/>
    <w:rsid w:val="00131F1E"/>
    <w:rsid w:val="00131F5B"/>
    <w:rsid w:val="00132061"/>
    <w:rsid w:val="001320C8"/>
    <w:rsid w:val="001324E7"/>
    <w:rsid w:val="00132884"/>
    <w:rsid w:val="00132CA4"/>
    <w:rsid w:val="00133991"/>
    <w:rsid w:val="00133B56"/>
    <w:rsid w:val="00133D52"/>
    <w:rsid w:val="00133F37"/>
    <w:rsid w:val="00134045"/>
    <w:rsid w:val="00134704"/>
    <w:rsid w:val="00134944"/>
    <w:rsid w:val="00134A8E"/>
    <w:rsid w:val="00134E18"/>
    <w:rsid w:val="00135009"/>
    <w:rsid w:val="001354B7"/>
    <w:rsid w:val="00135570"/>
    <w:rsid w:val="00135622"/>
    <w:rsid w:val="001356E5"/>
    <w:rsid w:val="0013573A"/>
    <w:rsid w:val="00135E97"/>
    <w:rsid w:val="0013632D"/>
    <w:rsid w:val="00136690"/>
    <w:rsid w:val="00136C9C"/>
    <w:rsid w:val="001373DE"/>
    <w:rsid w:val="0013769A"/>
    <w:rsid w:val="00137705"/>
    <w:rsid w:val="001379AB"/>
    <w:rsid w:val="00137C43"/>
    <w:rsid w:val="00137C6A"/>
    <w:rsid w:val="00140F1C"/>
    <w:rsid w:val="00141353"/>
    <w:rsid w:val="00141AE8"/>
    <w:rsid w:val="00141C54"/>
    <w:rsid w:val="00142095"/>
    <w:rsid w:val="0014277C"/>
    <w:rsid w:val="001427E1"/>
    <w:rsid w:val="00142B4A"/>
    <w:rsid w:val="00142BF8"/>
    <w:rsid w:val="0014336D"/>
    <w:rsid w:val="00143603"/>
    <w:rsid w:val="00143B41"/>
    <w:rsid w:val="00143F4A"/>
    <w:rsid w:val="00144545"/>
    <w:rsid w:val="00144DAA"/>
    <w:rsid w:val="0014577B"/>
    <w:rsid w:val="00145BD6"/>
    <w:rsid w:val="00145E30"/>
    <w:rsid w:val="0014635E"/>
    <w:rsid w:val="001463EC"/>
    <w:rsid w:val="001467B0"/>
    <w:rsid w:val="001468F2"/>
    <w:rsid w:val="00146924"/>
    <w:rsid w:val="001469A1"/>
    <w:rsid w:val="00146A42"/>
    <w:rsid w:val="00146ACA"/>
    <w:rsid w:val="00146B50"/>
    <w:rsid w:val="00146D04"/>
    <w:rsid w:val="00146E3E"/>
    <w:rsid w:val="001477B5"/>
    <w:rsid w:val="00147934"/>
    <w:rsid w:val="00147EAD"/>
    <w:rsid w:val="00150011"/>
    <w:rsid w:val="00150090"/>
    <w:rsid w:val="001508CB"/>
    <w:rsid w:val="001509FD"/>
    <w:rsid w:val="001518F9"/>
    <w:rsid w:val="0015199E"/>
    <w:rsid w:val="001523BB"/>
    <w:rsid w:val="00152756"/>
    <w:rsid w:val="00152780"/>
    <w:rsid w:val="0015285B"/>
    <w:rsid w:val="00153316"/>
    <w:rsid w:val="00153B2C"/>
    <w:rsid w:val="00153CB2"/>
    <w:rsid w:val="0015419A"/>
    <w:rsid w:val="0015430F"/>
    <w:rsid w:val="001545D6"/>
    <w:rsid w:val="0015465F"/>
    <w:rsid w:val="00154D33"/>
    <w:rsid w:val="00154EE3"/>
    <w:rsid w:val="0015510B"/>
    <w:rsid w:val="00155144"/>
    <w:rsid w:val="00155472"/>
    <w:rsid w:val="001555E0"/>
    <w:rsid w:val="0015581E"/>
    <w:rsid w:val="001558F1"/>
    <w:rsid w:val="00155B6D"/>
    <w:rsid w:val="00155D0A"/>
    <w:rsid w:val="00155EE2"/>
    <w:rsid w:val="00155FA3"/>
    <w:rsid w:val="00156641"/>
    <w:rsid w:val="001567CD"/>
    <w:rsid w:val="0015688B"/>
    <w:rsid w:val="00156998"/>
    <w:rsid w:val="001569BA"/>
    <w:rsid w:val="00156CAB"/>
    <w:rsid w:val="00156EFF"/>
    <w:rsid w:val="00156F36"/>
    <w:rsid w:val="001577A2"/>
    <w:rsid w:val="00157C44"/>
    <w:rsid w:val="00157DE8"/>
    <w:rsid w:val="00157E61"/>
    <w:rsid w:val="00160011"/>
    <w:rsid w:val="00160023"/>
    <w:rsid w:val="00160061"/>
    <w:rsid w:val="00160175"/>
    <w:rsid w:val="0016035C"/>
    <w:rsid w:val="00160698"/>
    <w:rsid w:val="00160CF7"/>
    <w:rsid w:val="00160EF5"/>
    <w:rsid w:val="001610F7"/>
    <w:rsid w:val="00161146"/>
    <w:rsid w:val="0016208D"/>
    <w:rsid w:val="001633DA"/>
    <w:rsid w:val="0016367A"/>
    <w:rsid w:val="001638B8"/>
    <w:rsid w:val="001639C2"/>
    <w:rsid w:val="00163DDF"/>
    <w:rsid w:val="00163E43"/>
    <w:rsid w:val="001643B3"/>
    <w:rsid w:val="001645C2"/>
    <w:rsid w:val="00164977"/>
    <w:rsid w:val="00164A31"/>
    <w:rsid w:val="00164C6B"/>
    <w:rsid w:val="00164D68"/>
    <w:rsid w:val="00164E25"/>
    <w:rsid w:val="00164F52"/>
    <w:rsid w:val="001650FE"/>
    <w:rsid w:val="0016533A"/>
    <w:rsid w:val="00165792"/>
    <w:rsid w:val="00165EAD"/>
    <w:rsid w:val="001660A2"/>
    <w:rsid w:val="001663C7"/>
    <w:rsid w:val="00166877"/>
    <w:rsid w:val="00167C67"/>
    <w:rsid w:val="00167D07"/>
    <w:rsid w:val="00167DC8"/>
    <w:rsid w:val="00167F36"/>
    <w:rsid w:val="00170321"/>
    <w:rsid w:val="00170583"/>
    <w:rsid w:val="001705BE"/>
    <w:rsid w:val="00171335"/>
    <w:rsid w:val="001714B6"/>
    <w:rsid w:val="00171577"/>
    <w:rsid w:val="00171CE6"/>
    <w:rsid w:val="00171FA8"/>
    <w:rsid w:val="00172068"/>
    <w:rsid w:val="001722E4"/>
    <w:rsid w:val="00172614"/>
    <w:rsid w:val="00172731"/>
    <w:rsid w:val="001727E7"/>
    <w:rsid w:val="0017361A"/>
    <w:rsid w:val="001736A8"/>
    <w:rsid w:val="00173968"/>
    <w:rsid w:val="00173D3A"/>
    <w:rsid w:val="0017426B"/>
    <w:rsid w:val="0017427D"/>
    <w:rsid w:val="0017486E"/>
    <w:rsid w:val="00174A9E"/>
    <w:rsid w:val="001751AD"/>
    <w:rsid w:val="001757B8"/>
    <w:rsid w:val="00175CD3"/>
    <w:rsid w:val="00175D03"/>
    <w:rsid w:val="00176034"/>
    <w:rsid w:val="001765AF"/>
    <w:rsid w:val="00176A0F"/>
    <w:rsid w:val="0017722C"/>
    <w:rsid w:val="00177664"/>
    <w:rsid w:val="0017771E"/>
    <w:rsid w:val="00177836"/>
    <w:rsid w:val="001778CD"/>
    <w:rsid w:val="00177A61"/>
    <w:rsid w:val="00177D42"/>
    <w:rsid w:val="00180335"/>
    <w:rsid w:val="001805C5"/>
    <w:rsid w:val="0018082A"/>
    <w:rsid w:val="00180A98"/>
    <w:rsid w:val="00180C85"/>
    <w:rsid w:val="00180F47"/>
    <w:rsid w:val="00181500"/>
    <w:rsid w:val="001815C1"/>
    <w:rsid w:val="001817E7"/>
    <w:rsid w:val="00181C36"/>
    <w:rsid w:val="00181DB0"/>
    <w:rsid w:val="00182462"/>
    <w:rsid w:val="0018248E"/>
    <w:rsid w:val="00182AFD"/>
    <w:rsid w:val="00182CAE"/>
    <w:rsid w:val="00182F6F"/>
    <w:rsid w:val="00183356"/>
    <w:rsid w:val="00183427"/>
    <w:rsid w:val="001835FF"/>
    <w:rsid w:val="00183A06"/>
    <w:rsid w:val="00183C0F"/>
    <w:rsid w:val="00183FBD"/>
    <w:rsid w:val="0018438B"/>
    <w:rsid w:val="001848C9"/>
    <w:rsid w:val="00184B66"/>
    <w:rsid w:val="00184C18"/>
    <w:rsid w:val="00184D75"/>
    <w:rsid w:val="00185527"/>
    <w:rsid w:val="0018589E"/>
    <w:rsid w:val="00185905"/>
    <w:rsid w:val="00185AAD"/>
    <w:rsid w:val="00185B9F"/>
    <w:rsid w:val="00185EEE"/>
    <w:rsid w:val="0018673F"/>
    <w:rsid w:val="00186A22"/>
    <w:rsid w:val="00186D75"/>
    <w:rsid w:val="0018728D"/>
    <w:rsid w:val="001873CF"/>
    <w:rsid w:val="001876F5"/>
    <w:rsid w:val="0018781A"/>
    <w:rsid w:val="001878DE"/>
    <w:rsid w:val="00190D02"/>
    <w:rsid w:val="00190EF6"/>
    <w:rsid w:val="00190F33"/>
    <w:rsid w:val="00191285"/>
    <w:rsid w:val="00191311"/>
    <w:rsid w:val="001913DF"/>
    <w:rsid w:val="00191492"/>
    <w:rsid w:val="00191BED"/>
    <w:rsid w:val="00191BF7"/>
    <w:rsid w:val="00192842"/>
    <w:rsid w:val="0019287E"/>
    <w:rsid w:val="00192897"/>
    <w:rsid w:val="0019297C"/>
    <w:rsid w:val="00192CC3"/>
    <w:rsid w:val="001930F3"/>
    <w:rsid w:val="00193B77"/>
    <w:rsid w:val="00193C90"/>
    <w:rsid w:val="00193CB3"/>
    <w:rsid w:val="00193F15"/>
    <w:rsid w:val="001944C8"/>
    <w:rsid w:val="00194580"/>
    <w:rsid w:val="00194AF9"/>
    <w:rsid w:val="001953E5"/>
    <w:rsid w:val="00195400"/>
    <w:rsid w:val="001958A6"/>
    <w:rsid w:val="00195F6D"/>
    <w:rsid w:val="00196044"/>
    <w:rsid w:val="00196147"/>
    <w:rsid w:val="00196427"/>
    <w:rsid w:val="00196972"/>
    <w:rsid w:val="00196B4B"/>
    <w:rsid w:val="00196C5B"/>
    <w:rsid w:val="00196F7D"/>
    <w:rsid w:val="00197123"/>
    <w:rsid w:val="00197282"/>
    <w:rsid w:val="00197F18"/>
    <w:rsid w:val="001A03F7"/>
    <w:rsid w:val="001A0631"/>
    <w:rsid w:val="001A06D9"/>
    <w:rsid w:val="001A0CAC"/>
    <w:rsid w:val="001A0FD0"/>
    <w:rsid w:val="001A18D0"/>
    <w:rsid w:val="001A1ABF"/>
    <w:rsid w:val="001A1B99"/>
    <w:rsid w:val="001A1CD0"/>
    <w:rsid w:val="001A2256"/>
    <w:rsid w:val="001A24CC"/>
    <w:rsid w:val="001A25CD"/>
    <w:rsid w:val="001A2630"/>
    <w:rsid w:val="001A2639"/>
    <w:rsid w:val="001A2719"/>
    <w:rsid w:val="001A31FE"/>
    <w:rsid w:val="001A33FA"/>
    <w:rsid w:val="001A37B6"/>
    <w:rsid w:val="001A3C4E"/>
    <w:rsid w:val="001A4125"/>
    <w:rsid w:val="001A45AD"/>
    <w:rsid w:val="001A4BB3"/>
    <w:rsid w:val="001A5074"/>
    <w:rsid w:val="001A5839"/>
    <w:rsid w:val="001A595F"/>
    <w:rsid w:val="001A5F1D"/>
    <w:rsid w:val="001A635B"/>
    <w:rsid w:val="001A6380"/>
    <w:rsid w:val="001A6D4A"/>
    <w:rsid w:val="001A729F"/>
    <w:rsid w:val="001A7844"/>
    <w:rsid w:val="001A7895"/>
    <w:rsid w:val="001A7B4D"/>
    <w:rsid w:val="001B0626"/>
    <w:rsid w:val="001B074F"/>
    <w:rsid w:val="001B0B50"/>
    <w:rsid w:val="001B0E22"/>
    <w:rsid w:val="001B111A"/>
    <w:rsid w:val="001B125D"/>
    <w:rsid w:val="001B15CC"/>
    <w:rsid w:val="001B1672"/>
    <w:rsid w:val="001B1D54"/>
    <w:rsid w:val="001B1FF4"/>
    <w:rsid w:val="001B21EC"/>
    <w:rsid w:val="001B22B5"/>
    <w:rsid w:val="001B23B4"/>
    <w:rsid w:val="001B2B97"/>
    <w:rsid w:val="001B2BA5"/>
    <w:rsid w:val="001B2E56"/>
    <w:rsid w:val="001B3038"/>
    <w:rsid w:val="001B3172"/>
    <w:rsid w:val="001B346C"/>
    <w:rsid w:val="001B34E9"/>
    <w:rsid w:val="001B38D3"/>
    <w:rsid w:val="001B416B"/>
    <w:rsid w:val="001B4B77"/>
    <w:rsid w:val="001B4D08"/>
    <w:rsid w:val="001B4DE2"/>
    <w:rsid w:val="001B4E25"/>
    <w:rsid w:val="001B5466"/>
    <w:rsid w:val="001B577B"/>
    <w:rsid w:val="001B585A"/>
    <w:rsid w:val="001B5CA5"/>
    <w:rsid w:val="001B5DDE"/>
    <w:rsid w:val="001B62C6"/>
    <w:rsid w:val="001B62D0"/>
    <w:rsid w:val="001B65B0"/>
    <w:rsid w:val="001B687A"/>
    <w:rsid w:val="001B689C"/>
    <w:rsid w:val="001B6A0F"/>
    <w:rsid w:val="001B6BFD"/>
    <w:rsid w:val="001B7370"/>
    <w:rsid w:val="001B742E"/>
    <w:rsid w:val="001B748C"/>
    <w:rsid w:val="001B7677"/>
    <w:rsid w:val="001B7C2F"/>
    <w:rsid w:val="001B7C46"/>
    <w:rsid w:val="001B7DA3"/>
    <w:rsid w:val="001B7DF0"/>
    <w:rsid w:val="001C031B"/>
    <w:rsid w:val="001C0940"/>
    <w:rsid w:val="001C0BCF"/>
    <w:rsid w:val="001C0F35"/>
    <w:rsid w:val="001C11DC"/>
    <w:rsid w:val="001C148A"/>
    <w:rsid w:val="001C157F"/>
    <w:rsid w:val="001C17E9"/>
    <w:rsid w:val="001C18BE"/>
    <w:rsid w:val="001C18E4"/>
    <w:rsid w:val="001C1DC8"/>
    <w:rsid w:val="001C1F92"/>
    <w:rsid w:val="001C2CAD"/>
    <w:rsid w:val="001C2EE4"/>
    <w:rsid w:val="001C2F3C"/>
    <w:rsid w:val="001C3046"/>
    <w:rsid w:val="001C3693"/>
    <w:rsid w:val="001C3ACE"/>
    <w:rsid w:val="001C3D0B"/>
    <w:rsid w:val="001C3D55"/>
    <w:rsid w:val="001C3DB7"/>
    <w:rsid w:val="001C4500"/>
    <w:rsid w:val="001C4718"/>
    <w:rsid w:val="001C4953"/>
    <w:rsid w:val="001C4C26"/>
    <w:rsid w:val="001C535E"/>
    <w:rsid w:val="001C5625"/>
    <w:rsid w:val="001C5B5E"/>
    <w:rsid w:val="001C6141"/>
    <w:rsid w:val="001C632A"/>
    <w:rsid w:val="001C6951"/>
    <w:rsid w:val="001C6B03"/>
    <w:rsid w:val="001C6E1B"/>
    <w:rsid w:val="001C734C"/>
    <w:rsid w:val="001C7490"/>
    <w:rsid w:val="001C7B2D"/>
    <w:rsid w:val="001C7E0C"/>
    <w:rsid w:val="001D03D1"/>
    <w:rsid w:val="001D05AA"/>
    <w:rsid w:val="001D10FB"/>
    <w:rsid w:val="001D1A3F"/>
    <w:rsid w:val="001D1E81"/>
    <w:rsid w:val="001D1F2F"/>
    <w:rsid w:val="001D27C0"/>
    <w:rsid w:val="001D2AD9"/>
    <w:rsid w:val="001D2E0E"/>
    <w:rsid w:val="001D2EA1"/>
    <w:rsid w:val="001D30AA"/>
    <w:rsid w:val="001D3229"/>
    <w:rsid w:val="001D3D3F"/>
    <w:rsid w:val="001D3D61"/>
    <w:rsid w:val="001D3DEB"/>
    <w:rsid w:val="001D4096"/>
    <w:rsid w:val="001D4180"/>
    <w:rsid w:val="001D4419"/>
    <w:rsid w:val="001D4865"/>
    <w:rsid w:val="001D4909"/>
    <w:rsid w:val="001D4E9B"/>
    <w:rsid w:val="001D559C"/>
    <w:rsid w:val="001D5B83"/>
    <w:rsid w:val="001D5C48"/>
    <w:rsid w:val="001D5D31"/>
    <w:rsid w:val="001D6930"/>
    <w:rsid w:val="001D6A97"/>
    <w:rsid w:val="001D6C85"/>
    <w:rsid w:val="001D6EA3"/>
    <w:rsid w:val="001D73D5"/>
    <w:rsid w:val="001D740D"/>
    <w:rsid w:val="001D777B"/>
    <w:rsid w:val="001E000D"/>
    <w:rsid w:val="001E014D"/>
    <w:rsid w:val="001E0354"/>
    <w:rsid w:val="001E03FE"/>
    <w:rsid w:val="001E0479"/>
    <w:rsid w:val="001E065A"/>
    <w:rsid w:val="001E0795"/>
    <w:rsid w:val="001E0910"/>
    <w:rsid w:val="001E0FB0"/>
    <w:rsid w:val="001E11BE"/>
    <w:rsid w:val="001E14A2"/>
    <w:rsid w:val="001E1A52"/>
    <w:rsid w:val="001E1DA3"/>
    <w:rsid w:val="001E2164"/>
    <w:rsid w:val="001E2BD2"/>
    <w:rsid w:val="001E2E17"/>
    <w:rsid w:val="001E3CA7"/>
    <w:rsid w:val="001E3D44"/>
    <w:rsid w:val="001E52C3"/>
    <w:rsid w:val="001E530B"/>
    <w:rsid w:val="001E5BBB"/>
    <w:rsid w:val="001E603D"/>
    <w:rsid w:val="001E6095"/>
    <w:rsid w:val="001E61C1"/>
    <w:rsid w:val="001E65E6"/>
    <w:rsid w:val="001E68C5"/>
    <w:rsid w:val="001E6E7B"/>
    <w:rsid w:val="001E7256"/>
    <w:rsid w:val="001E7465"/>
    <w:rsid w:val="001E7791"/>
    <w:rsid w:val="001E798B"/>
    <w:rsid w:val="001E7BDD"/>
    <w:rsid w:val="001E7C03"/>
    <w:rsid w:val="001E7D69"/>
    <w:rsid w:val="001F00AD"/>
    <w:rsid w:val="001F0432"/>
    <w:rsid w:val="001F061D"/>
    <w:rsid w:val="001F0659"/>
    <w:rsid w:val="001F0675"/>
    <w:rsid w:val="001F0AD8"/>
    <w:rsid w:val="001F0F0B"/>
    <w:rsid w:val="001F0FBD"/>
    <w:rsid w:val="001F0FC5"/>
    <w:rsid w:val="001F11E4"/>
    <w:rsid w:val="001F14E8"/>
    <w:rsid w:val="001F206A"/>
    <w:rsid w:val="001F23B7"/>
    <w:rsid w:val="001F262F"/>
    <w:rsid w:val="001F26F9"/>
    <w:rsid w:val="001F27C7"/>
    <w:rsid w:val="001F293C"/>
    <w:rsid w:val="001F29C2"/>
    <w:rsid w:val="001F2EF2"/>
    <w:rsid w:val="001F3893"/>
    <w:rsid w:val="001F3F07"/>
    <w:rsid w:val="001F4573"/>
    <w:rsid w:val="001F4889"/>
    <w:rsid w:val="001F4A0E"/>
    <w:rsid w:val="001F4DDF"/>
    <w:rsid w:val="001F5178"/>
    <w:rsid w:val="001F525A"/>
    <w:rsid w:val="001F5592"/>
    <w:rsid w:val="001F57D9"/>
    <w:rsid w:val="001F5B49"/>
    <w:rsid w:val="001F5C43"/>
    <w:rsid w:val="001F5F42"/>
    <w:rsid w:val="001F6272"/>
    <w:rsid w:val="001F6399"/>
    <w:rsid w:val="001F63A8"/>
    <w:rsid w:val="001F63B8"/>
    <w:rsid w:val="001F63C6"/>
    <w:rsid w:val="001F6D4E"/>
    <w:rsid w:val="001F6E2A"/>
    <w:rsid w:val="001F70BD"/>
    <w:rsid w:val="001F737C"/>
    <w:rsid w:val="001F73CB"/>
    <w:rsid w:val="001F7896"/>
    <w:rsid w:val="001F7C26"/>
    <w:rsid w:val="0020044B"/>
    <w:rsid w:val="002004F7"/>
    <w:rsid w:val="00200A01"/>
    <w:rsid w:val="00200B02"/>
    <w:rsid w:val="00200B0E"/>
    <w:rsid w:val="00200C78"/>
    <w:rsid w:val="00200DDA"/>
    <w:rsid w:val="00200DE2"/>
    <w:rsid w:val="00200E22"/>
    <w:rsid w:val="00200EF7"/>
    <w:rsid w:val="00200EFE"/>
    <w:rsid w:val="002011D7"/>
    <w:rsid w:val="002015C1"/>
    <w:rsid w:val="002015F2"/>
    <w:rsid w:val="002017A6"/>
    <w:rsid w:val="0020182E"/>
    <w:rsid w:val="00202384"/>
    <w:rsid w:val="00202B5D"/>
    <w:rsid w:val="00202FE3"/>
    <w:rsid w:val="0020312E"/>
    <w:rsid w:val="0020322D"/>
    <w:rsid w:val="0020329A"/>
    <w:rsid w:val="002035BB"/>
    <w:rsid w:val="00203D5D"/>
    <w:rsid w:val="00203E2F"/>
    <w:rsid w:val="00203F81"/>
    <w:rsid w:val="002042F4"/>
    <w:rsid w:val="002048FC"/>
    <w:rsid w:val="00204BCA"/>
    <w:rsid w:val="00204E5D"/>
    <w:rsid w:val="00205183"/>
    <w:rsid w:val="0020536B"/>
    <w:rsid w:val="0020538E"/>
    <w:rsid w:val="00205552"/>
    <w:rsid w:val="00205896"/>
    <w:rsid w:val="0020598B"/>
    <w:rsid w:val="002060EC"/>
    <w:rsid w:val="00206861"/>
    <w:rsid w:val="002069A3"/>
    <w:rsid w:val="00206A8B"/>
    <w:rsid w:val="00206F33"/>
    <w:rsid w:val="0020735E"/>
    <w:rsid w:val="00207B84"/>
    <w:rsid w:val="00207BE0"/>
    <w:rsid w:val="002103E5"/>
    <w:rsid w:val="00210AD3"/>
    <w:rsid w:val="00210B62"/>
    <w:rsid w:val="00210DCE"/>
    <w:rsid w:val="002112F8"/>
    <w:rsid w:val="0021195C"/>
    <w:rsid w:val="00211D3F"/>
    <w:rsid w:val="00211E9D"/>
    <w:rsid w:val="00211F87"/>
    <w:rsid w:val="00212205"/>
    <w:rsid w:val="00212224"/>
    <w:rsid w:val="002129EF"/>
    <w:rsid w:val="0021349C"/>
    <w:rsid w:val="0021352E"/>
    <w:rsid w:val="00213604"/>
    <w:rsid w:val="0021360C"/>
    <w:rsid w:val="00213694"/>
    <w:rsid w:val="0021383D"/>
    <w:rsid w:val="00213A95"/>
    <w:rsid w:val="00213BAC"/>
    <w:rsid w:val="00213C4E"/>
    <w:rsid w:val="00214572"/>
    <w:rsid w:val="00214BD2"/>
    <w:rsid w:val="00214D29"/>
    <w:rsid w:val="00214EA3"/>
    <w:rsid w:val="00215253"/>
    <w:rsid w:val="002152E7"/>
    <w:rsid w:val="00215757"/>
    <w:rsid w:val="002158F6"/>
    <w:rsid w:val="00215AA6"/>
    <w:rsid w:val="00215DD8"/>
    <w:rsid w:val="002160B7"/>
    <w:rsid w:val="002165E0"/>
    <w:rsid w:val="00216792"/>
    <w:rsid w:val="00216B45"/>
    <w:rsid w:val="00216D49"/>
    <w:rsid w:val="00216F3C"/>
    <w:rsid w:val="00217336"/>
    <w:rsid w:val="0021737E"/>
    <w:rsid w:val="0021738F"/>
    <w:rsid w:val="00217789"/>
    <w:rsid w:val="002178F7"/>
    <w:rsid w:val="002179C4"/>
    <w:rsid w:val="00217C4A"/>
    <w:rsid w:val="00217DFD"/>
    <w:rsid w:val="00220148"/>
    <w:rsid w:val="002202ED"/>
    <w:rsid w:val="002204FC"/>
    <w:rsid w:val="00220558"/>
    <w:rsid w:val="002208D9"/>
    <w:rsid w:val="00220F68"/>
    <w:rsid w:val="00221390"/>
    <w:rsid w:val="00221758"/>
    <w:rsid w:val="0022185E"/>
    <w:rsid w:val="00221D97"/>
    <w:rsid w:val="00221E5A"/>
    <w:rsid w:val="00222140"/>
    <w:rsid w:val="002221E3"/>
    <w:rsid w:val="002224C7"/>
    <w:rsid w:val="002226D7"/>
    <w:rsid w:val="00222879"/>
    <w:rsid w:val="0022353E"/>
    <w:rsid w:val="00223852"/>
    <w:rsid w:val="00223940"/>
    <w:rsid w:val="00224165"/>
    <w:rsid w:val="00224451"/>
    <w:rsid w:val="002244D6"/>
    <w:rsid w:val="00224944"/>
    <w:rsid w:val="00224E12"/>
    <w:rsid w:val="00224F21"/>
    <w:rsid w:val="00225493"/>
    <w:rsid w:val="00225A4A"/>
    <w:rsid w:val="00226190"/>
    <w:rsid w:val="00226A1A"/>
    <w:rsid w:val="00226D92"/>
    <w:rsid w:val="00226DBD"/>
    <w:rsid w:val="00226DD3"/>
    <w:rsid w:val="0022753A"/>
    <w:rsid w:val="00227567"/>
    <w:rsid w:val="00227A51"/>
    <w:rsid w:val="00227A67"/>
    <w:rsid w:val="00227CEB"/>
    <w:rsid w:val="00227F49"/>
    <w:rsid w:val="0023026F"/>
    <w:rsid w:val="0023047B"/>
    <w:rsid w:val="0023064E"/>
    <w:rsid w:val="0023072F"/>
    <w:rsid w:val="0023073A"/>
    <w:rsid w:val="00230A96"/>
    <w:rsid w:val="002310E7"/>
    <w:rsid w:val="00231105"/>
    <w:rsid w:val="0023192B"/>
    <w:rsid w:val="00231ECC"/>
    <w:rsid w:val="00232273"/>
    <w:rsid w:val="002322FE"/>
    <w:rsid w:val="00232313"/>
    <w:rsid w:val="00232524"/>
    <w:rsid w:val="002325D0"/>
    <w:rsid w:val="00232977"/>
    <w:rsid w:val="0023328C"/>
    <w:rsid w:val="002334F9"/>
    <w:rsid w:val="00233538"/>
    <w:rsid w:val="002338A0"/>
    <w:rsid w:val="0023391E"/>
    <w:rsid w:val="00233C2D"/>
    <w:rsid w:val="00233CC7"/>
    <w:rsid w:val="00233FF0"/>
    <w:rsid w:val="00234361"/>
    <w:rsid w:val="002348C9"/>
    <w:rsid w:val="00235884"/>
    <w:rsid w:val="0023613C"/>
    <w:rsid w:val="002365C0"/>
    <w:rsid w:val="00236B84"/>
    <w:rsid w:val="00236D8B"/>
    <w:rsid w:val="00236ED0"/>
    <w:rsid w:val="00237369"/>
    <w:rsid w:val="002373A2"/>
    <w:rsid w:val="00237599"/>
    <w:rsid w:val="00237901"/>
    <w:rsid w:val="0023792E"/>
    <w:rsid w:val="00237A1C"/>
    <w:rsid w:val="00237B1C"/>
    <w:rsid w:val="00237F04"/>
    <w:rsid w:val="002400C9"/>
    <w:rsid w:val="002401C4"/>
    <w:rsid w:val="00240471"/>
    <w:rsid w:val="0024069C"/>
    <w:rsid w:val="00240EFB"/>
    <w:rsid w:val="002414F3"/>
    <w:rsid w:val="00241ACF"/>
    <w:rsid w:val="00241B96"/>
    <w:rsid w:val="00242152"/>
    <w:rsid w:val="0024217B"/>
    <w:rsid w:val="002421EA"/>
    <w:rsid w:val="002422A9"/>
    <w:rsid w:val="00242F80"/>
    <w:rsid w:val="0024324F"/>
    <w:rsid w:val="00243279"/>
    <w:rsid w:val="002436C1"/>
    <w:rsid w:val="002437DE"/>
    <w:rsid w:val="0024415A"/>
    <w:rsid w:val="00244C8C"/>
    <w:rsid w:val="002450CD"/>
    <w:rsid w:val="002455EA"/>
    <w:rsid w:val="00245669"/>
    <w:rsid w:val="002460FB"/>
    <w:rsid w:val="00246A4B"/>
    <w:rsid w:val="0024711A"/>
    <w:rsid w:val="00247120"/>
    <w:rsid w:val="00247220"/>
    <w:rsid w:val="00247B66"/>
    <w:rsid w:val="00247C23"/>
    <w:rsid w:val="002501B5"/>
    <w:rsid w:val="002503AF"/>
    <w:rsid w:val="00250B87"/>
    <w:rsid w:val="00250B9B"/>
    <w:rsid w:val="0025135D"/>
    <w:rsid w:val="002513D1"/>
    <w:rsid w:val="00251B20"/>
    <w:rsid w:val="00252362"/>
    <w:rsid w:val="00253DEB"/>
    <w:rsid w:val="00253F2E"/>
    <w:rsid w:val="0025411D"/>
    <w:rsid w:val="002542B0"/>
    <w:rsid w:val="00254A2E"/>
    <w:rsid w:val="00254B38"/>
    <w:rsid w:val="00255325"/>
    <w:rsid w:val="00255BDA"/>
    <w:rsid w:val="002562DB"/>
    <w:rsid w:val="00256929"/>
    <w:rsid w:val="00256BEC"/>
    <w:rsid w:val="00256D5F"/>
    <w:rsid w:val="00256E4B"/>
    <w:rsid w:val="00257085"/>
    <w:rsid w:val="002576E6"/>
    <w:rsid w:val="00257E5B"/>
    <w:rsid w:val="00257F09"/>
    <w:rsid w:val="00260022"/>
    <w:rsid w:val="002600A5"/>
    <w:rsid w:val="002606E7"/>
    <w:rsid w:val="0026094A"/>
    <w:rsid w:val="002609E1"/>
    <w:rsid w:val="00260B92"/>
    <w:rsid w:val="00260D19"/>
    <w:rsid w:val="002611F5"/>
    <w:rsid w:val="0026124E"/>
    <w:rsid w:val="002617B1"/>
    <w:rsid w:val="00261919"/>
    <w:rsid w:val="0026194A"/>
    <w:rsid w:val="00261A24"/>
    <w:rsid w:val="00261DF2"/>
    <w:rsid w:val="0026216F"/>
    <w:rsid w:val="00262C0B"/>
    <w:rsid w:val="0026300C"/>
    <w:rsid w:val="002635F6"/>
    <w:rsid w:val="002637D9"/>
    <w:rsid w:val="00263FA4"/>
    <w:rsid w:val="00264633"/>
    <w:rsid w:val="00264CB8"/>
    <w:rsid w:val="00264F4B"/>
    <w:rsid w:val="00265468"/>
    <w:rsid w:val="00265526"/>
    <w:rsid w:val="002657CF"/>
    <w:rsid w:val="00265A32"/>
    <w:rsid w:val="00265C21"/>
    <w:rsid w:val="00265E3F"/>
    <w:rsid w:val="00266056"/>
    <w:rsid w:val="0026611F"/>
    <w:rsid w:val="00266256"/>
    <w:rsid w:val="00266365"/>
    <w:rsid w:val="0026680B"/>
    <w:rsid w:val="00266892"/>
    <w:rsid w:val="00266A7E"/>
    <w:rsid w:val="00266C46"/>
    <w:rsid w:val="002671E8"/>
    <w:rsid w:val="00267369"/>
    <w:rsid w:val="00267D15"/>
    <w:rsid w:val="00267E3F"/>
    <w:rsid w:val="00267F81"/>
    <w:rsid w:val="00270176"/>
    <w:rsid w:val="00270597"/>
    <w:rsid w:val="00270602"/>
    <w:rsid w:val="002707AB"/>
    <w:rsid w:val="002708FB"/>
    <w:rsid w:val="002709BD"/>
    <w:rsid w:val="00270F95"/>
    <w:rsid w:val="00270FAD"/>
    <w:rsid w:val="002717E7"/>
    <w:rsid w:val="00271E4F"/>
    <w:rsid w:val="002720CC"/>
    <w:rsid w:val="00272AD7"/>
    <w:rsid w:val="002730E8"/>
    <w:rsid w:val="0027321A"/>
    <w:rsid w:val="002733B8"/>
    <w:rsid w:val="00273840"/>
    <w:rsid w:val="00273BCD"/>
    <w:rsid w:val="00273C3D"/>
    <w:rsid w:val="00273F89"/>
    <w:rsid w:val="002741B8"/>
    <w:rsid w:val="0027423C"/>
    <w:rsid w:val="002743A2"/>
    <w:rsid w:val="00274ABE"/>
    <w:rsid w:val="00274B18"/>
    <w:rsid w:val="00274B40"/>
    <w:rsid w:val="002753A9"/>
    <w:rsid w:val="00275844"/>
    <w:rsid w:val="00275C3A"/>
    <w:rsid w:val="00275C40"/>
    <w:rsid w:val="00275D3B"/>
    <w:rsid w:val="00275DAE"/>
    <w:rsid w:val="00275F17"/>
    <w:rsid w:val="0027631D"/>
    <w:rsid w:val="00276556"/>
    <w:rsid w:val="00276A31"/>
    <w:rsid w:val="00276C95"/>
    <w:rsid w:val="002772E0"/>
    <w:rsid w:val="00277B20"/>
    <w:rsid w:val="00277B47"/>
    <w:rsid w:val="00277BC3"/>
    <w:rsid w:val="0028039A"/>
    <w:rsid w:val="00281016"/>
    <w:rsid w:val="002813C7"/>
    <w:rsid w:val="002817F3"/>
    <w:rsid w:val="00281DBD"/>
    <w:rsid w:val="00281E46"/>
    <w:rsid w:val="002820A0"/>
    <w:rsid w:val="00282575"/>
    <w:rsid w:val="002828A1"/>
    <w:rsid w:val="002829DB"/>
    <w:rsid w:val="00282F01"/>
    <w:rsid w:val="00282F5B"/>
    <w:rsid w:val="00283388"/>
    <w:rsid w:val="002836CC"/>
    <w:rsid w:val="00283789"/>
    <w:rsid w:val="00283BC9"/>
    <w:rsid w:val="00283EAB"/>
    <w:rsid w:val="00284218"/>
    <w:rsid w:val="002845C9"/>
    <w:rsid w:val="002849D8"/>
    <w:rsid w:val="00284BA5"/>
    <w:rsid w:val="00284CA2"/>
    <w:rsid w:val="002850CA"/>
    <w:rsid w:val="002851AA"/>
    <w:rsid w:val="002855AB"/>
    <w:rsid w:val="002855C3"/>
    <w:rsid w:val="002855CF"/>
    <w:rsid w:val="0028564F"/>
    <w:rsid w:val="00285AD5"/>
    <w:rsid w:val="00285B27"/>
    <w:rsid w:val="002863C4"/>
    <w:rsid w:val="00286503"/>
    <w:rsid w:val="0028666C"/>
    <w:rsid w:val="002867C9"/>
    <w:rsid w:val="00286D0F"/>
    <w:rsid w:val="00286D29"/>
    <w:rsid w:val="002878C2"/>
    <w:rsid w:val="00287BA3"/>
    <w:rsid w:val="002900F8"/>
    <w:rsid w:val="00290220"/>
    <w:rsid w:val="00291208"/>
    <w:rsid w:val="00291B4B"/>
    <w:rsid w:val="00291DD0"/>
    <w:rsid w:val="00291E53"/>
    <w:rsid w:val="00292021"/>
    <w:rsid w:val="002921C7"/>
    <w:rsid w:val="002921D5"/>
    <w:rsid w:val="00292422"/>
    <w:rsid w:val="002927FF"/>
    <w:rsid w:val="0029285F"/>
    <w:rsid w:val="00292C24"/>
    <w:rsid w:val="00292D97"/>
    <w:rsid w:val="00292DCB"/>
    <w:rsid w:val="00293455"/>
    <w:rsid w:val="00293988"/>
    <w:rsid w:val="00293D85"/>
    <w:rsid w:val="002944C1"/>
    <w:rsid w:val="00294745"/>
    <w:rsid w:val="00294927"/>
    <w:rsid w:val="00294A3E"/>
    <w:rsid w:val="00294D79"/>
    <w:rsid w:val="00294F7E"/>
    <w:rsid w:val="002950F8"/>
    <w:rsid w:val="002953B1"/>
    <w:rsid w:val="0029546E"/>
    <w:rsid w:val="00295662"/>
    <w:rsid w:val="00295724"/>
    <w:rsid w:val="0029582E"/>
    <w:rsid w:val="00295B07"/>
    <w:rsid w:val="00295BA4"/>
    <w:rsid w:val="00295CE6"/>
    <w:rsid w:val="00295E19"/>
    <w:rsid w:val="00296483"/>
    <w:rsid w:val="00296C31"/>
    <w:rsid w:val="00296C66"/>
    <w:rsid w:val="00296DC0"/>
    <w:rsid w:val="00296FEF"/>
    <w:rsid w:val="002974D7"/>
    <w:rsid w:val="002977CE"/>
    <w:rsid w:val="002978D4"/>
    <w:rsid w:val="00297D4B"/>
    <w:rsid w:val="00297DDC"/>
    <w:rsid w:val="00297F55"/>
    <w:rsid w:val="002A0153"/>
    <w:rsid w:val="002A0346"/>
    <w:rsid w:val="002A0515"/>
    <w:rsid w:val="002A0F3C"/>
    <w:rsid w:val="002A124D"/>
    <w:rsid w:val="002A1427"/>
    <w:rsid w:val="002A146A"/>
    <w:rsid w:val="002A1C11"/>
    <w:rsid w:val="002A1E6D"/>
    <w:rsid w:val="002A1FB4"/>
    <w:rsid w:val="002A229C"/>
    <w:rsid w:val="002A23EB"/>
    <w:rsid w:val="002A291C"/>
    <w:rsid w:val="002A29B7"/>
    <w:rsid w:val="002A2CD8"/>
    <w:rsid w:val="002A2E52"/>
    <w:rsid w:val="002A2EB1"/>
    <w:rsid w:val="002A3240"/>
    <w:rsid w:val="002A3A6D"/>
    <w:rsid w:val="002A40B1"/>
    <w:rsid w:val="002A4195"/>
    <w:rsid w:val="002A4383"/>
    <w:rsid w:val="002A4571"/>
    <w:rsid w:val="002A4CD3"/>
    <w:rsid w:val="002A53D2"/>
    <w:rsid w:val="002A56E1"/>
    <w:rsid w:val="002A5FC3"/>
    <w:rsid w:val="002A5FEA"/>
    <w:rsid w:val="002A6102"/>
    <w:rsid w:val="002A61AE"/>
    <w:rsid w:val="002A6641"/>
    <w:rsid w:val="002A723D"/>
    <w:rsid w:val="002A730E"/>
    <w:rsid w:val="002A7A7E"/>
    <w:rsid w:val="002A7C26"/>
    <w:rsid w:val="002B0319"/>
    <w:rsid w:val="002B0819"/>
    <w:rsid w:val="002B093F"/>
    <w:rsid w:val="002B0C52"/>
    <w:rsid w:val="002B0E44"/>
    <w:rsid w:val="002B0EF7"/>
    <w:rsid w:val="002B1226"/>
    <w:rsid w:val="002B1362"/>
    <w:rsid w:val="002B1465"/>
    <w:rsid w:val="002B196C"/>
    <w:rsid w:val="002B2072"/>
    <w:rsid w:val="002B28E4"/>
    <w:rsid w:val="002B32C6"/>
    <w:rsid w:val="002B3492"/>
    <w:rsid w:val="002B34EE"/>
    <w:rsid w:val="002B397E"/>
    <w:rsid w:val="002B435A"/>
    <w:rsid w:val="002B449A"/>
    <w:rsid w:val="002B46EF"/>
    <w:rsid w:val="002B4A3E"/>
    <w:rsid w:val="002B4A75"/>
    <w:rsid w:val="002B50AE"/>
    <w:rsid w:val="002B538D"/>
    <w:rsid w:val="002B601D"/>
    <w:rsid w:val="002B6525"/>
    <w:rsid w:val="002B652F"/>
    <w:rsid w:val="002B668A"/>
    <w:rsid w:val="002B6878"/>
    <w:rsid w:val="002B6997"/>
    <w:rsid w:val="002B6EBC"/>
    <w:rsid w:val="002B6F45"/>
    <w:rsid w:val="002B71A9"/>
    <w:rsid w:val="002B721E"/>
    <w:rsid w:val="002B747C"/>
    <w:rsid w:val="002B74B5"/>
    <w:rsid w:val="002B7700"/>
    <w:rsid w:val="002B79A4"/>
    <w:rsid w:val="002C0024"/>
    <w:rsid w:val="002C04D4"/>
    <w:rsid w:val="002C0B6B"/>
    <w:rsid w:val="002C0D9B"/>
    <w:rsid w:val="002C1334"/>
    <w:rsid w:val="002C151D"/>
    <w:rsid w:val="002C1559"/>
    <w:rsid w:val="002C159B"/>
    <w:rsid w:val="002C2010"/>
    <w:rsid w:val="002C22D0"/>
    <w:rsid w:val="002C2BC0"/>
    <w:rsid w:val="002C2E78"/>
    <w:rsid w:val="002C2F29"/>
    <w:rsid w:val="002C2F8F"/>
    <w:rsid w:val="002C3060"/>
    <w:rsid w:val="002C355C"/>
    <w:rsid w:val="002C3668"/>
    <w:rsid w:val="002C370E"/>
    <w:rsid w:val="002C37BE"/>
    <w:rsid w:val="002C3A97"/>
    <w:rsid w:val="002C3AB9"/>
    <w:rsid w:val="002C3C2D"/>
    <w:rsid w:val="002C3DFA"/>
    <w:rsid w:val="002C41D5"/>
    <w:rsid w:val="002C4352"/>
    <w:rsid w:val="002C47CF"/>
    <w:rsid w:val="002C48FE"/>
    <w:rsid w:val="002C537C"/>
    <w:rsid w:val="002C5791"/>
    <w:rsid w:val="002C60D1"/>
    <w:rsid w:val="002C6544"/>
    <w:rsid w:val="002C6C69"/>
    <w:rsid w:val="002C6DD9"/>
    <w:rsid w:val="002C6E92"/>
    <w:rsid w:val="002C6E98"/>
    <w:rsid w:val="002C7235"/>
    <w:rsid w:val="002C762F"/>
    <w:rsid w:val="002C7BB8"/>
    <w:rsid w:val="002D012B"/>
    <w:rsid w:val="002D037F"/>
    <w:rsid w:val="002D047C"/>
    <w:rsid w:val="002D04C1"/>
    <w:rsid w:val="002D0972"/>
    <w:rsid w:val="002D0A3F"/>
    <w:rsid w:val="002D0CE2"/>
    <w:rsid w:val="002D0D0E"/>
    <w:rsid w:val="002D0F55"/>
    <w:rsid w:val="002D11E5"/>
    <w:rsid w:val="002D1271"/>
    <w:rsid w:val="002D1A73"/>
    <w:rsid w:val="002D2871"/>
    <w:rsid w:val="002D2937"/>
    <w:rsid w:val="002D2B3E"/>
    <w:rsid w:val="002D2F39"/>
    <w:rsid w:val="002D2F86"/>
    <w:rsid w:val="002D3151"/>
    <w:rsid w:val="002D35FE"/>
    <w:rsid w:val="002D3700"/>
    <w:rsid w:val="002D3C97"/>
    <w:rsid w:val="002D4836"/>
    <w:rsid w:val="002D4C38"/>
    <w:rsid w:val="002D4D1F"/>
    <w:rsid w:val="002D4F5E"/>
    <w:rsid w:val="002D576B"/>
    <w:rsid w:val="002D5E4B"/>
    <w:rsid w:val="002D65ED"/>
    <w:rsid w:val="002D67F9"/>
    <w:rsid w:val="002D694D"/>
    <w:rsid w:val="002D6FBA"/>
    <w:rsid w:val="002D704B"/>
    <w:rsid w:val="002D7650"/>
    <w:rsid w:val="002D7D63"/>
    <w:rsid w:val="002D7DB7"/>
    <w:rsid w:val="002E026C"/>
    <w:rsid w:val="002E02FF"/>
    <w:rsid w:val="002E0509"/>
    <w:rsid w:val="002E0551"/>
    <w:rsid w:val="002E0C5D"/>
    <w:rsid w:val="002E1545"/>
    <w:rsid w:val="002E168F"/>
    <w:rsid w:val="002E1A12"/>
    <w:rsid w:val="002E1DAF"/>
    <w:rsid w:val="002E1E46"/>
    <w:rsid w:val="002E1F98"/>
    <w:rsid w:val="002E2221"/>
    <w:rsid w:val="002E2448"/>
    <w:rsid w:val="002E272B"/>
    <w:rsid w:val="002E28A5"/>
    <w:rsid w:val="002E28CF"/>
    <w:rsid w:val="002E2BA7"/>
    <w:rsid w:val="002E2C0E"/>
    <w:rsid w:val="002E35A7"/>
    <w:rsid w:val="002E373C"/>
    <w:rsid w:val="002E3778"/>
    <w:rsid w:val="002E3857"/>
    <w:rsid w:val="002E3B09"/>
    <w:rsid w:val="002E3F29"/>
    <w:rsid w:val="002E464B"/>
    <w:rsid w:val="002E46D9"/>
    <w:rsid w:val="002E4952"/>
    <w:rsid w:val="002E4A2A"/>
    <w:rsid w:val="002E51A2"/>
    <w:rsid w:val="002E525A"/>
    <w:rsid w:val="002E5AB3"/>
    <w:rsid w:val="002E5CDA"/>
    <w:rsid w:val="002E5F16"/>
    <w:rsid w:val="002E60C7"/>
    <w:rsid w:val="002E6140"/>
    <w:rsid w:val="002E622D"/>
    <w:rsid w:val="002E66A6"/>
    <w:rsid w:val="002E6A02"/>
    <w:rsid w:val="002E6B49"/>
    <w:rsid w:val="002E6F44"/>
    <w:rsid w:val="002E6F99"/>
    <w:rsid w:val="002E7189"/>
    <w:rsid w:val="002E7600"/>
    <w:rsid w:val="002E7720"/>
    <w:rsid w:val="002E7815"/>
    <w:rsid w:val="002E7B6A"/>
    <w:rsid w:val="002E7D77"/>
    <w:rsid w:val="002E7E6E"/>
    <w:rsid w:val="002F035A"/>
    <w:rsid w:val="002F1165"/>
    <w:rsid w:val="002F13B1"/>
    <w:rsid w:val="002F1556"/>
    <w:rsid w:val="002F1700"/>
    <w:rsid w:val="002F184D"/>
    <w:rsid w:val="002F22D6"/>
    <w:rsid w:val="002F2459"/>
    <w:rsid w:val="002F26AB"/>
    <w:rsid w:val="002F2747"/>
    <w:rsid w:val="002F2F23"/>
    <w:rsid w:val="002F2F49"/>
    <w:rsid w:val="002F3188"/>
    <w:rsid w:val="002F35B1"/>
    <w:rsid w:val="002F3B14"/>
    <w:rsid w:val="002F404C"/>
    <w:rsid w:val="002F414F"/>
    <w:rsid w:val="002F4240"/>
    <w:rsid w:val="002F43D1"/>
    <w:rsid w:val="002F49DB"/>
    <w:rsid w:val="002F4AA1"/>
    <w:rsid w:val="002F4C9D"/>
    <w:rsid w:val="002F594E"/>
    <w:rsid w:val="002F59F8"/>
    <w:rsid w:val="002F6006"/>
    <w:rsid w:val="002F60BA"/>
    <w:rsid w:val="002F64A9"/>
    <w:rsid w:val="002F6BB4"/>
    <w:rsid w:val="002F6D5C"/>
    <w:rsid w:val="002F71F3"/>
    <w:rsid w:val="002F728D"/>
    <w:rsid w:val="002F7760"/>
    <w:rsid w:val="002F77A1"/>
    <w:rsid w:val="002F7C05"/>
    <w:rsid w:val="002F7D0A"/>
    <w:rsid w:val="002F7F90"/>
    <w:rsid w:val="003000EF"/>
    <w:rsid w:val="0030031A"/>
    <w:rsid w:val="00300BD7"/>
    <w:rsid w:val="00300EF3"/>
    <w:rsid w:val="00300FF8"/>
    <w:rsid w:val="00301211"/>
    <w:rsid w:val="00301345"/>
    <w:rsid w:val="00301677"/>
    <w:rsid w:val="003017D1"/>
    <w:rsid w:val="00301C50"/>
    <w:rsid w:val="00301C76"/>
    <w:rsid w:val="0030204F"/>
    <w:rsid w:val="003024A3"/>
    <w:rsid w:val="003026D6"/>
    <w:rsid w:val="003033DF"/>
    <w:rsid w:val="00303714"/>
    <w:rsid w:val="00303A91"/>
    <w:rsid w:val="00303B26"/>
    <w:rsid w:val="00303EF6"/>
    <w:rsid w:val="00304333"/>
    <w:rsid w:val="003045D2"/>
    <w:rsid w:val="00304749"/>
    <w:rsid w:val="003047A6"/>
    <w:rsid w:val="00305941"/>
    <w:rsid w:val="00305D84"/>
    <w:rsid w:val="00306111"/>
    <w:rsid w:val="00306473"/>
    <w:rsid w:val="003068C2"/>
    <w:rsid w:val="0030690C"/>
    <w:rsid w:val="00306B9C"/>
    <w:rsid w:val="00306D9E"/>
    <w:rsid w:val="00306DD4"/>
    <w:rsid w:val="00306ED4"/>
    <w:rsid w:val="00307396"/>
    <w:rsid w:val="00307528"/>
    <w:rsid w:val="00307C66"/>
    <w:rsid w:val="00307FCB"/>
    <w:rsid w:val="003104F3"/>
    <w:rsid w:val="00310B41"/>
    <w:rsid w:val="00310CFD"/>
    <w:rsid w:val="00311181"/>
    <w:rsid w:val="003113AD"/>
    <w:rsid w:val="003117EB"/>
    <w:rsid w:val="00311E39"/>
    <w:rsid w:val="00311E96"/>
    <w:rsid w:val="00312016"/>
    <w:rsid w:val="00312034"/>
    <w:rsid w:val="003120A7"/>
    <w:rsid w:val="00312207"/>
    <w:rsid w:val="00312401"/>
    <w:rsid w:val="003124C1"/>
    <w:rsid w:val="00312C58"/>
    <w:rsid w:val="00312FA3"/>
    <w:rsid w:val="0031358B"/>
    <w:rsid w:val="00313643"/>
    <w:rsid w:val="00313C0B"/>
    <w:rsid w:val="0031414E"/>
    <w:rsid w:val="003145F6"/>
    <w:rsid w:val="0031476B"/>
    <w:rsid w:val="0031483F"/>
    <w:rsid w:val="0031491B"/>
    <w:rsid w:val="00314DF1"/>
    <w:rsid w:val="00315544"/>
    <w:rsid w:val="0031591F"/>
    <w:rsid w:val="00315CA4"/>
    <w:rsid w:val="0031626A"/>
    <w:rsid w:val="0031637B"/>
    <w:rsid w:val="00316493"/>
    <w:rsid w:val="003164EA"/>
    <w:rsid w:val="00316E32"/>
    <w:rsid w:val="00317447"/>
    <w:rsid w:val="00317C80"/>
    <w:rsid w:val="00320298"/>
    <w:rsid w:val="00320457"/>
    <w:rsid w:val="003204D5"/>
    <w:rsid w:val="003206B5"/>
    <w:rsid w:val="00320702"/>
    <w:rsid w:val="00320AB2"/>
    <w:rsid w:val="00320E74"/>
    <w:rsid w:val="00321147"/>
    <w:rsid w:val="0032159E"/>
    <w:rsid w:val="00321EEF"/>
    <w:rsid w:val="00321F9C"/>
    <w:rsid w:val="003222AA"/>
    <w:rsid w:val="003226F9"/>
    <w:rsid w:val="00322815"/>
    <w:rsid w:val="00323098"/>
    <w:rsid w:val="003231EF"/>
    <w:rsid w:val="00323B38"/>
    <w:rsid w:val="00323C1C"/>
    <w:rsid w:val="00323E45"/>
    <w:rsid w:val="0032410D"/>
    <w:rsid w:val="00324755"/>
    <w:rsid w:val="003247AF"/>
    <w:rsid w:val="00324D19"/>
    <w:rsid w:val="0032501D"/>
    <w:rsid w:val="00325020"/>
    <w:rsid w:val="003253BE"/>
    <w:rsid w:val="0032558C"/>
    <w:rsid w:val="0032580C"/>
    <w:rsid w:val="00326574"/>
    <w:rsid w:val="00326794"/>
    <w:rsid w:val="00326970"/>
    <w:rsid w:val="003269BC"/>
    <w:rsid w:val="003269E7"/>
    <w:rsid w:val="00326BFE"/>
    <w:rsid w:val="00327019"/>
    <w:rsid w:val="0032715D"/>
    <w:rsid w:val="00327346"/>
    <w:rsid w:val="00327368"/>
    <w:rsid w:val="0032766E"/>
    <w:rsid w:val="003276AB"/>
    <w:rsid w:val="0032784B"/>
    <w:rsid w:val="003279C0"/>
    <w:rsid w:val="00327AB0"/>
    <w:rsid w:val="00327B2C"/>
    <w:rsid w:val="00327CCF"/>
    <w:rsid w:val="00327D4D"/>
    <w:rsid w:val="00330144"/>
    <w:rsid w:val="00330253"/>
    <w:rsid w:val="0033083B"/>
    <w:rsid w:val="00330A6E"/>
    <w:rsid w:val="00330AB2"/>
    <w:rsid w:val="00330D06"/>
    <w:rsid w:val="0033130F"/>
    <w:rsid w:val="00331414"/>
    <w:rsid w:val="00331503"/>
    <w:rsid w:val="00331752"/>
    <w:rsid w:val="0033190E"/>
    <w:rsid w:val="0033197E"/>
    <w:rsid w:val="00331A58"/>
    <w:rsid w:val="00331E23"/>
    <w:rsid w:val="00331FC9"/>
    <w:rsid w:val="003320DD"/>
    <w:rsid w:val="00333037"/>
    <w:rsid w:val="0033315B"/>
    <w:rsid w:val="00333628"/>
    <w:rsid w:val="0033381C"/>
    <w:rsid w:val="00333C9E"/>
    <w:rsid w:val="00333E87"/>
    <w:rsid w:val="00333F01"/>
    <w:rsid w:val="00334465"/>
    <w:rsid w:val="003348E4"/>
    <w:rsid w:val="003349D3"/>
    <w:rsid w:val="00334F3D"/>
    <w:rsid w:val="00335261"/>
    <w:rsid w:val="003355AF"/>
    <w:rsid w:val="003357F5"/>
    <w:rsid w:val="00335A37"/>
    <w:rsid w:val="00335B9A"/>
    <w:rsid w:val="00336993"/>
    <w:rsid w:val="003369F5"/>
    <w:rsid w:val="00336C24"/>
    <w:rsid w:val="00336D06"/>
    <w:rsid w:val="00336E6C"/>
    <w:rsid w:val="00336E94"/>
    <w:rsid w:val="00336E99"/>
    <w:rsid w:val="003371C9"/>
    <w:rsid w:val="003371DB"/>
    <w:rsid w:val="00337A39"/>
    <w:rsid w:val="00337DEE"/>
    <w:rsid w:val="003400C5"/>
    <w:rsid w:val="003402C7"/>
    <w:rsid w:val="003405F0"/>
    <w:rsid w:val="00340C6C"/>
    <w:rsid w:val="00340D2C"/>
    <w:rsid w:val="00340F2B"/>
    <w:rsid w:val="003410DC"/>
    <w:rsid w:val="0034110C"/>
    <w:rsid w:val="00341177"/>
    <w:rsid w:val="00341352"/>
    <w:rsid w:val="00341746"/>
    <w:rsid w:val="00341AEE"/>
    <w:rsid w:val="00341C4D"/>
    <w:rsid w:val="00341C73"/>
    <w:rsid w:val="00341D94"/>
    <w:rsid w:val="0034209A"/>
    <w:rsid w:val="0034223E"/>
    <w:rsid w:val="003422B6"/>
    <w:rsid w:val="00342716"/>
    <w:rsid w:val="00342B0D"/>
    <w:rsid w:val="00342D34"/>
    <w:rsid w:val="00343794"/>
    <w:rsid w:val="00343C24"/>
    <w:rsid w:val="00343F79"/>
    <w:rsid w:val="003445F0"/>
    <w:rsid w:val="003447CC"/>
    <w:rsid w:val="00344BFC"/>
    <w:rsid w:val="00344C03"/>
    <w:rsid w:val="003451A6"/>
    <w:rsid w:val="003455BF"/>
    <w:rsid w:val="00345BC0"/>
    <w:rsid w:val="00345C0B"/>
    <w:rsid w:val="0034640E"/>
    <w:rsid w:val="003464EA"/>
    <w:rsid w:val="0034657E"/>
    <w:rsid w:val="00346632"/>
    <w:rsid w:val="003466AA"/>
    <w:rsid w:val="003467E8"/>
    <w:rsid w:val="00346BD7"/>
    <w:rsid w:val="0034741C"/>
    <w:rsid w:val="003477AB"/>
    <w:rsid w:val="0034793D"/>
    <w:rsid w:val="003479C3"/>
    <w:rsid w:val="00347CEC"/>
    <w:rsid w:val="00350038"/>
    <w:rsid w:val="0035016E"/>
    <w:rsid w:val="0035068E"/>
    <w:rsid w:val="003506BE"/>
    <w:rsid w:val="00350B7F"/>
    <w:rsid w:val="00350DF3"/>
    <w:rsid w:val="00350E16"/>
    <w:rsid w:val="00350EBF"/>
    <w:rsid w:val="0035115C"/>
    <w:rsid w:val="0035129A"/>
    <w:rsid w:val="00351377"/>
    <w:rsid w:val="00351BF1"/>
    <w:rsid w:val="00352301"/>
    <w:rsid w:val="0035232C"/>
    <w:rsid w:val="003524BB"/>
    <w:rsid w:val="003525BA"/>
    <w:rsid w:val="003525FE"/>
    <w:rsid w:val="003526A2"/>
    <w:rsid w:val="00352776"/>
    <w:rsid w:val="00352A43"/>
    <w:rsid w:val="00352C84"/>
    <w:rsid w:val="003535AE"/>
    <w:rsid w:val="003535DB"/>
    <w:rsid w:val="00353CB5"/>
    <w:rsid w:val="00353E1E"/>
    <w:rsid w:val="003540EE"/>
    <w:rsid w:val="0035487A"/>
    <w:rsid w:val="00354F80"/>
    <w:rsid w:val="00355B48"/>
    <w:rsid w:val="00355F82"/>
    <w:rsid w:val="003565C2"/>
    <w:rsid w:val="003566D2"/>
    <w:rsid w:val="00356AB7"/>
    <w:rsid w:val="00356AFB"/>
    <w:rsid w:val="00356F7C"/>
    <w:rsid w:val="00357150"/>
    <w:rsid w:val="00357266"/>
    <w:rsid w:val="003573E0"/>
    <w:rsid w:val="00357782"/>
    <w:rsid w:val="003578DC"/>
    <w:rsid w:val="0036036B"/>
    <w:rsid w:val="0036060F"/>
    <w:rsid w:val="00360A57"/>
    <w:rsid w:val="00360B63"/>
    <w:rsid w:val="00360BCC"/>
    <w:rsid w:val="00360FFF"/>
    <w:rsid w:val="00361012"/>
    <w:rsid w:val="003613E3"/>
    <w:rsid w:val="003618D6"/>
    <w:rsid w:val="00361E5B"/>
    <w:rsid w:val="003620B4"/>
    <w:rsid w:val="003624EB"/>
    <w:rsid w:val="00362504"/>
    <w:rsid w:val="003626B5"/>
    <w:rsid w:val="003626C7"/>
    <w:rsid w:val="00362AFD"/>
    <w:rsid w:val="00362C5A"/>
    <w:rsid w:val="00362E66"/>
    <w:rsid w:val="003630F0"/>
    <w:rsid w:val="0036319F"/>
    <w:rsid w:val="003633DE"/>
    <w:rsid w:val="003635AA"/>
    <w:rsid w:val="003637C5"/>
    <w:rsid w:val="003637D8"/>
    <w:rsid w:val="00363C16"/>
    <w:rsid w:val="0036402D"/>
    <w:rsid w:val="0036447A"/>
    <w:rsid w:val="0036473A"/>
    <w:rsid w:val="0036499B"/>
    <w:rsid w:val="003649C8"/>
    <w:rsid w:val="0036513B"/>
    <w:rsid w:val="003655F2"/>
    <w:rsid w:val="0036568C"/>
    <w:rsid w:val="003656EB"/>
    <w:rsid w:val="00365731"/>
    <w:rsid w:val="00365861"/>
    <w:rsid w:val="00365870"/>
    <w:rsid w:val="00365A01"/>
    <w:rsid w:val="00365A29"/>
    <w:rsid w:val="00366552"/>
    <w:rsid w:val="00366668"/>
    <w:rsid w:val="00366729"/>
    <w:rsid w:val="0036692A"/>
    <w:rsid w:val="00366C0A"/>
    <w:rsid w:val="00366DA7"/>
    <w:rsid w:val="00366E4B"/>
    <w:rsid w:val="00367103"/>
    <w:rsid w:val="00367568"/>
    <w:rsid w:val="00367AAD"/>
    <w:rsid w:val="00367E13"/>
    <w:rsid w:val="00370615"/>
    <w:rsid w:val="00370951"/>
    <w:rsid w:val="00370ADE"/>
    <w:rsid w:val="00370CCF"/>
    <w:rsid w:val="00370D3B"/>
    <w:rsid w:val="00370DBC"/>
    <w:rsid w:val="00370FAB"/>
    <w:rsid w:val="0037106F"/>
    <w:rsid w:val="003710F1"/>
    <w:rsid w:val="00371723"/>
    <w:rsid w:val="00371B46"/>
    <w:rsid w:val="00371C55"/>
    <w:rsid w:val="00371FBB"/>
    <w:rsid w:val="003720AE"/>
    <w:rsid w:val="0037241F"/>
    <w:rsid w:val="00372772"/>
    <w:rsid w:val="00372920"/>
    <w:rsid w:val="00372C5B"/>
    <w:rsid w:val="00372EB0"/>
    <w:rsid w:val="00373811"/>
    <w:rsid w:val="00373925"/>
    <w:rsid w:val="0037397B"/>
    <w:rsid w:val="00373AD0"/>
    <w:rsid w:val="00373DF0"/>
    <w:rsid w:val="0037442E"/>
    <w:rsid w:val="0037456A"/>
    <w:rsid w:val="00374694"/>
    <w:rsid w:val="003746BB"/>
    <w:rsid w:val="003746EF"/>
    <w:rsid w:val="00374713"/>
    <w:rsid w:val="00374C89"/>
    <w:rsid w:val="00374E4C"/>
    <w:rsid w:val="00374EAC"/>
    <w:rsid w:val="003758EB"/>
    <w:rsid w:val="0037653D"/>
    <w:rsid w:val="003766E3"/>
    <w:rsid w:val="003767C0"/>
    <w:rsid w:val="003773A7"/>
    <w:rsid w:val="0037774A"/>
    <w:rsid w:val="003778FE"/>
    <w:rsid w:val="00377CD3"/>
    <w:rsid w:val="00377E1D"/>
    <w:rsid w:val="00377F71"/>
    <w:rsid w:val="00380620"/>
    <w:rsid w:val="00380899"/>
    <w:rsid w:val="003808C9"/>
    <w:rsid w:val="0038090E"/>
    <w:rsid w:val="00380B86"/>
    <w:rsid w:val="00380BF7"/>
    <w:rsid w:val="00380C05"/>
    <w:rsid w:val="00380DCC"/>
    <w:rsid w:val="00380FC5"/>
    <w:rsid w:val="0038139C"/>
    <w:rsid w:val="003813CD"/>
    <w:rsid w:val="0038141E"/>
    <w:rsid w:val="00381649"/>
    <w:rsid w:val="003818BD"/>
    <w:rsid w:val="00381912"/>
    <w:rsid w:val="00381C60"/>
    <w:rsid w:val="003824BC"/>
    <w:rsid w:val="00382555"/>
    <w:rsid w:val="003825BE"/>
    <w:rsid w:val="003826D9"/>
    <w:rsid w:val="00382A0B"/>
    <w:rsid w:val="00382B0A"/>
    <w:rsid w:val="00382B69"/>
    <w:rsid w:val="00382EA9"/>
    <w:rsid w:val="00382F20"/>
    <w:rsid w:val="00383BD1"/>
    <w:rsid w:val="00383D1A"/>
    <w:rsid w:val="00384C44"/>
    <w:rsid w:val="00385533"/>
    <w:rsid w:val="00385564"/>
    <w:rsid w:val="003856B9"/>
    <w:rsid w:val="00386288"/>
    <w:rsid w:val="00386476"/>
    <w:rsid w:val="00386540"/>
    <w:rsid w:val="00386FCC"/>
    <w:rsid w:val="003874D1"/>
    <w:rsid w:val="00387AE1"/>
    <w:rsid w:val="00387B17"/>
    <w:rsid w:val="00387B4B"/>
    <w:rsid w:val="00390111"/>
    <w:rsid w:val="003901DE"/>
    <w:rsid w:val="003904CA"/>
    <w:rsid w:val="00391B48"/>
    <w:rsid w:val="00391DAD"/>
    <w:rsid w:val="00391F49"/>
    <w:rsid w:val="00391F4C"/>
    <w:rsid w:val="0039211D"/>
    <w:rsid w:val="003923BA"/>
    <w:rsid w:val="00392735"/>
    <w:rsid w:val="00392C51"/>
    <w:rsid w:val="00392C90"/>
    <w:rsid w:val="00392CF9"/>
    <w:rsid w:val="00392DEE"/>
    <w:rsid w:val="003931F7"/>
    <w:rsid w:val="0039341D"/>
    <w:rsid w:val="00393BA1"/>
    <w:rsid w:val="00393F58"/>
    <w:rsid w:val="0039414D"/>
    <w:rsid w:val="003941DC"/>
    <w:rsid w:val="00394666"/>
    <w:rsid w:val="00394818"/>
    <w:rsid w:val="00394945"/>
    <w:rsid w:val="00394A46"/>
    <w:rsid w:val="003953C0"/>
    <w:rsid w:val="0039569D"/>
    <w:rsid w:val="003959A6"/>
    <w:rsid w:val="00395C24"/>
    <w:rsid w:val="00395CF4"/>
    <w:rsid w:val="0039614D"/>
    <w:rsid w:val="003962A8"/>
    <w:rsid w:val="003967EC"/>
    <w:rsid w:val="003973E2"/>
    <w:rsid w:val="00397665"/>
    <w:rsid w:val="003A006F"/>
    <w:rsid w:val="003A0680"/>
    <w:rsid w:val="003A082D"/>
    <w:rsid w:val="003A0D3A"/>
    <w:rsid w:val="003A0EBF"/>
    <w:rsid w:val="003A0EE0"/>
    <w:rsid w:val="003A13AE"/>
    <w:rsid w:val="003A1529"/>
    <w:rsid w:val="003A195B"/>
    <w:rsid w:val="003A19A1"/>
    <w:rsid w:val="003A19F1"/>
    <w:rsid w:val="003A1CCB"/>
    <w:rsid w:val="003A2861"/>
    <w:rsid w:val="003A2A9E"/>
    <w:rsid w:val="003A2BCB"/>
    <w:rsid w:val="003A2F4D"/>
    <w:rsid w:val="003A2F6C"/>
    <w:rsid w:val="003A3050"/>
    <w:rsid w:val="003A317B"/>
    <w:rsid w:val="003A3605"/>
    <w:rsid w:val="003A3D07"/>
    <w:rsid w:val="003A3DE8"/>
    <w:rsid w:val="003A3EF3"/>
    <w:rsid w:val="003A414D"/>
    <w:rsid w:val="003A4827"/>
    <w:rsid w:val="003A4FBA"/>
    <w:rsid w:val="003A5040"/>
    <w:rsid w:val="003A51CF"/>
    <w:rsid w:val="003A6238"/>
    <w:rsid w:val="003A6748"/>
    <w:rsid w:val="003A6826"/>
    <w:rsid w:val="003A68FD"/>
    <w:rsid w:val="003A6942"/>
    <w:rsid w:val="003A6F93"/>
    <w:rsid w:val="003A721F"/>
    <w:rsid w:val="003A75E0"/>
    <w:rsid w:val="003A7F16"/>
    <w:rsid w:val="003A7F37"/>
    <w:rsid w:val="003B0089"/>
    <w:rsid w:val="003B00C4"/>
    <w:rsid w:val="003B014C"/>
    <w:rsid w:val="003B0457"/>
    <w:rsid w:val="003B0914"/>
    <w:rsid w:val="003B0E98"/>
    <w:rsid w:val="003B0F21"/>
    <w:rsid w:val="003B112B"/>
    <w:rsid w:val="003B1416"/>
    <w:rsid w:val="003B1915"/>
    <w:rsid w:val="003B1A78"/>
    <w:rsid w:val="003B214F"/>
    <w:rsid w:val="003B2561"/>
    <w:rsid w:val="003B2F26"/>
    <w:rsid w:val="003B3490"/>
    <w:rsid w:val="003B381A"/>
    <w:rsid w:val="003B3956"/>
    <w:rsid w:val="003B3D0E"/>
    <w:rsid w:val="003B4170"/>
    <w:rsid w:val="003B42A8"/>
    <w:rsid w:val="003B439F"/>
    <w:rsid w:val="003B46BE"/>
    <w:rsid w:val="003B4C80"/>
    <w:rsid w:val="003B507D"/>
    <w:rsid w:val="003B58E9"/>
    <w:rsid w:val="003B5A30"/>
    <w:rsid w:val="003B5E14"/>
    <w:rsid w:val="003B6E3A"/>
    <w:rsid w:val="003B75CA"/>
    <w:rsid w:val="003B77FB"/>
    <w:rsid w:val="003B7CF2"/>
    <w:rsid w:val="003C0322"/>
    <w:rsid w:val="003C0BA9"/>
    <w:rsid w:val="003C0DF3"/>
    <w:rsid w:val="003C0E9D"/>
    <w:rsid w:val="003C0FA7"/>
    <w:rsid w:val="003C10D2"/>
    <w:rsid w:val="003C135D"/>
    <w:rsid w:val="003C1D9F"/>
    <w:rsid w:val="003C2A95"/>
    <w:rsid w:val="003C2E11"/>
    <w:rsid w:val="003C33B1"/>
    <w:rsid w:val="003C3513"/>
    <w:rsid w:val="003C3BB4"/>
    <w:rsid w:val="003C3C20"/>
    <w:rsid w:val="003C3E50"/>
    <w:rsid w:val="003C4218"/>
    <w:rsid w:val="003C4260"/>
    <w:rsid w:val="003C42DC"/>
    <w:rsid w:val="003C4426"/>
    <w:rsid w:val="003C4477"/>
    <w:rsid w:val="003C4573"/>
    <w:rsid w:val="003C4ADA"/>
    <w:rsid w:val="003C4BC2"/>
    <w:rsid w:val="003C4DA2"/>
    <w:rsid w:val="003C5060"/>
    <w:rsid w:val="003C5C2B"/>
    <w:rsid w:val="003C5E17"/>
    <w:rsid w:val="003C65C3"/>
    <w:rsid w:val="003C6EC8"/>
    <w:rsid w:val="003C6F44"/>
    <w:rsid w:val="003C7092"/>
    <w:rsid w:val="003C728E"/>
    <w:rsid w:val="003C7414"/>
    <w:rsid w:val="003C758F"/>
    <w:rsid w:val="003C75BC"/>
    <w:rsid w:val="003D079A"/>
    <w:rsid w:val="003D0C70"/>
    <w:rsid w:val="003D1724"/>
    <w:rsid w:val="003D18E6"/>
    <w:rsid w:val="003D1C7B"/>
    <w:rsid w:val="003D1D6F"/>
    <w:rsid w:val="003D2529"/>
    <w:rsid w:val="003D25C9"/>
    <w:rsid w:val="003D2DEE"/>
    <w:rsid w:val="003D2EBE"/>
    <w:rsid w:val="003D30F0"/>
    <w:rsid w:val="003D33A2"/>
    <w:rsid w:val="003D3777"/>
    <w:rsid w:val="003D3875"/>
    <w:rsid w:val="003D433B"/>
    <w:rsid w:val="003D44D6"/>
    <w:rsid w:val="003D4F14"/>
    <w:rsid w:val="003D4F68"/>
    <w:rsid w:val="003D50F7"/>
    <w:rsid w:val="003D5374"/>
    <w:rsid w:val="003D5995"/>
    <w:rsid w:val="003D5DC8"/>
    <w:rsid w:val="003D616A"/>
    <w:rsid w:val="003D6A1A"/>
    <w:rsid w:val="003D6C11"/>
    <w:rsid w:val="003D6CAC"/>
    <w:rsid w:val="003D6FF9"/>
    <w:rsid w:val="003D716D"/>
    <w:rsid w:val="003D7755"/>
    <w:rsid w:val="003D7C32"/>
    <w:rsid w:val="003D7D46"/>
    <w:rsid w:val="003D7F3B"/>
    <w:rsid w:val="003E05AD"/>
    <w:rsid w:val="003E05E7"/>
    <w:rsid w:val="003E081B"/>
    <w:rsid w:val="003E1129"/>
    <w:rsid w:val="003E13F9"/>
    <w:rsid w:val="003E196A"/>
    <w:rsid w:val="003E1A8A"/>
    <w:rsid w:val="003E20D6"/>
    <w:rsid w:val="003E2205"/>
    <w:rsid w:val="003E22D3"/>
    <w:rsid w:val="003E2858"/>
    <w:rsid w:val="003E336E"/>
    <w:rsid w:val="003E3BD5"/>
    <w:rsid w:val="003E3D2C"/>
    <w:rsid w:val="003E444A"/>
    <w:rsid w:val="003E44DC"/>
    <w:rsid w:val="003E4512"/>
    <w:rsid w:val="003E45BC"/>
    <w:rsid w:val="003E462C"/>
    <w:rsid w:val="003E4F6F"/>
    <w:rsid w:val="003E505A"/>
    <w:rsid w:val="003E506E"/>
    <w:rsid w:val="003E50C4"/>
    <w:rsid w:val="003E50F0"/>
    <w:rsid w:val="003E514E"/>
    <w:rsid w:val="003E53FC"/>
    <w:rsid w:val="003E5E23"/>
    <w:rsid w:val="003E630B"/>
    <w:rsid w:val="003E65D3"/>
    <w:rsid w:val="003E6624"/>
    <w:rsid w:val="003E6971"/>
    <w:rsid w:val="003E6B43"/>
    <w:rsid w:val="003E6CC8"/>
    <w:rsid w:val="003E6EEB"/>
    <w:rsid w:val="003E738A"/>
    <w:rsid w:val="003E74BE"/>
    <w:rsid w:val="003E74F7"/>
    <w:rsid w:val="003E76B7"/>
    <w:rsid w:val="003E7B59"/>
    <w:rsid w:val="003E7F82"/>
    <w:rsid w:val="003F00E2"/>
    <w:rsid w:val="003F019D"/>
    <w:rsid w:val="003F027D"/>
    <w:rsid w:val="003F0360"/>
    <w:rsid w:val="003F071C"/>
    <w:rsid w:val="003F07FB"/>
    <w:rsid w:val="003F0CF5"/>
    <w:rsid w:val="003F0E27"/>
    <w:rsid w:val="003F12DB"/>
    <w:rsid w:val="003F14A9"/>
    <w:rsid w:val="003F211A"/>
    <w:rsid w:val="003F25EF"/>
    <w:rsid w:val="003F273D"/>
    <w:rsid w:val="003F2A76"/>
    <w:rsid w:val="003F2E50"/>
    <w:rsid w:val="003F337F"/>
    <w:rsid w:val="003F35DB"/>
    <w:rsid w:val="003F364A"/>
    <w:rsid w:val="003F39E4"/>
    <w:rsid w:val="003F3D95"/>
    <w:rsid w:val="003F3DD4"/>
    <w:rsid w:val="003F45CA"/>
    <w:rsid w:val="003F5430"/>
    <w:rsid w:val="003F55F4"/>
    <w:rsid w:val="003F5DED"/>
    <w:rsid w:val="003F5F0F"/>
    <w:rsid w:val="003F6221"/>
    <w:rsid w:val="003F66C2"/>
    <w:rsid w:val="003F6C12"/>
    <w:rsid w:val="003F6FB6"/>
    <w:rsid w:val="003F6FBA"/>
    <w:rsid w:val="003F7584"/>
    <w:rsid w:val="003F7672"/>
    <w:rsid w:val="003F76EA"/>
    <w:rsid w:val="003F7889"/>
    <w:rsid w:val="00400473"/>
    <w:rsid w:val="00400540"/>
    <w:rsid w:val="0040089B"/>
    <w:rsid w:val="00400909"/>
    <w:rsid w:val="00400B7A"/>
    <w:rsid w:val="00400C81"/>
    <w:rsid w:val="00400EB1"/>
    <w:rsid w:val="00400F10"/>
    <w:rsid w:val="004013CD"/>
    <w:rsid w:val="00401593"/>
    <w:rsid w:val="0040185F"/>
    <w:rsid w:val="004018D1"/>
    <w:rsid w:val="00401B94"/>
    <w:rsid w:val="0040203A"/>
    <w:rsid w:val="004020C7"/>
    <w:rsid w:val="004022CE"/>
    <w:rsid w:val="004028BA"/>
    <w:rsid w:val="00402A1B"/>
    <w:rsid w:val="004035A7"/>
    <w:rsid w:val="00403650"/>
    <w:rsid w:val="00403671"/>
    <w:rsid w:val="004039C5"/>
    <w:rsid w:val="00403B22"/>
    <w:rsid w:val="00403D3E"/>
    <w:rsid w:val="00403E5A"/>
    <w:rsid w:val="00404177"/>
    <w:rsid w:val="004045C3"/>
    <w:rsid w:val="00404EE3"/>
    <w:rsid w:val="00405007"/>
    <w:rsid w:val="004054EF"/>
    <w:rsid w:val="00405520"/>
    <w:rsid w:val="0040572B"/>
    <w:rsid w:val="00405882"/>
    <w:rsid w:val="004058A1"/>
    <w:rsid w:val="00405C5D"/>
    <w:rsid w:val="00405D03"/>
    <w:rsid w:val="004060B3"/>
    <w:rsid w:val="00406138"/>
    <w:rsid w:val="00406201"/>
    <w:rsid w:val="004074B9"/>
    <w:rsid w:val="00407C0D"/>
    <w:rsid w:val="004104FC"/>
    <w:rsid w:val="004107C1"/>
    <w:rsid w:val="00410A8E"/>
    <w:rsid w:val="00410CB5"/>
    <w:rsid w:val="0041127B"/>
    <w:rsid w:val="00411556"/>
    <w:rsid w:val="0041158D"/>
    <w:rsid w:val="00411AB2"/>
    <w:rsid w:val="004120AE"/>
    <w:rsid w:val="004122E3"/>
    <w:rsid w:val="004125B7"/>
    <w:rsid w:val="00412DA4"/>
    <w:rsid w:val="0041314C"/>
    <w:rsid w:val="00413A42"/>
    <w:rsid w:val="00413ECE"/>
    <w:rsid w:val="00414165"/>
    <w:rsid w:val="004148DD"/>
    <w:rsid w:val="004149CB"/>
    <w:rsid w:val="00414CEB"/>
    <w:rsid w:val="0041599F"/>
    <w:rsid w:val="00415A34"/>
    <w:rsid w:val="00415ADC"/>
    <w:rsid w:val="00415E37"/>
    <w:rsid w:val="00415F5E"/>
    <w:rsid w:val="00415FC0"/>
    <w:rsid w:val="00416080"/>
    <w:rsid w:val="00416983"/>
    <w:rsid w:val="00416D1A"/>
    <w:rsid w:val="00417509"/>
    <w:rsid w:val="0041769F"/>
    <w:rsid w:val="0041789F"/>
    <w:rsid w:val="00420227"/>
    <w:rsid w:val="004202B5"/>
    <w:rsid w:val="0042068F"/>
    <w:rsid w:val="00420C76"/>
    <w:rsid w:val="00420F31"/>
    <w:rsid w:val="004211B1"/>
    <w:rsid w:val="0042187D"/>
    <w:rsid w:val="00421A31"/>
    <w:rsid w:val="004224B4"/>
    <w:rsid w:val="004226DC"/>
    <w:rsid w:val="00422787"/>
    <w:rsid w:val="00422B44"/>
    <w:rsid w:val="00422F93"/>
    <w:rsid w:val="004232ED"/>
    <w:rsid w:val="004233EE"/>
    <w:rsid w:val="0042348F"/>
    <w:rsid w:val="004237C9"/>
    <w:rsid w:val="00423955"/>
    <w:rsid w:val="004239C3"/>
    <w:rsid w:val="00423E14"/>
    <w:rsid w:val="00424051"/>
    <w:rsid w:val="0042424E"/>
    <w:rsid w:val="0042485A"/>
    <w:rsid w:val="00424F80"/>
    <w:rsid w:val="0042538D"/>
    <w:rsid w:val="00425A1A"/>
    <w:rsid w:val="00425BCF"/>
    <w:rsid w:val="0042676C"/>
    <w:rsid w:val="004269D3"/>
    <w:rsid w:val="00426BE5"/>
    <w:rsid w:val="00426E29"/>
    <w:rsid w:val="00426FCC"/>
    <w:rsid w:val="00426FD2"/>
    <w:rsid w:val="0042706F"/>
    <w:rsid w:val="00427131"/>
    <w:rsid w:val="0042723F"/>
    <w:rsid w:val="00427403"/>
    <w:rsid w:val="00427853"/>
    <w:rsid w:val="00427898"/>
    <w:rsid w:val="004278C9"/>
    <w:rsid w:val="004278F4"/>
    <w:rsid w:val="004300B4"/>
    <w:rsid w:val="0043033B"/>
    <w:rsid w:val="004303CC"/>
    <w:rsid w:val="004304B2"/>
    <w:rsid w:val="00430721"/>
    <w:rsid w:val="0043079D"/>
    <w:rsid w:val="0043144C"/>
    <w:rsid w:val="00431744"/>
    <w:rsid w:val="00431AD6"/>
    <w:rsid w:val="00431B48"/>
    <w:rsid w:val="00431D0E"/>
    <w:rsid w:val="0043265C"/>
    <w:rsid w:val="004337C9"/>
    <w:rsid w:val="00433897"/>
    <w:rsid w:val="00433A0E"/>
    <w:rsid w:val="00433A3E"/>
    <w:rsid w:val="00433A3F"/>
    <w:rsid w:val="0043413D"/>
    <w:rsid w:val="0043442C"/>
    <w:rsid w:val="00434778"/>
    <w:rsid w:val="0043486A"/>
    <w:rsid w:val="004349D2"/>
    <w:rsid w:val="00434A1D"/>
    <w:rsid w:val="00434AF4"/>
    <w:rsid w:val="00434DE9"/>
    <w:rsid w:val="00434F18"/>
    <w:rsid w:val="0043546F"/>
    <w:rsid w:val="00435495"/>
    <w:rsid w:val="0043677C"/>
    <w:rsid w:val="004367CC"/>
    <w:rsid w:val="004368AA"/>
    <w:rsid w:val="004371DE"/>
    <w:rsid w:val="004374C5"/>
    <w:rsid w:val="00437528"/>
    <w:rsid w:val="00437B06"/>
    <w:rsid w:val="0044015A"/>
    <w:rsid w:val="00440380"/>
    <w:rsid w:val="004403AA"/>
    <w:rsid w:val="00440EC9"/>
    <w:rsid w:val="00441593"/>
    <w:rsid w:val="00441624"/>
    <w:rsid w:val="004420AB"/>
    <w:rsid w:val="004420DF"/>
    <w:rsid w:val="004427DB"/>
    <w:rsid w:val="00442809"/>
    <w:rsid w:val="00442ABD"/>
    <w:rsid w:val="00442C79"/>
    <w:rsid w:val="00442CEF"/>
    <w:rsid w:val="00442D3C"/>
    <w:rsid w:val="00442E08"/>
    <w:rsid w:val="00442E54"/>
    <w:rsid w:val="00442E7A"/>
    <w:rsid w:val="004430FA"/>
    <w:rsid w:val="004433BD"/>
    <w:rsid w:val="0044355D"/>
    <w:rsid w:val="00443AEE"/>
    <w:rsid w:val="00443B04"/>
    <w:rsid w:val="00443C87"/>
    <w:rsid w:val="00443DCD"/>
    <w:rsid w:val="00443ED7"/>
    <w:rsid w:val="00443FAC"/>
    <w:rsid w:val="00443FB2"/>
    <w:rsid w:val="00444035"/>
    <w:rsid w:val="004447B5"/>
    <w:rsid w:val="004448CB"/>
    <w:rsid w:val="00444A76"/>
    <w:rsid w:val="00445584"/>
    <w:rsid w:val="004456C3"/>
    <w:rsid w:val="00446376"/>
    <w:rsid w:val="004465D0"/>
    <w:rsid w:val="00446790"/>
    <w:rsid w:val="00447DA8"/>
    <w:rsid w:val="00450023"/>
    <w:rsid w:val="004502B2"/>
    <w:rsid w:val="004504BC"/>
    <w:rsid w:val="0045068C"/>
    <w:rsid w:val="00450CAB"/>
    <w:rsid w:val="00450EFA"/>
    <w:rsid w:val="00450F85"/>
    <w:rsid w:val="0045150C"/>
    <w:rsid w:val="004517AD"/>
    <w:rsid w:val="004517AF"/>
    <w:rsid w:val="00451B57"/>
    <w:rsid w:val="00451FF2"/>
    <w:rsid w:val="00452F32"/>
    <w:rsid w:val="00453AD9"/>
    <w:rsid w:val="00453B76"/>
    <w:rsid w:val="00453C51"/>
    <w:rsid w:val="00453E2C"/>
    <w:rsid w:val="00453F07"/>
    <w:rsid w:val="0045409D"/>
    <w:rsid w:val="00454181"/>
    <w:rsid w:val="0045434F"/>
    <w:rsid w:val="0045438C"/>
    <w:rsid w:val="00454477"/>
    <w:rsid w:val="00454C5A"/>
    <w:rsid w:val="0045524C"/>
    <w:rsid w:val="00455389"/>
    <w:rsid w:val="004556A6"/>
    <w:rsid w:val="00455701"/>
    <w:rsid w:val="004559F9"/>
    <w:rsid w:val="00455A4E"/>
    <w:rsid w:val="00455C80"/>
    <w:rsid w:val="00455DEC"/>
    <w:rsid w:val="00455E65"/>
    <w:rsid w:val="0045602E"/>
    <w:rsid w:val="0045607A"/>
    <w:rsid w:val="004562FB"/>
    <w:rsid w:val="004563DD"/>
    <w:rsid w:val="00456977"/>
    <w:rsid w:val="00456AA3"/>
    <w:rsid w:val="00456CDF"/>
    <w:rsid w:val="00456F6D"/>
    <w:rsid w:val="00457458"/>
    <w:rsid w:val="00457521"/>
    <w:rsid w:val="00457639"/>
    <w:rsid w:val="00457741"/>
    <w:rsid w:val="00457F73"/>
    <w:rsid w:val="004605B9"/>
    <w:rsid w:val="0046061E"/>
    <w:rsid w:val="0046087C"/>
    <w:rsid w:val="00460B9F"/>
    <w:rsid w:val="0046107F"/>
    <w:rsid w:val="0046109A"/>
    <w:rsid w:val="0046115B"/>
    <w:rsid w:val="00461274"/>
    <w:rsid w:val="0046137A"/>
    <w:rsid w:val="004614B2"/>
    <w:rsid w:val="004614B4"/>
    <w:rsid w:val="00461909"/>
    <w:rsid w:val="0046193D"/>
    <w:rsid w:val="00461968"/>
    <w:rsid w:val="0046254C"/>
    <w:rsid w:val="00462F89"/>
    <w:rsid w:val="00463587"/>
    <w:rsid w:val="004635B4"/>
    <w:rsid w:val="00463EB7"/>
    <w:rsid w:val="004645F9"/>
    <w:rsid w:val="004646ED"/>
    <w:rsid w:val="00465408"/>
    <w:rsid w:val="00465409"/>
    <w:rsid w:val="004654B1"/>
    <w:rsid w:val="0046557B"/>
    <w:rsid w:val="00465B3C"/>
    <w:rsid w:val="00465EAF"/>
    <w:rsid w:val="00466114"/>
    <w:rsid w:val="004662D8"/>
    <w:rsid w:val="00466598"/>
    <w:rsid w:val="004666EB"/>
    <w:rsid w:val="00466845"/>
    <w:rsid w:val="0046684E"/>
    <w:rsid w:val="0046692F"/>
    <w:rsid w:val="00467088"/>
    <w:rsid w:val="00467451"/>
    <w:rsid w:val="00467F6C"/>
    <w:rsid w:val="0047023A"/>
    <w:rsid w:val="00470338"/>
    <w:rsid w:val="0047033E"/>
    <w:rsid w:val="00470EFE"/>
    <w:rsid w:val="0047111B"/>
    <w:rsid w:val="004713C2"/>
    <w:rsid w:val="004719B3"/>
    <w:rsid w:val="00471A54"/>
    <w:rsid w:val="00471C0C"/>
    <w:rsid w:val="00471F10"/>
    <w:rsid w:val="0047252D"/>
    <w:rsid w:val="00472568"/>
    <w:rsid w:val="00473008"/>
    <w:rsid w:val="004730EF"/>
    <w:rsid w:val="0047312D"/>
    <w:rsid w:val="004735E2"/>
    <w:rsid w:val="004736B1"/>
    <w:rsid w:val="004738F5"/>
    <w:rsid w:val="00473925"/>
    <w:rsid w:val="00473996"/>
    <w:rsid w:val="00473B58"/>
    <w:rsid w:val="0047417D"/>
    <w:rsid w:val="004741FF"/>
    <w:rsid w:val="00474B75"/>
    <w:rsid w:val="00474E4E"/>
    <w:rsid w:val="00474E77"/>
    <w:rsid w:val="00474E97"/>
    <w:rsid w:val="00475647"/>
    <w:rsid w:val="00475708"/>
    <w:rsid w:val="0047581F"/>
    <w:rsid w:val="00475F0E"/>
    <w:rsid w:val="004766B7"/>
    <w:rsid w:val="00476990"/>
    <w:rsid w:val="00476C8F"/>
    <w:rsid w:val="0047736F"/>
    <w:rsid w:val="00477416"/>
    <w:rsid w:val="00477A35"/>
    <w:rsid w:val="0048041C"/>
    <w:rsid w:val="00480712"/>
    <w:rsid w:val="00480BEA"/>
    <w:rsid w:val="00480D1E"/>
    <w:rsid w:val="00480FAB"/>
    <w:rsid w:val="00481015"/>
    <w:rsid w:val="00481164"/>
    <w:rsid w:val="0048121F"/>
    <w:rsid w:val="00481A57"/>
    <w:rsid w:val="00481BB0"/>
    <w:rsid w:val="00481D33"/>
    <w:rsid w:val="00482295"/>
    <w:rsid w:val="004822A0"/>
    <w:rsid w:val="004822E9"/>
    <w:rsid w:val="00482359"/>
    <w:rsid w:val="0048262C"/>
    <w:rsid w:val="0048269D"/>
    <w:rsid w:val="00482826"/>
    <w:rsid w:val="004828F5"/>
    <w:rsid w:val="00482D74"/>
    <w:rsid w:val="00482EE5"/>
    <w:rsid w:val="00483AC1"/>
    <w:rsid w:val="004841F2"/>
    <w:rsid w:val="00484659"/>
    <w:rsid w:val="00484678"/>
    <w:rsid w:val="00484E04"/>
    <w:rsid w:val="00484E24"/>
    <w:rsid w:val="0048512A"/>
    <w:rsid w:val="004855BE"/>
    <w:rsid w:val="004857CC"/>
    <w:rsid w:val="0048581C"/>
    <w:rsid w:val="00485878"/>
    <w:rsid w:val="00485A57"/>
    <w:rsid w:val="00485E5B"/>
    <w:rsid w:val="00485E70"/>
    <w:rsid w:val="00486229"/>
    <w:rsid w:val="00486587"/>
    <w:rsid w:val="004867BC"/>
    <w:rsid w:val="00486A41"/>
    <w:rsid w:val="00486C68"/>
    <w:rsid w:val="00486D74"/>
    <w:rsid w:val="00486DEC"/>
    <w:rsid w:val="004871B0"/>
    <w:rsid w:val="004874E3"/>
    <w:rsid w:val="00487564"/>
    <w:rsid w:val="00487899"/>
    <w:rsid w:val="00487C6C"/>
    <w:rsid w:val="004902B4"/>
    <w:rsid w:val="0049058A"/>
    <w:rsid w:val="004905F3"/>
    <w:rsid w:val="00490985"/>
    <w:rsid w:val="00490B67"/>
    <w:rsid w:val="00490E53"/>
    <w:rsid w:val="00490F50"/>
    <w:rsid w:val="00491305"/>
    <w:rsid w:val="0049147B"/>
    <w:rsid w:val="00491668"/>
    <w:rsid w:val="0049176D"/>
    <w:rsid w:val="004919FE"/>
    <w:rsid w:val="00491A6E"/>
    <w:rsid w:val="00491C14"/>
    <w:rsid w:val="00491D70"/>
    <w:rsid w:val="004921C5"/>
    <w:rsid w:val="0049261B"/>
    <w:rsid w:val="004929E8"/>
    <w:rsid w:val="00492F2D"/>
    <w:rsid w:val="00492FD6"/>
    <w:rsid w:val="0049308D"/>
    <w:rsid w:val="004936E8"/>
    <w:rsid w:val="0049401A"/>
    <w:rsid w:val="00494332"/>
    <w:rsid w:val="00494428"/>
    <w:rsid w:val="00494BE0"/>
    <w:rsid w:val="00494CB6"/>
    <w:rsid w:val="00494F86"/>
    <w:rsid w:val="004958F6"/>
    <w:rsid w:val="00495AB3"/>
    <w:rsid w:val="00495EE8"/>
    <w:rsid w:val="00496375"/>
    <w:rsid w:val="0049648D"/>
    <w:rsid w:val="00496494"/>
    <w:rsid w:val="004968C1"/>
    <w:rsid w:val="00496A8D"/>
    <w:rsid w:val="004974D9"/>
    <w:rsid w:val="004977C3"/>
    <w:rsid w:val="00497A7B"/>
    <w:rsid w:val="004A07ED"/>
    <w:rsid w:val="004A0A50"/>
    <w:rsid w:val="004A11F0"/>
    <w:rsid w:val="004A1AD7"/>
    <w:rsid w:val="004A1FB2"/>
    <w:rsid w:val="004A2114"/>
    <w:rsid w:val="004A2631"/>
    <w:rsid w:val="004A2C6C"/>
    <w:rsid w:val="004A2FA9"/>
    <w:rsid w:val="004A32AE"/>
    <w:rsid w:val="004A3385"/>
    <w:rsid w:val="004A341F"/>
    <w:rsid w:val="004A3531"/>
    <w:rsid w:val="004A36CE"/>
    <w:rsid w:val="004A3872"/>
    <w:rsid w:val="004A3A52"/>
    <w:rsid w:val="004A3B26"/>
    <w:rsid w:val="004A3BFA"/>
    <w:rsid w:val="004A3CFE"/>
    <w:rsid w:val="004A40C7"/>
    <w:rsid w:val="004A4621"/>
    <w:rsid w:val="004A4631"/>
    <w:rsid w:val="004A46E4"/>
    <w:rsid w:val="004A4BDE"/>
    <w:rsid w:val="004A519F"/>
    <w:rsid w:val="004A51D1"/>
    <w:rsid w:val="004A5295"/>
    <w:rsid w:val="004A52A8"/>
    <w:rsid w:val="004A550E"/>
    <w:rsid w:val="004A5B34"/>
    <w:rsid w:val="004A5C1E"/>
    <w:rsid w:val="004A612A"/>
    <w:rsid w:val="004A63FA"/>
    <w:rsid w:val="004A6533"/>
    <w:rsid w:val="004A6B1E"/>
    <w:rsid w:val="004A7631"/>
    <w:rsid w:val="004A77D6"/>
    <w:rsid w:val="004A7952"/>
    <w:rsid w:val="004A7B5F"/>
    <w:rsid w:val="004A7DE3"/>
    <w:rsid w:val="004B0148"/>
    <w:rsid w:val="004B0ABB"/>
    <w:rsid w:val="004B0B04"/>
    <w:rsid w:val="004B0C11"/>
    <w:rsid w:val="004B0D40"/>
    <w:rsid w:val="004B12C6"/>
    <w:rsid w:val="004B14E2"/>
    <w:rsid w:val="004B19BE"/>
    <w:rsid w:val="004B1A72"/>
    <w:rsid w:val="004B1A7A"/>
    <w:rsid w:val="004B1C77"/>
    <w:rsid w:val="004B20FA"/>
    <w:rsid w:val="004B2D91"/>
    <w:rsid w:val="004B32E0"/>
    <w:rsid w:val="004B3BDB"/>
    <w:rsid w:val="004B40BF"/>
    <w:rsid w:val="004B4536"/>
    <w:rsid w:val="004B4569"/>
    <w:rsid w:val="004B4863"/>
    <w:rsid w:val="004B4904"/>
    <w:rsid w:val="004B4C9F"/>
    <w:rsid w:val="004B4D7D"/>
    <w:rsid w:val="004B4E5E"/>
    <w:rsid w:val="004B5B44"/>
    <w:rsid w:val="004B5B4E"/>
    <w:rsid w:val="004B603D"/>
    <w:rsid w:val="004B6168"/>
    <w:rsid w:val="004B685E"/>
    <w:rsid w:val="004B68D4"/>
    <w:rsid w:val="004B698D"/>
    <w:rsid w:val="004B69F5"/>
    <w:rsid w:val="004B6A26"/>
    <w:rsid w:val="004B6E5D"/>
    <w:rsid w:val="004B7264"/>
    <w:rsid w:val="004B74D9"/>
    <w:rsid w:val="004B7CF0"/>
    <w:rsid w:val="004B7E94"/>
    <w:rsid w:val="004B7EC8"/>
    <w:rsid w:val="004B7FAD"/>
    <w:rsid w:val="004C00E1"/>
    <w:rsid w:val="004C01CB"/>
    <w:rsid w:val="004C0214"/>
    <w:rsid w:val="004C0AA7"/>
    <w:rsid w:val="004C1234"/>
    <w:rsid w:val="004C12A3"/>
    <w:rsid w:val="004C132B"/>
    <w:rsid w:val="004C13CF"/>
    <w:rsid w:val="004C1559"/>
    <w:rsid w:val="004C1631"/>
    <w:rsid w:val="004C18E3"/>
    <w:rsid w:val="004C1BFF"/>
    <w:rsid w:val="004C1CB1"/>
    <w:rsid w:val="004C1EBD"/>
    <w:rsid w:val="004C1F58"/>
    <w:rsid w:val="004C2598"/>
    <w:rsid w:val="004C2A05"/>
    <w:rsid w:val="004C2DD9"/>
    <w:rsid w:val="004C394E"/>
    <w:rsid w:val="004C3E60"/>
    <w:rsid w:val="004C42BE"/>
    <w:rsid w:val="004C4531"/>
    <w:rsid w:val="004C46E9"/>
    <w:rsid w:val="004C487F"/>
    <w:rsid w:val="004C493B"/>
    <w:rsid w:val="004C4AF6"/>
    <w:rsid w:val="004C4D1F"/>
    <w:rsid w:val="004C5105"/>
    <w:rsid w:val="004C528A"/>
    <w:rsid w:val="004C5B6F"/>
    <w:rsid w:val="004C5FA1"/>
    <w:rsid w:val="004C6075"/>
    <w:rsid w:val="004C6180"/>
    <w:rsid w:val="004C6A4A"/>
    <w:rsid w:val="004C702A"/>
    <w:rsid w:val="004C7097"/>
    <w:rsid w:val="004C73DB"/>
    <w:rsid w:val="004C7508"/>
    <w:rsid w:val="004C7817"/>
    <w:rsid w:val="004C783A"/>
    <w:rsid w:val="004C7AB6"/>
    <w:rsid w:val="004C7C30"/>
    <w:rsid w:val="004D02FB"/>
    <w:rsid w:val="004D059A"/>
    <w:rsid w:val="004D0A75"/>
    <w:rsid w:val="004D0F11"/>
    <w:rsid w:val="004D1058"/>
    <w:rsid w:val="004D108B"/>
    <w:rsid w:val="004D135D"/>
    <w:rsid w:val="004D1ADF"/>
    <w:rsid w:val="004D23B3"/>
    <w:rsid w:val="004D23F6"/>
    <w:rsid w:val="004D248F"/>
    <w:rsid w:val="004D266E"/>
    <w:rsid w:val="004D27AE"/>
    <w:rsid w:val="004D2C5E"/>
    <w:rsid w:val="004D2CB6"/>
    <w:rsid w:val="004D322D"/>
    <w:rsid w:val="004D32DE"/>
    <w:rsid w:val="004D391C"/>
    <w:rsid w:val="004D3D6A"/>
    <w:rsid w:val="004D3F24"/>
    <w:rsid w:val="004D4293"/>
    <w:rsid w:val="004D5719"/>
    <w:rsid w:val="004D5BAB"/>
    <w:rsid w:val="004D618F"/>
    <w:rsid w:val="004D6CF9"/>
    <w:rsid w:val="004D7479"/>
    <w:rsid w:val="004D7BAF"/>
    <w:rsid w:val="004D7D6E"/>
    <w:rsid w:val="004D7D80"/>
    <w:rsid w:val="004D7E8D"/>
    <w:rsid w:val="004D7F43"/>
    <w:rsid w:val="004E0480"/>
    <w:rsid w:val="004E0520"/>
    <w:rsid w:val="004E0B6C"/>
    <w:rsid w:val="004E16EE"/>
    <w:rsid w:val="004E1A3B"/>
    <w:rsid w:val="004E1AE9"/>
    <w:rsid w:val="004E1D13"/>
    <w:rsid w:val="004E1E85"/>
    <w:rsid w:val="004E219E"/>
    <w:rsid w:val="004E22CD"/>
    <w:rsid w:val="004E25BC"/>
    <w:rsid w:val="004E2929"/>
    <w:rsid w:val="004E2C4F"/>
    <w:rsid w:val="004E2DDF"/>
    <w:rsid w:val="004E3223"/>
    <w:rsid w:val="004E3274"/>
    <w:rsid w:val="004E362E"/>
    <w:rsid w:val="004E3796"/>
    <w:rsid w:val="004E3916"/>
    <w:rsid w:val="004E3A08"/>
    <w:rsid w:val="004E3A1E"/>
    <w:rsid w:val="004E41A4"/>
    <w:rsid w:val="004E4419"/>
    <w:rsid w:val="004E4538"/>
    <w:rsid w:val="004E47C9"/>
    <w:rsid w:val="004E5574"/>
    <w:rsid w:val="004E56E0"/>
    <w:rsid w:val="004E5D42"/>
    <w:rsid w:val="004E6399"/>
    <w:rsid w:val="004E6680"/>
    <w:rsid w:val="004E6EAF"/>
    <w:rsid w:val="004E7444"/>
    <w:rsid w:val="004E7BE3"/>
    <w:rsid w:val="004E7BE8"/>
    <w:rsid w:val="004E7CB4"/>
    <w:rsid w:val="004E7CF2"/>
    <w:rsid w:val="004E7DC1"/>
    <w:rsid w:val="004E7F44"/>
    <w:rsid w:val="004F0865"/>
    <w:rsid w:val="004F0AC3"/>
    <w:rsid w:val="004F0D89"/>
    <w:rsid w:val="004F10D0"/>
    <w:rsid w:val="004F1B81"/>
    <w:rsid w:val="004F1D22"/>
    <w:rsid w:val="004F204E"/>
    <w:rsid w:val="004F234D"/>
    <w:rsid w:val="004F25D5"/>
    <w:rsid w:val="004F2A5E"/>
    <w:rsid w:val="004F2EED"/>
    <w:rsid w:val="004F2F78"/>
    <w:rsid w:val="004F31E5"/>
    <w:rsid w:val="004F3247"/>
    <w:rsid w:val="004F3423"/>
    <w:rsid w:val="004F355B"/>
    <w:rsid w:val="004F3C11"/>
    <w:rsid w:val="004F3F93"/>
    <w:rsid w:val="004F4B4C"/>
    <w:rsid w:val="004F4CAF"/>
    <w:rsid w:val="004F4E30"/>
    <w:rsid w:val="004F4E79"/>
    <w:rsid w:val="004F5109"/>
    <w:rsid w:val="004F5424"/>
    <w:rsid w:val="004F57FE"/>
    <w:rsid w:val="004F5AF0"/>
    <w:rsid w:val="004F60E3"/>
    <w:rsid w:val="004F6488"/>
    <w:rsid w:val="004F66BD"/>
    <w:rsid w:val="004F6BA5"/>
    <w:rsid w:val="004F6C91"/>
    <w:rsid w:val="004F6E70"/>
    <w:rsid w:val="004F6F0C"/>
    <w:rsid w:val="004F7243"/>
    <w:rsid w:val="004F7539"/>
    <w:rsid w:val="00500238"/>
    <w:rsid w:val="00500561"/>
    <w:rsid w:val="005007A6"/>
    <w:rsid w:val="00500878"/>
    <w:rsid w:val="00500951"/>
    <w:rsid w:val="00500D8C"/>
    <w:rsid w:val="0050130D"/>
    <w:rsid w:val="00501365"/>
    <w:rsid w:val="00501922"/>
    <w:rsid w:val="00501B3E"/>
    <w:rsid w:val="00501CDC"/>
    <w:rsid w:val="00502307"/>
    <w:rsid w:val="00502CFA"/>
    <w:rsid w:val="00502E3E"/>
    <w:rsid w:val="00502E92"/>
    <w:rsid w:val="00502F7A"/>
    <w:rsid w:val="00502F8D"/>
    <w:rsid w:val="00503621"/>
    <w:rsid w:val="00503E15"/>
    <w:rsid w:val="0050402F"/>
    <w:rsid w:val="0050403B"/>
    <w:rsid w:val="00504865"/>
    <w:rsid w:val="00504BDA"/>
    <w:rsid w:val="00504E2A"/>
    <w:rsid w:val="00504F24"/>
    <w:rsid w:val="00505016"/>
    <w:rsid w:val="005051E9"/>
    <w:rsid w:val="005058C6"/>
    <w:rsid w:val="00505F8A"/>
    <w:rsid w:val="005060D9"/>
    <w:rsid w:val="00506A30"/>
    <w:rsid w:val="00506BB6"/>
    <w:rsid w:val="00506EE2"/>
    <w:rsid w:val="005077AE"/>
    <w:rsid w:val="005078A5"/>
    <w:rsid w:val="00507F78"/>
    <w:rsid w:val="0051039D"/>
    <w:rsid w:val="00510EC1"/>
    <w:rsid w:val="005111E1"/>
    <w:rsid w:val="00511213"/>
    <w:rsid w:val="005119F8"/>
    <w:rsid w:val="00511BD1"/>
    <w:rsid w:val="00512384"/>
    <w:rsid w:val="005123B0"/>
    <w:rsid w:val="00513305"/>
    <w:rsid w:val="00513439"/>
    <w:rsid w:val="005135A3"/>
    <w:rsid w:val="00513630"/>
    <w:rsid w:val="005136BE"/>
    <w:rsid w:val="00513707"/>
    <w:rsid w:val="00513A74"/>
    <w:rsid w:val="00513AA0"/>
    <w:rsid w:val="00513B8E"/>
    <w:rsid w:val="00513BBF"/>
    <w:rsid w:val="00513C25"/>
    <w:rsid w:val="00513D8F"/>
    <w:rsid w:val="00514477"/>
    <w:rsid w:val="0051465E"/>
    <w:rsid w:val="005147AA"/>
    <w:rsid w:val="0051490B"/>
    <w:rsid w:val="00514AFA"/>
    <w:rsid w:val="00514FED"/>
    <w:rsid w:val="00515606"/>
    <w:rsid w:val="005156EB"/>
    <w:rsid w:val="00515711"/>
    <w:rsid w:val="00515B3B"/>
    <w:rsid w:val="00515B67"/>
    <w:rsid w:val="00515E84"/>
    <w:rsid w:val="00516149"/>
    <w:rsid w:val="0051656F"/>
    <w:rsid w:val="005165B6"/>
    <w:rsid w:val="00516916"/>
    <w:rsid w:val="00516C01"/>
    <w:rsid w:val="00517098"/>
    <w:rsid w:val="00517D53"/>
    <w:rsid w:val="00517FF0"/>
    <w:rsid w:val="0052028A"/>
    <w:rsid w:val="005208C9"/>
    <w:rsid w:val="00520AED"/>
    <w:rsid w:val="00520D6D"/>
    <w:rsid w:val="00521BD6"/>
    <w:rsid w:val="0052252E"/>
    <w:rsid w:val="00522562"/>
    <w:rsid w:val="00522829"/>
    <w:rsid w:val="00522B19"/>
    <w:rsid w:val="00522B3C"/>
    <w:rsid w:val="00523150"/>
    <w:rsid w:val="0052391C"/>
    <w:rsid w:val="00523C53"/>
    <w:rsid w:val="005241D0"/>
    <w:rsid w:val="0052424B"/>
    <w:rsid w:val="00524276"/>
    <w:rsid w:val="00524534"/>
    <w:rsid w:val="00524EDB"/>
    <w:rsid w:val="005250CD"/>
    <w:rsid w:val="0052529A"/>
    <w:rsid w:val="00525DAE"/>
    <w:rsid w:val="00525DBF"/>
    <w:rsid w:val="0052653C"/>
    <w:rsid w:val="005267FF"/>
    <w:rsid w:val="005269AC"/>
    <w:rsid w:val="00526FD9"/>
    <w:rsid w:val="005273BA"/>
    <w:rsid w:val="00527516"/>
    <w:rsid w:val="005276FF"/>
    <w:rsid w:val="005277DA"/>
    <w:rsid w:val="005302DD"/>
    <w:rsid w:val="005305FC"/>
    <w:rsid w:val="005309B4"/>
    <w:rsid w:val="00530A47"/>
    <w:rsid w:val="00530AFF"/>
    <w:rsid w:val="00531581"/>
    <w:rsid w:val="00531ECB"/>
    <w:rsid w:val="00532555"/>
    <w:rsid w:val="00532590"/>
    <w:rsid w:val="005326BD"/>
    <w:rsid w:val="0053290D"/>
    <w:rsid w:val="005336F5"/>
    <w:rsid w:val="005337D8"/>
    <w:rsid w:val="005338F5"/>
    <w:rsid w:val="0053396B"/>
    <w:rsid w:val="00533B19"/>
    <w:rsid w:val="00533C36"/>
    <w:rsid w:val="005343DC"/>
    <w:rsid w:val="00534469"/>
    <w:rsid w:val="00534878"/>
    <w:rsid w:val="00534A74"/>
    <w:rsid w:val="005350B1"/>
    <w:rsid w:val="00535237"/>
    <w:rsid w:val="005359FD"/>
    <w:rsid w:val="00535E84"/>
    <w:rsid w:val="00535FAB"/>
    <w:rsid w:val="00536170"/>
    <w:rsid w:val="005362AE"/>
    <w:rsid w:val="00536CAC"/>
    <w:rsid w:val="00536E4B"/>
    <w:rsid w:val="005372E4"/>
    <w:rsid w:val="00537894"/>
    <w:rsid w:val="005378AB"/>
    <w:rsid w:val="0053796C"/>
    <w:rsid w:val="00537CC0"/>
    <w:rsid w:val="00537DE9"/>
    <w:rsid w:val="00540203"/>
    <w:rsid w:val="00540271"/>
    <w:rsid w:val="00540936"/>
    <w:rsid w:val="00540CA3"/>
    <w:rsid w:val="00541278"/>
    <w:rsid w:val="00541283"/>
    <w:rsid w:val="0054133C"/>
    <w:rsid w:val="005416B9"/>
    <w:rsid w:val="00541743"/>
    <w:rsid w:val="00541AC4"/>
    <w:rsid w:val="00541C62"/>
    <w:rsid w:val="0054203B"/>
    <w:rsid w:val="0054204F"/>
    <w:rsid w:val="00542509"/>
    <w:rsid w:val="005427B7"/>
    <w:rsid w:val="00542B13"/>
    <w:rsid w:val="00543132"/>
    <w:rsid w:val="005436F0"/>
    <w:rsid w:val="0054408E"/>
    <w:rsid w:val="005449A9"/>
    <w:rsid w:val="005449C6"/>
    <w:rsid w:val="00544BC0"/>
    <w:rsid w:val="00544FBD"/>
    <w:rsid w:val="00545049"/>
    <w:rsid w:val="005456D9"/>
    <w:rsid w:val="00545713"/>
    <w:rsid w:val="0054579A"/>
    <w:rsid w:val="005457D8"/>
    <w:rsid w:val="00545E9D"/>
    <w:rsid w:val="005464F3"/>
    <w:rsid w:val="00546FED"/>
    <w:rsid w:val="005471C9"/>
    <w:rsid w:val="005473D6"/>
    <w:rsid w:val="005478B2"/>
    <w:rsid w:val="00550004"/>
    <w:rsid w:val="0055015B"/>
    <w:rsid w:val="00550329"/>
    <w:rsid w:val="00550467"/>
    <w:rsid w:val="005505B7"/>
    <w:rsid w:val="0055086E"/>
    <w:rsid w:val="00550D05"/>
    <w:rsid w:val="00550D09"/>
    <w:rsid w:val="00550D37"/>
    <w:rsid w:val="00550D6A"/>
    <w:rsid w:val="00551260"/>
    <w:rsid w:val="005512AE"/>
    <w:rsid w:val="00551560"/>
    <w:rsid w:val="00551653"/>
    <w:rsid w:val="0055178B"/>
    <w:rsid w:val="00551A2E"/>
    <w:rsid w:val="00551C21"/>
    <w:rsid w:val="00551ECD"/>
    <w:rsid w:val="0055232B"/>
    <w:rsid w:val="00552678"/>
    <w:rsid w:val="00552A7A"/>
    <w:rsid w:val="00552B9C"/>
    <w:rsid w:val="00552BF9"/>
    <w:rsid w:val="00552F36"/>
    <w:rsid w:val="00552F8C"/>
    <w:rsid w:val="005533FC"/>
    <w:rsid w:val="00553D8D"/>
    <w:rsid w:val="00554353"/>
    <w:rsid w:val="005544B9"/>
    <w:rsid w:val="005545B2"/>
    <w:rsid w:val="0055460C"/>
    <w:rsid w:val="00554747"/>
    <w:rsid w:val="005547E8"/>
    <w:rsid w:val="005548E2"/>
    <w:rsid w:val="00554D73"/>
    <w:rsid w:val="00554F9D"/>
    <w:rsid w:val="00555696"/>
    <w:rsid w:val="005557E3"/>
    <w:rsid w:val="00555BEA"/>
    <w:rsid w:val="00555D25"/>
    <w:rsid w:val="00556318"/>
    <w:rsid w:val="00556A0E"/>
    <w:rsid w:val="0055702D"/>
    <w:rsid w:val="00557487"/>
    <w:rsid w:val="005577B3"/>
    <w:rsid w:val="005577CD"/>
    <w:rsid w:val="005579EC"/>
    <w:rsid w:val="0056013E"/>
    <w:rsid w:val="005608BA"/>
    <w:rsid w:val="0056098A"/>
    <w:rsid w:val="00560FA1"/>
    <w:rsid w:val="00561B25"/>
    <w:rsid w:val="00561D92"/>
    <w:rsid w:val="00561E7E"/>
    <w:rsid w:val="00562262"/>
    <w:rsid w:val="00562345"/>
    <w:rsid w:val="005623D5"/>
    <w:rsid w:val="00562481"/>
    <w:rsid w:val="005627AE"/>
    <w:rsid w:val="0056323F"/>
    <w:rsid w:val="00563498"/>
    <w:rsid w:val="0056389D"/>
    <w:rsid w:val="00563AEB"/>
    <w:rsid w:val="00563DE8"/>
    <w:rsid w:val="00563F45"/>
    <w:rsid w:val="00563F57"/>
    <w:rsid w:val="005642C1"/>
    <w:rsid w:val="005646E1"/>
    <w:rsid w:val="005648D9"/>
    <w:rsid w:val="00564A23"/>
    <w:rsid w:val="00565034"/>
    <w:rsid w:val="0056508D"/>
    <w:rsid w:val="0056530B"/>
    <w:rsid w:val="0056549A"/>
    <w:rsid w:val="0056559C"/>
    <w:rsid w:val="00565971"/>
    <w:rsid w:val="00565B86"/>
    <w:rsid w:val="00565D61"/>
    <w:rsid w:val="00566232"/>
    <w:rsid w:val="005663E8"/>
    <w:rsid w:val="00566514"/>
    <w:rsid w:val="005666D4"/>
    <w:rsid w:val="0056686F"/>
    <w:rsid w:val="00566B05"/>
    <w:rsid w:val="00566C34"/>
    <w:rsid w:val="00566E90"/>
    <w:rsid w:val="005673AA"/>
    <w:rsid w:val="00567DB0"/>
    <w:rsid w:val="00567E3E"/>
    <w:rsid w:val="0057010E"/>
    <w:rsid w:val="00570180"/>
    <w:rsid w:val="005702F5"/>
    <w:rsid w:val="00570627"/>
    <w:rsid w:val="005709EE"/>
    <w:rsid w:val="00570CB9"/>
    <w:rsid w:val="005710E8"/>
    <w:rsid w:val="00571114"/>
    <w:rsid w:val="0057113B"/>
    <w:rsid w:val="0057172F"/>
    <w:rsid w:val="00571B99"/>
    <w:rsid w:val="00571BF6"/>
    <w:rsid w:val="0057206A"/>
    <w:rsid w:val="005721D3"/>
    <w:rsid w:val="00572229"/>
    <w:rsid w:val="005724CC"/>
    <w:rsid w:val="005724DE"/>
    <w:rsid w:val="00572559"/>
    <w:rsid w:val="005726F5"/>
    <w:rsid w:val="005728AC"/>
    <w:rsid w:val="005729A1"/>
    <w:rsid w:val="00572D88"/>
    <w:rsid w:val="00572FE5"/>
    <w:rsid w:val="00573225"/>
    <w:rsid w:val="005734A5"/>
    <w:rsid w:val="00573580"/>
    <w:rsid w:val="005735B1"/>
    <w:rsid w:val="0057383E"/>
    <w:rsid w:val="0057394E"/>
    <w:rsid w:val="00573CE0"/>
    <w:rsid w:val="0057475D"/>
    <w:rsid w:val="00574BBE"/>
    <w:rsid w:val="00574D9E"/>
    <w:rsid w:val="00574F38"/>
    <w:rsid w:val="00575484"/>
    <w:rsid w:val="00575CFA"/>
    <w:rsid w:val="00576111"/>
    <w:rsid w:val="0057616C"/>
    <w:rsid w:val="00576295"/>
    <w:rsid w:val="00576E44"/>
    <w:rsid w:val="005772B4"/>
    <w:rsid w:val="005773D4"/>
    <w:rsid w:val="0057752D"/>
    <w:rsid w:val="005777FB"/>
    <w:rsid w:val="005778E0"/>
    <w:rsid w:val="00577CD6"/>
    <w:rsid w:val="00580170"/>
    <w:rsid w:val="0058023D"/>
    <w:rsid w:val="0058054F"/>
    <w:rsid w:val="0058076F"/>
    <w:rsid w:val="00580A48"/>
    <w:rsid w:val="00580B5E"/>
    <w:rsid w:val="00580E4E"/>
    <w:rsid w:val="00581212"/>
    <w:rsid w:val="00581530"/>
    <w:rsid w:val="00581AA1"/>
    <w:rsid w:val="00581B6D"/>
    <w:rsid w:val="00581C01"/>
    <w:rsid w:val="00581C89"/>
    <w:rsid w:val="00581FE4"/>
    <w:rsid w:val="005822F6"/>
    <w:rsid w:val="005829F3"/>
    <w:rsid w:val="00582AD5"/>
    <w:rsid w:val="00582D9A"/>
    <w:rsid w:val="005833C6"/>
    <w:rsid w:val="005834CF"/>
    <w:rsid w:val="005836EC"/>
    <w:rsid w:val="00583AF2"/>
    <w:rsid w:val="00583B4C"/>
    <w:rsid w:val="00583B83"/>
    <w:rsid w:val="00583BA8"/>
    <w:rsid w:val="00584485"/>
    <w:rsid w:val="0058448F"/>
    <w:rsid w:val="00584A24"/>
    <w:rsid w:val="00584CB9"/>
    <w:rsid w:val="00584E9F"/>
    <w:rsid w:val="00584F4C"/>
    <w:rsid w:val="0058504C"/>
    <w:rsid w:val="00585482"/>
    <w:rsid w:val="005855FC"/>
    <w:rsid w:val="00585924"/>
    <w:rsid w:val="00585AA0"/>
    <w:rsid w:val="00585B53"/>
    <w:rsid w:val="005861B6"/>
    <w:rsid w:val="00586250"/>
    <w:rsid w:val="00586477"/>
    <w:rsid w:val="005865CE"/>
    <w:rsid w:val="005873BB"/>
    <w:rsid w:val="005875CC"/>
    <w:rsid w:val="00587A29"/>
    <w:rsid w:val="00587D87"/>
    <w:rsid w:val="00587DC1"/>
    <w:rsid w:val="00590134"/>
    <w:rsid w:val="005903CD"/>
    <w:rsid w:val="00590898"/>
    <w:rsid w:val="00590BE2"/>
    <w:rsid w:val="005910DC"/>
    <w:rsid w:val="005917D0"/>
    <w:rsid w:val="00591CE4"/>
    <w:rsid w:val="0059235C"/>
    <w:rsid w:val="00592732"/>
    <w:rsid w:val="00592D9B"/>
    <w:rsid w:val="00592FB5"/>
    <w:rsid w:val="0059328B"/>
    <w:rsid w:val="00593760"/>
    <w:rsid w:val="00593BD2"/>
    <w:rsid w:val="00593C7C"/>
    <w:rsid w:val="00593F95"/>
    <w:rsid w:val="00593FF1"/>
    <w:rsid w:val="00594580"/>
    <w:rsid w:val="0059461C"/>
    <w:rsid w:val="0059475F"/>
    <w:rsid w:val="00594CD7"/>
    <w:rsid w:val="00595488"/>
    <w:rsid w:val="0059572F"/>
    <w:rsid w:val="005958AE"/>
    <w:rsid w:val="00595C00"/>
    <w:rsid w:val="00595ED6"/>
    <w:rsid w:val="00596052"/>
    <w:rsid w:val="0059642F"/>
    <w:rsid w:val="00596559"/>
    <w:rsid w:val="005965A9"/>
    <w:rsid w:val="005967D6"/>
    <w:rsid w:val="00596924"/>
    <w:rsid w:val="005969C3"/>
    <w:rsid w:val="00597283"/>
    <w:rsid w:val="00597448"/>
    <w:rsid w:val="00597804"/>
    <w:rsid w:val="00597BE4"/>
    <w:rsid w:val="00597ECA"/>
    <w:rsid w:val="005A0613"/>
    <w:rsid w:val="005A09C2"/>
    <w:rsid w:val="005A1399"/>
    <w:rsid w:val="005A1514"/>
    <w:rsid w:val="005A1980"/>
    <w:rsid w:val="005A1A34"/>
    <w:rsid w:val="005A1D50"/>
    <w:rsid w:val="005A21EE"/>
    <w:rsid w:val="005A2B3B"/>
    <w:rsid w:val="005A2F41"/>
    <w:rsid w:val="005A33CB"/>
    <w:rsid w:val="005A350C"/>
    <w:rsid w:val="005A3693"/>
    <w:rsid w:val="005A3A04"/>
    <w:rsid w:val="005A3DD0"/>
    <w:rsid w:val="005A47D5"/>
    <w:rsid w:val="005A4919"/>
    <w:rsid w:val="005A4B05"/>
    <w:rsid w:val="005A56A5"/>
    <w:rsid w:val="005A5783"/>
    <w:rsid w:val="005A584F"/>
    <w:rsid w:val="005A5A98"/>
    <w:rsid w:val="005A5D75"/>
    <w:rsid w:val="005A6019"/>
    <w:rsid w:val="005A6108"/>
    <w:rsid w:val="005A6BAB"/>
    <w:rsid w:val="005A6D68"/>
    <w:rsid w:val="005A71E3"/>
    <w:rsid w:val="005A7376"/>
    <w:rsid w:val="005A7423"/>
    <w:rsid w:val="005A75B4"/>
    <w:rsid w:val="005A7820"/>
    <w:rsid w:val="005A7879"/>
    <w:rsid w:val="005A788F"/>
    <w:rsid w:val="005A78C9"/>
    <w:rsid w:val="005A7E7F"/>
    <w:rsid w:val="005A7F20"/>
    <w:rsid w:val="005B02DF"/>
    <w:rsid w:val="005B0437"/>
    <w:rsid w:val="005B0551"/>
    <w:rsid w:val="005B05B3"/>
    <w:rsid w:val="005B05F5"/>
    <w:rsid w:val="005B0685"/>
    <w:rsid w:val="005B14AF"/>
    <w:rsid w:val="005B15CE"/>
    <w:rsid w:val="005B1AB9"/>
    <w:rsid w:val="005B1BEA"/>
    <w:rsid w:val="005B1C14"/>
    <w:rsid w:val="005B1CC5"/>
    <w:rsid w:val="005B1D6C"/>
    <w:rsid w:val="005B1DA5"/>
    <w:rsid w:val="005B202F"/>
    <w:rsid w:val="005B21DA"/>
    <w:rsid w:val="005B234B"/>
    <w:rsid w:val="005B260E"/>
    <w:rsid w:val="005B2780"/>
    <w:rsid w:val="005B2EA8"/>
    <w:rsid w:val="005B34C2"/>
    <w:rsid w:val="005B380E"/>
    <w:rsid w:val="005B3813"/>
    <w:rsid w:val="005B3C3E"/>
    <w:rsid w:val="005B3D32"/>
    <w:rsid w:val="005B43D9"/>
    <w:rsid w:val="005B4E8D"/>
    <w:rsid w:val="005B4EEB"/>
    <w:rsid w:val="005B5335"/>
    <w:rsid w:val="005B547E"/>
    <w:rsid w:val="005B5853"/>
    <w:rsid w:val="005B5A1E"/>
    <w:rsid w:val="005B5EEC"/>
    <w:rsid w:val="005B699C"/>
    <w:rsid w:val="005B6B38"/>
    <w:rsid w:val="005B6EF1"/>
    <w:rsid w:val="005B6F05"/>
    <w:rsid w:val="005B7AE1"/>
    <w:rsid w:val="005B7F43"/>
    <w:rsid w:val="005C02D9"/>
    <w:rsid w:val="005C0628"/>
    <w:rsid w:val="005C0D70"/>
    <w:rsid w:val="005C0F6F"/>
    <w:rsid w:val="005C1182"/>
    <w:rsid w:val="005C11E1"/>
    <w:rsid w:val="005C1467"/>
    <w:rsid w:val="005C1502"/>
    <w:rsid w:val="005C1746"/>
    <w:rsid w:val="005C1F6A"/>
    <w:rsid w:val="005C2170"/>
    <w:rsid w:val="005C2F03"/>
    <w:rsid w:val="005C2F77"/>
    <w:rsid w:val="005C3717"/>
    <w:rsid w:val="005C3814"/>
    <w:rsid w:val="005C389F"/>
    <w:rsid w:val="005C38A2"/>
    <w:rsid w:val="005C3B76"/>
    <w:rsid w:val="005C3BBD"/>
    <w:rsid w:val="005C4361"/>
    <w:rsid w:val="005C45E4"/>
    <w:rsid w:val="005C4B7F"/>
    <w:rsid w:val="005C4FBE"/>
    <w:rsid w:val="005C50FA"/>
    <w:rsid w:val="005C52C4"/>
    <w:rsid w:val="005C547A"/>
    <w:rsid w:val="005C5A2E"/>
    <w:rsid w:val="005C6045"/>
    <w:rsid w:val="005C63FF"/>
    <w:rsid w:val="005C661A"/>
    <w:rsid w:val="005C69F6"/>
    <w:rsid w:val="005C7192"/>
    <w:rsid w:val="005C74C0"/>
    <w:rsid w:val="005C7E2E"/>
    <w:rsid w:val="005D00E2"/>
    <w:rsid w:val="005D0B0A"/>
    <w:rsid w:val="005D1575"/>
    <w:rsid w:val="005D16BA"/>
    <w:rsid w:val="005D187A"/>
    <w:rsid w:val="005D1ACA"/>
    <w:rsid w:val="005D2272"/>
    <w:rsid w:val="005D25FC"/>
    <w:rsid w:val="005D2B5E"/>
    <w:rsid w:val="005D3213"/>
    <w:rsid w:val="005D33E5"/>
    <w:rsid w:val="005D3447"/>
    <w:rsid w:val="005D3557"/>
    <w:rsid w:val="005D3751"/>
    <w:rsid w:val="005D37FA"/>
    <w:rsid w:val="005D3AAC"/>
    <w:rsid w:val="005D3C95"/>
    <w:rsid w:val="005D4026"/>
    <w:rsid w:val="005D46D8"/>
    <w:rsid w:val="005D4D9E"/>
    <w:rsid w:val="005D5072"/>
    <w:rsid w:val="005D58C3"/>
    <w:rsid w:val="005D60FE"/>
    <w:rsid w:val="005D6418"/>
    <w:rsid w:val="005D6911"/>
    <w:rsid w:val="005D7678"/>
    <w:rsid w:val="005D7722"/>
    <w:rsid w:val="005D7C8F"/>
    <w:rsid w:val="005D7FA3"/>
    <w:rsid w:val="005E1509"/>
    <w:rsid w:val="005E1551"/>
    <w:rsid w:val="005E16E3"/>
    <w:rsid w:val="005E1759"/>
    <w:rsid w:val="005E1B51"/>
    <w:rsid w:val="005E25A6"/>
    <w:rsid w:val="005E270C"/>
    <w:rsid w:val="005E276A"/>
    <w:rsid w:val="005E2BE7"/>
    <w:rsid w:val="005E3036"/>
    <w:rsid w:val="005E334F"/>
    <w:rsid w:val="005E3557"/>
    <w:rsid w:val="005E3630"/>
    <w:rsid w:val="005E3B74"/>
    <w:rsid w:val="005E3BFB"/>
    <w:rsid w:val="005E4019"/>
    <w:rsid w:val="005E41B1"/>
    <w:rsid w:val="005E434D"/>
    <w:rsid w:val="005E44BC"/>
    <w:rsid w:val="005E4942"/>
    <w:rsid w:val="005E5005"/>
    <w:rsid w:val="005E548D"/>
    <w:rsid w:val="005E5C4A"/>
    <w:rsid w:val="005E5DE3"/>
    <w:rsid w:val="005E5F36"/>
    <w:rsid w:val="005E63E3"/>
    <w:rsid w:val="005E6744"/>
    <w:rsid w:val="005E6815"/>
    <w:rsid w:val="005E6DD9"/>
    <w:rsid w:val="005E6F6E"/>
    <w:rsid w:val="005E7604"/>
    <w:rsid w:val="005E7FD2"/>
    <w:rsid w:val="005F0324"/>
    <w:rsid w:val="005F0447"/>
    <w:rsid w:val="005F04C0"/>
    <w:rsid w:val="005F0747"/>
    <w:rsid w:val="005F07F5"/>
    <w:rsid w:val="005F0B88"/>
    <w:rsid w:val="005F0C58"/>
    <w:rsid w:val="005F0F49"/>
    <w:rsid w:val="005F1651"/>
    <w:rsid w:val="005F1B67"/>
    <w:rsid w:val="005F1E71"/>
    <w:rsid w:val="005F23DE"/>
    <w:rsid w:val="005F2665"/>
    <w:rsid w:val="005F2AF2"/>
    <w:rsid w:val="005F2CC5"/>
    <w:rsid w:val="005F305F"/>
    <w:rsid w:val="005F33FB"/>
    <w:rsid w:val="005F3873"/>
    <w:rsid w:val="005F3943"/>
    <w:rsid w:val="005F3E68"/>
    <w:rsid w:val="005F42E6"/>
    <w:rsid w:val="005F431A"/>
    <w:rsid w:val="005F436C"/>
    <w:rsid w:val="005F4532"/>
    <w:rsid w:val="005F472D"/>
    <w:rsid w:val="005F47FF"/>
    <w:rsid w:val="005F4815"/>
    <w:rsid w:val="005F4919"/>
    <w:rsid w:val="005F4BC2"/>
    <w:rsid w:val="005F4C1E"/>
    <w:rsid w:val="005F5141"/>
    <w:rsid w:val="005F51F2"/>
    <w:rsid w:val="005F569F"/>
    <w:rsid w:val="005F590E"/>
    <w:rsid w:val="005F5F0B"/>
    <w:rsid w:val="005F6230"/>
    <w:rsid w:val="005F668D"/>
    <w:rsid w:val="005F676F"/>
    <w:rsid w:val="005F67F0"/>
    <w:rsid w:val="005F6BE6"/>
    <w:rsid w:val="005F70AD"/>
    <w:rsid w:val="005F730C"/>
    <w:rsid w:val="005F7584"/>
    <w:rsid w:val="005F77A1"/>
    <w:rsid w:val="005F784F"/>
    <w:rsid w:val="005F78BA"/>
    <w:rsid w:val="00600146"/>
    <w:rsid w:val="00600379"/>
    <w:rsid w:val="006003DE"/>
    <w:rsid w:val="00600C2C"/>
    <w:rsid w:val="00600EC1"/>
    <w:rsid w:val="006015FF"/>
    <w:rsid w:val="006016D1"/>
    <w:rsid w:val="00601A15"/>
    <w:rsid w:val="00601A98"/>
    <w:rsid w:val="00601DD8"/>
    <w:rsid w:val="00602062"/>
    <w:rsid w:val="00602183"/>
    <w:rsid w:val="006023EB"/>
    <w:rsid w:val="00602D84"/>
    <w:rsid w:val="006039DB"/>
    <w:rsid w:val="006039E1"/>
    <w:rsid w:val="00603A3B"/>
    <w:rsid w:val="00603B58"/>
    <w:rsid w:val="006043DE"/>
    <w:rsid w:val="00604428"/>
    <w:rsid w:val="00604544"/>
    <w:rsid w:val="006048AF"/>
    <w:rsid w:val="00604BFB"/>
    <w:rsid w:val="00605191"/>
    <w:rsid w:val="006051AB"/>
    <w:rsid w:val="00605479"/>
    <w:rsid w:val="00605583"/>
    <w:rsid w:val="0060562E"/>
    <w:rsid w:val="006059B1"/>
    <w:rsid w:val="00605AB8"/>
    <w:rsid w:val="00605AC1"/>
    <w:rsid w:val="006064D4"/>
    <w:rsid w:val="006066EE"/>
    <w:rsid w:val="00606B28"/>
    <w:rsid w:val="006072E6"/>
    <w:rsid w:val="00607679"/>
    <w:rsid w:val="00607805"/>
    <w:rsid w:val="0060790E"/>
    <w:rsid w:val="006079C8"/>
    <w:rsid w:val="00607A44"/>
    <w:rsid w:val="00607A7B"/>
    <w:rsid w:val="00607A85"/>
    <w:rsid w:val="00607C65"/>
    <w:rsid w:val="00607CE3"/>
    <w:rsid w:val="006102C6"/>
    <w:rsid w:val="00610381"/>
    <w:rsid w:val="006107D3"/>
    <w:rsid w:val="006108F9"/>
    <w:rsid w:val="00610C94"/>
    <w:rsid w:val="00610D4C"/>
    <w:rsid w:val="00611788"/>
    <w:rsid w:val="00611BC7"/>
    <w:rsid w:val="00611CC6"/>
    <w:rsid w:val="00611D0D"/>
    <w:rsid w:val="006125BB"/>
    <w:rsid w:val="00612725"/>
    <w:rsid w:val="0061280E"/>
    <w:rsid w:val="0061283C"/>
    <w:rsid w:val="00612D04"/>
    <w:rsid w:val="00612D3B"/>
    <w:rsid w:val="00612F11"/>
    <w:rsid w:val="0061308B"/>
    <w:rsid w:val="00613545"/>
    <w:rsid w:val="0061382F"/>
    <w:rsid w:val="00613A1F"/>
    <w:rsid w:val="00613AE5"/>
    <w:rsid w:val="00613F6A"/>
    <w:rsid w:val="006149AA"/>
    <w:rsid w:val="00614E2C"/>
    <w:rsid w:val="00614F10"/>
    <w:rsid w:val="00615320"/>
    <w:rsid w:val="00615F86"/>
    <w:rsid w:val="006161D7"/>
    <w:rsid w:val="0061644E"/>
    <w:rsid w:val="006165DE"/>
    <w:rsid w:val="00616DC1"/>
    <w:rsid w:val="00616E2B"/>
    <w:rsid w:val="0061700A"/>
    <w:rsid w:val="0061718B"/>
    <w:rsid w:val="006171C1"/>
    <w:rsid w:val="006176F4"/>
    <w:rsid w:val="00617828"/>
    <w:rsid w:val="00617AF1"/>
    <w:rsid w:val="006201C7"/>
    <w:rsid w:val="006204DC"/>
    <w:rsid w:val="0062163E"/>
    <w:rsid w:val="00622415"/>
    <w:rsid w:val="0062246F"/>
    <w:rsid w:val="006224EE"/>
    <w:rsid w:val="00622567"/>
    <w:rsid w:val="00622A37"/>
    <w:rsid w:val="00622D25"/>
    <w:rsid w:val="00622D41"/>
    <w:rsid w:val="00622E5F"/>
    <w:rsid w:val="00622E72"/>
    <w:rsid w:val="00622EF6"/>
    <w:rsid w:val="0062308B"/>
    <w:rsid w:val="00623287"/>
    <w:rsid w:val="006233B5"/>
    <w:rsid w:val="0062342A"/>
    <w:rsid w:val="00623845"/>
    <w:rsid w:val="00623852"/>
    <w:rsid w:val="0062444B"/>
    <w:rsid w:val="006248B4"/>
    <w:rsid w:val="006249DA"/>
    <w:rsid w:val="0062561F"/>
    <w:rsid w:val="0062590A"/>
    <w:rsid w:val="00625A89"/>
    <w:rsid w:val="00625DDF"/>
    <w:rsid w:val="00626167"/>
    <w:rsid w:val="00626733"/>
    <w:rsid w:val="006267A6"/>
    <w:rsid w:val="00626D9F"/>
    <w:rsid w:val="00626E9E"/>
    <w:rsid w:val="00626F26"/>
    <w:rsid w:val="00627011"/>
    <w:rsid w:val="00627130"/>
    <w:rsid w:val="00627392"/>
    <w:rsid w:val="006273F6"/>
    <w:rsid w:val="00627422"/>
    <w:rsid w:val="00627579"/>
    <w:rsid w:val="00627919"/>
    <w:rsid w:val="00630059"/>
    <w:rsid w:val="006300AD"/>
    <w:rsid w:val="006300FC"/>
    <w:rsid w:val="00630256"/>
    <w:rsid w:val="006307C0"/>
    <w:rsid w:val="006308E5"/>
    <w:rsid w:val="00630B85"/>
    <w:rsid w:val="00630CA9"/>
    <w:rsid w:val="00630F5B"/>
    <w:rsid w:val="00630FF6"/>
    <w:rsid w:val="00631076"/>
    <w:rsid w:val="00631308"/>
    <w:rsid w:val="00631A39"/>
    <w:rsid w:val="00631C2C"/>
    <w:rsid w:val="00631DE8"/>
    <w:rsid w:val="006324AB"/>
    <w:rsid w:val="00632644"/>
    <w:rsid w:val="00632FAB"/>
    <w:rsid w:val="00633272"/>
    <w:rsid w:val="00633C56"/>
    <w:rsid w:val="00633DA4"/>
    <w:rsid w:val="00634163"/>
    <w:rsid w:val="006344BC"/>
    <w:rsid w:val="0063465B"/>
    <w:rsid w:val="00634AB6"/>
    <w:rsid w:val="00634BCB"/>
    <w:rsid w:val="00634EBA"/>
    <w:rsid w:val="00634F58"/>
    <w:rsid w:val="00635096"/>
    <w:rsid w:val="00635143"/>
    <w:rsid w:val="006351C4"/>
    <w:rsid w:val="00635303"/>
    <w:rsid w:val="00635505"/>
    <w:rsid w:val="0063583F"/>
    <w:rsid w:val="00635FA1"/>
    <w:rsid w:val="00636303"/>
    <w:rsid w:val="006363A7"/>
    <w:rsid w:val="006363C2"/>
    <w:rsid w:val="00636C86"/>
    <w:rsid w:val="00636DE3"/>
    <w:rsid w:val="00636F58"/>
    <w:rsid w:val="006378D3"/>
    <w:rsid w:val="006379AE"/>
    <w:rsid w:val="00637CFD"/>
    <w:rsid w:val="00637EFC"/>
    <w:rsid w:val="0064003F"/>
    <w:rsid w:val="00640127"/>
    <w:rsid w:val="006404E7"/>
    <w:rsid w:val="006407A1"/>
    <w:rsid w:val="00640B38"/>
    <w:rsid w:val="0064135A"/>
    <w:rsid w:val="00641425"/>
    <w:rsid w:val="00641640"/>
    <w:rsid w:val="00641B26"/>
    <w:rsid w:val="00641D80"/>
    <w:rsid w:val="006420D5"/>
    <w:rsid w:val="00642ACB"/>
    <w:rsid w:val="00642BD7"/>
    <w:rsid w:val="00642CE1"/>
    <w:rsid w:val="00642DB8"/>
    <w:rsid w:val="0064326A"/>
    <w:rsid w:val="0064327E"/>
    <w:rsid w:val="0064337B"/>
    <w:rsid w:val="006433F4"/>
    <w:rsid w:val="006434FC"/>
    <w:rsid w:val="00643652"/>
    <w:rsid w:val="00643804"/>
    <w:rsid w:val="006438CB"/>
    <w:rsid w:val="00643B67"/>
    <w:rsid w:val="00644734"/>
    <w:rsid w:val="00644749"/>
    <w:rsid w:val="00644906"/>
    <w:rsid w:val="00644C72"/>
    <w:rsid w:val="0064500C"/>
    <w:rsid w:val="0064519E"/>
    <w:rsid w:val="00645398"/>
    <w:rsid w:val="00645423"/>
    <w:rsid w:val="00645511"/>
    <w:rsid w:val="00645B88"/>
    <w:rsid w:val="006463C9"/>
    <w:rsid w:val="00646A2A"/>
    <w:rsid w:val="00646B3D"/>
    <w:rsid w:val="00646BFE"/>
    <w:rsid w:val="0064708D"/>
    <w:rsid w:val="006472CE"/>
    <w:rsid w:val="00647523"/>
    <w:rsid w:val="00647DC5"/>
    <w:rsid w:val="006500CC"/>
    <w:rsid w:val="00650852"/>
    <w:rsid w:val="00650A67"/>
    <w:rsid w:val="00650DF8"/>
    <w:rsid w:val="00650FE0"/>
    <w:rsid w:val="00651566"/>
    <w:rsid w:val="006517B7"/>
    <w:rsid w:val="006518C6"/>
    <w:rsid w:val="00651A15"/>
    <w:rsid w:val="00651E4F"/>
    <w:rsid w:val="006522C6"/>
    <w:rsid w:val="006526BD"/>
    <w:rsid w:val="00652A4C"/>
    <w:rsid w:val="00653684"/>
    <w:rsid w:val="00653A3A"/>
    <w:rsid w:val="006541D5"/>
    <w:rsid w:val="0065430E"/>
    <w:rsid w:val="00654331"/>
    <w:rsid w:val="006543F3"/>
    <w:rsid w:val="00654892"/>
    <w:rsid w:val="00654CFA"/>
    <w:rsid w:val="00654DED"/>
    <w:rsid w:val="00655006"/>
    <w:rsid w:val="00655212"/>
    <w:rsid w:val="00655CB6"/>
    <w:rsid w:val="00655CC6"/>
    <w:rsid w:val="00655E2B"/>
    <w:rsid w:val="00656041"/>
    <w:rsid w:val="006560AD"/>
    <w:rsid w:val="006560E6"/>
    <w:rsid w:val="006564B5"/>
    <w:rsid w:val="006571C6"/>
    <w:rsid w:val="006576BB"/>
    <w:rsid w:val="006576CB"/>
    <w:rsid w:val="0065778E"/>
    <w:rsid w:val="006579D0"/>
    <w:rsid w:val="00657B85"/>
    <w:rsid w:val="00657B8A"/>
    <w:rsid w:val="00657C11"/>
    <w:rsid w:val="006602E0"/>
    <w:rsid w:val="00660610"/>
    <w:rsid w:val="00660854"/>
    <w:rsid w:val="0066092A"/>
    <w:rsid w:val="00660C25"/>
    <w:rsid w:val="00660C57"/>
    <w:rsid w:val="00660E37"/>
    <w:rsid w:val="00661026"/>
    <w:rsid w:val="00661061"/>
    <w:rsid w:val="006614DF"/>
    <w:rsid w:val="006616A5"/>
    <w:rsid w:val="00661D2B"/>
    <w:rsid w:val="00662270"/>
    <w:rsid w:val="006624C6"/>
    <w:rsid w:val="00662746"/>
    <w:rsid w:val="00662888"/>
    <w:rsid w:val="00662AFD"/>
    <w:rsid w:val="00662C78"/>
    <w:rsid w:val="00662D1E"/>
    <w:rsid w:val="00663491"/>
    <w:rsid w:val="00663578"/>
    <w:rsid w:val="0066384F"/>
    <w:rsid w:val="00663C1B"/>
    <w:rsid w:val="00663E18"/>
    <w:rsid w:val="006645C2"/>
    <w:rsid w:val="00664821"/>
    <w:rsid w:val="00664913"/>
    <w:rsid w:val="0066507D"/>
    <w:rsid w:val="006652D0"/>
    <w:rsid w:val="006659D5"/>
    <w:rsid w:val="006659DF"/>
    <w:rsid w:val="00665FC9"/>
    <w:rsid w:val="00666236"/>
    <w:rsid w:val="0066653E"/>
    <w:rsid w:val="0066738D"/>
    <w:rsid w:val="006673F2"/>
    <w:rsid w:val="006679D7"/>
    <w:rsid w:val="00667CFE"/>
    <w:rsid w:val="0067004D"/>
    <w:rsid w:val="006701BD"/>
    <w:rsid w:val="006702DC"/>
    <w:rsid w:val="00670404"/>
    <w:rsid w:val="00670507"/>
    <w:rsid w:val="00670A44"/>
    <w:rsid w:val="00670E79"/>
    <w:rsid w:val="0067109A"/>
    <w:rsid w:val="00671B1E"/>
    <w:rsid w:val="00671B73"/>
    <w:rsid w:val="00671E85"/>
    <w:rsid w:val="00672034"/>
    <w:rsid w:val="00672AE8"/>
    <w:rsid w:val="006730C7"/>
    <w:rsid w:val="006735C3"/>
    <w:rsid w:val="00673A9D"/>
    <w:rsid w:val="00673D74"/>
    <w:rsid w:val="00673FF8"/>
    <w:rsid w:val="00674CD3"/>
    <w:rsid w:val="00674FD4"/>
    <w:rsid w:val="00675184"/>
    <w:rsid w:val="0067524A"/>
    <w:rsid w:val="00675354"/>
    <w:rsid w:val="006754C0"/>
    <w:rsid w:val="00676048"/>
    <w:rsid w:val="00676170"/>
    <w:rsid w:val="00676890"/>
    <w:rsid w:val="00676C3C"/>
    <w:rsid w:val="0067701F"/>
    <w:rsid w:val="006773BD"/>
    <w:rsid w:val="00677733"/>
    <w:rsid w:val="00677775"/>
    <w:rsid w:val="00677A37"/>
    <w:rsid w:val="00677B72"/>
    <w:rsid w:val="00677CCE"/>
    <w:rsid w:val="00677F16"/>
    <w:rsid w:val="00677FD1"/>
    <w:rsid w:val="00680A7D"/>
    <w:rsid w:val="00680AFA"/>
    <w:rsid w:val="00680F48"/>
    <w:rsid w:val="00680FA9"/>
    <w:rsid w:val="00680FD9"/>
    <w:rsid w:val="0068207D"/>
    <w:rsid w:val="00682098"/>
    <w:rsid w:val="00682A7A"/>
    <w:rsid w:val="006830CB"/>
    <w:rsid w:val="00683134"/>
    <w:rsid w:val="0068324E"/>
    <w:rsid w:val="006834AE"/>
    <w:rsid w:val="00683B25"/>
    <w:rsid w:val="00683DF7"/>
    <w:rsid w:val="00684087"/>
    <w:rsid w:val="00684341"/>
    <w:rsid w:val="00684808"/>
    <w:rsid w:val="0068487E"/>
    <w:rsid w:val="00684BD7"/>
    <w:rsid w:val="00684DF9"/>
    <w:rsid w:val="006851C4"/>
    <w:rsid w:val="00686041"/>
    <w:rsid w:val="00686827"/>
    <w:rsid w:val="006868ED"/>
    <w:rsid w:val="006869E6"/>
    <w:rsid w:val="00686A31"/>
    <w:rsid w:val="00686B5C"/>
    <w:rsid w:val="00686CCD"/>
    <w:rsid w:val="00686CF4"/>
    <w:rsid w:val="00686DE3"/>
    <w:rsid w:val="00686F2B"/>
    <w:rsid w:val="00686F9D"/>
    <w:rsid w:val="00687235"/>
    <w:rsid w:val="00687372"/>
    <w:rsid w:val="006873C0"/>
    <w:rsid w:val="00687557"/>
    <w:rsid w:val="00687BEE"/>
    <w:rsid w:val="00690A7B"/>
    <w:rsid w:val="00690C15"/>
    <w:rsid w:val="00690C20"/>
    <w:rsid w:val="0069106B"/>
    <w:rsid w:val="006912CC"/>
    <w:rsid w:val="006912F5"/>
    <w:rsid w:val="00691433"/>
    <w:rsid w:val="00691730"/>
    <w:rsid w:val="006918B1"/>
    <w:rsid w:val="00691B34"/>
    <w:rsid w:val="00691B9B"/>
    <w:rsid w:val="00691F5E"/>
    <w:rsid w:val="00692085"/>
    <w:rsid w:val="006921C5"/>
    <w:rsid w:val="00692415"/>
    <w:rsid w:val="0069260D"/>
    <w:rsid w:val="00692B31"/>
    <w:rsid w:val="00693903"/>
    <w:rsid w:val="00693BF8"/>
    <w:rsid w:val="00693E3D"/>
    <w:rsid w:val="006944AC"/>
    <w:rsid w:val="00694903"/>
    <w:rsid w:val="0069494F"/>
    <w:rsid w:val="0069509F"/>
    <w:rsid w:val="006950A7"/>
    <w:rsid w:val="00695944"/>
    <w:rsid w:val="00695C07"/>
    <w:rsid w:val="00695D17"/>
    <w:rsid w:val="00695D4B"/>
    <w:rsid w:val="00695EAC"/>
    <w:rsid w:val="0069657D"/>
    <w:rsid w:val="00696B3D"/>
    <w:rsid w:val="00696CE9"/>
    <w:rsid w:val="00696DA1"/>
    <w:rsid w:val="00697120"/>
    <w:rsid w:val="00697260"/>
    <w:rsid w:val="00697A66"/>
    <w:rsid w:val="006A0116"/>
    <w:rsid w:val="006A04D2"/>
    <w:rsid w:val="006A0C41"/>
    <w:rsid w:val="006A0C4C"/>
    <w:rsid w:val="006A0DA4"/>
    <w:rsid w:val="006A14F2"/>
    <w:rsid w:val="006A1626"/>
    <w:rsid w:val="006A16B8"/>
    <w:rsid w:val="006A1F28"/>
    <w:rsid w:val="006A2335"/>
    <w:rsid w:val="006A24EE"/>
    <w:rsid w:val="006A2748"/>
    <w:rsid w:val="006A2771"/>
    <w:rsid w:val="006A27FD"/>
    <w:rsid w:val="006A289B"/>
    <w:rsid w:val="006A295A"/>
    <w:rsid w:val="006A2AF2"/>
    <w:rsid w:val="006A2C02"/>
    <w:rsid w:val="006A2C31"/>
    <w:rsid w:val="006A3144"/>
    <w:rsid w:val="006A314D"/>
    <w:rsid w:val="006A3168"/>
    <w:rsid w:val="006A31AC"/>
    <w:rsid w:val="006A33CD"/>
    <w:rsid w:val="006A3961"/>
    <w:rsid w:val="006A3EE5"/>
    <w:rsid w:val="006A40E4"/>
    <w:rsid w:val="006A41A8"/>
    <w:rsid w:val="006A43E2"/>
    <w:rsid w:val="006A47C8"/>
    <w:rsid w:val="006A4904"/>
    <w:rsid w:val="006A54C7"/>
    <w:rsid w:val="006A582D"/>
    <w:rsid w:val="006A582E"/>
    <w:rsid w:val="006A595C"/>
    <w:rsid w:val="006A5E28"/>
    <w:rsid w:val="006A64FC"/>
    <w:rsid w:val="006A655B"/>
    <w:rsid w:val="006A67B9"/>
    <w:rsid w:val="006A6959"/>
    <w:rsid w:val="006A6A76"/>
    <w:rsid w:val="006A6C70"/>
    <w:rsid w:val="006A6C72"/>
    <w:rsid w:val="006A6D2C"/>
    <w:rsid w:val="006A70C8"/>
    <w:rsid w:val="006A7250"/>
    <w:rsid w:val="006A7307"/>
    <w:rsid w:val="006A7DDF"/>
    <w:rsid w:val="006A7E0C"/>
    <w:rsid w:val="006B05A4"/>
    <w:rsid w:val="006B0D03"/>
    <w:rsid w:val="006B10A3"/>
    <w:rsid w:val="006B10C3"/>
    <w:rsid w:val="006B1559"/>
    <w:rsid w:val="006B18A5"/>
    <w:rsid w:val="006B19D9"/>
    <w:rsid w:val="006B1BFE"/>
    <w:rsid w:val="006B1F09"/>
    <w:rsid w:val="006B1F18"/>
    <w:rsid w:val="006B208B"/>
    <w:rsid w:val="006B2280"/>
    <w:rsid w:val="006B229D"/>
    <w:rsid w:val="006B2C7B"/>
    <w:rsid w:val="006B2F65"/>
    <w:rsid w:val="006B3021"/>
    <w:rsid w:val="006B359A"/>
    <w:rsid w:val="006B36F5"/>
    <w:rsid w:val="006B3891"/>
    <w:rsid w:val="006B3A4A"/>
    <w:rsid w:val="006B3CBF"/>
    <w:rsid w:val="006B42FA"/>
    <w:rsid w:val="006B4BB6"/>
    <w:rsid w:val="006B4FDF"/>
    <w:rsid w:val="006B5108"/>
    <w:rsid w:val="006B5FA6"/>
    <w:rsid w:val="006B606E"/>
    <w:rsid w:val="006B6278"/>
    <w:rsid w:val="006B62EE"/>
    <w:rsid w:val="006B63ED"/>
    <w:rsid w:val="006B65FB"/>
    <w:rsid w:val="006B662D"/>
    <w:rsid w:val="006B6842"/>
    <w:rsid w:val="006B73A6"/>
    <w:rsid w:val="006B77B2"/>
    <w:rsid w:val="006B7865"/>
    <w:rsid w:val="006B7CC2"/>
    <w:rsid w:val="006B7DEE"/>
    <w:rsid w:val="006B7F9B"/>
    <w:rsid w:val="006C056E"/>
    <w:rsid w:val="006C09C6"/>
    <w:rsid w:val="006C0AEE"/>
    <w:rsid w:val="006C0C3C"/>
    <w:rsid w:val="006C0F58"/>
    <w:rsid w:val="006C0FCE"/>
    <w:rsid w:val="006C11F9"/>
    <w:rsid w:val="006C1443"/>
    <w:rsid w:val="006C17B7"/>
    <w:rsid w:val="006C2200"/>
    <w:rsid w:val="006C2234"/>
    <w:rsid w:val="006C23D5"/>
    <w:rsid w:val="006C25D4"/>
    <w:rsid w:val="006C2AAB"/>
    <w:rsid w:val="006C329C"/>
    <w:rsid w:val="006C349C"/>
    <w:rsid w:val="006C39D7"/>
    <w:rsid w:val="006C3A44"/>
    <w:rsid w:val="006C3D25"/>
    <w:rsid w:val="006C3EB2"/>
    <w:rsid w:val="006C4061"/>
    <w:rsid w:val="006C4070"/>
    <w:rsid w:val="006C42E6"/>
    <w:rsid w:val="006C43FE"/>
    <w:rsid w:val="006C4A1E"/>
    <w:rsid w:val="006C4A8C"/>
    <w:rsid w:val="006C4B22"/>
    <w:rsid w:val="006C4D1F"/>
    <w:rsid w:val="006C4F6A"/>
    <w:rsid w:val="006C58CB"/>
    <w:rsid w:val="006C5920"/>
    <w:rsid w:val="006C5B26"/>
    <w:rsid w:val="006C5F32"/>
    <w:rsid w:val="006C5F7A"/>
    <w:rsid w:val="006C6379"/>
    <w:rsid w:val="006C69D0"/>
    <w:rsid w:val="006C6AA9"/>
    <w:rsid w:val="006C6CB5"/>
    <w:rsid w:val="006C7739"/>
    <w:rsid w:val="006C7955"/>
    <w:rsid w:val="006C7B62"/>
    <w:rsid w:val="006C7CAD"/>
    <w:rsid w:val="006D0008"/>
    <w:rsid w:val="006D0242"/>
    <w:rsid w:val="006D026B"/>
    <w:rsid w:val="006D03A5"/>
    <w:rsid w:val="006D07EC"/>
    <w:rsid w:val="006D0822"/>
    <w:rsid w:val="006D08FB"/>
    <w:rsid w:val="006D091C"/>
    <w:rsid w:val="006D094E"/>
    <w:rsid w:val="006D0BA4"/>
    <w:rsid w:val="006D1331"/>
    <w:rsid w:val="006D1F98"/>
    <w:rsid w:val="006D20EA"/>
    <w:rsid w:val="006D2500"/>
    <w:rsid w:val="006D27A3"/>
    <w:rsid w:val="006D28DB"/>
    <w:rsid w:val="006D2F6E"/>
    <w:rsid w:val="006D3214"/>
    <w:rsid w:val="006D3501"/>
    <w:rsid w:val="006D40A4"/>
    <w:rsid w:val="006D4A8F"/>
    <w:rsid w:val="006D5369"/>
    <w:rsid w:val="006D55DD"/>
    <w:rsid w:val="006D5730"/>
    <w:rsid w:val="006D59A9"/>
    <w:rsid w:val="006D5E35"/>
    <w:rsid w:val="006D60B1"/>
    <w:rsid w:val="006D60C5"/>
    <w:rsid w:val="006D62AB"/>
    <w:rsid w:val="006D6367"/>
    <w:rsid w:val="006D69DE"/>
    <w:rsid w:val="006D7328"/>
    <w:rsid w:val="006D7F74"/>
    <w:rsid w:val="006E00BB"/>
    <w:rsid w:val="006E10AA"/>
    <w:rsid w:val="006E10BB"/>
    <w:rsid w:val="006E160D"/>
    <w:rsid w:val="006E16DE"/>
    <w:rsid w:val="006E1A97"/>
    <w:rsid w:val="006E1D32"/>
    <w:rsid w:val="006E1DD9"/>
    <w:rsid w:val="006E2063"/>
    <w:rsid w:val="006E2146"/>
    <w:rsid w:val="006E2206"/>
    <w:rsid w:val="006E260F"/>
    <w:rsid w:val="006E26F4"/>
    <w:rsid w:val="006E2AAF"/>
    <w:rsid w:val="006E2C7B"/>
    <w:rsid w:val="006E2CFB"/>
    <w:rsid w:val="006E32AA"/>
    <w:rsid w:val="006E3DB7"/>
    <w:rsid w:val="006E403F"/>
    <w:rsid w:val="006E4661"/>
    <w:rsid w:val="006E566B"/>
    <w:rsid w:val="006E5884"/>
    <w:rsid w:val="006E5963"/>
    <w:rsid w:val="006E5B5A"/>
    <w:rsid w:val="006E5BA3"/>
    <w:rsid w:val="006E5FB3"/>
    <w:rsid w:val="006E6142"/>
    <w:rsid w:val="006E61A6"/>
    <w:rsid w:val="006E6249"/>
    <w:rsid w:val="006E6B3F"/>
    <w:rsid w:val="006E7160"/>
    <w:rsid w:val="006E735F"/>
    <w:rsid w:val="006E78EE"/>
    <w:rsid w:val="006E7E8D"/>
    <w:rsid w:val="006F032D"/>
    <w:rsid w:val="006F06A1"/>
    <w:rsid w:val="006F12A7"/>
    <w:rsid w:val="006F12B4"/>
    <w:rsid w:val="006F1455"/>
    <w:rsid w:val="006F154D"/>
    <w:rsid w:val="006F18AD"/>
    <w:rsid w:val="006F1C18"/>
    <w:rsid w:val="006F1D46"/>
    <w:rsid w:val="006F1E7F"/>
    <w:rsid w:val="006F1EFD"/>
    <w:rsid w:val="006F24E5"/>
    <w:rsid w:val="006F257A"/>
    <w:rsid w:val="006F2685"/>
    <w:rsid w:val="006F269A"/>
    <w:rsid w:val="006F2CA0"/>
    <w:rsid w:val="006F2CED"/>
    <w:rsid w:val="006F2E7A"/>
    <w:rsid w:val="006F2F51"/>
    <w:rsid w:val="006F3098"/>
    <w:rsid w:val="006F32A0"/>
    <w:rsid w:val="006F33D5"/>
    <w:rsid w:val="006F33F3"/>
    <w:rsid w:val="006F3584"/>
    <w:rsid w:val="006F39E1"/>
    <w:rsid w:val="006F4709"/>
    <w:rsid w:val="006F49E7"/>
    <w:rsid w:val="006F4E52"/>
    <w:rsid w:val="006F4F4C"/>
    <w:rsid w:val="006F4FE1"/>
    <w:rsid w:val="006F5550"/>
    <w:rsid w:val="006F5DD6"/>
    <w:rsid w:val="006F636F"/>
    <w:rsid w:val="006F6373"/>
    <w:rsid w:val="006F6A2B"/>
    <w:rsid w:val="006F7250"/>
    <w:rsid w:val="006F725C"/>
    <w:rsid w:val="006F7410"/>
    <w:rsid w:val="006F766A"/>
    <w:rsid w:val="006F7F17"/>
    <w:rsid w:val="00700663"/>
    <w:rsid w:val="007006E5"/>
    <w:rsid w:val="0070071F"/>
    <w:rsid w:val="00700790"/>
    <w:rsid w:val="007007BD"/>
    <w:rsid w:val="00700ABD"/>
    <w:rsid w:val="00700E8A"/>
    <w:rsid w:val="00701524"/>
    <w:rsid w:val="007024AA"/>
    <w:rsid w:val="00702801"/>
    <w:rsid w:val="00702AF7"/>
    <w:rsid w:val="00703395"/>
    <w:rsid w:val="0070342E"/>
    <w:rsid w:val="00703501"/>
    <w:rsid w:val="007038B9"/>
    <w:rsid w:val="007045C5"/>
    <w:rsid w:val="0070469F"/>
    <w:rsid w:val="00704ED4"/>
    <w:rsid w:val="007050C6"/>
    <w:rsid w:val="007050ED"/>
    <w:rsid w:val="007051A4"/>
    <w:rsid w:val="00705EC3"/>
    <w:rsid w:val="00706096"/>
    <w:rsid w:val="00706159"/>
    <w:rsid w:val="007062D2"/>
    <w:rsid w:val="007064A8"/>
    <w:rsid w:val="007064B2"/>
    <w:rsid w:val="007068AB"/>
    <w:rsid w:val="007069F2"/>
    <w:rsid w:val="00707361"/>
    <w:rsid w:val="007074FD"/>
    <w:rsid w:val="0070755C"/>
    <w:rsid w:val="007076BB"/>
    <w:rsid w:val="00710038"/>
    <w:rsid w:val="00710041"/>
    <w:rsid w:val="00710148"/>
    <w:rsid w:val="00710652"/>
    <w:rsid w:val="007109D0"/>
    <w:rsid w:val="00710DC9"/>
    <w:rsid w:val="00710FD1"/>
    <w:rsid w:val="0071111F"/>
    <w:rsid w:val="0071120D"/>
    <w:rsid w:val="00711549"/>
    <w:rsid w:val="007116E6"/>
    <w:rsid w:val="00711733"/>
    <w:rsid w:val="007118EE"/>
    <w:rsid w:val="007127DF"/>
    <w:rsid w:val="00712E61"/>
    <w:rsid w:val="00712FC1"/>
    <w:rsid w:val="0071301B"/>
    <w:rsid w:val="007132F9"/>
    <w:rsid w:val="007136BE"/>
    <w:rsid w:val="007136F0"/>
    <w:rsid w:val="00713E6D"/>
    <w:rsid w:val="00714019"/>
    <w:rsid w:val="007143E6"/>
    <w:rsid w:val="00714495"/>
    <w:rsid w:val="00714DC1"/>
    <w:rsid w:val="007152E8"/>
    <w:rsid w:val="007155A9"/>
    <w:rsid w:val="00715A7D"/>
    <w:rsid w:val="00715B1F"/>
    <w:rsid w:val="00715B83"/>
    <w:rsid w:val="00715D60"/>
    <w:rsid w:val="007163B9"/>
    <w:rsid w:val="00716447"/>
    <w:rsid w:val="007165AC"/>
    <w:rsid w:val="00716B63"/>
    <w:rsid w:val="00716DBF"/>
    <w:rsid w:val="00716EA5"/>
    <w:rsid w:val="0071736D"/>
    <w:rsid w:val="00717481"/>
    <w:rsid w:val="007178D0"/>
    <w:rsid w:val="00717BC0"/>
    <w:rsid w:val="007200C7"/>
    <w:rsid w:val="0072015D"/>
    <w:rsid w:val="00720494"/>
    <w:rsid w:val="00720E60"/>
    <w:rsid w:val="00720F7B"/>
    <w:rsid w:val="007215EB"/>
    <w:rsid w:val="00721AE0"/>
    <w:rsid w:val="00722486"/>
    <w:rsid w:val="0072282F"/>
    <w:rsid w:val="00722D16"/>
    <w:rsid w:val="007235FA"/>
    <w:rsid w:val="0072393F"/>
    <w:rsid w:val="00723DEF"/>
    <w:rsid w:val="00723F56"/>
    <w:rsid w:val="00724407"/>
    <w:rsid w:val="007248EE"/>
    <w:rsid w:val="00724AE2"/>
    <w:rsid w:val="00724AE9"/>
    <w:rsid w:val="00724D5F"/>
    <w:rsid w:val="0072518F"/>
    <w:rsid w:val="007253BE"/>
    <w:rsid w:val="007257E0"/>
    <w:rsid w:val="00725B73"/>
    <w:rsid w:val="00725B7B"/>
    <w:rsid w:val="00725D94"/>
    <w:rsid w:val="00726201"/>
    <w:rsid w:val="007266D2"/>
    <w:rsid w:val="007277C5"/>
    <w:rsid w:val="00727A37"/>
    <w:rsid w:val="00727A59"/>
    <w:rsid w:val="00727A74"/>
    <w:rsid w:val="00727BB9"/>
    <w:rsid w:val="00727BC7"/>
    <w:rsid w:val="00727BF9"/>
    <w:rsid w:val="00727D78"/>
    <w:rsid w:val="00730491"/>
    <w:rsid w:val="00730832"/>
    <w:rsid w:val="007308EE"/>
    <w:rsid w:val="00730B4F"/>
    <w:rsid w:val="00730DB7"/>
    <w:rsid w:val="00730EC0"/>
    <w:rsid w:val="00730F03"/>
    <w:rsid w:val="00731007"/>
    <w:rsid w:val="007319BC"/>
    <w:rsid w:val="00731A2F"/>
    <w:rsid w:val="00731F42"/>
    <w:rsid w:val="0073249D"/>
    <w:rsid w:val="0073303D"/>
    <w:rsid w:val="0073457F"/>
    <w:rsid w:val="007346AA"/>
    <w:rsid w:val="00734801"/>
    <w:rsid w:val="00734E00"/>
    <w:rsid w:val="007351B5"/>
    <w:rsid w:val="00735378"/>
    <w:rsid w:val="007354FF"/>
    <w:rsid w:val="007356C6"/>
    <w:rsid w:val="00735726"/>
    <w:rsid w:val="007359B3"/>
    <w:rsid w:val="00735A81"/>
    <w:rsid w:val="00735CB8"/>
    <w:rsid w:val="00735F1C"/>
    <w:rsid w:val="0073601E"/>
    <w:rsid w:val="00736116"/>
    <w:rsid w:val="007361B2"/>
    <w:rsid w:val="00736414"/>
    <w:rsid w:val="0073740D"/>
    <w:rsid w:val="00737CE0"/>
    <w:rsid w:val="00740C09"/>
    <w:rsid w:val="00740D5A"/>
    <w:rsid w:val="00740F0B"/>
    <w:rsid w:val="00741408"/>
    <w:rsid w:val="007416D9"/>
    <w:rsid w:val="00741830"/>
    <w:rsid w:val="007419A5"/>
    <w:rsid w:val="00742105"/>
    <w:rsid w:val="007421E6"/>
    <w:rsid w:val="00742331"/>
    <w:rsid w:val="00742668"/>
    <w:rsid w:val="0074274E"/>
    <w:rsid w:val="0074294E"/>
    <w:rsid w:val="00742C4B"/>
    <w:rsid w:val="00742CC1"/>
    <w:rsid w:val="00742DA3"/>
    <w:rsid w:val="00743375"/>
    <w:rsid w:val="007434FC"/>
    <w:rsid w:val="007435D8"/>
    <w:rsid w:val="00743637"/>
    <w:rsid w:val="00743BE2"/>
    <w:rsid w:val="00744014"/>
    <w:rsid w:val="00744210"/>
    <w:rsid w:val="00744687"/>
    <w:rsid w:val="0074477F"/>
    <w:rsid w:val="00744838"/>
    <w:rsid w:val="00744A9B"/>
    <w:rsid w:val="00744E34"/>
    <w:rsid w:val="00744F52"/>
    <w:rsid w:val="00745888"/>
    <w:rsid w:val="0074601D"/>
    <w:rsid w:val="007462CE"/>
    <w:rsid w:val="0074668E"/>
    <w:rsid w:val="0074693F"/>
    <w:rsid w:val="00746A9D"/>
    <w:rsid w:val="00746F38"/>
    <w:rsid w:val="0074718B"/>
    <w:rsid w:val="00747618"/>
    <w:rsid w:val="00747AE8"/>
    <w:rsid w:val="00747EB9"/>
    <w:rsid w:val="007501BA"/>
    <w:rsid w:val="0075025C"/>
    <w:rsid w:val="00750391"/>
    <w:rsid w:val="007506A7"/>
    <w:rsid w:val="00750B17"/>
    <w:rsid w:val="00750D30"/>
    <w:rsid w:val="00750ED6"/>
    <w:rsid w:val="00751D18"/>
    <w:rsid w:val="00751E0F"/>
    <w:rsid w:val="007521DE"/>
    <w:rsid w:val="0075227E"/>
    <w:rsid w:val="007524AC"/>
    <w:rsid w:val="00752BBE"/>
    <w:rsid w:val="007538BD"/>
    <w:rsid w:val="00753A3E"/>
    <w:rsid w:val="007543C4"/>
    <w:rsid w:val="00754618"/>
    <w:rsid w:val="00755668"/>
    <w:rsid w:val="00755F9C"/>
    <w:rsid w:val="00756468"/>
    <w:rsid w:val="00756865"/>
    <w:rsid w:val="00756C68"/>
    <w:rsid w:val="00757AA2"/>
    <w:rsid w:val="00757CCA"/>
    <w:rsid w:val="007602A1"/>
    <w:rsid w:val="00760584"/>
    <w:rsid w:val="007606F9"/>
    <w:rsid w:val="00760D5E"/>
    <w:rsid w:val="00760F0D"/>
    <w:rsid w:val="00761425"/>
    <w:rsid w:val="0076147E"/>
    <w:rsid w:val="007614F6"/>
    <w:rsid w:val="00761555"/>
    <w:rsid w:val="0076159C"/>
    <w:rsid w:val="007618DB"/>
    <w:rsid w:val="00761997"/>
    <w:rsid w:val="007619C8"/>
    <w:rsid w:val="00761B4A"/>
    <w:rsid w:val="00761F26"/>
    <w:rsid w:val="00762071"/>
    <w:rsid w:val="007626C2"/>
    <w:rsid w:val="007626FF"/>
    <w:rsid w:val="007629E5"/>
    <w:rsid w:val="00763099"/>
    <w:rsid w:val="00763735"/>
    <w:rsid w:val="007638F7"/>
    <w:rsid w:val="00763A8E"/>
    <w:rsid w:val="00763E10"/>
    <w:rsid w:val="007644D7"/>
    <w:rsid w:val="00764642"/>
    <w:rsid w:val="00764C22"/>
    <w:rsid w:val="0076535B"/>
    <w:rsid w:val="00765847"/>
    <w:rsid w:val="0076592B"/>
    <w:rsid w:val="007659FE"/>
    <w:rsid w:val="00766280"/>
    <w:rsid w:val="00766318"/>
    <w:rsid w:val="00766494"/>
    <w:rsid w:val="007664A8"/>
    <w:rsid w:val="00766DB6"/>
    <w:rsid w:val="0076735B"/>
    <w:rsid w:val="007678E8"/>
    <w:rsid w:val="00767CBE"/>
    <w:rsid w:val="00767CC5"/>
    <w:rsid w:val="007700F5"/>
    <w:rsid w:val="00770647"/>
    <w:rsid w:val="00770B3F"/>
    <w:rsid w:val="00770C02"/>
    <w:rsid w:val="00770DFB"/>
    <w:rsid w:val="0077101D"/>
    <w:rsid w:val="007710FB"/>
    <w:rsid w:val="007714C1"/>
    <w:rsid w:val="007716B3"/>
    <w:rsid w:val="00771809"/>
    <w:rsid w:val="00771DA7"/>
    <w:rsid w:val="00771EA6"/>
    <w:rsid w:val="0077239F"/>
    <w:rsid w:val="00772991"/>
    <w:rsid w:val="00772F06"/>
    <w:rsid w:val="007732FA"/>
    <w:rsid w:val="007733A9"/>
    <w:rsid w:val="00773E54"/>
    <w:rsid w:val="00773E71"/>
    <w:rsid w:val="00774252"/>
    <w:rsid w:val="0077449F"/>
    <w:rsid w:val="007745D4"/>
    <w:rsid w:val="007747A9"/>
    <w:rsid w:val="00774804"/>
    <w:rsid w:val="00774A43"/>
    <w:rsid w:val="00774CCF"/>
    <w:rsid w:val="00774E52"/>
    <w:rsid w:val="007750D3"/>
    <w:rsid w:val="00775127"/>
    <w:rsid w:val="0077514E"/>
    <w:rsid w:val="007759A5"/>
    <w:rsid w:val="00776179"/>
    <w:rsid w:val="007761A0"/>
    <w:rsid w:val="00776317"/>
    <w:rsid w:val="007763A0"/>
    <w:rsid w:val="00776726"/>
    <w:rsid w:val="007767CE"/>
    <w:rsid w:val="00777010"/>
    <w:rsid w:val="00777164"/>
    <w:rsid w:val="00777364"/>
    <w:rsid w:val="007777C4"/>
    <w:rsid w:val="007778F1"/>
    <w:rsid w:val="00777B0A"/>
    <w:rsid w:val="007808F6"/>
    <w:rsid w:val="007809DE"/>
    <w:rsid w:val="00781217"/>
    <w:rsid w:val="0078143D"/>
    <w:rsid w:val="00781441"/>
    <w:rsid w:val="007814FC"/>
    <w:rsid w:val="0078201A"/>
    <w:rsid w:val="0078240F"/>
    <w:rsid w:val="00782A60"/>
    <w:rsid w:val="00782BA7"/>
    <w:rsid w:val="00782BBC"/>
    <w:rsid w:val="00782E9C"/>
    <w:rsid w:val="00783491"/>
    <w:rsid w:val="00783ADB"/>
    <w:rsid w:val="00783B02"/>
    <w:rsid w:val="007840C0"/>
    <w:rsid w:val="00784586"/>
    <w:rsid w:val="00784CBC"/>
    <w:rsid w:val="00785095"/>
    <w:rsid w:val="007852B9"/>
    <w:rsid w:val="0078534A"/>
    <w:rsid w:val="00785585"/>
    <w:rsid w:val="00785604"/>
    <w:rsid w:val="00785B2D"/>
    <w:rsid w:val="007865F2"/>
    <w:rsid w:val="00786606"/>
    <w:rsid w:val="00786637"/>
    <w:rsid w:val="007867AE"/>
    <w:rsid w:val="00786D96"/>
    <w:rsid w:val="00786F5D"/>
    <w:rsid w:val="00787A23"/>
    <w:rsid w:val="00787BFF"/>
    <w:rsid w:val="00787F41"/>
    <w:rsid w:val="0079006F"/>
    <w:rsid w:val="007903C6"/>
    <w:rsid w:val="007903F9"/>
    <w:rsid w:val="00790727"/>
    <w:rsid w:val="0079073C"/>
    <w:rsid w:val="00791067"/>
    <w:rsid w:val="007912DB"/>
    <w:rsid w:val="00791628"/>
    <w:rsid w:val="00791936"/>
    <w:rsid w:val="00791A1A"/>
    <w:rsid w:val="00791DB6"/>
    <w:rsid w:val="00792A3D"/>
    <w:rsid w:val="007931DE"/>
    <w:rsid w:val="0079371C"/>
    <w:rsid w:val="0079387A"/>
    <w:rsid w:val="00793C70"/>
    <w:rsid w:val="00793EE4"/>
    <w:rsid w:val="0079403F"/>
    <w:rsid w:val="007940B1"/>
    <w:rsid w:val="00794216"/>
    <w:rsid w:val="00794542"/>
    <w:rsid w:val="00794817"/>
    <w:rsid w:val="00795410"/>
    <w:rsid w:val="00795434"/>
    <w:rsid w:val="00795838"/>
    <w:rsid w:val="00795908"/>
    <w:rsid w:val="00795B30"/>
    <w:rsid w:val="00795C4D"/>
    <w:rsid w:val="00795EF6"/>
    <w:rsid w:val="00795FD8"/>
    <w:rsid w:val="00796222"/>
    <w:rsid w:val="0079626F"/>
    <w:rsid w:val="00796374"/>
    <w:rsid w:val="00796A0D"/>
    <w:rsid w:val="00796A63"/>
    <w:rsid w:val="00796A9F"/>
    <w:rsid w:val="00796B5C"/>
    <w:rsid w:val="00797044"/>
    <w:rsid w:val="007976FC"/>
    <w:rsid w:val="00797D15"/>
    <w:rsid w:val="00797DE4"/>
    <w:rsid w:val="007A0203"/>
    <w:rsid w:val="007A058C"/>
    <w:rsid w:val="007A080E"/>
    <w:rsid w:val="007A08DC"/>
    <w:rsid w:val="007A0FA8"/>
    <w:rsid w:val="007A1F4B"/>
    <w:rsid w:val="007A20BE"/>
    <w:rsid w:val="007A23C4"/>
    <w:rsid w:val="007A23E0"/>
    <w:rsid w:val="007A24B6"/>
    <w:rsid w:val="007A2998"/>
    <w:rsid w:val="007A2BB2"/>
    <w:rsid w:val="007A3A38"/>
    <w:rsid w:val="007A3A94"/>
    <w:rsid w:val="007A3EC3"/>
    <w:rsid w:val="007A3FAD"/>
    <w:rsid w:val="007A3FB0"/>
    <w:rsid w:val="007A45DF"/>
    <w:rsid w:val="007A4FEA"/>
    <w:rsid w:val="007A5AEE"/>
    <w:rsid w:val="007A5F17"/>
    <w:rsid w:val="007A6516"/>
    <w:rsid w:val="007A65DF"/>
    <w:rsid w:val="007A66F6"/>
    <w:rsid w:val="007A687C"/>
    <w:rsid w:val="007A6D88"/>
    <w:rsid w:val="007A73DF"/>
    <w:rsid w:val="007A7E3E"/>
    <w:rsid w:val="007A7FAD"/>
    <w:rsid w:val="007B01FD"/>
    <w:rsid w:val="007B054D"/>
    <w:rsid w:val="007B0889"/>
    <w:rsid w:val="007B0ABB"/>
    <w:rsid w:val="007B0B01"/>
    <w:rsid w:val="007B0DE0"/>
    <w:rsid w:val="007B1057"/>
    <w:rsid w:val="007B116C"/>
    <w:rsid w:val="007B1376"/>
    <w:rsid w:val="007B1558"/>
    <w:rsid w:val="007B17CF"/>
    <w:rsid w:val="007B1B06"/>
    <w:rsid w:val="007B1F63"/>
    <w:rsid w:val="007B227F"/>
    <w:rsid w:val="007B241C"/>
    <w:rsid w:val="007B2534"/>
    <w:rsid w:val="007B35A6"/>
    <w:rsid w:val="007B3BFF"/>
    <w:rsid w:val="007B44B8"/>
    <w:rsid w:val="007B4664"/>
    <w:rsid w:val="007B4831"/>
    <w:rsid w:val="007B486D"/>
    <w:rsid w:val="007B4C38"/>
    <w:rsid w:val="007B50A9"/>
    <w:rsid w:val="007B5376"/>
    <w:rsid w:val="007B5587"/>
    <w:rsid w:val="007B55B9"/>
    <w:rsid w:val="007B57EF"/>
    <w:rsid w:val="007B585A"/>
    <w:rsid w:val="007B5C7D"/>
    <w:rsid w:val="007B5FFB"/>
    <w:rsid w:val="007B63FF"/>
    <w:rsid w:val="007B667E"/>
    <w:rsid w:val="007B6821"/>
    <w:rsid w:val="007B6A27"/>
    <w:rsid w:val="007B75ED"/>
    <w:rsid w:val="007B76E2"/>
    <w:rsid w:val="007B76E7"/>
    <w:rsid w:val="007B7882"/>
    <w:rsid w:val="007B7C6A"/>
    <w:rsid w:val="007B7E6F"/>
    <w:rsid w:val="007C015D"/>
    <w:rsid w:val="007C047F"/>
    <w:rsid w:val="007C0726"/>
    <w:rsid w:val="007C0E12"/>
    <w:rsid w:val="007C0E92"/>
    <w:rsid w:val="007C0FE8"/>
    <w:rsid w:val="007C1012"/>
    <w:rsid w:val="007C1028"/>
    <w:rsid w:val="007C1529"/>
    <w:rsid w:val="007C152D"/>
    <w:rsid w:val="007C1B87"/>
    <w:rsid w:val="007C1C44"/>
    <w:rsid w:val="007C2126"/>
    <w:rsid w:val="007C238E"/>
    <w:rsid w:val="007C2646"/>
    <w:rsid w:val="007C27D7"/>
    <w:rsid w:val="007C2917"/>
    <w:rsid w:val="007C2F29"/>
    <w:rsid w:val="007C30AD"/>
    <w:rsid w:val="007C3384"/>
    <w:rsid w:val="007C35D1"/>
    <w:rsid w:val="007C390A"/>
    <w:rsid w:val="007C3A16"/>
    <w:rsid w:val="007C3A9E"/>
    <w:rsid w:val="007C4065"/>
    <w:rsid w:val="007C448C"/>
    <w:rsid w:val="007C4639"/>
    <w:rsid w:val="007C4748"/>
    <w:rsid w:val="007C499C"/>
    <w:rsid w:val="007C4D49"/>
    <w:rsid w:val="007C5111"/>
    <w:rsid w:val="007C53E1"/>
    <w:rsid w:val="007C59C2"/>
    <w:rsid w:val="007C5AF2"/>
    <w:rsid w:val="007C5BEB"/>
    <w:rsid w:val="007C5D77"/>
    <w:rsid w:val="007C62BE"/>
    <w:rsid w:val="007C63DA"/>
    <w:rsid w:val="007C6B2D"/>
    <w:rsid w:val="007C6EE5"/>
    <w:rsid w:val="007C6F5A"/>
    <w:rsid w:val="007C6FF4"/>
    <w:rsid w:val="007C7701"/>
    <w:rsid w:val="007C782E"/>
    <w:rsid w:val="007C78C8"/>
    <w:rsid w:val="007C7AC6"/>
    <w:rsid w:val="007C7FA7"/>
    <w:rsid w:val="007C7FE9"/>
    <w:rsid w:val="007D0167"/>
    <w:rsid w:val="007D06D3"/>
    <w:rsid w:val="007D0749"/>
    <w:rsid w:val="007D07E5"/>
    <w:rsid w:val="007D0F78"/>
    <w:rsid w:val="007D115A"/>
    <w:rsid w:val="007D1257"/>
    <w:rsid w:val="007D1869"/>
    <w:rsid w:val="007D187F"/>
    <w:rsid w:val="007D283F"/>
    <w:rsid w:val="007D2D25"/>
    <w:rsid w:val="007D36FB"/>
    <w:rsid w:val="007D38DD"/>
    <w:rsid w:val="007D39C1"/>
    <w:rsid w:val="007D3A93"/>
    <w:rsid w:val="007D3AE1"/>
    <w:rsid w:val="007D3AE9"/>
    <w:rsid w:val="007D3C04"/>
    <w:rsid w:val="007D3D4C"/>
    <w:rsid w:val="007D4371"/>
    <w:rsid w:val="007D447A"/>
    <w:rsid w:val="007D45FB"/>
    <w:rsid w:val="007D462F"/>
    <w:rsid w:val="007D4681"/>
    <w:rsid w:val="007D46A0"/>
    <w:rsid w:val="007D4881"/>
    <w:rsid w:val="007D48BD"/>
    <w:rsid w:val="007D4DC6"/>
    <w:rsid w:val="007D51E0"/>
    <w:rsid w:val="007D5889"/>
    <w:rsid w:val="007D59AE"/>
    <w:rsid w:val="007D610B"/>
    <w:rsid w:val="007D621F"/>
    <w:rsid w:val="007D6248"/>
    <w:rsid w:val="007D69A0"/>
    <w:rsid w:val="007D6ACE"/>
    <w:rsid w:val="007D71BF"/>
    <w:rsid w:val="007D7298"/>
    <w:rsid w:val="007D730B"/>
    <w:rsid w:val="007D73B0"/>
    <w:rsid w:val="007D75E9"/>
    <w:rsid w:val="007D7952"/>
    <w:rsid w:val="007D7D13"/>
    <w:rsid w:val="007D7D6F"/>
    <w:rsid w:val="007E020E"/>
    <w:rsid w:val="007E02DD"/>
    <w:rsid w:val="007E0B89"/>
    <w:rsid w:val="007E0BEF"/>
    <w:rsid w:val="007E1454"/>
    <w:rsid w:val="007E1510"/>
    <w:rsid w:val="007E1B64"/>
    <w:rsid w:val="007E22C2"/>
    <w:rsid w:val="007E253F"/>
    <w:rsid w:val="007E2AC3"/>
    <w:rsid w:val="007E33A6"/>
    <w:rsid w:val="007E33ED"/>
    <w:rsid w:val="007E3503"/>
    <w:rsid w:val="007E353A"/>
    <w:rsid w:val="007E3623"/>
    <w:rsid w:val="007E3993"/>
    <w:rsid w:val="007E3E9F"/>
    <w:rsid w:val="007E3EB4"/>
    <w:rsid w:val="007E43A0"/>
    <w:rsid w:val="007E4B1B"/>
    <w:rsid w:val="007E4DF5"/>
    <w:rsid w:val="007E4E35"/>
    <w:rsid w:val="007E53C3"/>
    <w:rsid w:val="007E56CD"/>
    <w:rsid w:val="007E5755"/>
    <w:rsid w:val="007E5990"/>
    <w:rsid w:val="007E5C4A"/>
    <w:rsid w:val="007E6085"/>
    <w:rsid w:val="007E6A02"/>
    <w:rsid w:val="007E6A4F"/>
    <w:rsid w:val="007E793C"/>
    <w:rsid w:val="007E7D7A"/>
    <w:rsid w:val="007F00A1"/>
    <w:rsid w:val="007F0252"/>
    <w:rsid w:val="007F0903"/>
    <w:rsid w:val="007F0D00"/>
    <w:rsid w:val="007F1A7B"/>
    <w:rsid w:val="007F221E"/>
    <w:rsid w:val="007F22A7"/>
    <w:rsid w:val="007F2434"/>
    <w:rsid w:val="007F2B72"/>
    <w:rsid w:val="007F2B91"/>
    <w:rsid w:val="007F2F5A"/>
    <w:rsid w:val="007F40B7"/>
    <w:rsid w:val="007F4EA3"/>
    <w:rsid w:val="007F4EFB"/>
    <w:rsid w:val="007F55CB"/>
    <w:rsid w:val="007F5632"/>
    <w:rsid w:val="007F5806"/>
    <w:rsid w:val="007F5B37"/>
    <w:rsid w:val="007F5B69"/>
    <w:rsid w:val="007F5D34"/>
    <w:rsid w:val="007F5EDD"/>
    <w:rsid w:val="007F5F90"/>
    <w:rsid w:val="007F61D0"/>
    <w:rsid w:val="007F6E4E"/>
    <w:rsid w:val="007F75E9"/>
    <w:rsid w:val="007F7BDA"/>
    <w:rsid w:val="007F7E07"/>
    <w:rsid w:val="0080009C"/>
    <w:rsid w:val="00800747"/>
    <w:rsid w:val="008009BB"/>
    <w:rsid w:val="0080116C"/>
    <w:rsid w:val="00801416"/>
    <w:rsid w:val="00801832"/>
    <w:rsid w:val="00801AEC"/>
    <w:rsid w:val="00801C8D"/>
    <w:rsid w:val="00801DE4"/>
    <w:rsid w:val="00801F1E"/>
    <w:rsid w:val="0080201B"/>
    <w:rsid w:val="008022C6"/>
    <w:rsid w:val="008023E5"/>
    <w:rsid w:val="008023F2"/>
    <w:rsid w:val="00802401"/>
    <w:rsid w:val="00802CF5"/>
    <w:rsid w:val="00802D01"/>
    <w:rsid w:val="00803082"/>
    <w:rsid w:val="008031A1"/>
    <w:rsid w:val="0080323A"/>
    <w:rsid w:val="00803398"/>
    <w:rsid w:val="008034DC"/>
    <w:rsid w:val="0080383A"/>
    <w:rsid w:val="008038BE"/>
    <w:rsid w:val="00803C0C"/>
    <w:rsid w:val="00803E81"/>
    <w:rsid w:val="00804270"/>
    <w:rsid w:val="00804340"/>
    <w:rsid w:val="008048AB"/>
    <w:rsid w:val="00805087"/>
    <w:rsid w:val="0080525B"/>
    <w:rsid w:val="008061DC"/>
    <w:rsid w:val="00806226"/>
    <w:rsid w:val="00806401"/>
    <w:rsid w:val="0080646F"/>
    <w:rsid w:val="008065BA"/>
    <w:rsid w:val="008067BC"/>
    <w:rsid w:val="00806BA5"/>
    <w:rsid w:val="00806F8E"/>
    <w:rsid w:val="00807049"/>
    <w:rsid w:val="008072FA"/>
    <w:rsid w:val="00807444"/>
    <w:rsid w:val="00807470"/>
    <w:rsid w:val="00807B06"/>
    <w:rsid w:val="00807D59"/>
    <w:rsid w:val="0081009F"/>
    <w:rsid w:val="00810219"/>
    <w:rsid w:val="00810279"/>
    <w:rsid w:val="008103A5"/>
    <w:rsid w:val="00810518"/>
    <w:rsid w:val="008105B6"/>
    <w:rsid w:val="0081064D"/>
    <w:rsid w:val="008106B7"/>
    <w:rsid w:val="00810D13"/>
    <w:rsid w:val="00811016"/>
    <w:rsid w:val="00811B1F"/>
    <w:rsid w:val="00811CBB"/>
    <w:rsid w:val="00812546"/>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BCE"/>
    <w:rsid w:val="00816279"/>
    <w:rsid w:val="008165E4"/>
    <w:rsid w:val="0081674A"/>
    <w:rsid w:val="008168E7"/>
    <w:rsid w:val="00816E01"/>
    <w:rsid w:val="008171D5"/>
    <w:rsid w:val="0081747F"/>
    <w:rsid w:val="00817551"/>
    <w:rsid w:val="00817F7C"/>
    <w:rsid w:val="008201B4"/>
    <w:rsid w:val="008203CC"/>
    <w:rsid w:val="00820698"/>
    <w:rsid w:val="0082093F"/>
    <w:rsid w:val="008209B5"/>
    <w:rsid w:val="00820A07"/>
    <w:rsid w:val="00820A81"/>
    <w:rsid w:val="00820ECD"/>
    <w:rsid w:val="0082103D"/>
    <w:rsid w:val="0082148A"/>
    <w:rsid w:val="00821962"/>
    <w:rsid w:val="00821A8D"/>
    <w:rsid w:val="00821ADD"/>
    <w:rsid w:val="00821B31"/>
    <w:rsid w:val="00821BB5"/>
    <w:rsid w:val="008221E8"/>
    <w:rsid w:val="00822289"/>
    <w:rsid w:val="00822377"/>
    <w:rsid w:val="00822549"/>
    <w:rsid w:val="0082269C"/>
    <w:rsid w:val="008228A3"/>
    <w:rsid w:val="00822942"/>
    <w:rsid w:val="00822ADD"/>
    <w:rsid w:val="008230D5"/>
    <w:rsid w:val="00823295"/>
    <w:rsid w:val="0082369F"/>
    <w:rsid w:val="008242CB"/>
    <w:rsid w:val="00824608"/>
    <w:rsid w:val="0082495B"/>
    <w:rsid w:val="00824CD4"/>
    <w:rsid w:val="00824CE6"/>
    <w:rsid w:val="00824FFD"/>
    <w:rsid w:val="00825167"/>
    <w:rsid w:val="00825567"/>
    <w:rsid w:val="0082560C"/>
    <w:rsid w:val="008259B2"/>
    <w:rsid w:val="00825A69"/>
    <w:rsid w:val="00826404"/>
    <w:rsid w:val="00826440"/>
    <w:rsid w:val="00826C32"/>
    <w:rsid w:val="008273AE"/>
    <w:rsid w:val="0082759F"/>
    <w:rsid w:val="008275C4"/>
    <w:rsid w:val="00827880"/>
    <w:rsid w:val="00827BAF"/>
    <w:rsid w:val="00827DF1"/>
    <w:rsid w:val="00827FCD"/>
    <w:rsid w:val="0083008C"/>
    <w:rsid w:val="00830421"/>
    <w:rsid w:val="00830452"/>
    <w:rsid w:val="008309E7"/>
    <w:rsid w:val="00830C37"/>
    <w:rsid w:val="00830FC4"/>
    <w:rsid w:val="0083118C"/>
    <w:rsid w:val="008319B3"/>
    <w:rsid w:val="00831F5F"/>
    <w:rsid w:val="00832835"/>
    <w:rsid w:val="00832AED"/>
    <w:rsid w:val="00832C8E"/>
    <w:rsid w:val="00833118"/>
    <w:rsid w:val="00833256"/>
    <w:rsid w:val="008337AE"/>
    <w:rsid w:val="00833947"/>
    <w:rsid w:val="00833ABA"/>
    <w:rsid w:val="008341F0"/>
    <w:rsid w:val="00834256"/>
    <w:rsid w:val="008346B7"/>
    <w:rsid w:val="00834A2D"/>
    <w:rsid w:val="00834AEF"/>
    <w:rsid w:val="00834B45"/>
    <w:rsid w:val="008358EF"/>
    <w:rsid w:val="00835ADF"/>
    <w:rsid w:val="00835D65"/>
    <w:rsid w:val="008361C1"/>
    <w:rsid w:val="008363AA"/>
    <w:rsid w:val="00836400"/>
    <w:rsid w:val="00836A5E"/>
    <w:rsid w:val="00836B3D"/>
    <w:rsid w:val="00836C68"/>
    <w:rsid w:val="00836D0B"/>
    <w:rsid w:val="00836D7C"/>
    <w:rsid w:val="00836EF8"/>
    <w:rsid w:val="00837AC9"/>
    <w:rsid w:val="00837D21"/>
    <w:rsid w:val="00840291"/>
    <w:rsid w:val="008402BF"/>
    <w:rsid w:val="008402E3"/>
    <w:rsid w:val="00840498"/>
    <w:rsid w:val="00840523"/>
    <w:rsid w:val="0084099C"/>
    <w:rsid w:val="00840B3C"/>
    <w:rsid w:val="0084117D"/>
    <w:rsid w:val="00841792"/>
    <w:rsid w:val="00842009"/>
    <w:rsid w:val="008421B0"/>
    <w:rsid w:val="00842672"/>
    <w:rsid w:val="00842699"/>
    <w:rsid w:val="00842D55"/>
    <w:rsid w:val="00843206"/>
    <w:rsid w:val="008432C8"/>
    <w:rsid w:val="008435D4"/>
    <w:rsid w:val="00843788"/>
    <w:rsid w:val="00843792"/>
    <w:rsid w:val="00843918"/>
    <w:rsid w:val="00843949"/>
    <w:rsid w:val="00843FD3"/>
    <w:rsid w:val="00843FD7"/>
    <w:rsid w:val="008445AA"/>
    <w:rsid w:val="008446E6"/>
    <w:rsid w:val="00844943"/>
    <w:rsid w:val="008449D9"/>
    <w:rsid w:val="00844FBA"/>
    <w:rsid w:val="00845004"/>
    <w:rsid w:val="00845068"/>
    <w:rsid w:val="008452EB"/>
    <w:rsid w:val="008454CE"/>
    <w:rsid w:val="008459E2"/>
    <w:rsid w:val="00845DC6"/>
    <w:rsid w:val="00845E2F"/>
    <w:rsid w:val="00846950"/>
    <w:rsid w:val="008469B1"/>
    <w:rsid w:val="00846AB3"/>
    <w:rsid w:val="00846B1F"/>
    <w:rsid w:val="00846C06"/>
    <w:rsid w:val="00846EC2"/>
    <w:rsid w:val="008472C4"/>
    <w:rsid w:val="0084737B"/>
    <w:rsid w:val="0084755C"/>
    <w:rsid w:val="00847588"/>
    <w:rsid w:val="00847601"/>
    <w:rsid w:val="00847EEE"/>
    <w:rsid w:val="0085056C"/>
    <w:rsid w:val="008508F1"/>
    <w:rsid w:val="0085179F"/>
    <w:rsid w:val="00851936"/>
    <w:rsid w:val="00851A3F"/>
    <w:rsid w:val="00851ADE"/>
    <w:rsid w:val="00852070"/>
    <w:rsid w:val="00852672"/>
    <w:rsid w:val="00852FBA"/>
    <w:rsid w:val="0085304F"/>
    <w:rsid w:val="00853139"/>
    <w:rsid w:val="008533F0"/>
    <w:rsid w:val="00853C84"/>
    <w:rsid w:val="00854006"/>
    <w:rsid w:val="00854037"/>
    <w:rsid w:val="00854065"/>
    <w:rsid w:val="0085433D"/>
    <w:rsid w:val="00854429"/>
    <w:rsid w:val="00854528"/>
    <w:rsid w:val="00854994"/>
    <w:rsid w:val="00854999"/>
    <w:rsid w:val="00854E4B"/>
    <w:rsid w:val="008553F1"/>
    <w:rsid w:val="0085563C"/>
    <w:rsid w:val="008558B3"/>
    <w:rsid w:val="00855A32"/>
    <w:rsid w:val="0085601B"/>
    <w:rsid w:val="00856AAC"/>
    <w:rsid w:val="00856F0B"/>
    <w:rsid w:val="00857251"/>
    <w:rsid w:val="008572A4"/>
    <w:rsid w:val="00857310"/>
    <w:rsid w:val="00857454"/>
    <w:rsid w:val="00857B7C"/>
    <w:rsid w:val="00857BA2"/>
    <w:rsid w:val="00857FCD"/>
    <w:rsid w:val="0086015D"/>
    <w:rsid w:val="00860596"/>
    <w:rsid w:val="00860987"/>
    <w:rsid w:val="00860B93"/>
    <w:rsid w:val="00860C8F"/>
    <w:rsid w:val="00860CC3"/>
    <w:rsid w:val="00860D07"/>
    <w:rsid w:val="00860DEB"/>
    <w:rsid w:val="00860EF6"/>
    <w:rsid w:val="00861091"/>
    <w:rsid w:val="0086111F"/>
    <w:rsid w:val="008617E6"/>
    <w:rsid w:val="008618E0"/>
    <w:rsid w:val="00862178"/>
    <w:rsid w:val="008624BA"/>
    <w:rsid w:val="00863162"/>
    <w:rsid w:val="008637C3"/>
    <w:rsid w:val="008638F8"/>
    <w:rsid w:val="00863C9D"/>
    <w:rsid w:val="00863E84"/>
    <w:rsid w:val="0086487B"/>
    <w:rsid w:val="0086494E"/>
    <w:rsid w:val="00864F00"/>
    <w:rsid w:val="008651A3"/>
    <w:rsid w:val="008655D3"/>
    <w:rsid w:val="00865603"/>
    <w:rsid w:val="00865978"/>
    <w:rsid w:val="00865981"/>
    <w:rsid w:val="00865A9E"/>
    <w:rsid w:val="00866391"/>
    <w:rsid w:val="008669A4"/>
    <w:rsid w:val="00866B3C"/>
    <w:rsid w:val="00866DBC"/>
    <w:rsid w:val="00866F73"/>
    <w:rsid w:val="00866FC5"/>
    <w:rsid w:val="008672AC"/>
    <w:rsid w:val="00867423"/>
    <w:rsid w:val="00867A91"/>
    <w:rsid w:val="00867ACD"/>
    <w:rsid w:val="00870067"/>
    <w:rsid w:val="00870749"/>
    <w:rsid w:val="008708C8"/>
    <w:rsid w:val="00870A00"/>
    <w:rsid w:val="0087153F"/>
    <w:rsid w:val="008716AB"/>
    <w:rsid w:val="00871950"/>
    <w:rsid w:val="008719FB"/>
    <w:rsid w:val="00871A58"/>
    <w:rsid w:val="00871CD8"/>
    <w:rsid w:val="00872356"/>
    <w:rsid w:val="00872906"/>
    <w:rsid w:val="00872AB8"/>
    <w:rsid w:val="00872B73"/>
    <w:rsid w:val="00872D28"/>
    <w:rsid w:val="00872EF5"/>
    <w:rsid w:val="0087335E"/>
    <w:rsid w:val="0087345A"/>
    <w:rsid w:val="00873589"/>
    <w:rsid w:val="008738E5"/>
    <w:rsid w:val="00873DC0"/>
    <w:rsid w:val="0087418B"/>
    <w:rsid w:val="0087423F"/>
    <w:rsid w:val="008742AD"/>
    <w:rsid w:val="0087479E"/>
    <w:rsid w:val="008747A0"/>
    <w:rsid w:val="00874AB7"/>
    <w:rsid w:val="00874E34"/>
    <w:rsid w:val="00874EDC"/>
    <w:rsid w:val="008751B4"/>
    <w:rsid w:val="0087536B"/>
    <w:rsid w:val="00875ABE"/>
    <w:rsid w:val="00875C57"/>
    <w:rsid w:val="00875D4F"/>
    <w:rsid w:val="00876684"/>
    <w:rsid w:val="0087676B"/>
    <w:rsid w:val="0087727F"/>
    <w:rsid w:val="008772A6"/>
    <w:rsid w:val="0087799E"/>
    <w:rsid w:val="00877D0D"/>
    <w:rsid w:val="00877E1B"/>
    <w:rsid w:val="0088057F"/>
    <w:rsid w:val="00880A07"/>
    <w:rsid w:val="00880D38"/>
    <w:rsid w:val="00881199"/>
    <w:rsid w:val="008814C7"/>
    <w:rsid w:val="0088172B"/>
    <w:rsid w:val="008821B2"/>
    <w:rsid w:val="0088230A"/>
    <w:rsid w:val="008824E7"/>
    <w:rsid w:val="008825F3"/>
    <w:rsid w:val="00882B16"/>
    <w:rsid w:val="00882CAB"/>
    <w:rsid w:val="00882DF9"/>
    <w:rsid w:val="008837A4"/>
    <w:rsid w:val="008838FA"/>
    <w:rsid w:val="008842CF"/>
    <w:rsid w:val="008843CA"/>
    <w:rsid w:val="0088448D"/>
    <w:rsid w:val="008849F3"/>
    <w:rsid w:val="00884E3A"/>
    <w:rsid w:val="008855C7"/>
    <w:rsid w:val="008856FD"/>
    <w:rsid w:val="00885720"/>
    <w:rsid w:val="008857DD"/>
    <w:rsid w:val="008859D2"/>
    <w:rsid w:val="00885D3A"/>
    <w:rsid w:val="0088654E"/>
    <w:rsid w:val="008865BF"/>
    <w:rsid w:val="008868E4"/>
    <w:rsid w:val="00886AD9"/>
    <w:rsid w:val="0088715F"/>
    <w:rsid w:val="00887572"/>
    <w:rsid w:val="008876D1"/>
    <w:rsid w:val="00887ADF"/>
    <w:rsid w:val="00887BF1"/>
    <w:rsid w:val="00887F45"/>
    <w:rsid w:val="008901FA"/>
    <w:rsid w:val="00890726"/>
    <w:rsid w:val="00890864"/>
    <w:rsid w:val="00890FB9"/>
    <w:rsid w:val="00891B1F"/>
    <w:rsid w:val="00891BB5"/>
    <w:rsid w:val="00891D00"/>
    <w:rsid w:val="00892A1F"/>
    <w:rsid w:val="00892C1E"/>
    <w:rsid w:val="00892F7D"/>
    <w:rsid w:val="008935A3"/>
    <w:rsid w:val="00893613"/>
    <w:rsid w:val="00893AB4"/>
    <w:rsid w:val="00893B38"/>
    <w:rsid w:val="00893C34"/>
    <w:rsid w:val="00894534"/>
    <w:rsid w:val="00894B09"/>
    <w:rsid w:val="00894DA2"/>
    <w:rsid w:val="00895222"/>
    <w:rsid w:val="00895559"/>
    <w:rsid w:val="00895D64"/>
    <w:rsid w:val="00895F31"/>
    <w:rsid w:val="008963F5"/>
    <w:rsid w:val="008966E7"/>
    <w:rsid w:val="00896816"/>
    <w:rsid w:val="00896A63"/>
    <w:rsid w:val="00896C59"/>
    <w:rsid w:val="00896DB0"/>
    <w:rsid w:val="00896EB0"/>
    <w:rsid w:val="008973C5"/>
    <w:rsid w:val="00897CD0"/>
    <w:rsid w:val="00897E20"/>
    <w:rsid w:val="008A0620"/>
    <w:rsid w:val="008A09F6"/>
    <w:rsid w:val="008A0C69"/>
    <w:rsid w:val="008A0C6C"/>
    <w:rsid w:val="008A14F6"/>
    <w:rsid w:val="008A2375"/>
    <w:rsid w:val="008A2594"/>
    <w:rsid w:val="008A26B9"/>
    <w:rsid w:val="008A2809"/>
    <w:rsid w:val="008A2970"/>
    <w:rsid w:val="008A3076"/>
    <w:rsid w:val="008A3331"/>
    <w:rsid w:val="008A3406"/>
    <w:rsid w:val="008A360A"/>
    <w:rsid w:val="008A390F"/>
    <w:rsid w:val="008A3A85"/>
    <w:rsid w:val="008A3B3D"/>
    <w:rsid w:val="008A3BEC"/>
    <w:rsid w:val="008A3F13"/>
    <w:rsid w:val="008A4A69"/>
    <w:rsid w:val="008A4C23"/>
    <w:rsid w:val="008A4E03"/>
    <w:rsid w:val="008A541D"/>
    <w:rsid w:val="008A5544"/>
    <w:rsid w:val="008A5DCB"/>
    <w:rsid w:val="008A6027"/>
    <w:rsid w:val="008A69BE"/>
    <w:rsid w:val="008A71C9"/>
    <w:rsid w:val="008A72C3"/>
    <w:rsid w:val="008A77AB"/>
    <w:rsid w:val="008A7C10"/>
    <w:rsid w:val="008A7C7C"/>
    <w:rsid w:val="008B01E9"/>
    <w:rsid w:val="008B077C"/>
    <w:rsid w:val="008B09D1"/>
    <w:rsid w:val="008B0EFC"/>
    <w:rsid w:val="008B1447"/>
    <w:rsid w:val="008B15E3"/>
    <w:rsid w:val="008B16F5"/>
    <w:rsid w:val="008B2668"/>
    <w:rsid w:val="008B2E14"/>
    <w:rsid w:val="008B2E49"/>
    <w:rsid w:val="008B2EEB"/>
    <w:rsid w:val="008B2F1E"/>
    <w:rsid w:val="008B3024"/>
    <w:rsid w:val="008B3070"/>
    <w:rsid w:val="008B3124"/>
    <w:rsid w:val="008B34B1"/>
    <w:rsid w:val="008B3DEB"/>
    <w:rsid w:val="008B3E2D"/>
    <w:rsid w:val="008B469A"/>
    <w:rsid w:val="008B4746"/>
    <w:rsid w:val="008B476F"/>
    <w:rsid w:val="008B4C55"/>
    <w:rsid w:val="008B4C84"/>
    <w:rsid w:val="008B4F47"/>
    <w:rsid w:val="008B5779"/>
    <w:rsid w:val="008B57C1"/>
    <w:rsid w:val="008B59E0"/>
    <w:rsid w:val="008B5D62"/>
    <w:rsid w:val="008B5E00"/>
    <w:rsid w:val="008B5FD0"/>
    <w:rsid w:val="008B6F62"/>
    <w:rsid w:val="008B7003"/>
    <w:rsid w:val="008B712F"/>
    <w:rsid w:val="008B78E0"/>
    <w:rsid w:val="008B7E8B"/>
    <w:rsid w:val="008C0417"/>
    <w:rsid w:val="008C050F"/>
    <w:rsid w:val="008C08EA"/>
    <w:rsid w:val="008C0CAC"/>
    <w:rsid w:val="008C0EAD"/>
    <w:rsid w:val="008C1538"/>
    <w:rsid w:val="008C1DDC"/>
    <w:rsid w:val="008C201B"/>
    <w:rsid w:val="008C2656"/>
    <w:rsid w:val="008C29EA"/>
    <w:rsid w:val="008C352E"/>
    <w:rsid w:val="008C3592"/>
    <w:rsid w:val="008C379F"/>
    <w:rsid w:val="008C3B37"/>
    <w:rsid w:val="008C3BAA"/>
    <w:rsid w:val="008C3C1F"/>
    <w:rsid w:val="008C3C22"/>
    <w:rsid w:val="008C4230"/>
    <w:rsid w:val="008C4375"/>
    <w:rsid w:val="008C43F8"/>
    <w:rsid w:val="008C4670"/>
    <w:rsid w:val="008C4801"/>
    <w:rsid w:val="008C4A09"/>
    <w:rsid w:val="008C4D5D"/>
    <w:rsid w:val="008C5982"/>
    <w:rsid w:val="008C5A79"/>
    <w:rsid w:val="008C5DD5"/>
    <w:rsid w:val="008C5FAB"/>
    <w:rsid w:val="008C6030"/>
    <w:rsid w:val="008C698A"/>
    <w:rsid w:val="008C6D0E"/>
    <w:rsid w:val="008C6E27"/>
    <w:rsid w:val="008C7470"/>
    <w:rsid w:val="008C7549"/>
    <w:rsid w:val="008C771D"/>
    <w:rsid w:val="008C790B"/>
    <w:rsid w:val="008C7C2E"/>
    <w:rsid w:val="008D0214"/>
    <w:rsid w:val="008D04BF"/>
    <w:rsid w:val="008D051F"/>
    <w:rsid w:val="008D0BB5"/>
    <w:rsid w:val="008D0DBF"/>
    <w:rsid w:val="008D10B4"/>
    <w:rsid w:val="008D1144"/>
    <w:rsid w:val="008D1305"/>
    <w:rsid w:val="008D17B2"/>
    <w:rsid w:val="008D1A4D"/>
    <w:rsid w:val="008D21F8"/>
    <w:rsid w:val="008D22EA"/>
    <w:rsid w:val="008D24EF"/>
    <w:rsid w:val="008D2E87"/>
    <w:rsid w:val="008D3206"/>
    <w:rsid w:val="008D35CC"/>
    <w:rsid w:val="008D3872"/>
    <w:rsid w:val="008D3F02"/>
    <w:rsid w:val="008D4017"/>
    <w:rsid w:val="008D4285"/>
    <w:rsid w:val="008D440E"/>
    <w:rsid w:val="008D4540"/>
    <w:rsid w:val="008D46DA"/>
    <w:rsid w:val="008D4982"/>
    <w:rsid w:val="008D4A09"/>
    <w:rsid w:val="008D4ABF"/>
    <w:rsid w:val="008D4D5A"/>
    <w:rsid w:val="008D4EA1"/>
    <w:rsid w:val="008D59D4"/>
    <w:rsid w:val="008D5BF0"/>
    <w:rsid w:val="008D5F0D"/>
    <w:rsid w:val="008D67F2"/>
    <w:rsid w:val="008D68F0"/>
    <w:rsid w:val="008D6A49"/>
    <w:rsid w:val="008D6CE5"/>
    <w:rsid w:val="008D76BB"/>
    <w:rsid w:val="008D7E3B"/>
    <w:rsid w:val="008D7E7B"/>
    <w:rsid w:val="008D7F77"/>
    <w:rsid w:val="008E0313"/>
    <w:rsid w:val="008E0657"/>
    <w:rsid w:val="008E0783"/>
    <w:rsid w:val="008E0999"/>
    <w:rsid w:val="008E0A83"/>
    <w:rsid w:val="008E0E36"/>
    <w:rsid w:val="008E1059"/>
    <w:rsid w:val="008E1222"/>
    <w:rsid w:val="008E148F"/>
    <w:rsid w:val="008E15E0"/>
    <w:rsid w:val="008E1610"/>
    <w:rsid w:val="008E18E6"/>
    <w:rsid w:val="008E18F8"/>
    <w:rsid w:val="008E1A9D"/>
    <w:rsid w:val="008E1ABE"/>
    <w:rsid w:val="008E1BD7"/>
    <w:rsid w:val="008E234C"/>
    <w:rsid w:val="008E27A4"/>
    <w:rsid w:val="008E295D"/>
    <w:rsid w:val="008E2A91"/>
    <w:rsid w:val="008E2C90"/>
    <w:rsid w:val="008E2D58"/>
    <w:rsid w:val="008E2E67"/>
    <w:rsid w:val="008E2EEF"/>
    <w:rsid w:val="008E2F82"/>
    <w:rsid w:val="008E301E"/>
    <w:rsid w:val="008E35CD"/>
    <w:rsid w:val="008E3A4F"/>
    <w:rsid w:val="008E3FD5"/>
    <w:rsid w:val="008E40FE"/>
    <w:rsid w:val="008E4244"/>
    <w:rsid w:val="008E442C"/>
    <w:rsid w:val="008E44C6"/>
    <w:rsid w:val="008E44FF"/>
    <w:rsid w:val="008E4616"/>
    <w:rsid w:val="008E49C6"/>
    <w:rsid w:val="008E4A38"/>
    <w:rsid w:val="008E4F57"/>
    <w:rsid w:val="008E549D"/>
    <w:rsid w:val="008E5B76"/>
    <w:rsid w:val="008E6388"/>
    <w:rsid w:val="008E666F"/>
    <w:rsid w:val="008E68EF"/>
    <w:rsid w:val="008E69CB"/>
    <w:rsid w:val="008E72DA"/>
    <w:rsid w:val="008E769F"/>
    <w:rsid w:val="008E772F"/>
    <w:rsid w:val="008E77D4"/>
    <w:rsid w:val="008E7861"/>
    <w:rsid w:val="008E7DA1"/>
    <w:rsid w:val="008F025A"/>
    <w:rsid w:val="008F031D"/>
    <w:rsid w:val="008F0546"/>
    <w:rsid w:val="008F06F5"/>
    <w:rsid w:val="008F09F5"/>
    <w:rsid w:val="008F0ADA"/>
    <w:rsid w:val="008F0E73"/>
    <w:rsid w:val="008F103F"/>
    <w:rsid w:val="008F1645"/>
    <w:rsid w:val="008F17D0"/>
    <w:rsid w:val="008F1C4B"/>
    <w:rsid w:val="008F1D1F"/>
    <w:rsid w:val="008F2127"/>
    <w:rsid w:val="008F21B3"/>
    <w:rsid w:val="008F2219"/>
    <w:rsid w:val="008F24BE"/>
    <w:rsid w:val="008F2ADC"/>
    <w:rsid w:val="008F2DC7"/>
    <w:rsid w:val="008F2DD7"/>
    <w:rsid w:val="008F2E46"/>
    <w:rsid w:val="008F2E89"/>
    <w:rsid w:val="008F31BE"/>
    <w:rsid w:val="008F335B"/>
    <w:rsid w:val="008F3762"/>
    <w:rsid w:val="008F37B6"/>
    <w:rsid w:val="008F3866"/>
    <w:rsid w:val="008F3A3B"/>
    <w:rsid w:val="008F3E62"/>
    <w:rsid w:val="008F3FA7"/>
    <w:rsid w:val="008F3FAE"/>
    <w:rsid w:val="008F4096"/>
    <w:rsid w:val="008F4133"/>
    <w:rsid w:val="008F41AF"/>
    <w:rsid w:val="008F41EB"/>
    <w:rsid w:val="008F4264"/>
    <w:rsid w:val="008F44EA"/>
    <w:rsid w:val="008F4581"/>
    <w:rsid w:val="008F4D2F"/>
    <w:rsid w:val="008F5077"/>
    <w:rsid w:val="008F5362"/>
    <w:rsid w:val="008F573A"/>
    <w:rsid w:val="008F59DD"/>
    <w:rsid w:val="008F6034"/>
    <w:rsid w:val="008F6039"/>
    <w:rsid w:val="008F6449"/>
    <w:rsid w:val="008F6591"/>
    <w:rsid w:val="008F65F8"/>
    <w:rsid w:val="008F6EF1"/>
    <w:rsid w:val="008F70CB"/>
    <w:rsid w:val="008F749F"/>
    <w:rsid w:val="008F7994"/>
    <w:rsid w:val="008F7BCD"/>
    <w:rsid w:val="008F7DF0"/>
    <w:rsid w:val="0090010A"/>
    <w:rsid w:val="0090010F"/>
    <w:rsid w:val="00900384"/>
    <w:rsid w:val="00900BA7"/>
    <w:rsid w:val="00900BD3"/>
    <w:rsid w:val="00900C0E"/>
    <w:rsid w:val="00900D77"/>
    <w:rsid w:val="00901BE2"/>
    <w:rsid w:val="00902396"/>
    <w:rsid w:val="009023F8"/>
    <w:rsid w:val="0090295D"/>
    <w:rsid w:val="00902D47"/>
    <w:rsid w:val="00902F49"/>
    <w:rsid w:val="00902FD2"/>
    <w:rsid w:val="0090326E"/>
    <w:rsid w:val="009038E5"/>
    <w:rsid w:val="00903C4F"/>
    <w:rsid w:val="00903E9B"/>
    <w:rsid w:val="00904036"/>
    <w:rsid w:val="0090415E"/>
    <w:rsid w:val="00904860"/>
    <w:rsid w:val="00904916"/>
    <w:rsid w:val="009049E3"/>
    <w:rsid w:val="00904B95"/>
    <w:rsid w:val="00904DFB"/>
    <w:rsid w:val="009051A6"/>
    <w:rsid w:val="0090526F"/>
    <w:rsid w:val="009054F7"/>
    <w:rsid w:val="009056A8"/>
    <w:rsid w:val="009058A8"/>
    <w:rsid w:val="009058ED"/>
    <w:rsid w:val="00905A34"/>
    <w:rsid w:val="00905B43"/>
    <w:rsid w:val="009062C3"/>
    <w:rsid w:val="0090660E"/>
    <w:rsid w:val="00906A01"/>
    <w:rsid w:val="00906D15"/>
    <w:rsid w:val="00907163"/>
    <w:rsid w:val="00907243"/>
    <w:rsid w:val="009072C7"/>
    <w:rsid w:val="0090759A"/>
    <w:rsid w:val="0090788C"/>
    <w:rsid w:val="00907A06"/>
    <w:rsid w:val="00907D85"/>
    <w:rsid w:val="00907F73"/>
    <w:rsid w:val="009105EB"/>
    <w:rsid w:val="009105FD"/>
    <w:rsid w:val="00910C34"/>
    <w:rsid w:val="0091100B"/>
    <w:rsid w:val="00911790"/>
    <w:rsid w:val="00911BE7"/>
    <w:rsid w:val="00911E8D"/>
    <w:rsid w:val="009127AC"/>
    <w:rsid w:val="009127CC"/>
    <w:rsid w:val="009127FD"/>
    <w:rsid w:val="009128D6"/>
    <w:rsid w:val="00912FBA"/>
    <w:rsid w:val="00913169"/>
    <w:rsid w:val="00913284"/>
    <w:rsid w:val="0091355E"/>
    <w:rsid w:val="00913C94"/>
    <w:rsid w:val="0091462B"/>
    <w:rsid w:val="00914727"/>
    <w:rsid w:val="0091477B"/>
    <w:rsid w:val="00914893"/>
    <w:rsid w:val="00914EF3"/>
    <w:rsid w:val="00915030"/>
    <w:rsid w:val="00915091"/>
    <w:rsid w:val="009150A5"/>
    <w:rsid w:val="0091510C"/>
    <w:rsid w:val="00915251"/>
    <w:rsid w:val="00915326"/>
    <w:rsid w:val="009154E9"/>
    <w:rsid w:val="009155A2"/>
    <w:rsid w:val="00915640"/>
    <w:rsid w:val="0091567C"/>
    <w:rsid w:val="00915D6B"/>
    <w:rsid w:val="00915FEE"/>
    <w:rsid w:val="00916088"/>
    <w:rsid w:val="009167D1"/>
    <w:rsid w:val="009168F8"/>
    <w:rsid w:val="00916A1E"/>
    <w:rsid w:val="00916AC0"/>
    <w:rsid w:val="00916B92"/>
    <w:rsid w:val="00916BA3"/>
    <w:rsid w:val="00916D1F"/>
    <w:rsid w:val="00916FB7"/>
    <w:rsid w:val="0091710B"/>
    <w:rsid w:val="009175C7"/>
    <w:rsid w:val="00917EF2"/>
    <w:rsid w:val="00917F58"/>
    <w:rsid w:val="00920F73"/>
    <w:rsid w:val="009210D7"/>
    <w:rsid w:val="00921569"/>
    <w:rsid w:val="00921676"/>
    <w:rsid w:val="009216EF"/>
    <w:rsid w:val="00921760"/>
    <w:rsid w:val="00921B00"/>
    <w:rsid w:val="00921E9A"/>
    <w:rsid w:val="00922332"/>
    <w:rsid w:val="00922748"/>
    <w:rsid w:val="00922B72"/>
    <w:rsid w:val="00922B91"/>
    <w:rsid w:val="00922F6D"/>
    <w:rsid w:val="00923019"/>
    <w:rsid w:val="00923526"/>
    <w:rsid w:val="00923992"/>
    <w:rsid w:val="009239EA"/>
    <w:rsid w:val="00923A29"/>
    <w:rsid w:val="00923B6B"/>
    <w:rsid w:val="00924007"/>
    <w:rsid w:val="0092432C"/>
    <w:rsid w:val="009247DE"/>
    <w:rsid w:val="009248B4"/>
    <w:rsid w:val="0092492F"/>
    <w:rsid w:val="009267A4"/>
    <w:rsid w:val="009269B5"/>
    <w:rsid w:val="00926A16"/>
    <w:rsid w:val="00926BFB"/>
    <w:rsid w:val="009271FC"/>
    <w:rsid w:val="00927375"/>
    <w:rsid w:val="009278AF"/>
    <w:rsid w:val="00927919"/>
    <w:rsid w:val="00927ABE"/>
    <w:rsid w:val="009308CD"/>
    <w:rsid w:val="009312EF"/>
    <w:rsid w:val="00931395"/>
    <w:rsid w:val="009313B1"/>
    <w:rsid w:val="009313FE"/>
    <w:rsid w:val="00931A8E"/>
    <w:rsid w:val="00931C2C"/>
    <w:rsid w:val="00932944"/>
    <w:rsid w:val="00932A6B"/>
    <w:rsid w:val="00932BA7"/>
    <w:rsid w:val="00933224"/>
    <w:rsid w:val="009333AA"/>
    <w:rsid w:val="0093470F"/>
    <w:rsid w:val="009348D2"/>
    <w:rsid w:val="00934AAC"/>
    <w:rsid w:val="00934B92"/>
    <w:rsid w:val="00934D49"/>
    <w:rsid w:val="00934D79"/>
    <w:rsid w:val="00935188"/>
    <w:rsid w:val="00935343"/>
    <w:rsid w:val="00935363"/>
    <w:rsid w:val="0093549F"/>
    <w:rsid w:val="00935618"/>
    <w:rsid w:val="00935637"/>
    <w:rsid w:val="009359A1"/>
    <w:rsid w:val="00935A1F"/>
    <w:rsid w:val="00935D12"/>
    <w:rsid w:val="0093602D"/>
    <w:rsid w:val="009368DD"/>
    <w:rsid w:val="00936A55"/>
    <w:rsid w:val="00936AE7"/>
    <w:rsid w:val="00936C0E"/>
    <w:rsid w:val="00936D98"/>
    <w:rsid w:val="009372C9"/>
    <w:rsid w:val="00937A1B"/>
    <w:rsid w:val="00937B4B"/>
    <w:rsid w:val="009400AB"/>
    <w:rsid w:val="0094045E"/>
    <w:rsid w:val="009404A4"/>
    <w:rsid w:val="0094062A"/>
    <w:rsid w:val="00940A1B"/>
    <w:rsid w:val="00940C72"/>
    <w:rsid w:val="00941045"/>
    <w:rsid w:val="00941197"/>
    <w:rsid w:val="00941252"/>
    <w:rsid w:val="00941464"/>
    <w:rsid w:val="009414D7"/>
    <w:rsid w:val="00941631"/>
    <w:rsid w:val="0094172C"/>
    <w:rsid w:val="00941F1C"/>
    <w:rsid w:val="009420D1"/>
    <w:rsid w:val="00942A19"/>
    <w:rsid w:val="00942C0E"/>
    <w:rsid w:val="0094304C"/>
    <w:rsid w:val="00943071"/>
    <w:rsid w:val="0094380C"/>
    <w:rsid w:val="00944738"/>
    <w:rsid w:val="00944B0A"/>
    <w:rsid w:val="00945045"/>
    <w:rsid w:val="009453F5"/>
    <w:rsid w:val="009454BB"/>
    <w:rsid w:val="00945699"/>
    <w:rsid w:val="009456A4"/>
    <w:rsid w:val="00945F30"/>
    <w:rsid w:val="009460C8"/>
    <w:rsid w:val="00946113"/>
    <w:rsid w:val="00946480"/>
    <w:rsid w:val="009464FC"/>
    <w:rsid w:val="009469F4"/>
    <w:rsid w:val="00946AE8"/>
    <w:rsid w:val="00946E7A"/>
    <w:rsid w:val="00946F49"/>
    <w:rsid w:val="00946FD3"/>
    <w:rsid w:val="00947950"/>
    <w:rsid w:val="00947D97"/>
    <w:rsid w:val="00947E93"/>
    <w:rsid w:val="009501BA"/>
    <w:rsid w:val="00950618"/>
    <w:rsid w:val="00950AE4"/>
    <w:rsid w:val="00950D58"/>
    <w:rsid w:val="00950E73"/>
    <w:rsid w:val="00950EB1"/>
    <w:rsid w:val="009510BA"/>
    <w:rsid w:val="00951192"/>
    <w:rsid w:val="0095127F"/>
    <w:rsid w:val="00951ACA"/>
    <w:rsid w:val="00952049"/>
    <w:rsid w:val="00952285"/>
    <w:rsid w:val="00952AEE"/>
    <w:rsid w:val="00952C41"/>
    <w:rsid w:val="009536BC"/>
    <w:rsid w:val="009537DD"/>
    <w:rsid w:val="00953C05"/>
    <w:rsid w:val="00954034"/>
    <w:rsid w:val="0095425E"/>
    <w:rsid w:val="009543DE"/>
    <w:rsid w:val="00954441"/>
    <w:rsid w:val="009544F0"/>
    <w:rsid w:val="00954523"/>
    <w:rsid w:val="009552EA"/>
    <w:rsid w:val="009557AA"/>
    <w:rsid w:val="00955807"/>
    <w:rsid w:val="00955A22"/>
    <w:rsid w:val="00956881"/>
    <w:rsid w:val="009568B4"/>
    <w:rsid w:val="00956ECE"/>
    <w:rsid w:val="0095708D"/>
    <w:rsid w:val="009574BC"/>
    <w:rsid w:val="009577BB"/>
    <w:rsid w:val="0095783E"/>
    <w:rsid w:val="00957CFD"/>
    <w:rsid w:val="00957E29"/>
    <w:rsid w:val="00957E37"/>
    <w:rsid w:val="00957E96"/>
    <w:rsid w:val="00960324"/>
    <w:rsid w:val="00960330"/>
    <w:rsid w:val="009604C8"/>
    <w:rsid w:val="009605BE"/>
    <w:rsid w:val="009608DF"/>
    <w:rsid w:val="00960931"/>
    <w:rsid w:val="00960B7A"/>
    <w:rsid w:val="00960DEF"/>
    <w:rsid w:val="00960F98"/>
    <w:rsid w:val="009617D9"/>
    <w:rsid w:val="00961818"/>
    <w:rsid w:val="00961948"/>
    <w:rsid w:val="00961BDA"/>
    <w:rsid w:val="0096201C"/>
    <w:rsid w:val="00962102"/>
    <w:rsid w:val="00962187"/>
    <w:rsid w:val="009625DA"/>
    <w:rsid w:val="00962C1B"/>
    <w:rsid w:val="00962E26"/>
    <w:rsid w:val="009631B1"/>
    <w:rsid w:val="00963222"/>
    <w:rsid w:val="00963688"/>
    <w:rsid w:val="00963876"/>
    <w:rsid w:val="00963880"/>
    <w:rsid w:val="00963B6D"/>
    <w:rsid w:val="00963C62"/>
    <w:rsid w:val="00963D4F"/>
    <w:rsid w:val="00963D7C"/>
    <w:rsid w:val="0096407D"/>
    <w:rsid w:val="0096444F"/>
    <w:rsid w:val="00964C48"/>
    <w:rsid w:val="00964D62"/>
    <w:rsid w:val="00964F1C"/>
    <w:rsid w:val="00964FA0"/>
    <w:rsid w:val="009651CF"/>
    <w:rsid w:val="009653FF"/>
    <w:rsid w:val="0096630C"/>
    <w:rsid w:val="00966312"/>
    <w:rsid w:val="009663EA"/>
    <w:rsid w:val="00966482"/>
    <w:rsid w:val="00966650"/>
    <w:rsid w:val="009666D2"/>
    <w:rsid w:val="00966CF5"/>
    <w:rsid w:val="00966EA0"/>
    <w:rsid w:val="0096746F"/>
    <w:rsid w:val="00967817"/>
    <w:rsid w:val="009678C4"/>
    <w:rsid w:val="009701FF"/>
    <w:rsid w:val="00970435"/>
    <w:rsid w:val="0097064A"/>
    <w:rsid w:val="00970BEC"/>
    <w:rsid w:val="00970C3C"/>
    <w:rsid w:val="00970E77"/>
    <w:rsid w:val="009710AD"/>
    <w:rsid w:val="00971294"/>
    <w:rsid w:val="009718D0"/>
    <w:rsid w:val="00971AA9"/>
    <w:rsid w:val="00971DBB"/>
    <w:rsid w:val="00971F25"/>
    <w:rsid w:val="009721F1"/>
    <w:rsid w:val="0097222A"/>
    <w:rsid w:val="009722D1"/>
    <w:rsid w:val="009724B4"/>
    <w:rsid w:val="009725D8"/>
    <w:rsid w:val="00972868"/>
    <w:rsid w:val="00972CA1"/>
    <w:rsid w:val="00973028"/>
    <w:rsid w:val="00973258"/>
    <w:rsid w:val="009733FC"/>
    <w:rsid w:val="00973444"/>
    <w:rsid w:val="00973EEC"/>
    <w:rsid w:val="009740A5"/>
    <w:rsid w:val="00974758"/>
    <w:rsid w:val="0097522B"/>
    <w:rsid w:val="009758D1"/>
    <w:rsid w:val="00975938"/>
    <w:rsid w:val="009762A9"/>
    <w:rsid w:val="0097638D"/>
    <w:rsid w:val="009766CE"/>
    <w:rsid w:val="00976DE4"/>
    <w:rsid w:val="00977009"/>
    <w:rsid w:val="00977162"/>
    <w:rsid w:val="009773DE"/>
    <w:rsid w:val="009776D1"/>
    <w:rsid w:val="00977725"/>
    <w:rsid w:val="0097773E"/>
    <w:rsid w:val="00977CC2"/>
    <w:rsid w:val="00977E33"/>
    <w:rsid w:val="009805C6"/>
    <w:rsid w:val="009808BE"/>
    <w:rsid w:val="00980FAF"/>
    <w:rsid w:val="00981433"/>
    <w:rsid w:val="00981524"/>
    <w:rsid w:val="00981926"/>
    <w:rsid w:val="00981ACB"/>
    <w:rsid w:val="00981C2A"/>
    <w:rsid w:val="00981E8D"/>
    <w:rsid w:val="00982373"/>
    <w:rsid w:val="0098243F"/>
    <w:rsid w:val="00982479"/>
    <w:rsid w:val="009825E8"/>
    <w:rsid w:val="009829A4"/>
    <w:rsid w:val="00982B6E"/>
    <w:rsid w:val="009831AB"/>
    <w:rsid w:val="009832ED"/>
    <w:rsid w:val="009832FC"/>
    <w:rsid w:val="0098352A"/>
    <w:rsid w:val="00983545"/>
    <w:rsid w:val="00983568"/>
    <w:rsid w:val="00984143"/>
    <w:rsid w:val="00984243"/>
    <w:rsid w:val="009843AB"/>
    <w:rsid w:val="009844EC"/>
    <w:rsid w:val="0098451E"/>
    <w:rsid w:val="00985428"/>
    <w:rsid w:val="00985821"/>
    <w:rsid w:val="00985BD9"/>
    <w:rsid w:val="00985D0F"/>
    <w:rsid w:val="00986140"/>
    <w:rsid w:val="009863D9"/>
    <w:rsid w:val="00986A58"/>
    <w:rsid w:val="00986A6B"/>
    <w:rsid w:val="0098727F"/>
    <w:rsid w:val="00987626"/>
    <w:rsid w:val="00987680"/>
    <w:rsid w:val="009876D6"/>
    <w:rsid w:val="009876F7"/>
    <w:rsid w:val="00987843"/>
    <w:rsid w:val="009879DC"/>
    <w:rsid w:val="00987D26"/>
    <w:rsid w:val="00990105"/>
    <w:rsid w:val="009904E8"/>
    <w:rsid w:val="009904F2"/>
    <w:rsid w:val="009905CD"/>
    <w:rsid w:val="009907F1"/>
    <w:rsid w:val="00990D4A"/>
    <w:rsid w:val="009910B6"/>
    <w:rsid w:val="00991114"/>
    <w:rsid w:val="009912C6"/>
    <w:rsid w:val="0099130F"/>
    <w:rsid w:val="0099177F"/>
    <w:rsid w:val="0099182A"/>
    <w:rsid w:val="009919CB"/>
    <w:rsid w:val="00992EA5"/>
    <w:rsid w:val="00992F90"/>
    <w:rsid w:val="0099362A"/>
    <w:rsid w:val="00993739"/>
    <w:rsid w:val="009939DA"/>
    <w:rsid w:val="00993B1C"/>
    <w:rsid w:val="00993D26"/>
    <w:rsid w:val="00994403"/>
    <w:rsid w:val="00994E9D"/>
    <w:rsid w:val="0099525C"/>
    <w:rsid w:val="009953F0"/>
    <w:rsid w:val="00995AE9"/>
    <w:rsid w:val="00996726"/>
    <w:rsid w:val="00996999"/>
    <w:rsid w:val="00996A1E"/>
    <w:rsid w:val="009971F3"/>
    <w:rsid w:val="0099739B"/>
    <w:rsid w:val="00997667"/>
    <w:rsid w:val="00997978"/>
    <w:rsid w:val="009A0048"/>
    <w:rsid w:val="009A01A1"/>
    <w:rsid w:val="009A0C05"/>
    <w:rsid w:val="009A10D0"/>
    <w:rsid w:val="009A1122"/>
    <w:rsid w:val="009A1242"/>
    <w:rsid w:val="009A15A1"/>
    <w:rsid w:val="009A1DF0"/>
    <w:rsid w:val="009A1E1C"/>
    <w:rsid w:val="009A1FDF"/>
    <w:rsid w:val="009A2328"/>
    <w:rsid w:val="009A27BF"/>
    <w:rsid w:val="009A2F20"/>
    <w:rsid w:val="009A30EB"/>
    <w:rsid w:val="009A3790"/>
    <w:rsid w:val="009A3C99"/>
    <w:rsid w:val="009A42C0"/>
    <w:rsid w:val="009A47EA"/>
    <w:rsid w:val="009A4860"/>
    <w:rsid w:val="009A4B16"/>
    <w:rsid w:val="009A4D68"/>
    <w:rsid w:val="009A52DC"/>
    <w:rsid w:val="009A53B3"/>
    <w:rsid w:val="009A54D4"/>
    <w:rsid w:val="009A572D"/>
    <w:rsid w:val="009A584F"/>
    <w:rsid w:val="009A597A"/>
    <w:rsid w:val="009A5AAE"/>
    <w:rsid w:val="009A62DB"/>
    <w:rsid w:val="009A64C9"/>
    <w:rsid w:val="009A66A9"/>
    <w:rsid w:val="009A694E"/>
    <w:rsid w:val="009A70DE"/>
    <w:rsid w:val="009A7834"/>
    <w:rsid w:val="009A7854"/>
    <w:rsid w:val="009A78FB"/>
    <w:rsid w:val="009B015B"/>
    <w:rsid w:val="009B0C2E"/>
    <w:rsid w:val="009B0E4F"/>
    <w:rsid w:val="009B0FB0"/>
    <w:rsid w:val="009B1029"/>
    <w:rsid w:val="009B166A"/>
    <w:rsid w:val="009B1A15"/>
    <w:rsid w:val="009B24D5"/>
    <w:rsid w:val="009B26FB"/>
    <w:rsid w:val="009B2A8C"/>
    <w:rsid w:val="009B2B0D"/>
    <w:rsid w:val="009B2F6E"/>
    <w:rsid w:val="009B32AD"/>
    <w:rsid w:val="009B33EC"/>
    <w:rsid w:val="009B3516"/>
    <w:rsid w:val="009B3720"/>
    <w:rsid w:val="009B3A4B"/>
    <w:rsid w:val="009B3B9C"/>
    <w:rsid w:val="009B3E56"/>
    <w:rsid w:val="009B3EBE"/>
    <w:rsid w:val="009B3FD1"/>
    <w:rsid w:val="009B46D0"/>
    <w:rsid w:val="009B4769"/>
    <w:rsid w:val="009B484B"/>
    <w:rsid w:val="009B546E"/>
    <w:rsid w:val="009B5A78"/>
    <w:rsid w:val="009B5DC9"/>
    <w:rsid w:val="009B6786"/>
    <w:rsid w:val="009B688A"/>
    <w:rsid w:val="009B690E"/>
    <w:rsid w:val="009B6E1C"/>
    <w:rsid w:val="009B7452"/>
    <w:rsid w:val="009C029C"/>
    <w:rsid w:val="009C0DDC"/>
    <w:rsid w:val="009C1390"/>
    <w:rsid w:val="009C1968"/>
    <w:rsid w:val="009C19E4"/>
    <w:rsid w:val="009C19F1"/>
    <w:rsid w:val="009C1E25"/>
    <w:rsid w:val="009C1F24"/>
    <w:rsid w:val="009C26AA"/>
    <w:rsid w:val="009C2BA6"/>
    <w:rsid w:val="009C3210"/>
    <w:rsid w:val="009C32D6"/>
    <w:rsid w:val="009C3386"/>
    <w:rsid w:val="009C33E6"/>
    <w:rsid w:val="009C3812"/>
    <w:rsid w:val="009C3B34"/>
    <w:rsid w:val="009C3F36"/>
    <w:rsid w:val="009C3FCE"/>
    <w:rsid w:val="009C415C"/>
    <w:rsid w:val="009C470B"/>
    <w:rsid w:val="009C52C0"/>
    <w:rsid w:val="009C5624"/>
    <w:rsid w:val="009C589B"/>
    <w:rsid w:val="009C6402"/>
    <w:rsid w:val="009C6F2D"/>
    <w:rsid w:val="009C7167"/>
    <w:rsid w:val="009C72CA"/>
    <w:rsid w:val="009C745B"/>
    <w:rsid w:val="009C7620"/>
    <w:rsid w:val="009C7B34"/>
    <w:rsid w:val="009C7F9B"/>
    <w:rsid w:val="009C7FD8"/>
    <w:rsid w:val="009D00C5"/>
    <w:rsid w:val="009D00F7"/>
    <w:rsid w:val="009D1315"/>
    <w:rsid w:val="009D142C"/>
    <w:rsid w:val="009D2192"/>
    <w:rsid w:val="009D25E7"/>
    <w:rsid w:val="009D26C8"/>
    <w:rsid w:val="009D27BD"/>
    <w:rsid w:val="009D2843"/>
    <w:rsid w:val="009D29A6"/>
    <w:rsid w:val="009D29AB"/>
    <w:rsid w:val="009D2E44"/>
    <w:rsid w:val="009D323A"/>
    <w:rsid w:val="009D343D"/>
    <w:rsid w:val="009D3722"/>
    <w:rsid w:val="009D382C"/>
    <w:rsid w:val="009D3C19"/>
    <w:rsid w:val="009D43EF"/>
    <w:rsid w:val="009D4752"/>
    <w:rsid w:val="009D537E"/>
    <w:rsid w:val="009D5662"/>
    <w:rsid w:val="009D5782"/>
    <w:rsid w:val="009D5C56"/>
    <w:rsid w:val="009D5DB3"/>
    <w:rsid w:val="009D5FFA"/>
    <w:rsid w:val="009D64EA"/>
    <w:rsid w:val="009D65F9"/>
    <w:rsid w:val="009D66C7"/>
    <w:rsid w:val="009D67E5"/>
    <w:rsid w:val="009D687C"/>
    <w:rsid w:val="009D6880"/>
    <w:rsid w:val="009D68B0"/>
    <w:rsid w:val="009D6A17"/>
    <w:rsid w:val="009D6A81"/>
    <w:rsid w:val="009D7214"/>
    <w:rsid w:val="009D7466"/>
    <w:rsid w:val="009D7621"/>
    <w:rsid w:val="009D774C"/>
    <w:rsid w:val="009D7BB5"/>
    <w:rsid w:val="009D7D69"/>
    <w:rsid w:val="009D7EEB"/>
    <w:rsid w:val="009D7F4E"/>
    <w:rsid w:val="009E0453"/>
    <w:rsid w:val="009E04A9"/>
    <w:rsid w:val="009E04B0"/>
    <w:rsid w:val="009E04C6"/>
    <w:rsid w:val="009E05BB"/>
    <w:rsid w:val="009E0A07"/>
    <w:rsid w:val="009E0F9D"/>
    <w:rsid w:val="009E19F7"/>
    <w:rsid w:val="009E1CC4"/>
    <w:rsid w:val="009E1D13"/>
    <w:rsid w:val="009E1E5A"/>
    <w:rsid w:val="009E298C"/>
    <w:rsid w:val="009E299B"/>
    <w:rsid w:val="009E2E1E"/>
    <w:rsid w:val="009E33C4"/>
    <w:rsid w:val="009E3492"/>
    <w:rsid w:val="009E39E6"/>
    <w:rsid w:val="009E3AF4"/>
    <w:rsid w:val="009E3C07"/>
    <w:rsid w:val="009E3CFA"/>
    <w:rsid w:val="009E40B9"/>
    <w:rsid w:val="009E4AD1"/>
    <w:rsid w:val="009E535E"/>
    <w:rsid w:val="009E56D7"/>
    <w:rsid w:val="009E57FD"/>
    <w:rsid w:val="009E5D0D"/>
    <w:rsid w:val="009E5D8F"/>
    <w:rsid w:val="009E616F"/>
    <w:rsid w:val="009E634A"/>
    <w:rsid w:val="009E6A6A"/>
    <w:rsid w:val="009E6C56"/>
    <w:rsid w:val="009E6D63"/>
    <w:rsid w:val="009E6E08"/>
    <w:rsid w:val="009E7025"/>
    <w:rsid w:val="009E7174"/>
    <w:rsid w:val="009E728C"/>
    <w:rsid w:val="009E78EE"/>
    <w:rsid w:val="009E79E2"/>
    <w:rsid w:val="009E7AFF"/>
    <w:rsid w:val="009E7C82"/>
    <w:rsid w:val="009E7EA6"/>
    <w:rsid w:val="009F01E5"/>
    <w:rsid w:val="009F06C9"/>
    <w:rsid w:val="009F0A5F"/>
    <w:rsid w:val="009F0CD0"/>
    <w:rsid w:val="009F0F2A"/>
    <w:rsid w:val="009F10A1"/>
    <w:rsid w:val="009F12F5"/>
    <w:rsid w:val="009F18E0"/>
    <w:rsid w:val="009F1A41"/>
    <w:rsid w:val="009F1D0B"/>
    <w:rsid w:val="009F1D6B"/>
    <w:rsid w:val="009F2292"/>
    <w:rsid w:val="009F2B33"/>
    <w:rsid w:val="009F2D23"/>
    <w:rsid w:val="009F2F4E"/>
    <w:rsid w:val="009F2F96"/>
    <w:rsid w:val="009F3072"/>
    <w:rsid w:val="009F3217"/>
    <w:rsid w:val="009F3540"/>
    <w:rsid w:val="009F3A31"/>
    <w:rsid w:val="009F3C99"/>
    <w:rsid w:val="009F3D94"/>
    <w:rsid w:val="009F46BA"/>
    <w:rsid w:val="009F4895"/>
    <w:rsid w:val="009F491C"/>
    <w:rsid w:val="009F4B0B"/>
    <w:rsid w:val="009F4FEC"/>
    <w:rsid w:val="009F57AB"/>
    <w:rsid w:val="009F59C7"/>
    <w:rsid w:val="009F5FCB"/>
    <w:rsid w:val="009F5FDA"/>
    <w:rsid w:val="009F6271"/>
    <w:rsid w:val="009F65D0"/>
    <w:rsid w:val="009F6A46"/>
    <w:rsid w:val="009F6B4C"/>
    <w:rsid w:val="009F6FD2"/>
    <w:rsid w:val="009F7EA2"/>
    <w:rsid w:val="00A00155"/>
    <w:rsid w:val="00A00546"/>
    <w:rsid w:val="00A005EC"/>
    <w:rsid w:val="00A006E0"/>
    <w:rsid w:val="00A007C4"/>
    <w:rsid w:val="00A009A9"/>
    <w:rsid w:val="00A00AFE"/>
    <w:rsid w:val="00A00F74"/>
    <w:rsid w:val="00A011B4"/>
    <w:rsid w:val="00A012AF"/>
    <w:rsid w:val="00A016C2"/>
    <w:rsid w:val="00A01CE6"/>
    <w:rsid w:val="00A01E64"/>
    <w:rsid w:val="00A02A8B"/>
    <w:rsid w:val="00A02F7D"/>
    <w:rsid w:val="00A03433"/>
    <w:rsid w:val="00A03D71"/>
    <w:rsid w:val="00A03F47"/>
    <w:rsid w:val="00A0465F"/>
    <w:rsid w:val="00A0488C"/>
    <w:rsid w:val="00A04E82"/>
    <w:rsid w:val="00A04F6F"/>
    <w:rsid w:val="00A0504D"/>
    <w:rsid w:val="00A05333"/>
    <w:rsid w:val="00A05433"/>
    <w:rsid w:val="00A058D6"/>
    <w:rsid w:val="00A05AB9"/>
    <w:rsid w:val="00A05AE9"/>
    <w:rsid w:val="00A05E44"/>
    <w:rsid w:val="00A06282"/>
    <w:rsid w:val="00A062A0"/>
    <w:rsid w:val="00A06D29"/>
    <w:rsid w:val="00A06E88"/>
    <w:rsid w:val="00A0704D"/>
    <w:rsid w:val="00A07221"/>
    <w:rsid w:val="00A077BA"/>
    <w:rsid w:val="00A0780B"/>
    <w:rsid w:val="00A07FC6"/>
    <w:rsid w:val="00A1033B"/>
    <w:rsid w:val="00A103E6"/>
    <w:rsid w:val="00A10599"/>
    <w:rsid w:val="00A10F47"/>
    <w:rsid w:val="00A112F1"/>
    <w:rsid w:val="00A11529"/>
    <w:rsid w:val="00A11530"/>
    <w:rsid w:val="00A1197D"/>
    <w:rsid w:val="00A119B4"/>
    <w:rsid w:val="00A119B5"/>
    <w:rsid w:val="00A11C0B"/>
    <w:rsid w:val="00A1258F"/>
    <w:rsid w:val="00A12CAF"/>
    <w:rsid w:val="00A12D58"/>
    <w:rsid w:val="00A138DC"/>
    <w:rsid w:val="00A13930"/>
    <w:rsid w:val="00A13EEC"/>
    <w:rsid w:val="00A13F3B"/>
    <w:rsid w:val="00A13F97"/>
    <w:rsid w:val="00A14062"/>
    <w:rsid w:val="00A14379"/>
    <w:rsid w:val="00A1438A"/>
    <w:rsid w:val="00A149CA"/>
    <w:rsid w:val="00A14C81"/>
    <w:rsid w:val="00A150D6"/>
    <w:rsid w:val="00A152E7"/>
    <w:rsid w:val="00A15CB0"/>
    <w:rsid w:val="00A16BD3"/>
    <w:rsid w:val="00A16D32"/>
    <w:rsid w:val="00A16E7A"/>
    <w:rsid w:val="00A171C4"/>
    <w:rsid w:val="00A17243"/>
    <w:rsid w:val="00A173F8"/>
    <w:rsid w:val="00A17634"/>
    <w:rsid w:val="00A17830"/>
    <w:rsid w:val="00A17A8F"/>
    <w:rsid w:val="00A17CBE"/>
    <w:rsid w:val="00A20152"/>
    <w:rsid w:val="00A20A90"/>
    <w:rsid w:val="00A20F41"/>
    <w:rsid w:val="00A2142D"/>
    <w:rsid w:val="00A21680"/>
    <w:rsid w:val="00A21FA8"/>
    <w:rsid w:val="00A22100"/>
    <w:rsid w:val="00A22146"/>
    <w:rsid w:val="00A22162"/>
    <w:rsid w:val="00A22418"/>
    <w:rsid w:val="00A224DE"/>
    <w:rsid w:val="00A22886"/>
    <w:rsid w:val="00A22D56"/>
    <w:rsid w:val="00A231C2"/>
    <w:rsid w:val="00A2386C"/>
    <w:rsid w:val="00A24204"/>
    <w:rsid w:val="00A24354"/>
    <w:rsid w:val="00A24538"/>
    <w:rsid w:val="00A2459B"/>
    <w:rsid w:val="00A245F5"/>
    <w:rsid w:val="00A24C51"/>
    <w:rsid w:val="00A251E2"/>
    <w:rsid w:val="00A25B82"/>
    <w:rsid w:val="00A25C1E"/>
    <w:rsid w:val="00A25DFB"/>
    <w:rsid w:val="00A26015"/>
    <w:rsid w:val="00A26063"/>
    <w:rsid w:val="00A26257"/>
    <w:rsid w:val="00A2647D"/>
    <w:rsid w:val="00A26ADF"/>
    <w:rsid w:val="00A279D1"/>
    <w:rsid w:val="00A279EC"/>
    <w:rsid w:val="00A30208"/>
    <w:rsid w:val="00A30272"/>
    <w:rsid w:val="00A3027A"/>
    <w:rsid w:val="00A304F1"/>
    <w:rsid w:val="00A30ACC"/>
    <w:rsid w:val="00A30D61"/>
    <w:rsid w:val="00A30F4C"/>
    <w:rsid w:val="00A317F3"/>
    <w:rsid w:val="00A31A23"/>
    <w:rsid w:val="00A31A8E"/>
    <w:rsid w:val="00A31B86"/>
    <w:rsid w:val="00A31D9F"/>
    <w:rsid w:val="00A31FFB"/>
    <w:rsid w:val="00A32977"/>
    <w:rsid w:val="00A32C00"/>
    <w:rsid w:val="00A32CBA"/>
    <w:rsid w:val="00A32E70"/>
    <w:rsid w:val="00A3335F"/>
    <w:rsid w:val="00A337BE"/>
    <w:rsid w:val="00A338DF"/>
    <w:rsid w:val="00A33E94"/>
    <w:rsid w:val="00A34415"/>
    <w:rsid w:val="00A34831"/>
    <w:rsid w:val="00A348F0"/>
    <w:rsid w:val="00A34CAD"/>
    <w:rsid w:val="00A35380"/>
    <w:rsid w:val="00A35644"/>
    <w:rsid w:val="00A35B44"/>
    <w:rsid w:val="00A360FF"/>
    <w:rsid w:val="00A361BD"/>
    <w:rsid w:val="00A3660E"/>
    <w:rsid w:val="00A36832"/>
    <w:rsid w:val="00A36938"/>
    <w:rsid w:val="00A3699B"/>
    <w:rsid w:val="00A36B26"/>
    <w:rsid w:val="00A36E31"/>
    <w:rsid w:val="00A36FA4"/>
    <w:rsid w:val="00A36FAF"/>
    <w:rsid w:val="00A370B9"/>
    <w:rsid w:val="00A3722E"/>
    <w:rsid w:val="00A375AC"/>
    <w:rsid w:val="00A377AA"/>
    <w:rsid w:val="00A37897"/>
    <w:rsid w:val="00A4046C"/>
    <w:rsid w:val="00A404BC"/>
    <w:rsid w:val="00A4059F"/>
    <w:rsid w:val="00A4083E"/>
    <w:rsid w:val="00A408E3"/>
    <w:rsid w:val="00A40ADB"/>
    <w:rsid w:val="00A40C02"/>
    <w:rsid w:val="00A410D1"/>
    <w:rsid w:val="00A417A6"/>
    <w:rsid w:val="00A41C63"/>
    <w:rsid w:val="00A41D40"/>
    <w:rsid w:val="00A420BA"/>
    <w:rsid w:val="00A420F9"/>
    <w:rsid w:val="00A42214"/>
    <w:rsid w:val="00A4287F"/>
    <w:rsid w:val="00A42D39"/>
    <w:rsid w:val="00A42EB4"/>
    <w:rsid w:val="00A4309D"/>
    <w:rsid w:val="00A43362"/>
    <w:rsid w:val="00A43650"/>
    <w:rsid w:val="00A436F2"/>
    <w:rsid w:val="00A43BCB"/>
    <w:rsid w:val="00A44393"/>
    <w:rsid w:val="00A4454F"/>
    <w:rsid w:val="00A4522F"/>
    <w:rsid w:val="00A45566"/>
    <w:rsid w:val="00A45739"/>
    <w:rsid w:val="00A45907"/>
    <w:rsid w:val="00A45FC4"/>
    <w:rsid w:val="00A46106"/>
    <w:rsid w:val="00A464B1"/>
    <w:rsid w:val="00A46603"/>
    <w:rsid w:val="00A46702"/>
    <w:rsid w:val="00A4686B"/>
    <w:rsid w:val="00A47276"/>
    <w:rsid w:val="00A47795"/>
    <w:rsid w:val="00A47817"/>
    <w:rsid w:val="00A47B3F"/>
    <w:rsid w:val="00A47C7D"/>
    <w:rsid w:val="00A47D1A"/>
    <w:rsid w:val="00A47D5E"/>
    <w:rsid w:val="00A50313"/>
    <w:rsid w:val="00A50328"/>
    <w:rsid w:val="00A50621"/>
    <w:rsid w:val="00A50D76"/>
    <w:rsid w:val="00A51513"/>
    <w:rsid w:val="00A519CD"/>
    <w:rsid w:val="00A5236A"/>
    <w:rsid w:val="00A52409"/>
    <w:rsid w:val="00A52542"/>
    <w:rsid w:val="00A52AAC"/>
    <w:rsid w:val="00A52ED9"/>
    <w:rsid w:val="00A52F78"/>
    <w:rsid w:val="00A53339"/>
    <w:rsid w:val="00A53BB1"/>
    <w:rsid w:val="00A53C18"/>
    <w:rsid w:val="00A5401C"/>
    <w:rsid w:val="00A54258"/>
    <w:rsid w:val="00A54AFE"/>
    <w:rsid w:val="00A54B85"/>
    <w:rsid w:val="00A555E6"/>
    <w:rsid w:val="00A556F8"/>
    <w:rsid w:val="00A55977"/>
    <w:rsid w:val="00A55BAF"/>
    <w:rsid w:val="00A55DB6"/>
    <w:rsid w:val="00A568F1"/>
    <w:rsid w:val="00A56B07"/>
    <w:rsid w:val="00A56BC5"/>
    <w:rsid w:val="00A56D67"/>
    <w:rsid w:val="00A56DBB"/>
    <w:rsid w:val="00A56FA9"/>
    <w:rsid w:val="00A573B6"/>
    <w:rsid w:val="00A57539"/>
    <w:rsid w:val="00A57D41"/>
    <w:rsid w:val="00A57DBD"/>
    <w:rsid w:val="00A57E2C"/>
    <w:rsid w:val="00A57E39"/>
    <w:rsid w:val="00A60386"/>
    <w:rsid w:val="00A6079C"/>
    <w:rsid w:val="00A60B3E"/>
    <w:rsid w:val="00A60B88"/>
    <w:rsid w:val="00A60BC9"/>
    <w:rsid w:val="00A60CEF"/>
    <w:rsid w:val="00A61092"/>
    <w:rsid w:val="00A61671"/>
    <w:rsid w:val="00A618C7"/>
    <w:rsid w:val="00A619C9"/>
    <w:rsid w:val="00A61AEC"/>
    <w:rsid w:val="00A627E4"/>
    <w:rsid w:val="00A62AD6"/>
    <w:rsid w:val="00A62E55"/>
    <w:rsid w:val="00A62FF3"/>
    <w:rsid w:val="00A632F7"/>
    <w:rsid w:val="00A63C13"/>
    <w:rsid w:val="00A63D72"/>
    <w:rsid w:val="00A63DF0"/>
    <w:rsid w:val="00A64374"/>
    <w:rsid w:val="00A644B6"/>
    <w:rsid w:val="00A64A30"/>
    <w:rsid w:val="00A64CF2"/>
    <w:rsid w:val="00A64FC5"/>
    <w:rsid w:val="00A6515D"/>
    <w:rsid w:val="00A651A3"/>
    <w:rsid w:val="00A66310"/>
    <w:rsid w:val="00A664D0"/>
    <w:rsid w:val="00A6653B"/>
    <w:rsid w:val="00A6685C"/>
    <w:rsid w:val="00A66914"/>
    <w:rsid w:val="00A66977"/>
    <w:rsid w:val="00A66ADF"/>
    <w:rsid w:val="00A66BD7"/>
    <w:rsid w:val="00A67257"/>
    <w:rsid w:val="00A6765F"/>
    <w:rsid w:val="00A679EE"/>
    <w:rsid w:val="00A70553"/>
    <w:rsid w:val="00A70918"/>
    <w:rsid w:val="00A70984"/>
    <w:rsid w:val="00A70B30"/>
    <w:rsid w:val="00A71AF4"/>
    <w:rsid w:val="00A7253E"/>
    <w:rsid w:val="00A729E8"/>
    <w:rsid w:val="00A72EDC"/>
    <w:rsid w:val="00A73216"/>
    <w:rsid w:val="00A733D8"/>
    <w:rsid w:val="00A739E6"/>
    <w:rsid w:val="00A739F6"/>
    <w:rsid w:val="00A73BDE"/>
    <w:rsid w:val="00A73CB9"/>
    <w:rsid w:val="00A73FC5"/>
    <w:rsid w:val="00A74399"/>
    <w:rsid w:val="00A74B7A"/>
    <w:rsid w:val="00A74E0F"/>
    <w:rsid w:val="00A74EC4"/>
    <w:rsid w:val="00A752AF"/>
    <w:rsid w:val="00A753CF"/>
    <w:rsid w:val="00A759C5"/>
    <w:rsid w:val="00A75B77"/>
    <w:rsid w:val="00A75DB1"/>
    <w:rsid w:val="00A75F44"/>
    <w:rsid w:val="00A76518"/>
    <w:rsid w:val="00A76892"/>
    <w:rsid w:val="00A76965"/>
    <w:rsid w:val="00A76A44"/>
    <w:rsid w:val="00A76C3C"/>
    <w:rsid w:val="00A77184"/>
    <w:rsid w:val="00A771DC"/>
    <w:rsid w:val="00A77295"/>
    <w:rsid w:val="00A77961"/>
    <w:rsid w:val="00A802E6"/>
    <w:rsid w:val="00A804E6"/>
    <w:rsid w:val="00A804F8"/>
    <w:rsid w:val="00A80527"/>
    <w:rsid w:val="00A80733"/>
    <w:rsid w:val="00A80B21"/>
    <w:rsid w:val="00A80B7E"/>
    <w:rsid w:val="00A80BEF"/>
    <w:rsid w:val="00A80D87"/>
    <w:rsid w:val="00A817C9"/>
    <w:rsid w:val="00A817FD"/>
    <w:rsid w:val="00A81FED"/>
    <w:rsid w:val="00A82657"/>
    <w:rsid w:val="00A82955"/>
    <w:rsid w:val="00A82A02"/>
    <w:rsid w:val="00A82D45"/>
    <w:rsid w:val="00A82F61"/>
    <w:rsid w:val="00A832DD"/>
    <w:rsid w:val="00A83E6F"/>
    <w:rsid w:val="00A843B9"/>
    <w:rsid w:val="00A84430"/>
    <w:rsid w:val="00A8463C"/>
    <w:rsid w:val="00A8493A"/>
    <w:rsid w:val="00A84C04"/>
    <w:rsid w:val="00A84C6D"/>
    <w:rsid w:val="00A84CD8"/>
    <w:rsid w:val="00A84DE0"/>
    <w:rsid w:val="00A84FD0"/>
    <w:rsid w:val="00A84FF1"/>
    <w:rsid w:val="00A85158"/>
    <w:rsid w:val="00A852EB"/>
    <w:rsid w:val="00A85426"/>
    <w:rsid w:val="00A85576"/>
    <w:rsid w:val="00A858A1"/>
    <w:rsid w:val="00A85A52"/>
    <w:rsid w:val="00A85A9B"/>
    <w:rsid w:val="00A85B9E"/>
    <w:rsid w:val="00A863E2"/>
    <w:rsid w:val="00A86558"/>
    <w:rsid w:val="00A86939"/>
    <w:rsid w:val="00A86941"/>
    <w:rsid w:val="00A86C2D"/>
    <w:rsid w:val="00A86DDA"/>
    <w:rsid w:val="00A87047"/>
    <w:rsid w:val="00A8748A"/>
    <w:rsid w:val="00A877A5"/>
    <w:rsid w:val="00A87A7A"/>
    <w:rsid w:val="00A87D7E"/>
    <w:rsid w:val="00A9009B"/>
    <w:rsid w:val="00A903FC"/>
    <w:rsid w:val="00A904F1"/>
    <w:rsid w:val="00A90BE1"/>
    <w:rsid w:val="00A90C08"/>
    <w:rsid w:val="00A90D4E"/>
    <w:rsid w:val="00A9110D"/>
    <w:rsid w:val="00A915CF"/>
    <w:rsid w:val="00A91863"/>
    <w:rsid w:val="00A91A2D"/>
    <w:rsid w:val="00A91CCB"/>
    <w:rsid w:val="00A920B2"/>
    <w:rsid w:val="00A9298B"/>
    <w:rsid w:val="00A92AA7"/>
    <w:rsid w:val="00A93341"/>
    <w:rsid w:val="00A93561"/>
    <w:rsid w:val="00A93D66"/>
    <w:rsid w:val="00A94017"/>
    <w:rsid w:val="00A947FA"/>
    <w:rsid w:val="00A94BA9"/>
    <w:rsid w:val="00A94CC3"/>
    <w:rsid w:val="00A94E77"/>
    <w:rsid w:val="00A94FC8"/>
    <w:rsid w:val="00A9528F"/>
    <w:rsid w:val="00A95428"/>
    <w:rsid w:val="00A95A14"/>
    <w:rsid w:val="00A95A5B"/>
    <w:rsid w:val="00A95D9D"/>
    <w:rsid w:val="00A9615B"/>
    <w:rsid w:val="00A96189"/>
    <w:rsid w:val="00A966C0"/>
    <w:rsid w:val="00A96888"/>
    <w:rsid w:val="00A96B24"/>
    <w:rsid w:val="00A96C0E"/>
    <w:rsid w:val="00A9701C"/>
    <w:rsid w:val="00A971A1"/>
    <w:rsid w:val="00A97DB8"/>
    <w:rsid w:val="00AA0795"/>
    <w:rsid w:val="00AA0CD9"/>
    <w:rsid w:val="00AA1327"/>
    <w:rsid w:val="00AA14D6"/>
    <w:rsid w:val="00AA155C"/>
    <w:rsid w:val="00AA1A8B"/>
    <w:rsid w:val="00AA1BB4"/>
    <w:rsid w:val="00AA1C6B"/>
    <w:rsid w:val="00AA2491"/>
    <w:rsid w:val="00AA257F"/>
    <w:rsid w:val="00AA2617"/>
    <w:rsid w:val="00AA2F5F"/>
    <w:rsid w:val="00AA2F9F"/>
    <w:rsid w:val="00AA30B6"/>
    <w:rsid w:val="00AA341A"/>
    <w:rsid w:val="00AA372C"/>
    <w:rsid w:val="00AA3AD3"/>
    <w:rsid w:val="00AA40B6"/>
    <w:rsid w:val="00AA4468"/>
    <w:rsid w:val="00AA4813"/>
    <w:rsid w:val="00AA49DB"/>
    <w:rsid w:val="00AA4BFD"/>
    <w:rsid w:val="00AA512E"/>
    <w:rsid w:val="00AA559E"/>
    <w:rsid w:val="00AA581B"/>
    <w:rsid w:val="00AA5CAB"/>
    <w:rsid w:val="00AA5D36"/>
    <w:rsid w:val="00AA5E8B"/>
    <w:rsid w:val="00AA60C5"/>
    <w:rsid w:val="00AA641A"/>
    <w:rsid w:val="00AA7239"/>
    <w:rsid w:val="00AA7249"/>
    <w:rsid w:val="00AA74A1"/>
    <w:rsid w:val="00AA74B0"/>
    <w:rsid w:val="00AA75AD"/>
    <w:rsid w:val="00AA77AB"/>
    <w:rsid w:val="00AA79C3"/>
    <w:rsid w:val="00AA7C4E"/>
    <w:rsid w:val="00AA7CCD"/>
    <w:rsid w:val="00AB0040"/>
    <w:rsid w:val="00AB028E"/>
    <w:rsid w:val="00AB055F"/>
    <w:rsid w:val="00AB062C"/>
    <w:rsid w:val="00AB06B2"/>
    <w:rsid w:val="00AB0811"/>
    <w:rsid w:val="00AB0F05"/>
    <w:rsid w:val="00AB11F6"/>
    <w:rsid w:val="00AB13F5"/>
    <w:rsid w:val="00AB16D8"/>
    <w:rsid w:val="00AB1845"/>
    <w:rsid w:val="00AB1A89"/>
    <w:rsid w:val="00AB1DB1"/>
    <w:rsid w:val="00AB1F37"/>
    <w:rsid w:val="00AB21AF"/>
    <w:rsid w:val="00AB2388"/>
    <w:rsid w:val="00AB2544"/>
    <w:rsid w:val="00AB26D4"/>
    <w:rsid w:val="00AB29A7"/>
    <w:rsid w:val="00AB2B6A"/>
    <w:rsid w:val="00AB2DEE"/>
    <w:rsid w:val="00AB2F76"/>
    <w:rsid w:val="00AB300D"/>
    <w:rsid w:val="00AB3346"/>
    <w:rsid w:val="00AB33DF"/>
    <w:rsid w:val="00AB38CA"/>
    <w:rsid w:val="00AB3B2A"/>
    <w:rsid w:val="00AB46BC"/>
    <w:rsid w:val="00AB4799"/>
    <w:rsid w:val="00AB4914"/>
    <w:rsid w:val="00AB491F"/>
    <w:rsid w:val="00AB5196"/>
    <w:rsid w:val="00AB520B"/>
    <w:rsid w:val="00AB5430"/>
    <w:rsid w:val="00AB543E"/>
    <w:rsid w:val="00AB5776"/>
    <w:rsid w:val="00AB5C0F"/>
    <w:rsid w:val="00AB5F86"/>
    <w:rsid w:val="00AB64AF"/>
    <w:rsid w:val="00AB698A"/>
    <w:rsid w:val="00AB6F0F"/>
    <w:rsid w:val="00AB716C"/>
    <w:rsid w:val="00AB725B"/>
    <w:rsid w:val="00AB77DC"/>
    <w:rsid w:val="00AB799B"/>
    <w:rsid w:val="00AB7E41"/>
    <w:rsid w:val="00AC0492"/>
    <w:rsid w:val="00AC0610"/>
    <w:rsid w:val="00AC099F"/>
    <w:rsid w:val="00AC0B14"/>
    <w:rsid w:val="00AC17A3"/>
    <w:rsid w:val="00AC17C0"/>
    <w:rsid w:val="00AC1D63"/>
    <w:rsid w:val="00AC2077"/>
    <w:rsid w:val="00AC257B"/>
    <w:rsid w:val="00AC2EEA"/>
    <w:rsid w:val="00AC3983"/>
    <w:rsid w:val="00AC4494"/>
    <w:rsid w:val="00AC4DF0"/>
    <w:rsid w:val="00AC5512"/>
    <w:rsid w:val="00AC5C49"/>
    <w:rsid w:val="00AC5FAA"/>
    <w:rsid w:val="00AC67BE"/>
    <w:rsid w:val="00AC6808"/>
    <w:rsid w:val="00AC6873"/>
    <w:rsid w:val="00AC695D"/>
    <w:rsid w:val="00AC6CBC"/>
    <w:rsid w:val="00AC7084"/>
    <w:rsid w:val="00AC7841"/>
    <w:rsid w:val="00AD0241"/>
    <w:rsid w:val="00AD0C86"/>
    <w:rsid w:val="00AD0D35"/>
    <w:rsid w:val="00AD139C"/>
    <w:rsid w:val="00AD15B3"/>
    <w:rsid w:val="00AD1987"/>
    <w:rsid w:val="00AD1C1B"/>
    <w:rsid w:val="00AD225F"/>
    <w:rsid w:val="00AD2A7F"/>
    <w:rsid w:val="00AD2BE3"/>
    <w:rsid w:val="00AD35A8"/>
    <w:rsid w:val="00AD3840"/>
    <w:rsid w:val="00AD3879"/>
    <w:rsid w:val="00AD3B03"/>
    <w:rsid w:val="00AD40D7"/>
    <w:rsid w:val="00AD4767"/>
    <w:rsid w:val="00AD4869"/>
    <w:rsid w:val="00AD4F41"/>
    <w:rsid w:val="00AD50FF"/>
    <w:rsid w:val="00AD5202"/>
    <w:rsid w:val="00AD5357"/>
    <w:rsid w:val="00AD5435"/>
    <w:rsid w:val="00AD56B8"/>
    <w:rsid w:val="00AD56DC"/>
    <w:rsid w:val="00AD572F"/>
    <w:rsid w:val="00AD614F"/>
    <w:rsid w:val="00AD6576"/>
    <w:rsid w:val="00AD68DF"/>
    <w:rsid w:val="00AD6A7D"/>
    <w:rsid w:val="00AD6F21"/>
    <w:rsid w:val="00AD7511"/>
    <w:rsid w:val="00AD7527"/>
    <w:rsid w:val="00AD7665"/>
    <w:rsid w:val="00AD78C6"/>
    <w:rsid w:val="00AD7B90"/>
    <w:rsid w:val="00AE035B"/>
    <w:rsid w:val="00AE03FE"/>
    <w:rsid w:val="00AE0639"/>
    <w:rsid w:val="00AE07DE"/>
    <w:rsid w:val="00AE0873"/>
    <w:rsid w:val="00AE0C64"/>
    <w:rsid w:val="00AE16C8"/>
    <w:rsid w:val="00AE1CAE"/>
    <w:rsid w:val="00AE1E1D"/>
    <w:rsid w:val="00AE1F90"/>
    <w:rsid w:val="00AE2376"/>
    <w:rsid w:val="00AE2452"/>
    <w:rsid w:val="00AE294F"/>
    <w:rsid w:val="00AE2BBE"/>
    <w:rsid w:val="00AE3DA7"/>
    <w:rsid w:val="00AE42AC"/>
    <w:rsid w:val="00AE47E7"/>
    <w:rsid w:val="00AE47FD"/>
    <w:rsid w:val="00AE4DF8"/>
    <w:rsid w:val="00AE503F"/>
    <w:rsid w:val="00AE5554"/>
    <w:rsid w:val="00AE5635"/>
    <w:rsid w:val="00AE5906"/>
    <w:rsid w:val="00AE594C"/>
    <w:rsid w:val="00AE5A96"/>
    <w:rsid w:val="00AE5B4B"/>
    <w:rsid w:val="00AE5F28"/>
    <w:rsid w:val="00AE66D7"/>
    <w:rsid w:val="00AE6728"/>
    <w:rsid w:val="00AE6830"/>
    <w:rsid w:val="00AE7153"/>
    <w:rsid w:val="00AE74C4"/>
    <w:rsid w:val="00AE7541"/>
    <w:rsid w:val="00AE7A53"/>
    <w:rsid w:val="00AE7DE8"/>
    <w:rsid w:val="00AF02C2"/>
    <w:rsid w:val="00AF077A"/>
    <w:rsid w:val="00AF087D"/>
    <w:rsid w:val="00AF0AD2"/>
    <w:rsid w:val="00AF0AFA"/>
    <w:rsid w:val="00AF0E2E"/>
    <w:rsid w:val="00AF0E5F"/>
    <w:rsid w:val="00AF12CC"/>
    <w:rsid w:val="00AF1DF6"/>
    <w:rsid w:val="00AF247F"/>
    <w:rsid w:val="00AF27DA"/>
    <w:rsid w:val="00AF2849"/>
    <w:rsid w:val="00AF28D9"/>
    <w:rsid w:val="00AF3194"/>
    <w:rsid w:val="00AF3348"/>
    <w:rsid w:val="00AF342B"/>
    <w:rsid w:val="00AF3443"/>
    <w:rsid w:val="00AF3BA9"/>
    <w:rsid w:val="00AF3D6E"/>
    <w:rsid w:val="00AF40EA"/>
    <w:rsid w:val="00AF426C"/>
    <w:rsid w:val="00AF4868"/>
    <w:rsid w:val="00AF4910"/>
    <w:rsid w:val="00AF558B"/>
    <w:rsid w:val="00AF57D6"/>
    <w:rsid w:val="00AF5891"/>
    <w:rsid w:val="00AF5895"/>
    <w:rsid w:val="00AF5909"/>
    <w:rsid w:val="00AF5CB8"/>
    <w:rsid w:val="00AF6231"/>
    <w:rsid w:val="00AF6429"/>
    <w:rsid w:val="00AF65AE"/>
    <w:rsid w:val="00AF695A"/>
    <w:rsid w:val="00AF6989"/>
    <w:rsid w:val="00AF7300"/>
    <w:rsid w:val="00AF7722"/>
    <w:rsid w:val="00AF775E"/>
    <w:rsid w:val="00AF77F8"/>
    <w:rsid w:val="00AF79F8"/>
    <w:rsid w:val="00AF7BE5"/>
    <w:rsid w:val="00AF7E5B"/>
    <w:rsid w:val="00B00EA7"/>
    <w:rsid w:val="00B0126D"/>
    <w:rsid w:val="00B013BA"/>
    <w:rsid w:val="00B015DD"/>
    <w:rsid w:val="00B017F5"/>
    <w:rsid w:val="00B018A4"/>
    <w:rsid w:val="00B01C84"/>
    <w:rsid w:val="00B0234C"/>
    <w:rsid w:val="00B0331D"/>
    <w:rsid w:val="00B0338D"/>
    <w:rsid w:val="00B0350F"/>
    <w:rsid w:val="00B035A8"/>
    <w:rsid w:val="00B037B9"/>
    <w:rsid w:val="00B037FE"/>
    <w:rsid w:val="00B038B0"/>
    <w:rsid w:val="00B03900"/>
    <w:rsid w:val="00B04129"/>
    <w:rsid w:val="00B04257"/>
    <w:rsid w:val="00B045FE"/>
    <w:rsid w:val="00B049C8"/>
    <w:rsid w:val="00B051F9"/>
    <w:rsid w:val="00B052A5"/>
    <w:rsid w:val="00B0551A"/>
    <w:rsid w:val="00B05623"/>
    <w:rsid w:val="00B05792"/>
    <w:rsid w:val="00B05955"/>
    <w:rsid w:val="00B05CAA"/>
    <w:rsid w:val="00B061A9"/>
    <w:rsid w:val="00B06F5B"/>
    <w:rsid w:val="00B074AD"/>
    <w:rsid w:val="00B076F3"/>
    <w:rsid w:val="00B07A1F"/>
    <w:rsid w:val="00B07AB3"/>
    <w:rsid w:val="00B07B18"/>
    <w:rsid w:val="00B10359"/>
    <w:rsid w:val="00B1057F"/>
    <w:rsid w:val="00B10632"/>
    <w:rsid w:val="00B10B1D"/>
    <w:rsid w:val="00B10E25"/>
    <w:rsid w:val="00B10F81"/>
    <w:rsid w:val="00B110EE"/>
    <w:rsid w:val="00B11C79"/>
    <w:rsid w:val="00B12379"/>
    <w:rsid w:val="00B129CA"/>
    <w:rsid w:val="00B12AEB"/>
    <w:rsid w:val="00B12F86"/>
    <w:rsid w:val="00B130C6"/>
    <w:rsid w:val="00B1315E"/>
    <w:rsid w:val="00B133FC"/>
    <w:rsid w:val="00B13671"/>
    <w:rsid w:val="00B13B1C"/>
    <w:rsid w:val="00B14515"/>
    <w:rsid w:val="00B14695"/>
    <w:rsid w:val="00B14A3F"/>
    <w:rsid w:val="00B14A7C"/>
    <w:rsid w:val="00B14FD7"/>
    <w:rsid w:val="00B153F4"/>
    <w:rsid w:val="00B1557F"/>
    <w:rsid w:val="00B15708"/>
    <w:rsid w:val="00B15DE0"/>
    <w:rsid w:val="00B15FC8"/>
    <w:rsid w:val="00B1611B"/>
    <w:rsid w:val="00B168F3"/>
    <w:rsid w:val="00B16AF9"/>
    <w:rsid w:val="00B16CE0"/>
    <w:rsid w:val="00B17047"/>
    <w:rsid w:val="00B17598"/>
    <w:rsid w:val="00B17683"/>
    <w:rsid w:val="00B177D7"/>
    <w:rsid w:val="00B179C1"/>
    <w:rsid w:val="00B20132"/>
    <w:rsid w:val="00B201C0"/>
    <w:rsid w:val="00B2074F"/>
    <w:rsid w:val="00B208DF"/>
    <w:rsid w:val="00B208FB"/>
    <w:rsid w:val="00B210BB"/>
    <w:rsid w:val="00B2180F"/>
    <w:rsid w:val="00B21DA6"/>
    <w:rsid w:val="00B223BB"/>
    <w:rsid w:val="00B22618"/>
    <w:rsid w:val="00B22ED2"/>
    <w:rsid w:val="00B23429"/>
    <w:rsid w:val="00B23EDF"/>
    <w:rsid w:val="00B24286"/>
    <w:rsid w:val="00B24335"/>
    <w:rsid w:val="00B2433F"/>
    <w:rsid w:val="00B2450C"/>
    <w:rsid w:val="00B2459A"/>
    <w:rsid w:val="00B245C5"/>
    <w:rsid w:val="00B24612"/>
    <w:rsid w:val="00B252D9"/>
    <w:rsid w:val="00B25463"/>
    <w:rsid w:val="00B254C4"/>
    <w:rsid w:val="00B256A2"/>
    <w:rsid w:val="00B25918"/>
    <w:rsid w:val="00B25A93"/>
    <w:rsid w:val="00B25BD3"/>
    <w:rsid w:val="00B25BEB"/>
    <w:rsid w:val="00B2600E"/>
    <w:rsid w:val="00B26024"/>
    <w:rsid w:val="00B263B0"/>
    <w:rsid w:val="00B263DB"/>
    <w:rsid w:val="00B26CE9"/>
    <w:rsid w:val="00B26D07"/>
    <w:rsid w:val="00B26EC4"/>
    <w:rsid w:val="00B2705C"/>
    <w:rsid w:val="00B274C9"/>
    <w:rsid w:val="00B27962"/>
    <w:rsid w:val="00B30281"/>
    <w:rsid w:val="00B303C8"/>
    <w:rsid w:val="00B30431"/>
    <w:rsid w:val="00B30BB5"/>
    <w:rsid w:val="00B30E16"/>
    <w:rsid w:val="00B30F3A"/>
    <w:rsid w:val="00B310EF"/>
    <w:rsid w:val="00B3147B"/>
    <w:rsid w:val="00B31EF2"/>
    <w:rsid w:val="00B328DF"/>
    <w:rsid w:val="00B32A7A"/>
    <w:rsid w:val="00B32EAA"/>
    <w:rsid w:val="00B3304C"/>
    <w:rsid w:val="00B3320B"/>
    <w:rsid w:val="00B334CA"/>
    <w:rsid w:val="00B33DDD"/>
    <w:rsid w:val="00B33F46"/>
    <w:rsid w:val="00B3451F"/>
    <w:rsid w:val="00B34B9F"/>
    <w:rsid w:val="00B3527C"/>
    <w:rsid w:val="00B35A30"/>
    <w:rsid w:val="00B35CD3"/>
    <w:rsid w:val="00B35DE5"/>
    <w:rsid w:val="00B35E18"/>
    <w:rsid w:val="00B35E74"/>
    <w:rsid w:val="00B36566"/>
    <w:rsid w:val="00B367F3"/>
    <w:rsid w:val="00B36B6F"/>
    <w:rsid w:val="00B37609"/>
    <w:rsid w:val="00B378D2"/>
    <w:rsid w:val="00B40571"/>
    <w:rsid w:val="00B40823"/>
    <w:rsid w:val="00B40891"/>
    <w:rsid w:val="00B408FE"/>
    <w:rsid w:val="00B40ABB"/>
    <w:rsid w:val="00B40F4B"/>
    <w:rsid w:val="00B4112C"/>
    <w:rsid w:val="00B41522"/>
    <w:rsid w:val="00B41700"/>
    <w:rsid w:val="00B41D93"/>
    <w:rsid w:val="00B43299"/>
    <w:rsid w:val="00B4330E"/>
    <w:rsid w:val="00B437D0"/>
    <w:rsid w:val="00B43C5A"/>
    <w:rsid w:val="00B43DF2"/>
    <w:rsid w:val="00B447B4"/>
    <w:rsid w:val="00B44D14"/>
    <w:rsid w:val="00B44E28"/>
    <w:rsid w:val="00B44FF1"/>
    <w:rsid w:val="00B45090"/>
    <w:rsid w:val="00B453D7"/>
    <w:rsid w:val="00B454C2"/>
    <w:rsid w:val="00B45598"/>
    <w:rsid w:val="00B45C4E"/>
    <w:rsid w:val="00B45E04"/>
    <w:rsid w:val="00B46160"/>
    <w:rsid w:val="00B4668C"/>
    <w:rsid w:val="00B46AEA"/>
    <w:rsid w:val="00B46AFB"/>
    <w:rsid w:val="00B4746C"/>
    <w:rsid w:val="00B47E1D"/>
    <w:rsid w:val="00B50101"/>
    <w:rsid w:val="00B50176"/>
    <w:rsid w:val="00B50413"/>
    <w:rsid w:val="00B50A43"/>
    <w:rsid w:val="00B50BCB"/>
    <w:rsid w:val="00B50D59"/>
    <w:rsid w:val="00B50E35"/>
    <w:rsid w:val="00B50E61"/>
    <w:rsid w:val="00B51C87"/>
    <w:rsid w:val="00B51FDF"/>
    <w:rsid w:val="00B520D5"/>
    <w:rsid w:val="00B5233E"/>
    <w:rsid w:val="00B523D7"/>
    <w:rsid w:val="00B52474"/>
    <w:rsid w:val="00B52A8F"/>
    <w:rsid w:val="00B530C9"/>
    <w:rsid w:val="00B531CA"/>
    <w:rsid w:val="00B5325C"/>
    <w:rsid w:val="00B5391A"/>
    <w:rsid w:val="00B542FE"/>
    <w:rsid w:val="00B54367"/>
    <w:rsid w:val="00B5437A"/>
    <w:rsid w:val="00B54770"/>
    <w:rsid w:val="00B548F4"/>
    <w:rsid w:val="00B54D1D"/>
    <w:rsid w:val="00B54FE4"/>
    <w:rsid w:val="00B5521F"/>
    <w:rsid w:val="00B552CE"/>
    <w:rsid w:val="00B552D3"/>
    <w:rsid w:val="00B55403"/>
    <w:rsid w:val="00B55594"/>
    <w:rsid w:val="00B556FB"/>
    <w:rsid w:val="00B55D57"/>
    <w:rsid w:val="00B55D76"/>
    <w:rsid w:val="00B55F3E"/>
    <w:rsid w:val="00B56267"/>
    <w:rsid w:val="00B5630B"/>
    <w:rsid w:val="00B56875"/>
    <w:rsid w:val="00B56A78"/>
    <w:rsid w:val="00B571FD"/>
    <w:rsid w:val="00B572E8"/>
    <w:rsid w:val="00B57483"/>
    <w:rsid w:val="00B579A6"/>
    <w:rsid w:val="00B57B45"/>
    <w:rsid w:val="00B57D92"/>
    <w:rsid w:val="00B60240"/>
    <w:rsid w:val="00B60292"/>
    <w:rsid w:val="00B60410"/>
    <w:rsid w:val="00B605E5"/>
    <w:rsid w:val="00B60AA5"/>
    <w:rsid w:val="00B60ABC"/>
    <w:rsid w:val="00B60D4F"/>
    <w:rsid w:val="00B60DE6"/>
    <w:rsid w:val="00B61323"/>
    <w:rsid w:val="00B615D5"/>
    <w:rsid w:val="00B6185F"/>
    <w:rsid w:val="00B619F8"/>
    <w:rsid w:val="00B620B0"/>
    <w:rsid w:val="00B62136"/>
    <w:rsid w:val="00B62C1C"/>
    <w:rsid w:val="00B62CAC"/>
    <w:rsid w:val="00B62E26"/>
    <w:rsid w:val="00B63BB8"/>
    <w:rsid w:val="00B63DE9"/>
    <w:rsid w:val="00B63EA6"/>
    <w:rsid w:val="00B64229"/>
    <w:rsid w:val="00B644AB"/>
    <w:rsid w:val="00B64672"/>
    <w:rsid w:val="00B6472A"/>
    <w:rsid w:val="00B654C2"/>
    <w:rsid w:val="00B6551C"/>
    <w:rsid w:val="00B65661"/>
    <w:rsid w:val="00B65CAD"/>
    <w:rsid w:val="00B65D3A"/>
    <w:rsid w:val="00B65D5D"/>
    <w:rsid w:val="00B66021"/>
    <w:rsid w:val="00B6641C"/>
    <w:rsid w:val="00B66877"/>
    <w:rsid w:val="00B66A0D"/>
    <w:rsid w:val="00B66BB9"/>
    <w:rsid w:val="00B66F60"/>
    <w:rsid w:val="00B6738D"/>
    <w:rsid w:val="00B67478"/>
    <w:rsid w:val="00B67890"/>
    <w:rsid w:val="00B678AC"/>
    <w:rsid w:val="00B67B81"/>
    <w:rsid w:val="00B701DC"/>
    <w:rsid w:val="00B70544"/>
    <w:rsid w:val="00B70B1F"/>
    <w:rsid w:val="00B70FC8"/>
    <w:rsid w:val="00B71732"/>
    <w:rsid w:val="00B718D1"/>
    <w:rsid w:val="00B722A1"/>
    <w:rsid w:val="00B7233D"/>
    <w:rsid w:val="00B72340"/>
    <w:rsid w:val="00B72535"/>
    <w:rsid w:val="00B72750"/>
    <w:rsid w:val="00B727A3"/>
    <w:rsid w:val="00B72BD2"/>
    <w:rsid w:val="00B72C4B"/>
    <w:rsid w:val="00B72EC6"/>
    <w:rsid w:val="00B7317A"/>
    <w:rsid w:val="00B73906"/>
    <w:rsid w:val="00B74909"/>
    <w:rsid w:val="00B7510B"/>
    <w:rsid w:val="00B7526A"/>
    <w:rsid w:val="00B7550F"/>
    <w:rsid w:val="00B758D2"/>
    <w:rsid w:val="00B75D06"/>
    <w:rsid w:val="00B75F58"/>
    <w:rsid w:val="00B76467"/>
    <w:rsid w:val="00B76688"/>
    <w:rsid w:val="00B766C0"/>
    <w:rsid w:val="00B7697D"/>
    <w:rsid w:val="00B76C4D"/>
    <w:rsid w:val="00B774BC"/>
    <w:rsid w:val="00B77932"/>
    <w:rsid w:val="00B80399"/>
    <w:rsid w:val="00B803DB"/>
    <w:rsid w:val="00B805F4"/>
    <w:rsid w:val="00B80617"/>
    <w:rsid w:val="00B80656"/>
    <w:rsid w:val="00B80742"/>
    <w:rsid w:val="00B80E45"/>
    <w:rsid w:val="00B81C24"/>
    <w:rsid w:val="00B81CE1"/>
    <w:rsid w:val="00B822F5"/>
    <w:rsid w:val="00B8235C"/>
    <w:rsid w:val="00B827A7"/>
    <w:rsid w:val="00B828E2"/>
    <w:rsid w:val="00B83728"/>
    <w:rsid w:val="00B83764"/>
    <w:rsid w:val="00B83776"/>
    <w:rsid w:val="00B83782"/>
    <w:rsid w:val="00B83964"/>
    <w:rsid w:val="00B83A84"/>
    <w:rsid w:val="00B83C74"/>
    <w:rsid w:val="00B83DD1"/>
    <w:rsid w:val="00B83F04"/>
    <w:rsid w:val="00B8404B"/>
    <w:rsid w:val="00B840FD"/>
    <w:rsid w:val="00B84687"/>
    <w:rsid w:val="00B84904"/>
    <w:rsid w:val="00B84F51"/>
    <w:rsid w:val="00B851DC"/>
    <w:rsid w:val="00B85A1D"/>
    <w:rsid w:val="00B85DC7"/>
    <w:rsid w:val="00B85E32"/>
    <w:rsid w:val="00B86111"/>
    <w:rsid w:val="00B8616D"/>
    <w:rsid w:val="00B8651F"/>
    <w:rsid w:val="00B865E2"/>
    <w:rsid w:val="00B86A33"/>
    <w:rsid w:val="00B86C39"/>
    <w:rsid w:val="00B86D6F"/>
    <w:rsid w:val="00B86E84"/>
    <w:rsid w:val="00B86FC3"/>
    <w:rsid w:val="00B870E8"/>
    <w:rsid w:val="00B8752F"/>
    <w:rsid w:val="00B877D1"/>
    <w:rsid w:val="00B87901"/>
    <w:rsid w:val="00B87BA4"/>
    <w:rsid w:val="00B87CBA"/>
    <w:rsid w:val="00B87DAA"/>
    <w:rsid w:val="00B87F60"/>
    <w:rsid w:val="00B90231"/>
    <w:rsid w:val="00B90324"/>
    <w:rsid w:val="00B90567"/>
    <w:rsid w:val="00B905B0"/>
    <w:rsid w:val="00B907BF"/>
    <w:rsid w:val="00B90E39"/>
    <w:rsid w:val="00B911BB"/>
    <w:rsid w:val="00B91772"/>
    <w:rsid w:val="00B917C1"/>
    <w:rsid w:val="00B9195F"/>
    <w:rsid w:val="00B91BF4"/>
    <w:rsid w:val="00B923E9"/>
    <w:rsid w:val="00B924EA"/>
    <w:rsid w:val="00B93588"/>
    <w:rsid w:val="00B936FB"/>
    <w:rsid w:val="00B938F7"/>
    <w:rsid w:val="00B942CE"/>
    <w:rsid w:val="00B9442B"/>
    <w:rsid w:val="00B94720"/>
    <w:rsid w:val="00B9480B"/>
    <w:rsid w:val="00B94A85"/>
    <w:rsid w:val="00B94AFE"/>
    <w:rsid w:val="00B94BC8"/>
    <w:rsid w:val="00B94D3A"/>
    <w:rsid w:val="00B9524C"/>
    <w:rsid w:val="00B95574"/>
    <w:rsid w:val="00B9582A"/>
    <w:rsid w:val="00B95B8C"/>
    <w:rsid w:val="00B95C32"/>
    <w:rsid w:val="00B95D49"/>
    <w:rsid w:val="00B962B1"/>
    <w:rsid w:val="00B96301"/>
    <w:rsid w:val="00B963EB"/>
    <w:rsid w:val="00B96731"/>
    <w:rsid w:val="00B96811"/>
    <w:rsid w:val="00B9738F"/>
    <w:rsid w:val="00B975F3"/>
    <w:rsid w:val="00B97A92"/>
    <w:rsid w:val="00B97C1F"/>
    <w:rsid w:val="00B97D27"/>
    <w:rsid w:val="00BA04AA"/>
    <w:rsid w:val="00BA0BAD"/>
    <w:rsid w:val="00BA0E9C"/>
    <w:rsid w:val="00BA1711"/>
    <w:rsid w:val="00BA1765"/>
    <w:rsid w:val="00BA17FE"/>
    <w:rsid w:val="00BA1C65"/>
    <w:rsid w:val="00BA1DD3"/>
    <w:rsid w:val="00BA21B0"/>
    <w:rsid w:val="00BA25C8"/>
    <w:rsid w:val="00BA2679"/>
    <w:rsid w:val="00BA2A45"/>
    <w:rsid w:val="00BA2FF7"/>
    <w:rsid w:val="00BA31F1"/>
    <w:rsid w:val="00BA32E3"/>
    <w:rsid w:val="00BA34D4"/>
    <w:rsid w:val="00BA3700"/>
    <w:rsid w:val="00BA38D7"/>
    <w:rsid w:val="00BA4491"/>
    <w:rsid w:val="00BA4937"/>
    <w:rsid w:val="00BA500C"/>
    <w:rsid w:val="00BA524F"/>
    <w:rsid w:val="00BA5397"/>
    <w:rsid w:val="00BA54B7"/>
    <w:rsid w:val="00BA5DFB"/>
    <w:rsid w:val="00BA6707"/>
    <w:rsid w:val="00BA67FF"/>
    <w:rsid w:val="00BA6A1B"/>
    <w:rsid w:val="00BA6E28"/>
    <w:rsid w:val="00BA6F1A"/>
    <w:rsid w:val="00BA711F"/>
    <w:rsid w:val="00BA719B"/>
    <w:rsid w:val="00BA741E"/>
    <w:rsid w:val="00BA7954"/>
    <w:rsid w:val="00BA7981"/>
    <w:rsid w:val="00BA7A10"/>
    <w:rsid w:val="00BA7E0C"/>
    <w:rsid w:val="00BB0836"/>
    <w:rsid w:val="00BB0B5C"/>
    <w:rsid w:val="00BB0BFA"/>
    <w:rsid w:val="00BB0D0A"/>
    <w:rsid w:val="00BB0FEE"/>
    <w:rsid w:val="00BB130B"/>
    <w:rsid w:val="00BB13EF"/>
    <w:rsid w:val="00BB193A"/>
    <w:rsid w:val="00BB1D4B"/>
    <w:rsid w:val="00BB1DFF"/>
    <w:rsid w:val="00BB21D0"/>
    <w:rsid w:val="00BB253F"/>
    <w:rsid w:val="00BB26AC"/>
    <w:rsid w:val="00BB2C97"/>
    <w:rsid w:val="00BB2D25"/>
    <w:rsid w:val="00BB2E97"/>
    <w:rsid w:val="00BB2FAF"/>
    <w:rsid w:val="00BB310A"/>
    <w:rsid w:val="00BB34EC"/>
    <w:rsid w:val="00BB3531"/>
    <w:rsid w:val="00BB3711"/>
    <w:rsid w:val="00BB398D"/>
    <w:rsid w:val="00BB44DC"/>
    <w:rsid w:val="00BB4D9D"/>
    <w:rsid w:val="00BB5002"/>
    <w:rsid w:val="00BB53B9"/>
    <w:rsid w:val="00BB5614"/>
    <w:rsid w:val="00BB5639"/>
    <w:rsid w:val="00BB5902"/>
    <w:rsid w:val="00BB639F"/>
    <w:rsid w:val="00BB6B51"/>
    <w:rsid w:val="00BB6E31"/>
    <w:rsid w:val="00BB77F8"/>
    <w:rsid w:val="00BB7A08"/>
    <w:rsid w:val="00BB7C9D"/>
    <w:rsid w:val="00BC0138"/>
    <w:rsid w:val="00BC060A"/>
    <w:rsid w:val="00BC08A4"/>
    <w:rsid w:val="00BC09A1"/>
    <w:rsid w:val="00BC0D27"/>
    <w:rsid w:val="00BC0F44"/>
    <w:rsid w:val="00BC0FCF"/>
    <w:rsid w:val="00BC1835"/>
    <w:rsid w:val="00BC24E2"/>
    <w:rsid w:val="00BC2591"/>
    <w:rsid w:val="00BC29CE"/>
    <w:rsid w:val="00BC2EC0"/>
    <w:rsid w:val="00BC2F70"/>
    <w:rsid w:val="00BC2FD6"/>
    <w:rsid w:val="00BC310B"/>
    <w:rsid w:val="00BC337C"/>
    <w:rsid w:val="00BC38DC"/>
    <w:rsid w:val="00BC3B6B"/>
    <w:rsid w:val="00BC4016"/>
    <w:rsid w:val="00BC40F1"/>
    <w:rsid w:val="00BC44E4"/>
    <w:rsid w:val="00BC47FF"/>
    <w:rsid w:val="00BC4916"/>
    <w:rsid w:val="00BC4FAF"/>
    <w:rsid w:val="00BC5742"/>
    <w:rsid w:val="00BC5A2D"/>
    <w:rsid w:val="00BC5F6F"/>
    <w:rsid w:val="00BC60C9"/>
    <w:rsid w:val="00BC6228"/>
    <w:rsid w:val="00BC66C7"/>
    <w:rsid w:val="00BC6E54"/>
    <w:rsid w:val="00BC6E77"/>
    <w:rsid w:val="00BC7568"/>
    <w:rsid w:val="00BC763D"/>
    <w:rsid w:val="00BC7846"/>
    <w:rsid w:val="00BC7E7C"/>
    <w:rsid w:val="00BD003B"/>
    <w:rsid w:val="00BD01DF"/>
    <w:rsid w:val="00BD0223"/>
    <w:rsid w:val="00BD055A"/>
    <w:rsid w:val="00BD086B"/>
    <w:rsid w:val="00BD0885"/>
    <w:rsid w:val="00BD08C1"/>
    <w:rsid w:val="00BD0A1C"/>
    <w:rsid w:val="00BD0C27"/>
    <w:rsid w:val="00BD0C39"/>
    <w:rsid w:val="00BD0CD7"/>
    <w:rsid w:val="00BD0E38"/>
    <w:rsid w:val="00BD0FD2"/>
    <w:rsid w:val="00BD13F2"/>
    <w:rsid w:val="00BD178B"/>
    <w:rsid w:val="00BD2164"/>
    <w:rsid w:val="00BD2246"/>
    <w:rsid w:val="00BD2F6F"/>
    <w:rsid w:val="00BD3A40"/>
    <w:rsid w:val="00BD3DB4"/>
    <w:rsid w:val="00BD45A3"/>
    <w:rsid w:val="00BD47C3"/>
    <w:rsid w:val="00BD4C19"/>
    <w:rsid w:val="00BD51D1"/>
    <w:rsid w:val="00BD5227"/>
    <w:rsid w:val="00BD53A7"/>
    <w:rsid w:val="00BD559C"/>
    <w:rsid w:val="00BD5756"/>
    <w:rsid w:val="00BD57A5"/>
    <w:rsid w:val="00BD5F32"/>
    <w:rsid w:val="00BD636E"/>
    <w:rsid w:val="00BD693B"/>
    <w:rsid w:val="00BD6A23"/>
    <w:rsid w:val="00BD6E03"/>
    <w:rsid w:val="00BD6FA3"/>
    <w:rsid w:val="00BD702F"/>
    <w:rsid w:val="00BD7078"/>
    <w:rsid w:val="00BD786C"/>
    <w:rsid w:val="00BD7A5B"/>
    <w:rsid w:val="00BD7D46"/>
    <w:rsid w:val="00BD7FC9"/>
    <w:rsid w:val="00BE06C9"/>
    <w:rsid w:val="00BE0EC2"/>
    <w:rsid w:val="00BE13BF"/>
    <w:rsid w:val="00BE1849"/>
    <w:rsid w:val="00BE1CB1"/>
    <w:rsid w:val="00BE1D3A"/>
    <w:rsid w:val="00BE1EA9"/>
    <w:rsid w:val="00BE2008"/>
    <w:rsid w:val="00BE21C8"/>
    <w:rsid w:val="00BE237B"/>
    <w:rsid w:val="00BE242A"/>
    <w:rsid w:val="00BE2716"/>
    <w:rsid w:val="00BE299A"/>
    <w:rsid w:val="00BE2A43"/>
    <w:rsid w:val="00BE2C32"/>
    <w:rsid w:val="00BE338F"/>
    <w:rsid w:val="00BE3BB2"/>
    <w:rsid w:val="00BE42EA"/>
    <w:rsid w:val="00BE4914"/>
    <w:rsid w:val="00BE4928"/>
    <w:rsid w:val="00BE4B43"/>
    <w:rsid w:val="00BE59F2"/>
    <w:rsid w:val="00BE5D52"/>
    <w:rsid w:val="00BE6106"/>
    <w:rsid w:val="00BE642D"/>
    <w:rsid w:val="00BE669E"/>
    <w:rsid w:val="00BE6847"/>
    <w:rsid w:val="00BE6CD9"/>
    <w:rsid w:val="00BE73B9"/>
    <w:rsid w:val="00BE75D5"/>
    <w:rsid w:val="00BE7F4D"/>
    <w:rsid w:val="00BF06F4"/>
    <w:rsid w:val="00BF0C2D"/>
    <w:rsid w:val="00BF1341"/>
    <w:rsid w:val="00BF1429"/>
    <w:rsid w:val="00BF1616"/>
    <w:rsid w:val="00BF199A"/>
    <w:rsid w:val="00BF1A04"/>
    <w:rsid w:val="00BF1D5A"/>
    <w:rsid w:val="00BF1FFB"/>
    <w:rsid w:val="00BF202C"/>
    <w:rsid w:val="00BF237C"/>
    <w:rsid w:val="00BF24F5"/>
    <w:rsid w:val="00BF268A"/>
    <w:rsid w:val="00BF2E5A"/>
    <w:rsid w:val="00BF31A2"/>
    <w:rsid w:val="00BF31FE"/>
    <w:rsid w:val="00BF35BC"/>
    <w:rsid w:val="00BF3799"/>
    <w:rsid w:val="00BF3B15"/>
    <w:rsid w:val="00BF3E4C"/>
    <w:rsid w:val="00BF3E51"/>
    <w:rsid w:val="00BF3E89"/>
    <w:rsid w:val="00BF4006"/>
    <w:rsid w:val="00BF48A6"/>
    <w:rsid w:val="00BF4975"/>
    <w:rsid w:val="00BF4E65"/>
    <w:rsid w:val="00BF500D"/>
    <w:rsid w:val="00BF5184"/>
    <w:rsid w:val="00BF5608"/>
    <w:rsid w:val="00BF562D"/>
    <w:rsid w:val="00BF575A"/>
    <w:rsid w:val="00BF57FB"/>
    <w:rsid w:val="00BF5B26"/>
    <w:rsid w:val="00BF66C1"/>
    <w:rsid w:val="00BF68CC"/>
    <w:rsid w:val="00BF6B5E"/>
    <w:rsid w:val="00BF6CAE"/>
    <w:rsid w:val="00BF6D3D"/>
    <w:rsid w:val="00BF704A"/>
    <w:rsid w:val="00BF7141"/>
    <w:rsid w:val="00BF729B"/>
    <w:rsid w:val="00BF7300"/>
    <w:rsid w:val="00BF7737"/>
    <w:rsid w:val="00BF7739"/>
    <w:rsid w:val="00BF7914"/>
    <w:rsid w:val="00BF795C"/>
    <w:rsid w:val="00BF7E1C"/>
    <w:rsid w:val="00BF7EE5"/>
    <w:rsid w:val="00C001B3"/>
    <w:rsid w:val="00C00562"/>
    <w:rsid w:val="00C005BD"/>
    <w:rsid w:val="00C007A9"/>
    <w:rsid w:val="00C0092B"/>
    <w:rsid w:val="00C00B3E"/>
    <w:rsid w:val="00C00CC2"/>
    <w:rsid w:val="00C00E5D"/>
    <w:rsid w:val="00C0243E"/>
    <w:rsid w:val="00C02822"/>
    <w:rsid w:val="00C028CE"/>
    <w:rsid w:val="00C029BE"/>
    <w:rsid w:val="00C02DAA"/>
    <w:rsid w:val="00C031B0"/>
    <w:rsid w:val="00C03BCE"/>
    <w:rsid w:val="00C04135"/>
    <w:rsid w:val="00C042FB"/>
    <w:rsid w:val="00C0453D"/>
    <w:rsid w:val="00C048C0"/>
    <w:rsid w:val="00C04A35"/>
    <w:rsid w:val="00C04B29"/>
    <w:rsid w:val="00C05131"/>
    <w:rsid w:val="00C055F0"/>
    <w:rsid w:val="00C05684"/>
    <w:rsid w:val="00C06143"/>
    <w:rsid w:val="00C06278"/>
    <w:rsid w:val="00C06CB8"/>
    <w:rsid w:val="00C07147"/>
    <w:rsid w:val="00C07B41"/>
    <w:rsid w:val="00C10277"/>
    <w:rsid w:val="00C102B2"/>
    <w:rsid w:val="00C1041E"/>
    <w:rsid w:val="00C10517"/>
    <w:rsid w:val="00C106A0"/>
    <w:rsid w:val="00C10A4C"/>
    <w:rsid w:val="00C10D11"/>
    <w:rsid w:val="00C1100B"/>
    <w:rsid w:val="00C118B0"/>
    <w:rsid w:val="00C11C09"/>
    <w:rsid w:val="00C11F39"/>
    <w:rsid w:val="00C124AB"/>
    <w:rsid w:val="00C1262D"/>
    <w:rsid w:val="00C12907"/>
    <w:rsid w:val="00C129A0"/>
    <w:rsid w:val="00C1332F"/>
    <w:rsid w:val="00C133F9"/>
    <w:rsid w:val="00C1340C"/>
    <w:rsid w:val="00C13C87"/>
    <w:rsid w:val="00C13E4B"/>
    <w:rsid w:val="00C14187"/>
    <w:rsid w:val="00C141CB"/>
    <w:rsid w:val="00C1498A"/>
    <w:rsid w:val="00C15214"/>
    <w:rsid w:val="00C15318"/>
    <w:rsid w:val="00C15684"/>
    <w:rsid w:val="00C1610A"/>
    <w:rsid w:val="00C164C7"/>
    <w:rsid w:val="00C16B5D"/>
    <w:rsid w:val="00C1754C"/>
    <w:rsid w:val="00C177BE"/>
    <w:rsid w:val="00C1792F"/>
    <w:rsid w:val="00C179B5"/>
    <w:rsid w:val="00C17AC3"/>
    <w:rsid w:val="00C200B8"/>
    <w:rsid w:val="00C205F5"/>
    <w:rsid w:val="00C20905"/>
    <w:rsid w:val="00C2097C"/>
    <w:rsid w:val="00C211F6"/>
    <w:rsid w:val="00C2162E"/>
    <w:rsid w:val="00C219A2"/>
    <w:rsid w:val="00C21B52"/>
    <w:rsid w:val="00C21FEC"/>
    <w:rsid w:val="00C222ED"/>
    <w:rsid w:val="00C227AE"/>
    <w:rsid w:val="00C22AC4"/>
    <w:rsid w:val="00C22AFB"/>
    <w:rsid w:val="00C22C26"/>
    <w:rsid w:val="00C22D8A"/>
    <w:rsid w:val="00C230CE"/>
    <w:rsid w:val="00C23397"/>
    <w:rsid w:val="00C2354D"/>
    <w:rsid w:val="00C2414E"/>
    <w:rsid w:val="00C24256"/>
    <w:rsid w:val="00C24441"/>
    <w:rsid w:val="00C2476B"/>
    <w:rsid w:val="00C24956"/>
    <w:rsid w:val="00C24D48"/>
    <w:rsid w:val="00C250F2"/>
    <w:rsid w:val="00C2579F"/>
    <w:rsid w:val="00C2594D"/>
    <w:rsid w:val="00C26059"/>
    <w:rsid w:val="00C26C4E"/>
    <w:rsid w:val="00C27170"/>
    <w:rsid w:val="00C27600"/>
    <w:rsid w:val="00C27B32"/>
    <w:rsid w:val="00C27D05"/>
    <w:rsid w:val="00C27EB4"/>
    <w:rsid w:val="00C27FC4"/>
    <w:rsid w:val="00C301A0"/>
    <w:rsid w:val="00C305EC"/>
    <w:rsid w:val="00C3125E"/>
    <w:rsid w:val="00C31470"/>
    <w:rsid w:val="00C3159F"/>
    <w:rsid w:val="00C31776"/>
    <w:rsid w:val="00C31B0A"/>
    <w:rsid w:val="00C31B1E"/>
    <w:rsid w:val="00C320DB"/>
    <w:rsid w:val="00C32159"/>
    <w:rsid w:val="00C326B9"/>
    <w:rsid w:val="00C32C16"/>
    <w:rsid w:val="00C32EF5"/>
    <w:rsid w:val="00C330D0"/>
    <w:rsid w:val="00C3361F"/>
    <w:rsid w:val="00C3371B"/>
    <w:rsid w:val="00C3381F"/>
    <w:rsid w:val="00C338D6"/>
    <w:rsid w:val="00C341FB"/>
    <w:rsid w:val="00C3445D"/>
    <w:rsid w:val="00C347A0"/>
    <w:rsid w:val="00C348B2"/>
    <w:rsid w:val="00C34F2A"/>
    <w:rsid w:val="00C3597B"/>
    <w:rsid w:val="00C3628C"/>
    <w:rsid w:val="00C3661C"/>
    <w:rsid w:val="00C36787"/>
    <w:rsid w:val="00C369DC"/>
    <w:rsid w:val="00C36B2C"/>
    <w:rsid w:val="00C375BB"/>
    <w:rsid w:val="00C37A0A"/>
    <w:rsid w:val="00C37C02"/>
    <w:rsid w:val="00C37CB2"/>
    <w:rsid w:val="00C37F49"/>
    <w:rsid w:val="00C37FF6"/>
    <w:rsid w:val="00C40056"/>
    <w:rsid w:val="00C4016C"/>
    <w:rsid w:val="00C401FF"/>
    <w:rsid w:val="00C40401"/>
    <w:rsid w:val="00C40683"/>
    <w:rsid w:val="00C40CB6"/>
    <w:rsid w:val="00C41417"/>
    <w:rsid w:val="00C41453"/>
    <w:rsid w:val="00C41902"/>
    <w:rsid w:val="00C41C80"/>
    <w:rsid w:val="00C4216F"/>
    <w:rsid w:val="00C422D6"/>
    <w:rsid w:val="00C428DF"/>
    <w:rsid w:val="00C42F0F"/>
    <w:rsid w:val="00C43037"/>
    <w:rsid w:val="00C4382A"/>
    <w:rsid w:val="00C43DCF"/>
    <w:rsid w:val="00C44A92"/>
    <w:rsid w:val="00C4540A"/>
    <w:rsid w:val="00C45770"/>
    <w:rsid w:val="00C45C10"/>
    <w:rsid w:val="00C45C86"/>
    <w:rsid w:val="00C467B4"/>
    <w:rsid w:val="00C470ED"/>
    <w:rsid w:val="00C4795A"/>
    <w:rsid w:val="00C47B9A"/>
    <w:rsid w:val="00C47C1E"/>
    <w:rsid w:val="00C47E2B"/>
    <w:rsid w:val="00C503A5"/>
    <w:rsid w:val="00C50986"/>
    <w:rsid w:val="00C50C26"/>
    <w:rsid w:val="00C50E3F"/>
    <w:rsid w:val="00C51201"/>
    <w:rsid w:val="00C51508"/>
    <w:rsid w:val="00C51707"/>
    <w:rsid w:val="00C52178"/>
    <w:rsid w:val="00C523EE"/>
    <w:rsid w:val="00C52A21"/>
    <w:rsid w:val="00C532EA"/>
    <w:rsid w:val="00C53377"/>
    <w:rsid w:val="00C534A4"/>
    <w:rsid w:val="00C53508"/>
    <w:rsid w:val="00C537D2"/>
    <w:rsid w:val="00C53990"/>
    <w:rsid w:val="00C53A95"/>
    <w:rsid w:val="00C53BDC"/>
    <w:rsid w:val="00C53DE9"/>
    <w:rsid w:val="00C53FCB"/>
    <w:rsid w:val="00C5415C"/>
    <w:rsid w:val="00C54C21"/>
    <w:rsid w:val="00C54D51"/>
    <w:rsid w:val="00C55068"/>
    <w:rsid w:val="00C55BFF"/>
    <w:rsid w:val="00C565C6"/>
    <w:rsid w:val="00C56631"/>
    <w:rsid w:val="00C56BF7"/>
    <w:rsid w:val="00C56E05"/>
    <w:rsid w:val="00C57035"/>
    <w:rsid w:val="00C57804"/>
    <w:rsid w:val="00C578F3"/>
    <w:rsid w:val="00C57A2D"/>
    <w:rsid w:val="00C57C5E"/>
    <w:rsid w:val="00C609DD"/>
    <w:rsid w:val="00C60EC2"/>
    <w:rsid w:val="00C611BB"/>
    <w:rsid w:val="00C61910"/>
    <w:rsid w:val="00C61E8F"/>
    <w:rsid w:val="00C61FB0"/>
    <w:rsid w:val="00C62431"/>
    <w:rsid w:val="00C6270F"/>
    <w:rsid w:val="00C62D9C"/>
    <w:rsid w:val="00C631EF"/>
    <w:rsid w:val="00C63298"/>
    <w:rsid w:val="00C637C5"/>
    <w:rsid w:val="00C6383D"/>
    <w:rsid w:val="00C639B8"/>
    <w:rsid w:val="00C639F6"/>
    <w:rsid w:val="00C63C6D"/>
    <w:rsid w:val="00C63E8C"/>
    <w:rsid w:val="00C63EED"/>
    <w:rsid w:val="00C64965"/>
    <w:rsid w:val="00C650BA"/>
    <w:rsid w:val="00C65402"/>
    <w:rsid w:val="00C65564"/>
    <w:rsid w:val="00C658E3"/>
    <w:rsid w:val="00C65B83"/>
    <w:rsid w:val="00C65D99"/>
    <w:rsid w:val="00C66029"/>
    <w:rsid w:val="00C6608C"/>
    <w:rsid w:val="00C66BC1"/>
    <w:rsid w:val="00C6733E"/>
    <w:rsid w:val="00C67372"/>
    <w:rsid w:val="00C67617"/>
    <w:rsid w:val="00C67726"/>
    <w:rsid w:val="00C70162"/>
    <w:rsid w:val="00C70207"/>
    <w:rsid w:val="00C706B7"/>
    <w:rsid w:val="00C70997"/>
    <w:rsid w:val="00C70A6C"/>
    <w:rsid w:val="00C70ACA"/>
    <w:rsid w:val="00C70B91"/>
    <w:rsid w:val="00C70E37"/>
    <w:rsid w:val="00C710C3"/>
    <w:rsid w:val="00C71807"/>
    <w:rsid w:val="00C718B1"/>
    <w:rsid w:val="00C71B8C"/>
    <w:rsid w:val="00C71C47"/>
    <w:rsid w:val="00C71D2A"/>
    <w:rsid w:val="00C72B2F"/>
    <w:rsid w:val="00C72CDC"/>
    <w:rsid w:val="00C72EA8"/>
    <w:rsid w:val="00C73211"/>
    <w:rsid w:val="00C738AE"/>
    <w:rsid w:val="00C73D7D"/>
    <w:rsid w:val="00C7454B"/>
    <w:rsid w:val="00C74677"/>
    <w:rsid w:val="00C74FEF"/>
    <w:rsid w:val="00C751FE"/>
    <w:rsid w:val="00C75228"/>
    <w:rsid w:val="00C753ED"/>
    <w:rsid w:val="00C75513"/>
    <w:rsid w:val="00C757C2"/>
    <w:rsid w:val="00C759AF"/>
    <w:rsid w:val="00C75A79"/>
    <w:rsid w:val="00C75C9E"/>
    <w:rsid w:val="00C75EE9"/>
    <w:rsid w:val="00C75F0A"/>
    <w:rsid w:val="00C760FF"/>
    <w:rsid w:val="00C76223"/>
    <w:rsid w:val="00C7666C"/>
    <w:rsid w:val="00C76772"/>
    <w:rsid w:val="00C76861"/>
    <w:rsid w:val="00C7687D"/>
    <w:rsid w:val="00C76965"/>
    <w:rsid w:val="00C76AA1"/>
    <w:rsid w:val="00C76C46"/>
    <w:rsid w:val="00C76CAE"/>
    <w:rsid w:val="00C76D20"/>
    <w:rsid w:val="00C76D47"/>
    <w:rsid w:val="00C77263"/>
    <w:rsid w:val="00C775E0"/>
    <w:rsid w:val="00C77D0F"/>
    <w:rsid w:val="00C77E2F"/>
    <w:rsid w:val="00C77EC9"/>
    <w:rsid w:val="00C77FB2"/>
    <w:rsid w:val="00C80012"/>
    <w:rsid w:val="00C80271"/>
    <w:rsid w:val="00C80412"/>
    <w:rsid w:val="00C80709"/>
    <w:rsid w:val="00C8083A"/>
    <w:rsid w:val="00C80B48"/>
    <w:rsid w:val="00C81004"/>
    <w:rsid w:val="00C81102"/>
    <w:rsid w:val="00C81664"/>
    <w:rsid w:val="00C81705"/>
    <w:rsid w:val="00C828F1"/>
    <w:rsid w:val="00C82900"/>
    <w:rsid w:val="00C82FCC"/>
    <w:rsid w:val="00C83193"/>
    <w:rsid w:val="00C8327A"/>
    <w:rsid w:val="00C83E94"/>
    <w:rsid w:val="00C83EA7"/>
    <w:rsid w:val="00C842BD"/>
    <w:rsid w:val="00C8556F"/>
    <w:rsid w:val="00C857F2"/>
    <w:rsid w:val="00C85CE5"/>
    <w:rsid w:val="00C85D3C"/>
    <w:rsid w:val="00C86220"/>
    <w:rsid w:val="00C86456"/>
    <w:rsid w:val="00C8648B"/>
    <w:rsid w:val="00C8655F"/>
    <w:rsid w:val="00C86628"/>
    <w:rsid w:val="00C8682A"/>
    <w:rsid w:val="00C86908"/>
    <w:rsid w:val="00C86AA6"/>
    <w:rsid w:val="00C873FD"/>
    <w:rsid w:val="00C87C53"/>
    <w:rsid w:val="00C9020F"/>
    <w:rsid w:val="00C905B6"/>
    <w:rsid w:val="00C90764"/>
    <w:rsid w:val="00C90799"/>
    <w:rsid w:val="00C90BC4"/>
    <w:rsid w:val="00C90BF7"/>
    <w:rsid w:val="00C90E59"/>
    <w:rsid w:val="00C91407"/>
    <w:rsid w:val="00C914C0"/>
    <w:rsid w:val="00C91628"/>
    <w:rsid w:val="00C91774"/>
    <w:rsid w:val="00C91E22"/>
    <w:rsid w:val="00C92206"/>
    <w:rsid w:val="00C92D16"/>
    <w:rsid w:val="00C92DAC"/>
    <w:rsid w:val="00C92F28"/>
    <w:rsid w:val="00C93802"/>
    <w:rsid w:val="00C938D7"/>
    <w:rsid w:val="00C93C02"/>
    <w:rsid w:val="00C94149"/>
    <w:rsid w:val="00C94C93"/>
    <w:rsid w:val="00C9544F"/>
    <w:rsid w:val="00C95646"/>
    <w:rsid w:val="00C96011"/>
    <w:rsid w:val="00C9637D"/>
    <w:rsid w:val="00C96549"/>
    <w:rsid w:val="00C965B9"/>
    <w:rsid w:val="00C97264"/>
    <w:rsid w:val="00C975B7"/>
    <w:rsid w:val="00C977C8"/>
    <w:rsid w:val="00C979B2"/>
    <w:rsid w:val="00CA024D"/>
    <w:rsid w:val="00CA02EE"/>
    <w:rsid w:val="00CA08BF"/>
    <w:rsid w:val="00CA0956"/>
    <w:rsid w:val="00CA0A9E"/>
    <w:rsid w:val="00CA0B2F"/>
    <w:rsid w:val="00CA0F5E"/>
    <w:rsid w:val="00CA10A8"/>
    <w:rsid w:val="00CA11CE"/>
    <w:rsid w:val="00CA171E"/>
    <w:rsid w:val="00CA1976"/>
    <w:rsid w:val="00CA1A32"/>
    <w:rsid w:val="00CA1EED"/>
    <w:rsid w:val="00CA2162"/>
    <w:rsid w:val="00CA2334"/>
    <w:rsid w:val="00CA25C3"/>
    <w:rsid w:val="00CA26D2"/>
    <w:rsid w:val="00CA2D4E"/>
    <w:rsid w:val="00CA3246"/>
    <w:rsid w:val="00CA32D0"/>
    <w:rsid w:val="00CA3941"/>
    <w:rsid w:val="00CA3B77"/>
    <w:rsid w:val="00CA3BB0"/>
    <w:rsid w:val="00CA3F16"/>
    <w:rsid w:val="00CA4281"/>
    <w:rsid w:val="00CA4912"/>
    <w:rsid w:val="00CA546B"/>
    <w:rsid w:val="00CA5562"/>
    <w:rsid w:val="00CA5642"/>
    <w:rsid w:val="00CA5BCC"/>
    <w:rsid w:val="00CA61EB"/>
    <w:rsid w:val="00CA6AE8"/>
    <w:rsid w:val="00CA7210"/>
    <w:rsid w:val="00CA7505"/>
    <w:rsid w:val="00CA79EC"/>
    <w:rsid w:val="00CA7B65"/>
    <w:rsid w:val="00CA7D6F"/>
    <w:rsid w:val="00CB006D"/>
    <w:rsid w:val="00CB033E"/>
    <w:rsid w:val="00CB04EF"/>
    <w:rsid w:val="00CB04F1"/>
    <w:rsid w:val="00CB0CCE"/>
    <w:rsid w:val="00CB0FBC"/>
    <w:rsid w:val="00CB12C0"/>
    <w:rsid w:val="00CB1351"/>
    <w:rsid w:val="00CB1511"/>
    <w:rsid w:val="00CB15B1"/>
    <w:rsid w:val="00CB185A"/>
    <w:rsid w:val="00CB1BBA"/>
    <w:rsid w:val="00CB1BC1"/>
    <w:rsid w:val="00CB1DCE"/>
    <w:rsid w:val="00CB23AE"/>
    <w:rsid w:val="00CB30C1"/>
    <w:rsid w:val="00CB325B"/>
    <w:rsid w:val="00CB328A"/>
    <w:rsid w:val="00CB34A1"/>
    <w:rsid w:val="00CB3941"/>
    <w:rsid w:val="00CB3B3B"/>
    <w:rsid w:val="00CB3B71"/>
    <w:rsid w:val="00CB3C60"/>
    <w:rsid w:val="00CB3E7B"/>
    <w:rsid w:val="00CB3F46"/>
    <w:rsid w:val="00CB4023"/>
    <w:rsid w:val="00CB4A7C"/>
    <w:rsid w:val="00CB4DD9"/>
    <w:rsid w:val="00CB4E03"/>
    <w:rsid w:val="00CB50B5"/>
    <w:rsid w:val="00CB577C"/>
    <w:rsid w:val="00CB587D"/>
    <w:rsid w:val="00CB6549"/>
    <w:rsid w:val="00CB68FF"/>
    <w:rsid w:val="00CB6949"/>
    <w:rsid w:val="00CB70E4"/>
    <w:rsid w:val="00CB743E"/>
    <w:rsid w:val="00CB7446"/>
    <w:rsid w:val="00CB76BD"/>
    <w:rsid w:val="00CB7816"/>
    <w:rsid w:val="00CB7969"/>
    <w:rsid w:val="00CB79F5"/>
    <w:rsid w:val="00CB7A50"/>
    <w:rsid w:val="00CB7B3F"/>
    <w:rsid w:val="00CB7CFB"/>
    <w:rsid w:val="00CB7E10"/>
    <w:rsid w:val="00CB7E2D"/>
    <w:rsid w:val="00CC08A7"/>
    <w:rsid w:val="00CC153C"/>
    <w:rsid w:val="00CC1F9D"/>
    <w:rsid w:val="00CC2595"/>
    <w:rsid w:val="00CC269A"/>
    <w:rsid w:val="00CC2738"/>
    <w:rsid w:val="00CC2766"/>
    <w:rsid w:val="00CC2A85"/>
    <w:rsid w:val="00CC2B65"/>
    <w:rsid w:val="00CC2BAC"/>
    <w:rsid w:val="00CC2C95"/>
    <w:rsid w:val="00CC350D"/>
    <w:rsid w:val="00CC3E34"/>
    <w:rsid w:val="00CC3E9B"/>
    <w:rsid w:val="00CC3EBD"/>
    <w:rsid w:val="00CC426E"/>
    <w:rsid w:val="00CC441A"/>
    <w:rsid w:val="00CC4669"/>
    <w:rsid w:val="00CC4865"/>
    <w:rsid w:val="00CC4921"/>
    <w:rsid w:val="00CC4A2A"/>
    <w:rsid w:val="00CC4C6D"/>
    <w:rsid w:val="00CC4CB6"/>
    <w:rsid w:val="00CC538E"/>
    <w:rsid w:val="00CC55D4"/>
    <w:rsid w:val="00CC57E3"/>
    <w:rsid w:val="00CC586C"/>
    <w:rsid w:val="00CC5A08"/>
    <w:rsid w:val="00CC5CA5"/>
    <w:rsid w:val="00CC63B1"/>
    <w:rsid w:val="00CC66FC"/>
    <w:rsid w:val="00CC6B7B"/>
    <w:rsid w:val="00CC7236"/>
    <w:rsid w:val="00CC723F"/>
    <w:rsid w:val="00CC73D1"/>
    <w:rsid w:val="00CC7B78"/>
    <w:rsid w:val="00CC7CDF"/>
    <w:rsid w:val="00CC7DDC"/>
    <w:rsid w:val="00CD017B"/>
    <w:rsid w:val="00CD0198"/>
    <w:rsid w:val="00CD0C55"/>
    <w:rsid w:val="00CD0D67"/>
    <w:rsid w:val="00CD0DEE"/>
    <w:rsid w:val="00CD0EEB"/>
    <w:rsid w:val="00CD133B"/>
    <w:rsid w:val="00CD1BE3"/>
    <w:rsid w:val="00CD24D6"/>
    <w:rsid w:val="00CD24E7"/>
    <w:rsid w:val="00CD26A9"/>
    <w:rsid w:val="00CD2703"/>
    <w:rsid w:val="00CD2C14"/>
    <w:rsid w:val="00CD2D68"/>
    <w:rsid w:val="00CD2E4A"/>
    <w:rsid w:val="00CD303D"/>
    <w:rsid w:val="00CD3246"/>
    <w:rsid w:val="00CD36C9"/>
    <w:rsid w:val="00CD3AD3"/>
    <w:rsid w:val="00CD46EA"/>
    <w:rsid w:val="00CD4D6D"/>
    <w:rsid w:val="00CD504A"/>
    <w:rsid w:val="00CD51BA"/>
    <w:rsid w:val="00CD5707"/>
    <w:rsid w:val="00CD581F"/>
    <w:rsid w:val="00CD5987"/>
    <w:rsid w:val="00CD5D18"/>
    <w:rsid w:val="00CD5E67"/>
    <w:rsid w:val="00CD6244"/>
    <w:rsid w:val="00CD69D3"/>
    <w:rsid w:val="00CD69D4"/>
    <w:rsid w:val="00CD6DFE"/>
    <w:rsid w:val="00CD6E7B"/>
    <w:rsid w:val="00CD6F8C"/>
    <w:rsid w:val="00CD70E5"/>
    <w:rsid w:val="00CD7117"/>
    <w:rsid w:val="00CD7553"/>
    <w:rsid w:val="00CD7B37"/>
    <w:rsid w:val="00CD7C15"/>
    <w:rsid w:val="00CD7C9D"/>
    <w:rsid w:val="00CD7E42"/>
    <w:rsid w:val="00CE0154"/>
    <w:rsid w:val="00CE025C"/>
    <w:rsid w:val="00CE066A"/>
    <w:rsid w:val="00CE066B"/>
    <w:rsid w:val="00CE06D1"/>
    <w:rsid w:val="00CE0791"/>
    <w:rsid w:val="00CE0809"/>
    <w:rsid w:val="00CE0C93"/>
    <w:rsid w:val="00CE0FFB"/>
    <w:rsid w:val="00CE1077"/>
    <w:rsid w:val="00CE1103"/>
    <w:rsid w:val="00CE1217"/>
    <w:rsid w:val="00CE125F"/>
    <w:rsid w:val="00CE157C"/>
    <w:rsid w:val="00CE161B"/>
    <w:rsid w:val="00CE17CA"/>
    <w:rsid w:val="00CE19E8"/>
    <w:rsid w:val="00CE1C6F"/>
    <w:rsid w:val="00CE220C"/>
    <w:rsid w:val="00CE2555"/>
    <w:rsid w:val="00CE2BF4"/>
    <w:rsid w:val="00CE2F42"/>
    <w:rsid w:val="00CE305C"/>
    <w:rsid w:val="00CE3779"/>
    <w:rsid w:val="00CE3E7C"/>
    <w:rsid w:val="00CE3E91"/>
    <w:rsid w:val="00CE4078"/>
    <w:rsid w:val="00CE4179"/>
    <w:rsid w:val="00CE43B7"/>
    <w:rsid w:val="00CE44AE"/>
    <w:rsid w:val="00CE457B"/>
    <w:rsid w:val="00CE465B"/>
    <w:rsid w:val="00CE4B3A"/>
    <w:rsid w:val="00CE5F47"/>
    <w:rsid w:val="00CE630C"/>
    <w:rsid w:val="00CE67FC"/>
    <w:rsid w:val="00CE69F8"/>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10F4"/>
    <w:rsid w:val="00CF121D"/>
    <w:rsid w:val="00CF1954"/>
    <w:rsid w:val="00CF1A05"/>
    <w:rsid w:val="00CF1E73"/>
    <w:rsid w:val="00CF2627"/>
    <w:rsid w:val="00CF2685"/>
    <w:rsid w:val="00CF293C"/>
    <w:rsid w:val="00CF2ADC"/>
    <w:rsid w:val="00CF2D14"/>
    <w:rsid w:val="00CF310D"/>
    <w:rsid w:val="00CF32DF"/>
    <w:rsid w:val="00CF33A8"/>
    <w:rsid w:val="00CF34AC"/>
    <w:rsid w:val="00CF34F5"/>
    <w:rsid w:val="00CF3782"/>
    <w:rsid w:val="00CF4185"/>
    <w:rsid w:val="00CF41A9"/>
    <w:rsid w:val="00CF4706"/>
    <w:rsid w:val="00CF4A28"/>
    <w:rsid w:val="00CF4AB7"/>
    <w:rsid w:val="00CF5205"/>
    <w:rsid w:val="00CF5804"/>
    <w:rsid w:val="00CF5BAF"/>
    <w:rsid w:val="00CF62FF"/>
    <w:rsid w:val="00CF654C"/>
    <w:rsid w:val="00CF67D7"/>
    <w:rsid w:val="00CF6C26"/>
    <w:rsid w:val="00CF6F37"/>
    <w:rsid w:val="00CF6F4B"/>
    <w:rsid w:val="00CF7333"/>
    <w:rsid w:val="00CF7458"/>
    <w:rsid w:val="00CF7553"/>
    <w:rsid w:val="00CF75FE"/>
    <w:rsid w:val="00CF7710"/>
    <w:rsid w:val="00CF78BB"/>
    <w:rsid w:val="00CF78F5"/>
    <w:rsid w:val="00CF796B"/>
    <w:rsid w:val="00CF79CD"/>
    <w:rsid w:val="00CF7CA4"/>
    <w:rsid w:val="00CF7CD1"/>
    <w:rsid w:val="00D00165"/>
    <w:rsid w:val="00D005BB"/>
    <w:rsid w:val="00D007DD"/>
    <w:rsid w:val="00D00A62"/>
    <w:rsid w:val="00D00FF3"/>
    <w:rsid w:val="00D0116A"/>
    <w:rsid w:val="00D012E6"/>
    <w:rsid w:val="00D01532"/>
    <w:rsid w:val="00D0186C"/>
    <w:rsid w:val="00D0191D"/>
    <w:rsid w:val="00D01A64"/>
    <w:rsid w:val="00D01D3B"/>
    <w:rsid w:val="00D01F87"/>
    <w:rsid w:val="00D02082"/>
    <w:rsid w:val="00D0210C"/>
    <w:rsid w:val="00D02344"/>
    <w:rsid w:val="00D0247F"/>
    <w:rsid w:val="00D02509"/>
    <w:rsid w:val="00D025EB"/>
    <w:rsid w:val="00D026A0"/>
    <w:rsid w:val="00D029E2"/>
    <w:rsid w:val="00D02D28"/>
    <w:rsid w:val="00D03130"/>
    <w:rsid w:val="00D034C7"/>
    <w:rsid w:val="00D03A5E"/>
    <w:rsid w:val="00D03B2A"/>
    <w:rsid w:val="00D03BE9"/>
    <w:rsid w:val="00D03C06"/>
    <w:rsid w:val="00D03ECC"/>
    <w:rsid w:val="00D04202"/>
    <w:rsid w:val="00D04E0C"/>
    <w:rsid w:val="00D05186"/>
    <w:rsid w:val="00D054F0"/>
    <w:rsid w:val="00D05686"/>
    <w:rsid w:val="00D05E49"/>
    <w:rsid w:val="00D06CBD"/>
    <w:rsid w:val="00D076CE"/>
    <w:rsid w:val="00D077B2"/>
    <w:rsid w:val="00D07C62"/>
    <w:rsid w:val="00D07C81"/>
    <w:rsid w:val="00D07F92"/>
    <w:rsid w:val="00D102F0"/>
    <w:rsid w:val="00D105A2"/>
    <w:rsid w:val="00D11324"/>
    <w:rsid w:val="00D11F93"/>
    <w:rsid w:val="00D1209B"/>
    <w:rsid w:val="00D123A7"/>
    <w:rsid w:val="00D12C18"/>
    <w:rsid w:val="00D12FF9"/>
    <w:rsid w:val="00D13212"/>
    <w:rsid w:val="00D1368A"/>
    <w:rsid w:val="00D13889"/>
    <w:rsid w:val="00D13BEF"/>
    <w:rsid w:val="00D14DB4"/>
    <w:rsid w:val="00D14DB9"/>
    <w:rsid w:val="00D14F95"/>
    <w:rsid w:val="00D151D8"/>
    <w:rsid w:val="00D15396"/>
    <w:rsid w:val="00D1545B"/>
    <w:rsid w:val="00D155EC"/>
    <w:rsid w:val="00D15623"/>
    <w:rsid w:val="00D15835"/>
    <w:rsid w:val="00D16168"/>
    <w:rsid w:val="00D16C36"/>
    <w:rsid w:val="00D16C91"/>
    <w:rsid w:val="00D16ED0"/>
    <w:rsid w:val="00D17179"/>
    <w:rsid w:val="00D1753D"/>
    <w:rsid w:val="00D17582"/>
    <w:rsid w:val="00D176CE"/>
    <w:rsid w:val="00D17748"/>
    <w:rsid w:val="00D177D2"/>
    <w:rsid w:val="00D17CE7"/>
    <w:rsid w:val="00D17F0D"/>
    <w:rsid w:val="00D17FB7"/>
    <w:rsid w:val="00D20391"/>
    <w:rsid w:val="00D20B06"/>
    <w:rsid w:val="00D20CC6"/>
    <w:rsid w:val="00D21213"/>
    <w:rsid w:val="00D215AC"/>
    <w:rsid w:val="00D21606"/>
    <w:rsid w:val="00D21883"/>
    <w:rsid w:val="00D218D4"/>
    <w:rsid w:val="00D21B79"/>
    <w:rsid w:val="00D21DAC"/>
    <w:rsid w:val="00D21DF5"/>
    <w:rsid w:val="00D226C7"/>
    <w:rsid w:val="00D226DF"/>
    <w:rsid w:val="00D227C5"/>
    <w:rsid w:val="00D22A43"/>
    <w:rsid w:val="00D22EC9"/>
    <w:rsid w:val="00D23674"/>
    <w:rsid w:val="00D2373B"/>
    <w:rsid w:val="00D23CB0"/>
    <w:rsid w:val="00D24398"/>
    <w:rsid w:val="00D24637"/>
    <w:rsid w:val="00D24C87"/>
    <w:rsid w:val="00D24D13"/>
    <w:rsid w:val="00D24EDB"/>
    <w:rsid w:val="00D252A3"/>
    <w:rsid w:val="00D255E5"/>
    <w:rsid w:val="00D2569B"/>
    <w:rsid w:val="00D25BAB"/>
    <w:rsid w:val="00D261C3"/>
    <w:rsid w:val="00D2622A"/>
    <w:rsid w:val="00D262CC"/>
    <w:rsid w:val="00D263B5"/>
    <w:rsid w:val="00D264FD"/>
    <w:rsid w:val="00D2677A"/>
    <w:rsid w:val="00D26D06"/>
    <w:rsid w:val="00D27206"/>
    <w:rsid w:val="00D27802"/>
    <w:rsid w:val="00D278E7"/>
    <w:rsid w:val="00D27E25"/>
    <w:rsid w:val="00D30488"/>
    <w:rsid w:val="00D3056D"/>
    <w:rsid w:val="00D30849"/>
    <w:rsid w:val="00D30BF7"/>
    <w:rsid w:val="00D30D84"/>
    <w:rsid w:val="00D30E0F"/>
    <w:rsid w:val="00D30E53"/>
    <w:rsid w:val="00D31443"/>
    <w:rsid w:val="00D31DC8"/>
    <w:rsid w:val="00D31E33"/>
    <w:rsid w:val="00D32B02"/>
    <w:rsid w:val="00D330D0"/>
    <w:rsid w:val="00D33429"/>
    <w:rsid w:val="00D336ED"/>
    <w:rsid w:val="00D33878"/>
    <w:rsid w:val="00D33CCE"/>
    <w:rsid w:val="00D33EB9"/>
    <w:rsid w:val="00D340D7"/>
    <w:rsid w:val="00D34AC1"/>
    <w:rsid w:val="00D34CAA"/>
    <w:rsid w:val="00D34D82"/>
    <w:rsid w:val="00D34D99"/>
    <w:rsid w:val="00D34DD3"/>
    <w:rsid w:val="00D34E54"/>
    <w:rsid w:val="00D354AB"/>
    <w:rsid w:val="00D3561C"/>
    <w:rsid w:val="00D356B9"/>
    <w:rsid w:val="00D35914"/>
    <w:rsid w:val="00D359F1"/>
    <w:rsid w:val="00D35A4F"/>
    <w:rsid w:val="00D35B2E"/>
    <w:rsid w:val="00D35CC1"/>
    <w:rsid w:val="00D36404"/>
    <w:rsid w:val="00D3644C"/>
    <w:rsid w:val="00D36751"/>
    <w:rsid w:val="00D369E3"/>
    <w:rsid w:val="00D36DA2"/>
    <w:rsid w:val="00D36E9B"/>
    <w:rsid w:val="00D3751A"/>
    <w:rsid w:val="00D377D8"/>
    <w:rsid w:val="00D379EC"/>
    <w:rsid w:val="00D37D45"/>
    <w:rsid w:val="00D37E67"/>
    <w:rsid w:val="00D400F9"/>
    <w:rsid w:val="00D40242"/>
    <w:rsid w:val="00D40853"/>
    <w:rsid w:val="00D408E2"/>
    <w:rsid w:val="00D412EE"/>
    <w:rsid w:val="00D413E6"/>
    <w:rsid w:val="00D41509"/>
    <w:rsid w:val="00D41EE0"/>
    <w:rsid w:val="00D41F78"/>
    <w:rsid w:val="00D42281"/>
    <w:rsid w:val="00D42472"/>
    <w:rsid w:val="00D425BB"/>
    <w:rsid w:val="00D427F1"/>
    <w:rsid w:val="00D428ED"/>
    <w:rsid w:val="00D43010"/>
    <w:rsid w:val="00D43674"/>
    <w:rsid w:val="00D43693"/>
    <w:rsid w:val="00D4390D"/>
    <w:rsid w:val="00D43A3E"/>
    <w:rsid w:val="00D43C35"/>
    <w:rsid w:val="00D43F92"/>
    <w:rsid w:val="00D4453A"/>
    <w:rsid w:val="00D44569"/>
    <w:rsid w:val="00D44D0B"/>
    <w:rsid w:val="00D44DD7"/>
    <w:rsid w:val="00D44F32"/>
    <w:rsid w:val="00D44FE6"/>
    <w:rsid w:val="00D45BFA"/>
    <w:rsid w:val="00D45CA3"/>
    <w:rsid w:val="00D4618B"/>
    <w:rsid w:val="00D46254"/>
    <w:rsid w:val="00D468BF"/>
    <w:rsid w:val="00D46930"/>
    <w:rsid w:val="00D46CC8"/>
    <w:rsid w:val="00D46FAE"/>
    <w:rsid w:val="00D4717E"/>
    <w:rsid w:val="00D47764"/>
    <w:rsid w:val="00D479C0"/>
    <w:rsid w:val="00D47F92"/>
    <w:rsid w:val="00D50472"/>
    <w:rsid w:val="00D50671"/>
    <w:rsid w:val="00D50CC5"/>
    <w:rsid w:val="00D5109E"/>
    <w:rsid w:val="00D516AB"/>
    <w:rsid w:val="00D51B0D"/>
    <w:rsid w:val="00D51B4A"/>
    <w:rsid w:val="00D51B60"/>
    <w:rsid w:val="00D52D78"/>
    <w:rsid w:val="00D53271"/>
    <w:rsid w:val="00D534D7"/>
    <w:rsid w:val="00D53748"/>
    <w:rsid w:val="00D538CC"/>
    <w:rsid w:val="00D53967"/>
    <w:rsid w:val="00D53EE9"/>
    <w:rsid w:val="00D53F2D"/>
    <w:rsid w:val="00D53F66"/>
    <w:rsid w:val="00D54184"/>
    <w:rsid w:val="00D54E52"/>
    <w:rsid w:val="00D54EFE"/>
    <w:rsid w:val="00D54F0D"/>
    <w:rsid w:val="00D55A24"/>
    <w:rsid w:val="00D55B18"/>
    <w:rsid w:val="00D56123"/>
    <w:rsid w:val="00D56332"/>
    <w:rsid w:val="00D5634C"/>
    <w:rsid w:val="00D5679A"/>
    <w:rsid w:val="00D567F8"/>
    <w:rsid w:val="00D567FD"/>
    <w:rsid w:val="00D56EE3"/>
    <w:rsid w:val="00D570AC"/>
    <w:rsid w:val="00D57174"/>
    <w:rsid w:val="00D57386"/>
    <w:rsid w:val="00D5753B"/>
    <w:rsid w:val="00D5760A"/>
    <w:rsid w:val="00D579F2"/>
    <w:rsid w:val="00D57A5C"/>
    <w:rsid w:val="00D57AC6"/>
    <w:rsid w:val="00D57F54"/>
    <w:rsid w:val="00D57FC3"/>
    <w:rsid w:val="00D60331"/>
    <w:rsid w:val="00D60439"/>
    <w:rsid w:val="00D607EE"/>
    <w:rsid w:val="00D60872"/>
    <w:rsid w:val="00D61008"/>
    <w:rsid w:val="00D61407"/>
    <w:rsid w:val="00D616D3"/>
    <w:rsid w:val="00D6188C"/>
    <w:rsid w:val="00D61B15"/>
    <w:rsid w:val="00D61B16"/>
    <w:rsid w:val="00D61BA9"/>
    <w:rsid w:val="00D61FB5"/>
    <w:rsid w:val="00D620FB"/>
    <w:rsid w:val="00D6294E"/>
    <w:rsid w:val="00D62A70"/>
    <w:rsid w:val="00D62BCF"/>
    <w:rsid w:val="00D6312D"/>
    <w:rsid w:val="00D638B1"/>
    <w:rsid w:val="00D63D49"/>
    <w:rsid w:val="00D63F6B"/>
    <w:rsid w:val="00D64104"/>
    <w:rsid w:val="00D6472A"/>
    <w:rsid w:val="00D6484C"/>
    <w:rsid w:val="00D64A78"/>
    <w:rsid w:val="00D64CF3"/>
    <w:rsid w:val="00D64F97"/>
    <w:rsid w:val="00D653C1"/>
    <w:rsid w:val="00D65471"/>
    <w:rsid w:val="00D65E4A"/>
    <w:rsid w:val="00D66081"/>
    <w:rsid w:val="00D66185"/>
    <w:rsid w:val="00D66477"/>
    <w:rsid w:val="00D66542"/>
    <w:rsid w:val="00D6667B"/>
    <w:rsid w:val="00D666CD"/>
    <w:rsid w:val="00D66B68"/>
    <w:rsid w:val="00D66BC4"/>
    <w:rsid w:val="00D66DB6"/>
    <w:rsid w:val="00D66E11"/>
    <w:rsid w:val="00D67095"/>
    <w:rsid w:val="00D67105"/>
    <w:rsid w:val="00D6714B"/>
    <w:rsid w:val="00D67303"/>
    <w:rsid w:val="00D67329"/>
    <w:rsid w:val="00D6758D"/>
    <w:rsid w:val="00D67768"/>
    <w:rsid w:val="00D67812"/>
    <w:rsid w:val="00D679DC"/>
    <w:rsid w:val="00D67A0B"/>
    <w:rsid w:val="00D703DA"/>
    <w:rsid w:val="00D70966"/>
    <w:rsid w:val="00D70968"/>
    <w:rsid w:val="00D70B59"/>
    <w:rsid w:val="00D70BB2"/>
    <w:rsid w:val="00D70BB4"/>
    <w:rsid w:val="00D70F1D"/>
    <w:rsid w:val="00D71700"/>
    <w:rsid w:val="00D717AB"/>
    <w:rsid w:val="00D718EA"/>
    <w:rsid w:val="00D71A8D"/>
    <w:rsid w:val="00D71C42"/>
    <w:rsid w:val="00D71D8F"/>
    <w:rsid w:val="00D71E3C"/>
    <w:rsid w:val="00D71E81"/>
    <w:rsid w:val="00D72356"/>
    <w:rsid w:val="00D723C3"/>
    <w:rsid w:val="00D72528"/>
    <w:rsid w:val="00D72D86"/>
    <w:rsid w:val="00D72FB3"/>
    <w:rsid w:val="00D7346D"/>
    <w:rsid w:val="00D7362D"/>
    <w:rsid w:val="00D736D9"/>
    <w:rsid w:val="00D73CA3"/>
    <w:rsid w:val="00D74061"/>
    <w:rsid w:val="00D74309"/>
    <w:rsid w:val="00D745D4"/>
    <w:rsid w:val="00D746F9"/>
    <w:rsid w:val="00D749CF"/>
    <w:rsid w:val="00D74B4B"/>
    <w:rsid w:val="00D75053"/>
    <w:rsid w:val="00D750E6"/>
    <w:rsid w:val="00D75261"/>
    <w:rsid w:val="00D754D0"/>
    <w:rsid w:val="00D7585D"/>
    <w:rsid w:val="00D76011"/>
    <w:rsid w:val="00D76194"/>
    <w:rsid w:val="00D766F5"/>
    <w:rsid w:val="00D76A07"/>
    <w:rsid w:val="00D76C7B"/>
    <w:rsid w:val="00D76D92"/>
    <w:rsid w:val="00D76F61"/>
    <w:rsid w:val="00D76F86"/>
    <w:rsid w:val="00D77572"/>
    <w:rsid w:val="00D77813"/>
    <w:rsid w:val="00D77B9B"/>
    <w:rsid w:val="00D77D55"/>
    <w:rsid w:val="00D8017B"/>
    <w:rsid w:val="00D80317"/>
    <w:rsid w:val="00D804D1"/>
    <w:rsid w:val="00D80DD8"/>
    <w:rsid w:val="00D816DB"/>
    <w:rsid w:val="00D818B8"/>
    <w:rsid w:val="00D81A71"/>
    <w:rsid w:val="00D81AB4"/>
    <w:rsid w:val="00D81D5C"/>
    <w:rsid w:val="00D81F67"/>
    <w:rsid w:val="00D82042"/>
    <w:rsid w:val="00D82361"/>
    <w:rsid w:val="00D827C3"/>
    <w:rsid w:val="00D82804"/>
    <w:rsid w:val="00D82A59"/>
    <w:rsid w:val="00D82C77"/>
    <w:rsid w:val="00D82EE5"/>
    <w:rsid w:val="00D831C3"/>
    <w:rsid w:val="00D83A68"/>
    <w:rsid w:val="00D840DD"/>
    <w:rsid w:val="00D84115"/>
    <w:rsid w:val="00D84156"/>
    <w:rsid w:val="00D8449C"/>
    <w:rsid w:val="00D844AA"/>
    <w:rsid w:val="00D8479A"/>
    <w:rsid w:val="00D84980"/>
    <w:rsid w:val="00D84D23"/>
    <w:rsid w:val="00D853F9"/>
    <w:rsid w:val="00D85FBF"/>
    <w:rsid w:val="00D8608A"/>
    <w:rsid w:val="00D8695B"/>
    <w:rsid w:val="00D86A06"/>
    <w:rsid w:val="00D86BB2"/>
    <w:rsid w:val="00D86FAE"/>
    <w:rsid w:val="00D874B5"/>
    <w:rsid w:val="00D876FD"/>
    <w:rsid w:val="00D87721"/>
    <w:rsid w:val="00D878DB"/>
    <w:rsid w:val="00D87F38"/>
    <w:rsid w:val="00D900EF"/>
    <w:rsid w:val="00D9014E"/>
    <w:rsid w:val="00D90153"/>
    <w:rsid w:val="00D901ED"/>
    <w:rsid w:val="00D90202"/>
    <w:rsid w:val="00D90609"/>
    <w:rsid w:val="00D908CD"/>
    <w:rsid w:val="00D908FB"/>
    <w:rsid w:val="00D90ADD"/>
    <w:rsid w:val="00D90E10"/>
    <w:rsid w:val="00D9129B"/>
    <w:rsid w:val="00D91337"/>
    <w:rsid w:val="00D916F5"/>
    <w:rsid w:val="00D9182A"/>
    <w:rsid w:val="00D91C86"/>
    <w:rsid w:val="00D91F16"/>
    <w:rsid w:val="00D91F54"/>
    <w:rsid w:val="00D91F69"/>
    <w:rsid w:val="00D92511"/>
    <w:rsid w:val="00D9284E"/>
    <w:rsid w:val="00D92B93"/>
    <w:rsid w:val="00D92DD9"/>
    <w:rsid w:val="00D92E5C"/>
    <w:rsid w:val="00D92EF7"/>
    <w:rsid w:val="00D93065"/>
    <w:rsid w:val="00D930EA"/>
    <w:rsid w:val="00D933AE"/>
    <w:rsid w:val="00D9349D"/>
    <w:rsid w:val="00D934D4"/>
    <w:rsid w:val="00D938A3"/>
    <w:rsid w:val="00D93A9E"/>
    <w:rsid w:val="00D93C0B"/>
    <w:rsid w:val="00D93EE7"/>
    <w:rsid w:val="00D947A4"/>
    <w:rsid w:val="00D94871"/>
    <w:rsid w:val="00D9487D"/>
    <w:rsid w:val="00D95540"/>
    <w:rsid w:val="00D95672"/>
    <w:rsid w:val="00D958FA"/>
    <w:rsid w:val="00D95BE7"/>
    <w:rsid w:val="00D95CF2"/>
    <w:rsid w:val="00D95E3E"/>
    <w:rsid w:val="00D95E57"/>
    <w:rsid w:val="00D96149"/>
    <w:rsid w:val="00D96152"/>
    <w:rsid w:val="00D96268"/>
    <w:rsid w:val="00D962D3"/>
    <w:rsid w:val="00D96D48"/>
    <w:rsid w:val="00D96D4E"/>
    <w:rsid w:val="00D974AE"/>
    <w:rsid w:val="00D97512"/>
    <w:rsid w:val="00D976A9"/>
    <w:rsid w:val="00D977E9"/>
    <w:rsid w:val="00D9781D"/>
    <w:rsid w:val="00DA0D58"/>
    <w:rsid w:val="00DA0D63"/>
    <w:rsid w:val="00DA0E98"/>
    <w:rsid w:val="00DA1308"/>
    <w:rsid w:val="00DA1367"/>
    <w:rsid w:val="00DA1744"/>
    <w:rsid w:val="00DA1EEE"/>
    <w:rsid w:val="00DA210D"/>
    <w:rsid w:val="00DA2530"/>
    <w:rsid w:val="00DA2676"/>
    <w:rsid w:val="00DA284C"/>
    <w:rsid w:val="00DA2896"/>
    <w:rsid w:val="00DA2A13"/>
    <w:rsid w:val="00DA2B94"/>
    <w:rsid w:val="00DA3549"/>
    <w:rsid w:val="00DA3AE5"/>
    <w:rsid w:val="00DA3C98"/>
    <w:rsid w:val="00DA442D"/>
    <w:rsid w:val="00DA45AB"/>
    <w:rsid w:val="00DA4622"/>
    <w:rsid w:val="00DA46A9"/>
    <w:rsid w:val="00DA4EF1"/>
    <w:rsid w:val="00DA58FD"/>
    <w:rsid w:val="00DA5925"/>
    <w:rsid w:val="00DA5A00"/>
    <w:rsid w:val="00DA5A11"/>
    <w:rsid w:val="00DA5FDF"/>
    <w:rsid w:val="00DA6305"/>
    <w:rsid w:val="00DA6751"/>
    <w:rsid w:val="00DA792F"/>
    <w:rsid w:val="00DA7AFF"/>
    <w:rsid w:val="00DA7F2D"/>
    <w:rsid w:val="00DB0004"/>
    <w:rsid w:val="00DB03EB"/>
    <w:rsid w:val="00DB07AD"/>
    <w:rsid w:val="00DB0E1D"/>
    <w:rsid w:val="00DB0E78"/>
    <w:rsid w:val="00DB1068"/>
    <w:rsid w:val="00DB1347"/>
    <w:rsid w:val="00DB14C2"/>
    <w:rsid w:val="00DB1E0C"/>
    <w:rsid w:val="00DB1FCA"/>
    <w:rsid w:val="00DB245E"/>
    <w:rsid w:val="00DB26D1"/>
    <w:rsid w:val="00DB2999"/>
    <w:rsid w:val="00DB2CE8"/>
    <w:rsid w:val="00DB2DD7"/>
    <w:rsid w:val="00DB2F1D"/>
    <w:rsid w:val="00DB34BC"/>
    <w:rsid w:val="00DB3604"/>
    <w:rsid w:val="00DB3960"/>
    <w:rsid w:val="00DB3F63"/>
    <w:rsid w:val="00DB4317"/>
    <w:rsid w:val="00DB45A8"/>
    <w:rsid w:val="00DB46FE"/>
    <w:rsid w:val="00DB475D"/>
    <w:rsid w:val="00DB4892"/>
    <w:rsid w:val="00DB51B8"/>
    <w:rsid w:val="00DB53DE"/>
    <w:rsid w:val="00DB5634"/>
    <w:rsid w:val="00DB5CC5"/>
    <w:rsid w:val="00DB5F28"/>
    <w:rsid w:val="00DB6289"/>
    <w:rsid w:val="00DB6A57"/>
    <w:rsid w:val="00DB7216"/>
    <w:rsid w:val="00DB75DE"/>
    <w:rsid w:val="00DB7915"/>
    <w:rsid w:val="00DB794D"/>
    <w:rsid w:val="00DB7F14"/>
    <w:rsid w:val="00DC00DD"/>
    <w:rsid w:val="00DC038D"/>
    <w:rsid w:val="00DC0432"/>
    <w:rsid w:val="00DC09B2"/>
    <w:rsid w:val="00DC0A31"/>
    <w:rsid w:val="00DC0D84"/>
    <w:rsid w:val="00DC0FB0"/>
    <w:rsid w:val="00DC1220"/>
    <w:rsid w:val="00DC12C0"/>
    <w:rsid w:val="00DC16EA"/>
    <w:rsid w:val="00DC1F4A"/>
    <w:rsid w:val="00DC2831"/>
    <w:rsid w:val="00DC3065"/>
    <w:rsid w:val="00DC35D2"/>
    <w:rsid w:val="00DC3648"/>
    <w:rsid w:val="00DC3794"/>
    <w:rsid w:val="00DC37CF"/>
    <w:rsid w:val="00DC3AD8"/>
    <w:rsid w:val="00DC3C03"/>
    <w:rsid w:val="00DC3CCB"/>
    <w:rsid w:val="00DC450A"/>
    <w:rsid w:val="00DC4789"/>
    <w:rsid w:val="00DC4A65"/>
    <w:rsid w:val="00DC4C92"/>
    <w:rsid w:val="00DC5082"/>
    <w:rsid w:val="00DC5128"/>
    <w:rsid w:val="00DC53B6"/>
    <w:rsid w:val="00DC5A0D"/>
    <w:rsid w:val="00DC5FCC"/>
    <w:rsid w:val="00DC5FFC"/>
    <w:rsid w:val="00DC6012"/>
    <w:rsid w:val="00DC61C0"/>
    <w:rsid w:val="00DC6B23"/>
    <w:rsid w:val="00DC716A"/>
    <w:rsid w:val="00DC75A4"/>
    <w:rsid w:val="00DC76C4"/>
    <w:rsid w:val="00DC7764"/>
    <w:rsid w:val="00DC7979"/>
    <w:rsid w:val="00DD0003"/>
    <w:rsid w:val="00DD06DA"/>
    <w:rsid w:val="00DD0761"/>
    <w:rsid w:val="00DD0838"/>
    <w:rsid w:val="00DD0880"/>
    <w:rsid w:val="00DD0914"/>
    <w:rsid w:val="00DD0D3A"/>
    <w:rsid w:val="00DD0ED2"/>
    <w:rsid w:val="00DD0F81"/>
    <w:rsid w:val="00DD0F8F"/>
    <w:rsid w:val="00DD10B4"/>
    <w:rsid w:val="00DD1285"/>
    <w:rsid w:val="00DD14BA"/>
    <w:rsid w:val="00DD1AE2"/>
    <w:rsid w:val="00DD1C77"/>
    <w:rsid w:val="00DD1C93"/>
    <w:rsid w:val="00DD1D99"/>
    <w:rsid w:val="00DD1E4E"/>
    <w:rsid w:val="00DD2BE9"/>
    <w:rsid w:val="00DD2D00"/>
    <w:rsid w:val="00DD3184"/>
    <w:rsid w:val="00DD3684"/>
    <w:rsid w:val="00DD434E"/>
    <w:rsid w:val="00DD4577"/>
    <w:rsid w:val="00DD4647"/>
    <w:rsid w:val="00DD4720"/>
    <w:rsid w:val="00DD4F1E"/>
    <w:rsid w:val="00DD594F"/>
    <w:rsid w:val="00DD5956"/>
    <w:rsid w:val="00DD5A04"/>
    <w:rsid w:val="00DD5CA0"/>
    <w:rsid w:val="00DD5DC7"/>
    <w:rsid w:val="00DD61E8"/>
    <w:rsid w:val="00DD62C1"/>
    <w:rsid w:val="00DD668C"/>
    <w:rsid w:val="00DD66E5"/>
    <w:rsid w:val="00DD6C30"/>
    <w:rsid w:val="00DD6E3D"/>
    <w:rsid w:val="00DD747B"/>
    <w:rsid w:val="00DD76B9"/>
    <w:rsid w:val="00DD7AFE"/>
    <w:rsid w:val="00DD7D46"/>
    <w:rsid w:val="00DE01BA"/>
    <w:rsid w:val="00DE02CB"/>
    <w:rsid w:val="00DE06D0"/>
    <w:rsid w:val="00DE0745"/>
    <w:rsid w:val="00DE0AAD"/>
    <w:rsid w:val="00DE0ABA"/>
    <w:rsid w:val="00DE0B29"/>
    <w:rsid w:val="00DE0F16"/>
    <w:rsid w:val="00DE1511"/>
    <w:rsid w:val="00DE1E77"/>
    <w:rsid w:val="00DE23E6"/>
    <w:rsid w:val="00DE2C70"/>
    <w:rsid w:val="00DE2D66"/>
    <w:rsid w:val="00DE2E22"/>
    <w:rsid w:val="00DE3139"/>
    <w:rsid w:val="00DE3A12"/>
    <w:rsid w:val="00DE3C0D"/>
    <w:rsid w:val="00DE3D7D"/>
    <w:rsid w:val="00DE4F37"/>
    <w:rsid w:val="00DE51B8"/>
    <w:rsid w:val="00DE53DA"/>
    <w:rsid w:val="00DE58C9"/>
    <w:rsid w:val="00DE60A6"/>
    <w:rsid w:val="00DE6977"/>
    <w:rsid w:val="00DE6A4D"/>
    <w:rsid w:val="00DE6F2B"/>
    <w:rsid w:val="00DE6FCB"/>
    <w:rsid w:val="00DE70F9"/>
    <w:rsid w:val="00DE714B"/>
    <w:rsid w:val="00DE71F5"/>
    <w:rsid w:val="00DE7284"/>
    <w:rsid w:val="00DE72CD"/>
    <w:rsid w:val="00DE7385"/>
    <w:rsid w:val="00DE7695"/>
    <w:rsid w:val="00DE76FA"/>
    <w:rsid w:val="00DE797D"/>
    <w:rsid w:val="00DE7D3F"/>
    <w:rsid w:val="00DE7E1A"/>
    <w:rsid w:val="00DF0095"/>
    <w:rsid w:val="00DF00D3"/>
    <w:rsid w:val="00DF025B"/>
    <w:rsid w:val="00DF0384"/>
    <w:rsid w:val="00DF09B7"/>
    <w:rsid w:val="00DF0A49"/>
    <w:rsid w:val="00DF13C3"/>
    <w:rsid w:val="00DF13DA"/>
    <w:rsid w:val="00DF13FF"/>
    <w:rsid w:val="00DF1504"/>
    <w:rsid w:val="00DF15AC"/>
    <w:rsid w:val="00DF1BDA"/>
    <w:rsid w:val="00DF1BFF"/>
    <w:rsid w:val="00DF20CC"/>
    <w:rsid w:val="00DF2351"/>
    <w:rsid w:val="00DF24E8"/>
    <w:rsid w:val="00DF2759"/>
    <w:rsid w:val="00DF2DF6"/>
    <w:rsid w:val="00DF2F00"/>
    <w:rsid w:val="00DF322D"/>
    <w:rsid w:val="00DF40E0"/>
    <w:rsid w:val="00DF470A"/>
    <w:rsid w:val="00DF4C7C"/>
    <w:rsid w:val="00DF4E10"/>
    <w:rsid w:val="00DF54E7"/>
    <w:rsid w:val="00DF57F3"/>
    <w:rsid w:val="00DF5F60"/>
    <w:rsid w:val="00DF6107"/>
    <w:rsid w:val="00DF651B"/>
    <w:rsid w:val="00DF6805"/>
    <w:rsid w:val="00DF6889"/>
    <w:rsid w:val="00DF6B2F"/>
    <w:rsid w:val="00DF71A3"/>
    <w:rsid w:val="00DF7201"/>
    <w:rsid w:val="00DF772C"/>
    <w:rsid w:val="00DF77EC"/>
    <w:rsid w:val="00E0014A"/>
    <w:rsid w:val="00E001D2"/>
    <w:rsid w:val="00E00633"/>
    <w:rsid w:val="00E00993"/>
    <w:rsid w:val="00E00A7C"/>
    <w:rsid w:val="00E00C9C"/>
    <w:rsid w:val="00E00DD1"/>
    <w:rsid w:val="00E010C0"/>
    <w:rsid w:val="00E0119E"/>
    <w:rsid w:val="00E0137F"/>
    <w:rsid w:val="00E0149A"/>
    <w:rsid w:val="00E0165B"/>
    <w:rsid w:val="00E01AB7"/>
    <w:rsid w:val="00E01FA3"/>
    <w:rsid w:val="00E02084"/>
    <w:rsid w:val="00E02418"/>
    <w:rsid w:val="00E03324"/>
    <w:rsid w:val="00E03BFE"/>
    <w:rsid w:val="00E03C67"/>
    <w:rsid w:val="00E03C8B"/>
    <w:rsid w:val="00E040E7"/>
    <w:rsid w:val="00E043DC"/>
    <w:rsid w:val="00E046C9"/>
    <w:rsid w:val="00E048CD"/>
    <w:rsid w:val="00E04982"/>
    <w:rsid w:val="00E04E73"/>
    <w:rsid w:val="00E04F62"/>
    <w:rsid w:val="00E0531F"/>
    <w:rsid w:val="00E055AB"/>
    <w:rsid w:val="00E05713"/>
    <w:rsid w:val="00E05AAF"/>
    <w:rsid w:val="00E05E6B"/>
    <w:rsid w:val="00E0649A"/>
    <w:rsid w:val="00E067A4"/>
    <w:rsid w:val="00E06A98"/>
    <w:rsid w:val="00E07F22"/>
    <w:rsid w:val="00E102BE"/>
    <w:rsid w:val="00E110B6"/>
    <w:rsid w:val="00E11C50"/>
    <w:rsid w:val="00E11DB4"/>
    <w:rsid w:val="00E11F33"/>
    <w:rsid w:val="00E124FD"/>
    <w:rsid w:val="00E12681"/>
    <w:rsid w:val="00E12736"/>
    <w:rsid w:val="00E1287F"/>
    <w:rsid w:val="00E12961"/>
    <w:rsid w:val="00E12B6A"/>
    <w:rsid w:val="00E12BF5"/>
    <w:rsid w:val="00E12BF8"/>
    <w:rsid w:val="00E12CA0"/>
    <w:rsid w:val="00E13540"/>
    <w:rsid w:val="00E138CB"/>
    <w:rsid w:val="00E1418E"/>
    <w:rsid w:val="00E143E5"/>
    <w:rsid w:val="00E14768"/>
    <w:rsid w:val="00E147B4"/>
    <w:rsid w:val="00E1485B"/>
    <w:rsid w:val="00E155DC"/>
    <w:rsid w:val="00E15D27"/>
    <w:rsid w:val="00E15D2E"/>
    <w:rsid w:val="00E15D72"/>
    <w:rsid w:val="00E168F4"/>
    <w:rsid w:val="00E1757B"/>
    <w:rsid w:val="00E17B77"/>
    <w:rsid w:val="00E2006A"/>
    <w:rsid w:val="00E20255"/>
    <w:rsid w:val="00E204ED"/>
    <w:rsid w:val="00E20526"/>
    <w:rsid w:val="00E20853"/>
    <w:rsid w:val="00E20963"/>
    <w:rsid w:val="00E209F6"/>
    <w:rsid w:val="00E2166B"/>
    <w:rsid w:val="00E218E7"/>
    <w:rsid w:val="00E21921"/>
    <w:rsid w:val="00E21E0F"/>
    <w:rsid w:val="00E21EB9"/>
    <w:rsid w:val="00E22121"/>
    <w:rsid w:val="00E225A4"/>
    <w:rsid w:val="00E22C25"/>
    <w:rsid w:val="00E22EEE"/>
    <w:rsid w:val="00E24113"/>
    <w:rsid w:val="00E24241"/>
    <w:rsid w:val="00E24757"/>
    <w:rsid w:val="00E24A4D"/>
    <w:rsid w:val="00E24F17"/>
    <w:rsid w:val="00E24F8C"/>
    <w:rsid w:val="00E25703"/>
    <w:rsid w:val="00E257A7"/>
    <w:rsid w:val="00E25827"/>
    <w:rsid w:val="00E2582E"/>
    <w:rsid w:val="00E263C1"/>
    <w:rsid w:val="00E26434"/>
    <w:rsid w:val="00E265D1"/>
    <w:rsid w:val="00E267F6"/>
    <w:rsid w:val="00E268F7"/>
    <w:rsid w:val="00E2698A"/>
    <w:rsid w:val="00E26C71"/>
    <w:rsid w:val="00E271D1"/>
    <w:rsid w:val="00E277F9"/>
    <w:rsid w:val="00E27822"/>
    <w:rsid w:val="00E308B6"/>
    <w:rsid w:val="00E30CE6"/>
    <w:rsid w:val="00E30CEC"/>
    <w:rsid w:val="00E30EA4"/>
    <w:rsid w:val="00E30F9A"/>
    <w:rsid w:val="00E3103E"/>
    <w:rsid w:val="00E31040"/>
    <w:rsid w:val="00E31112"/>
    <w:rsid w:val="00E3196F"/>
    <w:rsid w:val="00E31B04"/>
    <w:rsid w:val="00E31EF6"/>
    <w:rsid w:val="00E31F49"/>
    <w:rsid w:val="00E321F1"/>
    <w:rsid w:val="00E32559"/>
    <w:rsid w:val="00E3299C"/>
    <w:rsid w:val="00E329CC"/>
    <w:rsid w:val="00E32A29"/>
    <w:rsid w:val="00E32B4B"/>
    <w:rsid w:val="00E32C50"/>
    <w:rsid w:val="00E32E99"/>
    <w:rsid w:val="00E32F8F"/>
    <w:rsid w:val="00E33056"/>
    <w:rsid w:val="00E33361"/>
    <w:rsid w:val="00E33B9E"/>
    <w:rsid w:val="00E34137"/>
    <w:rsid w:val="00E34338"/>
    <w:rsid w:val="00E34559"/>
    <w:rsid w:val="00E3476D"/>
    <w:rsid w:val="00E34EEC"/>
    <w:rsid w:val="00E3552E"/>
    <w:rsid w:val="00E35AD1"/>
    <w:rsid w:val="00E35F42"/>
    <w:rsid w:val="00E363D1"/>
    <w:rsid w:val="00E3699B"/>
    <w:rsid w:val="00E36A1E"/>
    <w:rsid w:val="00E36B6F"/>
    <w:rsid w:val="00E36BB4"/>
    <w:rsid w:val="00E372C0"/>
    <w:rsid w:val="00E3771F"/>
    <w:rsid w:val="00E37E08"/>
    <w:rsid w:val="00E37F61"/>
    <w:rsid w:val="00E406F8"/>
    <w:rsid w:val="00E4085A"/>
    <w:rsid w:val="00E408D3"/>
    <w:rsid w:val="00E4111F"/>
    <w:rsid w:val="00E411B1"/>
    <w:rsid w:val="00E419B5"/>
    <w:rsid w:val="00E42565"/>
    <w:rsid w:val="00E4270C"/>
    <w:rsid w:val="00E42E1A"/>
    <w:rsid w:val="00E42E62"/>
    <w:rsid w:val="00E4354D"/>
    <w:rsid w:val="00E43615"/>
    <w:rsid w:val="00E437D7"/>
    <w:rsid w:val="00E43A71"/>
    <w:rsid w:val="00E43DD4"/>
    <w:rsid w:val="00E43EE1"/>
    <w:rsid w:val="00E44305"/>
    <w:rsid w:val="00E444F7"/>
    <w:rsid w:val="00E446A7"/>
    <w:rsid w:val="00E44F76"/>
    <w:rsid w:val="00E45002"/>
    <w:rsid w:val="00E450F1"/>
    <w:rsid w:val="00E451F4"/>
    <w:rsid w:val="00E455F8"/>
    <w:rsid w:val="00E45C8A"/>
    <w:rsid w:val="00E46187"/>
    <w:rsid w:val="00E46287"/>
    <w:rsid w:val="00E4678B"/>
    <w:rsid w:val="00E46A43"/>
    <w:rsid w:val="00E46AC7"/>
    <w:rsid w:val="00E46DD0"/>
    <w:rsid w:val="00E46ECB"/>
    <w:rsid w:val="00E47616"/>
    <w:rsid w:val="00E476C5"/>
    <w:rsid w:val="00E47936"/>
    <w:rsid w:val="00E47952"/>
    <w:rsid w:val="00E47B69"/>
    <w:rsid w:val="00E47DE5"/>
    <w:rsid w:val="00E47FE6"/>
    <w:rsid w:val="00E5003B"/>
    <w:rsid w:val="00E50C0D"/>
    <w:rsid w:val="00E51285"/>
    <w:rsid w:val="00E51710"/>
    <w:rsid w:val="00E517FE"/>
    <w:rsid w:val="00E518ED"/>
    <w:rsid w:val="00E51AC3"/>
    <w:rsid w:val="00E51FD6"/>
    <w:rsid w:val="00E52723"/>
    <w:rsid w:val="00E52D71"/>
    <w:rsid w:val="00E53E1C"/>
    <w:rsid w:val="00E54802"/>
    <w:rsid w:val="00E54B3E"/>
    <w:rsid w:val="00E54C67"/>
    <w:rsid w:val="00E54DD9"/>
    <w:rsid w:val="00E55467"/>
    <w:rsid w:val="00E55F06"/>
    <w:rsid w:val="00E5603E"/>
    <w:rsid w:val="00E560D7"/>
    <w:rsid w:val="00E56308"/>
    <w:rsid w:val="00E56748"/>
    <w:rsid w:val="00E56850"/>
    <w:rsid w:val="00E56E04"/>
    <w:rsid w:val="00E5744A"/>
    <w:rsid w:val="00E57B17"/>
    <w:rsid w:val="00E57BF7"/>
    <w:rsid w:val="00E60236"/>
    <w:rsid w:val="00E604D5"/>
    <w:rsid w:val="00E605FF"/>
    <w:rsid w:val="00E606B4"/>
    <w:rsid w:val="00E608C1"/>
    <w:rsid w:val="00E6132C"/>
    <w:rsid w:val="00E614D6"/>
    <w:rsid w:val="00E61678"/>
    <w:rsid w:val="00E61B2B"/>
    <w:rsid w:val="00E620D6"/>
    <w:rsid w:val="00E62172"/>
    <w:rsid w:val="00E6225E"/>
    <w:rsid w:val="00E622A0"/>
    <w:rsid w:val="00E628AB"/>
    <w:rsid w:val="00E62921"/>
    <w:rsid w:val="00E62D7D"/>
    <w:rsid w:val="00E62E7A"/>
    <w:rsid w:val="00E62F87"/>
    <w:rsid w:val="00E630FB"/>
    <w:rsid w:val="00E63499"/>
    <w:rsid w:val="00E634CE"/>
    <w:rsid w:val="00E63AD3"/>
    <w:rsid w:val="00E63FA9"/>
    <w:rsid w:val="00E64438"/>
    <w:rsid w:val="00E64662"/>
    <w:rsid w:val="00E64B38"/>
    <w:rsid w:val="00E64B58"/>
    <w:rsid w:val="00E64B9C"/>
    <w:rsid w:val="00E64FDC"/>
    <w:rsid w:val="00E65001"/>
    <w:rsid w:val="00E6516B"/>
    <w:rsid w:val="00E65472"/>
    <w:rsid w:val="00E655D2"/>
    <w:rsid w:val="00E65C0B"/>
    <w:rsid w:val="00E65EE5"/>
    <w:rsid w:val="00E65F3F"/>
    <w:rsid w:val="00E66891"/>
    <w:rsid w:val="00E672F9"/>
    <w:rsid w:val="00E6737E"/>
    <w:rsid w:val="00E67538"/>
    <w:rsid w:val="00E67C6D"/>
    <w:rsid w:val="00E70007"/>
    <w:rsid w:val="00E70085"/>
    <w:rsid w:val="00E70BE9"/>
    <w:rsid w:val="00E7116B"/>
    <w:rsid w:val="00E712BC"/>
    <w:rsid w:val="00E714BC"/>
    <w:rsid w:val="00E7179E"/>
    <w:rsid w:val="00E721B1"/>
    <w:rsid w:val="00E7230D"/>
    <w:rsid w:val="00E723A1"/>
    <w:rsid w:val="00E72444"/>
    <w:rsid w:val="00E724AD"/>
    <w:rsid w:val="00E724B9"/>
    <w:rsid w:val="00E725EE"/>
    <w:rsid w:val="00E727A2"/>
    <w:rsid w:val="00E7297A"/>
    <w:rsid w:val="00E72FE9"/>
    <w:rsid w:val="00E7311D"/>
    <w:rsid w:val="00E732D1"/>
    <w:rsid w:val="00E7330A"/>
    <w:rsid w:val="00E73463"/>
    <w:rsid w:val="00E73882"/>
    <w:rsid w:val="00E73C73"/>
    <w:rsid w:val="00E74221"/>
    <w:rsid w:val="00E74670"/>
    <w:rsid w:val="00E7483D"/>
    <w:rsid w:val="00E749D4"/>
    <w:rsid w:val="00E74ACF"/>
    <w:rsid w:val="00E74F05"/>
    <w:rsid w:val="00E759F4"/>
    <w:rsid w:val="00E75B44"/>
    <w:rsid w:val="00E75CBE"/>
    <w:rsid w:val="00E765B0"/>
    <w:rsid w:val="00E76604"/>
    <w:rsid w:val="00E76ABB"/>
    <w:rsid w:val="00E76CBC"/>
    <w:rsid w:val="00E77869"/>
    <w:rsid w:val="00E7795B"/>
    <w:rsid w:val="00E77F9A"/>
    <w:rsid w:val="00E8018B"/>
    <w:rsid w:val="00E801C5"/>
    <w:rsid w:val="00E8030E"/>
    <w:rsid w:val="00E80E8F"/>
    <w:rsid w:val="00E80FD7"/>
    <w:rsid w:val="00E811F3"/>
    <w:rsid w:val="00E81263"/>
    <w:rsid w:val="00E81501"/>
    <w:rsid w:val="00E8169A"/>
    <w:rsid w:val="00E8177B"/>
    <w:rsid w:val="00E82160"/>
    <w:rsid w:val="00E829A0"/>
    <w:rsid w:val="00E82B30"/>
    <w:rsid w:val="00E82F56"/>
    <w:rsid w:val="00E830BF"/>
    <w:rsid w:val="00E8356D"/>
    <w:rsid w:val="00E83602"/>
    <w:rsid w:val="00E839DF"/>
    <w:rsid w:val="00E83A7E"/>
    <w:rsid w:val="00E83C48"/>
    <w:rsid w:val="00E83FE9"/>
    <w:rsid w:val="00E842CE"/>
    <w:rsid w:val="00E843A8"/>
    <w:rsid w:val="00E8442B"/>
    <w:rsid w:val="00E84438"/>
    <w:rsid w:val="00E849FD"/>
    <w:rsid w:val="00E851FA"/>
    <w:rsid w:val="00E85219"/>
    <w:rsid w:val="00E8546A"/>
    <w:rsid w:val="00E8546F"/>
    <w:rsid w:val="00E854EB"/>
    <w:rsid w:val="00E854EF"/>
    <w:rsid w:val="00E8583E"/>
    <w:rsid w:val="00E859D6"/>
    <w:rsid w:val="00E85E89"/>
    <w:rsid w:val="00E860A7"/>
    <w:rsid w:val="00E8651D"/>
    <w:rsid w:val="00E86D41"/>
    <w:rsid w:val="00E871A4"/>
    <w:rsid w:val="00E871F8"/>
    <w:rsid w:val="00E872DB"/>
    <w:rsid w:val="00E8747D"/>
    <w:rsid w:val="00E874CC"/>
    <w:rsid w:val="00E87A0A"/>
    <w:rsid w:val="00E87D1B"/>
    <w:rsid w:val="00E87F7B"/>
    <w:rsid w:val="00E90243"/>
    <w:rsid w:val="00E90AFD"/>
    <w:rsid w:val="00E90C9E"/>
    <w:rsid w:val="00E90D73"/>
    <w:rsid w:val="00E90D8F"/>
    <w:rsid w:val="00E90FA0"/>
    <w:rsid w:val="00E913EB"/>
    <w:rsid w:val="00E91436"/>
    <w:rsid w:val="00E91591"/>
    <w:rsid w:val="00E9198A"/>
    <w:rsid w:val="00E91EF6"/>
    <w:rsid w:val="00E9261C"/>
    <w:rsid w:val="00E92737"/>
    <w:rsid w:val="00E92754"/>
    <w:rsid w:val="00E92A47"/>
    <w:rsid w:val="00E92B43"/>
    <w:rsid w:val="00E92B87"/>
    <w:rsid w:val="00E92C1F"/>
    <w:rsid w:val="00E92E2D"/>
    <w:rsid w:val="00E9308F"/>
    <w:rsid w:val="00E938E5"/>
    <w:rsid w:val="00E93DD3"/>
    <w:rsid w:val="00E94BE4"/>
    <w:rsid w:val="00E955A4"/>
    <w:rsid w:val="00E956BC"/>
    <w:rsid w:val="00E958D6"/>
    <w:rsid w:val="00E95A04"/>
    <w:rsid w:val="00E95D2B"/>
    <w:rsid w:val="00E96502"/>
    <w:rsid w:val="00E96C28"/>
    <w:rsid w:val="00E96C90"/>
    <w:rsid w:val="00E97E08"/>
    <w:rsid w:val="00EA0135"/>
    <w:rsid w:val="00EA02A2"/>
    <w:rsid w:val="00EA05C8"/>
    <w:rsid w:val="00EA061D"/>
    <w:rsid w:val="00EA0795"/>
    <w:rsid w:val="00EA0C4B"/>
    <w:rsid w:val="00EA0E2A"/>
    <w:rsid w:val="00EA0E73"/>
    <w:rsid w:val="00EA11D2"/>
    <w:rsid w:val="00EA1ACC"/>
    <w:rsid w:val="00EA1D1B"/>
    <w:rsid w:val="00EA1F74"/>
    <w:rsid w:val="00EA2047"/>
    <w:rsid w:val="00EA2346"/>
    <w:rsid w:val="00EA241D"/>
    <w:rsid w:val="00EA2460"/>
    <w:rsid w:val="00EA261B"/>
    <w:rsid w:val="00EA2622"/>
    <w:rsid w:val="00EA2641"/>
    <w:rsid w:val="00EA2984"/>
    <w:rsid w:val="00EA29C2"/>
    <w:rsid w:val="00EA2CCC"/>
    <w:rsid w:val="00EA2D23"/>
    <w:rsid w:val="00EA2F16"/>
    <w:rsid w:val="00EA3394"/>
    <w:rsid w:val="00EA345C"/>
    <w:rsid w:val="00EA358F"/>
    <w:rsid w:val="00EA3FBF"/>
    <w:rsid w:val="00EA41D6"/>
    <w:rsid w:val="00EA4527"/>
    <w:rsid w:val="00EA45A6"/>
    <w:rsid w:val="00EA48EE"/>
    <w:rsid w:val="00EA4A39"/>
    <w:rsid w:val="00EA50F2"/>
    <w:rsid w:val="00EA5410"/>
    <w:rsid w:val="00EA5428"/>
    <w:rsid w:val="00EA5890"/>
    <w:rsid w:val="00EA599D"/>
    <w:rsid w:val="00EA5AFB"/>
    <w:rsid w:val="00EA5B0B"/>
    <w:rsid w:val="00EA5B71"/>
    <w:rsid w:val="00EA5CD9"/>
    <w:rsid w:val="00EA5FBE"/>
    <w:rsid w:val="00EA616E"/>
    <w:rsid w:val="00EA65D8"/>
    <w:rsid w:val="00EA6881"/>
    <w:rsid w:val="00EA757E"/>
    <w:rsid w:val="00EB019B"/>
    <w:rsid w:val="00EB0418"/>
    <w:rsid w:val="00EB077F"/>
    <w:rsid w:val="00EB0E7C"/>
    <w:rsid w:val="00EB0F76"/>
    <w:rsid w:val="00EB107B"/>
    <w:rsid w:val="00EB10B4"/>
    <w:rsid w:val="00EB1159"/>
    <w:rsid w:val="00EB11AD"/>
    <w:rsid w:val="00EB17C1"/>
    <w:rsid w:val="00EB1BC9"/>
    <w:rsid w:val="00EB1F2E"/>
    <w:rsid w:val="00EB215A"/>
    <w:rsid w:val="00EB23BE"/>
    <w:rsid w:val="00EB2AD5"/>
    <w:rsid w:val="00EB2E56"/>
    <w:rsid w:val="00EB313D"/>
    <w:rsid w:val="00EB357F"/>
    <w:rsid w:val="00EB35E8"/>
    <w:rsid w:val="00EB3814"/>
    <w:rsid w:val="00EB3C7F"/>
    <w:rsid w:val="00EB43E9"/>
    <w:rsid w:val="00EB4695"/>
    <w:rsid w:val="00EB47E7"/>
    <w:rsid w:val="00EB48A8"/>
    <w:rsid w:val="00EB4D02"/>
    <w:rsid w:val="00EB5268"/>
    <w:rsid w:val="00EB54F2"/>
    <w:rsid w:val="00EB595D"/>
    <w:rsid w:val="00EB6295"/>
    <w:rsid w:val="00EB693B"/>
    <w:rsid w:val="00EB6CA3"/>
    <w:rsid w:val="00EB6CD4"/>
    <w:rsid w:val="00EB6DC9"/>
    <w:rsid w:val="00EB70D9"/>
    <w:rsid w:val="00EB719E"/>
    <w:rsid w:val="00EB7474"/>
    <w:rsid w:val="00EB74A8"/>
    <w:rsid w:val="00EB7AAA"/>
    <w:rsid w:val="00EB7E16"/>
    <w:rsid w:val="00EC0222"/>
    <w:rsid w:val="00EC0E19"/>
    <w:rsid w:val="00EC0EEB"/>
    <w:rsid w:val="00EC114D"/>
    <w:rsid w:val="00EC1394"/>
    <w:rsid w:val="00EC13F1"/>
    <w:rsid w:val="00EC167D"/>
    <w:rsid w:val="00EC17EC"/>
    <w:rsid w:val="00EC214D"/>
    <w:rsid w:val="00EC2174"/>
    <w:rsid w:val="00EC2485"/>
    <w:rsid w:val="00EC2B01"/>
    <w:rsid w:val="00EC2C90"/>
    <w:rsid w:val="00EC2E73"/>
    <w:rsid w:val="00EC30CA"/>
    <w:rsid w:val="00EC30FA"/>
    <w:rsid w:val="00EC341C"/>
    <w:rsid w:val="00EC43E1"/>
    <w:rsid w:val="00EC43FC"/>
    <w:rsid w:val="00EC4452"/>
    <w:rsid w:val="00EC4461"/>
    <w:rsid w:val="00EC4976"/>
    <w:rsid w:val="00EC5819"/>
    <w:rsid w:val="00EC5863"/>
    <w:rsid w:val="00EC5B56"/>
    <w:rsid w:val="00EC5BAC"/>
    <w:rsid w:val="00EC5D5F"/>
    <w:rsid w:val="00EC6244"/>
    <w:rsid w:val="00EC68F4"/>
    <w:rsid w:val="00EC6A0B"/>
    <w:rsid w:val="00EC6BDB"/>
    <w:rsid w:val="00EC6DBA"/>
    <w:rsid w:val="00EC6EFF"/>
    <w:rsid w:val="00EC72E9"/>
    <w:rsid w:val="00EC746A"/>
    <w:rsid w:val="00EC7A61"/>
    <w:rsid w:val="00EC7EF9"/>
    <w:rsid w:val="00ED0364"/>
    <w:rsid w:val="00ED0490"/>
    <w:rsid w:val="00ED04D2"/>
    <w:rsid w:val="00ED07F0"/>
    <w:rsid w:val="00ED113D"/>
    <w:rsid w:val="00ED1831"/>
    <w:rsid w:val="00ED1D85"/>
    <w:rsid w:val="00ED232D"/>
    <w:rsid w:val="00ED2427"/>
    <w:rsid w:val="00ED2767"/>
    <w:rsid w:val="00ED2C35"/>
    <w:rsid w:val="00ED2C4F"/>
    <w:rsid w:val="00ED305A"/>
    <w:rsid w:val="00ED310D"/>
    <w:rsid w:val="00ED327C"/>
    <w:rsid w:val="00ED374B"/>
    <w:rsid w:val="00ED37C0"/>
    <w:rsid w:val="00ED3811"/>
    <w:rsid w:val="00ED3845"/>
    <w:rsid w:val="00ED38A4"/>
    <w:rsid w:val="00ED38EE"/>
    <w:rsid w:val="00ED477E"/>
    <w:rsid w:val="00ED48AF"/>
    <w:rsid w:val="00ED4A3F"/>
    <w:rsid w:val="00ED4BCF"/>
    <w:rsid w:val="00ED4EFB"/>
    <w:rsid w:val="00ED5334"/>
    <w:rsid w:val="00ED570F"/>
    <w:rsid w:val="00ED5812"/>
    <w:rsid w:val="00ED5D29"/>
    <w:rsid w:val="00ED622C"/>
    <w:rsid w:val="00ED62EE"/>
    <w:rsid w:val="00ED660F"/>
    <w:rsid w:val="00ED6610"/>
    <w:rsid w:val="00ED683D"/>
    <w:rsid w:val="00ED73FA"/>
    <w:rsid w:val="00ED76C1"/>
    <w:rsid w:val="00ED77B3"/>
    <w:rsid w:val="00ED7A2F"/>
    <w:rsid w:val="00ED7B38"/>
    <w:rsid w:val="00ED7D10"/>
    <w:rsid w:val="00ED7EC8"/>
    <w:rsid w:val="00EE0033"/>
    <w:rsid w:val="00EE007E"/>
    <w:rsid w:val="00EE02E3"/>
    <w:rsid w:val="00EE08C8"/>
    <w:rsid w:val="00EE08F2"/>
    <w:rsid w:val="00EE0BE9"/>
    <w:rsid w:val="00EE14B4"/>
    <w:rsid w:val="00EE1594"/>
    <w:rsid w:val="00EE168C"/>
    <w:rsid w:val="00EE16EF"/>
    <w:rsid w:val="00EE1AE0"/>
    <w:rsid w:val="00EE1D1B"/>
    <w:rsid w:val="00EE1E99"/>
    <w:rsid w:val="00EE273D"/>
    <w:rsid w:val="00EE294F"/>
    <w:rsid w:val="00EE29A7"/>
    <w:rsid w:val="00EE2B86"/>
    <w:rsid w:val="00EE2E1A"/>
    <w:rsid w:val="00EE311D"/>
    <w:rsid w:val="00EE320F"/>
    <w:rsid w:val="00EE3BEC"/>
    <w:rsid w:val="00EE3CFF"/>
    <w:rsid w:val="00EE412D"/>
    <w:rsid w:val="00EE447B"/>
    <w:rsid w:val="00EE471B"/>
    <w:rsid w:val="00EE4CFA"/>
    <w:rsid w:val="00EE5604"/>
    <w:rsid w:val="00EE5AAB"/>
    <w:rsid w:val="00EE6F51"/>
    <w:rsid w:val="00EE7274"/>
    <w:rsid w:val="00EE74F1"/>
    <w:rsid w:val="00EE761F"/>
    <w:rsid w:val="00EE7A37"/>
    <w:rsid w:val="00EE7A57"/>
    <w:rsid w:val="00EE7A6A"/>
    <w:rsid w:val="00EE7D4A"/>
    <w:rsid w:val="00EF00E8"/>
    <w:rsid w:val="00EF00FE"/>
    <w:rsid w:val="00EF0162"/>
    <w:rsid w:val="00EF064C"/>
    <w:rsid w:val="00EF1323"/>
    <w:rsid w:val="00EF1703"/>
    <w:rsid w:val="00EF20AE"/>
    <w:rsid w:val="00EF2136"/>
    <w:rsid w:val="00EF2855"/>
    <w:rsid w:val="00EF2999"/>
    <w:rsid w:val="00EF2BE6"/>
    <w:rsid w:val="00EF2E62"/>
    <w:rsid w:val="00EF36DB"/>
    <w:rsid w:val="00EF37C9"/>
    <w:rsid w:val="00EF38D5"/>
    <w:rsid w:val="00EF3B18"/>
    <w:rsid w:val="00EF3BB9"/>
    <w:rsid w:val="00EF3DCE"/>
    <w:rsid w:val="00EF3E68"/>
    <w:rsid w:val="00EF4121"/>
    <w:rsid w:val="00EF41D4"/>
    <w:rsid w:val="00EF42A2"/>
    <w:rsid w:val="00EF4336"/>
    <w:rsid w:val="00EF49A2"/>
    <w:rsid w:val="00EF4AFF"/>
    <w:rsid w:val="00EF4DF0"/>
    <w:rsid w:val="00EF512C"/>
    <w:rsid w:val="00EF53C7"/>
    <w:rsid w:val="00EF5650"/>
    <w:rsid w:val="00EF5654"/>
    <w:rsid w:val="00EF5AF1"/>
    <w:rsid w:val="00EF5EC8"/>
    <w:rsid w:val="00EF62F0"/>
    <w:rsid w:val="00EF64AB"/>
    <w:rsid w:val="00EF65D1"/>
    <w:rsid w:val="00EF666E"/>
    <w:rsid w:val="00EF683F"/>
    <w:rsid w:val="00EF690D"/>
    <w:rsid w:val="00EF69EF"/>
    <w:rsid w:val="00EF706B"/>
    <w:rsid w:val="00EF73DC"/>
    <w:rsid w:val="00EF75B3"/>
    <w:rsid w:val="00EF763A"/>
    <w:rsid w:val="00EF7C65"/>
    <w:rsid w:val="00EF7D05"/>
    <w:rsid w:val="00F00188"/>
    <w:rsid w:val="00F001F9"/>
    <w:rsid w:val="00F00540"/>
    <w:rsid w:val="00F00F15"/>
    <w:rsid w:val="00F01036"/>
    <w:rsid w:val="00F011D1"/>
    <w:rsid w:val="00F013B2"/>
    <w:rsid w:val="00F013FF"/>
    <w:rsid w:val="00F01AC1"/>
    <w:rsid w:val="00F01B40"/>
    <w:rsid w:val="00F02235"/>
    <w:rsid w:val="00F02284"/>
    <w:rsid w:val="00F0251C"/>
    <w:rsid w:val="00F02D9E"/>
    <w:rsid w:val="00F02E10"/>
    <w:rsid w:val="00F031F1"/>
    <w:rsid w:val="00F0332B"/>
    <w:rsid w:val="00F039DE"/>
    <w:rsid w:val="00F03B46"/>
    <w:rsid w:val="00F03B6E"/>
    <w:rsid w:val="00F03E80"/>
    <w:rsid w:val="00F0434C"/>
    <w:rsid w:val="00F0439D"/>
    <w:rsid w:val="00F043A5"/>
    <w:rsid w:val="00F045C1"/>
    <w:rsid w:val="00F04B81"/>
    <w:rsid w:val="00F051AE"/>
    <w:rsid w:val="00F054F3"/>
    <w:rsid w:val="00F05543"/>
    <w:rsid w:val="00F056DD"/>
    <w:rsid w:val="00F058A2"/>
    <w:rsid w:val="00F058C7"/>
    <w:rsid w:val="00F0594B"/>
    <w:rsid w:val="00F05B99"/>
    <w:rsid w:val="00F05EAF"/>
    <w:rsid w:val="00F062C2"/>
    <w:rsid w:val="00F066AB"/>
    <w:rsid w:val="00F06944"/>
    <w:rsid w:val="00F077B0"/>
    <w:rsid w:val="00F07A76"/>
    <w:rsid w:val="00F10004"/>
    <w:rsid w:val="00F10343"/>
    <w:rsid w:val="00F1049D"/>
    <w:rsid w:val="00F10615"/>
    <w:rsid w:val="00F1069E"/>
    <w:rsid w:val="00F110A3"/>
    <w:rsid w:val="00F11327"/>
    <w:rsid w:val="00F11350"/>
    <w:rsid w:val="00F113AC"/>
    <w:rsid w:val="00F11700"/>
    <w:rsid w:val="00F11C7C"/>
    <w:rsid w:val="00F11CC6"/>
    <w:rsid w:val="00F11E08"/>
    <w:rsid w:val="00F11E89"/>
    <w:rsid w:val="00F121B1"/>
    <w:rsid w:val="00F122A6"/>
    <w:rsid w:val="00F12611"/>
    <w:rsid w:val="00F12735"/>
    <w:rsid w:val="00F127C6"/>
    <w:rsid w:val="00F13200"/>
    <w:rsid w:val="00F13655"/>
    <w:rsid w:val="00F13AB0"/>
    <w:rsid w:val="00F13B50"/>
    <w:rsid w:val="00F13D21"/>
    <w:rsid w:val="00F14123"/>
    <w:rsid w:val="00F14814"/>
    <w:rsid w:val="00F14982"/>
    <w:rsid w:val="00F15042"/>
    <w:rsid w:val="00F150DB"/>
    <w:rsid w:val="00F15749"/>
    <w:rsid w:val="00F16372"/>
    <w:rsid w:val="00F164B4"/>
    <w:rsid w:val="00F1653C"/>
    <w:rsid w:val="00F16CEC"/>
    <w:rsid w:val="00F16F7F"/>
    <w:rsid w:val="00F16FD8"/>
    <w:rsid w:val="00F17055"/>
    <w:rsid w:val="00F1707E"/>
    <w:rsid w:val="00F173E3"/>
    <w:rsid w:val="00F17645"/>
    <w:rsid w:val="00F1799F"/>
    <w:rsid w:val="00F17A82"/>
    <w:rsid w:val="00F17A8D"/>
    <w:rsid w:val="00F17C7F"/>
    <w:rsid w:val="00F201A9"/>
    <w:rsid w:val="00F2069E"/>
    <w:rsid w:val="00F20A06"/>
    <w:rsid w:val="00F20D7B"/>
    <w:rsid w:val="00F20F38"/>
    <w:rsid w:val="00F20F9A"/>
    <w:rsid w:val="00F21495"/>
    <w:rsid w:val="00F214E8"/>
    <w:rsid w:val="00F217C5"/>
    <w:rsid w:val="00F218E8"/>
    <w:rsid w:val="00F21A3B"/>
    <w:rsid w:val="00F21B71"/>
    <w:rsid w:val="00F21EF2"/>
    <w:rsid w:val="00F22B53"/>
    <w:rsid w:val="00F2310A"/>
    <w:rsid w:val="00F232B0"/>
    <w:rsid w:val="00F2331C"/>
    <w:rsid w:val="00F237E4"/>
    <w:rsid w:val="00F23809"/>
    <w:rsid w:val="00F23912"/>
    <w:rsid w:val="00F2391D"/>
    <w:rsid w:val="00F23A0D"/>
    <w:rsid w:val="00F24461"/>
    <w:rsid w:val="00F244A4"/>
    <w:rsid w:val="00F24520"/>
    <w:rsid w:val="00F246B6"/>
    <w:rsid w:val="00F249A4"/>
    <w:rsid w:val="00F24A30"/>
    <w:rsid w:val="00F25406"/>
    <w:rsid w:val="00F2552C"/>
    <w:rsid w:val="00F25B1B"/>
    <w:rsid w:val="00F25B3C"/>
    <w:rsid w:val="00F26401"/>
    <w:rsid w:val="00F2652F"/>
    <w:rsid w:val="00F2655B"/>
    <w:rsid w:val="00F26AC0"/>
    <w:rsid w:val="00F26D14"/>
    <w:rsid w:val="00F26FB5"/>
    <w:rsid w:val="00F2710E"/>
    <w:rsid w:val="00F27139"/>
    <w:rsid w:val="00F2737A"/>
    <w:rsid w:val="00F27539"/>
    <w:rsid w:val="00F27B93"/>
    <w:rsid w:val="00F300F7"/>
    <w:rsid w:val="00F30553"/>
    <w:rsid w:val="00F307FF"/>
    <w:rsid w:val="00F30939"/>
    <w:rsid w:val="00F309C9"/>
    <w:rsid w:val="00F30A36"/>
    <w:rsid w:val="00F30AD0"/>
    <w:rsid w:val="00F30DE3"/>
    <w:rsid w:val="00F30F5F"/>
    <w:rsid w:val="00F30F8C"/>
    <w:rsid w:val="00F312EA"/>
    <w:rsid w:val="00F31557"/>
    <w:rsid w:val="00F3177E"/>
    <w:rsid w:val="00F3189C"/>
    <w:rsid w:val="00F318C3"/>
    <w:rsid w:val="00F31BD2"/>
    <w:rsid w:val="00F327CF"/>
    <w:rsid w:val="00F329DD"/>
    <w:rsid w:val="00F32DE2"/>
    <w:rsid w:val="00F32E11"/>
    <w:rsid w:val="00F332D5"/>
    <w:rsid w:val="00F334FE"/>
    <w:rsid w:val="00F33531"/>
    <w:rsid w:val="00F33CAF"/>
    <w:rsid w:val="00F340E2"/>
    <w:rsid w:val="00F34869"/>
    <w:rsid w:val="00F34EA6"/>
    <w:rsid w:val="00F352D1"/>
    <w:rsid w:val="00F355E8"/>
    <w:rsid w:val="00F3564C"/>
    <w:rsid w:val="00F35878"/>
    <w:rsid w:val="00F35879"/>
    <w:rsid w:val="00F358D6"/>
    <w:rsid w:val="00F35BA3"/>
    <w:rsid w:val="00F35D37"/>
    <w:rsid w:val="00F36204"/>
    <w:rsid w:val="00F3639F"/>
    <w:rsid w:val="00F36A73"/>
    <w:rsid w:val="00F36C0C"/>
    <w:rsid w:val="00F36D54"/>
    <w:rsid w:val="00F36EA2"/>
    <w:rsid w:val="00F36FFD"/>
    <w:rsid w:val="00F37002"/>
    <w:rsid w:val="00F371B0"/>
    <w:rsid w:val="00F37308"/>
    <w:rsid w:val="00F37CE9"/>
    <w:rsid w:val="00F40B53"/>
    <w:rsid w:val="00F40BCC"/>
    <w:rsid w:val="00F40C45"/>
    <w:rsid w:val="00F4120F"/>
    <w:rsid w:val="00F4139C"/>
    <w:rsid w:val="00F41DF7"/>
    <w:rsid w:val="00F4259B"/>
    <w:rsid w:val="00F42716"/>
    <w:rsid w:val="00F4282F"/>
    <w:rsid w:val="00F428A6"/>
    <w:rsid w:val="00F42E06"/>
    <w:rsid w:val="00F42E62"/>
    <w:rsid w:val="00F4304F"/>
    <w:rsid w:val="00F430AE"/>
    <w:rsid w:val="00F430F2"/>
    <w:rsid w:val="00F4315E"/>
    <w:rsid w:val="00F431B8"/>
    <w:rsid w:val="00F43410"/>
    <w:rsid w:val="00F43CAC"/>
    <w:rsid w:val="00F43D41"/>
    <w:rsid w:val="00F44234"/>
    <w:rsid w:val="00F4453D"/>
    <w:rsid w:val="00F44CCB"/>
    <w:rsid w:val="00F44E08"/>
    <w:rsid w:val="00F45177"/>
    <w:rsid w:val="00F45202"/>
    <w:rsid w:val="00F45442"/>
    <w:rsid w:val="00F459E0"/>
    <w:rsid w:val="00F459F0"/>
    <w:rsid w:val="00F45AA8"/>
    <w:rsid w:val="00F45C57"/>
    <w:rsid w:val="00F45C7C"/>
    <w:rsid w:val="00F461A5"/>
    <w:rsid w:val="00F463CE"/>
    <w:rsid w:val="00F472BD"/>
    <w:rsid w:val="00F4758F"/>
    <w:rsid w:val="00F477B7"/>
    <w:rsid w:val="00F501B9"/>
    <w:rsid w:val="00F502B6"/>
    <w:rsid w:val="00F508BD"/>
    <w:rsid w:val="00F50C23"/>
    <w:rsid w:val="00F50C7D"/>
    <w:rsid w:val="00F50F37"/>
    <w:rsid w:val="00F5177A"/>
    <w:rsid w:val="00F52150"/>
    <w:rsid w:val="00F523BA"/>
    <w:rsid w:val="00F52BEC"/>
    <w:rsid w:val="00F52FBF"/>
    <w:rsid w:val="00F5383A"/>
    <w:rsid w:val="00F5394D"/>
    <w:rsid w:val="00F53957"/>
    <w:rsid w:val="00F53AA9"/>
    <w:rsid w:val="00F53C16"/>
    <w:rsid w:val="00F5413C"/>
    <w:rsid w:val="00F546F8"/>
    <w:rsid w:val="00F5475C"/>
    <w:rsid w:val="00F55279"/>
    <w:rsid w:val="00F553EC"/>
    <w:rsid w:val="00F5565A"/>
    <w:rsid w:val="00F558F1"/>
    <w:rsid w:val="00F55FA4"/>
    <w:rsid w:val="00F56037"/>
    <w:rsid w:val="00F56481"/>
    <w:rsid w:val="00F5676D"/>
    <w:rsid w:val="00F567B8"/>
    <w:rsid w:val="00F56EBF"/>
    <w:rsid w:val="00F56FAC"/>
    <w:rsid w:val="00F57082"/>
    <w:rsid w:val="00F57292"/>
    <w:rsid w:val="00F57304"/>
    <w:rsid w:val="00F5740B"/>
    <w:rsid w:val="00F57D03"/>
    <w:rsid w:val="00F6029A"/>
    <w:rsid w:val="00F609CB"/>
    <w:rsid w:val="00F60A6B"/>
    <w:rsid w:val="00F60D85"/>
    <w:rsid w:val="00F61231"/>
    <w:rsid w:val="00F61E2B"/>
    <w:rsid w:val="00F620FC"/>
    <w:rsid w:val="00F621EC"/>
    <w:rsid w:val="00F626AB"/>
    <w:rsid w:val="00F62FA2"/>
    <w:rsid w:val="00F630A3"/>
    <w:rsid w:val="00F636F5"/>
    <w:rsid w:val="00F63DDB"/>
    <w:rsid w:val="00F64272"/>
    <w:rsid w:val="00F64E7A"/>
    <w:rsid w:val="00F65139"/>
    <w:rsid w:val="00F6535A"/>
    <w:rsid w:val="00F6545E"/>
    <w:rsid w:val="00F65547"/>
    <w:rsid w:val="00F65596"/>
    <w:rsid w:val="00F65677"/>
    <w:rsid w:val="00F66AAB"/>
    <w:rsid w:val="00F66CAF"/>
    <w:rsid w:val="00F66DDC"/>
    <w:rsid w:val="00F66E74"/>
    <w:rsid w:val="00F672FE"/>
    <w:rsid w:val="00F67B7C"/>
    <w:rsid w:val="00F67B93"/>
    <w:rsid w:val="00F67C55"/>
    <w:rsid w:val="00F701F1"/>
    <w:rsid w:val="00F702E8"/>
    <w:rsid w:val="00F705FD"/>
    <w:rsid w:val="00F70C8C"/>
    <w:rsid w:val="00F70DA6"/>
    <w:rsid w:val="00F70F3E"/>
    <w:rsid w:val="00F714AD"/>
    <w:rsid w:val="00F715F1"/>
    <w:rsid w:val="00F7172C"/>
    <w:rsid w:val="00F71865"/>
    <w:rsid w:val="00F71CDB"/>
    <w:rsid w:val="00F71D13"/>
    <w:rsid w:val="00F729D2"/>
    <w:rsid w:val="00F72FCD"/>
    <w:rsid w:val="00F734D5"/>
    <w:rsid w:val="00F74053"/>
    <w:rsid w:val="00F7422B"/>
    <w:rsid w:val="00F7501D"/>
    <w:rsid w:val="00F75082"/>
    <w:rsid w:val="00F75319"/>
    <w:rsid w:val="00F76235"/>
    <w:rsid w:val="00F76C16"/>
    <w:rsid w:val="00F76FAE"/>
    <w:rsid w:val="00F773BC"/>
    <w:rsid w:val="00F77526"/>
    <w:rsid w:val="00F77E42"/>
    <w:rsid w:val="00F803C7"/>
    <w:rsid w:val="00F80AD2"/>
    <w:rsid w:val="00F80D98"/>
    <w:rsid w:val="00F80F1C"/>
    <w:rsid w:val="00F81640"/>
    <w:rsid w:val="00F81926"/>
    <w:rsid w:val="00F81AEE"/>
    <w:rsid w:val="00F81DDA"/>
    <w:rsid w:val="00F81FFC"/>
    <w:rsid w:val="00F8211C"/>
    <w:rsid w:val="00F8243B"/>
    <w:rsid w:val="00F8245A"/>
    <w:rsid w:val="00F824C5"/>
    <w:rsid w:val="00F8258D"/>
    <w:rsid w:val="00F826C6"/>
    <w:rsid w:val="00F82EE9"/>
    <w:rsid w:val="00F83147"/>
    <w:rsid w:val="00F831EF"/>
    <w:rsid w:val="00F832F9"/>
    <w:rsid w:val="00F8340E"/>
    <w:rsid w:val="00F83BF3"/>
    <w:rsid w:val="00F83EA4"/>
    <w:rsid w:val="00F84064"/>
    <w:rsid w:val="00F84287"/>
    <w:rsid w:val="00F843C5"/>
    <w:rsid w:val="00F845B2"/>
    <w:rsid w:val="00F845ED"/>
    <w:rsid w:val="00F8466E"/>
    <w:rsid w:val="00F8477E"/>
    <w:rsid w:val="00F84941"/>
    <w:rsid w:val="00F84B5D"/>
    <w:rsid w:val="00F84CB9"/>
    <w:rsid w:val="00F85065"/>
    <w:rsid w:val="00F853B9"/>
    <w:rsid w:val="00F85538"/>
    <w:rsid w:val="00F8558F"/>
    <w:rsid w:val="00F85645"/>
    <w:rsid w:val="00F858F8"/>
    <w:rsid w:val="00F86085"/>
    <w:rsid w:val="00F86134"/>
    <w:rsid w:val="00F862BD"/>
    <w:rsid w:val="00F8666E"/>
    <w:rsid w:val="00F8673E"/>
    <w:rsid w:val="00F868EF"/>
    <w:rsid w:val="00F86CC0"/>
    <w:rsid w:val="00F86DE8"/>
    <w:rsid w:val="00F86E5B"/>
    <w:rsid w:val="00F86E74"/>
    <w:rsid w:val="00F873AF"/>
    <w:rsid w:val="00F87558"/>
    <w:rsid w:val="00F876C7"/>
    <w:rsid w:val="00F87DFA"/>
    <w:rsid w:val="00F87ED9"/>
    <w:rsid w:val="00F87FD1"/>
    <w:rsid w:val="00F900C0"/>
    <w:rsid w:val="00F90129"/>
    <w:rsid w:val="00F90503"/>
    <w:rsid w:val="00F9054D"/>
    <w:rsid w:val="00F90D6A"/>
    <w:rsid w:val="00F91972"/>
    <w:rsid w:val="00F91B56"/>
    <w:rsid w:val="00F91EF4"/>
    <w:rsid w:val="00F922D7"/>
    <w:rsid w:val="00F92794"/>
    <w:rsid w:val="00F92A8E"/>
    <w:rsid w:val="00F93231"/>
    <w:rsid w:val="00F932C5"/>
    <w:rsid w:val="00F9369D"/>
    <w:rsid w:val="00F93D26"/>
    <w:rsid w:val="00F93DBC"/>
    <w:rsid w:val="00F94189"/>
    <w:rsid w:val="00F94317"/>
    <w:rsid w:val="00F946B3"/>
    <w:rsid w:val="00F94EE6"/>
    <w:rsid w:val="00F951EA"/>
    <w:rsid w:val="00F951FC"/>
    <w:rsid w:val="00F95506"/>
    <w:rsid w:val="00F95519"/>
    <w:rsid w:val="00F95806"/>
    <w:rsid w:val="00F95A33"/>
    <w:rsid w:val="00F95C01"/>
    <w:rsid w:val="00F96099"/>
    <w:rsid w:val="00F96100"/>
    <w:rsid w:val="00F96160"/>
    <w:rsid w:val="00F9632F"/>
    <w:rsid w:val="00F96502"/>
    <w:rsid w:val="00F96946"/>
    <w:rsid w:val="00F96B94"/>
    <w:rsid w:val="00F96D9D"/>
    <w:rsid w:val="00F96FFE"/>
    <w:rsid w:val="00F97212"/>
    <w:rsid w:val="00F9740C"/>
    <w:rsid w:val="00F97725"/>
    <w:rsid w:val="00F97ED9"/>
    <w:rsid w:val="00FA0084"/>
    <w:rsid w:val="00FA0756"/>
    <w:rsid w:val="00FA083A"/>
    <w:rsid w:val="00FA0C4A"/>
    <w:rsid w:val="00FA0FAC"/>
    <w:rsid w:val="00FA1E75"/>
    <w:rsid w:val="00FA21E2"/>
    <w:rsid w:val="00FA2579"/>
    <w:rsid w:val="00FA2986"/>
    <w:rsid w:val="00FA2D7B"/>
    <w:rsid w:val="00FA2E62"/>
    <w:rsid w:val="00FA32A4"/>
    <w:rsid w:val="00FA3AD8"/>
    <w:rsid w:val="00FA3AFC"/>
    <w:rsid w:val="00FA3B1F"/>
    <w:rsid w:val="00FA4290"/>
    <w:rsid w:val="00FA43A8"/>
    <w:rsid w:val="00FA4853"/>
    <w:rsid w:val="00FA4B13"/>
    <w:rsid w:val="00FA50BE"/>
    <w:rsid w:val="00FA5645"/>
    <w:rsid w:val="00FA57F9"/>
    <w:rsid w:val="00FA5A0D"/>
    <w:rsid w:val="00FA61BB"/>
    <w:rsid w:val="00FA688A"/>
    <w:rsid w:val="00FA6D72"/>
    <w:rsid w:val="00FA76A7"/>
    <w:rsid w:val="00FA7F4B"/>
    <w:rsid w:val="00FB03AF"/>
    <w:rsid w:val="00FB06BF"/>
    <w:rsid w:val="00FB0728"/>
    <w:rsid w:val="00FB0F47"/>
    <w:rsid w:val="00FB13A4"/>
    <w:rsid w:val="00FB14B8"/>
    <w:rsid w:val="00FB1B8E"/>
    <w:rsid w:val="00FB24B5"/>
    <w:rsid w:val="00FB24BA"/>
    <w:rsid w:val="00FB2570"/>
    <w:rsid w:val="00FB3DFE"/>
    <w:rsid w:val="00FB3FFE"/>
    <w:rsid w:val="00FB423E"/>
    <w:rsid w:val="00FB426B"/>
    <w:rsid w:val="00FB451F"/>
    <w:rsid w:val="00FB480D"/>
    <w:rsid w:val="00FB484B"/>
    <w:rsid w:val="00FB48E1"/>
    <w:rsid w:val="00FB4EB3"/>
    <w:rsid w:val="00FB524B"/>
    <w:rsid w:val="00FB53C7"/>
    <w:rsid w:val="00FB53DD"/>
    <w:rsid w:val="00FB5962"/>
    <w:rsid w:val="00FB5981"/>
    <w:rsid w:val="00FB61AC"/>
    <w:rsid w:val="00FB6258"/>
    <w:rsid w:val="00FB62F7"/>
    <w:rsid w:val="00FB63D8"/>
    <w:rsid w:val="00FB6759"/>
    <w:rsid w:val="00FB676E"/>
    <w:rsid w:val="00FB67CE"/>
    <w:rsid w:val="00FB6CE3"/>
    <w:rsid w:val="00FB6CF9"/>
    <w:rsid w:val="00FB6D8D"/>
    <w:rsid w:val="00FB75F5"/>
    <w:rsid w:val="00FB7A40"/>
    <w:rsid w:val="00FB7BD7"/>
    <w:rsid w:val="00FC036A"/>
    <w:rsid w:val="00FC0557"/>
    <w:rsid w:val="00FC05F4"/>
    <w:rsid w:val="00FC07AD"/>
    <w:rsid w:val="00FC0C36"/>
    <w:rsid w:val="00FC1BCF"/>
    <w:rsid w:val="00FC2066"/>
    <w:rsid w:val="00FC22A8"/>
    <w:rsid w:val="00FC23DE"/>
    <w:rsid w:val="00FC2652"/>
    <w:rsid w:val="00FC2745"/>
    <w:rsid w:val="00FC30F1"/>
    <w:rsid w:val="00FC3261"/>
    <w:rsid w:val="00FC352B"/>
    <w:rsid w:val="00FC35B0"/>
    <w:rsid w:val="00FC3691"/>
    <w:rsid w:val="00FC38EB"/>
    <w:rsid w:val="00FC3B04"/>
    <w:rsid w:val="00FC3F33"/>
    <w:rsid w:val="00FC3F89"/>
    <w:rsid w:val="00FC41B0"/>
    <w:rsid w:val="00FC45FF"/>
    <w:rsid w:val="00FC49A8"/>
    <w:rsid w:val="00FC4F52"/>
    <w:rsid w:val="00FC53EA"/>
    <w:rsid w:val="00FC5512"/>
    <w:rsid w:val="00FC5D4E"/>
    <w:rsid w:val="00FC60E6"/>
    <w:rsid w:val="00FC6C19"/>
    <w:rsid w:val="00FC6CD4"/>
    <w:rsid w:val="00FC7118"/>
    <w:rsid w:val="00FC74A1"/>
    <w:rsid w:val="00FC7618"/>
    <w:rsid w:val="00FC7AE2"/>
    <w:rsid w:val="00FC7D69"/>
    <w:rsid w:val="00FD0442"/>
    <w:rsid w:val="00FD095C"/>
    <w:rsid w:val="00FD1307"/>
    <w:rsid w:val="00FD208F"/>
    <w:rsid w:val="00FD22D5"/>
    <w:rsid w:val="00FD29B4"/>
    <w:rsid w:val="00FD29FF"/>
    <w:rsid w:val="00FD2A92"/>
    <w:rsid w:val="00FD2AD2"/>
    <w:rsid w:val="00FD2CA1"/>
    <w:rsid w:val="00FD2EAB"/>
    <w:rsid w:val="00FD2F73"/>
    <w:rsid w:val="00FD30C5"/>
    <w:rsid w:val="00FD38D4"/>
    <w:rsid w:val="00FD3DAF"/>
    <w:rsid w:val="00FD44E4"/>
    <w:rsid w:val="00FD4C96"/>
    <w:rsid w:val="00FD55F3"/>
    <w:rsid w:val="00FD55F7"/>
    <w:rsid w:val="00FD61F8"/>
    <w:rsid w:val="00FD62D1"/>
    <w:rsid w:val="00FD6386"/>
    <w:rsid w:val="00FD6413"/>
    <w:rsid w:val="00FD6504"/>
    <w:rsid w:val="00FD6EA4"/>
    <w:rsid w:val="00FD71F6"/>
    <w:rsid w:val="00FD772E"/>
    <w:rsid w:val="00FD7853"/>
    <w:rsid w:val="00FD7CE8"/>
    <w:rsid w:val="00FE0225"/>
    <w:rsid w:val="00FE03CD"/>
    <w:rsid w:val="00FE09AF"/>
    <w:rsid w:val="00FE0C2E"/>
    <w:rsid w:val="00FE0D97"/>
    <w:rsid w:val="00FE0F07"/>
    <w:rsid w:val="00FE0F16"/>
    <w:rsid w:val="00FE112F"/>
    <w:rsid w:val="00FE1259"/>
    <w:rsid w:val="00FE1307"/>
    <w:rsid w:val="00FE16CC"/>
    <w:rsid w:val="00FE2066"/>
    <w:rsid w:val="00FE2198"/>
    <w:rsid w:val="00FE22B2"/>
    <w:rsid w:val="00FE24A0"/>
    <w:rsid w:val="00FE250E"/>
    <w:rsid w:val="00FE273C"/>
    <w:rsid w:val="00FE2D58"/>
    <w:rsid w:val="00FE2E74"/>
    <w:rsid w:val="00FE2ED2"/>
    <w:rsid w:val="00FE3691"/>
    <w:rsid w:val="00FE3761"/>
    <w:rsid w:val="00FE3C6F"/>
    <w:rsid w:val="00FE3FF3"/>
    <w:rsid w:val="00FE41F5"/>
    <w:rsid w:val="00FE44CB"/>
    <w:rsid w:val="00FE452A"/>
    <w:rsid w:val="00FE4547"/>
    <w:rsid w:val="00FE461A"/>
    <w:rsid w:val="00FE46FA"/>
    <w:rsid w:val="00FE4830"/>
    <w:rsid w:val="00FE4934"/>
    <w:rsid w:val="00FE4AD2"/>
    <w:rsid w:val="00FE4D7B"/>
    <w:rsid w:val="00FE50D6"/>
    <w:rsid w:val="00FE5C13"/>
    <w:rsid w:val="00FE60B3"/>
    <w:rsid w:val="00FE6393"/>
    <w:rsid w:val="00FE643C"/>
    <w:rsid w:val="00FE66D9"/>
    <w:rsid w:val="00FE6BBD"/>
    <w:rsid w:val="00FE6BD0"/>
    <w:rsid w:val="00FE6E4E"/>
    <w:rsid w:val="00FE7CBB"/>
    <w:rsid w:val="00FE7D80"/>
    <w:rsid w:val="00FF05B0"/>
    <w:rsid w:val="00FF07A8"/>
    <w:rsid w:val="00FF09C6"/>
    <w:rsid w:val="00FF0FC7"/>
    <w:rsid w:val="00FF1247"/>
    <w:rsid w:val="00FF15FC"/>
    <w:rsid w:val="00FF1946"/>
    <w:rsid w:val="00FF1D0F"/>
    <w:rsid w:val="00FF1F80"/>
    <w:rsid w:val="00FF1FCA"/>
    <w:rsid w:val="00FF20E9"/>
    <w:rsid w:val="00FF2308"/>
    <w:rsid w:val="00FF2855"/>
    <w:rsid w:val="00FF2B30"/>
    <w:rsid w:val="00FF36F7"/>
    <w:rsid w:val="00FF372C"/>
    <w:rsid w:val="00FF3820"/>
    <w:rsid w:val="00FF39D9"/>
    <w:rsid w:val="00FF3B9E"/>
    <w:rsid w:val="00FF3EA8"/>
    <w:rsid w:val="00FF40C2"/>
    <w:rsid w:val="00FF42D8"/>
    <w:rsid w:val="00FF4477"/>
    <w:rsid w:val="00FF4769"/>
    <w:rsid w:val="00FF4C75"/>
    <w:rsid w:val="00FF4DF9"/>
    <w:rsid w:val="00FF4EF4"/>
    <w:rsid w:val="00FF54D7"/>
    <w:rsid w:val="00FF591D"/>
    <w:rsid w:val="00FF59C5"/>
    <w:rsid w:val="00FF6338"/>
    <w:rsid w:val="00FF7563"/>
    <w:rsid w:val="00FF7576"/>
    <w:rsid w:val="00FF7747"/>
    <w:rsid w:val="00FF777F"/>
    <w:rsid w:val="00FF7842"/>
    <w:rsid w:val="00FF7BF7"/>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FC70033"/>
  <w15:chartTrackingRefBased/>
  <w15:docId w15:val="{69CD183E-7CD7-4309-9463-04B361E8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132C"/>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E6132C"/>
    <w:pPr>
      <w:keepNext/>
      <w:keepLines/>
      <w:numPr>
        <w:numId w:val="39"/>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6132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6132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6132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6132C"/>
    <w:pPr>
      <w:keepNext/>
      <w:numPr>
        <w:numId w:val="21"/>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6132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6132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6132C"/>
    <w:pPr>
      <w:ind w:left="993"/>
      <w:outlineLvl w:val="7"/>
    </w:pPr>
    <w:rPr>
      <w:color w:val="321547"/>
      <w:szCs w:val="22"/>
      <w:u w:val="dotDotDash"/>
    </w:rPr>
  </w:style>
  <w:style w:type="paragraph" w:styleId="Ttulo9">
    <w:name w:val="heading 9"/>
    <w:basedOn w:val="Ttulo8"/>
    <w:next w:val="Normal"/>
    <w:link w:val="Ttulo9Car"/>
    <w:uiPriority w:val="9"/>
    <w:unhideWhenUsed/>
    <w:qFormat/>
    <w:rsid w:val="00E6132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6132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6132C"/>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E6132C"/>
    <w:rPr>
      <w:color w:val="0563C1" w:themeColor="hyperlink"/>
      <w:u w:val="single"/>
    </w:rPr>
  </w:style>
  <w:style w:type="paragraph" w:styleId="Textonotapie">
    <w:name w:val="footnote text"/>
    <w:aliases w:val="Nota a pie de página"/>
    <w:basedOn w:val="Normal"/>
    <w:link w:val="TextonotapieCar"/>
    <w:uiPriority w:val="99"/>
    <w:unhideWhenUsed/>
    <w:qFormat/>
    <w:rsid w:val="00E6132C"/>
    <w:pPr>
      <w:keepLines/>
      <w:spacing w:after="40" w:line="240" w:lineRule="auto"/>
    </w:pPr>
    <w:rPr>
      <w:sz w:val="16"/>
      <w:szCs w:val="20"/>
    </w:rPr>
  </w:style>
  <w:style w:type="character" w:styleId="Refdenotaalpie">
    <w:name w:val="footnote reference"/>
    <w:basedOn w:val="Fuentedeprrafopredeter"/>
    <w:uiPriority w:val="99"/>
    <w:unhideWhenUsed/>
    <w:rsid w:val="00E6132C"/>
    <w:rPr>
      <w:vertAlign w:val="superscript"/>
    </w:rPr>
  </w:style>
  <w:style w:type="table" w:styleId="Tablaconcuadrcula">
    <w:name w:val="Table Grid"/>
    <w:basedOn w:val="Tablanormal"/>
    <w:uiPriority w:val="39"/>
    <w:rsid w:val="00E6132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E6132C"/>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paragraph" w:styleId="Encabezado">
    <w:name w:val="header"/>
    <w:basedOn w:val="Normal"/>
    <w:link w:val="EncabezadoCar"/>
    <w:uiPriority w:val="99"/>
    <w:unhideWhenUsed/>
    <w:rsid w:val="00E6132C"/>
    <w:pPr>
      <w:tabs>
        <w:tab w:val="center" w:pos="4252"/>
        <w:tab w:val="right" w:pos="8504"/>
      </w:tabs>
    </w:pPr>
  </w:style>
  <w:style w:type="character" w:customStyle="1" w:styleId="corchete-llamada1">
    <w:name w:val="corchete-llamada1"/>
    <w:rsid w:val="00A56B07"/>
    <w:rPr>
      <w:vanish/>
      <w:webHidden w:val="0"/>
      <w:specVanish w:val="0"/>
    </w:rPr>
  </w:style>
  <w:style w:type="paragraph" w:styleId="Prrafodelista">
    <w:name w:val="List Paragraph"/>
    <w:basedOn w:val="Normal"/>
    <w:uiPriority w:val="34"/>
    <w:rsid w:val="00E6132C"/>
    <w:pPr>
      <w:ind w:left="720"/>
      <w:contextualSpacing/>
    </w:pPr>
  </w:style>
  <w:style w:type="character" w:customStyle="1" w:styleId="Ttulo3Car">
    <w:name w:val="Título 3 Car"/>
    <w:basedOn w:val="Fuentedeprrafopredeter"/>
    <w:link w:val="Ttulo3"/>
    <w:uiPriority w:val="9"/>
    <w:rsid w:val="00E6132C"/>
    <w:rPr>
      <w:rFonts w:ascii="Palatino Linotype" w:eastAsiaTheme="minorHAnsi" w:hAnsi="Palatino Linotype" w:cstheme="minorBidi"/>
      <w:i/>
      <w:iCs/>
      <w:color w:val="5F2987"/>
      <w:sz w:val="22"/>
      <w:szCs w:val="22"/>
      <w:u w:val="single"/>
      <w:lang w:eastAsia="en-US"/>
    </w:rPr>
  </w:style>
  <w:style w:type="character" w:styleId="Textoennegrita">
    <w:name w:val="Strong"/>
    <w:uiPriority w:val="22"/>
    <w:qFormat/>
    <w:rsid w:val="0060790E"/>
    <w:rPr>
      <w:b/>
      <w:bCs/>
    </w:rPr>
  </w:style>
  <w:style w:type="character" w:customStyle="1" w:styleId="Ttulo1Car">
    <w:name w:val="Título 1 Car"/>
    <w:basedOn w:val="Fuentedeprrafopredeter"/>
    <w:link w:val="Ttulo1"/>
    <w:uiPriority w:val="9"/>
    <w:rsid w:val="00E6132C"/>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E6132C"/>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4Car">
    <w:name w:val="Título 4 Car"/>
    <w:basedOn w:val="Fuentedeprrafopredeter"/>
    <w:link w:val="Ttulo4"/>
    <w:uiPriority w:val="9"/>
    <w:rsid w:val="00E6132C"/>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E6132C"/>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E6132C"/>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E6132C"/>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E6132C"/>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E6132C"/>
    <w:rPr>
      <w:rFonts w:ascii="Palatino Linotype" w:eastAsiaTheme="majorEastAsia" w:hAnsi="Palatino Linotype" w:cstheme="majorBidi"/>
      <w:i/>
      <w:color w:val="240F33"/>
      <w:spacing w:val="-4"/>
      <w:w w:val="99"/>
      <w:sz w:val="21"/>
      <w:szCs w:val="21"/>
      <w:u w:val="dotted"/>
      <w:lang w:eastAsia="en-US"/>
    </w:rPr>
  </w:style>
  <w:style w:type="character" w:customStyle="1" w:styleId="HeaderChar">
    <w:name w:val="Header Char"/>
    <w:basedOn w:val="Fuentedeprrafopredeter"/>
    <w:uiPriority w:val="99"/>
    <w:rsid w:val="00E6132C"/>
    <w:rPr>
      <w:rFonts w:ascii="Garamond" w:hAnsi="Garamond"/>
      <w:lang w:val="es-ES"/>
    </w:rPr>
  </w:style>
  <w:style w:type="character" w:customStyle="1" w:styleId="FooterChar">
    <w:name w:val="Footer Char"/>
    <w:basedOn w:val="Fuentedeprrafopredeter"/>
    <w:uiPriority w:val="99"/>
    <w:rsid w:val="00E6132C"/>
    <w:rPr>
      <w:rFonts w:ascii="Garamond" w:hAnsi="Garamond"/>
      <w:lang w:val="es-ES"/>
    </w:rPr>
  </w:style>
  <w:style w:type="character" w:styleId="Textodelmarcadordeposicin">
    <w:name w:val="Placeholder Text"/>
    <w:basedOn w:val="Fuentedeprrafopredeter"/>
    <w:uiPriority w:val="99"/>
    <w:semiHidden/>
    <w:rsid w:val="00E6132C"/>
    <w:rPr>
      <w:color w:val="808080"/>
    </w:rPr>
  </w:style>
  <w:style w:type="paragraph" w:styleId="Ttulo">
    <w:name w:val="Title"/>
    <w:basedOn w:val="Normal"/>
    <w:next w:val="Normal"/>
    <w:link w:val="TtuloCar"/>
    <w:uiPriority w:val="10"/>
    <w:qFormat/>
    <w:rsid w:val="00E6132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E6132C"/>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E6132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6132C"/>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6132C"/>
    <w:pPr>
      <w:numPr>
        <w:ilvl w:val="1"/>
        <w:numId w:val="18"/>
      </w:numPr>
      <w:spacing w:after="100"/>
      <w:ind w:left="1049" w:hanging="198"/>
      <w:contextualSpacing/>
    </w:pPr>
  </w:style>
  <w:style w:type="character" w:customStyle="1" w:styleId="Heading2Char">
    <w:name w:val="Heading 2 Char"/>
    <w:basedOn w:val="Fuentedeprrafopredeter"/>
    <w:uiPriority w:val="9"/>
    <w:rsid w:val="00E6132C"/>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6132C"/>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E6132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6132C"/>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E6132C"/>
    <w:rPr>
      <w:rFonts w:ascii="Garamond" w:hAnsi="Garamond"/>
      <w:i/>
      <w:iCs/>
      <w:color w:val="5F2987"/>
      <w:u w:val="single"/>
      <w:lang w:val="es-ES"/>
    </w:rPr>
  </w:style>
  <w:style w:type="paragraph" w:styleId="TDC3">
    <w:name w:val="toc 3"/>
    <w:basedOn w:val="Normal"/>
    <w:next w:val="FinTDC"/>
    <w:autoRedefine/>
    <w:uiPriority w:val="39"/>
    <w:unhideWhenUsed/>
    <w:rsid w:val="00E6132C"/>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6132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6132C"/>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6132C"/>
    <w:rPr>
      <w:color w:val="7F7F7F" w:themeColor="text1" w:themeTint="80"/>
      <w:sz w:val="16"/>
    </w:rPr>
  </w:style>
  <w:style w:type="character" w:customStyle="1" w:styleId="NocantarChar">
    <w:name w:val="No cantar Char"/>
    <w:basedOn w:val="Fuentedeprrafopredeter"/>
    <w:link w:val="Nocantar"/>
    <w:rsid w:val="00E6132C"/>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E6132C"/>
    <w:pPr>
      <w:numPr>
        <w:numId w:val="0"/>
      </w:numPr>
      <w:ind w:firstLine="142"/>
    </w:pPr>
  </w:style>
  <w:style w:type="character" w:customStyle="1" w:styleId="IntroduccinyconclusinChar">
    <w:name w:val="Introducción y conclusión Char"/>
    <w:basedOn w:val="Ttulo1Car"/>
    <w:link w:val="Introduccinyconclusin"/>
    <w:rsid w:val="00E6132C"/>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E6132C"/>
    <w:pPr>
      <w:numPr>
        <w:numId w:val="24"/>
      </w:numPr>
    </w:pPr>
  </w:style>
  <w:style w:type="paragraph" w:customStyle="1" w:styleId="Nivel1">
    <w:name w:val="Nivel 1"/>
    <w:basedOn w:val="Normal"/>
    <w:qFormat/>
    <w:rsid w:val="00E6132C"/>
    <w:pPr>
      <w:numPr>
        <w:numId w:val="18"/>
      </w:numPr>
      <w:spacing w:before="100" w:after="100"/>
      <w:ind w:left="623" w:hanging="198"/>
    </w:pPr>
  </w:style>
  <w:style w:type="paragraph" w:customStyle="1" w:styleId="Nivel3">
    <w:name w:val="Nivel 3"/>
    <w:basedOn w:val="Nivel2"/>
    <w:link w:val="Nivel3Car"/>
    <w:qFormat/>
    <w:rsid w:val="00E6132C"/>
    <w:pPr>
      <w:numPr>
        <w:ilvl w:val="2"/>
      </w:numPr>
      <w:spacing w:after="0"/>
      <w:ind w:left="1474" w:hanging="198"/>
    </w:pPr>
  </w:style>
  <w:style w:type="paragraph" w:customStyle="1" w:styleId="Letra">
    <w:name w:val="Letra"/>
    <w:basedOn w:val="Nivel1"/>
    <w:qFormat/>
    <w:rsid w:val="00E6132C"/>
    <w:pPr>
      <w:numPr>
        <w:numId w:val="26"/>
      </w:numPr>
      <w:spacing w:before="0" w:after="40"/>
      <w:ind w:left="936" w:hanging="227"/>
    </w:pPr>
  </w:style>
  <w:style w:type="paragraph" w:customStyle="1" w:styleId="Nmero">
    <w:name w:val="Número"/>
    <w:basedOn w:val="Normal"/>
    <w:qFormat/>
    <w:rsid w:val="00E6132C"/>
    <w:pPr>
      <w:numPr>
        <w:numId w:val="27"/>
      </w:numPr>
      <w:spacing w:after="40"/>
      <w:ind w:left="936" w:hanging="227"/>
    </w:pPr>
  </w:style>
  <w:style w:type="character" w:customStyle="1" w:styleId="BalloonTextChar">
    <w:name w:val="Balloon Text Char"/>
    <w:basedOn w:val="Fuentedeprrafopredeter"/>
    <w:uiPriority w:val="99"/>
    <w:semiHidden/>
    <w:rsid w:val="00E6132C"/>
    <w:rPr>
      <w:rFonts w:ascii="Segoe UI" w:hAnsi="Segoe UI" w:cs="Segoe UI"/>
      <w:sz w:val="18"/>
      <w:szCs w:val="18"/>
      <w:lang w:val="es-ES"/>
    </w:rPr>
  </w:style>
  <w:style w:type="paragraph" w:customStyle="1" w:styleId="Notaalopositor">
    <w:name w:val="Nota al opositor"/>
    <w:basedOn w:val="Normal"/>
    <w:link w:val="NotaalopositorChar"/>
    <w:qFormat/>
    <w:rsid w:val="00E6132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6132C"/>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E6132C"/>
    <w:rPr>
      <w:rFonts w:ascii="Garamond" w:hAnsi="Garamond"/>
      <w:sz w:val="16"/>
      <w:szCs w:val="20"/>
      <w:lang w:val="es-ES"/>
    </w:rPr>
  </w:style>
  <w:style w:type="character" w:customStyle="1" w:styleId="Heading6Char">
    <w:name w:val="Heading 6 Char"/>
    <w:basedOn w:val="Fuentedeprrafopredeter"/>
    <w:uiPriority w:val="9"/>
    <w:semiHidden/>
    <w:rsid w:val="00E6132C"/>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6132C"/>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E6132C"/>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E6132C"/>
    <w:rPr>
      <w:rFonts w:ascii="Garamond" w:eastAsiaTheme="minorEastAsia" w:hAnsi="Garamond"/>
      <w:smallCaps/>
      <w:color w:val="5A5A5A" w:themeColor="text1" w:themeTint="A5"/>
      <w:lang w:val="es-ES"/>
    </w:rPr>
  </w:style>
  <w:style w:type="paragraph" w:customStyle="1" w:styleId="Nivel1SM">
    <w:name w:val="Nivel 1 SM"/>
    <w:basedOn w:val="Nivel1"/>
    <w:qFormat/>
    <w:rsid w:val="00E6132C"/>
    <w:pPr>
      <w:ind w:left="0"/>
    </w:pPr>
  </w:style>
  <w:style w:type="paragraph" w:customStyle="1" w:styleId="Nivel2SM">
    <w:name w:val="Nivel 2 SM"/>
    <w:basedOn w:val="Nivel2"/>
    <w:qFormat/>
    <w:rsid w:val="00E6132C"/>
    <w:pPr>
      <w:ind w:left="567"/>
    </w:pPr>
  </w:style>
  <w:style w:type="paragraph" w:customStyle="1" w:styleId="Nivel3SM">
    <w:name w:val="Nivel 3 SM"/>
    <w:basedOn w:val="Nivel3"/>
    <w:qFormat/>
    <w:rsid w:val="00E6132C"/>
    <w:pPr>
      <w:ind w:left="963"/>
    </w:pPr>
  </w:style>
  <w:style w:type="paragraph" w:styleId="Encabezadodelista">
    <w:name w:val="toa heading"/>
    <w:basedOn w:val="Normal"/>
    <w:next w:val="Normal"/>
    <w:uiPriority w:val="99"/>
    <w:unhideWhenUsed/>
    <w:rsid w:val="00E6132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6132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6132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6132C"/>
    <w:rPr>
      <w:rFonts w:ascii="Palatino Linotype" w:eastAsiaTheme="minorHAnsi" w:hAnsi="Palatino Linotype" w:cstheme="minorBidi"/>
      <w:sz w:val="22"/>
      <w:szCs w:val="22"/>
      <w:shd w:val="clear" w:color="auto" w:fill="E7E6E6" w:themeFill="background2"/>
      <w:lang w:eastAsia="en-US"/>
    </w:rPr>
  </w:style>
  <w:style w:type="character" w:customStyle="1" w:styleId="EncabezadoCar">
    <w:name w:val="Encabezado Car"/>
    <w:basedOn w:val="Fuentedeprrafopredeter"/>
    <w:link w:val="Encabezado"/>
    <w:uiPriority w:val="99"/>
    <w:rsid w:val="00E6132C"/>
    <w:rPr>
      <w:rFonts w:ascii="Palatino Linotype" w:eastAsiaTheme="minorHAnsi" w:hAnsi="Palatino Linotype" w:cstheme="minorBidi"/>
      <w:sz w:val="22"/>
      <w:szCs w:val="22"/>
      <w:lang w:eastAsia="en-US"/>
    </w:rPr>
  </w:style>
  <w:style w:type="character" w:customStyle="1" w:styleId="TextodegloboCar">
    <w:name w:val="Texto de globo Car"/>
    <w:basedOn w:val="Fuentedeprrafopredeter"/>
    <w:link w:val="Textodeglobo"/>
    <w:uiPriority w:val="99"/>
    <w:semiHidden/>
    <w:rsid w:val="00E6132C"/>
    <w:rPr>
      <w:rFonts w:ascii="Segoe UI" w:eastAsiaTheme="minorHAnsi" w:hAnsi="Segoe UI" w:cs="Segoe UI"/>
      <w:sz w:val="18"/>
      <w:szCs w:val="18"/>
      <w:lang w:eastAsia="en-US"/>
    </w:rPr>
  </w:style>
  <w:style w:type="character" w:customStyle="1" w:styleId="TextonotapieCar">
    <w:name w:val="Texto nota pie Car"/>
    <w:aliases w:val="Nota a pie de página Car"/>
    <w:basedOn w:val="Fuentedeprrafopredeter"/>
    <w:link w:val="Textonotapie"/>
    <w:uiPriority w:val="99"/>
    <w:rsid w:val="00E6132C"/>
    <w:rPr>
      <w:rFonts w:ascii="Palatino Linotype" w:eastAsiaTheme="minorHAnsi" w:hAnsi="Palatino Linotype" w:cstheme="minorBidi"/>
      <w:sz w:val="16"/>
      <w:lang w:eastAsia="en-US"/>
    </w:rPr>
  </w:style>
  <w:style w:type="character" w:styleId="Mencinsinresolver">
    <w:name w:val="Unresolved Mention"/>
    <w:basedOn w:val="Fuentedeprrafopredeter"/>
    <w:uiPriority w:val="99"/>
    <w:semiHidden/>
    <w:unhideWhenUsed/>
    <w:rsid w:val="00E6132C"/>
    <w:rPr>
      <w:color w:val="605E5C"/>
      <w:shd w:val="clear" w:color="auto" w:fill="E1DFDD"/>
    </w:rPr>
  </w:style>
  <w:style w:type="paragraph" w:styleId="TDC5">
    <w:name w:val="toc 5"/>
    <w:basedOn w:val="Normal"/>
    <w:next w:val="FinTDC"/>
    <w:autoRedefine/>
    <w:uiPriority w:val="39"/>
    <w:unhideWhenUsed/>
    <w:rsid w:val="00E6132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6132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6132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6132C"/>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E6132C"/>
    <w:pPr>
      <w:spacing w:line="240" w:lineRule="auto"/>
      <w:ind w:left="567" w:hanging="567"/>
    </w:pPr>
  </w:style>
  <w:style w:type="paragraph" w:customStyle="1" w:styleId="Ttuloimagen">
    <w:name w:val="Título imagen"/>
    <w:basedOn w:val="PiedeImagen"/>
    <w:next w:val="Imagen"/>
    <w:link w:val="TtuloimagenCar"/>
    <w:qFormat/>
    <w:rsid w:val="00E6132C"/>
    <w:pPr>
      <w:keepNext/>
      <w:spacing w:after="0"/>
    </w:pPr>
    <w:rPr>
      <w:i w:val="0"/>
      <w:smallCaps/>
      <w:sz w:val="20"/>
    </w:rPr>
  </w:style>
  <w:style w:type="character" w:customStyle="1" w:styleId="TtuloimagenCar">
    <w:name w:val="Título imagen Car"/>
    <w:basedOn w:val="ImagenCar"/>
    <w:link w:val="Ttuloimagen"/>
    <w:rsid w:val="00E6132C"/>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E6132C"/>
    <w:pPr>
      <w:ind w:left="1100"/>
    </w:pPr>
  </w:style>
  <w:style w:type="paragraph" w:styleId="Sinespaciado">
    <w:name w:val="No Spacing"/>
    <w:link w:val="SinespaciadoCar"/>
    <w:uiPriority w:val="1"/>
    <w:qFormat/>
    <w:rsid w:val="00E6132C"/>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E6132C"/>
    <w:rPr>
      <w:rFonts w:asciiTheme="minorHAnsi" w:eastAsiaTheme="minorEastAsia" w:hAnsiTheme="minorHAnsi" w:cstheme="minorBidi"/>
      <w:sz w:val="22"/>
      <w:szCs w:val="22"/>
    </w:rPr>
  </w:style>
  <w:style w:type="paragraph" w:customStyle="1" w:styleId="Nmeroromano">
    <w:name w:val="Número romano"/>
    <w:basedOn w:val="Prrafodelista"/>
    <w:qFormat/>
    <w:rsid w:val="00E6132C"/>
    <w:pPr>
      <w:numPr>
        <w:numId w:val="44"/>
      </w:numPr>
      <w:spacing w:after="100"/>
      <w:ind w:left="567" w:hanging="113"/>
    </w:pPr>
  </w:style>
  <w:style w:type="paragraph" w:customStyle="1" w:styleId="Saltodettulos">
    <w:name w:val="Salto de títulos"/>
    <w:basedOn w:val="Normal"/>
    <w:rsid w:val="00E6132C"/>
    <w:pPr>
      <w:spacing w:after="0" w:line="240" w:lineRule="auto"/>
    </w:pPr>
    <w:rPr>
      <w:color w:val="FFFFFF"/>
      <w:sz w:val="2"/>
    </w:rPr>
  </w:style>
  <w:style w:type="paragraph" w:styleId="TDC7">
    <w:name w:val="toc 7"/>
    <w:basedOn w:val="Normal"/>
    <w:next w:val="FinTDC"/>
    <w:autoRedefine/>
    <w:uiPriority w:val="39"/>
    <w:unhideWhenUsed/>
    <w:rsid w:val="00E6132C"/>
    <w:pPr>
      <w:spacing w:after="0" w:line="20" w:lineRule="atLeast"/>
      <w:ind w:left="1418"/>
      <w:jc w:val="left"/>
    </w:pPr>
    <w:rPr>
      <w:i/>
      <w:color w:val="5F2987"/>
      <w:sz w:val="12"/>
    </w:rPr>
  </w:style>
  <w:style w:type="paragraph" w:customStyle="1" w:styleId="FinTDC">
    <w:name w:val="FinTDC"/>
    <w:basedOn w:val="Nivel1"/>
    <w:qFormat/>
    <w:rsid w:val="00E6132C"/>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E6132C"/>
    <w:pPr>
      <w:spacing w:after="0" w:line="240" w:lineRule="auto"/>
      <w:jc w:val="left"/>
    </w:pPr>
    <w:rPr>
      <w:sz w:val="15"/>
    </w:rPr>
  </w:style>
  <w:style w:type="paragraph" w:styleId="TDC9">
    <w:name w:val="toc 9"/>
    <w:basedOn w:val="TDC8"/>
    <w:next w:val="FinTDC"/>
    <w:autoRedefine/>
    <w:uiPriority w:val="39"/>
    <w:unhideWhenUsed/>
    <w:rsid w:val="00E6132C"/>
    <w:pPr>
      <w:ind w:left="1760"/>
    </w:pPr>
  </w:style>
  <w:style w:type="paragraph" w:customStyle="1" w:styleId="Apartado0">
    <w:name w:val="Apartado 0"/>
    <w:basedOn w:val="Ttulo1"/>
    <w:next w:val="Normal"/>
    <w:link w:val="Apartado0Car"/>
    <w:qFormat/>
    <w:rsid w:val="00E6132C"/>
    <w:pPr>
      <w:numPr>
        <w:numId w:val="43"/>
      </w:numPr>
      <w:ind w:left="357" w:hanging="357"/>
    </w:pPr>
  </w:style>
  <w:style w:type="character" w:customStyle="1" w:styleId="Apartado0Car">
    <w:name w:val="Apartado 0 Car"/>
    <w:basedOn w:val="Ttulo1Car"/>
    <w:link w:val="Apartado0"/>
    <w:rsid w:val="00E6132C"/>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E6132C"/>
    <w:pPr>
      <w:numPr>
        <w:ilvl w:val="3"/>
      </w:numPr>
      <w:ind w:left="1899" w:hanging="198"/>
    </w:pPr>
  </w:style>
  <w:style w:type="paragraph" w:customStyle="1" w:styleId="Nivel5">
    <w:name w:val="Nivel 5"/>
    <w:basedOn w:val="Nivel4"/>
    <w:link w:val="Nivel5Car"/>
    <w:qFormat/>
    <w:rsid w:val="00E6132C"/>
    <w:pPr>
      <w:numPr>
        <w:ilvl w:val="4"/>
      </w:numPr>
      <w:ind w:left="2155" w:hanging="170"/>
    </w:pPr>
  </w:style>
  <w:style w:type="character" w:customStyle="1" w:styleId="Nivel2Car">
    <w:name w:val="Nivel 2 Car"/>
    <w:basedOn w:val="Fuentedeprrafopredeter"/>
    <w:link w:val="Nivel2"/>
    <w:rsid w:val="00E6132C"/>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E6132C"/>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E6132C"/>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E6132C"/>
    <w:pPr>
      <w:numPr>
        <w:ilvl w:val="5"/>
      </w:numPr>
      <w:ind w:left="2438" w:hanging="227"/>
    </w:pPr>
  </w:style>
  <w:style w:type="character" w:customStyle="1" w:styleId="Nivel5Car">
    <w:name w:val="Nivel 5 Car"/>
    <w:basedOn w:val="Nivel4Car"/>
    <w:link w:val="Nivel5"/>
    <w:rsid w:val="00E6132C"/>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E6132C"/>
    <w:pPr>
      <w:numPr>
        <w:ilvl w:val="6"/>
      </w:numPr>
      <w:ind w:left="2722" w:hanging="170"/>
    </w:pPr>
  </w:style>
  <w:style w:type="character" w:customStyle="1" w:styleId="Nivel6Car">
    <w:name w:val="Nivel 6 Car"/>
    <w:basedOn w:val="Nivel5Car"/>
    <w:link w:val="Nivel6"/>
    <w:rsid w:val="00E6132C"/>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E6132C"/>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E6132C"/>
    <w:pPr>
      <w:spacing w:after="200" w:line="240" w:lineRule="auto"/>
    </w:pPr>
    <w:rPr>
      <w:i/>
      <w:iCs/>
      <w:color w:val="44546A" w:themeColor="text2"/>
      <w:sz w:val="18"/>
      <w:szCs w:val="18"/>
    </w:rPr>
  </w:style>
  <w:style w:type="paragraph" w:customStyle="1" w:styleId="Ttulo10">
    <w:name w:val="Título 10"/>
    <w:basedOn w:val="Ttulo9"/>
    <w:link w:val="Ttulo10Car"/>
    <w:qFormat/>
    <w:rsid w:val="00E6132C"/>
    <w:pPr>
      <w:ind w:left="1276"/>
    </w:pPr>
    <w:rPr>
      <w:w w:val="97"/>
    </w:rPr>
  </w:style>
  <w:style w:type="character" w:customStyle="1" w:styleId="Ttulo10Car">
    <w:name w:val="Título 10 Car"/>
    <w:basedOn w:val="Ttulo9Car"/>
    <w:link w:val="Ttulo10"/>
    <w:rsid w:val="00E6132C"/>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E6132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6132C"/>
    <w:pPr>
      <w:numPr>
        <w:ilvl w:val="7"/>
      </w:numPr>
      <w:ind w:left="3005" w:hanging="170"/>
    </w:pPr>
  </w:style>
  <w:style w:type="character" w:customStyle="1" w:styleId="Nivel8Car">
    <w:name w:val="Nivel 8 Car"/>
    <w:basedOn w:val="Nivel7Car"/>
    <w:link w:val="Nivel8"/>
    <w:rsid w:val="00E6132C"/>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E6132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6132C"/>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E6132C"/>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E6132C"/>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E6132C"/>
    <w:rPr>
      <w:vertAlign w:val="superscript"/>
    </w:rPr>
  </w:style>
  <w:style w:type="character" w:customStyle="1" w:styleId="PiedepginaCar">
    <w:name w:val="Pie de página Car"/>
    <w:link w:val="Piedepgina"/>
    <w:uiPriority w:val="99"/>
    <w:rsid w:val="00B25BD3"/>
    <w:rPr>
      <w:rFonts w:ascii="Palatino Linotype" w:eastAsia="Calibri" w:hAnsi="Palatino Linotype" w:cs="Arial"/>
      <w:sz w:val="22"/>
      <w:szCs w:val="22"/>
      <w:lang w:eastAsia="en-US"/>
    </w:rPr>
  </w:style>
  <w:style w:type="character" w:styleId="Hipervnculovisitado">
    <w:name w:val="FollowedHyperlink"/>
    <w:basedOn w:val="Fuentedeprrafopredeter"/>
    <w:rsid w:val="00A568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6087">
      <w:bodyDiv w:val="1"/>
      <w:marLeft w:val="0"/>
      <w:marRight w:val="0"/>
      <w:marTop w:val="0"/>
      <w:marBottom w:val="0"/>
      <w:divBdr>
        <w:top w:val="none" w:sz="0" w:space="0" w:color="auto"/>
        <w:left w:val="none" w:sz="0" w:space="0" w:color="auto"/>
        <w:bottom w:val="none" w:sz="0" w:space="0" w:color="auto"/>
        <w:right w:val="none" w:sz="0" w:space="0" w:color="auto"/>
      </w:divBdr>
    </w:div>
    <w:div w:id="392705924">
      <w:bodyDiv w:val="1"/>
      <w:marLeft w:val="0"/>
      <w:marRight w:val="0"/>
      <w:marTop w:val="0"/>
      <w:marBottom w:val="0"/>
      <w:divBdr>
        <w:top w:val="none" w:sz="0" w:space="0" w:color="auto"/>
        <w:left w:val="none" w:sz="0" w:space="0" w:color="auto"/>
        <w:bottom w:val="none" w:sz="0" w:space="0" w:color="auto"/>
        <w:right w:val="none" w:sz="0" w:space="0" w:color="auto"/>
      </w:divBdr>
    </w:div>
    <w:div w:id="399139893">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70567355">
      <w:bodyDiv w:val="1"/>
      <w:marLeft w:val="0"/>
      <w:marRight w:val="0"/>
      <w:marTop w:val="0"/>
      <w:marBottom w:val="0"/>
      <w:divBdr>
        <w:top w:val="none" w:sz="0" w:space="0" w:color="auto"/>
        <w:left w:val="none" w:sz="0" w:space="0" w:color="auto"/>
        <w:bottom w:val="none" w:sz="0" w:space="0" w:color="auto"/>
        <w:right w:val="none" w:sz="0" w:space="0" w:color="auto"/>
      </w:divBdr>
    </w:div>
    <w:div w:id="846596725">
      <w:bodyDiv w:val="1"/>
      <w:marLeft w:val="0"/>
      <w:marRight w:val="0"/>
      <w:marTop w:val="0"/>
      <w:marBottom w:val="0"/>
      <w:divBdr>
        <w:top w:val="none" w:sz="0" w:space="0" w:color="auto"/>
        <w:left w:val="none" w:sz="0" w:space="0" w:color="auto"/>
        <w:bottom w:val="none" w:sz="0" w:space="0" w:color="auto"/>
        <w:right w:val="none" w:sz="0" w:space="0" w:color="auto"/>
      </w:divBdr>
    </w:div>
    <w:div w:id="961300740">
      <w:bodyDiv w:val="1"/>
      <w:marLeft w:val="0"/>
      <w:marRight w:val="0"/>
      <w:marTop w:val="0"/>
      <w:marBottom w:val="0"/>
      <w:divBdr>
        <w:top w:val="none" w:sz="0" w:space="0" w:color="auto"/>
        <w:left w:val="none" w:sz="0" w:space="0" w:color="auto"/>
        <w:bottom w:val="none" w:sz="0" w:space="0" w:color="auto"/>
        <w:right w:val="none" w:sz="0" w:space="0" w:color="auto"/>
      </w:divBdr>
    </w:div>
    <w:div w:id="966349706">
      <w:bodyDiv w:val="1"/>
      <w:marLeft w:val="0"/>
      <w:marRight w:val="0"/>
      <w:marTop w:val="0"/>
      <w:marBottom w:val="0"/>
      <w:divBdr>
        <w:top w:val="none" w:sz="0" w:space="0" w:color="auto"/>
        <w:left w:val="none" w:sz="0" w:space="0" w:color="auto"/>
        <w:bottom w:val="none" w:sz="0" w:space="0" w:color="auto"/>
        <w:right w:val="none" w:sz="0" w:space="0" w:color="auto"/>
      </w:divBdr>
    </w:div>
    <w:div w:id="976953481">
      <w:bodyDiv w:val="1"/>
      <w:marLeft w:val="0"/>
      <w:marRight w:val="0"/>
      <w:marTop w:val="0"/>
      <w:marBottom w:val="0"/>
      <w:divBdr>
        <w:top w:val="none" w:sz="0" w:space="0" w:color="auto"/>
        <w:left w:val="none" w:sz="0" w:space="0" w:color="auto"/>
        <w:bottom w:val="none" w:sz="0" w:space="0" w:color="auto"/>
        <w:right w:val="none" w:sz="0" w:space="0" w:color="auto"/>
      </w:divBdr>
    </w:div>
    <w:div w:id="1026105626">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634974">
      <w:bodyDiv w:val="1"/>
      <w:marLeft w:val="0"/>
      <w:marRight w:val="0"/>
      <w:marTop w:val="0"/>
      <w:marBottom w:val="0"/>
      <w:divBdr>
        <w:top w:val="none" w:sz="0" w:space="0" w:color="auto"/>
        <w:left w:val="none" w:sz="0" w:space="0" w:color="auto"/>
        <w:bottom w:val="none" w:sz="0" w:space="0" w:color="auto"/>
        <w:right w:val="none" w:sz="0" w:space="0" w:color="auto"/>
      </w:divBdr>
    </w:div>
    <w:div w:id="1381780095">
      <w:bodyDiv w:val="1"/>
      <w:marLeft w:val="0"/>
      <w:marRight w:val="0"/>
      <w:marTop w:val="0"/>
      <w:marBottom w:val="0"/>
      <w:divBdr>
        <w:top w:val="none" w:sz="0" w:space="0" w:color="auto"/>
        <w:left w:val="none" w:sz="0" w:space="0" w:color="auto"/>
        <w:bottom w:val="none" w:sz="0" w:space="0" w:color="auto"/>
        <w:right w:val="none" w:sz="0" w:space="0" w:color="auto"/>
      </w:divBdr>
    </w:div>
    <w:div w:id="1509557783">
      <w:bodyDiv w:val="1"/>
      <w:marLeft w:val="0"/>
      <w:marRight w:val="0"/>
      <w:marTop w:val="0"/>
      <w:marBottom w:val="0"/>
      <w:divBdr>
        <w:top w:val="none" w:sz="0" w:space="0" w:color="auto"/>
        <w:left w:val="none" w:sz="0" w:space="0" w:color="auto"/>
        <w:bottom w:val="none" w:sz="0" w:space="0" w:color="auto"/>
        <w:right w:val="none" w:sz="0" w:space="0" w:color="auto"/>
      </w:divBdr>
    </w:div>
    <w:div w:id="1642493038">
      <w:bodyDiv w:val="1"/>
      <w:marLeft w:val="0"/>
      <w:marRight w:val="0"/>
      <w:marTop w:val="0"/>
      <w:marBottom w:val="0"/>
      <w:divBdr>
        <w:top w:val="none" w:sz="0" w:space="0" w:color="auto"/>
        <w:left w:val="none" w:sz="0" w:space="0" w:color="auto"/>
        <w:bottom w:val="none" w:sz="0" w:space="0" w:color="auto"/>
        <w:right w:val="none" w:sz="0" w:space="0" w:color="auto"/>
      </w:divBdr>
    </w:div>
    <w:div w:id="1674183189">
      <w:bodyDiv w:val="1"/>
      <w:marLeft w:val="0"/>
      <w:marRight w:val="0"/>
      <w:marTop w:val="0"/>
      <w:marBottom w:val="0"/>
      <w:divBdr>
        <w:top w:val="none" w:sz="0" w:space="0" w:color="auto"/>
        <w:left w:val="none" w:sz="0" w:space="0" w:color="auto"/>
        <w:bottom w:val="none" w:sz="0" w:space="0" w:color="auto"/>
        <w:right w:val="none" w:sz="0" w:space="0" w:color="auto"/>
      </w:divBdr>
      <w:divsChild>
        <w:div w:id="135488732">
          <w:marLeft w:val="480"/>
          <w:marRight w:val="0"/>
          <w:marTop w:val="0"/>
          <w:marBottom w:val="0"/>
          <w:divBdr>
            <w:top w:val="none" w:sz="0" w:space="0" w:color="auto"/>
            <w:left w:val="none" w:sz="0" w:space="0" w:color="auto"/>
            <w:bottom w:val="none" w:sz="0" w:space="0" w:color="auto"/>
            <w:right w:val="none" w:sz="0" w:space="0" w:color="auto"/>
          </w:divBdr>
          <w:divsChild>
            <w:div w:id="188024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2102">
      <w:bodyDiv w:val="1"/>
      <w:marLeft w:val="0"/>
      <w:marRight w:val="0"/>
      <w:marTop w:val="0"/>
      <w:marBottom w:val="0"/>
      <w:divBdr>
        <w:top w:val="none" w:sz="0" w:space="0" w:color="auto"/>
        <w:left w:val="none" w:sz="0" w:space="0" w:color="auto"/>
        <w:bottom w:val="none" w:sz="0" w:space="0" w:color="auto"/>
        <w:right w:val="none" w:sz="0" w:space="0" w:color="auto"/>
      </w:divBdr>
    </w:div>
    <w:div w:id="1746562628">
      <w:bodyDiv w:val="1"/>
      <w:marLeft w:val="0"/>
      <w:marRight w:val="0"/>
      <w:marTop w:val="0"/>
      <w:marBottom w:val="0"/>
      <w:divBdr>
        <w:top w:val="none" w:sz="0" w:space="0" w:color="auto"/>
        <w:left w:val="none" w:sz="0" w:space="0" w:color="auto"/>
        <w:bottom w:val="none" w:sz="0" w:space="0" w:color="auto"/>
        <w:right w:val="none" w:sz="0" w:space="0" w:color="auto"/>
      </w:divBdr>
    </w:div>
    <w:div w:id="208937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prints.ucm.es/id/eprint/55279/1/T41082.pdf" TargetMode="External"/><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e.es/jaxiT3/Datos.htm?t=4247" TargetMode="External"/><Relationship Id="rId24" Type="http://schemas.openxmlformats.org/officeDocument/2006/relationships/hyperlink" Target="https://ec.europa.eu/regional_policy/sources/reports/cohesion8/8cr_es.pdf"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2.pn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doi.org/10.53479/2977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hyperlink" Target="https://ec.europa.eu/regional_policy/sources/reports/cohesion8/8cr_es.pdf"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doi.org/10.53479/29770" TargetMode="External"/><Relationship Id="rId2" Type="http://schemas.openxmlformats.org/officeDocument/2006/relationships/hyperlink" Target="https://datacomex.comercio.es/" TargetMode="External"/><Relationship Id="rId1" Type="http://schemas.openxmlformats.org/officeDocument/2006/relationships/hyperlink" Target="https://www.ine.es/dyngs/INEbase/es/operacion.htm?c=Estadistica_C&amp;cid=1254736167628&amp;menu=ultiDatos&amp;idp=12547355765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E257E3FEFF644879F51623413B76801"/>
        <w:category>
          <w:name w:val="General"/>
          <w:gallery w:val="placeholder"/>
        </w:category>
        <w:types>
          <w:type w:val="bbPlcHdr"/>
        </w:types>
        <w:behaviors>
          <w:behavior w:val="content"/>
        </w:behaviors>
        <w:guid w:val="{A81D2F16-B404-4B78-AE8E-AF9E4CB6432B}"/>
      </w:docPartPr>
      <w:docPartBody>
        <w:p w:rsidR="00546F50" w:rsidRDefault="00942026" w:rsidP="00942026">
          <w:pPr>
            <w:pStyle w:val="FE257E3FEFF644879F51623413B76801"/>
          </w:pPr>
          <w:r w:rsidRPr="00722470">
            <w:rPr>
              <w:rStyle w:val="Textodelmarcadordeposicin"/>
            </w:rPr>
            <w:t>[Título]</w:t>
          </w:r>
        </w:p>
      </w:docPartBody>
    </w:docPart>
    <w:docPart>
      <w:docPartPr>
        <w:name w:val="5CBC8C7902A24BF2B3B4BF1D7C126A0A"/>
        <w:category>
          <w:name w:val="General"/>
          <w:gallery w:val="placeholder"/>
        </w:category>
        <w:types>
          <w:type w:val="bbPlcHdr"/>
        </w:types>
        <w:behaviors>
          <w:behavior w:val="content"/>
        </w:behaviors>
        <w:guid w:val="{1C6D52CC-7673-4255-89B8-1D6AE138145D}"/>
      </w:docPartPr>
      <w:docPartBody>
        <w:p w:rsidR="00546F50" w:rsidRDefault="00942026" w:rsidP="00942026">
          <w:pPr>
            <w:pStyle w:val="5CBC8C7902A24BF2B3B4BF1D7C126A0A"/>
          </w:pPr>
          <w:r w:rsidRPr="001B5103">
            <w:rPr>
              <w:rStyle w:val="Textodelmarcadordeposicin"/>
            </w:rPr>
            <w:t>[Title]</w:t>
          </w:r>
        </w:p>
      </w:docPartBody>
    </w:docPart>
    <w:docPart>
      <w:docPartPr>
        <w:name w:val="8F1B7E8D1B54440C993B77A47764D277"/>
        <w:category>
          <w:name w:val="General"/>
          <w:gallery w:val="placeholder"/>
        </w:category>
        <w:types>
          <w:type w:val="bbPlcHdr"/>
        </w:types>
        <w:behaviors>
          <w:behavior w:val="content"/>
        </w:behaviors>
        <w:guid w:val="{F7B7DF0B-C0E2-40F7-BBA7-F1FE8E57EEC4}"/>
      </w:docPartPr>
      <w:docPartBody>
        <w:p w:rsidR="00546F50" w:rsidRDefault="00942026" w:rsidP="00942026">
          <w:pPr>
            <w:pStyle w:val="8F1B7E8D1B54440C993B77A47764D277"/>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26"/>
    <w:rsid w:val="00021647"/>
    <w:rsid w:val="00083243"/>
    <w:rsid w:val="003B45C6"/>
    <w:rsid w:val="00465408"/>
    <w:rsid w:val="004E5B91"/>
    <w:rsid w:val="005464D9"/>
    <w:rsid w:val="00546F50"/>
    <w:rsid w:val="00596582"/>
    <w:rsid w:val="005B2420"/>
    <w:rsid w:val="006D13A9"/>
    <w:rsid w:val="00942026"/>
    <w:rsid w:val="00A243EA"/>
    <w:rsid w:val="00B87931"/>
    <w:rsid w:val="00CB3132"/>
    <w:rsid w:val="00EF4D9A"/>
    <w:rsid w:val="00FA6D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46F50"/>
    <w:rPr>
      <w:color w:val="808080"/>
    </w:rPr>
  </w:style>
  <w:style w:type="paragraph" w:customStyle="1" w:styleId="FE257E3FEFF644879F51623413B76801">
    <w:name w:val="FE257E3FEFF644879F51623413B76801"/>
    <w:rsid w:val="00942026"/>
  </w:style>
  <w:style w:type="paragraph" w:customStyle="1" w:styleId="5CBC8C7902A24BF2B3B4BF1D7C126A0A">
    <w:name w:val="5CBC8C7902A24BF2B3B4BF1D7C126A0A"/>
    <w:rsid w:val="00942026"/>
  </w:style>
  <w:style w:type="paragraph" w:customStyle="1" w:styleId="8F1B7E8D1B54440C993B77A47764D277">
    <w:name w:val="8F1B7E8D1B54440C993B77A47764D277"/>
    <w:rsid w:val="009420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F0274-CBE9-4433-95BC-5D712084D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808</TotalTime>
  <Pages>30</Pages>
  <Words>11738</Words>
  <Characters>64564</Characters>
  <Application>Microsoft Office Word</Application>
  <DocSecurity>0</DocSecurity>
  <Lines>538</Lines>
  <Paragraphs>152</Paragraphs>
  <ScaleCrop>false</ScaleCrop>
  <HeadingPairs>
    <vt:vector size="2" baseType="variant">
      <vt:variant>
        <vt:lpstr>Título</vt:lpstr>
      </vt:variant>
      <vt:variant>
        <vt:i4>1</vt:i4>
      </vt:variant>
    </vt:vector>
  </HeadingPairs>
  <TitlesOfParts>
    <vt:vector size="1" baseType="lpstr">
      <vt:lpstr>4.A.17</vt:lpstr>
    </vt:vector>
  </TitlesOfParts>
  <Company/>
  <LinksUpToDate>false</LinksUpToDate>
  <CharactersWithSpaces>76150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4.A.17</dc:title>
  <dc:subject>Economía de las regiones españolas: especialización regional, convergencia real y política de desarrollo regional.</dc:subject>
  <dc:creator>Víctor Gutiérrez Marcos</dc:creator>
  <cp:keywords/>
  <cp:lastModifiedBy>Víctor Gutiérrez Marcos</cp:lastModifiedBy>
  <dcterms:created xsi:type="dcterms:W3CDTF">2023-09-22T17:44:00Z</dcterms:created>
  <dcterms:modified xsi:type="dcterms:W3CDTF">2024-09-23T17:20:00Z</dcterms:modified>
</cp:coreProperties>
</file>