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6106845"/>
    <w:p w14:paraId="58402907" w14:textId="280A1B1C" w:rsidR="00DB07AD" w:rsidRPr="00D14D4B" w:rsidRDefault="00000000" w:rsidP="00D14D4B">
      <w:pPr>
        <w:pStyle w:val="Ttulo"/>
      </w:pPr>
      <w:sdt>
        <w:sdtPr>
          <w:rPr>
            <w:i/>
            <w:u w:val="single"/>
          </w:rPr>
          <w:alias w:val="Title"/>
          <w:tag w:val=""/>
          <w:id w:val="-780801520"/>
          <w:placeholder>
            <w:docPart w:val="1C60BC2FD8724D5E91D00092263AB5E5"/>
          </w:placeholder>
          <w:dataBinding w:prefixMappings="xmlns:ns0='http://purl.org/dc/elements/1.1/' xmlns:ns1='http://schemas.openxmlformats.org/package/2006/metadata/core-properties' " w:xpath="/ns1:coreProperties[1]/ns0:title[1]" w:storeItemID="{6C3C8BC8-F283-45AE-878A-BAB7291924A1}"/>
          <w:text/>
        </w:sdtPr>
        <w:sdtContent>
          <w:r w:rsidR="00D14D4B">
            <w:rPr>
              <w:i/>
              <w:u w:val="single"/>
            </w:rPr>
            <w:t>4.A.11</w:t>
          </w:r>
        </w:sdtContent>
      </w:sdt>
      <w:r w:rsidR="00D14D4B">
        <w:t xml:space="preserve"> :</w:t>
      </w:r>
      <w:r w:rsidR="00D14D4B" w:rsidRPr="004C0C34">
        <w:t xml:space="preserve"> </w:t>
      </w:r>
      <w:sdt>
        <w:sdtPr>
          <w:rPr>
            <w:spacing w:val="-6"/>
          </w:rPr>
          <w:alias w:val="Subject"/>
          <w:tag w:val=""/>
          <w:id w:val="-1903059896"/>
          <w:placeholder>
            <w:docPart w:val="67D675BF471342D6AA962F34BB1F5B61"/>
          </w:placeholder>
          <w:dataBinding w:prefixMappings="xmlns:ns0='http://purl.org/dc/elements/1.1/' xmlns:ns1='http://schemas.openxmlformats.org/package/2006/metadata/core-properties' " w:xpath="/ns1:coreProperties[1]/ns0:subject[1]" w:storeItemID="{6C3C8BC8-F283-45AE-878A-BAB7291924A1}"/>
          <w:text/>
        </w:sdtPr>
        <w:sdtContent>
          <w:r w:rsidR="00D14D4B">
            <w:rPr>
              <w:spacing w:val="-6"/>
            </w:rPr>
            <w:t>El sector de la construcción en España. Problemas y política de vivienda y suelo.</w:t>
          </w:r>
        </w:sdtContent>
      </w:sdt>
    </w:p>
    <w:bookmarkEnd w:id="0"/>
    <w:p w14:paraId="3FDFD58A" w14:textId="6618F599" w:rsidR="00710041" w:rsidRPr="008E3100" w:rsidRDefault="00CE1217" w:rsidP="00F5614D">
      <w:pPr>
        <w:pStyle w:val="Introduccinyconclusin"/>
      </w:pPr>
      <w:r w:rsidRPr="008E3100">
        <w:t>INTRODUCCION</w:t>
      </w:r>
    </w:p>
    <w:p w14:paraId="705446FB" w14:textId="77777777" w:rsidR="00D14D4B" w:rsidRDefault="00D14D4B" w:rsidP="00D14D4B">
      <w:pPr>
        <w:pStyle w:val="Nivel1"/>
        <w:keepNext/>
        <w:spacing w:before="0" w:after="0"/>
      </w:pPr>
      <w:r>
        <w:rPr>
          <w:b/>
          <w:bCs/>
          <w:i/>
          <w:iCs/>
        </w:rPr>
        <w:t>Enganche</w:t>
      </w:r>
      <w:r>
        <w:t>:</w:t>
      </w:r>
    </w:p>
    <w:p w14:paraId="33EFFAC2" w14:textId="77777777" w:rsidR="00A5602F" w:rsidRDefault="00A5602F" w:rsidP="00A5602F">
      <w:pPr>
        <w:pStyle w:val="Nivel2"/>
        <w:keepNext/>
        <w:spacing w:after="0"/>
      </w:pPr>
      <w:bookmarkStart w:id="1" w:name="_Hlk146449166"/>
      <w:r>
        <w:t xml:space="preserve">La </w:t>
      </w:r>
      <w:r w:rsidRPr="006538B4">
        <w:rPr>
          <w:b/>
          <w:bCs/>
        </w:rPr>
        <w:t>producción</w:t>
      </w:r>
      <w:r>
        <w:t xml:space="preserve"> es la actividad económica principal de una economía. En el marco central de la contabilidad nacional, la </w:t>
      </w:r>
      <w:r w:rsidRPr="006538B4">
        <w:rPr>
          <w:i/>
          <w:iCs/>
        </w:rPr>
        <w:t>cuenta de producción</w:t>
      </w:r>
      <w:r>
        <w:t xml:space="preserve"> es la cuenta germinal que va a permitir la generación de rentas con las que se pueden realizar el consumo final, financiar a otros sectores institucionales, etc.</w:t>
      </w:r>
    </w:p>
    <w:p w14:paraId="1873B9F9" w14:textId="77777777" w:rsidR="00A5602F" w:rsidRDefault="00A5602F" w:rsidP="00A5602F">
      <w:pPr>
        <w:pStyle w:val="Nivel3"/>
      </w:pPr>
      <w:r>
        <w:t>Sin embargo, la producción es una actividad heterogénea, de ahí surge la necesidad de dividir la actividad productiva.</w:t>
      </w:r>
    </w:p>
    <w:bookmarkEnd w:id="1"/>
    <w:p w14:paraId="2AB2429A" w14:textId="77777777" w:rsidR="00A5602F" w:rsidRPr="00E70947" w:rsidRDefault="00A5602F" w:rsidP="00A5602F">
      <w:pPr>
        <w:pStyle w:val="Nivel3"/>
        <w:keepNext/>
        <w:rPr>
          <w:spacing w:val="-4"/>
        </w:rPr>
      </w:pPr>
      <w:r w:rsidRPr="00E70947">
        <w:rPr>
          <w:spacing w:val="-4"/>
        </w:rPr>
        <w:t xml:space="preserve">Podemos dividir la actividad económica en 3 grandes sectores: </w:t>
      </w:r>
      <w:r w:rsidRPr="00E70947">
        <w:rPr>
          <w:i/>
          <w:iCs/>
          <w:spacing w:val="-4"/>
        </w:rPr>
        <w:t>primario</w:t>
      </w:r>
      <w:r w:rsidRPr="00E70947">
        <w:rPr>
          <w:spacing w:val="-4"/>
        </w:rPr>
        <w:t xml:space="preserve">, </w:t>
      </w:r>
      <w:r w:rsidRPr="00E70947">
        <w:rPr>
          <w:i/>
          <w:iCs/>
          <w:spacing w:val="-4"/>
        </w:rPr>
        <w:t>secundario</w:t>
      </w:r>
      <w:r w:rsidRPr="00E70947">
        <w:rPr>
          <w:rStyle w:val="Refdenotaalpie"/>
          <w:spacing w:val="-4"/>
        </w:rPr>
        <w:footnoteReference w:id="2"/>
      </w:r>
      <w:r w:rsidRPr="00E70947">
        <w:rPr>
          <w:spacing w:val="-4"/>
        </w:rPr>
        <w:t xml:space="preserve"> y </w:t>
      </w:r>
      <w:r w:rsidRPr="00E70947">
        <w:rPr>
          <w:i/>
          <w:iCs/>
          <w:spacing w:val="-4"/>
        </w:rPr>
        <w:t>terciario</w:t>
      </w:r>
      <w:r w:rsidRPr="00E70947">
        <w:rPr>
          <w:spacing w:val="-4"/>
        </w:rPr>
        <w:t>, que representan respectivamente el 2,57 %, 22,85 % y 74,59 % del PIB nacional</w:t>
      </w:r>
      <w:r w:rsidRPr="00E70947">
        <w:rPr>
          <w:rStyle w:val="Refdenotaalpie"/>
          <w:rFonts w:cs="Times New Roman"/>
          <w:spacing w:val="-4"/>
        </w:rPr>
        <w:footnoteReference w:id="3"/>
      </w:r>
      <w:r w:rsidRPr="00E70947">
        <w:rPr>
          <w:spacing w:val="-4"/>
        </w:rPr>
        <w:t>.</w:t>
      </w:r>
    </w:p>
    <w:p w14:paraId="13B1C9D1" w14:textId="1A87343E" w:rsidR="00A5602F" w:rsidRDefault="00A5602F" w:rsidP="00A5602F">
      <w:pPr>
        <w:pStyle w:val="Nivel4"/>
      </w:pPr>
      <w:r w:rsidRPr="00D53E8F">
        <w:t>E</w:t>
      </w:r>
      <w:r>
        <w:t>n esta exposición nos centraremos en el sector secundario y, en particular, en el sector de la construcción en España</w:t>
      </w:r>
      <w:r w:rsidRPr="00D53E8F">
        <w:t>.</w:t>
      </w:r>
    </w:p>
    <w:p w14:paraId="0BA16E51" w14:textId="77777777" w:rsidR="00D14D4B" w:rsidRDefault="00D14D4B" w:rsidP="00D14D4B">
      <w:pPr>
        <w:pStyle w:val="Nivel1"/>
        <w:keepNext/>
        <w:spacing w:after="0"/>
      </w:pPr>
      <w:r>
        <w:rPr>
          <w:b/>
          <w:bCs/>
          <w:i/>
          <w:iCs/>
        </w:rPr>
        <w:t>Relevancia</w:t>
      </w:r>
      <w:bookmarkStart w:id="2" w:name="_Hlk145917891"/>
      <w:r>
        <w:t>:</w:t>
      </w:r>
      <w:bookmarkEnd w:id="2"/>
    </w:p>
    <w:p w14:paraId="21CF1C9C" w14:textId="7BC7A1F4" w:rsidR="00B77315" w:rsidRDefault="00B77315" w:rsidP="002B5790">
      <w:pPr>
        <w:pStyle w:val="Nivel2"/>
        <w:keepNext/>
        <w:spacing w:after="0"/>
      </w:pPr>
      <w:r>
        <w:t>El estudio del sector de la construcción en nuestro país es de especial relevancia por múltiples motivos:</w:t>
      </w:r>
    </w:p>
    <w:p w14:paraId="57334B5A" w14:textId="2B8E3986" w:rsidR="002B5790" w:rsidRDefault="00B77315" w:rsidP="00B77315">
      <w:pPr>
        <w:pStyle w:val="Nivel3"/>
      </w:pPr>
      <w:r w:rsidRPr="00B77315">
        <w:rPr>
          <w:i/>
          <w:iCs/>
          <w:spacing w:val="-2"/>
          <w:u w:val="single"/>
        </w:rPr>
        <w:t>Ha sido origen de uno de los mayores desequilibrios en la historia económica reciente de España</w:t>
      </w:r>
      <w:r>
        <w:t xml:space="preserve">. </w:t>
      </w:r>
      <w:r w:rsidR="002B5790">
        <w:t xml:space="preserve">Con la burbuja inmobiliaria de comienzos de siglo </w:t>
      </w:r>
      <w:r w:rsidR="002B5790" w:rsidRPr="009A0A2B">
        <w:rPr>
          <w:b/>
          <w:bCs/>
        </w:rPr>
        <w:t>el VAB de la construcción</w:t>
      </w:r>
      <w:r w:rsidR="002B5790">
        <w:t xml:space="preserve"> llegó a alcanzar el 10,4 % en 2008. Después de la crisis, en 2014, solo representaba el 5,2 %. En 2019, tras un quinquenio de crecimiento económico, el sector se está recuperando muy lentamente y </w:t>
      </w:r>
      <w:r w:rsidR="00DA2AC4">
        <w:t>representa cerca</w:t>
      </w:r>
      <w:r w:rsidR="002B5790">
        <w:t xml:space="preserve"> </w:t>
      </w:r>
      <w:r w:rsidR="00DA2AC4">
        <w:t>d</w:t>
      </w:r>
      <w:r w:rsidR="002B5790">
        <w:t xml:space="preserve">el 6 %. Con los efectos de la pandemia ha vuelto a estancarse y, </w:t>
      </w:r>
      <w:r w:rsidR="002B5790" w:rsidRPr="009A0A2B">
        <w:rPr>
          <w:b/>
          <w:bCs/>
        </w:rPr>
        <w:t>en 202</w:t>
      </w:r>
      <w:r w:rsidR="00DA2AC4">
        <w:rPr>
          <w:b/>
          <w:bCs/>
        </w:rPr>
        <w:t>2</w:t>
      </w:r>
      <w:r w:rsidR="002B5790" w:rsidRPr="009A0A2B">
        <w:rPr>
          <w:b/>
          <w:bCs/>
        </w:rPr>
        <w:t>, representa el 5,</w:t>
      </w:r>
      <w:r w:rsidR="00DA2AC4">
        <w:rPr>
          <w:b/>
          <w:bCs/>
        </w:rPr>
        <w:t>4</w:t>
      </w:r>
      <w:r w:rsidR="002B5790" w:rsidRPr="009A0A2B">
        <w:rPr>
          <w:b/>
          <w:bCs/>
        </w:rPr>
        <w:t> % del PIB español</w:t>
      </w:r>
      <w:r w:rsidR="002B5790">
        <w:t>.</w:t>
      </w:r>
    </w:p>
    <w:p w14:paraId="5CE53FDF" w14:textId="118F3B58" w:rsidR="00F84ED3" w:rsidRDefault="00F84ED3" w:rsidP="00FD4509">
      <w:pPr>
        <w:pStyle w:val="Nivel3"/>
        <w:keepNext/>
      </w:pPr>
      <w:r w:rsidRPr="00A91C87">
        <w:rPr>
          <w:i/>
          <w:iCs/>
          <w:u w:val="single"/>
        </w:rPr>
        <w:t>Está íntimamente ligado al mercado inmobiliario, determinando su oferta</w:t>
      </w:r>
      <w:r>
        <w:t>. Esta oferta es además muy rígida en el corto plazo, lo que provoca que los ajustes se realicen vía precios, pudiendo dar lugar a burbujas especulativas.</w:t>
      </w:r>
    </w:p>
    <w:p w14:paraId="61D0290C" w14:textId="20D1D0B4" w:rsidR="00F84ED3" w:rsidRPr="00A91C87" w:rsidRDefault="00FD4509" w:rsidP="00FD4509">
      <w:pPr>
        <w:pStyle w:val="Nivel4"/>
      </w:pPr>
      <w:r>
        <w:t>En este sentido</w:t>
      </w:r>
      <w:r w:rsidR="00F84ED3" w:rsidRPr="00A91C87">
        <w:t xml:space="preserve">, cabe destacar su </w:t>
      </w:r>
      <w:r w:rsidR="00F84ED3" w:rsidRPr="00A91C87">
        <w:rPr>
          <w:i/>
          <w:iCs/>
          <w:u w:val="single"/>
        </w:rPr>
        <w:t>importancia en términos sociales</w:t>
      </w:r>
      <w:r w:rsidR="00F84ED3" w:rsidRPr="00A91C87">
        <w:t>. Así, la vivienda se considera un bien preferente dentro del Estado del Bienestar, y el acceso a la misma es un derecho recogido por el artículo 47 de la Constitución Española. Por ello, la política de vivienda y del suelo juega un papel fundamental como elemento regulador del sector.</w:t>
      </w:r>
    </w:p>
    <w:p w14:paraId="07B48BA6" w14:textId="77777777" w:rsidR="00D14D4B" w:rsidRDefault="00D14D4B" w:rsidP="00D14D4B">
      <w:pPr>
        <w:pStyle w:val="Nivel1"/>
        <w:keepNext/>
        <w:spacing w:after="0"/>
      </w:pPr>
      <w:r>
        <w:rPr>
          <w:b/>
          <w:bCs/>
          <w:i/>
          <w:iCs/>
        </w:rPr>
        <w:t>Contextualización</w:t>
      </w:r>
      <w:r>
        <w:t>:</w:t>
      </w:r>
    </w:p>
    <w:p w14:paraId="13BC7029" w14:textId="77777777" w:rsidR="00FC208F" w:rsidRPr="00F5083E" w:rsidRDefault="00FC208F" w:rsidP="00FC208F">
      <w:pPr>
        <w:pStyle w:val="Nivel2"/>
        <w:keepNext/>
        <w:spacing w:after="0"/>
        <w:rPr>
          <w:spacing w:val="-2"/>
        </w:rPr>
      </w:pPr>
      <w:r w:rsidRPr="00F5083E">
        <w:rPr>
          <w:i/>
          <w:iCs/>
          <w:spacing w:val="-2"/>
        </w:rPr>
        <w:t>Desde un punto de vista histórico</w:t>
      </w:r>
      <w:r w:rsidRPr="00F5083E">
        <w:rPr>
          <w:spacing w:val="-2"/>
        </w:rPr>
        <w:t>, el peso de los distintos sectores no siempre ha sido el mismo.</w:t>
      </w:r>
    </w:p>
    <w:p w14:paraId="38CFFE9F" w14:textId="62360118" w:rsidR="002B5790" w:rsidRDefault="002B5790" w:rsidP="002B5790">
      <w:pPr>
        <w:pStyle w:val="Nivel3"/>
      </w:pPr>
      <w:r>
        <w:t>Así, hasta los años 50, la mayor parte de la población activa pertenecía al sector agrario. Esto provocaba que los ciclos económicos viniese</w:t>
      </w:r>
      <w:r w:rsidR="008249E4">
        <w:t>n</w:t>
      </w:r>
      <w:r>
        <w:t xml:space="preserve"> marcados por las cosechas y que los productos primarios constituyesen el grueso de las exportaciones.</w:t>
      </w:r>
    </w:p>
    <w:p w14:paraId="1E67FE05" w14:textId="77777777" w:rsidR="002B5790" w:rsidRPr="003500E3" w:rsidRDefault="002B5790" w:rsidP="002B5790">
      <w:pPr>
        <w:pStyle w:val="Nivel3"/>
        <w:keepNext/>
        <w:rPr>
          <w:spacing w:val="-2"/>
        </w:rPr>
      </w:pPr>
      <w:r>
        <w:lastRenderedPageBreak/>
        <w:t>Sin embargo, a mediados del siglo XX se inicia un intenso proceso de industrialización.</w:t>
      </w:r>
    </w:p>
    <w:p w14:paraId="1688BAA5" w14:textId="77777777" w:rsidR="002B5790" w:rsidRPr="007841B8" w:rsidRDefault="002B5790" w:rsidP="002B5790">
      <w:pPr>
        <w:pStyle w:val="Nivel4"/>
        <w:rPr>
          <w:spacing w:val="-3"/>
        </w:rPr>
      </w:pPr>
      <w:r w:rsidRPr="007841B8">
        <w:rPr>
          <w:spacing w:val="-3"/>
        </w:rPr>
        <w:t>Inicialmente, la industria se desarrollaba en un contexto de autarquía caracterizado por una fuerte protección comercial y un sector público omnipresente.</w:t>
      </w:r>
    </w:p>
    <w:p w14:paraId="166D0198" w14:textId="77777777" w:rsidR="002B5790" w:rsidRPr="003500E3" w:rsidRDefault="002B5790" w:rsidP="002B5790">
      <w:pPr>
        <w:pStyle w:val="Nivel4"/>
      </w:pPr>
      <w:r>
        <w:t>No obstante, la aprobación en 1959 del Plan de Estabilización supuso un punto de inflexión al pasar de un modelo de desarrollo autárquico a un modelo caracterizado por la progresiva apertura exterior.</w:t>
      </w:r>
    </w:p>
    <w:p w14:paraId="6EE2D9CA" w14:textId="77777777" w:rsidR="002B5790" w:rsidRPr="00B90338" w:rsidRDefault="002B5790" w:rsidP="002B5790">
      <w:pPr>
        <w:pStyle w:val="Nivel3"/>
        <w:keepNext/>
        <w:rPr>
          <w:spacing w:val="-2"/>
        </w:rPr>
      </w:pPr>
      <w:r>
        <w:t xml:space="preserve">De este modo, </w:t>
      </w:r>
      <w:r>
        <w:rPr>
          <w:spacing w:val="-2"/>
        </w:rPr>
        <w:t>l</w:t>
      </w:r>
      <w:r w:rsidRPr="00B90338">
        <w:rPr>
          <w:spacing w:val="-2"/>
        </w:rPr>
        <w:t>a economía española ha experimentado un importante cambio a lo largo de las últimas 7 décadas tanto desde un punto de vista político como desde un punto de vista económico.</w:t>
      </w:r>
    </w:p>
    <w:p w14:paraId="0FCA15B8" w14:textId="77777777" w:rsidR="002B5790" w:rsidRDefault="002B5790" w:rsidP="002B5790">
      <w:pPr>
        <w:pStyle w:val="Nivel4"/>
      </w:pPr>
      <w:r>
        <w:t>Desde un punto de vista político, el país ha pasado de un régimen autoritario a un régimen democrático.</w:t>
      </w:r>
    </w:p>
    <w:p w14:paraId="56AFE6B8" w14:textId="77777777" w:rsidR="002B5790" w:rsidRDefault="002B5790" w:rsidP="002B5790">
      <w:pPr>
        <w:pStyle w:val="Nivel4"/>
        <w:keepNext/>
      </w:pPr>
      <w:r>
        <w:t>Desde un punto de vista económico, ha pasado a estar caracterizado por un régimen de autarquía a formar parte del proceso de integración más avanzado del mundo: La Unión Económica y Monetaria Europea.</w:t>
      </w:r>
    </w:p>
    <w:p w14:paraId="3533077F" w14:textId="77777777" w:rsidR="002B5790" w:rsidRPr="00C51118" w:rsidRDefault="002B5790" w:rsidP="002B5790">
      <w:pPr>
        <w:pStyle w:val="Nivel5"/>
        <w:rPr>
          <w:spacing w:val="-3"/>
        </w:rPr>
      </w:pPr>
      <w:r w:rsidRPr="00C51118">
        <w:rPr>
          <w:spacing w:val="-3"/>
        </w:rPr>
        <w:t>A lo largo de estas 7 décadas todos los sectores ya sean del mercado de bienes o de servicios o de factores productivos han sido reformados de cara a adaptarse mejor a un sistema internacional económico cada vez más globalizado.</w:t>
      </w:r>
    </w:p>
    <w:p w14:paraId="01B36723" w14:textId="77777777" w:rsidR="002B5790" w:rsidRDefault="002B5790" w:rsidP="002B5790">
      <w:pPr>
        <w:pStyle w:val="Nivel5"/>
      </w:pPr>
      <w:r>
        <w:t>Además, la economía española ha pasado de estar dominada por el sector agrícola a ser una economía terciaria. La economía española desde hace décadas presenta una economía muy terciarizada: en 1995 el sector servicios ya representaba el 60,4 % del PIB nominal y ocupaba al 64,6 % de la fuerza laboral. Si bien este sector ha seguido avanzando y, en 2021, estas cifras son 67,2 % y 78,0 %, respectivamente</w:t>
      </w:r>
      <w:r w:rsidRPr="00F11080">
        <w:rPr>
          <w:vertAlign w:val="superscript"/>
        </w:rPr>
        <w:footnoteReference w:id="4"/>
      </w:r>
      <w:r>
        <w:t>.</w:t>
      </w:r>
    </w:p>
    <w:p w14:paraId="6A3BE278" w14:textId="77777777" w:rsidR="002B5790" w:rsidRDefault="002B5790" w:rsidP="002B5790">
      <w:pPr>
        <w:pStyle w:val="Nivel4"/>
        <w:keepNext/>
        <w:numPr>
          <w:ilvl w:val="0"/>
          <w:numId w:val="0"/>
        </w:numPr>
        <w:ind w:left="1899"/>
      </w:pPr>
      <w:r>
        <w:t xml:space="preserve">El caso del sector de la construcción no ha sido una excepción experimentando por ejemplo el subsector de la construcción residencial un enorme cambio. </w:t>
      </w:r>
    </w:p>
    <w:p w14:paraId="166BF667" w14:textId="77777777" w:rsidR="002B5790" w:rsidRDefault="002B5790" w:rsidP="002B5790">
      <w:pPr>
        <w:pStyle w:val="Nivel5"/>
      </w:pPr>
      <w:r>
        <w:t>Además en el sector de la edificación residencial, presenta notables problemas estructurales que están detrás de la GCF que ha puesto fin a una fase expansiva espacialmente prolongada.</w:t>
      </w:r>
    </w:p>
    <w:p w14:paraId="5A884E94" w14:textId="77777777" w:rsidR="002B5790" w:rsidRDefault="002B5790" w:rsidP="002B5790">
      <w:pPr>
        <w:pStyle w:val="Nivel2"/>
        <w:keepNext/>
        <w:spacing w:after="0"/>
      </w:pPr>
      <w:r>
        <w:t>Para precisar más las actividades económicas, podemos servirnos de la CNAE de 2009.</w:t>
      </w:r>
    </w:p>
    <w:p w14:paraId="149F53AC" w14:textId="77777777" w:rsidR="002B5790" w:rsidRDefault="002B5790" w:rsidP="002B5790">
      <w:pPr>
        <w:pStyle w:val="Nivel3"/>
        <w:keepNext/>
        <w:rPr>
          <w:spacing w:val="-2"/>
        </w:rPr>
      </w:pPr>
      <w:r w:rsidRPr="008E66B0">
        <w:rPr>
          <w:spacing w:val="-2"/>
        </w:rPr>
        <w:t xml:space="preserve">Esta divide al sector industrial (si lo concebimos en sentido amplio) en </w:t>
      </w:r>
      <w:r w:rsidRPr="008E66B0">
        <w:rPr>
          <w:i/>
          <w:iCs/>
          <w:spacing w:val="-2"/>
        </w:rPr>
        <w:t>Industrias extractivas, suministro de energía y suministro de agua</w:t>
      </w:r>
      <w:r w:rsidRPr="008E66B0">
        <w:rPr>
          <w:spacing w:val="-2"/>
        </w:rPr>
        <w:t xml:space="preserve"> (BDE) e </w:t>
      </w:r>
      <w:r w:rsidRPr="008E66B0">
        <w:rPr>
          <w:i/>
          <w:iCs/>
          <w:spacing w:val="-2"/>
        </w:rPr>
        <w:t>Industria manufacturera</w:t>
      </w:r>
      <w:r w:rsidRPr="008E66B0">
        <w:rPr>
          <w:spacing w:val="-2"/>
        </w:rPr>
        <w:t xml:space="preserve"> (C)</w:t>
      </w:r>
      <w:r>
        <w:rPr>
          <w:spacing w:val="-2"/>
        </w:rPr>
        <w:t xml:space="preserve"> y </w:t>
      </w:r>
      <w:r w:rsidRPr="007E1D71">
        <w:rPr>
          <w:i/>
          <w:iCs/>
          <w:spacing w:val="-2"/>
        </w:rPr>
        <w:t>construcción</w:t>
      </w:r>
      <w:r>
        <w:rPr>
          <w:spacing w:val="-2"/>
        </w:rPr>
        <w:t xml:space="preserve"> (F)</w:t>
      </w:r>
      <w:r w:rsidRPr="008E66B0">
        <w:rPr>
          <w:spacing w:val="-2"/>
        </w:rPr>
        <w:t>.</w:t>
      </w:r>
    </w:p>
    <w:p w14:paraId="143DE896" w14:textId="77777777" w:rsidR="002B5790" w:rsidRDefault="002B5790" w:rsidP="002B36F2">
      <w:pPr>
        <w:pStyle w:val="Nivel4"/>
      </w:pPr>
      <w:r>
        <w:t>La construcción es la rama del sector secundario que engloba el conjunto de actividades que tienen como fin último la provisión de edificaciones e infraestructuras de un territorio.</w:t>
      </w:r>
    </w:p>
    <w:p w14:paraId="7659065D" w14:textId="77777777" w:rsidR="00D14D4B" w:rsidRDefault="00D14D4B" w:rsidP="00D14D4B">
      <w:pPr>
        <w:pStyle w:val="Nivel1"/>
        <w:keepNext/>
        <w:spacing w:after="0"/>
      </w:pPr>
      <w:r>
        <w:rPr>
          <w:b/>
          <w:bCs/>
          <w:i/>
          <w:iCs/>
        </w:rPr>
        <w:t>Problemática</w:t>
      </w:r>
      <w:r>
        <w:t>:</w:t>
      </w:r>
    </w:p>
    <w:p w14:paraId="50560FAD" w14:textId="5A887C86" w:rsidR="00D14D4B" w:rsidRDefault="00D14D4B" w:rsidP="00D14D4B">
      <w:pPr>
        <w:pStyle w:val="Nivel2"/>
      </w:pPr>
      <w:r w:rsidRPr="008E3100">
        <w:t>El objetivo de est</w:t>
      </w:r>
      <w:r w:rsidR="0067452A">
        <w:t>a</w:t>
      </w:r>
      <w:r w:rsidRPr="008E3100">
        <w:t xml:space="preserve"> </w:t>
      </w:r>
      <w:r w:rsidR="0067452A">
        <w:t>exposición</w:t>
      </w:r>
      <w:r w:rsidRPr="008E3100">
        <w:t xml:space="preserve"> será llevar a cabo un análisis algo más en profundidad del sec</w:t>
      </w:r>
      <w:r>
        <w:t>tor de la construcción español</w:t>
      </w:r>
      <w:r w:rsidR="0067452A">
        <w:t>.</w:t>
      </w:r>
    </w:p>
    <w:p w14:paraId="10A43D49" w14:textId="77777777" w:rsidR="00D14D4B" w:rsidRDefault="00D14D4B" w:rsidP="00D14D4B">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D14D4B" w14:paraId="08DB56B0" w14:textId="77777777" w:rsidTr="00CD466E">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3936DAD" w14:textId="49E33953" w:rsidR="00D14D4B" w:rsidRPr="00CD466E" w:rsidRDefault="00D14D4B" w:rsidP="00CD466E">
      <w:pPr>
        <w:spacing w:after="0"/>
        <w:rPr>
          <w:color w:val="E2EFD9" w:themeColor="accent6" w:themeTint="33"/>
          <w:sz w:val="2"/>
          <w:szCs w:val="2"/>
        </w:rPr>
      </w:pPr>
      <w:r w:rsidRPr="00CD466E">
        <w:rPr>
          <w:sz w:val="2"/>
          <w:szCs w:val="2"/>
        </w:rPr>
        <w:br w:type="page"/>
      </w:r>
    </w:p>
    <w:p w14:paraId="6F38904E" w14:textId="22D23F8A" w:rsidR="005E669F" w:rsidRPr="00F5614D" w:rsidRDefault="0020684D" w:rsidP="0020684D">
      <w:pPr>
        <w:pStyle w:val="Ttulo1"/>
      </w:pPr>
      <w:bookmarkStart w:id="3" w:name="_Toc177740099"/>
      <w:r>
        <w:lastRenderedPageBreak/>
        <w:t>ANÁLISIS DESCRIPTIVO ESTÁTICO</w:t>
      </w:r>
      <w:bookmarkEnd w:id="3"/>
    </w:p>
    <w:p w14:paraId="4F7D0B9B" w14:textId="77777777" w:rsidR="00326166" w:rsidRDefault="0020684D" w:rsidP="0020684D">
      <w:pPr>
        <w:pStyle w:val="Ttulo2"/>
      </w:pPr>
      <w:bookmarkStart w:id="4" w:name="_Toc177740100"/>
      <w:r>
        <w:t>¿</w:t>
      </w:r>
      <w:r w:rsidR="00326166">
        <w:t>Qué</w:t>
      </w:r>
      <w:r>
        <w:t>?</w:t>
      </w:r>
      <w:bookmarkEnd w:id="4"/>
    </w:p>
    <w:p w14:paraId="71E04AC5" w14:textId="77777777" w:rsidR="00326166" w:rsidRDefault="00326166" w:rsidP="00CD466E">
      <w:pPr>
        <w:pStyle w:val="Ttulo3"/>
        <w:spacing w:before="0"/>
      </w:pPr>
      <w:bookmarkStart w:id="5" w:name="_Toc177740101"/>
      <w:r>
        <w:t>Delimitación del sector y subsectores</w:t>
      </w:r>
      <w:bookmarkEnd w:id="5"/>
    </w:p>
    <w:p w14:paraId="5C494FE5" w14:textId="13246393" w:rsidR="00F7166C" w:rsidRPr="00F7166C" w:rsidRDefault="00F7166C" w:rsidP="00F7166C">
      <w:pPr>
        <w:pStyle w:val="Nivel2SM"/>
      </w:pPr>
      <w:r>
        <w:t>La construcción es la rama del sector secundario que engloba el conjunto de actividades que tienen como fin último la provisión de edificaciones e infraestructuras de un territorio.</w:t>
      </w:r>
    </w:p>
    <w:p w14:paraId="203B5863" w14:textId="057BBE39" w:rsidR="00326166" w:rsidRDefault="00984C77" w:rsidP="00326166">
      <w:pPr>
        <w:pStyle w:val="Ttulo3"/>
      </w:pPr>
      <w:bookmarkStart w:id="6" w:name="_Toc177740102"/>
      <w:r>
        <w:t>Características</w:t>
      </w:r>
      <w:bookmarkEnd w:id="6"/>
    </w:p>
    <w:p w14:paraId="697BF387" w14:textId="77777777" w:rsidR="00F05BE4" w:rsidRDefault="00F05BE4" w:rsidP="00F7166C">
      <w:pPr>
        <w:pStyle w:val="Ttulo6"/>
        <w:spacing w:before="0"/>
      </w:pPr>
      <w:r>
        <w:t>Trabajo</w:t>
      </w:r>
    </w:p>
    <w:p w14:paraId="3D5ACBAF" w14:textId="20E1DF4A" w:rsidR="00F05BE4" w:rsidRDefault="00F05BE4" w:rsidP="00F05BE4">
      <w:pPr>
        <w:pStyle w:val="Nivel2SM"/>
      </w:pPr>
      <w:r>
        <w:t>Intensivo en trabajo.</w:t>
      </w:r>
    </w:p>
    <w:p w14:paraId="70C41C6D" w14:textId="7D489359" w:rsidR="00F05BE4" w:rsidRDefault="00F05BE4" w:rsidP="00F05BE4">
      <w:pPr>
        <w:pStyle w:val="Nivel2SM"/>
      </w:pPr>
      <w:r>
        <w:t>Elevada participación de inmigrantes.</w:t>
      </w:r>
    </w:p>
    <w:p w14:paraId="38501C6B" w14:textId="3F5860E1" w:rsidR="00F05BE4" w:rsidRDefault="00F05BE4" w:rsidP="00F05BE4">
      <w:pPr>
        <w:pStyle w:val="Nivel2SM"/>
      </w:pPr>
      <w:r>
        <w:t>Elevada temporalidad (tasa de temporalidad del sector del 40 % frente a una media del 26 %)</w:t>
      </w:r>
      <w:r w:rsidR="00F565F5">
        <w:t>.</w:t>
      </w:r>
    </w:p>
    <w:p w14:paraId="00022A80" w14:textId="2324695B" w:rsidR="00F565F5" w:rsidRDefault="00F565F5" w:rsidP="00F05BE4">
      <w:pPr>
        <w:pStyle w:val="Nivel2SM"/>
      </w:pPr>
      <w:r>
        <w:t>Alta siniestralidad laboral.</w:t>
      </w:r>
    </w:p>
    <w:p w14:paraId="31FB8A1C" w14:textId="1D7BA4A3" w:rsidR="00F565F5" w:rsidRPr="00F05BE4" w:rsidRDefault="00F565F5" w:rsidP="00F05BE4">
      <w:pPr>
        <w:pStyle w:val="Nivel2SM"/>
      </w:pPr>
      <w:r>
        <w:t>Una de las actividades donde más se da la economía sumergida.</w:t>
      </w:r>
    </w:p>
    <w:p w14:paraId="544DCC72" w14:textId="77777777" w:rsidR="00F05BE4" w:rsidRDefault="00F05BE4" w:rsidP="00F7166C">
      <w:pPr>
        <w:pStyle w:val="Ttulo6"/>
        <w:spacing w:before="0"/>
      </w:pPr>
      <w:r>
        <w:t>Tierra</w:t>
      </w:r>
    </w:p>
    <w:p w14:paraId="1364F6F7" w14:textId="517DB976" w:rsidR="00F05BE4" w:rsidRPr="00F05BE4" w:rsidRDefault="00F565F5" w:rsidP="00F05BE4">
      <w:pPr>
        <w:pStyle w:val="Nivel2SM"/>
      </w:pPr>
      <w:r>
        <w:t>Rigidez de la oferta: limitación del espacio urbanizable.</w:t>
      </w:r>
    </w:p>
    <w:p w14:paraId="243F767B" w14:textId="031EEBEE" w:rsidR="00984C77" w:rsidRPr="00F5614D" w:rsidRDefault="00984C77" w:rsidP="00F7166C">
      <w:pPr>
        <w:pStyle w:val="Ttulo6"/>
        <w:spacing w:before="0"/>
      </w:pPr>
      <w:r w:rsidRPr="008E3100">
        <w:t xml:space="preserve">Estructura </w:t>
      </w:r>
      <w:r w:rsidRPr="0020684D">
        <w:t>empresarial</w:t>
      </w:r>
    </w:p>
    <w:p w14:paraId="31B100D6" w14:textId="77777777" w:rsidR="00984C77" w:rsidRPr="00F5614D" w:rsidRDefault="00984C77" w:rsidP="00984C77">
      <w:pPr>
        <w:pStyle w:val="Ttulo7"/>
        <w:spacing w:before="0"/>
        <w:rPr>
          <w:lang w:val="en-GB"/>
        </w:rPr>
      </w:pPr>
      <w:r w:rsidRPr="008E3100">
        <w:t>Dualidad</w:t>
      </w:r>
    </w:p>
    <w:p w14:paraId="6E79D566" w14:textId="77777777" w:rsidR="00984C77" w:rsidRPr="008E3100" w:rsidRDefault="00984C77" w:rsidP="00984C77">
      <w:pPr>
        <w:pStyle w:val="Nivel2SM"/>
        <w:keepNext/>
        <w:spacing w:after="0"/>
      </w:pPr>
      <w:r w:rsidRPr="008E3100">
        <w:t xml:space="preserve">Según el Directorio Central de Empresas, en 2017 había </w:t>
      </w:r>
      <w:r w:rsidRPr="008E3100">
        <w:rPr>
          <w:b/>
        </w:rPr>
        <w:t>400.000</w:t>
      </w:r>
      <w:r>
        <w:t> </w:t>
      </w:r>
      <w:r w:rsidRPr="008E3100">
        <w:t>empresas de la construcción.</w:t>
      </w:r>
    </w:p>
    <w:p w14:paraId="52FCAB15" w14:textId="77777777" w:rsidR="00984C77" w:rsidRPr="008E3100" w:rsidRDefault="00984C77" w:rsidP="00984C77">
      <w:pPr>
        <w:pStyle w:val="Nivel3SM"/>
      </w:pPr>
      <w:r w:rsidRPr="008E3100">
        <w:t xml:space="preserve">Un análisis más en detalle revela que existen </w:t>
      </w:r>
      <w:r w:rsidRPr="008E3100">
        <w:rPr>
          <w:b/>
        </w:rPr>
        <w:t>muchas empresas pequeñas</w:t>
      </w:r>
      <w:r w:rsidRPr="008E3100">
        <w:t xml:space="preserve"> (el 96</w:t>
      </w:r>
      <w:r>
        <w:t> </w:t>
      </w:r>
      <w:r w:rsidRPr="008E3100">
        <w:t>% tenía menos de 10</w:t>
      </w:r>
      <w:r>
        <w:t> </w:t>
      </w:r>
      <w:r w:rsidRPr="008E3100">
        <w:t xml:space="preserve">asalariados), y </w:t>
      </w:r>
      <w:r w:rsidRPr="008E3100">
        <w:rPr>
          <w:b/>
        </w:rPr>
        <w:t>unas pocas empresas grandes</w:t>
      </w:r>
      <w:r w:rsidRPr="008E3100">
        <w:t xml:space="preserve"> (sólo 67 tenían más de 500</w:t>
      </w:r>
      <w:r>
        <w:t> </w:t>
      </w:r>
      <w:r w:rsidRPr="008E3100">
        <w:t>asalariados). Por lo tanto, existe una fuerte dualidad.</w:t>
      </w:r>
    </w:p>
    <w:p w14:paraId="423C1660" w14:textId="77777777" w:rsidR="00984C77" w:rsidRPr="008E3100" w:rsidRDefault="00984C77" w:rsidP="00984C77">
      <w:pPr>
        <w:pStyle w:val="Ttulo7"/>
      </w:pPr>
      <w:r w:rsidRPr="008E3100">
        <w:t>Grandes empresas</w:t>
      </w:r>
    </w:p>
    <w:p w14:paraId="1633413C" w14:textId="77777777" w:rsidR="00984C77" w:rsidRPr="008E3100" w:rsidRDefault="00984C77" w:rsidP="00984C77">
      <w:pPr>
        <w:pStyle w:val="Nivel2SM"/>
        <w:keepNext/>
        <w:spacing w:after="0"/>
      </w:pPr>
      <w:r w:rsidRPr="008E3100">
        <w:t xml:space="preserve">España cuenta en la actualidad con </w:t>
      </w:r>
      <w:r w:rsidRPr="00FF3AE4">
        <w:rPr>
          <w:b/>
          <w:bCs/>
        </w:rPr>
        <w:t>6 grandes empresas españolas</w:t>
      </w:r>
      <w:r w:rsidRPr="008E3100">
        <w:t xml:space="preserve"> que destacan por encima del resto: ACS, Acciona, FCC</w:t>
      </w:r>
      <w:r>
        <w:t xml:space="preserve"> (</w:t>
      </w:r>
      <w:r w:rsidRPr="008B1229">
        <w:t>Fomento de Construcciones y Contratas, S. A.</w:t>
      </w:r>
      <w:r>
        <w:t>)</w:t>
      </w:r>
      <w:r w:rsidRPr="008E3100">
        <w:t xml:space="preserve">, Ferrovial, Sacyr y OHL. Se agrupan en </w:t>
      </w:r>
      <w:r w:rsidRPr="00FF3AE4">
        <w:rPr>
          <w:b/>
          <w:bCs/>
        </w:rPr>
        <w:t>SEOPAN</w:t>
      </w:r>
      <w:r w:rsidRPr="008E3100">
        <w:t xml:space="preserve"> (patronal de las grandes constructoras).</w:t>
      </w:r>
    </w:p>
    <w:p w14:paraId="475A64E7" w14:textId="77777777" w:rsidR="00984C77" w:rsidRPr="008E3100" w:rsidRDefault="00984C77" w:rsidP="00984C77">
      <w:pPr>
        <w:pStyle w:val="Nivel3SM"/>
      </w:pPr>
      <w:r w:rsidRPr="008E3100">
        <w:t>Se suelen encargar principalmente de las grandes obras públicas, ya que por su tamaño son las únicas capaces de acceder a su licitación.</w:t>
      </w:r>
    </w:p>
    <w:p w14:paraId="71DDBE0B" w14:textId="77777777" w:rsidR="00984C77" w:rsidRPr="008E3100" w:rsidRDefault="00984C77" w:rsidP="00984C77">
      <w:pPr>
        <w:pStyle w:val="Nivel2SM"/>
        <w:keepNext/>
        <w:spacing w:after="0"/>
      </w:pPr>
      <w:r w:rsidRPr="008E3100">
        <w:t>En respuesta a la crisis del sector, estas empresas han intensificado</w:t>
      </w:r>
      <w:r>
        <w:t>:</w:t>
      </w:r>
    </w:p>
    <w:p w14:paraId="62D09AD0" w14:textId="77777777" w:rsidR="00984C77" w:rsidRPr="00FF3AE4" w:rsidRDefault="00984C77" w:rsidP="00984C77">
      <w:pPr>
        <w:pStyle w:val="Nivel3SM"/>
      </w:pPr>
      <w:r w:rsidRPr="00FF3AE4">
        <w:rPr>
          <w:i/>
          <w:iCs/>
          <w:u w:val="single"/>
        </w:rPr>
        <w:t>Diversificación</w:t>
      </w:r>
      <w:r>
        <w:t>. Por ejemplo</w:t>
      </w:r>
      <w:r w:rsidRPr="008E3100">
        <w:t xml:space="preserve"> Acciona ha reorientado su actividad hacia la e</w:t>
      </w:r>
      <w:r>
        <w:t xml:space="preserve">nergía, buscando convertirse líder en </w:t>
      </w:r>
      <w:r w:rsidRPr="008E3100">
        <w:t>energ</w:t>
      </w:r>
      <w:r w:rsidRPr="00FF3AE4">
        <w:t>ías renovables.</w:t>
      </w:r>
    </w:p>
    <w:p w14:paraId="77D01046" w14:textId="77777777" w:rsidR="00984C77" w:rsidRPr="008E3100" w:rsidRDefault="00984C77" w:rsidP="00984C77">
      <w:pPr>
        <w:pStyle w:val="Nivel3SM"/>
      </w:pPr>
      <w:r w:rsidRPr="00FF3AE4">
        <w:rPr>
          <w:i/>
          <w:iCs/>
          <w:u w:val="single"/>
        </w:rPr>
        <w:t>Internacionalización</w:t>
      </w:r>
      <w:r w:rsidRPr="00FF3AE4">
        <w:t>. En 2016, las 6 </w:t>
      </w:r>
      <w:r w:rsidRPr="008E3100">
        <w:t>grandes constructoras tenían en España sólo el 11</w:t>
      </w:r>
      <w:r>
        <w:t> </w:t>
      </w:r>
      <w:r w:rsidRPr="008E3100">
        <w:t>% de su cartera de obras (destacar, p.ej., la ampliación del canal de Panamá dirigida por Sacyr o la construcción del Ave Medina–La Meca, dirigida por OHL). De hecho, en 2016 sólo las empresas de infraestructuras chinas ganaron más concursos internacionales que las españolas.</w:t>
      </w:r>
    </w:p>
    <w:p w14:paraId="040D5128" w14:textId="77777777" w:rsidR="00984C77" w:rsidRPr="008E3100" w:rsidRDefault="00984C77" w:rsidP="00984C77">
      <w:pPr>
        <w:pStyle w:val="Ttulo7"/>
      </w:pPr>
      <w:r w:rsidRPr="008E3100">
        <w:t>Pequeñas y medianas empresas</w:t>
      </w:r>
    </w:p>
    <w:p w14:paraId="0DEF2B99" w14:textId="77777777" w:rsidR="00984C77" w:rsidRPr="009559B9" w:rsidRDefault="00984C77" w:rsidP="00984C77">
      <w:pPr>
        <w:pStyle w:val="Nivel2SM"/>
      </w:pPr>
      <w:r w:rsidRPr="009559B9">
        <w:t>Se suelen encargar de la edificación y de la rehabilitación, y de obras públicas de menor dimensión (de carácter más autonómico y municipal).</w:t>
      </w:r>
    </w:p>
    <w:p w14:paraId="2B684BAC" w14:textId="77777777" w:rsidR="00984C77" w:rsidRPr="009559B9" w:rsidRDefault="00984C77" w:rsidP="00984C77">
      <w:pPr>
        <w:pStyle w:val="Nivel2SM"/>
      </w:pPr>
      <w:r w:rsidRPr="009559B9">
        <w:t xml:space="preserve">Suelen recurrir a la formación de “uniones temporales de empresas”, y es muy frecuente su </w:t>
      </w:r>
      <w:proofErr w:type="spellStart"/>
      <w:r w:rsidRPr="009559B9">
        <w:t>sub-contratación</w:t>
      </w:r>
      <w:proofErr w:type="spellEnd"/>
      <w:r w:rsidRPr="009559B9">
        <w:t xml:space="preserve"> por las grandes empresas.</w:t>
      </w:r>
    </w:p>
    <w:p w14:paraId="17CD9654" w14:textId="77777777" w:rsidR="00984C77" w:rsidRPr="00C47980" w:rsidRDefault="00984C77" w:rsidP="00984C77">
      <w:pPr>
        <w:pStyle w:val="Ttulo6"/>
      </w:pPr>
      <w:r w:rsidRPr="008E3100">
        <w:t xml:space="preserve">Muy </w:t>
      </w:r>
      <w:r w:rsidRPr="0020684D">
        <w:t>dependiente</w:t>
      </w:r>
      <w:r w:rsidRPr="008E3100">
        <w:t xml:space="preserve"> de la financiación</w:t>
      </w:r>
    </w:p>
    <w:p w14:paraId="450CC405" w14:textId="77777777" w:rsidR="00984C77" w:rsidRPr="008E3100" w:rsidRDefault="00984C77" w:rsidP="00984C77">
      <w:pPr>
        <w:pStyle w:val="Nivel2SM"/>
        <w:keepNext/>
        <w:spacing w:after="0"/>
      </w:pPr>
      <w:r w:rsidRPr="008E3100">
        <w:t>Se trata de un sector muy dependiente de la financiación ajena, debido a que sus inversiones tienen un largo plazo de maduración. Además la financiación suele ser una financiación proveniente del sector bancario (modelo continental).</w:t>
      </w:r>
    </w:p>
    <w:p w14:paraId="15C8D3CD" w14:textId="77777777" w:rsidR="00984C77" w:rsidRPr="008E3100" w:rsidRDefault="00984C77" w:rsidP="00984C77">
      <w:pPr>
        <w:pStyle w:val="Nivel3SM"/>
      </w:pPr>
      <w:r w:rsidRPr="008E3100">
        <w:t>De ahí el pinchazo de la burbuja inmobiliaria. El racionamiento de crédito llevó a la bancarrota de grandes promotores inmobiliarios y empresas constructoras.</w:t>
      </w:r>
    </w:p>
    <w:p w14:paraId="03E5FEB2" w14:textId="77777777" w:rsidR="00984C77" w:rsidRPr="00C47980" w:rsidRDefault="00984C77" w:rsidP="00984C77">
      <w:pPr>
        <w:pStyle w:val="Ttulo6"/>
      </w:pPr>
      <w:r w:rsidRPr="008E3100">
        <w:lastRenderedPageBreak/>
        <w:t>Formación bruta de capital</w:t>
      </w:r>
    </w:p>
    <w:p w14:paraId="29689F40" w14:textId="77777777" w:rsidR="00984C77" w:rsidRDefault="00984C77" w:rsidP="00984C77">
      <w:pPr>
        <w:pStyle w:val="Nivel2SM"/>
      </w:pPr>
      <w:r w:rsidRPr="008E3100">
        <w:t>La construcción representa la mayor parte de la formación bruta de capital fijo total, pues la vivienda se considera un bien de inversión (años pre-crisis llegó a representar el 70</w:t>
      </w:r>
      <w:r>
        <w:t> </w:t>
      </w:r>
      <w:r w:rsidRPr="008E3100">
        <w:t>% aunque en la actualidad se ha reducido).</w:t>
      </w:r>
    </w:p>
    <w:p w14:paraId="59C35ECC" w14:textId="2F169FE9" w:rsidR="001930EB" w:rsidRDefault="001930EB" w:rsidP="001930EB">
      <w:pPr>
        <w:pStyle w:val="Ttulo6"/>
      </w:pPr>
      <w:r>
        <w:t>Alto impacto medioambiental</w:t>
      </w:r>
    </w:p>
    <w:p w14:paraId="5F27B82F" w14:textId="66E36A55" w:rsidR="001930EB" w:rsidRPr="001930EB" w:rsidRDefault="001930EB" w:rsidP="001930EB">
      <w:pPr>
        <w:pStyle w:val="Nivel2SM"/>
      </w:pPr>
      <w:r>
        <w:t>Concentra el 10 % de las emisiones de gases efecto invernadero.</w:t>
      </w:r>
    </w:p>
    <w:p w14:paraId="3F044C7A" w14:textId="349DAE7A" w:rsidR="00326166" w:rsidRDefault="00326166" w:rsidP="00326166">
      <w:pPr>
        <w:pStyle w:val="Ttulo3"/>
      </w:pPr>
      <w:bookmarkStart w:id="7" w:name="_Toc177740103"/>
      <w:r>
        <w:t>Fuentes estadísticas</w:t>
      </w:r>
      <w:bookmarkEnd w:id="7"/>
    </w:p>
    <w:p w14:paraId="2D380EEC" w14:textId="42D6FF5A" w:rsidR="00F7166C" w:rsidRPr="00F7166C" w:rsidRDefault="00F7166C" w:rsidP="00F7166C">
      <w:pPr>
        <w:pStyle w:val="Nivel1SM"/>
        <w:keepNext/>
        <w:spacing w:before="0" w:after="0"/>
        <w:rPr>
          <w:spacing w:val="-2"/>
        </w:rPr>
      </w:pPr>
      <w:r w:rsidRPr="00F7166C">
        <w:rPr>
          <w:spacing w:val="-2"/>
        </w:rPr>
        <w:t>Podemos obtener información estadística acerca del sector de la construcción en las siguientes fuentes:</w:t>
      </w:r>
    </w:p>
    <w:p w14:paraId="657D9A5D" w14:textId="44C0A4CA" w:rsidR="00F7166C" w:rsidRDefault="00F7166C" w:rsidP="00F7166C">
      <w:pPr>
        <w:pStyle w:val="Nivel2SM"/>
        <w:keepNext/>
        <w:spacing w:after="0"/>
      </w:pPr>
      <w:r>
        <w:rPr>
          <w:i/>
          <w:iCs/>
          <w:u w:val="single"/>
        </w:rPr>
        <w:t>Fuentes transversales</w:t>
      </w:r>
      <w:r>
        <w:t>:</w:t>
      </w:r>
    </w:p>
    <w:p w14:paraId="3E9D1FFF" w14:textId="2508147D" w:rsidR="00F7166C" w:rsidRDefault="00F7166C" w:rsidP="00F7166C">
      <w:pPr>
        <w:pStyle w:val="Nivel3SM"/>
      </w:pPr>
      <w:r>
        <w:rPr>
          <w:i/>
          <w:iCs/>
        </w:rPr>
        <w:t>Contabilidad nacional</w:t>
      </w:r>
      <w:r>
        <w:t>: VAB del sector.</w:t>
      </w:r>
    </w:p>
    <w:p w14:paraId="19CF54B0" w14:textId="497B4146" w:rsidR="00F7166C" w:rsidRDefault="00F7166C" w:rsidP="00F7166C">
      <w:pPr>
        <w:pStyle w:val="Nivel3SM"/>
      </w:pPr>
      <w:r>
        <w:rPr>
          <w:i/>
          <w:iCs/>
        </w:rPr>
        <w:t>Balanza de pagos y Anuario Revista ICE de comercio exterior</w:t>
      </w:r>
      <w:r>
        <w:t>: Información sobre el comportamiento del sector exterior.</w:t>
      </w:r>
    </w:p>
    <w:p w14:paraId="17E5DC43" w14:textId="396901CE" w:rsidR="00F7166C" w:rsidRDefault="00F7166C" w:rsidP="00F7166C">
      <w:pPr>
        <w:pStyle w:val="Nivel3SM"/>
      </w:pPr>
      <w:r>
        <w:rPr>
          <w:i/>
          <w:iCs/>
        </w:rPr>
        <w:t>Encuesta de Población Activa</w:t>
      </w:r>
      <w:r>
        <w:t>: Peso del sector en el empleo.</w:t>
      </w:r>
    </w:p>
    <w:p w14:paraId="72CC3AF6" w14:textId="2A85F5A9" w:rsidR="00F7166C" w:rsidRDefault="00F7166C" w:rsidP="00F7166C">
      <w:pPr>
        <w:pStyle w:val="Nivel2SM"/>
        <w:keepNext/>
        <w:spacing w:after="0"/>
      </w:pPr>
      <w:r>
        <w:rPr>
          <w:i/>
          <w:iCs/>
          <w:u w:val="single"/>
        </w:rPr>
        <w:t>Fuentes relacionadas con el sector de la construcción</w:t>
      </w:r>
      <w:r>
        <w:t>:</w:t>
      </w:r>
    </w:p>
    <w:p w14:paraId="598FBE41" w14:textId="404A169E" w:rsidR="00F7166C" w:rsidRDefault="00F7166C" w:rsidP="00F7166C">
      <w:pPr>
        <w:pStyle w:val="Nivel3SM"/>
      </w:pPr>
      <w:r>
        <w:rPr>
          <w:i/>
          <w:iCs/>
        </w:rPr>
        <w:t>Encuesta de Coyuntura del sector de la Construcción</w:t>
      </w:r>
      <w:r>
        <w:t>: Elaborada trimestralmente por el Ministerio de Fomento. Permite extraer el Indicador de Clima de la Construcción y elaborar índices de diverso tipo a partir de indicadores como Visados de Dirección de Obra y Certificados de Finalización e indirectos (consumo de materiales de construcción (p.ej. cemento, vidrio, ladrillos, cerámica, etc.)).</w:t>
      </w:r>
    </w:p>
    <w:p w14:paraId="34B69C3B" w14:textId="23F766AF" w:rsidR="00F7166C" w:rsidRDefault="00F7166C" w:rsidP="00F7166C">
      <w:pPr>
        <w:pStyle w:val="Nivel2SM"/>
        <w:keepNext/>
        <w:spacing w:after="0"/>
      </w:pPr>
      <w:r>
        <w:rPr>
          <w:i/>
          <w:iCs/>
          <w:u w:val="single"/>
        </w:rPr>
        <w:t>Fuentes relacionadas con el sector del alquiler</w:t>
      </w:r>
      <w:r w:rsidRPr="00F7166C">
        <w:t>:</w:t>
      </w:r>
    </w:p>
    <w:p w14:paraId="32392DCF" w14:textId="4F6F65DB" w:rsidR="00F7166C" w:rsidRPr="00F7166C" w:rsidRDefault="00F7166C" w:rsidP="00F7166C">
      <w:pPr>
        <w:pStyle w:val="Nivel3SM"/>
      </w:pPr>
      <w:r>
        <w:t>Escasez de datos públicos. Es habitual recurrir a fuentes de privadas (p.ej. Idealista.com).</w:t>
      </w:r>
    </w:p>
    <w:p w14:paraId="17D0654C" w14:textId="77777777" w:rsidR="00326166" w:rsidRDefault="00326166" w:rsidP="0020684D">
      <w:pPr>
        <w:pStyle w:val="Ttulo2"/>
      </w:pPr>
      <w:bookmarkStart w:id="8" w:name="_Toc177740104"/>
      <w:r>
        <w:t>¿Por qué?</w:t>
      </w:r>
      <w:bookmarkEnd w:id="8"/>
    </w:p>
    <w:p w14:paraId="1C2F5190" w14:textId="1176C780" w:rsidR="00326166" w:rsidRPr="00F5614D" w:rsidRDefault="00C32BD3" w:rsidP="00326166">
      <w:pPr>
        <w:pStyle w:val="Ttulo3"/>
        <w:spacing w:before="0"/>
      </w:pPr>
      <w:bookmarkStart w:id="9" w:name="_Toc177740105"/>
      <w:r>
        <w:t>Relevancia cuantitativa</w:t>
      </w:r>
      <w:bookmarkEnd w:id="9"/>
    </w:p>
    <w:p w14:paraId="5E58BF47" w14:textId="55AFCA13" w:rsidR="00326166" w:rsidRPr="00F5614D" w:rsidRDefault="00326166" w:rsidP="00326166">
      <w:pPr>
        <w:pStyle w:val="Ttulo6"/>
        <w:spacing w:before="0" w:after="0"/>
      </w:pPr>
      <w:r w:rsidRPr="008E3100">
        <w:t xml:space="preserve">Valor añadido Bruto: </w:t>
      </w:r>
      <w:r w:rsidR="00C32BD3">
        <w:t>5</w:t>
      </w:r>
      <w:r>
        <w:t>,</w:t>
      </w:r>
      <w:r w:rsidR="00C32BD3">
        <w:t>41</w:t>
      </w:r>
      <w:r>
        <w:t> </w:t>
      </w:r>
      <w:r w:rsidRPr="008E3100">
        <w:t>% del VAB total en 20</w:t>
      </w:r>
      <w:r>
        <w:t>22</w:t>
      </w:r>
      <w:r w:rsidRPr="008E3100">
        <w:t>, frente al 1</w:t>
      </w:r>
      <w:r>
        <w:t>0,7 </w:t>
      </w:r>
      <w:r w:rsidRPr="008E3100">
        <w:t>% pre-crisis</w:t>
      </w:r>
    </w:p>
    <w:p w14:paraId="0DAEE8F4" w14:textId="77777777" w:rsidR="00326166" w:rsidRPr="008E3100" w:rsidRDefault="00326166" w:rsidP="00326166">
      <w:pPr>
        <w:pStyle w:val="Nivel2SM"/>
        <w:keepNext/>
        <w:spacing w:after="0"/>
      </w:pPr>
      <w:r w:rsidRPr="008E3100">
        <w:rPr>
          <w:u w:val="single"/>
        </w:rPr>
        <w:t>Desde una perspectiva de largo plazo</w:t>
      </w:r>
      <w:r w:rsidRPr="008E3100">
        <w:t>, la participación del sector de la construcción en el VAB de la economía ha sido mucho más estable en el tiempo que la del resto de sectores.</w:t>
      </w:r>
    </w:p>
    <w:p w14:paraId="0A2B8A2C" w14:textId="77777777" w:rsidR="00326166" w:rsidRPr="00F5614D" w:rsidRDefault="00326166" w:rsidP="00326166">
      <w:pPr>
        <w:pStyle w:val="Nivel3SM"/>
      </w:pPr>
      <w:r w:rsidRPr="008E3100">
        <w:t>Así, mientras que el sector servicios fue representando desde los años</w:t>
      </w:r>
      <w:r>
        <w:t> </w:t>
      </w:r>
      <w:r w:rsidRPr="008E3100">
        <w:t xml:space="preserve">80 porcentajes cada vez más grandes del VAB en detrimento de la agricultura y de la industria, la construcción se ha mantenido más estable: de un </w:t>
      </w:r>
      <w:r w:rsidRPr="008E3100">
        <w:rPr>
          <w:b/>
        </w:rPr>
        <w:t>8</w:t>
      </w:r>
      <w:r>
        <w:rPr>
          <w:b/>
        </w:rPr>
        <w:t> </w:t>
      </w:r>
      <w:r w:rsidRPr="008E3100">
        <w:rPr>
          <w:b/>
        </w:rPr>
        <w:t xml:space="preserve">% del VAB total en 1985 a un </w:t>
      </w:r>
      <w:r>
        <w:rPr>
          <w:b/>
        </w:rPr>
        <w:t>5,2 </w:t>
      </w:r>
      <w:r w:rsidRPr="008E3100">
        <w:rPr>
          <w:b/>
        </w:rPr>
        <w:t>%</w:t>
      </w:r>
      <w:r w:rsidRPr="008E3100">
        <w:t xml:space="preserve"> en la actualidad.</w:t>
      </w:r>
    </w:p>
    <w:p w14:paraId="43606FEF" w14:textId="77777777" w:rsidR="00326166" w:rsidRPr="008E3100" w:rsidRDefault="00326166" w:rsidP="00326166">
      <w:pPr>
        <w:pStyle w:val="Nivel2SM"/>
        <w:keepNext/>
        <w:spacing w:after="0"/>
      </w:pPr>
      <w:r w:rsidRPr="008E3100">
        <w:rPr>
          <w:u w:val="single"/>
        </w:rPr>
        <w:t>Desde una perspectiva a corto plazo</w:t>
      </w:r>
      <w:r w:rsidRPr="008E3100">
        <w:t>, sin embargo, el sector de la construcción presenta un rasgo cíclico importante:</w:t>
      </w:r>
    </w:p>
    <w:p w14:paraId="65B2F545" w14:textId="77777777" w:rsidR="00326166" w:rsidRPr="008E3100" w:rsidRDefault="00326166" w:rsidP="00326166">
      <w:pPr>
        <w:pStyle w:val="Nivel3SM"/>
      </w:pPr>
      <w:r w:rsidRPr="008E3100">
        <w:t>En el período 2000-2007, la construcción fue el sector que más peso ganó en el VAB total, mientras que desde entonces hasta ahora ha sido el sector que más peso ha perdido.</w:t>
      </w:r>
    </w:p>
    <w:p w14:paraId="1D7842EB" w14:textId="77777777" w:rsidR="00326166" w:rsidRPr="008E3100" w:rsidRDefault="00326166" w:rsidP="00326166">
      <w:pPr>
        <w:pStyle w:val="Nivel2SM"/>
        <w:keepNext/>
        <w:spacing w:after="0"/>
      </w:pPr>
      <w:r w:rsidRPr="008E3100">
        <w:t xml:space="preserve">En todo caso, pese al proceso de ajuste experimentado en los últimos años, la </w:t>
      </w:r>
      <w:r w:rsidRPr="008E3100">
        <w:rPr>
          <w:b/>
        </w:rPr>
        <w:t>participación en el VAB del sector de la construcción sigue siendo muy superior a la de los países de su entorno</w:t>
      </w:r>
      <w:r w:rsidRPr="008E3100">
        <w:t xml:space="preserve"> (sólo Irlanda presenta cifras cercanas a las españolas).</w:t>
      </w:r>
    </w:p>
    <w:p w14:paraId="29ABE599" w14:textId="77777777" w:rsidR="00326166" w:rsidRDefault="00326166" w:rsidP="00326166">
      <w:pPr>
        <w:pStyle w:val="Nivel3SM"/>
      </w:pPr>
      <w:r w:rsidRPr="008E3100">
        <w:t>Además, hay que destacar que la construcción es una de las actividades donde más se da la economía sumergida por lo que los datos son mayores de los que se representan.</w:t>
      </w:r>
    </w:p>
    <w:p w14:paraId="4293E936" w14:textId="77777777" w:rsidR="00326166" w:rsidRDefault="00326166" w:rsidP="00326166">
      <w:pPr>
        <w:pStyle w:val="Nivel1"/>
        <w:numPr>
          <w:ilvl w:val="0"/>
          <w:numId w:val="0"/>
        </w:numPr>
        <w:ind w:left="623" w:hanging="198"/>
        <w:jc w:val="center"/>
      </w:pPr>
      <w:r>
        <w:rPr>
          <w:noProof/>
        </w:rPr>
        <w:lastRenderedPageBreak/>
        <w:drawing>
          <wp:inline distT="0" distB="0" distL="0" distR="0" wp14:anchorId="4696E776" wp14:editId="263A7CD9">
            <wp:extent cx="3545659" cy="2283451"/>
            <wp:effectExtent l="0" t="0" r="0" b="3175"/>
            <wp:docPr id="689734726"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734726" name="Imagen 1" descr="Gráfico, Gráfico de líneas&#10;&#10;Descripción generada automáticamente"/>
                    <pic:cNvPicPr/>
                  </pic:nvPicPr>
                  <pic:blipFill>
                    <a:blip r:embed="rId8"/>
                    <a:stretch>
                      <a:fillRect/>
                    </a:stretch>
                  </pic:blipFill>
                  <pic:spPr>
                    <a:xfrm>
                      <a:off x="0" y="0"/>
                      <a:ext cx="3549320" cy="2285809"/>
                    </a:xfrm>
                    <a:prstGeom prst="rect">
                      <a:avLst/>
                    </a:prstGeom>
                  </pic:spPr>
                </pic:pic>
              </a:graphicData>
            </a:graphic>
          </wp:inline>
        </w:drawing>
      </w:r>
    </w:p>
    <w:p w14:paraId="3F669329" w14:textId="77777777" w:rsidR="00326166" w:rsidRPr="008E3100" w:rsidRDefault="00326166" w:rsidP="00326166">
      <w:pPr>
        <w:pStyle w:val="Nivel1"/>
        <w:numPr>
          <w:ilvl w:val="0"/>
          <w:numId w:val="0"/>
        </w:numPr>
        <w:ind w:left="623" w:hanging="198"/>
        <w:jc w:val="center"/>
      </w:pPr>
      <w:r>
        <w:rPr>
          <w:noProof/>
        </w:rPr>
        <w:drawing>
          <wp:inline distT="0" distB="0" distL="0" distR="0" wp14:anchorId="2CD468A6" wp14:editId="6BBF7DA5">
            <wp:extent cx="2970110" cy="2754085"/>
            <wp:effectExtent l="0" t="0" r="1905" b="8255"/>
            <wp:docPr id="1346004706"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04706" name="Imagen 1" descr="Tabla&#10;&#10;Descripción generada automáticamente"/>
                    <pic:cNvPicPr/>
                  </pic:nvPicPr>
                  <pic:blipFill>
                    <a:blip r:embed="rId9"/>
                    <a:stretch>
                      <a:fillRect/>
                    </a:stretch>
                  </pic:blipFill>
                  <pic:spPr>
                    <a:xfrm>
                      <a:off x="0" y="0"/>
                      <a:ext cx="2975273" cy="2758873"/>
                    </a:xfrm>
                    <a:prstGeom prst="rect">
                      <a:avLst/>
                    </a:prstGeom>
                  </pic:spPr>
                </pic:pic>
              </a:graphicData>
            </a:graphic>
          </wp:inline>
        </w:drawing>
      </w:r>
    </w:p>
    <w:p w14:paraId="5D285DDD" w14:textId="77777777" w:rsidR="00326166" w:rsidRPr="008E3100" w:rsidRDefault="00326166" w:rsidP="00326166">
      <w:pPr>
        <w:pStyle w:val="Ttulo6"/>
      </w:pPr>
      <w:r w:rsidRPr="008E3100">
        <w:t>Empleo: 6</w:t>
      </w:r>
      <w:r>
        <w:t>,5 </w:t>
      </w:r>
      <w:r w:rsidRPr="008E3100">
        <w:t>% del empleo total en 20</w:t>
      </w:r>
      <w:r>
        <w:t>22</w:t>
      </w:r>
      <w:r w:rsidRPr="008E3100">
        <w:t xml:space="preserve"> (en torno a 1</w:t>
      </w:r>
      <w:r>
        <w:t>,3 </w:t>
      </w:r>
      <w:r w:rsidRPr="008E3100">
        <w:t>mill</w:t>
      </w:r>
      <w:r>
        <w:t>o</w:t>
      </w:r>
      <w:r w:rsidRPr="008E3100">
        <w:t>n</w:t>
      </w:r>
      <w:r>
        <w:t>es</w:t>
      </w:r>
      <w:r w:rsidRPr="008E3100">
        <w:t xml:space="preserve"> de ocupados), frente al 12</w:t>
      </w:r>
      <w:r>
        <w:t> </w:t>
      </w:r>
      <w:r w:rsidRPr="008E3100">
        <w:t>% pre-crisis (2,5</w:t>
      </w:r>
      <w:r>
        <w:t> </w:t>
      </w:r>
      <w:r w:rsidRPr="008E3100">
        <w:t>millones de ocupados).</w:t>
      </w:r>
    </w:p>
    <w:p w14:paraId="70A5DC8C" w14:textId="77777777" w:rsidR="00326166" w:rsidRPr="008E3100" w:rsidRDefault="00326166" w:rsidP="00326166">
      <w:pPr>
        <w:pStyle w:val="Nivel2SM"/>
        <w:keepNext/>
        <w:spacing w:after="0"/>
      </w:pPr>
      <w:r w:rsidRPr="008E3100">
        <w:t>El sector de la construcción es un importante generador de empleo, ya que hace un uso intensivo de mano de obra. Características del empleo del sector:</w:t>
      </w:r>
    </w:p>
    <w:p w14:paraId="260ACAF7" w14:textId="77777777" w:rsidR="00326166" w:rsidRPr="008E3100" w:rsidRDefault="00326166" w:rsidP="00326166">
      <w:pPr>
        <w:pStyle w:val="Nivel3SM"/>
      </w:pPr>
      <w:r w:rsidRPr="008E3100">
        <w:rPr>
          <w:b/>
        </w:rPr>
        <w:t>Baja cualificación</w:t>
      </w:r>
      <w:r w:rsidRPr="008E3100">
        <w:t xml:space="preserve"> de la mano de obra.</w:t>
      </w:r>
    </w:p>
    <w:p w14:paraId="071932FC" w14:textId="77777777" w:rsidR="00326166" w:rsidRPr="008E3100" w:rsidRDefault="00326166" w:rsidP="00326166">
      <w:pPr>
        <w:pStyle w:val="Nivel3SM"/>
      </w:pPr>
      <w:r w:rsidRPr="008E3100">
        <w:t xml:space="preserve">Elevada participación de </w:t>
      </w:r>
      <w:r w:rsidRPr="008E3100">
        <w:rPr>
          <w:b/>
        </w:rPr>
        <w:t>inmigrantes</w:t>
      </w:r>
      <w:r w:rsidRPr="008E3100">
        <w:t xml:space="preserve"> (la construcción absorbió gran parte de la mano de obra extranjera durante la etapa expansiva).</w:t>
      </w:r>
    </w:p>
    <w:p w14:paraId="6CC5AB6F" w14:textId="77777777" w:rsidR="00326166" w:rsidRDefault="00326166" w:rsidP="00326166">
      <w:pPr>
        <w:pStyle w:val="Nivel3SM"/>
      </w:pPr>
      <w:r w:rsidRPr="008E3100">
        <w:t xml:space="preserve">Elevada </w:t>
      </w:r>
      <w:r w:rsidRPr="008E3100">
        <w:rPr>
          <w:b/>
        </w:rPr>
        <w:t>temporalidad</w:t>
      </w:r>
      <w:r w:rsidRPr="008E3100">
        <w:t>.</w:t>
      </w:r>
    </w:p>
    <w:p w14:paraId="764EC2DF" w14:textId="77777777" w:rsidR="00326166" w:rsidRPr="008E3100" w:rsidRDefault="00326166" w:rsidP="00326166">
      <w:pPr>
        <w:pStyle w:val="Nivel1"/>
        <w:numPr>
          <w:ilvl w:val="0"/>
          <w:numId w:val="0"/>
        </w:numPr>
        <w:ind w:left="623" w:hanging="198"/>
        <w:jc w:val="center"/>
      </w:pPr>
      <w:r w:rsidRPr="00FF3AE4">
        <w:rPr>
          <w:noProof/>
        </w:rPr>
        <w:drawing>
          <wp:inline distT="0" distB="0" distL="0" distR="0" wp14:anchorId="2C441EE0" wp14:editId="03BCF9D2">
            <wp:extent cx="1966231" cy="795020"/>
            <wp:effectExtent l="0" t="0" r="0" b="5080"/>
            <wp:docPr id="2058641449"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41449" name="Imagen 1" descr="Tabla&#10;&#10;Descripción generada automáticamente"/>
                    <pic:cNvPicPr/>
                  </pic:nvPicPr>
                  <pic:blipFill>
                    <a:blip r:embed="rId10"/>
                    <a:stretch>
                      <a:fillRect/>
                    </a:stretch>
                  </pic:blipFill>
                  <pic:spPr>
                    <a:xfrm>
                      <a:off x="0" y="0"/>
                      <a:ext cx="1993837" cy="806182"/>
                    </a:xfrm>
                    <a:prstGeom prst="rect">
                      <a:avLst/>
                    </a:prstGeom>
                  </pic:spPr>
                </pic:pic>
              </a:graphicData>
            </a:graphic>
          </wp:inline>
        </w:drawing>
      </w:r>
    </w:p>
    <w:p w14:paraId="1C6E66A1" w14:textId="3062095B" w:rsidR="007F313A" w:rsidRDefault="007F313A" w:rsidP="007F313A">
      <w:pPr>
        <w:pStyle w:val="Ttulo6"/>
      </w:pPr>
      <w:r>
        <w:t>Productividad</w:t>
      </w:r>
    </w:p>
    <w:p w14:paraId="2229FA10" w14:textId="77777777" w:rsidR="007F313A" w:rsidRDefault="007F313A" w:rsidP="007F313A">
      <w:pPr>
        <w:pStyle w:val="Nivel2SM"/>
        <w:keepNext/>
        <w:spacing w:after="0"/>
      </w:pPr>
      <w:r>
        <w:t>Se aprecia como el peso en el empleo es mayor que el peso en el VAB.</w:t>
      </w:r>
    </w:p>
    <w:p w14:paraId="36464F13" w14:textId="77777777" w:rsidR="001B7CB3" w:rsidRDefault="007F313A" w:rsidP="001B7CB3">
      <w:pPr>
        <w:pStyle w:val="Nivel3SM"/>
        <w:keepNext/>
      </w:pPr>
      <w:r>
        <w:t xml:space="preserve">Esto se explica por una </w:t>
      </w:r>
      <w:r w:rsidRPr="007F313A">
        <w:rPr>
          <w:i/>
          <w:iCs/>
          <w:u w:val="single"/>
        </w:rPr>
        <w:t>baja productividad</w:t>
      </w:r>
      <w:r>
        <w:t xml:space="preserve"> del sector,</w:t>
      </w:r>
      <w:r w:rsidR="001B7CB3">
        <w:t xml:space="preserve"> lo que se debe a:</w:t>
      </w:r>
    </w:p>
    <w:p w14:paraId="72A15697" w14:textId="01E62BCE" w:rsidR="007F313A" w:rsidRDefault="001B7CB3" w:rsidP="001B7CB3">
      <w:pPr>
        <w:pStyle w:val="Nivel4"/>
        <w:ind w:left="1474"/>
      </w:pPr>
      <w:r>
        <w:t>E</w:t>
      </w:r>
      <w:r w:rsidR="007F313A">
        <w:t xml:space="preserve">s un sector </w:t>
      </w:r>
      <w:r w:rsidR="007F313A" w:rsidRPr="001B7CB3">
        <w:rPr>
          <w:i/>
          <w:iCs/>
        </w:rPr>
        <w:t>intensivo en mano de obra no cualificada</w:t>
      </w:r>
      <w:r w:rsidR="007F313A">
        <w:t>.</w:t>
      </w:r>
    </w:p>
    <w:p w14:paraId="18DF2532" w14:textId="7C6A3C46" w:rsidR="001B7CB3" w:rsidRDefault="001B7CB3" w:rsidP="001B7CB3">
      <w:pPr>
        <w:pStyle w:val="Nivel4"/>
        <w:ind w:left="1474"/>
      </w:pPr>
      <w:r>
        <w:t xml:space="preserve">Es un sector de </w:t>
      </w:r>
      <w:r w:rsidRPr="001B7CB3">
        <w:rPr>
          <w:i/>
          <w:iCs/>
        </w:rPr>
        <w:t>contenido tecnológico bajo</w:t>
      </w:r>
      <w:r>
        <w:t>, derivado de la escasa innovación. Algunos analistas plantean que la innovación es reducida a causa de los reducidos márgenes de beneficios de las promotoras de viviendas (de entre el 2 % y el 5 %).</w:t>
      </w:r>
    </w:p>
    <w:p w14:paraId="4D3B6D85" w14:textId="67A144F3" w:rsidR="007F313A" w:rsidRPr="007F313A" w:rsidRDefault="007F313A" w:rsidP="007F313A">
      <w:pPr>
        <w:pStyle w:val="Nivel3SM"/>
      </w:pPr>
      <w:r>
        <w:t xml:space="preserve">Además, se aprecia que </w:t>
      </w:r>
      <w:r w:rsidRPr="007F313A">
        <w:rPr>
          <w:i/>
          <w:iCs/>
          <w:u w:val="single"/>
        </w:rPr>
        <w:t>la productividad es contracíclica</w:t>
      </w:r>
      <w:r>
        <w:t xml:space="preserve"> (p.ej. en el período 2000-2007, durante el boom del sector, la productividad estaba cayendo).</w:t>
      </w:r>
    </w:p>
    <w:p w14:paraId="13FAE63C" w14:textId="4D359A54" w:rsidR="00C32BD3" w:rsidRDefault="00C32BD3" w:rsidP="00326166">
      <w:pPr>
        <w:pStyle w:val="Ttulo3"/>
      </w:pPr>
      <w:bookmarkStart w:id="10" w:name="_Toc177740106"/>
      <w:r>
        <w:lastRenderedPageBreak/>
        <w:t>Relevancia cualitativa</w:t>
      </w:r>
      <w:bookmarkEnd w:id="10"/>
    </w:p>
    <w:p w14:paraId="20AFBAF7" w14:textId="77777777" w:rsidR="00C32BD3" w:rsidRDefault="00C32BD3" w:rsidP="00C32BD3">
      <w:pPr>
        <w:pStyle w:val="Ttulo6"/>
        <w:spacing w:before="0"/>
      </w:pPr>
      <w:r>
        <w:t>Eslabonamientos hacia detrás y hacia delante</w:t>
      </w:r>
    </w:p>
    <w:p w14:paraId="1D07DAE5" w14:textId="7B1DBA60" w:rsidR="00C32BD3" w:rsidRPr="00C32BD3" w:rsidRDefault="00C32BD3" w:rsidP="00C32BD3">
      <w:pPr>
        <w:pStyle w:val="Nivel2SM"/>
      </w:pPr>
      <w:r>
        <w:t xml:space="preserve">Se trata de un sector clave en el crecimiento económico, pues tiene importantes </w:t>
      </w:r>
      <w:r>
        <w:rPr>
          <w:i/>
          <w:iCs/>
        </w:rPr>
        <w:t>eslabonamientos hacia delante</w:t>
      </w:r>
      <w:r>
        <w:t xml:space="preserve"> (fundamentalmente en las actividades de turismo, transporte, etc.) y </w:t>
      </w:r>
      <w:r>
        <w:rPr>
          <w:i/>
          <w:iCs/>
        </w:rPr>
        <w:t>hacia atrás</w:t>
      </w:r>
      <w:r>
        <w:t xml:space="preserve"> (p.ej. industria de bienes intermedios y de equipo, etc.). La disponibilidad de edificios e infraestructuras aumenta la productividad de los sectores productivos, facilitando el crecimiento económico.</w:t>
      </w:r>
    </w:p>
    <w:p w14:paraId="61F29503" w14:textId="77777777" w:rsidR="0020456A" w:rsidRPr="008E3100" w:rsidRDefault="0020456A" w:rsidP="0020456A">
      <w:pPr>
        <w:pStyle w:val="Ttulo6"/>
        <w:spacing w:before="0"/>
      </w:pPr>
      <w:r w:rsidRPr="008E3100">
        <w:t>Importancia socia</w:t>
      </w:r>
      <w:r>
        <w:t>l</w:t>
      </w:r>
    </w:p>
    <w:p w14:paraId="324B7832" w14:textId="77777777" w:rsidR="0020456A" w:rsidRPr="008E3100" w:rsidRDefault="0020456A" w:rsidP="0020456A">
      <w:pPr>
        <w:pStyle w:val="Nivel2SM"/>
        <w:keepNext/>
        <w:spacing w:after="0"/>
      </w:pPr>
      <w:r>
        <w:t>L</w:t>
      </w:r>
      <w:r w:rsidRPr="008E3100">
        <w:t xml:space="preserve">a vivienda se considera un bien preferente dentro del Estado del Bienestar, y el acceso a la misma es un derecho recogido por el </w:t>
      </w:r>
      <w:r w:rsidRPr="008E3100">
        <w:rPr>
          <w:u w:val="single"/>
        </w:rPr>
        <w:t>artículo</w:t>
      </w:r>
      <w:r>
        <w:rPr>
          <w:u w:val="single"/>
        </w:rPr>
        <w:t> </w:t>
      </w:r>
      <w:r w:rsidRPr="008E3100">
        <w:rPr>
          <w:u w:val="single"/>
        </w:rPr>
        <w:t>47 de la C</w:t>
      </w:r>
      <w:r>
        <w:rPr>
          <w:u w:val="single"/>
        </w:rPr>
        <w:t xml:space="preserve">onstitución </w:t>
      </w:r>
      <w:r w:rsidRPr="008E3100">
        <w:rPr>
          <w:u w:val="single"/>
        </w:rPr>
        <w:t>E</w:t>
      </w:r>
      <w:r>
        <w:rPr>
          <w:u w:val="single"/>
        </w:rPr>
        <w:t>spañola</w:t>
      </w:r>
      <w:r w:rsidRPr="008E3100">
        <w:t>.</w:t>
      </w:r>
    </w:p>
    <w:p w14:paraId="144EE36B" w14:textId="77777777" w:rsidR="0020456A" w:rsidRDefault="0020456A" w:rsidP="0020456A">
      <w:pPr>
        <w:pStyle w:val="Nivel3SM"/>
      </w:pPr>
      <w:r w:rsidRPr="008E3100">
        <w:t>Por ello, la política de vivienda y del suelo juega un papel fundamental como elemento regulador del sector.</w:t>
      </w:r>
    </w:p>
    <w:p w14:paraId="183402D6" w14:textId="164B9324" w:rsidR="00C32BD3" w:rsidRDefault="00C32BD3" w:rsidP="00C32BD3">
      <w:pPr>
        <w:pStyle w:val="Ttulo6"/>
        <w:spacing w:before="0"/>
      </w:pPr>
      <w:r>
        <w:t>Impacto en la demanda final a través de efectos riqueza</w:t>
      </w:r>
    </w:p>
    <w:p w14:paraId="46893D07" w14:textId="77777777" w:rsidR="0020456A" w:rsidRPr="0020456A" w:rsidRDefault="0020456A" w:rsidP="0020456A">
      <w:pPr>
        <w:pStyle w:val="Nivel2SM"/>
      </w:pPr>
    </w:p>
    <w:p w14:paraId="2C0ACC74" w14:textId="77777777" w:rsidR="00984C77" w:rsidRDefault="00326166" w:rsidP="0020684D">
      <w:pPr>
        <w:pStyle w:val="Ttulo2"/>
      </w:pPr>
      <w:bookmarkStart w:id="11" w:name="_Toc177740107"/>
      <w:r>
        <w:t>¿Cómo?</w:t>
      </w:r>
      <w:bookmarkEnd w:id="11"/>
    </w:p>
    <w:p w14:paraId="740D0291" w14:textId="77777777" w:rsidR="00984C77" w:rsidRDefault="00984C77" w:rsidP="00984C77">
      <w:pPr>
        <w:pStyle w:val="Ttulo3"/>
        <w:spacing w:before="0"/>
      </w:pPr>
      <w:bookmarkStart w:id="12" w:name="_Toc177740108"/>
      <w:r>
        <w:t>Distribución sectorial</w:t>
      </w:r>
      <w:bookmarkEnd w:id="12"/>
    </w:p>
    <w:p w14:paraId="648B01DA" w14:textId="77777777" w:rsidR="0020456A" w:rsidRPr="008E3100" w:rsidRDefault="0020456A" w:rsidP="0020456A">
      <w:pPr>
        <w:pStyle w:val="Nivel2SM"/>
        <w:keepNext/>
        <w:spacing w:after="0"/>
      </w:pPr>
      <w:r w:rsidRPr="008E3100">
        <w:t>El sector de la construcción abarca 2</w:t>
      </w:r>
      <w:r>
        <w:t> </w:t>
      </w:r>
      <w:r w:rsidRPr="008E3100">
        <w:t>tipos de actividades:</w:t>
      </w:r>
    </w:p>
    <w:p w14:paraId="43D2F79D" w14:textId="77777777" w:rsidR="0020456A" w:rsidRPr="008E3100" w:rsidRDefault="0020456A" w:rsidP="0020456A">
      <w:pPr>
        <w:pStyle w:val="Nivel3SM"/>
        <w:keepNext/>
      </w:pPr>
      <w:r w:rsidRPr="00F7166C">
        <w:rPr>
          <w:i/>
          <w:iCs/>
          <w:u w:val="single"/>
        </w:rPr>
        <w:t>Infraestructuras (obra civil)</w:t>
      </w:r>
      <w:r w:rsidRPr="008E3100">
        <w:t>: 21</w:t>
      </w:r>
      <w:r>
        <w:t> </w:t>
      </w:r>
      <w:r w:rsidRPr="008E3100">
        <w:t>% de la producción del sector de la construcción.</w:t>
      </w:r>
    </w:p>
    <w:p w14:paraId="0F721FB3" w14:textId="77777777" w:rsidR="0020456A" w:rsidRPr="008E3100" w:rsidRDefault="0020456A" w:rsidP="0020456A">
      <w:pPr>
        <w:pStyle w:val="Nivel3SM"/>
        <w:keepNext/>
      </w:pPr>
      <w:r w:rsidRPr="00F7166C">
        <w:rPr>
          <w:i/>
          <w:iCs/>
          <w:u w:val="single"/>
        </w:rPr>
        <w:t>Edificación</w:t>
      </w:r>
      <w:r w:rsidRPr="008E3100">
        <w:t>: 79</w:t>
      </w:r>
      <w:r>
        <w:t> </w:t>
      </w:r>
      <w:r w:rsidRPr="008E3100">
        <w:t>% de la producción</w:t>
      </w:r>
      <w:r>
        <w:t>:</w:t>
      </w:r>
    </w:p>
    <w:p w14:paraId="2836CB74" w14:textId="77777777" w:rsidR="0020456A" w:rsidRPr="008E3100" w:rsidRDefault="0020456A" w:rsidP="0020456A">
      <w:pPr>
        <w:pStyle w:val="Nivel4"/>
        <w:keepNext/>
        <w:ind w:left="1474"/>
      </w:pPr>
      <w:r w:rsidRPr="008E3100">
        <w:t>50</w:t>
      </w:r>
      <w:r>
        <w:t> </w:t>
      </w:r>
      <w:r w:rsidRPr="008E3100">
        <w:t>% obra nueva</w:t>
      </w:r>
      <w:r>
        <w:t>:</w:t>
      </w:r>
    </w:p>
    <w:p w14:paraId="5927E82C" w14:textId="77777777" w:rsidR="0020456A" w:rsidRPr="008E3100" w:rsidRDefault="0020456A" w:rsidP="0020456A">
      <w:pPr>
        <w:pStyle w:val="Nivel5"/>
        <w:ind w:left="1871"/>
      </w:pPr>
      <w:r w:rsidRPr="008E3100">
        <w:t>2/3 es residencial (viviendas)</w:t>
      </w:r>
      <w:r>
        <w:t>.</w:t>
      </w:r>
    </w:p>
    <w:p w14:paraId="6B02C150" w14:textId="77777777" w:rsidR="0020456A" w:rsidRPr="008E3100" w:rsidRDefault="0020456A" w:rsidP="0020456A">
      <w:pPr>
        <w:pStyle w:val="Nivel5"/>
        <w:ind w:left="1871"/>
      </w:pPr>
      <w:r w:rsidRPr="008E3100">
        <w:t>1/3 es no residencial (oficinas, naves industriales).</w:t>
      </w:r>
    </w:p>
    <w:p w14:paraId="63BF1864" w14:textId="77777777" w:rsidR="0020456A" w:rsidRPr="008E3100" w:rsidRDefault="0020456A" w:rsidP="0020456A">
      <w:pPr>
        <w:pStyle w:val="Nivel4"/>
        <w:ind w:left="1474"/>
      </w:pPr>
      <w:r w:rsidRPr="008E3100">
        <w:t>50</w:t>
      </w:r>
      <w:r>
        <w:t> </w:t>
      </w:r>
      <w:r w:rsidRPr="008E3100">
        <w:t>% es rehabilitación y mantenimiento.</w:t>
      </w:r>
    </w:p>
    <w:p w14:paraId="351797C2" w14:textId="77777777" w:rsidR="0020456A" w:rsidRPr="008E3100" w:rsidRDefault="0020456A" w:rsidP="0020456A">
      <w:pPr>
        <w:pStyle w:val="Nivel2SM"/>
      </w:pPr>
      <w:r w:rsidRPr="008E3100">
        <w:t>En comparación con el promedio de la UE, destaca el mayor peso de la edificación residencial y el menor peso de la rehabilitación y mantenimiento.</w:t>
      </w:r>
    </w:p>
    <w:p w14:paraId="6E935899" w14:textId="12E73BC8" w:rsidR="00326166" w:rsidRDefault="00984C77" w:rsidP="00984C77">
      <w:pPr>
        <w:pStyle w:val="Ttulo3"/>
      </w:pPr>
      <w:bookmarkStart w:id="13" w:name="_Toc177740109"/>
      <w:r>
        <w:t>Distribución geográfica</w:t>
      </w:r>
      <w:bookmarkEnd w:id="13"/>
    </w:p>
    <w:p w14:paraId="3892CAAB" w14:textId="77777777" w:rsidR="003A3EA3" w:rsidRPr="003A3EA3" w:rsidRDefault="003A3EA3" w:rsidP="003A3EA3">
      <w:pPr>
        <w:pStyle w:val="Nivel2SM"/>
      </w:pPr>
    </w:p>
    <w:p w14:paraId="26FC1BB5" w14:textId="77777777" w:rsidR="00984C77" w:rsidRDefault="00326166" w:rsidP="0020684D">
      <w:pPr>
        <w:pStyle w:val="Ttulo2"/>
      </w:pPr>
      <w:bookmarkStart w:id="14" w:name="_Toc177740110"/>
      <w:r>
        <w:t>¿Quién?</w:t>
      </w:r>
      <w:bookmarkEnd w:id="14"/>
    </w:p>
    <w:p w14:paraId="73FB7B44" w14:textId="77777777" w:rsidR="00984C77" w:rsidRDefault="00984C77" w:rsidP="00984C77">
      <w:pPr>
        <w:pStyle w:val="Ttulo3"/>
        <w:spacing w:before="0"/>
      </w:pPr>
      <w:bookmarkStart w:id="15" w:name="_Toc177740111"/>
      <w:r>
        <w:t>Demanda interna</w:t>
      </w:r>
      <w:bookmarkEnd w:id="15"/>
    </w:p>
    <w:p w14:paraId="4636C2CE" w14:textId="77777777" w:rsidR="003A3EA3" w:rsidRPr="003A3EA3" w:rsidRDefault="003A3EA3" w:rsidP="003A3EA3">
      <w:pPr>
        <w:pStyle w:val="Nivel2SM"/>
      </w:pPr>
    </w:p>
    <w:p w14:paraId="1508E9E2" w14:textId="79440419" w:rsidR="00EA6548" w:rsidRDefault="00984C77" w:rsidP="00EA6548">
      <w:pPr>
        <w:pStyle w:val="Ttulo3"/>
      </w:pPr>
      <w:bookmarkStart w:id="16" w:name="_Toc177740112"/>
      <w:r>
        <w:t>Demanda externa</w:t>
      </w:r>
      <w:bookmarkEnd w:id="16"/>
    </w:p>
    <w:p w14:paraId="1525BD5A" w14:textId="77777777" w:rsidR="00B431BD" w:rsidRDefault="00B431BD" w:rsidP="00B431BD">
      <w:pPr>
        <w:pStyle w:val="Nivel2SM"/>
        <w:keepNext/>
        <w:spacing w:after="0"/>
      </w:pPr>
      <w:r>
        <w:t>El sector de la construcción ha sido tradicionalmente un sector cerrado, debido a la inmovilidad de los bienes.</w:t>
      </w:r>
    </w:p>
    <w:p w14:paraId="31250E6D" w14:textId="61E7F518" w:rsidR="00B431BD" w:rsidRDefault="00B431BD" w:rsidP="00B431BD">
      <w:pPr>
        <w:pStyle w:val="Nivel3SM"/>
        <w:keepNext/>
      </w:pPr>
      <w:r>
        <w:t xml:space="preserve">No obstante, la apertura de la licitación pública internacional en virtud de los </w:t>
      </w:r>
      <w:r w:rsidRPr="00A13BFD">
        <w:rPr>
          <w:i/>
          <w:iCs/>
        </w:rPr>
        <w:t>Acuerdos sobre Contratación Pública</w:t>
      </w:r>
      <w:r>
        <w:t xml:space="preserve"> en el seno de l</w:t>
      </w:r>
      <w:r w:rsidR="00A13BFD">
        <w:t>a</w:t>
      </w:r>
      <w:r>
        <w:t xml:space="preserve"> OMC</w:t>
      </w:r>
      <w:r w:rsidR="00A13BFD">
        <w:t xml:space="preserve">, los </w:t>
      </w:r>
      <w:r w:rsidR="00A13BFD" w:rsidRPr="00AB1756">
        <w:rPr>
          <w:i/>
          <w:iCs/>
        </w:rPr>
        <w:t>Acuerdos de Nueva Generación</w:t>
      </w:r>
      <w:r>
        <w:t xml:space="preserve"> y las </w:t>
      </w:r>
      <w:r w:rsidRPr="00A13BFD">
        <w:rPr>
          <w:i/>
          <w:iCs/>
        </w:rPr>
        <w:t>normas en materia de igualdad entre empresas</w:t>
      </w:r>
      <w:r>
        <w:t xml:space="preserve"> de la UE en esta materia,</w:t>
      </w:r>
      <w:r w:rsidR="00A13BFD" w:rsidRPr="00A13BFD">
        <w:t xml:space="preserve"> </w:t>
      </w:r>
      <w:r w:rsidR="00A13BFD" w:rsidRPr="008E3100">
        <w:t>promueve</w:t>
      </w:r>
      <w:r w:rsidR="00A13BFD">
        <w:t>n</w:t>
      </w:r>
      <w:r w:rsidR="00A13BFD" w:rsidRPr="008E3100">
        <w:t xml:space="preserve"> la liberalización de las licitaciones de obras públicas</w:t>
      </w:r>
      <w:r w:rsidR="00A13BFD">
        <w:t xml:space="preserve"> y</w:t>
      </w:r>
      <w:r>
        <w:t xml:space="preserve"> han permitido a las grandes empresas españolas adjudicarse importantes proyectos en terceros países.</w:t>
      </w:r>
    </w:p>
    <w:p w14:paraId="525A04BF" w14:textId="6171296F" w:rsidR="00B431BD" w:rsidRDefault="00B431BD" w:rsidP="00B431BD">
      <w:pPr>
        <w:pStyle w:val="Nivel4"/>
        <w:ind w:left="1474"/>
        <w:rPr>
          <w:spacing w:val="-2"/>
        </w:rPr>
      </w:pPr>
      <w:r w:rsidRPr="00501014">
        <w:rPr>
          <w:spacing w:val="-2"/>
        </w:rPr>
        <w:t xml:space="preserve">Ejemplos de ello son las obras del </w:t>
      </w:r>
      <w:r w:rsidRPr="00501014">
        <w:rPr>
          <w:i/>
          <w:iCs/>
          <w:spacing w:val="-2"/>
        </w:rPr>
        <w:t>nuevo Canal de Panamá</w:t>
      </w:r>
      <w:r w:rsidRPr="00501014">
        <w:rPr>
          <w:spacing w:val="-2"/>
        </w:rPr>
        <w:t>, mayor obra de ingeniería del siglo XXI, llevadas a cabo por un consorcio empresarial liderado por la española Sacyr.</w:t>
      </w:r>
    </w:p>
    <w:p w14:paraId="04E52001" w14:textId="6D0A2B93" w:rsidR="00D5517D" w:rsidRDefault="00D5517D" w:rsidP="00D5517D">
      <w:pPr>
        <w:pStyle w:val="Nivel3SM"/>
      </w:pPr>
      <w:r>
        <w:t xml:space="preserve">Además, se trata del 4º sector que más I+D recibe </w:t>
      </w:r>
      <w:r w:rsidR="00BE2ACD">
        <w:t xml:space="preserve">en los últimos 5 años </w:t>
      </w:r>
      <w:r>
        <w:t>(</w:t>
      </w:r>
      <w:r w:rsidRPr="00D5517D">
        <w:t>10,5</w:t>
      </w:r>
      <w:r>
        <w:t> % entre 2018 y 2022)</w:t>
      </w:r>
    </w:p>
    <w:p w14:paraId="70B72858" w14:textId="7706637E" w:rsidR="00E54520" w:rsidRDefault="00DC3683" w:rsidP="00E54520">
      <w:pPr>
        <w:pStyle w:val="Ttulo1"/>
      </w:pPr>
      <w:bookmarkStart w:id="17" w:name="_Toc177740113"/>
      <w:r>
        <w:lastRenderedPageBreak/>
        <w:t>SUBSECTORES</w:t>
      </w:r>
      <w:r w:rsidR="00182D3B">
        <w:t xml:space="preserve"> Y SU EVOLUCIÓN</w:t>
      </w:r>
      <w:bookmarkEnd w:id="17"/>
    </w:p>
    <w:p w14:paraId="332901AE" w14:textId="6A6DEE6F" w:rsidR="00FF36F7" w:rsidRPr="00C47980" w:rsidRDefault="00E54520" w:rsidP="00E54520">
      <w:pPr>
        <w:pStyle w:val="Ttulo2"/>
      </w:pPr>
      <w:bookmarkStart w:id="18" w:name="_Toc177740114"/>
      <w:r w:rsidRPr="008E3100">
        <w:t>Subsector de infraestructuras (obra civil)</w:t>
      </w:r>
      <w:bookmarkEnd w:id="18"/>
    </w:p>
    <w:p w14:paraId="4DBD3DCC" w14:textId="35F56BAE" w:rsidR="00473793" w:rsidRDefault="00473793" w:rsidP="00473793">
      <w:pPr>
        <w:pStyle w:val="Ttulo3"/>
        <w:spacing w:before="0"/>
      </w:pPr>
      <w:bookmarkStart w:id="19" w:name="_Toc177740115"/>
      <w:r>
        <w:t>¿Qué?</w:t>
      </w:r>
      <w:r w:rsidR="003A3EA3">
        <w:t xml:space="preserve"> </w:t>
      </w:r>
      <w:r>
        <w:t>Delimitación</w:t>
      </w:r>
      <w:bookmarkEnd w:id="19"/>
    </w:p>
    <w:p w14:paraId="1F155B9B" w14:textId="3B92A3CE" w:rsidR="00473793" w:rsidRPr="00473793" w:rsidRDefault="00473793" w:rsidP="003A3EA3">
      <w:pPr>
        <w:pStyle w:val="Nivel1SM"/>
        <w:spacing w:before="0"/>
      </w:pPr>
      <w:r>
        <w:t>Se refiere a la</w:t>
      </w:r>
      <w:r w:rsidR="003A3EA3">
        <w:t xml:space="preserve"> construcción de</w:t>
      </w:r>
      <w:r>
        <w:t xml:space="preserve"> infraestructuras.</w:t>
      </w:r>
    </w:p>
    <w:p w14:paraId="43E0CDE4" w14:textId="24873403" w:rsidR="00473793" w:rsidRDefault="00473793" w:rsidP="00E54520">
      <w:pPr>
        <w:pStyle w:val="Ttulo3"/>
        <w:spacing w:before="0"/>
      </w:pPr>
      <w:bookmarkStart w:id="20" w:name="_Toc177740116"/>
      <w:r>
        <w:t>¿Por qué?</w:t>
      </w:r>
      <w:bookmarkEnd w:id="20"/>
    </w:p>
    <w:p w14:paraId="6EA8EDE5" w14:textId="16948AE0" w:rsidR="008D4136" w:rsidRPr="00C47980" w:rsidRDefault="00473793" w:rsidP="00473793">
      <w:pPr>
        <w:pStyle w:val="Ttulo6"/>
        <w:spacing w:before="0"/>
      </w:pPr>
      <w:r>
        <w:t>Relevancia cuantitativa</w:t>
      </w:r>
    </w:p>
    <w:p w14:paraId="696FAA2B" w14:textId="2D9F3CF6" w:rsidR="002E5CAD" w:rsidRDefault="008D4136" w:rsidP="00C744D2">
      <w:pPr>
        <w:pStyle w:val="Nivel1SM"/>
        <w:spacing w:before="0"/>
      </w:pPr>
      <w:r w:rsidRPr="008E3100">
        <w:t>Representa, como veíamos, el 21</w:t>
      </w:r>
      <w:r w:rsidR="00FD0617">
        <w:t> </w:t>
      </w:r>
      <w:r w:rsidRPr="008E3100">
        <w:t>% de la producción del sector de la construcción.</w:t>
      </w:r>
    </w:p>
    <w:p w14:paraId="34EC9B7A" w14:textId="0B7C5892" w:rsidR="00473793" w:rsidRDefault="00473793" w:rsidP="00473793">
      <w:pPr>
        <w:pStyle w:val="Ttulo6"/>
      </w:pPr>
      <w:r>
        <w:t>Relevancia cualitativa</w:t>
      </w:r>
    </w:p>
    <w:p w14:paraId="1113A335" w14:textId="5B9CC9C6" w:rsidR="00473793" w:rsidRDefault="00182D3B" w:rsidP="00C744D2">
      <w:pPr>
        <w:pStyle w:val="Nivel1SM"/>
        <w:keepNext/>
        <w:spacing w:before="0" w:after="0"/>
      </w:pPr>
      <w:r>
        <w:t>Al afectar a numerosos sectores, el sector de la obra civil ejerce una influencia relevante sobre la productividad de estos.</w:t>
      </w:r>
    </w:p>
    <w:p w14:paraId="2E8F77BE" w14:textId="77777777" w:rsidR="00182D3B" w:rsidRDefault="00182D3B" w:rsidP="00C744D2">
      <w:pPr>
        <w:pStyle w:val="Nivel2SM"/>
      </w:pPr>
      <w:r>
        <w:t xml:space="preserve">Los trabajos empíricos de </w:t>
      </w:r>
      <w:proofErr w:type="spellStart"/>
      <w:r>
        <w:rPr>
          <w:smallCaps/>
        </w:rPr>
        <w:t>Aschauer</w:t>
      </w:r>
      <w:proofErr w:type="spellEnd"/>
      <w:r>
        <w:t xml:space="preserve"> encuentran que este efecto explica una relación positiva entre obra pública y crecimiento.</w:t>
      </w:r>
    </w:p>
    <w:p w14:paraId="725A50E3" w14:textId="3FC61E91" w:rsidR="00182D3B" w:rsidRPr="00473793" w:rsidRDefault="00182D3B" w:rsidP="00C744D2">
      <w:pPr>
        <w:pStyle w:val="Nivel2SM"/>
      </w:pPr>
      <w:r>
        <w:t>Sin embargo, en España, un estudio del BCE encuentra que la inversión en capital público ha tenido un impacto negativo sobre el crecimiento económico.</w:t>
      </w:r>
    </w:p>
    <w:p w14:paraId="2989035E" w14:textId="77777777" w:rsidR="000F41B9" w:rsidRPr="008E3100" w:rsidRDefault="000F41B9" w:rsidP="000F41B9">
      <w:pPr>
        <w:pStyle w:val="Ttulo7"/>
      </w:pPr>
      <w:r w:rsidRPr="00E54520">
        <w:t>Doble</w:t>
      </w:r>
      <w:r w:rsidRPr="008E3100">
        <w:t xml:space="preserve"> papel en la economía</w:t>
      </w:r>
    </w:p>
    <w:p w14:paraId="0853063E" w14:textId="77777777" w:rsidR="000F41B9" w:rsidRPr="008E3100" w:rsidRDefault="000F41B9" w:rsidP="000F41B9">
      <w:pPr>
        <w:pStyle w:val="Nivel2SM"/>
        <w:keepNext/>
        <w:spacing w:after="0"/>
      </w:pPr>
      <w:r w:rsidRPr="008E3100">
        <w:t xml:space="preserve">El subsector de la obra civil puede jugar un </w:t>
      </w:r>
      <w:r w:rsidRPr="00F13867">
        <w:rPr>
          <w:b/>
          <w:bCs/>
        </w:rPr>
        <w:t>doble papel sobre la economía</w:t>
      </w:r>
      <w:r w:rsidRPr="008E3100">
        <w:t>:</w:t>
      </w:r>
    </w:p>
    <w:p w14:paraId="74232ADF" w14:textId="77777777" w:rsidR="000F41B9" w:rsidRPr="008E3100" w:rsidRDefault="000F41B9" w:rsidP="000F41B9">
      <w:pPr>
        <w:pStyle w:val="Nivel3SM"/>
      </w:pPr>
      <w:r w:rsidRPr="00F13867">
        <w:rPr>
          <w:i/>
          <w:iCs/>
          <w:u w:val="single"/>
        </w:rPr>
        <w:t>Por el lado de la oferta</w:t>
      </w:r>
      <w:r>
        <w:t xml:space="preserve">: </w:t>
      </w:r>
      <w:r w:rsidRPr="008E3100">
        <w:t xml:space="preserve">Incrementa la productividad y, por consiguiente, el crecimiento potencial (modelo de crecimiento de </w:t>
      </w:r>
      <w:r w:rsidRPr="00F13867">
        <w:rPr>
          <w:smallCaps/>
        </w:rPr>
        <w:t>Barro</w:t>
      </w:r>
      <w:r w:rsidRPr="008E3100">
        <w:t xml:space="preserve"> con </w:t>
      </w:r>
      <w:r>
        <w:t>s</w:t>
      </w:r>
      <w:r w:rsidRPr="008E3100">
        <w:t xml:space="preserve">ector </w:t>
      </w:r>
      <w:r>
        <w:t>p</w:t>
      </w:r>
      <w:r w:rsidRPr="008E3100">
        <w:t>úblico</w:t>
      </w:r>
      <w:r>
        <w:t xml:space="preserve"> </w:t>
      </w:r>
      <w:r w:rsidRPr="00B36DD3">
        <w:rPr>
          <w:color w:val="767171" w:themeColor="background2" w:themeShade="80"/>
          <w:sz w:val="19"/>
          <w:szCs w:val="19"/>
        </w:rPr>
        <w:t>[</w:t>
      </w:r>
      <w:r>
        <w:rPr>
          <w:color w:val="767171" w:themeColor="background2" w:themeShade="80"/>
          <w:sz w:val="19"/>
          <w:szCs w:val="19"/>
        </w:rPr>
        <w:t>ver tema 3.A.43</w:t>
      </w:r>
      <w:r w:rsidRPr="00B36DD3">
        <w:rPr>
          <w:color w:val="767171" w:themeColor="background2" w:themeShade="80"/>
          <w:sz w:val="19"/>
          <w:szCs w:val="19"/>
        </w:rPr>
        <w:t>]</w:t>
      </w:r>
      <w:r w:rsidRPr="008E3100">
        <w:t>).</w:t>
      </w:r>
    </w:p>
    <w:p w14:paraId="0430AF9E" w14:textId="77777777" w:rsidR="000F41B9" w:rsidRPr="00F13867" w:rsidRDefault="000F41B9" w:rsidP="000F41B9">
      <w:pPr>
        <w:pStyle w:val="Nivel3SM"/>
        <w:keepNext/>
      </w:pPr>
      <w:r w:rsidRPr="00F13867">
        <w:rPr>
          <w:i/>
          <w:iCs/>
          <w:u w:val="single"/>
        </w:rPr>
        <w:t>Por el lado de la demanda</w:t>
      </w:r>
      <w:r>
        <w:t xml:space="preserve">: </w:t>
      </w:r>
      <w:r w:rsidRPr="00F13867">
        <w:t>Puede jugar un rol estabilizador en las fases recesivas del ciclo, dados sus elevados efectos arrastre y su contratación fundamentalmente de trabajadores de baja cualificación.</w:t>
      </w:r>
    </w:p>
    <w:p w14:paraId="5ACDE496" w14:textId="77777777" w:rsidR="000F41B9" w:rsidRDefault="000F41B9" w:rsidP="000F41B9">
      <w:pPr>
        <w:pStyle w:val="Nivel4"/>
        <w:ind w:left="1474"/>
      </w:pPr>
      <w:r>
        <w:t>Esta es la lógica seguida en el Plan E.</w:t>
      </w:r>
    </w:p>
    <w:p w14:paraId="27C7446E" w14:textId="77777777" w:rsidR="000F41B9" w:rsidRPr="00DF0E81" w:rsidRDefault="000F41B9" w:rsidP="000F41B9">
      <w:pPr>
        <w:pStyle w:val="Nivel4"/>
        <w:ind w:left="1474"/>
        <w:rPr>
          <w:spacing w:val="-2"/>
        </w:rPr>
      </w:pPr>
      <w:r w:rsidRPr="00DF0E81">
        <w:rPr>
          <w:spacing w:val="-2"/>
        </w:rPr>
        <w:t>De hecho, muchos organismos internacionales están animando a los países con margen presupuestario a llevar a cabo aumentos de gasto público en infraestructuras.</w:t>
      </w:r>
    </w:p>
    <w:p w14:paraId="47C2023D" w14:textId="09C40D81" w:rsidR="003A3EA3" w:rsidRDefault="00473793" w:rsidP="00453CAC">
      <w:pPr>
        <w:pStyle w:val="Ttulo3"/>
        <w:spacing w:before="0"/>
      </w:pPr>
      <w:bookmarkStart w:id="21" w:name="_Toc177740117"/>
      <w:r>
        <w:t>¿Cómo?</w:t>
      </w:r>
      <w:r w:rsidR="000F41B9">
        <w:t xml:space="preserve"> </w:t>
      </w:r>
      <w:r w:rsidR="003A3EA3">
        <w:t>Clasificación</w:t>
      </w:r>
      <w:bookmarkEnd w:id="21"/>
    </w:p>
    <w:p w14:paraId="78DCAB1C" w14:textId="77777777" w:rsidR="003A3EA3" w:rsidRPr="008E3100" w:rsidRDefault="003A3EA3" w:rsidP="00C744D2">
      <w:pPr>
        <w:pStyle w:val="Nivel1SM"/>
        <w:keepNext/>
        <w:spacing w:before="0" w:after="0"/>
      </w:pPr>
      <w:r w:rsidRPr="008E3100">
        <w:t xml:space="preserve">Incluye diferentes tipos de </w:t>
      </w:r>
      <w:r w:rsidRPr="00DF0E81">
        <w:rPr>
          <w:b/>
          <w:bCs/>
        </w:rPr>
        <w:t>actividades</w:t>
      </w:r>
      <w:r w:rsidRPr="008E3100">
        <w:t>:</w:t>
      </w:r>
    </w:p>
    <w:p w14:paraId="449D3FEA" w14:textId="77777777" w:rsidR="003A3EA3" w:rsidRPr="008E3100" w:rsidRDefault="003A3EA3" w:rsidP="00C744D2">
      <w:pPr>
        <w:pStyle w:val="Prrafodelista"/>
        <w:numPr>
          <w:ilvl w:val="0"/>
          <w:numId w:val="9"/>
        </w:numPr>
        <w:spacing w:after="100"/>
        <w:ind w:left="567" w:hanging="113"/>
      </w:pPr>
      <w:r w:rsidRPr="00DF0E81">
        <w:rPr>
          <w:i/>
          <w:iCs/>
          <w:u w:val="single"/>
        </w:rPr>
        <w:t>Infraestructuras productivas</w:t>
      </w:r>
      <w:r w:rsidRPr="008E3100">
        <w:t xml:space="preserve">: </w:t>
      </w:r>
      <w:r>
        <w:t>I</w:t>
      </w:r>
      <w:r w:rsidRPr="008E3100">
        <w:t>nfraestructuras de transportes, comunicaciones</w:t>
      </w:r>
      <w:r>
        <w:t xml:space="preserve"> (p.ej. aeropuerto)</w:t>
      </w:r>
      <w:r w:rsidRPr="008E3100">
        <w:t>.</w:t>
      </w:r>
    </w:p>
    <w:p w14:paraId="5FA9DFD4" w14:textId="77777777" w:rsidR="003A3EA3" w:rsidRPr="008E3100" w:rsidRDefault="003A3EA3" w:rsidP="00C744D2">
      <w:pPr>
        <w:pStyle w:val="Prrafodelista"/>
        <w:numPr>
          <w:ilvl w:val="0"/>
          <w:numId w:val="9"/>
        </w:numPr>
        <w:spacing w:after="100"/>
        <w:ind w:left="567" w:hanging="113"/>
      </w:pPr>
      <w:r w:rsidRPr="00DF0E81">
        <w:rPr>
          <w:i/>
          <w:iCs/>
          <w:u w:val="single"/>
        </w:rPr>
        <w:t>Infraestructuras socioculturales</w:t>
      </w:r>
      <w:r w:rsidRPr="008E3100">
        <w:t xml:space="preserve">: </w:t>
      </w:r>
      <w:r>
        <w:t>E</w:t>
      </w:r>
      <w:r w:rsidRPr="008E3100">
        <w:t>ducación, cultura, deportes</w:t>
      </w:r>
      <w:r>
        <w:t xml:space="preserve"> (p.ej. estadio)</w:t>
      </w:r>
      <w:r w:rsidRPr="008E3100">
        <w:t>.</w:t>
      </w:r>
    </w:p>
    <w:p w14:paraId="12FCB078" w14:textId="77777777" w:rsidR="003A3EA3" w:rsidRPr="008E3100" w:rsidRDefault="003A3EA3" w:rsidP="00C744D2">
      <w:pPr>
        <w:pStyle w:val="Prrafodelista"/>
        <w:numPr>
          <w:ilvl w:val="0"/>
          <w:numId w:val="9"/>
        </w:numPr>
        <w:spacing w:after="100"/>
        <w:ind w:left="567" w:hanging="113"/>
      </w:pPr>
      <w:r w:rsidRPr="00DF0E81">
        <w:rPr>
          <w:i/>
          <w:iCs/>
          <w:u w:val="single"/>
        </w:rPr>
        <w:t>Infraestructuras medioambientales</w:t>
      </w:r>
      <w:r w:rsidRPr="008E3100">
        <w:t xml:space="preserve">: </w:t>
      </w:r>
      <w:r>
        <w:t>A</w:t>
      </w:r>
      <w:r w:rsidRPr="008E3100">
        <w:t>lcantarillado, abastecimiento de aguas.</w:t>
      </w:r>
    </w:p>
    <w:p w14:paraId="79D1D2A6" w14:textId="0431CD88" w:rsidR="000F41B9" w:rsidRDefault="000F41B9" w:rsidP="000F41B9">
      <w:pPr>
        <w:pStyle w:val="Ttulo3"/>
      </w:pPr>
      <w:bookmarkStart w:id="22" w:name="_Toc177740118"/>
      <w:r>
        <w:t>¿Quién?</w:t>
      </w:r>
      <w:bookmarkEnd w:id="22"/>
    </w:p>
    <w:p w14:paraId="07437324" w14:textId="676A732F" w:rsidR="00966F59" w:rsidRDefault="000F41B9" w:rsidP="000F41B9">
      <w:pPr>
        <w:pStyle w:val="Ttulo6"/>
        <w:spacing w:before="0"/>
      </w:pPr>
      <w:r>
        <w:t xml:space="preserve">Demanda externa: </w:t>
      </w:r>
      <w:r w:rsidR="00966F59">
        <w:t>Sector exterior</w:t>
      </w:r>
    </w:p>
    <w:p w14:paraId="701DB9DB" w14:textId="59061083" w:rsidR="00966F59" w:rsidRPr="00966F59" w:rsidRDefault="00966F59" w:rsidP="000F41B9">
      <w:pPr>
        <w:pStyle w:val="Nivel1SM"/>
        <w:spacing w:before="0"/>
      </w:pPr>
      <w:r>
        <w:t>Subrayemos la gran presencia de España especialmente en América Latina, pero también en América del Norte.</w:t>
      </w:r>
    </w:p>
    <w:p w14:paraId="1F5DCA33" w14:textId="4A0687FF" w:rsidR="00C70207" w:rsidRPr="008E3100" w:rsidRDefault="00C70207" w:rsidP="00E54520">
      <w:pPr>
        <w:pStyle w:val="Ttulo3"/>
      </w:pPr>
      <w:bookmarkStart w:id="23" w:name="_Toc177740119"/>
      <w:r w:rsidRPr="008E3100">
        <w:t>Problemas</w:t>
      </w:r>
      <w:bookmarkEnd w:id="23"/>
    </w:p>
    <w:p w14:paraId="0DC4AD54" w14:textId="627FE061" w:rsidR="002E5CAD" w:rsidRPr="00C47980" w:rsidRDefault="002E5CAD" w:rsidP="00E54520">
      <w:pPr>
        <w:pStyle w:val="Ttulo6"/>
        <w:spacing w:before="0"/>
      </w:pPr>
      <w:r w:rsidRPr="008E3100">
        <w:t>Problemas con las infraestructuras ya existentes</w:t>
      </w:r>
    </w:p>
    <w:p w14:paraId="4D3A2863" w14:textId="77777777" w:rsidR="002E5CAD" w:rsidRPr="008E3100" w:rsidRDefault="002E5CAD" w:rsidP="00395579">
      <w:pPr>
        <w:pStyle w:val="Nivel2SM"/>
        <w:keepNext/>
        <w:spacing w:after="0"/>
      </w:pPr>
      <w:r w:rsidRPr="008E3100">
        <w:t xml:space="preserve">Algunos de los </w:t>
      </w:r>
      <w:r w:rsidRPr="00FC5EB4">
        <w:rPr>
          <w:b/>
          <w:bCs/>
        </w:rPr>
        <w:t>problemas</w:t>
      </w:r>
      <w:r w:rsidRPr="008E3100">
        <w:t xml:space="preserve"> que han experimentado</w:t>
      </w:r>
      <w:r w:rsidR="002B6B81">
        <w:t xml:space="preserve"> las infraestructuras españolas</w:t>
      </w:r>
      <w:r w:rsidRPr="008E3100">
        <w:t>:</w:t>
      </w:r>
    </w:p>
    <w:p w14:paraId="799F546E" w14:textId="65C763B9" w:rsidR="002E5CAD" w:rsidRPr="00FC5EB4" w:rsidRDefault="002E5CAD" w:rsidP="00FC5EB4">
      <w:pPr>
        <w:pStyle w:val="Nivel3SM"/>
      </w:pPr>
      <w:r w:rsidRPr="00FC5EB4">
        <w:rPr>
          <w:i/>
          <w:iCs/>
        </w:rPr>
        <w:t>Disparidad de calidades</w:t>
      </w:r>
      <w:r w:rsidRPr="00FC5EB4">
        <w:t>:</w:t>
      </w:r>
      <w:r w:rsidR="00FC5EB4" w:rsidRPr="00FC5EB4">
        <w:t xml:space="preserve"> </w:t>
      </w:r>
      <w:r w:rsidRPr="00FC5EB4">
        <w:t>Conviven infraestructuras modernas con otras muy deterioradas.</w:t>
      </w:r>
    </w:p>
    <w:p w14:paraId="26BDBE0B" w14:textId="4A127CF4" w:rsidR="002E5CAD" w:rsidRPr="00FC5EB4" w:rsidRDefault="002E5CAD" w:rsidP="00FC5EB4">
      <w:pPr>
        <w:pStyle w:val="Nivel3SM"/>
      </w:pPr>
      <w:r w:rsidRPr="00FC5EB4">
        <w:rPr>
          <w:i/>
          <w:iCs/>
        </w:rPr>
        <w:t>Disparidad regional</w:t>
      </w:r>
      <w:r w:rsidR="00FC5EB4" w:rsidRPr="00FC5EB4">
        <w:t xml:space="preserve">: </w:t>
      </w:r>
      <w:r w:rsidRPr="00FC5EB4">
        <w:t>Causada en parte por la estructura radial de las infraestructuras (p.ej. las infraestructuras de transportes).</w:t>
      </w:r>
    </w:p>
    <w:p w14:paraId="5224944C" w14:textId="354D31CB" w:rsidR="00631E84" w:rsidRDefault="002E5CAD" w:rsidP="00FC5EB4">
      <w:pPr>
        <w:pStyle w:val="Nivel3SM"/>
      </w:pPr>
      <w:r w:rsidRPr="00FC5EB4">
        <w:rPr>
          <w:i/>
          <w:iCs/>
        </w:rPr>
        <w:t>Insuficiente coordinación en la planificación</w:t>
      </w:r>
      <w:r w:rsidR="00FC5EB4" w:rsidRPr="00FC5EB4">
        <w:t xml:space="preserve">: </w:t>
      </w:r>
      <w:r w:rsidRPr="00FC5EB4">
        <w:t>Que ha dado lugar a un excesivo número de algunas infraestructuras (p.ej</w:t>
      </w:r>
      <w:r w:rsidRPr="008E3100">
        <w:t>. aeropuertos).</w:t>
      </w:r>
    </w:p>
    <w:p w14:paraId="2E3930E8" w14:textId="77777777" w:rsidR="00C72767" w:rsidRPr="00FC5EB4" w:rsidRDefault="00C72767" w:rsidP="00C72767">
      <w:pPr>
        <w:pStyle w:val="Nivel3SM"/>
      </w:pPr>
      <w:r w:rsidRPr="00FC5EB4">
        <w:rPr>
          <w:i/>
          <w:iCs/>
        </w:rPr>
        <w:t>Impacto medioambiental</w:t>
      </w:r>
      <w:r w:rsidRPr="00FC5EB4">
        <w:t>: Del mismo modo, no todas las infraestructuras están igual de preparadas para contribuir a la protección del medio ambiente.</w:t>
      </w:r>
    </w:p>
    <w:p w14:paraId="605A0A5D" w14:textId="28D99BD1" w:rsidR="00631E84" w:rsidRPr="005E4237" w:rsidRDefault="00631E84" w:rsidP="00395579">
      <w:pPr>
        <w:pStyle w:val="Nivel2SM"/>
        <w:keepNext/>
        <w:spacing w:after="0"/>
      </w:pPr>
      <w:r w:rsidRPr="00483A40">
        <w:rPr>
          <w:b/>
          <w:bCs/>
        </w:rPr>
        <w:lastRenderedPageBreak/>
        <w:t>Soluciones</w:t>
      </w:r>
      <w:r w:rsidRPr="005E4237">
        <w:t>:</w:t>
      </w:r>
    </w:p>
    <w:p w14:paraId="794C7B0E" w14:textId="010DB599" w:rsidR="00631E84" w:rsidRPr="00961E76" w:rsidRDefault="00631E84" w:rsidP="00395579">
      <w:pPr>
        <w:pStyle w:val="Nivel3SM"/>
        <w:keepNext/>
      </w:pPr>
      <w:r w:rsidRPr="00F846BC">
        <w:rPr>
          <w:i/>
          <w:iCs/>
          <w:u w:val="single"/>
        </w:rPr>
        <w:t>Plan de Infraestructuras, Transporte y Vivienda 2012-2024 (PITVI)</w:t>
      </w:r>
      <w:r w:rsidR="00961E76">
        <w:t>:</w:t>
      </w:r>
    </w:p>
    <w:p w14:paraId="275362FA" w14:textId="32E7C643" w:rsidR="005E4237" w:rsidRPr="007A6FCD" w:rsidRDefault="005E4237" w:rsidP="00A82232">
      <w:pPr>
        <w:pStyle w:val="Nivel4"/>
        <w:keepNext/>
        <w:ind w:left="1474"/>
        <w:rPr>
          <w:spacing w:val="-4"/>
        </w:rPr>
      </w:pPr>
      <w:r w:rsidRPr="003C5D99">
        <w:rPr>
          <w:spacing w:val="-4"/>
        </w:rPr>
        <w:t xml:space="preserve">El PITVI se desglosa en </w:t>
      </w:r>
      <w:r w:rsidRPr="003C5D99">
        <w:rPr>
          <w:i/>
          <w:iCs/>
          <w:spacing w:val="-4"/>
        </w:rPr>
        <w:t>planes trianuales</w:t>
      </w:r>
      <w:r w:rsidR="007A6FCD" w:rsidRPr="007A6FCD">
        <w:rPr>
          <w:spacing w:val="-4"/>
        </w:rPr>
        <w:t xml:space="preserve"> y p</w:t>
      </w:r>
      <w:r w:rsidR="00631E84" w:rsidRPr="007A6FCD">
        <w:rPr>
          <w:spacing w:val="-4"/>
        </w:rPr>
        <w:t xml:space="preserve">revé una </w:t>
      </w:r>
      <w:r w:rsidR="00631E84" w:rsidRPr="003C5D99">
        <w:rPr>
          <w:i/>
          <w:iCs/>
          <w:spacing w:val="-4"/>
        </w:rPr>
        <w:t>inversión de 140.000</w:t>
      </w:r>
      <w:r w:rsidR="0087388E" w:rsidRPr="003C5D99">
        <w:rPr>
          <w:i/>
          <w:iCs/>
          <w:spacing w:val="-4"/>
        </w:rPr>
        <w:t> </w:t>
      </w:r>
      <w:r w:rsidR="00631E84" w:rsidRPr="003C5D99">
        <w:rPr>
          <w:i/>
          <w:iCs/>
          <w:spacing w:val="-4"/>
        </w:rPr>
        <w:t>millones de euros</w:t>
      </w:r>
      <w:r w:rsidR="007A6FCD" w:rsidRPr="007A6FCD">
        <w:rPr>
          <w:spacing w:val="-4"/>
        </w:rPr>
        <w:t>:</w:t>
      </w:r>
    </w:p>
    <w:p w14:paraId="4508DF7F" w14:textId="72934065" w:rsidR="00631E84" w:rsidRPr="008E3100" w:rsidRDefault="005E4237" w:rsidP="00395579">
      <w:pPr>
        <w:pStyle w:val="Nivel5"/>
        <w:ind w:left="1871"/>
      </w:pPr>
      <w:r>
        <w:t xml:space="preserve">Supone el </w:t>
      </w:r>
      <w:r w:rsidR="007F5DA1">
        <w:t>0,8</w:t>
      </w:r>
      <w:r w:rsidR="0087388E">
        <w:t> </w:t>
      </w:r>
      <w:r w:rsidR="007F5DA1">
        <w:t>% del PIB medio anual</w:t>
      </w:r>
      <w:r w:rsidR="007F5DA1" w:rsidRPr="007F5DA1">
        <w:t>, muy alejado del 4</w:t>
      </w:r>
      <w:r w:rsidR="00C47980">
        <w:t> </w:t>
      </w:r>
      <w:r w:rsidR="007F5DA1" w:rsidRPr="007F5DA1">
        <w:t>% invertido en infraestructuras los años previos a la crisis</w:t>
      </w:r>
    </w:p>
    <w:p w14:paraId="512EEEDB" w14:textId="25F70AE6" w:rsidR="007F5DA1" w:rsidRPr="008E3100" w:rsidRDefault="00AE56E0" w:rsidP="007763AF">
      <w:pPr>
        <w:pStyle w:val="Nivel5"/>
        <w:ind w:left="1871"/>
      </w:pPr>
      <w:r w:rsidRPr="00C529FA">
        <w:rPr>
          <w:i/>
          <w:iCs/>
        </w:rPr>
        <w:t>Financiación público</w:t>
      </w:r>
      <w:r w:rsidR="007A6FCD" w:rsidRPr="00C529FA">
        <w:rPr>
          <w:i/>
          <w:iCs/>
        </w:rPr>
        <w:t>-</w:t>
      </w:r>
      <w:r w:rsidRPr="00C529FA">
        <w:rPr>
          <w:i/>
          <w:iCs/>
        </w:rPr>
        <w:t>privada</w:t>
      </w:r>
      <w:r w:rsidR="00C529FA">
        <w:t xml:space="preserve">: </w:t>
      </w:r>
      <w:r w:rsidR="007F5DA1" w:rsidRPr="007F5DA1">
        <w:t xml:space="preserve">El </w:t>
      </w:r>
      <w:r w:rsidR="005E4237">
        <w:t xml:space="preserve">objetivo es </w:t>
      </w:r>
      <w:r w:rsidR="007F5DA1" w:rsidRPr="007F5DA1">
        <w:t>que la inversión pública constituya únicamente en torno al 60</w:t>
      </w:r>
      <w:r w:rsidR="0025477B">
        <w:t> </w:t>
      </w:r>
      <w:r w:rsidR="007F5DA1" w:rsidRPr="007F5DA1">
        <w:t>% del total.</w:t>
      </w:r>
    </w:p>
    <w:p w14:paraId="01CEF171" w14:textId="77777777" w:rsidR="007763AF" w:rsidRDefault="00631E84" w:rsidP="007763AF">
      <w:pPr>
        <w:pStyle w:val="Nivel4"/>
        <w:keepNext/>
        <w:ind w:left="1474"/>
      </w:pPr>
      <w:r w:rsidRPr="005E4237">
        <w:t xml:space="preserve">Respecto al </w:t>
      </w:r>
      <w:r w:rsidRPr="00C529FA">
        <w:rPr>
          <w:i/>
          <w:iCs/>
        </w:rPr>
        <w:t>destino de la inversión</w:t>
      </w:r>
      <w:r w:rsidR="007763AF">
        <w:t>:</w:t>
      </w:r>
    </w:p>
    <w:p w14:paraId="39089328" w14:textId="0EAD375A" w:rsidR="00631E84" w:rsidRDefault="00B14CC7" w:rsidP="007763AF">
      <w:pPr>
        <w:pStyle w:val="Nivel5"/>
        <w:ind w:left="1871"/>
      </w:pPr>
      <w:r w:rsidRPr="00B14CC7">
        <w:rPr>
          <w:i/>
          <w:iCs/>
        </w:rPr>
        <w:t>Infraestructura</w:t>
      </w:r>
      <w:r w:rsidR="00CE3062">
        <w:rPr>
          <w:i/>
          <w:iCs/>
        </w:rPr>
        <w:t>s</w:t>
      </w:r>
      <w:r w:rsidRPr="00B14CC7">
        <w:rPr>
          <w:i/>
          <w:iCs/>
        </w:rPr>
        <w:t xml:space="preserve"> y transporte</w:t>
      </w:r>
      <w:r>
        <w:t xml:space="preserve">: </w:t>
      </w:r>
      <w:r w:rsidR="007763AF">
        <w:t>E</w:t>
      </w:r>
      <w:r w:rsidR="00631E84" w:rsidRPr="008E3100">
        <w:t xml:space="preserve">l </w:t>
      </w:r>
      <w:r w:rsidR="00631E84" w:rsidRPr="00071926">
        <w:rPr>
          <w:bCs/>
          <w:i/>
          <w:iCs/>
        </w:rPr>
        <w:t>ferrocarril</w:t>
      </w:r>
      <w:r w:rsidR="00631E84" w:rsidRPr="00071926">
        <w:rPr>
          <w:bCs/>
        </w:rPr>
        <w:t xml:space="preserve"> concentra un 40</w:t>
      </w:r>
      <w:r w:rsidR="002C22BF" w:rsidRPr="00071926">
        <w:rPr>
          <w:bCs/>
        </w:rPr>
        <w:t> </w:t>
      </w:r>
      <w:r w:rsidR="00631E84" w:rsidRPr="00071926">
        <w:rPr>
          <w:bCs/>
        </w:rPr>
        <w:t>%</w:t>
      </w:r>
      <w:r w:rsidR="00631E84" w:rsidRPr="008E3100">
        <w:t xml:space="preserve">, </w:t>
      </w:r>
      <w:r w:rsidR="00631E84" w:rsidRPr="00071926">
        <w:rPr>
          <w:i/>
          <w:iCs/>
        </w:rPr>
        <w:t>carreteras</w:t>
      </w:r>
      <w:r w:rsidR="00631E84" w:rsidRPr="008E3100">
        <w:t xml:space="preserve"> (30</w:t>
      </w:r>
      <w:r w:rsidR="002C22BF">
        <w:t> </w:t>
      </w:r>
      <w:r w:rsidR="00631E84" w:rsidRPr="008E3100">
        <w:t xml:space="preserve">%), de los </w:t>
      </w:r>
      <w:r w:rsidR="00631E84" w:rsidRPr="00071926">
        <w:rPr>
          <w:i/>
          <w:iCs/>
        </w:rPr>
        <w:t>puertos</w:t>
      </w:r>
      <w:r w:rsidR="00631E84" w:rsidRPr="008E3100">
        <w:t xml:space="preserve"> (5</w:t>
      </w:r>
      <w:r w:rsidR="002C22BF">
        <w:t> </w:t>
      </w:r>
      <w:r w:rsidR="00631E84" w:rsidRPr="008E3100">
        <w:t xml:space="preserve">%) y de los </w:t>
      </w:r>
      <w:r w:rsidR="00631E84" w:rsidRPr="00071926">
        <w:rPr>
          <w:i/>
          <w:iCs/>
        </w:rPr>
        <w:t>aeropuertos</w:t>
      </w:r>
      <w:r w:rsidR="00631E84" w:rsidRPr="008E3100">
        <w:t xml:space="preserve"> (5</w:t>
      </w:r>
      <w:r w:rsidR="002C22BF">
        <w:t> </w:t>
      </w:r>
      <w:r w:rsidR="00631E84" w:rsidRPr="008E3100">
        <w:t>%).</w:t>
      </w:r>
    </w:p>
    <w:p w14:paraId="19022A9E" w14:textId="77777777" w:rsidR="005E4237" w:rsidRPr="005E4237" w:rsidRDefault="005E4237" w:rsidP="007763AF">
      <w:pPr>
        <w:pStyle w:val="Nivel5"/>
        <w:keepNext/>
        <w:ind w:left="1871"/>
      </w:pPr>
      <w:r w:rsidRPr="007763AF">
        <w:rPr>
          <w:i/>
          <w:iCs/>
        </w:rPr>
        <w:t>Rehabilitación de viviendas</w:t>
      </w:r>
      <w:r w:rsidRPr="005E4237">
        <w:t xml:space="preserve"> con siguientes objetivos:</w:t>
      </w:r>
    </w:p>
    <w:p w14:paraId="0329B503" w14:textId="58A49F27" w:rsidR="005E4237" w:rsidRDefault="005E4237" w:rsidP="007763AF">
      <w:pPr>
        <w:pStyle w:val="Nivel6"/>
        <w:ind w:left="2212"/>
      </w:pPr>
      <w:r>
        <w:t>Reducir desempleo</w:t>
      </w:r>
      <w:r w:rsidR="003C5D99">
        <w:t>.</w:t>
      </w:r>
    </w:p>
    <w:p w14:paraId="7211DDBF" w14:textId="3E7A8B69" w:rsidR="005E4237" w:rsidRDefault="005E4237" w:rsidP="007763AF">
      <w:pPr>
        <w:pStyle w:val="Nivel6"/>
        <w:ind w:left="2212"/>
      </w:pPr>
      <w:r>
        <w:t xml:space="preserve">Evitar un gran impacto </w:t>
      </w:r>
      <w:r w:rsidR="00071926">
        <w:t>medioambiental</w:t>
      </w:r>
      <w:r w:rsidR="003C5D99">
        <w:t>.</w:t>
      </w:r>
    </w:p>
    <w:p w14:paraId="3274E84B" w14:textId="7E4318BA" w:rsidR="005E4237" w:rsidRDefault="005E4237" w:rsidP="007763AF">
      <w:pPr>
        <w:pStyle w:val="Nivel6"/>
        <w:ind w:left="2212"/>
      </w:pPr>
      <w:r>
        <w:t>Generar más VA que nueva construcción</w:t>
      </w:r>
      <w:r w:rsidR="003C5D99">
        <w:t>.</w:t>
      </w:r>
    </w:p>
    <w:p w14:paraId="4A00520C" w14:textId="6F1892C0" w:rsidR="005E4237" w:rsidRPr="005E4237" w:rsidRDefault="005E4237" w:rsidP="007763AF">
      <w:pPr>
        <w:pStyle w:val="Nivel3SM"/>
      </w:pPr>
      <w:r w:rsidRPr="007763AF">
        <w:rPr>
          <w:i/>
          <w:iCs/>
        </w:rPr>
        <w:t>Plan Estatal de la Vivienda</w:t>
      </w:r>
      <w:r w:rsidR="003C5D99">
        <w:t>:</w:t>
      </w:r>
    </w:p>
    <w:p w14:paraId="0958772C" w14:textId="1CC2C145" w:rsidR="005E4237" w:rsidRDefault="005E4237" w:rsidP="007763AF">
      <w:pPr>
        <w:pStyle w:val="Nivel4"/>
        <w:ind w:left="1474"/>
      </w:pPr>
      <w:r>
        <w:t>Reactivación del sector de la construcción</w:t>
      </w:r>
      <w:r w:rsidR="003C5D99">
        <w:t>.</w:t>
      </w:r>
    </w:p>
    <w:p w14:paraId="21E07A2D" w14:textId="085335FC" w:rsidR="005E4237" w:rsidRDefault="005E4237" w:rsidP="007763AF">
      <w:pPr>
        <w:pStyle w:val="Nivel4"/>
        <w:ind w:left="1474"/>
      </w:pPr>
      <w:r>
        <w:t>Evitar el despoblamiento de municipios con menos de 5</w:t>
      </w:r>
      <w:r w:rsidR="007763AF">
        <w:t>.</w:t>
      </w:r>
      <w:r>
        <w:t>000</w:t>
      </w:r>
      <w:r w:rsidR="00395579">
        <w:t> </w:t>
      </w:r>
      <w:r>
        <w:t>habitantes</w:t>
      </w:r>
      <w:r w:rsidR="003C5D99">
        <w:t>.</w:t>
      </w:r>
    </w:p>
    <w:p w14:paraId="3BBBC3C0" w14:textId="5666EDAA" w:rsidR="005E4237" w:rsidRDefault="005E4237" w:rsidP="007763AF">
      <w:pPr>
        <w:pStyle w:val="Nivel4"/>
        <w:ind w:left="1474"/>
      </w:pPr>
      <w:r>
        <w:t>Ayuda a las personas hipotecadas a afrontar los pagos</w:t>
      </w:r>
      <w:r w:rsidR="003C5D99">
        <w:t>.</w:t>
      </w:r>
    </w:p>
    <w:p w14:paraId="2D516774" w14:textId="77777777" w:rsidR="00631E84" w:rsidRPr="008E3100" w:rsidRDefault="00631E84" w:rsidP="00395579">
      <w:pPr>
        <w:pStyle w:val="Nivel3SM"/>
        <w:keepNext/>
      </w:pPr>
      <w:r w:rsidRPr="003C5D99">
        <w:rPr>
          <w:i/>
          <w:iCs/>
        </w:rPr>
        <w:t>Plan Extraordinario de Inversiones en Carretera (aprobado en 2017)</w:t>
      </w:r>
      <w:r w:rsidRPr="008E3100">
        <w:t>:</w:t>
      </w:r>
    </w:p>
    <w:p w14:paraId="26FAAAA7" w14:textId="71A6CAF5" w:rsidR="00631E84" w:rsidRPr="008E3100" w:rsidRDefault="00631E84" w:rsidP="00395579">
      <w:pPr>
        <w:pStyle w:val="Nivel4"/>
        <w:ind w:left="1474"/>
      </w:pPr>
      <w:r w:rsidRPr="008E3100">
        <w:t xml:space="preserve">El plan abarca obras de construcción o mejora de infraestructuras viarias por una inversión total de unos </w:t>
      </w:r>
      <w:r w:rsidRPr="008E3100">
        <w:rPr>
          <w:b/>
        </w:rPr>
        <w:t>5.000</w:t>
      </w:r>
      <w:r w:rsidR="00395579">
        <w:rPr>
          <w:b/>
        </w:rPr>
        <w:t> </w:t>
      </w:r>
      <w:r w:rsidRPr="008E3100">
        <w:rPr>
          <w:b/>
        </w:rPr>
        <w:t>millones de euros</w:t>
      </w:r>
      <w:r w:rsidRPr="008E3100">
        <w:t>.</w:t>
      </w:r>
    </w:p>
    <w:p w14:paraId="15A83B98" w14:textId="0F997121" w:rsidR="007F5DA1" w:rsidRDefault="00631E84" w:rsidP="00395579">
      <w:pPr>
        <w:pStyle w:val="Nivel4"/>
        <w:ind w:left="1474"/>
      </w:pPr>
      <w:r w:rsidRPr="008E3100">
        <w:t>Con participación del sector privado y financiación europea.</w:t>
      </w:r>
    </w:p>
    <w:p w14:paraId="75D4976F" w14:textId="68E8EE80" w:rsidR="002E5CAD" w:rsidRPr="00746D86" w:rsidRDefault="002E5CAD" w:rsidP="00746D86">
      <w:pPr>
        <w:pStyle w:val="Ttulo6"/>
      </w:pPr>
      <w:r w:rsidRPr="008E3100">
        <w:t>Problemas con los proyectos de infraestructuras</w:t>
      </w:r>
    </w:p>
    <w:p w14:paraId="27642E67" w14:textId="12B8C1BC" w:rsidR="00845F8A" w:rsidRPr="00845F8A" w:rsidRDefault="00845F8A" w:rsidP="00221A9E">
      <w:pPr>
        <w:pStyle w:val="Nivel1SM"/>
        <w:keepNext/>
        <w:spacing w:before="0" w:after="0"/>
      </w:pPr>
      <w:r w:rsidRPr="00845F8A">
        <w:t>Ex</w:t>
      </w:r>
      <w:r>
        <w:t xml:space="preserve">isten múltiples </w:t>
      </w:r>
      <w:r w:rsidRPr="00221A9E">
        <w:rPr>
          <w:b/>
          <w:bCs/>
        </w:rPr>
        <w:t>problemas</w:t>
      </w:r>
      <w:r w:rsidRPr="005E7CDA">
        <w:t xml:space="preserve"> asociados a los </w:t>
      </w:r>
      <w:r w:rsidRPr="008B1802">
        <w:rPr>
          <w:b/>
          <w:bCs/>
        </w:rPr>
        <w:t>proyectos de infraestructuras</w:t>
      </w:r>
      <w:r w:rsidR="005E7CDA" w:rsidRPr="005E7CDA">
        <w:t>:</w:t>
      </w:r>
    </w:p>
    <w:p w14:paraId="10BE8945" w14:textId="6FD06196" w:rsidR="00221A9E" w:rsidRDefault="008F30F5" w:rsidP="00BF237F">
      <w:pPr>
        <w:pStyle w:val="Prrafodelista"/>
        <w:keepNext/>
        <w:numPr>
          <w:ilvl w:val="0"/>
          <w:numId w:val="40"/>
        </w:numPr>
        <w:spacing w:after="0"/>
        <w:ind w:left="567" w:hanging="113"/>
      </w:pPr>
      <w:r w:rsidRPr="008B1802">
        <w:rPr>
          <w:i/>
          <w:iCs/>
          <w:u w:val="single"/>
        </w:rPr>
        <w:t>Poder de monopsonio</w:t>
      </w:r>
      <w:r w:rsidR="008B1802">
        <w:t xml:space="preserve">: </w:t>
      </w:r>
      <w:r w:rsidR="00221A9E">
        <w:t>La demanda de infraestructuras procede fundamentalmente de la licitación pública, por lo que existe un cierto monopsonio. Así, la demanda de infraestructuras y el pago depende de la voluntad política y de las disponibilidades financieras de las AAPP.</w:t>
      </w:r>
      <w:r w:rsidR="008B1802">
        <w:t xml:space="preserve"> </w:t>
      </w:r>
      <w:r w:rsidR="00221A9E">
        <w:t>Esto da lugar a 3 problemas:</w:t>
      </w:r>
    </w:p>
    <w:p w14:paraId="5E58D0B1" w14:textId="716CE037" w:rsidR="002E5CAD" w:rsidRPr="007210ED" w:rsidRDefault="007210ED" w:rsidP="008B1802">
      <w:pPr>
        <w:pStyle w:val="Prrafodelista"/>
        <w:keepNext/>
        <w:numPr>
          <w:ilvl w:val="0"/>
          <w:numId w:val="39"/>
        </w:numPr>
        <w:spacing w:after="0"/>
        <w:ind w:left="1134" w:hanging="113"/>
        <w:rPr>
          <w:spacing w:val="-1"/>
        </w:rPr>
      </w:pPr>
      <w:r w:rsidRPr="007210ED">
        <w:rPr>
          <w:i/>
          <w:iCs/>
          <w:spacing w:val="-1"/>
        </w:rPr>
        <w:t>Retraso en los pagos</w:t>
      </w:r>
      <w:r w:rsidRPr="007210ED">
        <w:rPr>
          <w:spacing w:val="-1"/>
        </w:rPr>
        <w:t xml:space="preserve">: </w:t>
      </w:r>
      <w:r w:rsidR="00AE56E0" w:rsidRPr="007210ED">
        <w:rPr>
          <w:spacing w:val="-1"/>
        </w:rPr>
        <w:t>L</w:t>
      </w:r>
      <w:r w:rsidR="002E5CAD" w:rsidRPr="007210ED">
        <w:rPr>
          <w:spacing w:val="-1"/>
        </w:rPr>
        <w:t xml:space="preserve">as </w:t>
      </w:r>
      <w:r w:rsidR="0020331F" w:rsidRPr="007210ED">
        <w:rPr>
          <w:spacing w:val="-1"/>
        </w:rPr>
        <w:t>AAPP</w:t>
      </w:r>
      <w:r w:rsidR="002E5CAD" w:rsidRPr="007210ED">
        <w:rPr>
          <w:spacing w:val="-1"/>
        </w:rPr>
        <w:t xml:space="preserve"> no explotan </w:t>
      </w:r>
      <w:r w:rsidR="00AE56E0" w:rsidRPr="007210ED">
        <w:rPr>
          <w:spacing w:val="-1"/>
        </w:rPr>
        <w:t xml:space="preserve">el poder de monopsonio como </w:t>
      </w:r>
      <w:r w:rsidR="002E5CAD" w:rsidRPr="007210ED">
        <w:rPr>
          <w:spacing w:val="-1"/>
        </w:rPr>
        <w:t>podría hacerlo una empresa privada.</w:t>
      </w:r>
      <w:r w:rsidR="00221A9E" w:rsidRPr="007210ED">
        <w:rPr>
          <w:spacing w:val="-1"/>
        </w:rPr>
        <w:t xml:space="preserve"> </w:t>
      </w:r>
      <w:r w:rsidR="00AE56E0" w:rsidRPr="007210ED">
        <w:rPr>
          <w:spacing w:val="-1"/>
        </w:rPr>
        <w:t>No obstante</w:t>
      </w:r>
      <w:r w:rsidR="00217CC6" w:rsidRPr="007210ED">
        <w:rPr>
          <w:spacing w:val="-1"/>
        </w:rPr>
        <w:t>,</w:t>
      </w:r>
      <w:r w:rsidR="00AE56E0" w:rsidRPr="007210ED">
        <w:rPr>
          <w:spacing w:val="-1"/>
        </w:rPr>
        <w:t xml:space="preserve"> s</w:t>
      </w:r>
      <w:r w:rsidR="00217CC6" w:rsidRPr="007210ED">
        <w:rPr>
          <w:spacing w:val="-1"/>
        </w:rPr>
        <w:t>í</w:t>
      </w:r>
      <w:r w:rsidR="00AE56E0" w:rsidRPr="007210ED">
        <w:rPr>
          <w:spacing w:val="-1"/>
        </w:rPr>
        <w:t xml:space="preserve"> refleja un cierto poder</w:t>
      </w:r>
      <w:r w:rsidR="008F30F5" w:rsidRPr="007210ED">
        <w:rPr>
          <w:spacing w:val="-1"/>
        </w:rPr>
        <w:t xml:space="preserve"> de monopsonio</w:t>
      </w:r>
      <w:r w:rsidR="002E5CAD" w:rsidRPr="007210ED">
        <w:rPr>
          <w:spacing w:val="-1"/>
        </w:rPr>
        <w:t xml:space="preserve">, por ejemplo, en el hecho de que las </w:t>
      </w:r>
      <w:r w:rsidR="00AE56E0" w:rsidRPr="007210ED">
        <w:rPr>
          <w:spacing w:val="-1"/>
        </w:rPr>
        <w:t>AAPP</w:t>
      </w:r>
      <w:r w:rsidR="002E5CAD" w:rsidRPr="007210ED">
        <w:rPr>
          <w:spacing w:val="-1"/>
        </w:rPr>
        <w:t xml:space="preserve"> tienden a retrasar los pagos a las empresas del sector.</w:t>
      </w:r>
    </w:p>
    <w:p w14:paraId="27C2D18B" w14:textId="5F3F1925" w:rsidR="002E5CAD" w:rsidRPr="00A357EB" w:rsidRDefault="002E5CAD" w:rsidP="008B1802">
      <w:pPr>
        <w:pStyle w:val="Nivel4"/>
        <w:ind w:left="1474"/>
      </w:pPr>
      <w:r w:rsidRPr="00A357EB">
        <w:t>Soluci</w:t>
      </w:r>
      <w:r w:rsidR="005E7CDA" w:rsidRPr="00A357EB">
        <w:t>ón</w:t>
      </w:r>
      <w:r w:rsidRPr="00A357EB">
        <w:t xml:space="preserve">: </w:t>
      </w:r>
      <w:r w:rsidRPr="00A357EB">
        <w:rPr>
          <w:i/>
          <w:iCs/>
        </w:rPr>
        <w:t>Ley de Morosidad del año</w:t>
      </w:r>
      <w:r w:rsidR="00EC3321" w:rsidRPr="00A357EB">
        <w:rPr>
          <w:i/>
          <w:iCs/>
        </w:rPr>
        <w:t> </w:t>
      </w:r>
      <w:r w:rsidRPr="00A357EB">
        <w:rPr>
          <w:i/>
          <w:iCs/>
        </w:rPr>
        <w:t>2010</w:t>
      </w:r>
      <w:r w:rsidRPr="00A357EB">
        <w:t xml:space="preserve">, que acorta los plazos con </w:t>
      </w:r>
      <w:r w:rsidR="00AE26BA" w:rsidRPr="00A357EB">
        <w:t xml:space="preserve">los </w:t>
      </w:r>
      <w:r w:rsidRPr="00A357EB">
        <w:t>que cuentan las Administraciones públicas para satisfacer los pagos, que pasa de 60 a 30</w:t>
      </w:r>
      <w:r w:rsidR="005E7CDA" w:rsidRPr="00A357EB">
        <w:t> </w:t>
      </w:r>
      <w:r w:rsidRPr="00A357EB">
        <w:t>días.</w:t>
      </w:r>
    </w:p>
    <w:p w14:paraId="37E1557F" w14:textId="58D30231" w:rsidR="00335A48" w:rsidRPr="008E3100" w:rsidRDefault="00DD09F0" w:rsidP="004D77E9">
      <w:pPr>
        <w:pStyle w:val="Prrafodelista"/>
        <w:keepNext/>
        <w:numPr>
          <w:ilvl w:val="0"/>
          <w:numId w:val="39"/>
        </w:numPr>
        <w:spacing w:after="0"/>
        <w:ind w:left="1134" w:hanging="113"/>
      </w:pPr>
      <w:r w:rsidRPr="00DD09F0">
        <w:rPr>
          <w:i/>
          <w:iCs/>
        </w:rPr>
        <w:t>Clientelismo</w:t>
      </w:r>
      <w:r>
        <w:t xml:space="preserve">: </w:t>
      </w:r>
      <w:r w:rsidR="00221A9E">
        <w:t>E</w:t>
      </w:r>
      <w:r w:rsidR="00335A48" w:rsidRPr="008E3100">
        <w:t xml:space="preserve">n muchos países es </w:t>
      </w:r>
      <w:r w:rsidR="00335A48" w:rsidRPr="00221A9E">
        <w:rPr>
          <w:i/>
          <w:iCs/>
        </w:rPr>
        <w:t>objeto de clientelismo y corrupción</w:t>
      </w:r>
      <w:r w:rsidR="00335A48" w:rsidRPr="008E3100">
        <w:t>, para lo cual resulta fundamental reforzar la transparencia y objetividad de los procesos de licitación.</w:t>
      </w:r>
    </w:p>
    <w:p w14:paraId="5A99ADB2" w14:textId="77777777" w:rsidR="00335A48" w:rsidRPr="00A357EB" w:rsidRDefault="00335A48" w:rsidP="008B1802">
      <w:pPr>
        <w:pStyle w:val="Nivel4"/>
        <w:ind w:left="1474"/>
      </w:pPr>
      <w:r w:rsidRPr="00A357EB">
        <w:t xml:space="preserve">Solución: </w:t>
      </w:r>
      <w:r w:rsidRPr="00A357EB">
        <w:rPr>
          <w:i/>
          <w:iCs/>
        </w:rPr>
        <w:t>Ley de Contratación Pública de 2017</w:t>
      </w:r>
      <w:r w:rsidRPr="00A357EB">
        <w:t>. Transposición de una directiva europea en éste ámbito. La Ley crea una oficina independiente que supervisará y regulará los procesos de contratación pública como ocurre en otros países de la UE.</w:t>
      </w:r>
    </w:p>
    <w:p w14:paraId="3E062E5E" w14:textId="38F30365" w:rsidR="00CA7CFA" w:rsidRPr="004D77E9" w:rsidRDefault="00CA7CFA" w:rsidP="004D77E9">
      <w:pPr>
        <w:pStyle w:val="Prrafodelista"/>
        <w:keepNext/>
        <w:numPr>
          <w:ilvl w:val="0"/>
          <w:numId w:val="39"/>
        </w:numPr>
        <w:spacing w:after="0"/>
        <w:ind w:left="1134" w:hanging="113"/>
        <w:rPr>
          <w:spacing w:val="-3"/>
        </w:rPr>
      </w:pPr>
      <w:r w:rsidRPr="004D77E9">
        <w:rPr>
          <w:i/>
          <w:iCs/>
          <w:spacing w:val="-3"/>
        </w:rPr>
        <w:t>Elevada sensibilidad al ciclo</w:t>
      </w:r>
      <w:r w:rsidRPr="004D77E9">
        <w:rPr>
          <w:spacing w:val="-3"/>
        </w:rPr>
        <w:t>:</w:t>
      </w:r>
      <w:r w:rsidR="004D77E9" w:rsidRPr="004D77E9">
        <w:rPr>
          <w:spacing w:val="-3"/>
        </w:rPr>
        <w:t xml:space="preserve"> </w:t>
      </w:r>
      <w:r w:rsidRPr="004D77E9">
        <w:rPr>
          <w:spacing w:val="-3"/>
        </w:rPr>
        <w:t>En las fases recesivas, en las que las Administraciones públicas hacen frente a mayores problemas de financiación, este tipo de proyectos tiende a reducirse. Por ejemplo</w:t>
      </w:r>
      <w:r w:rsidR="004D77E9" w:rsidRPr="004D77E9">
        <w:rPr>
          <w:spacing w:val="-3"/>
        </w:rPr>
        <w:t>,</w:t>
      </w:r>
      <w:r w:rsidRPr="004D77E9">
        <w:rPr>
          <w:spacing w:val="-3"/>
        </w:rPr>
        <w:t xml:space="preserve"> en la actualidad</w:t>
      </w:r>
      <w:r w:rsidR="004D77E9" w:rsidRPr="004D77E9">
        <w:rPr>
          <w:spacing w:val="-3"/>
        </w:rPr>
        <w:t>,</w:t>
      </w:r>
      <w:r w:rsidRPr="004D77E9">
        <w:rPr>
          <w:spacing w:val="-3"/>
        </w:rPr>
        <w:t xml:space="preserve"> la licitación pública es un 33 % menor que la de 2009.</w:t>
      </w:r>
    </w:p>
    <w:p w14:paraId="7C38A89D" w14:textId="24A978B0" w:rsidR="008B1802" w:rsidRPr="008E3100" w:rsidRDefault="008B1802" w:rsidP="008B1802">
      <w:pPr>
        <w:pStyle w:val="Nivel4"/>
        <w:ind w:left="1474"/>
      </w:pPr>
      <w:r>
        <w:t>En el caso de problemas en las cuentas públicas, al depender la obra civil de las disponibilidades financieras de las AAPP, se explica porque la partida que mayor ajuste sufre cuando es necesario corregir el déficit público.</w:t>
      </w:r>
    </w:p>
    <w:p w14:paraId="317ED4AC" w14:textId="5F7D2BE0" w:rsidR="00221A9E" w:rsidRDefault="00221A9E" w:rsidP="00221A9E">
      <w:pPr>
        <w:pStyle w:val="Prrafodelista"/>
        <w:keepNext/>
        <w:numPr>
          <w:ilvl w:val="0"/>
          <w:numId w:val="40"/>
        </w:numPr>
        <w:spacing w:after="0"/>
        <w:ind w:left="567" w:hanging="113"/>
      </w:pPr>
      <w:r w:rsidRPr="008B1802">
        <w:rPr>
          <w:i/>
          <w:iCs/>
          <w:u w:val="single"/>
        </w:rPr>
        <w:lastRenderedPageBreak/>
        <w:t>Problemas en la financiación</w:t>
      </w:r>
      <w:r>
        <w:t>: Se manifiestan en 2 sentidos:</w:t>
      </w:r>
    </w:p>
    <w:p w14:paraId="77ED8335" w14:textId="42389FDE" w:rsidR="002E5CAD" w:rsidRPr="005E7CDA" w:rsidRDefault="002E5CAD" w:rsidP="008B1802">
      <w:pPr>
        <w:pStyle w:val="Prrafodelista"/>
        <w:keepNext/>
        <w:numPr>
          <w:ilvl w:val="0"/>
          <w:numId w:val="41"/>
        </w:numPr>
        <w:spacing w:after="0"/>
        <w:ind w:left="1134" w:hanging="113"/>
      </w:pPr>
      <w:r w:rsidRPr="008B1802">
        <w:rPr>
          <w:i/>
          <w:iCs/>
        </w:rPr>
        <w:t>Presupuesto no</w:t>
      </w:r>
      <w:r w:rsidR="00845F8A" w:rsidRPr="008B1802">
        <w:rPr>
          <w:i/>
          <w:iCs/>
        </w:rPr>
        <w:t> </w:t>
      </w:r>
      <w:r w:rsidRPr="008B1802">
        <w:rPr>
          <w:i/>
          <w:iCs/>
        </w:rPr>
        <w:t>cerrado</w:t>
      </w:r>
      <w:r w:rsidR="005F579B" w:rsidRPr="008B1802">
        <w:rPr>
          <w:i/>
          <w:iCs/>
        </w:rPr>
        <w:t xml:space="preserve"> (sobrecostes)</w:t>
      </w:r>
      <w:r w:rsidR="005E7CDA" w:rsidRPr="005E7CDA">
        <w:t>:</w:t>
      </w:r>
    </w:p>
    <w:p w14:paraId="6DCF6D8E" w14:textId="3ED14903" w:rsidR="002E5CAD" w:rsidRPr="008E3100" w:rsidRDefault="002E5CAD" w:rsidP="005E7CDA">
      <w:pPr>
        <w:pStyle w:val="Nivel4"/>
        <w:ind w:left="1474"/>
      </w:pPr>
      <w:r w:rsidRPr="008E3100">
        <w:t>Dado que la mayoría de obras requieren un largo período de tiempo para ser realizadas, existe el riesgo de que los precios de los materiales</w:t>
      </w:r>
      <w:r w:rsidR="00AE56E0" w:rsidRPr="008E3100">
        <w:t xml:space="preserve"> y de la mano de obra aumenten.</w:t>
      </w:r>
    </w:p>
    <w:p w14:paraId="49AAD09A" w14:textId="77777777" w:rsidR="002E5CAD" w:rsidRPr="008E3100" w:rsidRDefault="002E5CAD" w:rsidP="005E7CDA">
      <w:pPr>
        <w:pStyle w:val="Nivel4"/>
        <w:keepNext/>
        <w:ind w:left="1474"/>
      </w:pPr>
      <w:r w:rsidRPr="008E3100">
        <w:t xml:space="preserve">Así, los </w:t>
      </w:r>
      <w:r w:rsidRPr="006F1B81">
        <w:t>grandes proyectos de obra pública se suelen abordar con un presupuesto abierto, lo que puede falsear el proceso de competencia en</w:t>
      </w:r>
      <w:r w:rsidRPr="008E3100">
        <w:t xml:space="preserve"> la licitación y dar lugar a los conocidos problemas de </w:t>
      </w:r>
      <w:r w:rsidRPr="005F579B">
        <w:t>sobrecostes</w:t>
      </w:r>
      <w:r w:rsidRPr="008E3100">
        <w:t xml:space="preserve"> (p.ej. ampliación del Canal de Panamá o el ave Medina–La Meca).</w:t>
      </w:r>
    </w:p>
    <w:p w14:paraId="2A822DA4" w14:textId="3D84D97A" w:rsidR="002E5CAD" w:rsidRPr="008E3100" w:rsidRDefault="002E5CAD" w:rsidP="005E7CDA">
      <w:pPr>
        <w:pStyle w:val="Nivel5"/>
        <w:ind w:left="1871"/>
      </w:pPr>
      <w:r w:rsidRPr="005F579B">
        <w:rPr>
          <w:b/>
          <w:bCs/>
        </w:rPr>
        <w:t>Soluci</w:t>
      </w:r>
      <w:r w:rsidR="005E7CDA" w:rsidRPr="005F579B">
        <w:rPr>
          <w:b/>
          <w:bCs/>
        </w:rPr>
        <w:t>ó</w:t>
      </w:r>
      <w:r w:rsidRPr="005F579B">
        <w:rPr>
          <w:b/>
          <w:bCs/>
        </w:rPr>
        <w:t>n</w:t>
      </w:r>
      <w:r w:rsidRPr="008E3100">
        <w:t>:</w:t>
      </w:r>
      <w:r w:rsidR="005E7CDA">
        <w:t xml:space="preserve"> </w:t>
      </w:r>
      <w:r w:rsidRPr="008E3100">
        <w:t xml:space="preserve">La </w:t>
      </w:r>
      <w:r w:rsidRPr="005F579B">
        <w:rPr>
          <w:bCs/>
          <w:i/>
          <w:iCs/>
        </w:rPr>
        <w:t>Ley de Economía Sostenible de 2011</w:t>
      </w:r>
      <w:r w:rsidRPr="008E3100">
        <w:t xml:space="preserve"> aportó modificaciones en este sentido, </w:t>
      </w:r>
      <w:r w:rsidRPr="005F579B">
        <w:rPr>
          <w:bCs/>
          <w:u w:val="single"/>
        </w:rPr>
        <w:t>limitando al 10</w:t>
      </w:r>
      <w:r w:rsidR="00746D86" w:rsidRPr="005F579B">
        <w:rPr>
          <w:bCs/>
          <w:u w:val="single"/>
        </w:rPr>
        <w:t> </w:t>
      </w:r>
      <w:r w:rsidRPr="005F579B">
        <w:rPr>
          <w:bCs/>
          <w:u w:val="single"/>
        </w:rPr>
        <w:t>% los sobrecostes</w:t>
      </w:r>
      <w:r w:rsidRPr="008E3100">
        <w:t xml:space="preserve"> posibles (salvo si en el pliego de la obra constara lo contrario).</w:t>
      </w:r>
    </w:p>
    <w:p w14:paraId="371B4652" w14:textId="06C6E493" w:rsidR="008B1802" w:rsidRDefault="008B1802" w:rsidP="008B1802">
      <w:pPr>
        <w:pStyle w:val="Prrafodelista"/>
        <w:keepNext/>
        <w:numPr>
          <w:ilvl w:val="0"/>
          <w:numId w:val="41"/>
        </w:numPr>
        <w:spacing w:after="0"/>
        <w:ind w:left="1134" w:hanging="113"/>
      </w:pPr>
      <w:r w:rsidRPr="00C503FA">
        <w:rPr>
          <w:i/>
          <w:iCs/>
        </w:rPr>
        <w:t xml:space="preserve">¿Cómo </w:t>
      </w:r>
      <w:r w:rsidR="00C503FA" w:rsidRPr="00C503FA">
        <w:rPr>
          <w:i/>
          <w:iCs/>
        </w:rPr>
        <w:t>se financia</w:t>
      </w:r>
      <w:r w:rsidRPr="00C503FA">
        <w:rPr>
          <w:i/>
          <w:iCs/>
        </w:rPr>
        <w:t>?</w:t>
      </w:r>
      <w:r w:rsidR="00C503FA">
        <w:t>:</w:t>
      </w:r>
    </w:p>
    <w:p w14:paraId="2AC60CCF" w14:textId="77777777" w:rsidR="000F41B9" w:rsidRPr="00845F8A" w:rsidRDefault="000F41B9" w:rsidP="008B1802">
      <w:pPr>
        <w:pStyle w:val="Nivel4"/>
        <w:keepNext/>
        <w:ind w:left="1474"/>
      </w:pPr>
      <w:r w:rsidRPr="00845F8A">
        <w:t xml:space="preserve">Existen </w:t>
      </w:r>
      <w:r w:rsidRPr="00845F8A">
        <w:rPr>
          <w:i/>
          <w:iCs/>
          <w:u w:val="single"/>
        </w:rPr>
        <w:t>3 esquemas de financiación alternativos</w:t>
      </w:r>
      <w:r w:rsidRPr="00845F8A">
        <w:t xml:space="preserve"> al tradicional que permitirían </w:t>
      </w:r>
      <w:r w:rsidRPr="00845F8A">
        <w:rPr>
          <w:b/>
          <w:bCs/>
        </w:rPr>
        <w:t>solucionar</w:t>
      </w:r>
      <w:r w:rsidRPr="00845F8A">
        <w:t xml:space="preserve"> en parte los problemas anteriores:</w:t>
      </w:r>
    </w:p>
    <w:p w14:paraId="0AE62251" w14:textId="77777777" w:rsidR="000F41B9" w:rsidRPr="006F1B81" w:rsidRDefault="000F41B9" w:rsidP="008B1802">
      <w:pPr>
        <w:pStyle w:val="Nivel5"/>
        <w:ind w:left="1871"/>
      </w:pPr>
      <w:r w:rsidRPr="006F1B81">
        <w:rPr>
          <w:i/>
          <w:iCs/>
          <w:u w:val="single"/>
        </w:rPr>
        <w:t>Método alemán</w:t>
      </w:r>
      <w:r w:rsidRPr="008E3100">
        <w:t>:</w:t>
      </w:r>
      <w:r>
        <w:t xml:space="preserve"> </w:t>
      </w:r>
      <w:r w:rsidRPr="008E3100">
        <w:t xml:space="preserve">La Administración abona la cuantía de la infraestructura sólo cuando ha finalizado su </w:t>
      </w:r>
      <w:r w:rsidRPr="006F1B81">
        <w:t>construcción, por lo que ya no se tiene necesidad de disponer de fondos en el momento de la licitación ni durante la fase de construcción.</w:t>
      </w:r>
    </w:p>
    <w:p w14:paraId="39BF2AFC" w14:textId="77777777" w:rsidR="000F41B9" w:rsidRDefault="000F41B9" w:rsidP="008B1802">
      <w:pPr>
        <w:pStyle w:val="Nivel5"/>
        <w:keepNext/>
        <w:ind w:left="1871"/>
      </w:pPr>
      <w:r w:rsidRPr="006F1B81">
        <w:rPr>
          <w:i/>
          <w:iCs/>
          <w:u w:val="single"/>
        </w:rPr>
        <w:t>Peaje sombra</w:t>
      </w:r>
      <w:r w:rsidRPr="006F1B81">
        <w:t>: La constructora construye, financia y explota la obra, y la Administración paga el peaje de los agentes que la utilizan.</w:t>
      </w:r>
    </w:p>
    <w:p w14:paraId="75E0C9CE" w14:textId="77777777" w:rsidR="000F41B9" w:rsidRPr="006F1B81" w:rsidRDefault="000F41B9" w:rsidP="008B1802">
      <w:pPr>
        <w:pStyle w:val="Nivel6"/>
        <w:ind w:left="2212"/>
      </w:pPr>
      <w:r>
        <w:t>Autopistas sin peajes.</w:t>
      </w:r>
    </w:p>
    <w:p w14:paraId="4BAACFE2" w14:textId="77777777" w:rsidR="000F41B9" w:rsidRPr="008E3100" w:rsidRDefault="000F41B9" w:rsidP="008B1802">
      <w:pPr>
        <w:pStyle w:val="Nivel5"/>
        <w:keepNext/>
        <w:ind w:left="1871"/>
      </w:pPr>
      <w:r w:rsidRPr="006F1B81">
        <w:rPr>
          <w:i/>
          <w:iCs/>
          <w:u w:val="single"/>
        </w:rPr>
        <w:t>Concesión</w:t>
      </w:r>
      <w:r w:rsidRPr="006F1B81">
        <w:t>: Consiste en dar entrada al capital privado y en conceder la explotación posterior de la obra a la constructora. No obstante, esta modalidad sólo es viable en proyectos rentables, ya que los contratos</w:t>
      </w:r>
      <w:r w:rsidRPr="008E3100">
        <w:t xml:space="preserve"> suelen incluir la denominada Cláusula de Responsabilidad Patrimonial de la Administración por la que el Estado tiene que asumir la infraestructura en caso de quiebra y abonar a las empresas concesionarias el importe de la inversión que aún no han recuperado.</w:t>
      </w:r>
    </w:p>
    <w:p w14:paraId="72F5E83E" w14:textId="77777777" w:rsidR="000F41B9" w:rsidRDefault="000F41B9" w:rsidP="008B1802">
      <w:pPr>
        <w:pStyle w:val="Nivel6"/>
        <w:ind w:left="2212"/>
      </w:pPr>
      <w:r w:rsidRPr="008E3100">
        <w:t xml:space="preserve">Ejemplo: En 2016, </w:t>
      </w:r>
      <w:r>
        <w:t>9 </w:t>
      </w:r>
      <w:r w:rsidRPr="008E3100">
        <w:t>autopistas de peaje entraron en quiebra y fueron rescatadas por el Estado por un importe de 5.500</w:t>
      </w:r>
      <w:r>
        <w:t> </w:t>
      </w:r>
      <w:r w:rsidRPr="008E3100">
        <w:t>millones de euros</w:t>
      </w:r>
      <w:r>
        <w:t xml:space="preserve"> según el Ministerio de Fomento</w:t>
      </w:r>
      <w:r>
        <w:rPr>
          <w:rStyle w:val="Refdenotaalpie"/>
        </w:rPr>
        <w:footnoteReference w:id="5"/>
      </w:r>
      <w:r w:rsidRPr="008E3100">
        <w:t>.</w:t>
      </w:r>
    </w:p>
    <w:p w14:paraId="4B781D58" w14:textId="3213F69C" w:rsidR="00221A9E" w:rsidRDefault="00221A9E" w:rsidP="00221A9E">
      <w:pPr>
        <w:pStyle w:val="Prrafodelista"/>
        <w:keepNext/>
        <w:numPr>
          <w:ilvl w:val="0"/>
          <w:numId w:val="40"/>
        </w:numPr>
        <w:spacing w:after="0"/>
        <w:ind w:left="567" w:hanging="113"/>
      </w:pPr>
      <w:r w:rsidRPr="008B1802">
        <w:rPr>
          <w:i/>
          <w:iCs/>
          <w:u w:val="single"/>
        </w:rPr>
        <w:t>Incertidumbre</w:t>
      </w:r>
      <w:r>
        <w:t>:</w:t>
      </w:r>
    </w:p>
    <w:p w14:paraId="46757515" w14:textId="487BABBC" w:rsidR="00CA7CFA" w:rsidRPr="008B1802" w:rsidRDefault="00CA7CFA" w:rsidP="008B1802">
      <w:pPr>
        <w:pStyle w:val="Nivel3SM"/>
        <w:rPr>
          <w:spacing w:val="-2"/>
        </w:rPr>
      </w:pPr>
      <w:r w:rsidRPr="008B1802">
        <w:rPr>
          <w:spacing w:val="-2"/>
        </w:rPr>
        <w:t xml:space="preserve">Dado que la mayoría de las obras requieren un largo período de tiempo en ser realizadas, existe el riesgo de que desde el comienzo de </w:t>
      </w:r>
      <w:proofErr w:type="gramStart"/>
      <w:r w:rsidRPr="008B1802">
        <w:rPr>
          <w:spacing w:val="-2"/>
        </w:rPr>
        <w:t>las mismas</w:t>
      </w:r>
      <w:proofErr w:type="gramEnd"/>
      <w:r w:rsidRPr="008B1802">
        <w:rPr>
          <w:spacing w:val="-2"/>
        </w:rPr>
        <w:t xml:space="preserve"> hasta el momento de las mismas existan cambios en los costes. Así, grandes proyectos de obra pública se suelen abordar con un presupuesto abierto, lo que puede falsear la competencia en la licitación y dar lugar a problemas de sobrecostes (p.ej. ampliación del Canal de Panamá o el ave Medina-La Meca).</w:t>
      </w:r>
    </w:p>
    <w:p w14:paraId="13F115AA" w14:textId="6FB1DCCD" w:rsidR="00634163" w:rsidRPr="00BD5BA5" w:rsidRDefault="00DC3683" w:rsidP="00E54520">
      <w:pPr>
        <w:pStyle w:val="Ttulo2"/>
      </w:pPr>
      <w:bookmarkStart w:id="24" w:name="_Toc177740120"/>
      <w:r w:rsidRPr="008E3100">
        <w:t>Subsector de edificación</w:t>
      </w:r>
      <w:bookmarkEnd w:id="24"/>
    </w:p>
    <w:p w14:paraId="2ECA7F91" w14:textId="589C87C5" w:rsidR="00182D3B" w:rsidRDefault="00182D3B" w:rsidP="00182D3B">
      <w:pPr>
        <w:pStyle w:val="Ttulo3"/>
        <w:spacing w:before="0"/>
      </w:pPr>
      <w:bookmarkStart w:id="25" w:name="_Toc177740121"/>
      <w:r>
        <w:t>¿Qué?</w:t>
      </w:r>
      <w:r w:rsidR="00E02C4F">
        <w:t xml:space="preserve"> </w:t>
      </w:r>
      <w:r>
        <w:t>Delimitación</w:t>
      </w:r>
      <w:bookmarkEnd w:id="25"/>
    </w:p>
    <w:p w14:paraId="283F7C1B" w14:textId="7536CEF4" w:rsidR="00D9329C" w:rsidRDefault="00D9329C" w:rsidP="006D3099">
      <w:pPr>
        <w:pStyle w:val="Nivel1SM"/>
        <w:keepNext/>
        <w:spacing w:before="0" w:after="0"/>
      </w:pPr>
      <w:r>
        <w:t>El resto de la construcción, todo lo que tiene que ver con edificios:</w:t>
      </w:r>
    </w:p>
    <w:p w14:paraId="03A44C93" w14:textId="6E6E54DC" w:rsidR="00D9329C" w:rsidRDefault="00D9329C" w:rsidP="006D3099">
      <w:pPr>
        <w:pStyle w:val="Prrafodelista"/>
        <w:numPr>
          <w:ilvl w:val="0"/>
          <w:numId w:val="11"/>
        </w:numPr>
        <w:spacing w:after="100"/>
        <w:ind w:left="567" w:hanging="113"/>
      </w:pPr>
      <w:r>
        <w:rPr>
          <w:i/>
          <w:iCs/>
        </w:rPr>
        <w:t>Promoción inmobiliaria</w:t>
      </w:r>
      <w:r>
        <w:t>.</w:t>
      </w:r>
    </w:p>
    <w:p w14:paraId="2238A960" w14:textId="776E800E" w:rsidR="00D9329C" w:rsidRDefault="00D9329C" w:rsidP="006D3099">
      <w:pPr>
        <w:pStyle w:val="Prrafodelista"/>
        <w:numPr>
          <w:ilvl w:val="0"/>
          <w:numId w:val="11"/>
        </w:numPr>
        <w:spacing w:after="100"/>
        <w:ind w:left="567" w:hanging="113"/>
      </w:pPr>
      <w:r>
        <w:rPr>
          <w:i/>
          <w:iCs/>
        </w:rPr>
        <w:t>Construcción de edificios</w:t>
      </w:r>
      <w:r>
        <w:t>.</w:t>
      </w:r>
    </w:p>
    <w:p w14:paraId="63B15145" w14:textId="280F4986" w:rsidR="00D9329C" w:rsidRPr="00D9329C" w:rsidRDefault="00D9329C" w:rsidP="006D3099">
      <w:pPr>
        <w:pStyle w:val="Prrafodelista"/>
        <w:numPr>
          <w:ilvl w:val="0"/>
          <w:numId w:val="11"/>
        </w:numPr>
        <w:spacing w:after="100"/>
        <w:ind w:left="567" w:hanging="113"/>
      </w:pPr>
      <w:r>
        <w:rPr>
          <w:i/>
          <w:iCs/>
        </w:rPr>
        <w:t>Actividades de construcción especializadas</w:t>
      </w:r>
      <w:r>
        <w:t xml:space="preserve"> (p.ej. instalación de andamios, demolición, perforaciones, etc.).</w:t>
      </w:r>
    </w:p>
    <w:p w14:paraId="578B1376" w14:textId="77777777" w:rsidR="00182D3B" w:rsidRDefault="00182D3B" w:rsidP="00DC3683">
      <w:pPr>
        <w:pStyle w:val="Ttulo3"/>
        <w:spacing w:before="0"/>
      </w:pPr>
      <w:bookmarkStart w:id="26" w:name="_Toc177740122"/>
      <w:r>
        <w:lastRenderedPageBreak/>
        <w:t>¿Por qué?</w:t>
      </w:r>
      <w:bookmarkEnd w:id="26"/>
    </w:p>
    <w:p w14:paraId="718F4F6D" w14:textId="5277EE08" w:rsidR="009E34CA" w:rsidRPr="00BD5BA5" w:rsidRDefault="00182D3B" w:rsidP="00182D3B">
      <w:pPr>
        <w:pStyle w:val="Ttulo6"/>
        <w:spacing w:before="0"/>
      </w:pPr>
      <w:r>
        <w:t>Relevancia cuantitativa</w:t>
      </w:r>
    </w:p>
    <w:p w14:paraId="726EE9C0" w14:textId="77777777" w:rsidR="00182D3B" w:rsidRDefault="003A2305" w:rsidP="006D3099">
      <w:pPr>
        <w:pStyle w:val="Nivel1SM"/>
        <w:spacing w:before="0"/>
      </w:pPr>
      <w:r w:rsidRPr="008E3100">
        <w:t xml:space="preserve">El </w:t>
      </w:r>
      <w:r w:rsidR="00627C57" w:rsidRPr="008E3100">
        <w:t>subsector</w:t>
      </w:r>
      <w:r w:rsidRPr="008E3100">
        <w:t xml:space="preserve"> de la edificación representa, como veíamos, el </w:t>
      </w:r>
      <w:r w:rsidRPr="008E3100">
        <w:rPr>
          <w:b/>
        </w:rPr>
        <w:t>79</w:t>
      </w:r>
      <w:r w:rsidR="00627C57">
        <w:rPr>
          <w:b/>
        </w:rPr>
        <w:t> </w:t>
      </w:r>
      <w:r w:rsidRPr="008E3100">
        <w:rPr>
          <w:b/>
        </w:rPr>
        <w:t>%</w:t>
      </w:r>
      <w:r w:rsidRPr="008E3100">
        <w:t xml:space="preserve"> de la producción del sector de la construcción.</w:t>
      </w:r>
    </w:p>
    <w:p w14:paraId="3EAD44B3" w14:textId="38F8D163" w:rsidR="00182D3B" w:rsidRDefault="00182D3B" w:rsidP="00182D3B">
      <w:pPr>
        <w:pStyle w:val="Ttulo6"/>
      </w:pPr>
      <w:r>
        <w:t>Relevancia cualitativa</w:t>
      </w:r>
    </w:p>
    <w:p w14:paraId="21E6EC68" w14:textId="5EACC1F4" w:rsidR="00634163" w:rsidRPr="00FC660D" w:rsidRDefault="00FC660D" w:rsidP="00DE28B0">
      <w:pPr>
        <w:pStyle w:val="Nivel2SM"/>
        <w:rPr>
          <w:spacing w:val="-2"/>
        </w:rPr>
      </w:pPr>
      <w:r w:rsidRPr="00FC660D">
        <w:rPr>
          <w:spacing w:val="-2"/>
        </w:rPr>
        <w:t xml:space="preserve">Se trata de un bien básico, ocupa el segundo escalón de necesidades en la Pirámide de </w:t>
      </w:r>
      <w:r w:rsidRPr="00FC660D">
        <w:rPr>
          <w:smallCaps/>
          <w:spacing w:val="-2"/>
        </w:rPr>
        <w:t>Maslow</w:t>
      </w:r>
      <w:r w:rsidRPr="00FC660D">
        <w:rPr>
          <w:spacing w:val="-2"/>
        </w:rPr>
        <w:t>.</w:t>
      </w:r>
    </w:p>
    <w:p w14:paraId="347302E1" w14:textId="1B942AFD" w:rsidR="00FC660D" w:rsidRDefault="00FC660D" w:rsidP="00DE28B0">
      <w:pPr>
        <w:pStyle w:val="Nivel2SM"/>
      </w:pPr>
      <w:r>
        <w:t>Genera efectos riqueza que pueden afectar al consumo de los hogares.</w:t>
      </w:r>
    </w:p>
    <w:p w14:paraId="5FE74D5A" w14:textId="0773691A" w:rsidR="00FC660D" w:rsidRDefault="00FC660D" w:rsidP="00DE28B0">
      <w:pPr>
        <w:pStyle w:val="Nivel2SM"/>
      </w:pPr>
      <w:r>
        <w:t>Supone una importante fracción de la deuda de los hogares.</w:t>
      </w:r>
    </w:p>
    <w:p w14:paraId="36804B80" w14:textId="57BB50CA" w:rsidR="00E02C4F" w:rsidRDefault="00182D3B" w:rsidP="00E02C4F">
      <w:pPr>
        <w:pStyle w:val="Ttulo3"/>
      </w:pPr>
      <w:bookmarkStart w:id="27" w:name="_Toc177740123"/>
      <w:r>
        <w:t>¿Cómo?</w:t>
      </w:r>
      <w:bookmarkEnd w:id="27"/>
    </w:p>
    <w:p w14:paraId="79FA8CFF" w14:textId="77777777" w:rsidR="00E02C4F" w:rsidRPr="00182D3B" w:rsidRDefault="00E02C4F" w:rsidP="00E02C4F">
      <w:pPr>
        <w:pStyle w:val="Ttulo6"/>
        <w:spacing w:before="0"/>
      </w:pPr>
      <w:r>
        <w:t>Clasificación</w:t>
      </w:r>
    </w:p>
    <w:p w14:paraId="1C000CFF" w14:textId="77777777" w:rsidR="00E02C4F" w:rsidRPr="0023622A" w:rsidRDefault="00E02C4F" w:rsidP="00E02C4F">
      <w:pPr>
        <w:pStyle w:val="Nivel2SM"/>
        <w:keepNext/>
        <w:spacing w:after="0"/>
        <w:rPr>
          <w:u w:val="single"/>
        </w:rPr>
      </w:pPr>
      <w:r w:rsidRPr="00263B5B">
        <w:t xml:space="preserve">La </w:t>
      </w:r>
      <w:r w:rsidRPr="00263B5B">
        <w:rPr>
          <w:i/>
          <w:iCs/>
          <w:u w:val="single"/>
        </w:rPr>
        <w:t>edificación</w:t>
      </w:r>
      <w:r w:rsidRPr="00263B5B">
        <w:t xml:space="preserve"> incluye</w:t>
      </w:r>
      <w:r w:rsidRPr="0023622A">
        <w:t>:</w:t>
      </w:r>
    </w:p>
    <w:p w14:paraId="48FF5DF0" w14:textId="77777777" w:rsidR="00E02C4F" w:rsidRPr="008E3100" w:rsidRDefault="00E02C4F" w:rsidP="00E02C4F">
      <w:pPr>
        <w:pStyle w:val="Nivel3SM"/>
        <w:keepNext/>
      </w:pPr>
      <w:r w:rsidRPr="00263B5B">
        <w:rPr>
          <w:i/>
          <w:iCs/>
        </w:rPr>
        <w:t>Obra nueva</w:t>
      </w:r>
      <w:r w:rsidRPr="008E3100">
        <w:t xml:space="preserve"> (50</w:t>
      </w:r>
      <w:r>
        <w:t> </w:t>
      </w:r>
      <w:r w:rsidRPr="008E3100">
        <w:t>%)</w:t>
      </w:r>
      <w:r>
        <w:t>.</w:t>
      </w:r>
    </w:p>
    <w:p w14:paraId="07C3AF16" w14:textId="77777777" w:rsidR="00E02C4F" w:rsidRPr="008E3100" w:rsidRDefault="00E02C4F" w:rsidP="00E02C4F">
      <w:pPr>
        <w:pStyle w:val="Nivel4"/>
        <w:keepNext/>
        <w:ind w:left="1474"/>
      </w:pPr>
      <w:r w:rsidRPr="008E3100">
        <w:t>2/3 es edificación residencial.</w:t>
      </w:r>
    </w:p>
    <w:p w14:paraId="79208BDF" w14:textId="77777777" w:rsidR="00E02C4F" w:rsidRPr="008E3100" w:rsidRDefault="00E02C4F" w:rsidP="00E02C4F">
      <w:pPr>
        <w:pStyle w:val="Nivel5"/>
        <w:ind w:left="1871"/>
      </w:pPr>
      <w:r w:rsidRPr="008E3100">
        <w:t xml:space="preserve">Aquí </w:t>
      </w:r>
      <w:proofErr w:type="gramStart"/>
      <w:r w:rsidRPr="008E3100">
        <w:t xml:space="preserve">nos centramos </w:t>
      </w:r>
      <w:r w:rsidRPr="00DC3683">
        <w:t>principalmente</w:t>
      </w:r>
      <w:r w:rsidRPr="008E3100">
        <w:t xml:space="preserve"> en</w:t>
      </w:r>
      <w:proofErr w:type="gramEnd"/>
      <w:r w:rsidRPr="008E3100">
        <w:t xml:space="preserve"> la edificación residencial.</w:t>
      </w:r>
    </w:p>
    <w:p w14:paraId="70A2E2A5" w14:textId="77777777" w:rsidR="00E02C4F" w:rsidRPr="008E3100" w:rsidRDefault="00E02C4F" w:rsidP="00E02C4F">
      <w:pPr>
        <w:pStyle w:val="Nivel4"/>
        <w:ind w:left="1474"/>
      </w:pPr>
      <w:r w:rsidRPr="008E3100">
        <w:t xml:space="preserve">1/3 es edificación </w:t>
      </w:r>
      <w:r w:rsidRPr="0023622A">
        <w:t>no</w:t>
      </w:r>
      <w:r>
        <w:t> </w:t>
      </w:r>
      <w:r w:rsidRPr="008E3100">
        <w:t>residencial.</w:t>
      </w:r>
    </w:p>
    <w:p w14:paraId="33DDBEDD" w14:textId="77777777" w:rsidR="00E02C4F" w:rsidRPr="00BD5BA5" w:rsidRDefault="00E02C4F" w:rsidP="00E02C4F">
      <w:pPr>
        <w:pStyle w:val="Nivel3SM"/>
      </w:pPr>
      <w:r w:rsidRPr="00263B5B">
        <w:rPr>
          <w:i/>
          <w:iCs/>
        </w:rPr>
        <w:t>Rehabilitación y mantenimiento</w:t>
      </w:r>
      <w:r w:rsidRPr="008E3100">
        <w:t xml:space="preserve"> (50</w:t>
      </w:r>
      <w:r>
        <w:t> </w:t>
      </w:r>
      <w:r w:rsidRPr="008E3100">
        <w:t>%)</w:t>
      </w:r>
      <w:r>
        <w:t>.</w:t>
      </w:r>
    </w:p>
    <w:p w14:paraId="34422C11" w14:textId="782D8E9E" w:rsidR="00182D3B" w:rsidRPr="008E3100" w:rsidRDefault="00182D3B" w:rsidP="00E02C4F">
      <w:pPr>
        <w:pStyle w:val="Ttulo6"/>
      </w:pPr>
      <w:r>
        <w:t>Características</w:t>
      </w:r>
      <w:r w:rsidR="00F52E8F">
        <w:t xml:space="preserve"> de cada subsector</w:t>
      </w:r>
    </w:p>
    <w:p w14:paraId="5184628A" w14:textId="73056DA5" w:rsidR="00C06D81" w:rsidRDefault="00C06D81" w:rsidP="00E02C4F">
      <w:pPr>
        <w:pStyle w:val="Ttulo7"/>
        <w:spacing w:before="0"/>
      </w:pPr>
      <w:r>
        <w:t>Rehabilitación y mantenimiento</w:t>
      </w:r>
    </w:p>
    <w:p w14:paraId="65A0570C" w14:textId="5B81CBED" w:rsidR="00C06D81" w:rsidRDefault="004F7B2C" w:rsidP="00C06D81">
      <w:pPr>
        <w:pStyle w:val="Nivel2SM"/>
      </w:pPr>
      <w:r>
        <w:t>Es uno de los sectores con mayor potencial para reactivar la actividad, dadas las necesidades de adaptación de edificios a las nuevas exigencias medioambientales, energéticas y sociales.</w:t>
      </w:r>
    </w:p>
    <w:p w14:paraId="7F65DE50" w14:textId="0608EFFD" w:rsidR="000B0E5A" w:rsidRPr="00C06D81" w:rsidRDefault="000B0E5A" w:rsidP="00C06D81">
      <w:pPr>
        <w:pStyle w:val="Nivel2SM"/>
      </w:pPr>
      <w:r>
        <w:t>El gasto en reparación y mantenimiento es difícil de medir porque la mayoría del mantenimiento se realiza en casa, no se adquiere en el mercado. Además, existe un elevado porcentaje de economía sumergida.</w:t>
      </w:r>
    </w:p>
    <w:p w14:paraId="4F59907C" w14:textId="49DA29DA" w:rsidR="00182D3B" w:rsidRPr="008E3100" w:rsidRDefault="00182D3B" w:rsidP="00E02C4F">
      <w:pPr>
        <w:pStyle w:val="Ttulo7"/>
      </w:pPr>
      <w:r w:rsidRPr="008E3100">
        <w:t>Edificación no</w:t>
      </w:r>
      <w:r w:rsidR="00D9329C">
        <w:t> </w:t>
      </w:r>
      <w:r w:rsidRPr="008E3100">
        <w:t>residencial</w:t>
      </w:r>
    </w:p>
    <w:p w14:paraId="3A08CB2D" w14:textId="77777777" w:rsidR="00182D3B" w:rsidRPr="008E3100" w:rsidRDefault="00182D3B" w:rsidP="00182D3B">
      <w:pPr>
        <w:pStyle w:val="Nivel2SM"/>
      </w:pPr>
      <w:r w:rsidRPr="008E3100">
        <w:t>Incluye diferentes tipos de edificios no residenciales</w:t>
      </w:r>
      <w:r>
        <w:t>. P</w:t>
      </w:r>
      <w:r w:rsidRPr="008E3100">
        <w:t>or ejemplo: oficinas, almacenes, centros comerciales, hoteles, estaciones de transporte…</w:t>
      </w:r>
    </w:p>
    <w:p w14:paraId="7E6746EC" w14:textId="77777777" w:rsidR="00182D3B" w:rsidRPr="008E3100" w:rsidRDefault="00182D3B" w:rsidP="00182D3B">
      <w:pPr>
        <w:pStyle w:val="Nivel2SM"/>
        <w:keepNext/>
        <w:spacing w:after="0"/>
      </w:pPr>
      <w:r w:rsidRPr="008E3100">
        <w:t>Características principales:</w:t>
      </w:r>
    </w:p>
    <w:p w14:paraId="5B18DA2C" w14:textId="77777777" w:rsidR="00182D3B" w:rsidRPr="008E3100" w:rsidRDefault="00182D3B" w:rsidP="00182D3B">
      <w:pPr>
        <w:pStyle w:val="Nivel3SM"/>
      </w:pPr>
      <w:r w:rsidRPr="008E3100">
        <w:t xml:space="preserve">Es el subsector de la construcción que mejor </w:t>
      </w:r>
      <w:r>
        <w:t xml:space="preserve">ha resistido a </w:t>
      </w:r>
      <w:r w:rsidRPr="008E3100">
        <w:t>la crisis</w:t>
      </w:r>
      <w:r>
        <w:t xml:space="preserve"> del sector</w:t>
      </w:r>
      <w:r w:rsidRPr="008E3100">
        <w:t>. Aunque sigue en contracción, su ritmo de descenso es en la actualidad muy moderado.</w:t>
      </w:r>
    </w:p>
    <w:p w14:paraId="6376AF5C" w14:textId="77777777" w:rsidR="00182D3B" w:rsidRPr="008E3100" w:rsidRDefault="00182D3B" w:rsidP="00182D3B">
      <w:pPr>
        <w:pStyle w:val="Nivel3SM"/>
        <w:keepNext/>
      </w:pPr>
      <w:r w:rsidRPr="008E3100">
        <w:t>Su evolución depende mucho de:</w:t>
      </w:r>
    </w:p>
    <w:p w14:paraId="5B325368" w14:textId="77777777" w:rsidR="00182D3B" w:rsidRPr="008E3100" w:rsidRDefault="00182D3B" w:rsidP="00182D3B">
      <w:pPr>
        <w:pStyle w:val="Nivel4"/>
        <w:ind w:left="1474"/>
      </w:pPr>
      <w:r w:rsidRPr="008E3100">
        <w:t>De los sectores a los que provee.</w:t>
      </w:r>
    </w:p>
    <w:p w14:paraId="34B6A7B4" w14:textId="77777777" w:rsidR="00182D3B" w:rsidRPr="008E3100" w:rsidRDefault="00182D3B" w:rsidP="00182D3B">
      <w:pPr>
        <w:pStyle w:val="Nivel4"/>
        <w:ind w:left="1474"/>
      </w:pPr>
      <w:r w:rsidRPr="008E3100">
        <w:t>Expectativas empresariales en los sectores para los que construye edificaciones.</w:t>
      </w:r>
    </w:p>
    <w:p w14:paraId="5E4C85F2" w14:textId="77777777" w:rsidR="00182D3B" w:rsidRPr="008E3100" w:rsidRDefault="00182D3B" w:rsidP="00182D3B">
      <w:pPr>
        <w:pStyle w:val="Nivel4"/>
        <w:ind w:left="1474"/>
      </w:pPr>
      <w:r w:rsidRPr="008E3100">
        <w:t>Condiciones financieras (</w:t>
      </w:r>
      <w:r>
        <w:t>p.ej.</w:t>
      </w:r>
      <w:r w:rsidRPr="008E3100">
        <w:t xml:space="preserve"> facilidades de acceso al crédito).</w:t>
      </w:r>
    </w:p>
    <w:p w14:paraId="6270FA20" w14:textId="77777777" w:rsidR="00182D3B" w:rsidRPr="008E3100" w:rsidRDefault="00182D3B" w:rsidP="00E02C4F">
      <w:pPr>
        <w:pStyle w:val="Ttulo7"/>
      </w:pPr>
      <w:r w:rsidRPr="008E3100">
        <w:t>Edificación residencial</w:t>
      </w:r>
    </w:p>
    <w:p w14:paraId="494BB664" w14:textId="77777777" w:rsidR="00182D3B" w:rsidRDefault="00182D3B" w:rsidP="00827EFE">
      <w:pPr>
        <w:pStyle w:val="Nivel2SM"/>
        <w:keepNext/>
        <w:spacing w:after="0"/>
      </w:pPr>
      <w:r w:rsidRPr="008E3100">
        <w:t>Representa el principal sector de la edificación y durante los años previos a la crisis fue el sector estrella de la economía española. El ajuste posterior ha sido muy significativo existiendo aun un stock significante de viviendas sin vender.</w:t>
      </w:r>
    </w:p>
    <w:p w14:paraId="3CE3D7F0" w14:textId="28E47689" w:rsidR="00827EFE" w:rsidRDefault="00827EFE" w:rsidP="00827EFE">
      <w:pPr>
        <w:pStyle w:val="Nivel3SM"/>
      </w:pPr>
      <w:r>
        <w:t>Por ello, nos centraremos en su estudio.</w:t>
      </w:r>
    </w:p>
    <w:p w14:paraId="64F3F723" w14:textId="77777777" w:rsidR="00F52E8F" w:rsidRDefault="00BA7387" w:rsidP="00E54520">
      <w:pPr>
        <w:pStyle w:val="Ttulo3"/>
      </w:pPr>
      <w:bookmarkStart w:id="28" w:name="_Toc177740124"/>
      <w:r>
        <w:t>¿Quién?</w:t>
      </w:r>
      <w:bookmarkEnd w:id="28"/>
    </w:p>
    <w:p w14:paraId="07D76B39" w14:textId="77777777" w:rsidR="00F52E8F" w:rsidRPr="00BE4ADF" w:rsidRDefault="00F52E8F" w:rsidP="005F350F">
      <w:pPr>
        <w:pStyle w:val="Ttulo6"/>
        <w:spacing w:before="0"/>
      </w:pPr>
      <w:r w:rsidRPr="008E3100">
        <w:t>Oferta</w:t>
      </w:r>
    </w:p>
    <w:p w14:paraId="6E392C17" w14:textId="77777777" w:rsidR="00F52E8F" w:rsidRPr="008E3100" w:rsidRDefault="00F52E8F" w:rsidP="00F52E8F">
      <w:pPr>
        <w:pStyle w:val="Nivel2SM"/>
        <w:keepNext/>
        <w:spacing w:after="0"/>
      </w:pPr>
      <w:r w:rsidRPr="00175867">
        <w:rPr>
          <w:i/>
          <w:iCs/>
          <w:u w:val="single"/>
        </w:rPr>
        <w:t>Composición de la oferta</w:t>
      </w:r>
      <w:r w:rsidRPr="008E3100">
        <w:t>:</w:t>
      </w:r>
    </w:p>
    <w:p w14:paraId="225D6C03" w14:textId="77777777" w:rsidR="00F52E8F" w:rsidRPr="008E3100" w:rsidRDefault="00F52E8F" w:rsidP="00F52E8F">
      <w:pPr>
        <w:pStyle w:val="Nivel3SM"/>
      </w:pPr>
      <w:r w:rsidRPr="008E3100">
        <w:t>Alquiler.</w:t>
      </w:r>
    </w:p>
    <w:p w14:paraId="75057A17" w14:textId="77777777" w:rsidR="00F52E8F" w:rsidRPr="008E3100" w:rsidRDefault="00F52E8F" w:rsidP="00F52E8F">
      <w:pPr>
        <w:pStyle w:val="Nivel3SM"/>
        <w:keepNext/>
      </w:pPr>
      <w:r w:rsidRPr="008E3100">
        <w:t>Venta:</w:t>
      </w:r>
    </w:p>
    <w:p w14:paraId="6E29BDBD" w14:textId="77777777" w:rsidR="00F52E8F" w:rsidRPr="008E3100" w:rsidRDefault="00F52E8F" w:rsidP="00F52E8F">
      <w:pPr>
        <w:pStyle w:val="Nivel4"/>
        <w:keepNext/>
        <w:ind w:left="1474"/>
      </w:pPr>
      <w:r w:rsidRPr="008E3100">
        <w:t>Vivienda nueva.</w:t>
      </w:r>
    </w:p>
    <w:p w14:paraId="5260DF64" w14:textId="77777777" w:rsidR="00F52E8F" w:rsidRPr="008E3100" w:rsidRDefault="00F52E8F" w:rsidP="00F52E8F">
      <w:pPr>
        <w:pStyle w:val="Nivel5"/>
        <w:ind w:left="1871"/>
      </w:pPr>
      <w:r w:rsidRPr="008E3100">
        <w:t>Vivienda libre.</w:t>
      </w:r>
    </w:p>
    <w:p w14:paraId="6966D02C" w14:textId="77777777" w:rsidR="00F52E8F" w:rsidRPr="008E3100" w:rsidRDefault="00F52E8F" w:rsidP="00F52E8F">
      <w:pPr>
        <w:pStyle w:val="Nivel5"/>
        <w:ind w:left="1871"/>
      </w:pPr>
      <w:r w:rsidRPr="008E3100">
        <w:lastRenderedPageBreak/>
        <w:t>Vivienda protegida.</w:t>
      </w:r>
    </w:p>
    <w:p w14:paraId="284D27D0" w14:textId="77777777" w:rsidR="00F52E8F" w:rsidRPr="008E3100" w:rsidRDefault="00F52E8F" w:rsidP="00F52E8F">
      <w:pPr>
        <w:pStyle w:val="Nivel4"/>
        <w:ind w:left="1474"/>
      </w:pPr>
      <w:r w:rsidRPr="008E3100">
        <w:t>Vivienda usada.</w:t>
      </w:r>
    </w:p>
    <w:p w14:paraId="32FD2BC2" w14:textId="77777777" w:rsidR="00F52E8F" w:rsidRPr="008E3100" w:rsidRDefault="00F52E8F" w:rsidP="00F52E8F">
      <w:pPr>
        <w:pStyle w:val="Nivel4"/>
        <w:ind w:left="1474"/>
      </w:pPr>
      <w:r w:rsidRPr="008E3100">
        <w:t>Vivienda rehabilitada integralmente (que no podía cumplir adecuadamente sus funciones de vivienda hasta su rehabilitación).</w:t>
      </w:r>
    </w:p>
    <w:p w14:paraId="3584791C" w14:textId="77777777" w:rsidR="00F52E8F" w:rsidRPr="008E3100" w:rsidRDefault="00F52E8F" w:rsidP="00F52E8F">
      <w:pPr>
        <w:pStyle w:val="Nivel2SM"/>
        <w:keepNext/>
        <w:spacing w:after="0"/>
      </w:pPr>
      <w:r w:rsidRPr="00175867">
        <w:rPr>
          <w:i/>
          <w:iCs/>
          <w:u w:val="single"/>
        </w:rPr>
        <w:t>Parque de viviendas (5)</w:t>
      </w:r>
      <w:r w:rsidRPr="008E3100">
        <w:t>:</w:t>
      </w:r>
    </w:p>
    <w:p w14:paraId="3626F386" w14:textId="77777777" w:rsidR="00F52E8F" w:rsidRPr="008E3100" w:rsidRDefault="00F52E8F" w:rsidP="00F52E8F">
      <w:pPr>
        <w:pStyle w:val="Nivel3SM"/>
        <w:keepNext/>
      </w:pPr>
      <w:r w:rsidRPr="006C7A91">
        <w:rPr>
          <w:i/>
          <w:iCs/>
        </w:rPr>
        <w:t>Número total de viviendas</w:t>
      </w:r>
      <w:r w:rsidRPr="008E3100">
        <w:t>:</w:t>
      </w:r>
    </w:p>
    <w:p w14:paraId="0F59390B" w14:textId="77777777" w:rsidR="00F52E8F" w:rsidRPr="008E3100" w:rsidRDefault="00F52E8F" w:rsidP="00F52E8F">
      <w:pPr>
        <w:pStyle w:val="Nivel4"/>
        <w:ind w:left="1474"/>
      </w:pPr>
      <w:r w:rsidRPr="008E3100">
        <w:t>25,</w:t>
      </w:r>
      <w:r>
        <w:t>7 </w:t>
      </w:r>
      <w:r w:rsidRPr="008E3100">
        <w:t>millones.</w:t>
      </w:r>
    </w:p>
    <w:p w14:paraId="6CEE1AE8" w14:textId="77777777" w:rsidR="00F52E8F" w:rsidRPr="00C06D81" w:rsidRDefault="00F52E8F" w:rsidP="00F52E8F">
      <w:pPr>
        <w:pStyle w:val="Nivel4"/>
        <w:ind w:left="1474"/>
        <w:rPr>
          <w:spacing w:val="-2"/>
        </w:rPr>
      </w:pPr>
      <w:r w:rsidRPr="00C06D81">
        <w:rPr>
          <w:spacing w:val="-2"/>
        </w:rPr>
        <w:t>1,4 viviendas/hogar (18,3 millones de hogares), una de los ratios más altos del mundo.</w:t>
      </w:r>
    </w:p>
    <w:p w14:paraId="058B342A" w14:textId="77777777" w:rsidR="00F52E8F" w:rsidRPr="008E3100" w:rsidRDefault="00F52E8F" w:rsidP="00F52E8F">
      <w:pPr>
        <w:pStyle w:val="Nivel3SM"/>
        <w:keepNext/>
        <w:jc w:val="left"/>
      </w:pPr>
      <w:r w:rsidRPr="006C7A91">
        <w:rPr>
          <w:i/>
          <w:iCs/>
        </w:rPr>
        <w:t>Vivienda en propiedad</w:t>
      </w:r>
      <w:r w:rsidRPr="008E3100">
        <w:t>:</w:t>
      </w:r>
    </w:p>
    <w:p w14:paraId="485CE8BA" w14:textId="77777777" w:rsidR="00F52E8F" w:rsidRPr="008E3100" w:rsidRDefault="00F52E8F" w:rsidP="00F52E8F">
      <w:pPr>
        <w:pStyle w:val="Nivel4"/>
        <w:ind w:left="1474"/>
      </w:pPr>
      <w:r w:rsidRPr="008E3100">
        <w:rPr>
          <w:b/>
        </w:rPr>
        <w:t>77</w:t>
      </w:r>
      <w:r>
        <w:rPr>
          <w:b/>
        </w:rPr>
        <w:t> </w:t>
      </w:r>
      <w:r w:rsidRPr="008E3100">
        <w:rPr>
          <w:b/>
        </w:rPr>
        <w:t>%</w:t>
      </w:r>
      <w:r w:rsidRPr="008E3100">
        <w:t>, frente al 70</w:t>
      </w:r>
      <w:r>
        <w:t> </w:t>
      </w:r>
      <w:r w:rsidRPr="008E3100">
        <w:t>% de la media europea, lo que evidencia la “cultura de la propiedad” en España. No obstante, la vivienda en alquiler ha aumentado desde el estallido de la crisis.</w:t>
      </w:r>
    </w:p>
    <w:p w14:paraId="2F590DA0" w14:textId="77777777" w:rsidR="00F52E8F" w:rsidRPr="008E3100" w:rsidRDefault="00F52E8F" w:rsidP="00F52E8F">
      <w:pPr>
        <w:pStyle w:val="Nivel3SM"/>
        <w:keepNext/>
      </w:pPr>
      <w:r w:rsidRPr="006C7A91">
        <w:rPr>
          <w:i/>
          <w:iCs/>
        </w:rPr>
        <w:t>Stock de viviendas (vacías que no son segunda vivienda)</w:t>
      </w:r>
      <w:r w:rsidRPr="008E3100">
        <w:t>:</w:t>
      </w:r>
    </w:p>
    <w:p w14:paraId="066C75BD" w14:textId="77777777" w:rsidR="00F52E8F" w:rsidRPr="008E3100" w:rsidRDefault="00F52E8F" w:rsidP="00F52E8F">
      <w:pPr>
        <w:pStyle w:val="Nivel4"/>
        <w:keepNext/>
        <w:ind w:left="1474"/>
      </w:pPr>
      <w:r w:rsidRPr="008E3100">
        <w:t>Número de viviendas vacías</w:t>
      </w:r>
      <w:r>
        <w:rPr>
          <w:rStyle w:val="Refdenotaalpie"/>
        </w:rPr>
        <w:footnoteReference w:id="6"/>
      </w:r>
      <w:r w:rsidRPr="008E3100">
        <w:t>:</w:t>
      </w:r>
    </w:p>
    <w:p w14:paraId="09ED997F" w14:textId="77777777" w:rsidR="00F52E8F" w:rsidRDefault="00F52E8F" w:rsidP="00F52E8F">
      <w:pPr>
        <w:pStyle w:val="Nivel5"/>
        <w:ind w:left="1871"/>
      </w:pPr>
      <w:r>
        <w:t>En 2023</w:t>
      </w:r>
      <w:r w:rsidRPr="008E3100">
        <w:t xml:space="preserve"> el stock de viviendas se sitúa en </w:t>
      </w:r>
      <w:r>
        <w:rPr>
          <w:b/>
        </w:rPr>
        <w:t>3,8 </w:t>
      </w:r>
      <w:r w:rsidRPr="008E3100">
        <w:rPr>
          <w:b/>
        </w:rPr>
        <w:t>millones de inmuebles vacíos</w:t>
      </w:r>
      <w:r>
        <w:rPr>
          <w:b/>
        </w:rPr>
        <w:t>, lo que supone el 14,4 % del parque residencial nacional</w:t>
      </w:r>
      <w:r w:rsidRPr="008E3100">
        <w:t xml:space="preserve">. Un número </w:t>
      </w:r>
      <w:r>
        <w:t xml:space="preserve">muy </w:t>
      </w:r>
      <w:r w:rsidRPr="008E3100">
        <w:t>elevado.</w:t>
      </w:r>
    </w:p>
    <w:p w14:paraId="7B265BB3" w14:textId="77777777" w:rsidR="00F52E8F" w:rsidRDefault="00F52E8F" w:rsidP="00F52E8F">
      <w:pPr>
        <w:pStyle w:val="Nivel5"/>
        <w:ind w:left="1871"/>
      </w:pPr>
      <w:r>
        <w:t>La mitad de ellas se concentran en 14 provincias, mientras que la otra mitad se encuentran altamente dispersas, según datos de un estudio elaborado por Tinsa.</w:t>
      </w:r>
    </w:p>
    <w:p w14:paraId="0998D592" w14:textId="77777777" w:rsidR="00F52E8F" w:rsidRPr="008E3100" w:rsidRDefault="00F52E8F" w:rsidP="00F52E8F">
      <w:pPr>
        <w:pStyle w:val="Nivel5"/>
        <w:ind w:left="1871"/>
      </w:pPr>
      <w:r>
        <w:t>Por otro lado, desde Tinsa, han señalado que el uso de la vivienda vacía para aliviar a corto plazo los tensionamientos provocados por la escasez de vivienda “no está clara”, ya que estas viviendas están bloqueadas por algún motivo, ya sea por condiciones de inhabitabilidad, procesos jurídicos asociados o, simplemente, porque sus propietarios la mantienen fuera del mercado.</w:t>
      </w:r>
    </w:p>
    <w:p w14:paraId="4745F91C" w14:textId="77777777" w:rsidR="00F52E8F" w:rsidRPr="008E3100" w:rsidRDefault="00F52E8F" w:rsidP="00F52E8F">
      <w:pPr>
        <w:pStyle w:val="Nivel4"/>
        <w:keepNext/>
        <w:ind w:left="1474"/>
      </w:pPr>
      <w:r w:rsidRPr="008E3100">
        <w:t>Tiempo de absorción del stock de viviendas:</w:t>
      </w:r>
    </w:p>
    <w:p w14:paraId="6272946A" w14:textId="77777777" w:rsidR="00F52E8F" w:rsidRPr="008E3100" w:rsidRDefault="00F52E8F" w:rsidP="00F52E8F">
      <w:pPr>
        <w:pStyle w:val="Nivel5"/>
        <w:ind w:left="1871"/>
      </w:pPr>
      <w:r w:rsidRPr="008E3100">
        <w:t>De media, dicho nivel se sitúa en 3</w:t>
      </w:r>
      <w:r>
        <w:t> </w:t>
      </w:r>
      <w:r w:rsidRPr="008E3100">
        <w:t>años.</w:t>
      </w:r>
    </w:p>
    <w:p w14:paraId="60B4A044" w14:textId="77777777" w:rsidR="00F52E8F" w:rsidRPr="008E3100" w:rsidRDefault="00F52E8F" w:rsidP="00F52E8F">
      <w:pPr>
        <w:pStyle w:val="Nivel5"/>
        <w:keepNext/>
        <w:ind w:left="1871"/>
      </w:pPr>
      <w:r w:rsidRPr="008E3100">
        <w:t>No obstante, hay que diferenciar entre áreas</w:t>
      </w:r>
      <w:r>
        <w:t>:</w:t>
      </w:r>
    </w:p>
    <w:p w14:paraId="0C7530EA" w14:textId="77777777" w:rsidR="00F52E8F" w:rsidRPr="008E3100" w:rsidRDefault="00F52E8F" w:rsidP="00F52E8F">
      <w:pPr>
        <w:pStyle w:val="Nivel6"/>
        <w:ind w:left="2212"/>
      </w:pPr>
      <w:r w:rsidRPr="008E3100">
        <w:t>Mientras que en Madrid, Barcelona y Málaga el tiempo de disolución de stock es de 1-2</w:t>
      </w:r>
      <w:r>
        <w:t> </w:t>
      </w:r>
      <w:r w:rsidRPr="008E3100">
        <w:t>años, Soria supera los 6</w:t>
      </w:r>
      <w:r>
        <w:t> </w:t>
      </w:r>
      <w:r w:rsidRPr="008E3100">
        <w:t>años.</w:t>
      </w:r>
    </w:p>
    <w:p w14:paraId="06E23D2E" w14:textId="77777777" w:rsidR="00F52E8F" w:rsidRPr="008E3100" w:rsidRDefault="00F52E8F" w:rsidP="00F52E8F">
      <w:pPr>
        <w:pStyle w:val="Nivel6"/>
        <w:ind w:left="2212"/>
      </w:pPr>
      <w:r w:rsidRPr="008E3100">
        <w:t>En otras zonas se constata una rotura de stock.</w:t>
      </w:r>
    </w:p>
    <w:p w14:paraId="3051BBB8" w14:textId="77777777" w:rsidR="00F52E8F" w:rsidRPr="008E3100" w:rsidRDefault="00F52E8F" w:rsidP="00F52E8F">
      <w:pPr>
        <w:pStyle w:val="Nivel4"/>
        <w:keepNext/>
        <w:ind w:left="1474"/>
      </w:pPr>
      <w:r w:rsidRPr="008E3100">
        <w:t>Sector financiero</w:t>
      </w:r>
      <w:r>
        <w:t>:</w:t>
      </w:r>
    </w:p>
    <w:p w14:paraId="4A9B498D" w14:textId="77777777" w:rsidR="00F52E8F" w:rsidRPr="008E3100" w:rsidRDefault="00F52E8F" w:rsidP="00F52E8F">
      <w:pPr>
        <w:pStyle w:val="Nivel5"/>
        <w:ind w:left="1871"/>
      </w:pPr>
      <w:r w:rsidRPr="008E3100">
        <w:t>El sector financiero aún mantiene una cuarta parte de ese stock de viviendas a la venta con cerca 300.000 (100.000</w:t>
      </w:r>
      <w:r>
        <w:t> </w:t>
      </w:r>
      <w:r w:rsidRPr="008E3100">
        <w:t>nuevas y 200.000</w:t>
      </w:r>
      <w:r>
        <w:t> </w:t>
      </w:r>
      <w:r w:rsidRPr="008E3100">
        <w:t>usadas). El resto queda distribuidas entre promotores, particulares y otros agentes de mercado.</w:t>
      </w:r>
    </w:p>
    <w:p w14:paraId="4261798B" w14:textId="77777777" w:rsidR="00F52E8F" w:rsidRPr="008E3100" w:rsidRDefault="00F52E8F" w:rsidP="00F52E8F">
      <w:pPr>
        <w:pStyle w:val="Nivel3SM"/>
        <w:keepNext/>
      </w:pPr>
      <w:r w:rsidRPr="006C7A91">
        <w:rPr>
          <w:i/>
          <w:iCs/>
        </w:rPr>
        <w:t>Vivienda habitual</w:t>
      </w:r>
      <w:r w:rsidRPr="008E3100">
        <w:t>:</w:t>
      </w:r>
    </w:p>
    <w:p w14:paraId="3080A2BD" w14:textId="77777777" w:rsidR="00F52E8F" w:rsidRPr="008E3100" w:rsidRDefault="00F52E8F" w:rsidP="00F52E8F">
      <w:pPr>
        <w:pStyle w:val="Nivel4"/>
        <w:ind w:left="1474"/>
      </w:pPr>
      <w:r w:rsidRPr="008E3100">
        <w:t>75</w:t>
      </w:r>
      <w:r>
        <w:t> </w:t>
      </w:r>
      <w:r w:rsidRPr="008E3100">
        <w:t>%, uno de los más bajos a nivel comunitario, debido al carácter de España de destino turístico.</w:t>
      </w:r>
    </w:p>
    <w:p w14:paraId="51EFECF3" w14:textId="77777777" w:rsidR="00F52E8F" w:rsidRPr="008E3100" w:rsidRDefault="00F52E8F" w:rsidP="00F52E8F">
      <w:pPr>
        <w:pStyle w:val="Nivel3SM"/>
        <w:keepNext/>
      </w:pPr>
      <w:r w:rsidRPr="006C7A91">
        <w:rPr>
          <w:i/>
          <w:iCs/>
        </w:rPr>
        <w:t>Viviendas protegidas</w:t>
      </w:r>
      <w:r w:rsidRPr="008E3100">
        <w:t>:</w:t>
      </w:r>
    </w:p>
    <w:p w14:paraId="7C61FA45" w14:textId="77777777" w:rsidR="00F52E8F" w:rsidRPr="008E3100" w:rsidRDefault="00F52E8F" w:rsidP="00F52E8F">
      <w:pPr>
        <w:pStyle w:val="Nivel4"/>
        <w:ind w:left="1474"/>
      </w:pPr>
      <w:r w:rsidRPr="008E3100">
        <w:t>15</w:t>
      </w:r>
      <w:r>
        <w:t> </w:t>
      </w:r>
      <w:r w:rsidRPr="008E3100">
        <w:t>% sobre el total.</w:t>
      </w:r>
    </w:p>
    <w:p w14:paraId="55CB1AA8" w14:textId="77777777" w:rsidR="00F52E8F" w:rsidRPr="008E3100" w:rsidRDefault="00F52E8F" w:rsidP="00F52E8F">
      <w:pPr>
        <w:pStyle w:val="Nivel2SM"/>
        <w:keepNext/>
        <w:spacing w:after="0"/>
      </w:pPr>
      <w:r w:rsidRPr="006C7A91">
        <w:rPr>
          <w:i/>
          <w:iCs/>
          <w:u w:val="single"/>
        </w:rPr>
        <w:t>Factores que afectan la oferta</w:t>
      </w:r>
      <w:r w:rsidRPr="008E3100">
        <w:t>:</w:t>
      </w:r>
    </w:p>
    <w:p w14:paraId="6BCA86F4" w14:textId="77777777" w:rsidR="00F52E8F" w:rsidRPr="006C7A91" w:rsidRDefault="00F52E8F" w:rsidP="00F52E8F">
      <w:pPr>
        <w:pStyle w:val="Nivel3SM"/>
      </w:pPr>
      <w:r w:rsidRPr="006C7A91">
        <w:rPr>
          <w:i/>
          <w:iCs/>
        </w:rPr>
        <w:t>El coste de financiación</w:t>
      </w:r>
      <w:r w:rsidRPr="008E3100">
        <w:t>:</w:t>
      </w:r>
      <w:r>
        <w:t xml:space="preserve"> </w:t>
      </w:r>
      <w:r w:rsidRPr="008E3100">
        <w:t xml:space="preserve">Tipos de interés y disponibilidad de crédito para los </w:t>
      </w:r>
      <w:r w:rsidRPr="006C7A91">
        <w:t>promotores.</w:t>
      </w:r>
    </w:p>
    <w:p w14:paraId="53A83C5F" w14:textId="77777777" w:rsidR="00F52E8F" w:rsidRPr="006C7A91" w:rsidRDefault="00F52E8F" w:rsidP="00F52E8F">
      <w:pPr>
        <w:pStyle w:val="Nivel3SM"/>
      </w:pPr>
      <w:r w:rsidRPr="006C7A91">
        <w:rPr>
          <w:i/>
          <w:iCs/>
        </w:rPr>
        <w:t>Los costes de construcción</w:t>
      </w:r>
      <w:r w:rsidRPr="006C7A91">
        <w:t>: Recientemente al alza debido a los mayores requisitos medioambientales y de seguridad.</w:t>
      </w:r>
    </w:p>
    <w:p w14:paraId="7820DA8E" w14:textId="77777777" w:rsidR="00F52E8F" w:rsidRPr="008E3100" w:rsidRDefault="00F52E8F" w:rsidP="00F52E8F">
      <w:pPr>
        <w:pStyle w:val="Nivel3SM"/>
      </w:pPr>
      <w:r w:rsidRPr="006C7A91">
        <w:rPr>
          <w:i/>
          <w:iCs/>
        </w:rPr>
        <w:t>El coste del suelo</w:t>
      </w:r>
      <w:r w:rsidRPr="008E3100">
        <w:t>.</w:t>
      </w:r>
    </w:p>
    <w:p w14:paraId="72B4F86E" w14:textId="77777777" w:rsidR="00F52E8F" w:rsidRPr="00BE4ADF" w:rsidRDefault="00F52E8F" w:rsidP="005F350F">
      <w:pPr>
        <w:pStyle w:val="Ttulo6"/>
      </w:pPr>
      <w:r w:rsidRPr="008E3100">
        <w:t>Demanda</w:t>
      </w:r>
    </w:p>
    <w:p w14:paraId="23AB955D" w14:textId="77777777" w:rsidR="00F52E8F" w:rsidRPr="008E3100" w:rsidRDefault="00F52E8F" w:rsidP="00F52E8F">
      <w:pPr>
        <w:pStyle w:val="Nivel2SM"/>
        <w:keepNext/>
        <w:spacing w:after="0"/>
      </w:pPr>
      <w:r>
        <w:rPr>
          <w:i/>
          <w:iCs/>
          <w:u w:val="single"/>
        </w:rPr>
        <w:t>Composición de la demanda</w:t>
      </w:r>
      <w:r w:rsidRPr="008E3100">
        <w:t>:</w:t>
      </w:r>
    </w:p>
    <w:p w14:paraId="088DDEF0" w14:textId="77777777" w:rsidR="00F52E8F" w:rsidRPr="008E3100" w:rsidRDefault="00F52E8F" w:rsidP="00F52E8F">
      <w:pPr>
        <w:pStyle w:val="Nivel3SM"/>
      </w:pPr>
      <w:r w:rsidRPr="006F7DE6">
        <w:rPr>
          <w:i/>
          <w:iCs/>
        </w:rPr>
        <w:t>1ª vivienda</w:t>
      </w:r>
      <w:r w:rsidRPr="008E3100">
        <w:t>: 60</w:t>
      </w:r>
      <w:r>
        <w:t> </w:t>
      </w:r>
      <w:r w:rsidRPr="008E3100">
        <w:t>% de la demanda.</w:t>
      </w:r>
    </w:p>
    <w:p w14:paraId="45AE61F9" w14:textId="77777777" w:rsidR="00F52E8F" w:rsidRPr="008E3100" w:rsidRDefault="00F52E8F" w:rsidP="00F52E8F">
      <w:pPr>
        <w:pStyle w:val="Nivel3SM"/>
      </w:pPr>
      <w:r w:rsidRPr="006F7DE6">
        <w:rPr>
          <w:i/>
          <w:iCs/>
        </w:rPr>
        <w:lastRenderedPageBreak/>
        <w:t>2ª vivienda</w:t>
      </w:r>
      <w:r w:rsidRPr="008E3100">
        <w:t>: 20</w:t>
      </w:r>
      <w:r>
        <w:t> </w:t>
      </w:r>
      <w:r w:rsidRPr="008E3100">
        <w:t>% de la demanda.</w:t>
      </w:r>
    </w:p>
    <w:p w14:paraId="4DF15D8E" w14:textId="77777777" w:rsidR="00F52E8F" w:rsidRPr="008E3100" w:rsidRDefault="00F52E8F" w:rsidP="00F52E8F">
      <w:pPr>
        <w:pStyle w:val="Nivel3SM"/>
      </w:pPr>
      <w:r w:rsidRPr="006F7DE6">
        <w:rPr>
          <w:i/>
          <w:iCs/>
        </w:rPr>
        <w:t>Demanda especulativa</w:t>
      </w:r>
      <w:r w:rsidRPr="008E3100">
        <w:t>: 20</w:t>
      </w:r>
      <w:r>
        <w:t> </w:t>
      </w:r>
      <w:r w:rsidRPr="008E3100">
        <w:t>% de la demanda.</w:t>
      </w:r>
    </w:p>
    <w:p w14:paraId="3F9EF118" w14:textId="77777777" w:rsidR="00F52E8F" w:rsidRPr="008E3100" w:rsidRDefault="00F52E8F" w:rsidP="00F52E8F">
      <w:pPr>
        <w:pStyle w:val="Nivel2SM"/>
        <w:keepNext/>
        <w:spacing w:after="0"/>
      </w:pPr>
      <w:r w:rsidRPr="006F7DE6">
        <w:rPr>
          <w:i/>
          <w:iCs/>
          <w:u w:val="single"/>
        </w:rPr>
        <w:t xml:space="preserve">La demanda de </w:t>
      </w:r>
      <w:r>
        <w:rPr>
          <w:i/>
          <w:iCs/>
          <w:u w:val="single"/>
        </w:rPr>
        <w:t>1ª y 2ª </w:t>
      </w:r>
      <w:r w:rsidRPr="006F7DE6">
        <w:rPr>
          <w:i/>
          <w:iCs/>
          <w:u w:val="single"/>
        </w:rPr>
        <w:t>vivienda depende de</w:t>
      </w:r>
      <w:r w:rsidRPr="008E3100">
        <w:t>:</w:t>
      </w:r>
    </w:p>
    <w:p w14:paraId="4F93FDC2" w14:textId="77777777" w:rsidR="00F52E8F" w:rsidRPr="009D3721" w:rsidRDefault="00F52E8F" w:rsidP="00F52E8F">
      <w:pPr>
        <w:pStyle w:val="Nivel3SM"/>
      </w:pPr>
      <w:r w:rsidRPr="009D3721">
        <w:rPr>
          <w:i/>
          <w:iCs/>
        </w:rPr>
        <w:t>Población</w:t>
      </w:r>
      <w:r w:rsidRPr="009D3721">
        <w:t>: Determina la demanda potencial porque representa la necesidad del uso de viviendas.</w:t>
      </w:r>
    </w:p>
    <w:p w14:paraId="7B7AE5B9" w14:textId="77777777" w:rsidR="00F52E8F" w:rsidRPr="006F7DE6" w:rsidRDefault="00F52E8F" w:rsidP="00F52E8F">
      <w:pPr>
        <w:pStyle w:val="Nivel3SM"/>
      </w:pPr>
      <w:r w:rsidRPr="006F7DE6">
        <w:rPr>
          <w:i/>
          <w:iCs/>
        </w:rPr>
        <w:t>Renta disponible</w:t>
      </w:r>
      <w:r w:rsidRPr="006F7DE6">
        <w:t>: Condicionante fundamental que permite a la demanda potencial convertirse en demanda efectiva.</w:t>
      </w:r>
    </w:p>
    <w:p w14:paraId="34CBD9C7" w14:textId="77777777" w:rsidR="00F52E8F" w:rsidRPr="006F7DE6" w:rsidRDefault="00F52E8F" w:rsidP="00F52E8F">
      <w:pPr>
        <w:pStyle w:val="Nivel3SM"/>
      </w:pPr>
      <w:r w:rsidRPr="006F7DE6">
        <w:rPr>
          <w:i/>
          <w:iCs/>
        </w:rPr>
        <w:t>Porcentaje de rentas seguras sobre el total de rentas</w:t>
      </w:r>
      <w:r w:rsidRPr="006F7DE6">
        <w:t>: Una elevada temporalidad dificulta la obtención de crédito y genera incertidumbre, por lo que la demanda se resiente.</w:t>
      </w:r>
    </w:p>
    <w:p w14:paraId="0B6E6C9B" w14:textId="77777777" w:rsidR="00F52E8F" w:rsidRPr="008E3100" w:rsidRDefault="00F52E8F" w:rsidP="00F52E8F">
      <w:pPr>
        <w:pStyle w:val="Nivel3SM"/>
      </w:pPr>
      <w:r w:rsidRPr="006F7DE6">
        <w:rPr>
          <w:i/>
          <w:iCs/>
        </w:rPr>
        <w:t>Disponibilidad de financiación</w:t>
      </w:r>
      <w:r w:rsidRPr="006F7DE6">
        <w:t>: Factor adicional que influye sobre todo la demanda en propiedad. Factores como los tipos de interés del crédito hipotecario y condiciones de acceso al crédito son</w:t>
      </w:r>
      <w:r w:rsidRPr="008E3100">
        <w:t xml:space="preserve"> aspectos determinantes </w:t>
      </w:r>
    </w:p>
    <w:p w14:paraId="26492A76" w14:textId="77777777" w:rsidR="00F52E8F" w:rsidRPr="008E3100" w:rsidRDefault="00F52E8F" w:rsidP="00F52E8F">
      <w:pPr>
        <w:pStyle w:val="Nivel3SM"/>
        <w:keepNext/>
      </w:pPr>
      <w:r w:rsidRPr="006F7DE6">
        <w:rPr>
          <w:i/>
          <w:iCs/>
        </w:rPr>
        <w:t>Coste de la vivienda (precio + intereses hipotecarios – incentivos fiscales)</w:t>
      </w:r>
      <w:r w:rsidRPr="008E3100">
        <w:t>.</w:t>
      </w:r>
    </w:p>
    <w:p w14:paraId="5FEEB487" w14:textId="77777777" w:rsidR="00F52E8F" w:rsidRPr="008E3100" w:rsidRDefault="00F52E8F" w:rsidP="00F52E8F">
      <w:pPr>
        <w:pStyle w:val="Nivel4"/>
        <w:ind w:left="1474"/>
      </w:pPr>
      <w:r w:rsidRPr="008E3100">
        <w:t>Por tanto, el coste tal se ve influido por las condiciones financieras y por las políticas públicas (</w:t>
      </w:r>
      <w:r>
        <w:t>p.ej.</w:t>
      </w:r>
      <w:r w:rsidRPr="008E3100">
        <w:t xml:space="preserve"> tratamiento fiscal de la adquisición de vivienda).</w:t>
      </w:r>
    </w:p>
    <w:p w14:paraId="639079B4" w14:textId="77777777" w:rsidR="00F52E8F" w:rsidRPr="008E3100" w:rsidRDefault="00F52E8F" w:rsidP="00F52E8F">
      <w:pPr>
        <w:pStyle w:val="Nivel2SM"/>
        <w:keepNext/>
        <w:spacing w:after="0"/>
      </w:pPr>
      <w:r w:rsidRPr="00B01CF7">
        <w:rPr>
          <w:i/>
          <w:iCs/>
          <w:u w:val="single"/>
        </w:rPr>
        <w:t>La demanda especulativa de vivienda depende de</w:t>
      </w:r>
      <w:r w:rsidRPr="008E3100">
        <w:t>:</w:t>
      </w:r>
    </w:p>
    <w:p w14:paraId="3899E65A" w14:textId="77777777" w:rsidR="00F52E8F" w:rsidRPr="008E3100" w:rsidRDefault="00F52E8F" w:rsidP="00F52E8F">
      <w:pPr>
        <w:pStyle w:val="Nivel3SM"/>
      </w:pPr>
      <w:r w:rsidRPr="00B01CF7">
        <w:rPr>
          <w:i/>
          <w:iCs/>
        </w:rPr>
        <w:t>Muchos de los factores anteriores</w:t>
      </w:r>
      <w:r w:rsidRPr="008E3100">
        <w:t>. Pero sobre todo el diferencial de rentabilidad respecto a otros activos alternativos.</w:t>
      </w:r>
    </w:p>
    <w:p w14:paraId="0326DD1F" w14:textId="77777777" w:rsidR="00F52E8F" w:rsidRPr="008E3100" w:rsidRDefault="00F52E8F" w:rsidP="00F52E8F">
      <w:pPr>
        <w:pStyle w:val="Nivel3SM"/>
      </w:pPr>
      <w:r w:rsidRPr="008E3100">
        <w:t>En 2016, 1 de cada 5</w:t>
      </w:r>
      <w:r>
        <w:t> </w:t>
      </w:r>
      <w:r w:rsidRPr="008E3100">
        <w:t>viviendas se compraba como inversión (sobre todo para alquilar), huyendo de los tipos bajos y de la bolsa.</w:t>
      </w:r>
    </w:p>
    <w:p w14:paraId="04FD9A40" w14:textId="77777777" w:rsidR="00F52E8F" w:rsidRPr="008E3100" w:rsidRDefault="00F52E8F" w:rsidP="00F52E8F">
      <w:pPr>
        <w:pStyle w:val="Nivel2SM"/>
      </w:pPr>
      <w:r w:rsidRPr="008E3100">
        <w:t>Dadas sus características, la vivienda se considera un bien de inversión más que de consumo.</w:t>
      </w:r>
    </w:p>
    <w:p w14:paraId="05F076EB" w14:textId="52CD5FC5" w:rsidR="00F52E8F" w:rsidRPr="00BE4ADF" w:rsidRDefault="00F52E8F" w:rsidP="00EA13B7">
      <w:pPr>
        <w:pStyle w:val="Ttulo3"/>
      </w:pPr>
      <w:bookmarkStart w:id="29" w:name="_Toc177740125"/>
      <w:r>
        <w:t xml:space="preserve">Problemas: </w:t>
      </w:r>
      <w:bookmarkStart w:id="30" w:name="_Ref150876801"/>
      <w:r>
        <w:t>Estudio de la evolución de los precios en la edificación residencial</w:t>
      </w:r>
      <w:bookmarkEnd w:id="29"/>
      <w:bookmarkEnd w:id="30"/>
    </w:p>
    <w:p w14:paraId="17C9929C" w14:textId="77777777" w:rsidR="00F52E8F" w:rsidRDefault="00F52E8F" w:rsidP="00F52E8F">
      <w:pPr>
        <w:pStyle w:val="Ttulo6"/>
        <w:spacing w:before="0"/>
      </w:pPr>
      <w:r>
        <w:t>¿Cómo se forman?</w:t>
      </w:r>
    </w:p>
    <w:p w14:paraId="2B0A27E4" w14:textId="77777777" w:rsidR="00F52E8F" w:rsidRDefault="00F52E8F" w:rsidP="00F52E8F">
      <w:pPr>
        <w:pStyle w:val="Nivel2SM"/>
        <w:keepNext/>
        <w:spacing w:after="0"/>
      </w:pPr>
      <w:r>
        <w:t>Es necesario distinguir el precio del suelo y el precio de la vivienda.</w:t>
      </w:r>
    </w:p>
    <w:p w14:paraId="3FA918AA" w14:textId="77777777" w:rsidR="00F52E8F" w:rsidRPr="00C06D81" w:rsidRDefault="00F52E8F" w:rsidP="00F52E8F">
      <w:pPr>
        <w:pStyle w:val="Nivel3SM"/>
      </w:pPr>
      <w:r>
        <w:t>Existe consenso de que el precio del suelo se determina a partir de descontar las expectativas sobre el precio de las viviendas que podrán ser construidas en dicho suelo.</w:t>
      </w:r>
    </w:p>
    <w:p w14:paraId="55240C7F" w14:textId="77777777" w:rsidR="00F52E8F" w:rsidRPr="008E3100" w:rsidRDefault="00F52E8F" w:rsidP="00F52E8F">
      <w:pPr>
        <w:pStyle w:val="Ttulo6"/>
      </w:pPr>
      <w:r w:rsidRPr="008E3100">
        <w:t>Evolución previa a la burbuja de 2007</w:t>
      </w:r>
    </w:p>
    <w:p w14:paraId="63003CB3" w14:textId="77777777" w:rsidR="00F52E8F" w:rsidRPr="008E3100" w:rsidRDefault="00F52E8F" w:rsidP="00F52E8F">
      <w:pPr>
        <w:pStyle w:val="Nivel2SM"/>
        <w:keepNext/>
        <w:spacing w:after="0"/>
      </w:pPr>
      <w:r w:rsidRPr="00B50E9C">
        <w:t xml:space="preserve">1960-1973: </w:t>
      </w:r>
      <w:r w:rsidRPr="00B50E9C">
        <w:rPr>
          <w:i/>
          <w:iCs/>
        </w:rPr>
        <w:t>Crecimiento muy rápido</w:t>
      </w:r>
      <w:r w:rsidRPr="00B50E9C">
        <w:t xml:space="preserve"> del sector debido a</w:t>
      </w:r>
      <w:r w:rsidRPr="008E3100">
        <w:t>:</w:t>
      </w:r>
    </w:p>
    <w:p w14:paraId="1B2593B1" w14:textId="77777777" w:rsidR="00F52E8F" w:rsidRPr="008E3100" w:rsidRDefault="00F52E8F" w:rsidP="00F52E8F">
      <w:pPr>
        <w:pStyle w:val="Nivel3SM"/>
      </w:pPr>
      <w:r w:rsidRPr="008E3100">
        <w:t>El aumento de la población.</w:t>
      </w:r>
    </w:p>
    <w:p w14:paraId="0B9FC006" w14:textId="77777777" w:rsidR="00F52E8F" w:rsidRPr="008E3100" w:rsidRDefault="00F52E8F" w:rsidP="00F52E8F">
      <w:pPr>
        <w:pStyle w:val="Nivel3SM"/>
      </w:pPr>
      <w:r w:rsidRPr="008E3100">
        <w:t>El aumento de la renta.</w:t>
      </w:r>
    </w:p>
    <w:p w14:paraId="0A966E0A" w14:textId="77777777" w:rsidR="00F52E8F" w:rsidRPr="008E3100" w:rsidRDefault="00F52E8F" w:rsidP="00F52E8F">
      <w:pPr>
        <w:pStyle w:val="Nivel3SM"/>
      </w:pPr>
      <w:r w:rsidRPr="008E3100">
        <w:t>El déficit del parqu</w:t>
      </w:r>
      <w:r>
        <w:t>e</w:t>
      </w:r>
      <w:r w:rsidRPr="008E3100">
        <w:t xml:space="preserve"> de viviendas hasta entonces.</w:t>
      </w:r>
    </w:p>
    <w:p w14:paraId="48083087" w14:textId="77777777" w:rsidR="00F52E8F" w:rsidRPr="00824050" w:rsidRDefault="00F52E8F" w:rsidP="00F52E8F">
      <w:pPr>
        <w:pStyle w:val="Nivel2SM"/>
        <w:keepNext/>
        <w:spacing w:after="0"/>
        <w:rPr>
          <w:u w:val="single"/>
        </w:rPr>
      </w:pPr>
      <w:r w:rsidRPr="00B50E9C">
        <w:t xml:space="preserve">1974-1985: Crisis, </w:t>
      </w:r>
      <w:r w:rsidRPr="00B50E9C">
        <w:rPr>
          <w:i/>
          <w:iCs/>
        </w:rPr>
        <w:t>caída de precios</w:t>
      </w:r>
      <w:r w:rsidRPr="00B50E9C">
        <w:t xml:space="preserve"> debido a</w:t>
      </w:r>
      <w:r>
        <w:t>:</w:t>
      </w:r>
    </w:p>
    <w:p w14:paraId="7D3A7C09" w14:textId="14EF172C" w:rsidR="00F52E8F" w:rsidRPr="008E3100" w:rsidRDefault="00F52E8F" w:rsidP="00F52E8F">
      <w:pPr>
        <w:pStyle w:val="Nivel3SM"/>
      </w:pPr>
      <w:r w:rsidRPr="008E3100">
        <w:t>Estancamiento de la economía</w:t>
      </w:r>
      <w:r w:rsidR="00FA0395">
        <w:t>.</w:t>
      </w:r>
    </w:p>
    <w:p w14:paraId="47B57309" w14:textId="77777777" w:rsidR="00F52E8F" w:rsidRPr="008E3100" w:rsidRDefault="00F52E8F" w:rsidP="00F52E8F">
      <w:pPr>
        <w:pStyle w:val="Nivel3SM"/>
      </w:pPr>
      <w:r w:rsidRPr="008E3100">
        <w:t>Desempleo creciente</w:t>
      </w:r>
      <w:r>
        <w:t>.</w:t>
      </w:r>
    </w:p>
    <w:p w14:paraId="170AED39" w14:textId="77777777" w:rsidR="00F52E8F" w:rsidRPr="008E3100" w:rsidRDefault="00F52E8F" w:rsidP="00F52E8F">
      <w:pPr>
        <w:pStyle w:val="Nivel3SM"/>
      </w:pPr>
      <w:r w:rsidRPr="008E3100">
        <w:t>Elevados tipos de interés</w:t>
      </w:r>
      <w:r>
        <w:t>.</w:t>
      </w:r>
    </w:p>
    <w:p w14:paraId="193B6C17" w14:textId="77777777" w:rsidR="00F52E8F" w:rsidRPr="008E3100" w:rsidRDefault="00F52E8F" w:rsidP="00F52E8F">
      <w:pPr>
        <w:pStyle w:val="Nivel3SM"/>
      </w:pPr>
      <w:r w:rsidRPr="008E3100">
        <w:t>Disminución del crédito.</w:t>
      </w:r>
    </w:p>
    <w:p w14:paraId="17AE73AB" w14:textId="77777777" w:rsidR="00F52E8F" w:rsidRPr="00B50E9C" w:rsidRDefault="00F52E8F" w:rsidP="00F52E8F">
      <w:pPr>
        <w:pStyle w:val="Nivel2SM"/>
        <w:keepNext/>
        <w:spacing w:after="0"/>
      </w:pPr>
      <w:r w:rsidRPr="00B50E9C">
        <w:t xml:space="preserve">1986-1989: </w:t>
      </w:r>
      <w:r w:rsidRPr="00B50E9C">
        <w:rPr>
          <w:i/>
          <w:iCs/>
        </w:rPr>
        <w:t>Crecimiento muy rápido</w:t>
      </w:r>
      <w:r w:rsidRPr="00B50E9C">
        <w:t xml:space="preserve"> de los precios</w:t>
      </w:r>
      <w:r>
        <w:t>:</w:t>
      </w:r>
    </w:p>
    <w:p w14:paraId="1A981B46" w14:textId="77777777" w:rsidR="00F52E8F" w:rsidRPr="008E3100" w:rsidRDefault="00F52E8F" w:rsidP="00F52E8F">
      <w:pPr>
        <w:pStyle w:val="Nivel3SM"/>
      </w:pPr>
      <w:r w:rsidRPr="008E3100">
        <w:t>Al partir de niveles bastante bajos; los precios se triplican (se liberaliza el mercado financiero y aterriza en el mercado la generación del baby-boom).</w:t>
      </w:r>
    </w:p>
    <w:p w14:paraId="585B1017" w14:textId="77777777" w:rsidR="00F52E8F" w:rsidRPr="008E3100" w:rsidRDefault="00F52E8F" w:rsidP="00F52E8F">
      <w:pPr>
        <w:pStyle w:val="Nivel2SM"/>
        <w:keepNext/>
        <w:spacing w:after="0"/>
      </w:pPr>
      <w:r w:rsidRPr="00B50E9C">
        <w:t xml:space="preserve">1990-1997: </w:t>
      </w:r>
      <w:r w:rsidRPr="00A54C4A">
        <w:rPr>
          <w:i/>
          <w:iCs/>
        </w:rPr>
        <w:t>Crisis y, después, estabilidad</w:t>
      </w:r>
      <w:r w:rsidRPr="008E3100">
        <w:t>.</w:t>
      </w:r>
    </w:p>
    <w:p w14:paraId="38851D05" w14:textId="77777777" w:rsidR="00F52E8F" w:rsidRPr="008E3100" w:rsidRDefault="00F52E8F" w:rsidP="00F52E8F">
      <w:pPr>
        <w:pStyle w:val="Nivel3SM"/>
      </w:pPr>
      <w:r w:rsidRPr="008E3100">
        <w:t>Debido principalmente a la crisis del SME y al fuerte proceso de consolidación fiscal llevado a cabo por las AAPP.</w:t>
      </w:r>
    </w:p>
    <w:p w14:paraId="65B71A69" w14:textId="77777777" w:rsidR="00F52E8F" w:rsidRPr="00BE4ADF" w:rsidRDefault="00F52E8F" w:rsidP="00F52E8F">
      <w:pPr>
        <w:pStyle w:val="Ttulo6"/>
      </w:pPr>
      <w:r w:rsidRPr="008E3100">
        <w:lastRenderedPageBreak/>
        <w:t>La burbuja inmobiliaria (1998</w:t>
      </w:r>
      <w:r>
        <w:t>-</w:t>
      </w:r>
      <w:r w:rsidRPr="008E3100">
        <w:t>2007)</w:t>
      </w:r>
    </w:p>
    <w:p w14:paraId="3C7D26EE" w14:textId="77777777" w:rsidR="00F52E8F" w:rsidRPr="008E3100" w:rsidRDefault="00F52E8F" w:rsidP="00F52E8F">
      <w:pPr>
        <w:pStyle w:val="Ttulo7"/>
        <w:spacing w:before="0"/>
      </w:pPr>
      <w:r w:rsidRPr="008E3100">
        <w:t>Definición de burbuja</w:t>
      </w:r>
    </w:p>
    <w:p w14:paraId="284B4ACF" w14:textId="77777777" w:rsidR="00F52E8F" w:rsidRPr="008E3100" w:rsidRDefault="00F52E8F" w:rsidP="00F52E8F">
      <w:pPr>
        <w:pStyle w:val="Nivel2SM"/>
        <w:keepNext/>
        <w:spacing w:after="0"/>
      </w:pPr>
      <w:r w:rsidRPr="008E3100">
        <w:t>Una burbuja se caracteriza por la presencia de altos volúmenes de transacciones a precios muy distintos del valor económico fundamental.</w:t>
      </w:r>
    </w:p>
    <w:p w14:paraId="6B81B293" w14:textId="77777777" w:rsidR="00F52E8F" w:rsidRPr="008E3100" w:rsidRDefault="00F52E8F" w:rsidP="00F52E8F">
      <w:pPr>
        <w:pStyle w:val="Nivel3SM"/>
      </w:pPr>
      <w:r w:rsidRPr="008E3100">
        <w:t>Es decir, se trata de una situación en la que los precios no cumplen su función de señalización, de forma que si la burbuja es grande y duradera, la mala asignación que genera en ahorradores, trabajadores y empresarios puede causar una cuantiosa destrucción de riqueza real.</w:t>
      </w:r>
    </w:p>
    <w:p w14:paraId="69ACA743" w14:textId="77777777" w:rsidR="00F52E8F" w:rsidRPr="008E3100" w:rsidRDefault="00F52E8F" w:rsidP="00F52E8F">
      <w:pPr>
        <w:pStyle w:val="Nivel3SM"/>
      </w:pPr>
      <w:r w:rsidRPr="008E3100">
        <w:t>No es fácil de identificar, por la dificultad para calcular el valor fundamental.</w:t>
      </w:r>
    </w:p>
    <w:p w14:paraId="1F99AAE8" w14:textId="77777777" w:rsidR="00F52E8F" w:rsidRPr="00BE4ADF" w:rsidRDefault="00F52E8F" w:rsidP="00F52E8F">
      <w:pPr>
        <w:pStyle w:val="Ttulo7"/>
      </w:pPr>
      <w:r w:rsidRPr="008E3100">
        <w:t>Burbuja 1998</w:t>
      </w:r>
      <w:r>
        <w:t>-</w:t>
      </w:r>
      <w:r w:rsidRPr="008E3100">
        <w:t>2007</w:t>
      </w:r>
    </w:p>
    <w:p w14:paraId="653E3988" w14:textId="77777777" w:rsidR="00F52E8F" w:rsidRPr="008E3100" w:rsidRDefault="00F52E8F" w:rsidP="00F52E8F">
      <w:pPr>
        <w:pStyle w:val="Nivel2SM"/>
        <w:keepNext/>
        <w:spacing w:after="0"/>
      </w:pPr>
      <w:r w:rsidRPr="00BF0CB1">
        <w:t xml:space="preserve">1998-2007: </w:t>
      </w:r>
      <w:r w:rsidRPr="00BF0CB1">
        <w:rPr>
          <w:i/>
          <w:iCs/>
          <w:u w:val="single"/>
        </w:rPr>
        <w:t>Burbuja inmobiliaria</w:t>
      </w:r>
      <w:r w:rsidRPr="008E3100">
        <w:t>.</w:t>
      </w:r>
    </w:p>
    <w:p w14:paraId="1F31F98A" w14:textId="77777777" w:rsidR="00F52E8F" w:rsidRPr="003F66DB" w:rsidRDefault="00F52E8F" w:rsidP="00F52E8F">
      <w:pPr>
        <w:pStyle w:val="Nivel3SM"/>
        <w:rPr>
          <w:spacing w:val="-3"/>
        </w:rPr>
      </w:pPr>
      <w:r w:rsidRPr="003F66DB">
        <w:rPr>
          <w:spacing w:val="-3"/>
        </w:rPr>
        <w:t xml:space="preserve">El precio medio de la vivienda nueva en España pasó de unos </w:t>
      </w:r>
      <w:r>
        <w:rPr>
          <w:spacing w:val="-3"/>
        </w:rPr>
        <w:t>873</w:t>
      </w:r>
      <w:r w:rsidRPr="003F66DB">
        <w:rPr>
          <w:spacing w:val="-3"/>
        </w:rPr>
        <w:t> €/m</w:t>
      </w:r>
      <w:r w:rsidRPr="003F66DB">
        <w:rPr>
          <w:spacing w:val="-3"/>
          <w:vertAlign w:val="superscript"/>
        </w:rPr>
        <w:t>2</w:t>
      </w:r>
      <w:r w:rsidRPr="003F66DB">
        <w:rPr>
          <w:spacing w:val="-3"/>
        </w:rPr>
        <w:t xml:space="preserve"> en </w:t>
      </w:r>
      <w:r>
        <w:rPr>
          <w:spacing w:val="-3"/>
        </w:rPr>
        <w:t>2001</w:t>
      </w:r>
      <w:r w:rsidRPr="003F66DB">
        <w:rPr>
          <w:spacing w:val="-3"/>
        </w:rPr>
        <w:t xml:space="preserve"> a 2.</w:t>
      </w:r>
      <w:r>
        <w:rPr>
          <w:spacing w:val="-3"/>
        </w:rPr>
        <w:t>154</w:t>
      </w:r>
      <w:r w:rsidRPr="003F66DB">
        <w:rPr>
          <w:spacing w:val="-3"/>
        </w:rPr>
        <w:t> €/m</w:t>
      </w:r>
      <w:r w:rsidRPr="003F66DB">
        <w:rPr>
          <w:spacing w:val="-3"/>
          <w:vertAlign w:val="superscript"/>
        </w:rPr>
        <w:t>2</w:t>
      </w:r>
      <w:r w:rsidRPr="003F66DB">
        <w:rPr>
          <w:spacing w:val="-3"/>
        </w:rPr>
        <w:t xml:space="preserve"> en 2007, es decir, se multiplicó por 2,5. En 2006 se construyeron 860.000 viviendas nuevas.</w:t>
      </w:r>
    </w:p>
    <w:p w14:paraId="5B3EE285" w14:textId="77777777" w:rsidR="00F52E8F" w:rsidRPr="007C6F15" w:rsidRDefault="00F52E8F" w:rsidP="00F52E8F">
      <w:pPr>
        <w:pStyle w:val="Nivel2SM"/>
        <w:keepNext/>
        <w:spacing w:after="0"/>
        <w:rPr>
          <w:u w:val="single"/>
        </w:rPr>
      </w:pPr>
      <w:r w:rsidRPr="00BF0CB1">
        <w:t xml:space="preserve">2008-2015: </w:t>
      </w:r>
      <w:r w:rsidRPr="00BF0CB1">
        <w:rPr>
          <w:i/>
          <w:iCs/>
          <w:u w:val="single"/>
        </w:rPr>
        <w:t>Estallido y caída de precios</w:t>
      </w:r>
      <w:r>
        <w:t>.</w:t>
      </w:r>
    </w:p>
    <w:p w14:paraId="1684FBC9" w14:textId="77777777" w:rsidR="00F52E8F" w:rsidRPr="008E3100" w:rsidRDefault="00F52E8F" w:rsidP="00F52E8F">
      <w:pPr>
        <w:pStyle w:val="Nivel3SM"/>
      </w:pPr>
      <w:r w:rsidRPr="008E3100">
        <w:t>Crisis inmobiliaria y contracción de precios (30</w:t>
      </w:r>
      <w:r>
        <w:t> </w:t>
      </w:r>
      <w:r w:rsidRPr="008E3100">
        <w:t>%-50</w:t>
      </w:r>
      <w:r>
        <w:t> </w:t>
      </w:r>
      <w:r w:rsidRPr="008E3100">
        <w:t>% de caída de precios).</w:t>
      </w:r>
    </w:p>
    <w:p w14:paraId="06BBFDFA" w14:textId="77777777" w:rsidR="00F52E8F" w:rsidRPr="00BE4ADF" w:rsidRDefault="00F52E8F" w:rsidP="00F52E8F">
      <w:pPr>
        <w:pStyle w:val="Ttulo7"/>
      </w:pPr>
      <w:r w:rsidRPr="008E3100">
        <w:t>Causas de la burbuja inmobiliaria</w:t>
      </w:r>
    </w:p>
    <w:p w14:paraId="750B1CE2" w14:textId="77777777" w:rsidR="00F52E8F" w:rsidRPr="008E3100" w:rsidRDefault="00F52E8F" w:rsidP="00F52E8F">
      <w:pPr>
        <w:pStyle w:val="Nivel2SM"/>
        <w:keepNext/>
        <w:spacing w:after="0"/>
      </w:pPr>
      <w:r w:rsidRPr="00EF2B67">
        <w:rPr>
          <w:i/>
          <w:iCs/>
          <w:u w:val="single"/>
        </w:rPr>
        <w:t>Factores de demanda</w:t>
      </w:r>
      <w:r>
        <w:rPr>
          <w:i/>
          <w:iCs/>
        </w:rPr>
        <w:t xml:space="preserve"> (6)</w:t>
      </w:r>
      <w:r w:rsidRPr="008E3100">
        <w:t>:</w:t>
      </w:r>
    </w:p>
    <w:p w14:paraId="46600BBA" w14:textId="77777777" w:rsidR="00F52E8F" w:rsidRPr="008E3100" w:rsidRDefault="00F52E8F" w:rsidP="00F52E8F">
      <w:pPr>
        <w:pStyle w:val="Nivel3SM"/>
      </w:pPr>
      <w:r w:rsidRPr="00EF2B67">
        <w:rPr>
          <w:i/>
          <w:iCs/>
        </w:rPr>
        <w:t>Aumento de la renta bruta disponible</w:t>
      </w:r>
      <w:r>
        <w:t xml:space="preserve">: </w:t>
      </w:r>
      <w:r w:rsidRPr="008E3100">
        <w:t>Ciclo expansivo.</w:t>
      </w:r>
    </w:p>
    <w:p w14:paraId="6DAEC1B3" w14:textId="77777777" w:rsidR="00F52E8F" w:rsidRPr="00C848A0" w:rsidRDefault="00F52E8F" w:rsidP="00F52E8F">
      <w:pPr>
        <w:pStyle w:val="Nivel3SM"/>
      </w:pPr>
      <w:r>
        <w:rPr>
          <w:i/>
          <w:iCs/>
        </w:rPr>
        <w:t>Condiciones crediticias laxas</w:t>
      </w:r>
      <w:r w:rsidRPr="00C848A0">
        <w:t>:</w:t>
      </w:r>
    </w:p>
    <w:p w14:paraId="6449D5C7" w14:textId="77777777" w:rsidR="00F52E8F" w:rsidRPr="008E3100" w:rsidRDefault="00F52E8F" w:rsidP="00F52E8F">
      <w:pPr>
        <w:pStyle w:val="Nivel4"/>
        <w:ind w:left="1474"/>
      </w:pPr>
      <w:r w:rsidRPr="00EF2B67">
        <w:rPr>
          <w:i/>
          <w:iCs/>
        </w:rPr>
        <w:t>Bajos tipos de interés</w:t>
      </w:r>
      <w:r>
        <w:t>, d</w:t>
      </w:r>
      <w:r w:rsidRPr="008E3100">
        <w:t>ebido a una política monetaria expansiva (asincronía de ciclos).</w:t>
      </w:r>
    </w:p>
    <w:p w14:paraId="7F9B26E7" w14:textId="77777777" w:rsidR="00F52E8F" w:rsidRDefault="00F52E8F" w:rsidP="00F52E8F">
      <w:pPr>
        <w:pStyle w:val="Nivel4"/>
        <w:ind w:left="1474"/>
      </w:pPr>
      <w:r>
        <w:rPr>
          <w:i/>
          <w:iCs/>
        </w:rPr>
        <w:t>C</w:t>
      </w:r>
      <w:r w:rsidRPr="00C848A0">
        <w:rPr>
          <w:i/>
          <w:iCs/>
        </w:rPr>
        <w:t>rédito hipotecario</w:t>
      </w:r>
      <w:r w:rsidRPr="008E3100">
        <w:t xml:space="preserve"> </w:t>
      </w:r>
      <w:r>
        <w:t xml:space="preserve">barato y de fácil acceso, que </w:t>
      </w:r>
      <w:r w:rsidRPr="008E3100">
        <w:t>presentó año tras año tasas interanuales de variación superiores al 20</w:t>
      </w:r>
      <w:r>
        <w:t> </w:t>
      </w:r>
      <w:r w:rsidRPr="008E3100">
        <w:t>%</w:t>
      </w:r>
      <w:r>
        <w:t>.</w:t>
      </w:r>
    </w:p>
    <w:p w14:paraId="7E307688" w14:textId="77777777" w:rsidR="00F52E8F" w:rsidRPr="008E3100" w:rsidRDefault="00F52E8F" w:rsidP="00F52E8F">
      <w:pPr>
        <w:pStyle w:val="Nivel3SM"/>
      </w:pPr>
      <w:r w:rsidRPr="00EF2B67">
        <w:rPr>
          <w:i/>
          <w:iCs/>
        </w:rPr>
        <w:t>Estímulos fiscales</w:t>
      </w:r>
      <w:r w:rsidRPr="008E3100">
        <w:t>: Deducción por compra de vivienda.</w:t>
      </w:r>
    </w:p>
    <w:p w14:paraId="2440411C" w14:textId="77777777" w:rsidR="00F52E8F" w:rsidRDefault="00F52E8F" w:rsidP="00F52E8F">
      <w:pPr>
        <w:pStyle w:val="Nivel3SM"/>
      </w:pPr>
      <w:r w:rsidRPr="00EF2B67">
        <w:rPr>
          <w:i/>
          <w:iCs/>
        </w:rPr>
        <w:t>Inmigración</w:t>
      </w:r>
      <w:r w:rsidRPr="008E3100">
        <w:t>:</w:t>
      </w:r>
      <w:r>
        <w:t xml:space="preserve"> </w:t>
      </w:r>
      <w:r w:rsidRPr="008E3100">
        <w:t>Entre 1998 y 2005, el número de extranjeros legalmente residentes en España se multiplicó por 6. En un primer momento, las tensiones provocadas por la llegada de inmigrantes recayeron principalmente sobre el mercado del alquiler. Pero, de forma progresiva, una parte sustancial de la demanda de vivienda de los nuevos inmigrantes se fue trasladando al mercado de propiedad (por el logro de un empleo estable, el reagrupamiento familiar en España, etc.).</w:t>
      </w:r>
    </w:p>
    <w:p w14:paraId="500E92D5" w14:textId="77777777" w:rsidR="00F52E8F" w:rsidRDefault="00F52E8F" w:rsidP="00F52E8F">
      <w:pPr>
        <w:pStyle w:val="Nivel3SM"/>
      </w:pPr>
      <w:r w:rsidRPr="00EF2B67">
        <w:rPr>
          <w:i/>
          <w:iCs/>
        </w:rPr>
        <w:t>Turismo en propiedad</w:t>
      </w:r>
      <w:r w:rsidRPr="008E3100">
        <w:t>: Aumento del número de turistas extranjeros con residencia secundaria propia en España (se duplicó en el período de la burbuja).</w:t>
      </w:r>
    </w:p>
    <w:p w14:paraId="5A23D00A" w14:textId="77777777" w:rsidR="00F52E8F" w:rsidRDefault="00F52E8F" w:rsidP="00F52E8F">
      <w:pPr>
        <w:pStyle w:val="Nivel3SM"/>
        <w:keepNext/>
      </w:pPr>
      <w:r w:rsidRPr="00EF2B67">
        <w:rPr>
          <w:i/>
          <w:iCs/>
        </w:rPr>
        <w:t>Vivienda como “activo refugio”</w:t>
      </w:r>
      <w:r w:rsidRPr="00C848A0">
        <w:t>:</w:t>
      </w:r>
      <w:r>
        <w:t xml:space="preserve"> La vivienda es vista como un bien especulativo:</w:t>
      </w:r>
    </w:p>
    <w:p w14:paraId="2AF10798" w14:textId="77777777" w:rsidR="00F52E8F" w:rsidRPr="008E3100" w:rsidRDefault="00F52E8F" w:rsidP="00F52E8F">
      <w:pPr>
        <w:pStyle w:val="Nivel4"/>
        <w:ind w:left="1474"/>
      </w:pPr>
      <w:r>
        <w:rPr>
          <w:i/>
          <w:iCs/>
        </w:rPr>
        <w:t>Incertidumbre</w:t>
      </w:r>
      <w:r w:rsidRPr="008E3100">
        <w:t>. Ante la crisis de las empresas punto.com, el ataque a las Torres Gemelas, la guerra de Irak, etc., muchos inversores comenzaron a ver las acciones como un instrumento con mayor riesgo que antes, y desviaron parte de su inversión hacia activos considerados más seguros, como el oro o la vivienda.</w:t>
      </w:r>
    </w:p>
    <w:p w14:paraId="7BBD24A3" w14:textId="77777777" w:rsidR="00F52E8F" w:rsidRDefault="00F52E8F" w:rsidP="00F52E8F">
      <w:pPr>
        <w:pStyle w:val="Nivel4"/>
        <w:ind w:left="1474"/>
      </w:pPr>
      <w:r w:rsidRPr="00EF2B67">
        <w:rPr>
          <w:i/>
          <w:iCs/>
        </w:rPr>
        <w:t>Altas expectativas de revalorización</w:t>
      </w:r>
      <w:r w:rsidRPr="008E3100">
        <w:t>:</w:t>
      </w:r>
      <w:r>
        <w:t xml:space="preserve"> </w:t>
      </w:r>
      <w:r w:rsidRPr="008E3100">
        <w:t>“Los precios de las casas nunca bajan”.</w:t>
      </w:r>
    </w:p>
    <w:p w14:paraId="223379ED" w14:textId="77777777" w:rsidR="00F52E8F" w:rsidRPr="008E3100" w:rsidRDefault="00F52E8F" w:rsidP="00F52E8F">
      <w:pPr>
        <w:pStyle w:val="Nivel4"/>
        <w:ind w:left="1474"/>
      </w:pPr>
      <w:r w:rsidRPr="00EF2B67">
        <w:rPr>
          <w:i/>
          <w:iCs/>
        </w:rPr>
        <w:t>Papel deficiente de las tasadoras</w:t>
      </w:r>
      <w:r w:rsidRPr="008E3100">
        <w:t>.</w:t>
      </w:r>
      <w:r>
        <w:t xml:space="preserve"> </w:t>
      </w:r>
      <w:r w:rsidRPr="008E3100">
        <w:t>La gran mayoría de las tasaciones se hacían por tasadoras pertenecientes a la entidad crediticia, por lo que tenían incentivos a aumentar el valor de tasación para aumentar el monto del crédito (y es que en España no se puede conceder un crédito por encima del 80</w:t>
      </w:r>
      <w:r>
        <w:t> </w:t>
      </w:r>
      <w:r w:rsidRPr="008E3100">
        <w:t>% del valor de tasación). Es decir, las tasadoras jugaron un papel similar al de las agencias de calificación.</w:t>
      </w:r>
    </w:p>
    <w:p w14:paraId="2BD9448D" w14:textId="77777777" w:rsidR="00F52E8F" w:rsidRPr="008E3100" w:rsidRDefault="00F52E8F" w:rsidP="00F52E8F">
      <w:pPr>
        <w:pStyle w:val="Nivel2SM"/>
        <w:keepNext/>
        <w:spacing w:after="0"/>
      </w:pPr>
      <w:r w:rsidRPr="00EF2B67">
        <w:rPr>
          <w:i/>
          <w:iCs/>
          <w:u w:val="single"/>
        </w:rPr>
        <w:t>Factores de oferta</w:t>
      </w:r>
      <w:r>
        <w:rPr>
          <w:i/>
          <w:iCs/>
        </w:rPr>
        <w:t xml:space="preserve"> (3)</w:t>
      </w:r>
      <w:r w:rsidRPr="008E3100">
        <w:t>:</w:t>
      </w:r>
    </w:p>
    <w:p w14:paraId="4927ABB1" w14:textId="77777777" w:rsidR="00F52E8F" w:rsidRPr="008E3100" w:rsidRDefault="00F52E8F" w:rsidP="00F52E8F">
      <w:pPr>
        <w:pStyle w:val="Nivel3SM"/>
      </w:pPr>
      <w:r w:rsidRPr="00EF2B67">
        <w:rPr>
          <w:i/>
          <w:iCs/>
        </w:rPr>
        <w:t>Aumento de los costes de construcción</w:t>
      </w:r>
      <w:r>
        <w:t xml:space="preserve">: </w:t>
      </w:r>
      <w:r w:rsidRPr="008E3100">
        <w:t>Precio de los materiales y de la mano de obra.</w:t>
      </w:r>
    </w:p>
    <w:p w14:paraId="11F2704F" w14:textId="77777777" w:rsidR="00F52E8F" w:rsidRPr="008E3100" w:rsidRDefault="00F52E8F" w:rsidP="00F52E8F">
      <w:pPr>
        <w:pStyle w:val="Nivel3SM"/>
      </w:pPr>
      <w:r w:rsidRPr="00EF2B67">
        <w:rPr>
          <w:i/>
          <w:iCs/>
        </w:rPr>
        <w:t>Oferta muy inelástica</w:t>
      </w:r>
      <w:r w:rsidRPr="008E3100">
        <w:t>.</w:t>
      </w:r>
      <w:r>
        <w:t xml:space="preserve"> </w:t>
      </w:r>
      <w:r w:rsidRPr="008E3100">
        <w:t>Como el suelo urbanizable presenta una oferta muy inelástica, los aumentos de la demanda y las políticas de demanda se trasladan significativamente al precio.</w:t>
      </w:r>
      <w:r>
        <w:t xml:space="preserve"> </w:t>
      </w:r>
      <w:r w:rsidRPr="008E3100">
        <w:t xml:space="preserve">De hecho, en algunas zonas el precio de la vivienda llegó a superar al de las </w:t>
      </w:r>
      <w:r w:rsidRPr="008E3100">
        <w:lastRenderedPageBreak/>
        <w:t>oficinas, por lo que en zonas como la Castellana se produjo una reconversión de edificios de oficinas a viviendas (cuando las oficinas generan unas rentas mucho mayores).</w:t>
      </w:r>
    </w:p>
    <w:p w14:paraId="1CCB335C" w14:textId="77777777" w:rsidR="00F52E8F" w:rsidRPr="008E3100" w:rsidRDefault="00F52E8F" w:rsidP="00F52E8F">
      <w:pPr>
        <w:pStyle w:val="Nivel3SM"/>
      </w:pPr>
      <w:r w:rsidRPr="00EF2B67">
        <w:rPr>
          <w:i/>
          <w:iCs/>
        </w:rPr>
        <w:t>Escasa oferta de alquiler</w:t>
      </w:r>
      <w:r w:rsidRPr="008E3100">
        <w:t>.</w:t>
      </w:r>
    </w:p>
    <w:p w14:paraId="3A7E0DCA" w14:textId="77777777" w:rsidR="00F52E8F" w:rsidRPr="008E3100" w:rsidRDefault="00F52E8F" w:rsidP="00F52E8F">
      <w:pPr>
        <w:pStyle w:val="Ttulo7"/>
      </w:pPr>
      <w:r w:rsidRPr="008E3100">
        <w:t>Estallido de la burbuja</w:t>
      </w:r>
    </w:p>
    <w:p w14:paraId="10E3CF29" w14:textId="77777777" w:rsidR="00F52E8F" w:rsidRPr="008E3100" w:rsidRDefault="00F52E8F" w:rsidP="00F52E8F">
      <w:pPr>
        <w:pStyle w:val="Nivel2SM"/>
        <w:keepNext/>
        <w:spacing w:after="0"/>
      </w:pPr>
      <w:r w:rsidRPr="008E3100">
        <w:t>El estallido de la burbuja viene precedido por el impacto indirecto de la crisis:</w:t>
      </w:r>
    </w:p>
    <w:p w14:paraId="0E8F0408" w14:textId="77777777" w:rsidR="00F52E8F" w:rsidRPr="00EA7BE4" w:rsidRDefault="00F52E8F" w:rsidP="00F52E8F">
      <w:pPr>
        <w:pStyle w:val="Nivel3SM"/>
        <w:rPr>
          <w:spacing w:val="-4"/>
        </w:rPr>
      </w:pPr>
      <w:r w:rsidRPr="00EA7BE4">
        <w:rPr>
          <w:spacing w:val="-4"/>
        </w:rPr>
        <w:t>La caída de Lehman Brothers no afecta directamente la solvencia de los bancos nacionales basados en una estrategia de originar para mantener. No obstante</w:t>
      </w:r>
      <w:r>
        <w:rPr>
          <w:spacing w:val="-4"/>
        </w:rPr>
        <w:t>,</w:t>
      </w:r>
      <w:r w:rsidRPr="00EA7BE4">
        <w:rPr>
          <w:spacing w:val="-4"/>
        </w:rPr>
        <w:t xml:space="preserve"> la titulización de las hipotecas subprime americanas enfrían los mercados interbancarios internacionales, los cuales representaban la principal fuente de financiación de las entidades de crédito nacionales.</w:t>
      </w:r>
    </w:p>
    <w:p w14:paraId="1F9A59DC" w14:textId="77777777" w:rsidR="00F52E8F" w:rsidRPr="008E3100" w:rsidRDefault="00F52E8F" w:rsidP="00F52E8F">
      <w:pPr>
        <w:pStyle w:val="Nivel3SM"/>
      </w:pPr>
      <w:r w:rsidRPr="008E3100">
        <w:t>Esto llevó a un racionamiento de crédito que provocó pérdidas a empresas de construcción y promotores inmobiliarios y a una disminución de la demanda de vivienda provocando así una caída de los precios de los activos.</w:t>
      </w:r>
    </w:p>
    <w:p w14:paraId="7F76142D" w14:textId="77777777" w:rsidR="00F52E8F" w:rsidRPr="00725813" w:rsidRDefault="00F52E8F" w:rsidP="00F52E8F">
      <w:pPr>
        <w:pStyle w:val="Ttulo7"/>
      </w:pPr>
      <w:r w:rsidRPr="008E3100">
        <w:t>Consecuencias del estallido</w:t>
      </w:r>
    </w:p>
    <w:p w14:paraId="6FF0F895" w14:textId="77777777" w:rsidR="00F52E8F" w:rsidRPr="008E3100" w:rsidRDefault="00F52E8F" w:rsidP="00F52E8F">
      <w:pPr>
        <w:pStyle w:val="Nivel2SM"/>
        <w:keepNext/>
        <w:spacing w:after="0"/>
      </w:pPr>
      <w:r w:rsidRPr="008E3100">
        <w:t xml:space="preserve">Las principales </w:t>
      </w:r>
      <w:r w:rsidRPr="00EA7BE4">
        <w:rPr>
          <w:b/>
          <w:bCs/>
        </w:rPr>
        <w:t>consecuencias</w:t>
      </w:r>
      <w:r w:rsidRPr="008E3100">
        <w:t xml:space="preserve"> del estallido fueron:</w:t>
      </w:r>
    </w:p>
    <w:p w14:paraId="0A7D5E40" w14:textId="77777777" w:rsidR="00F52E8F" w:rsidRPr="008E3100" w:rsidRDefault="00F52E8F" w:rsidP="00F52E8F">
      <w:pPr>
        <w:pStyle w:val="Nivel3SM"/>
        <w:keepNext/>
      </w:pPr>
      <w:r w:rsidRPr="00EA7BE4">
        <w:rPr>
          <w:i/>
          <w:iCs/>
        </w:rPr>
        <w:t>Desempleo masivo</w:t>
      </w:r>
      <w:r w:rsidRPr="008E3100">
        <w:t>, dado que:</w:t>
      </w:r>
    </w:p>
    <w:p w14:paraId="069562F1" w14:textId="77777777" w:rsidR="00F52E8F" w:rsidRPr="008E3100" w:rsidRDefault="00F52E8F" w:rsidP="00F52E8F">
      <w:pPr>
        <w:pStyle w:val="Nivel4"/>
        <w:ind w:left="1474"/>
      </w:pPr>
      <w:r w:rsidRPr="008E3100">
        <w:t>La construcción es un sector muy intensivo en mano de obra.</w:t>
      </w:r>
    </w:p>
    <w:p w14:paraId="2C01790A" w14:textId="77777777" w:rsidR="00F52E8F" w:rsidRPr="00EA7BE4" w:rsidRDefault="00F52E8F" w:rsidP="00F52E8F">
      <w:pPr>
        <w:pStyle w:val="Nivel4"/>
        <w:ind w:left="1474"/>
        <w:rPr>
          <w:spacing w:val="-2"/>
        </w:rPr>
      </w:pPr>
      <w:r w:rsidRPr="00EA7BE4">
        <w:rPr>
          <w:spacing w:val="-2"/>
        </w:rPr>
        <w:t>La construcción presenta importantes eslabonamientos con muchas otras actividades.</w:t>
      </w:r>
    </w:p>
    <w:p w14:paraId="4F8D4508" w14:textId="77777777" w:rsidR="00F52E8F" w:rsidRPr="008E3100" w:rsidRDefault="00F52E8F" w:rsidP="00F52E8F">
      <w:pPr>
        <w:pStyle w:val="Nivel3SM"/>
        <w:keepNext/>
      </w:pPr>
      <w:r w:rsidRPr="001520F6">
        <w:rPr>
          <w:i/>
          <w:iCs/>
        </w:rPr>
        <w:t>Disminución de la renta disponible de los hogares</w:t>
      </w:r>
      <w:r>
        <w:t xml:space="preserve">, lo </w:t>
      </w:r>
      <w:r w:rsidRPr="008E3100">
        <w:t>que empeora la situación económica debido a:</w:t>
      </w:r>
    </w:p>
    <w:p w14:paraId="799E19EC" w14:textId="77777777" w:rsidR="00F52E8F" w:rsidRPr="008E3100" w:rsidRDefault="00F52E8F" w:rsidP="00F52E8F">
      <w:pPr>
        <w:pStyle w:val="Nivel4"/>
        <w:ind w:left="1474"/>
      </w:pPr>
      <w:r w:rsidRPr="008E3100">
        <w:t>Aumento de la morosidad</w:t>
      </w:r>
      <w:r>
        <w:t>.</w:t>
      </w:r>
    </w:p>
    <w:p w14:paraId="415560A8" w14:textId="77777777" w:rsidR="00F52E8F" w:rsidRPr="008E3100" w:rsidRDefault="00F52E8F" w:rsidP="00F52E8F">
      <w:pPr>
        <w:pStyle w:val="Nivel4"/>
        <w:ind w:left="1474"/>
      </w:pPr>
      <w:r w:rsidRPr="008E3100">
        <w:t>Disminución del consumo.</w:t>
      </w:r>
    </w:p>
    <w:p w14:paraId="0369D27E" w14:textId="77777777" w:rsidR="00F52E8F" w:rsidRPr="001520F6" w:rsidRDefault="00F52E8F" w:rsidP="00F52E8F">
      <w:pPr>
        <w:pStyle w:val="Nivel3SM"/>
      </w:pPr>
      <w:r w:rsidRPr="001520F6">
        <w:rPr>
          <w:i/>
          <w:iCs/>
        </w:rPr>
        <w:t>Difícil reconversión</w:t>
      </w:r>
      <w:r w:rsidRPr="001520F6">
        <w:t>, debido a la escasa cualificación de la mano de obra del sector.</w:t>
      </w:r>
    </w:p>
    <w:p w14:paraId="0DBCEDDD" w14:textId="77777777" w:rsidR="00F52E8F" w:rsidRPr="00EA7B74" w:rsidRDefault="00F52E8F" w:rsidP="00F52E8F">
      <w:pPr>
        <w:pStyle w:val="Nivel3SM"/>
        <w:rPr>
          <w:spacing w:val="-4"/>
        </w:rPr>
      </w:pPr>
      <w:r w:rsidRPr="00EA7B74">
        <w:rPr>
          <w:i/>
          <w:iCs/>
          <w:spacing w:val="-4"/>
        </w:rPr>
        <w:t>Elevado endeudamiento privado y del sector público</w:t>
      </w:r>
      <w:r w:rsidRPr="00EA7B74">
        <w:rPr>
          <w:spacing w:val="-4"/>
        </w:rPr>
        <w:t>, lo que genera un alto déficit exterior y público.</w:t>
      </w:r>
    </w:p>
    <w:p w14:paraId="23FDF2B5" w14:textId="77777777" w:rsidR="00F52E8F" w:rsidRPr="001520F6" w:rsidRDefault="00F52E8F" w:rsidP="00F52E8F">
      <w:pPr>
        <w:pStyle w:val="Nivel3SM"/>
      </w:pPr>
      <w:r w:rsidRPr="001520F6">
        <w:rPr>
          <w:i/>
          <w:iCs/>
        </w:rPr>
        <w:t>Problemas de solvencia del sistema financiero</w:t>
      </w:r>
      <w:r w:rsidRPr="001520F6">
        <w:t>, por la morosidad tanto del crédito hipotecario como del crédito promotor.</w:t>
      </w:r>
    </w:p>
    <w:p w14:paraId="6054BECD" w14:textId="77777777" w:rsidR="00F52E8F" w:rsidRPr="001520F6" w:rsidRDefault="00F52E8F" w:rsidP="00F52E8F">
      <w:pPr>
        <w:pStyle w:val="Nivel3SM"/>
      </w:pPr>
      <w:r w:rsidRPr="001520F6">
        <w:rPr>
          <w:i/>
          <w:iCs/>
        </w:rPr>
        <w:t>Reducción del crédito</w:t>
      </w:r>
      <w:r w:rsidRPr="001520F6">
        <w:t>, lo que estrangula a las pymes al ser prácticamente su único medio de financiación (y nuestro tejido empresarial se compone en su gran mayoría de pymes).</w:t>
      </w:r>
    </w:p>
    <w:p w14:paraId="2E28AF64" w14:textId="77777777" w:rsidR="00F52E8F" w:rsidRPr="008E3100" w:rsidRDefault="00F52E8F" w:rsidP="00F52E8F">
      <w:pPr>
        <w:pStyle w:val="Nivel3SM"/>
      </w:pPr>
      <w:r w:rsidRPr="001520F6">
        <w:rPr>
          <w:i/>
          <w:iCs/>
        </w:rPr>
        <w:t>Histéresis o persistencia del desempleo</w:t>
      </w:r>
      <w:r w:rsidRPr="001520F6">
        <w:t xml:space="preserve"> por todas </w:t>
      </w:r>
      <w:r w:rsidRPr="008E3100">
        <w:t>las razones anteriores.</w:t>
      </w:r>
    </w:p>
    <w:p w14:paraId="69DD5EE6" w14:textId="77777777" w:rsidR="00F52E8F" w:rsidRPr="008E3100" w:rsidRDefault="00F52E8F" w:rsidP="00F52E8F">
      <w:pPr>
        <w:pStyle w:val="Ttulo6"/>
      </w:pPr>
      <w:r w:rsidRPr="008E3100">
        <w:t>Precios de la vivienda en la actualidad</w:t>
      </w:r>
    </w:p>
    <w:p w14:paraId="6C8E9A02" w14:textId="77777777" w:rsidR="00F52E8F" w:rsidRPr="008E3100" w:rsidRDefault="00F52E8F" w:rsidP="00F52E8F">
      <w:pPr>
        <w:pStyle w:val="Ttulo7"/>
        <w:spacing w:before="0"/>
      </w:pPr>
      <w:r>
        <w:t>Antes de la pandemia</w:t>
      </w:r>
    </w:p>
    <w:p w14:paraId="35B7339E" w14:textId="77777777" w:rsidR="00F52E8F" w:rsidRDefault="00F52E8F" w:rsidP="00F52E8F">
      <w:pPr>
        <w:pStyle w:val="Nivel2SM"/>
        <w:keepNext/>
        <w:spacing w:after="0"/>
      </w:pPr>
      <w:r w:rsidRPr="008E3100">
        <w:t>A</w:t>
      </w:r>
      <w:r>
        <w:t xml:space="preserve">ntes de la pandemia, </w:t>
      </w:r>
      <w:r w:rsidRPr="008E3100">
        <w:t xml:space="preserve">hemos asistido a una vuelta al crecimiento del precio residencial en las principales ciudades y regiones costeras españolas. </w:t>
      </w:r>
    </w:p>
    <w:p w14:paraId="5043F5A9" w14:textId="77777777" w:rsidR="00F52E8F" w:rsidRDefault="00F52E8F" w:rsidP="00F52E8F">
      <w:pPr>
        <w:pStyle w:val="Nivel3SM"/>
      </w:pPr>
      <w:r w:rsidRPr="003D2F25">
        <w:t>¿Hacia una nueva burbuja?</w:t>
      </w:r>
    </w:p>
    <w:p w14:paraId="5A343640" w14:textId="284C3DBC" w:rsidR="00F52E8F" w:rsidRPr="004646DB" w:rsidRDefault="00F52E8F" w:rsidP="00F52E8F">
      <w:pPr>
        <w:pStyle w:val="Ttuloimagen"/>
        <w:rPr>
          <w:smallCaps w:val="0"/>
        </w:rPr>
      </w:pPr>
      <w:r>
        <w:lastRenderedPageBreak/>
        <w:t>Imagen </w:t>
      </w:r>
      <w:r>
        <w:fldChar w:fldCharType="begin"/>
      </w:r>
      <w:r>
        <w:instrText xml:space="preserve"> SEQ Ilustración \* ARABIC </w:instrText>
      </w:r>
      <w:r>
        <w:fldChar w:fldCharType="separate"/>
      </w:r>
      <w:r w:rsidR="009D598E">
        <w:t>1</w:t>
      </w:r>
      <w:r>
        <w:fldChar w:fldCharType="end"/>
      </w:r>
      <w:r>
        <w:rPr>
          <w:smallCaps w:val="0"/>
        </w:rPr>
        <w:t xml:space="preserve">.– </w:t>
      </w:r>
      <w:r>
        <w:rPr>
          <w:i/>
          <w:iCs/>
          <w:smallCaps w:val="0"/>
        </w:rPr>
        <w:t>Evolución del precio de la vivienda en España (2001-2022) y en Madrid y Barcelona</w:t>
      </w:r>
    </w:p>
    <w:p w14:paraId="201217A2" w14:textId="77777777" w:rsidR="00F52E8F" w:rsidRDefault="00F52E8F" w:rsidP="00F52E8F">
      <w:pPr>
        <w:pStyle w:val="Imagen"/>
      </w:pPr>
      <w:r w:rsidRPr="008E3100">
        <w:drawing>
          <wp:inline distT="0" distB="0" distL="0" distR="0" wp14:anchorId="538202E2" wp14:editId="3C0B1832">
            <wp:extent cx="3091591" cy="1440000"/>
            <wp:effectExtent l="0" t="0" r="0" b="8255"/>
            <wp:docPr id="1" name="Imagen 1" descr="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de líneas&#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091591" cy="1440000"/>
                    </a:xfrm>
                    <a:prstGeom prst="rect">
                      <a:avLst/>
                    </a:prstGeom>
                    <a:noFill/>
                    <a:ln>
                      <a:noFill/>
                    </a:ln>
                  </pic:spPr>
                </pic:pic>
              </a:graphicData>
            </a:graphic>
          </wp:inline>
        </w:drawing>
      </w:r>
      <w:r w:rsidRPr="004646DB">
        <w:drawing>
          <wp:inline distT="0" distB="0" distL="0" distR="0" wp14:anchorId="7708E364" wp14:editId="20D67120">
            <wp:extent cx="3098620" cy="1440000"/>
            <wp:effectExtent l="0" t="0" r="6985" b="8255"/>
            <wp:docPr id="701941805"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41805" name="Imagen 1" descr="Gráfico, Gráfico de líneas&#10;&#10;Descripción generada automáticamente"/>
                    <pic:cNvPicPr/>
                  </pic:nvPicPr>
                  <pic:blipFill>
                    <a:blip r:embed="rId12"/>
                    <a:stretch>
                      <a:fillRect/>
                    </a:stretch>
                  </pic:blipFill>
                  <pic:spPr>
                    <a:xfrm>
                      <a:off x="0" y="0"/>
                      <a:ext cx="3098620" cy="1440000"/>
                    </a:xfrm>
                    <a:prstGeom prst="rect">
                      <a:avLst/>
                    </a:prstGeom>
                  </pic:spPr>
                </pic:pic>
              </a:graphicData>
            </a:graphic>
          </wp:inline>
        </w:drawing>
      </w:r>
    </w:p>
    <w:p w14:paraId="71216848" w14:textId="77777777" w:rsidR="00F52E8F" w:rsidRPr="004646DB" w:rsidRDefault="00F52E8F" w:rsidP="00F52E8F">
      <w:pPr>
        <w:pStyle w:val="PiedeImagen"/>
        <w:rPr>
          <w:i w:val="0"/>
          <w:iCs/>
        </w:rPr>
      </w:pPr>
      <w:r>
        <w:t>Fuente</w:t>
      </w:r>
      <w:r>
        <w:rPr>
          <w:i w:val="0"/>
          <w:iCs/>
        </w:rPr>
        <w:t xml:space="preserve">: </w:t>
      </w:r>
      <w:hyperlink r:id="rId13" w:history="1">
        <w:r w:rsidRPr="00085F90">
          <w:rPr>
            <w:rStyle w:val="Hipervnculo"/>
            <w:i w:val="0"/>
            <w:iCs/>
          </w:rPr>
          <w:t>https://www.tinsa.es/precio-vivienda/</w:t>
        </w:r>
      </w:hyperlink>
    </w:p>
    <w:p w14:paraId="29AA8878" w14:textId="77777777" w:rsidR="00F52E8F" w:rsidRPr="008E3100" w:rsidRDefault="00F52E8F" w:rsidP="00F52E8F">
      <w:pPr>
        <w:pStyle w:val="Nivel3SM"/>
      </w:pPr>
      <w:r>
        <w:t>A</w:t>
      </w:r>
      <w:r w:rsidRPr="008E3100">
        <w:t>unque los precios en Madrid y Barcelona permanecen lejos de su nivel máximo alcanzado en 2007, 4.500</w:t>
      </w:r>
      <w:r>
        <w:t> </w:t>
      </w:r>
      <w:r w:rsidRPr="008E3100">
        <w:t>€/m</w:t>
      </w:r>
      <w:r w:rsidRPr="00A75321">
        <w:rPr>
          <w:vertAlign w:val="superscript"/>
        </w:rPr>
        <w:t>2</w:t>
      </w:r>
      <w:r w:rsidRPr="008E3100">
        <w:t xml:space="preserve"> y 4.000</w:t>
      </w:r>
      <w:r>
        <w:t> </w:t>
      </w:r>
      <w:r w:rsidRPr="008E3100">
        <w:t>€/m</w:t>
      </w:r>
      <w:r w:rsidRPr="00A75321">
        <w:rPr>
          <w:vertAlign w:val="superscript"/>
        </w:rPr>
        <w:t>2</w:t>
      </w:r>
      <w:r w:rsidRPr="008E3100">
        <w:t xml:space="preserve"> respectivamente, desde 2014 los precios siguen una senda al alza registrando en la actualidad 3.500</w:t>
      </w:r>
      <w:r>
        <w:t> </w:t>
      </w:r>
      <w:r w:rsidRPr="008E3100">
        <w:t>€/m</w:t>
      </w:r>
      <w:r w:rsidRPr="00A75321">
        <w:rPr>
          <w:vertAlign w:val="superscript"/>
        </w:rPr>
        <w:t>2</w:t>
      </w:r>
      <w:r>
        <w:t xml:space="preserve"> en ambos municipios</w:t>
      </w:r>
      <w:r w:rsidRPr="008E3100">
        <w:t>.</w:t>
      </w:r>
    </w:p>
    <w:p w14:paraId="0E42363E" w14:textId="77777777" w:rsidR="00F52E8F" w:rsidRPr="00725813" w:rsidRDefault="00F52E8F" w:rsidP="00F52E8F">
      <w:pPr>
        <w:pStyle w:val="Nivel2SM"/>
      </w:pPr>
      <w:r w:rsidRPr="008E3100">
        <w:t xml:space="preserve">En términos generales (al margen de las diferencias territoriales) desde el nivel de precios más bajo, los </w:t>
      </w:r>
      <w:r w:rsidRPr="008E3100">
        <w:rPr>
          <w:b/>
        </w:rPr>
        <w:t xml:space="preserve">precios han aumentado en un </w:t>
      </w:r>
      <w:r>
        <w:rPr>
          <w:b/>
        </w:rPr>
        <w:t>31,7 </w:t>
      </w:r>
      <w:r w:rsidRPr="008E3100">
        <w:rPr>
          <w:b/>
        </w:rPr>
        <w:t>%</w:t>
      </w:r>
      <w:r>
        <w:rPr>
          <w:bCs/>
        </w:rPr>
        <w:t xml:space="preserve"> (desde un mínimo de 1.290 €/m</w:t>
      </w:r>
      <w:r w:rsidRPr="00D56497">
        <w:rPr>
          <w:bCs/>
          <w:vertAlign w:val="superscript"/>
        </w:rPr>
        <w:t>2</w:t>
      </w:r>
      <w:r>
        <w:rPr>
          <w:bCs/>
        </w:rPr>
        <w:t xml:space="preserve"> en 2015 hasta 1.700 €/m</w:t>
      </w:r>
      <w:r w:rsidRPr="00D56497">
        <w:rPr>
          <w:bCs/>
          <w:vertAlign w:val="superscript"/>
        </w:rPr>
        <w:t>2</w:t>
      </w:r>
      <w:r>
        <w:rPr>
          <w:bCs/>
        </w:rPr>
        <w:t xml:space="preserve"> en el segundo trimestre de 2022)</w:t>
      </w:r>
      <w:r w:rsidRPr="008E3100">
        <w:t xml:space="preserve">. No obstante, siguen un </w:t>
      </w:r>
      <w:r>
        <w:rPr>
          <w:b/>
        </w:rPr>
        <w:t>21 </w:t>
      </w:r>
      <w:r w:rsidRPr="008E3100">
        <w:rPr>
          <w:b/>
        </w:rPr>
        <w:t>% por debajo de los precios máximos de 2007</w:t>
      </w:r>
      <w:r>
        <w:rPr>
          <w:bCs/>
        </w:rPr>
        <w:t xml:space="preserve"> (2.154 €/m</w:t>
      </w:r>
      <w:r w:rsidRPr="00D56497">
        <w:rPr>
          <w:bCs/>
          <w:vertAlign w:val="superscript"/>
        </w:rPr>
        <w:t>2</w:t>
      </w:r>
      <w:r>
        <w:rPr>
          <w:bCs/>
        </w:rPr>
        <w:t>)</w:t>
      </w:r>
      <w:r w:rsidRPr="008E3100">
        <w:t>.</w:t>
      </w:r>
    </w:p>
    <w:p w14:paraId="1D27A96A" w14:textId="77777777" w:rsidR="00F52E8F" w:rsidRPr="00725813" w:rsidRDefault="00F52E8F" w:rsidP="00F52E8F">
      <w:pPr>
        <w:pStyle w:val="Ttulo7"/>
      </w:pPr>
      <w:r w:rsidRPr="008E3100">
        <w:t>Factores</w:t>
      </w:r>
    </w:p>
    <w:p w14:paraId="159B0687" w14:textId="77777777" w:rsidR="00F52E8F" w:rsidRPr="008E3100" w:rsidRDefault="00F52E8F" w:rsidP="00F52E8F">
      <w:pPr>
        <w:pStyle w:val="Nivel2SM"/>
        <w:keepNext/>
        <w:spacing w:after="0"/>
      </w:pPr>
      <w:r w:rsidRPr="008E3100">
        <w:t>¿Qué factores han llevado a dicho aumento de precios?</w:t>
      </w:r>
    </w:p>
    <w:p w14:paraId="7756134D" w14:textId="77777777" w:rsidR="00F52E8F" w:rsidRPr="00BE53B3" w:rsidRDefault="00F52E8F" w:rsidP="00F52E8F">
      <w:pPr>
        <w:pStyle w:val="Nivel3SM"/>
        <w:keepNext/>
      </w:pPr>
      <w:r w:rsidRPr="00032962">
        <w:rPr>
          <w:i/>
          <w:iCs/>
        </w:rPr>
        <w:t>Tipos de interés</w:t>
      </w:r>
      <w:r>
        <w:t>:</w:t>
      </w:r>
    </w:p>
    <w:p w14:paraId="3C2F5BE5" w14:textId="77777777" w:rsidR="00F52E8F" w:rsidRPr="008E3100" w:rsidRDefault="00F52E8F" w:rsidP="00F52E8F">
      <w:pPr>
        <w:pStyle w:val="Nivel4"/>
        <w:ind w:left="1474"/>
      </w:pPr>
      <w:r w:rsidRPr="008E3100">
        <w:t xml:space="preserve">Desde el 2009 y hasta </w:t>
      </w:r>
      <w:r>
        <w:t>después de la crisis ocasionada por la pandemia,</w:t>
      </w:r>
      <w:r w:rsidRPr="008E3100">
        <w:t xml:space="preserve"> la mayoría de </w:t>
      </w:r>
      <w:r>
        <w:t>bancos centrales</w:t>
      </w:r>
      <w:r w:rsidRPr="008E3100">
        <w:t xml:space="preserve"> de los </w:t>
      </w:r>
      <w:r>
        <w:t>países desarrollados</w:t>
      </w:r>
      <w:r w:rsidRPr="008E3100">
        <w:t>, ha mantenido los tipos de interés de referencia cercanos a cero.</w:t>
      </w:r>
    </w:p>
    <w:p w14:paraId="7FE541D2" w14:textId="77777777" w:rsidR="00F52E8F" w:rsidRPr="008E3100" w:rsidRDefault="00F52E8F" w:rsidP="00F52E8F">
      <w:pPr>
        <w:pStyle w:val="Nivel4"/>
        <w:ind w:left="1474"/>
      </w:pPr>
      <w:r w:rsidRPr="008E3100">
        <w:t xml:space="preserve">En </w:t>
      </w:r>
      <w:r>
        <w:t>a</w:t>
      </w:r>
      <w:r w:rsidRPr="008E3100">
        <w:t xml:space="preserve">bril de 2019, </w:t>
      </w:r>
      <w:r w:rsidRPr="007B2032">
        <w:rPr>
          <w:smallCaps/>
        </w:rPr>
        <w:t>Larry Summers</w:t>
      </w:r>
      <w:r w:rsidRPr="008E3100">
        <w:t xml:space="preserve"> junto con </w:t>
      </w:r>
      <w:r w:rsidRPr="00C72921">
        <w:rPr>
          <w:smallCaps/>
        </w:rPr>
        <w:t>Łukasz</w:t>
      </w:r>
      <w:r w:rsidRPr="007B2032">
        <w:rPr>
          <w:smallCaps/>
        </w:rPr>
        <w:t xml:space="preserve"> Rachel</w:t>
      </w:r>
      <w:r w:rsidRPr="008E3100">
        <w:t xml:space="preserve"> publicaron un importante artículo reflejando la actual situación de estancamiento secular (ahorro privado muy por encima de la inversión privada) que vivían las economías de los principales </w:t>
      </w:r>
      <w:r>
        <w:t>países desarrollados</w:t>
      </w:r>
      <w:r w:rsidRPr="008E3100">
        <w:t xml:space="preserve"> y que había provocado una situación de ti</w:t>
      </w:r>
      <w:r>
        <w:t>pos de interés</w:t>
      </w:r>
      <w:r w:rsidRPr="008E3100">
        <w:t xml:space="preserve"> reales negativos.</w:t>
      </w:r>
    </w:p>
    <w:p w14:paraId="191B0922" w14:textId="77777777" w:rsidR="00F52E8F" w:rsidRPr="004F51D6" w:rsidRDefault="00F52E8F" w:rsidP="00F52E8F">
      <w:pPr>
        <w:pStyle w:val="Nivel3SM"/>
      </w:pPr>
      <w:r w:rsidRPr="004F51D6">
        <w:rPr>
          <w:i/>
          <w:iCs/>
        </w:rPr>
        <w:t>Demanda internacional</w:t>
      </w:r>
      <w:r w:rsidRPr="004F51D6">
        <w:t>: El porcentaje se situó en el 13 % en 2018. Pero la media encubre diferencias enormes como la que se da entre Alicante (40,75 %) y Lugo (0,37 %).</w:t>
      </w:r>
    </w:p>
    <w:p w14:paraId="3D3A09EF" w14:textId="77777777" w:rsidR="00F52E8F" w:rsidRPr="004F51D6" w:rsidRDefault="00F52E8F" w:rsidP="00F52E8F">
      <w:pPr>
        <w:pStyle w:val="Nivel3SM"/>
      </w:pPr>
      <w:r w:rsidRPr="004F51D6">
        <w:rPr>
          <w:i/>
          <w:iCs/>
        </w:rPr>
        <w:t>Demanda de fondos de inversión</w:t>
      </w:r>
      <w:r w:rsidRPr="004F51D6">
        <w:t>: En el conjunto de España, hasta un 13 % del total de operaciones de compra del 2018 fueron realizadas por personas jurídicas.</w:t>
      </w:r>
    </w:p>
    <w:p w14:paraId="769BF295" w14:textId="77777777" w:rsidR="00F52E8F" w:rsidRPr="004F51D6" w:rsidRDefault="00F52E8F" w:rsidP="00F52E8F">
      <w:pPr>
        <w:pStyle w:val="Nivel3SM"/>
      </w:pPr>
      <w:r w:rsidRPr="004F51D6">
        <w:rPr>
          <w:i/>
          <w:iCs/>
        </w:rPr>
        <w:t>Concentración de la población en grandes ciudades</w:t>
      </w:r>
      <w:r w:rsidRPr="004F51D6">
        <w:t>: Tal y como se ha puesto de manifiesto el éxodo poblacional a lo largo de ésta última década ha llevado a que aumente la demanda considerablemente (aunque este último factor afecta sobre todo al alquiler).</w:t>
      </w:r>
    </w:p>
    <w:p w14:paraId="57B63963" w14:textId="77777777" w:rsidR="00F52E8F" w:rsidRPr="00725813" w:rsidRDefault="00F52E8F" w:rsidP="00F52E8F">
      <w:pPr>
        <w:pStyle w:val="Nivel3SM"/>
      </w:pPr>
      <w:r w:rsidRPr="004F51D6">
        <w:rPr>
          <w:i/>
          <w:iCs/>
        </w:rPr>
        <w:t>Falta de oferta en grandes ciudades</w:t>
      </w:r>
      <w:r w:rsidRPr="004F51D6">
        <w:t>: A pesar del enorme stock de viviendas aún sin vender, lo cierto es que en zonas</w:t>
      </w:r>
      <w:r w:rsidRPr="00063A43">
        <w:t xml:space="preserve"> como Madrid o Barcelona existe cierta escasez de oferta. Y es que el tiempo de disolución del stock de vivienda en ambas ciudades se sitúa en mínimos 1</w:t>
      </w:r>
      <w:r>
        <w:t>,</w:t>
      </w:r>
      <w:r w:rsidRPr="00063A43">
        <w:t>6 y 2</w:t>
      </w:r>
      <w:r>
        <w:t> </w:t>
      </w:r>
      <w:r w:rsidRPr="00063A43">
        <w:t>años respectivamente.</w:t>
      </w:r>
    </w:p>
    <w:p w14:paraId="04C45D2A" w14:textId="77777777" w:rsidR="00F52E8F" w:rsidRPr="00533782" w:rsidRDefault="00F52E8F" w:rsidP="00F52E8F">
      <w:pPr>
        <w:pStyle w:val="Nivel2SM"/>
        <w:rPr>
          <w:u w:val="single"/>
        </w:rPr>
      </w:pPr>
      <w:r>
        <w:rPr>
          <w:u w:val="single"/>
        </w:rPr>
        <w:t>Nota al opositor</w:t>
      </w:r>
      <w:r w:rsidRPr="006178E3">
        <w:t xml:space="preserve">: </w:t>
      </w:r>
      <w:r>
        <w:t xml:space="preserve">Centrarse menos en </w:t>
      </w:r>
      <w:r w:rsidRPr="006178E3">
        <w:t>burbuja inmobiliaria</w:t>
      </w:r>
      <w:r>
        <w:t xml:space="preserve"> y m</w:t>
      </w:r>
      <w:r w:rsidRPr="006178E3">
        <w:t xml:space="preserve">ás </w:t>
      </w:r>
      <w:r>
        <w:t xml:space="preserve">en </w:t>
      </w:r>
      <w:r w:rsidRPr="006178E3">
        <w:t>p.ej. en que la oferta es menor que la demanda en BCN, MAD</w:t>
      </w:r>
      <w:r>
        <w:t>…, eficiencia energética…</w:t>
      </w:r>
    </w:p>
    <w:p w14:paraId="7C36D1B2" w14:textId="438CAFE0" w:rsidR="00F52E8F" w:rsidRPr="004646DB" w:rsidRDefault="00F52E8F" w:rsidP="00F52E8F">
      <w:pPr>
        <w:pStyle w:val="Ttuloimagen"/>
        <w:rPr>
          <w:smallCaps w:val="0"/>
        </w:rPr>
      </w:pPr>
      <w:r>
        <w:lastRenderedPageBreak/>
        <w:t>Imagen </w:t>
      </w:r>
      <w:r>
        <w:fldChar w:fldCharType="begin"/>
      </w:r>
      <w:r>
        <w:instrText xml:space="preserve"> SEQ Ilustración \* ARABIC </w:instrText>
      </w:r>
      <w:r>
        <w:fldChar w:fldCharType="separate"/>
      </w:r>
      <w:r w:rsidR="009D598E">
        <w:t>2</w:t>
      </w:r>
      <w:r>
        <w:fldChar w:fldCharType="end"/>
      </w:r>
      <w:r>
        <w:rPr>
          <w:smallCaps w:val="0"/>
        </w:rPr>
        <w:t xml:space="preserve">.– </w:t>
      </w:r>
      <w:r>
        <w:rPr>
          <w:i/>
          <w:iCs/>
          <w:smallCaps w:val="0"/>
        </w:rPr>
        <w:t>Comparativa de la evolución del precio de la vivienda en Palencia y Madrid (2001-2022)</w:t>
      </w:r>
    </w:p>
    <w:p w14:paraId="5E1797C4" w14:textId="77777777" w:rsidR="00F52E8F" w:rsidRDefault="00F52E8F" w:rsidP="00F52E8F">
      <w:pPr>
        <w:pStyle w:val="Imagen"/>
      </w:pPr>
      <w:r w:rsidRPr="005452D4">
        <w:drawing>
          <wp:inline distT="0" distB="0" distL="0" distR="0" wp14:anchorId="7A9BE44F" wp14:editId="69855B43">
            <wp:extent cx="3476625" cy="1641639"/>
            <wp:effectExtent l="0" t="0" r="0" b="0"/>
            <wp:docPr id="965399846"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399846" name="Imagen 1" descr="Interfaz de usuario gráfica&#10;&#10;Descripción generada automáticamente"/>
                    <pic:cNvPicPr/>
                  </pic:nvPicPr>
                  <pic:blipFill>
                    <a:blip r:embed="rId14"/>
                    <a:stretch>
                      <a:fillRect/>
                    </a:stretch>
                  </pic:blipFill>
                  <pic:spPr>
                    <a:xfrm>
                      <a:off x="0" y="0"/>
                      <a:ext cx="3489576" cy="1647755"/>
                    </a:xfrm>
                    <a:prstGeom prst="rect">
                      <a:avLst/>
                    </a:prstGeom>
                  </pic:spPr>
                </pic:pic>
              </a:graphicData>
            </a:graphic>
          </wp:inline>
        </w:drawing>
      </w:r>
    </w:p>
    <w:p w14:paraId="4A262F04" w14:textId="77777777" w:rsidR="00F52E8F" w:rsidRPr="004646DB" w:rsidRDefault="00F52E8F" w:rsidP="00F52E8F">
      <w:pPr>
        <w:pStyle w:val="PiedeImagen"/>
        <w:rPr>
          <w:i w:val="0"/>
          <w:iCs/>
        </w:rPr>
      </w:pPr>
      <w:r>
        <w:t>Fuente</w:t>
      </w:r>
      <w:r>
        <w:rPr>
          <w:i w:val="0"/>
          <w:iCs/>
        </w:rPr>
        <w:t xml:space="preserve">: </w:t>
      </w:r>
      <w:hyperlink r:id="rId15" w:history="1">
        <w:r w:rsidRPr="00085F90">
          <w:rPr>
            <w:rStyle w:val="Hipervnculo"/>
            <w:i w:val="0"/>
            <w:iCs/>
          </w:rPr>
          <w:t>https://www.tinsa.es/precio-vivienda/</w:t>
        </w:r>
      </w:hyperlink>
    </w:p>
    <w:p w14:paraId="35E68D1D" w14:textId="77777777" w:rsidR="00F52E8F" w:rsidRDefault="00F52E8F" w:rsidP="00F52E8F">
      <w:pPr>
        <w:pStyle w:val="Ttulo7"/>
      </w:pPr>
      <w:r>
        <w:t xml:space="preserve">Después de la pandemia: </w:t>
      </w:r>
      <w:proofErr w:type="spellStart"/>
      <w:r w:rsidRPr="00596936">
        <w:t>Caixabank</w:t>
      </w:r>
      <w:proofErr w:type="spellEnd"/>
      <w:r w:rsidRPr="00596936">
        <w:t xml:space="preserve"> </w:t>
      </w:r>
      <w:proofErr w:type="spellStart"/>
      <w:r w:rsidRPr="00596936">
        <w:t>Research</w:t>
      </w:r>
      <w:proofErr w:type="spellEnd"/>
      <w:r>
        <w:t xml:space="preserve"> (2022)</w:t>
      </w:r>
    </w:p>
    <w:p w14:paraId="68C05126" w14:textId="77777777" w:rsidR="00F52E8F" w:rsidRDefault="00F52E8F" w:rsidP="00F52E8F">
      <w:pPr>
        <w:pStyle w:val="Nivel2SM"/>
        <w:keepNext/>
        <w:spacing w:after="0"/>
      </w:pPr>
      <w:r w:rsidRPr="00614F24">
        <w:rPr>
          <w:u w:val="single"/>
        </w:rPr>
        <w:t>El aumento de los t</w:t>
      </w:r>
      <w:r>
        <w:rPr>
          <w:u w:val="single"/>
        </w:rPr>
        <w:t xml:space="preserve">ipos de </w:t>
      </w:r>
      <w:r w:rsidRPr="00614F24">
        <w:rPr>
          <w:u w:val="single"/>
        </w:rPr>
        <w:t>i</w:t>
      </w:r>
      <w:r>
        <w:rPr>
          <w:u w:val="single"/>
        </w:rPr>
        <w:t>nterés</w:t>
      </w:r>
      <w:r w:rsidRPr="004D121B">
        <w:t xml:space="preserve"> </w:t>
      </w:r>
      <w:r>
        <w:t>genera</w:t>
      </w:r>
      <w:r w:rsidRPr="004D121B">
        <w:t xml:space="preserve"> preocupación por el impacto que el endurecimiento de las condiciones financieras pueda tener sobre los mercados inmobiliarios. </w:t>
      </w:r>
    </w:p>
    <w:p w14:paraId="34F600D0" w14:textId="77777777" w:rsidR="00F52E8F" w:rsidRDefault="00F52E8F" w:rsidP="00F52E8F">
      <w:pPr>
        <w:pStyle w:val="Nivel3SM"/>
      </w:pPr>
      <w:r w:rsidRPr="004D121B">
        <w:t>En muchas economías desarrolladas, el precio de la vivienda ha subido de forma muy significativa en los últimos años, una tendencia que se aceleró durante la pandemia y que ha avivado el temor de que se hayan formado burbujas inmobiliarias</w:t>
      </w:r>
      <w:r>
        <w:t>.</w:t>
      </w:r>
    </w:p>
    <w:p w14:paraId="5C89F584" w14:textId="77777777" w:rsidR="00F52E8F" w:rsidRPr="004D121B" w:rsidRDefault="00F52E8F" w:rsidP="00F52E8F">
      <w:pPr>
        <w:pStyle w:val="Nivel4"/>
        <w:ind w:left="1474"/>
      </w:pPr>
      <w:r>
        <w:t xml:space="preserve">No obstante, según CaixaBank Research, </w:t>
      </w:r>
      <w:r w:rsidRPr="004D121B">
        <w:t>en España, el riesgo de burbuja inmobil</w:t>
      </w:r>
      <w:r>
        <w:t>iaria parece contenido</w:t>
      </w:r>
      <w:r w:rsidRPr="004D121B">
        <w:t>.</w:t>
      </w:r>
    </w:p>
    <w:p w14:paraId="339CAD82" w14:textId="77777777" w:rsidR="00F52E8F" w:rsidRPr="004D121B" w:rsidRDefault="00F52E8F" w:rsidP="00F52E8F">
      <w:pPr>
        <w:pStyle w:val="Nivel2SM"/>
        <w:keepNext/>
        <w:spacing w:after="0"/>
      </w:pPr>
      <w:r w:rsidRPr="003359EF">
        <w:rPr>
          <w:i/>
          <w:iCs/>
        </w:rPr>
        <w:t>CaixaBank Research</w:t>
      </w:r>
      <w:r w:rsidRPr="003359EF">
        <w:t xml:space="preserve"> ha elaborado un </w:t>
      </w:r>
      <w:r w:rsidRPr="003359EF">
        <w:rPr>
          <w:bCs/>
          <w:i/>
          <w:iCs/>
        </w:rPr>
        <w:t>ranking</w:t>
      </w:r>
      <w:r w:rsidRPr="004D121B">
        <w:t xml:space="preserve"> en el que valorar el </w:t>
      </w:r>
      <w:r w:rsidRPr="003359EF">
        <w:rPr>
          <w:u w:val="single"/>
        </w:rPr>
        <w:t>riesgo de sobrecalentamiento de los mercados residenciales</w:t>
      </w:r>
      <w:r>
        <w:t xml:space="preserve"> en distintos países:</w:t>
      </w:r>
    </w:p>
    <w:p w14:paraId="1CB924ED" w14:textId="77777777" w:rsidR="00F52E8F" w:rsidRDefault="00F52E8F" w:rsidP="00F52E8F">
      <w:pPr>
        <w:pStyle w:val="Nivel3SM"/>
        <w:keepNext/>
      </w:pPr>
      <w:r w:rsidRPr="001577AA">
        <w:rPr>
          <w:i/>
          <w:iCs/>
        </w:rPr>
        <w:t>Los mercados que más preocupan</w:t>
      </w:r>
      <w:r>
        <w:t>:</w:t>
      </w:r>
    </w:p>
    <w:p w14:paraId="05CA63A1" w14:textId="77777777" w:rsidR="00F52E8F" w:rsidRDefault="00F52E8F" w:rsidP="00F52E8F">
      <w:pPr>
        <w:pStyle w:val="Nivel4"/>
        <w:ind w:left="1474"/>
      </w:pPr>
      <w:r>
        <w:t>L</w:t>
      </w:r>
      <w:r w:rsidRPr="004D121B">
        <w:t>a tendencia alcista y</w:t>
      </w:r>
      <w:r>
        <w:t xml:space="preserve">a se daba antes de la pandemia: Países Bajos, Luxemburgo, Suecia, </w:t>
      </w:r>
      <w:r w:rsidRPr="004D121B">
        <w:t>Nueva Zelanda, Canadá y Australia</w:t>
      </w:r>
      <w:r>
        <w:t>.</w:t>
      </w:r>
    </w:p>
    <w:p w14:paraId="405CCE90" w14:textId="77777777" w:rsidR="00F52E8F" w:rsidRDefault="00F52E8F" w:rsidP="00F52E8F">
      <w:pPr>
        <w:pStyle w:val="Nivel4"/>
        <w:ind w:left="1474"/>
      </w:pPr>
      <w:r>
        <w:t>S</w:t>
      </w:r>
      <w:r w:rsidRPr="004D121B">
        <w:t>e aprecia un repunte significativo de los precios de la vivienda durante la pandemia, un incremento del peso de la inversión residencial y elevado endeudamiento por parte de las familias.</w:t>
      </w:r>
    </w:p>
    <w:p w14:paraId="436D3132" w14:textId="77777777" w:rsidR="00F52E8F" w:rsidRPr="004D121B" w:rsidRDefault="00F52E8F" w:rsidP="00F52E8F">
      <w:pPr>
        <w:pStyle w:val="Nivel4"/>
        <w:ind w:left="1474"/>
      </w:pPr>
      <w:r>
        <w:t>No obstante, e</w:t>
      </w:r>
      <w:r w:rsidRPr="004D121B">
        <w:t xml:space="preserve">n algunos de estos países, ya se empiezan a observar señales de un cambio de tendencia en el inmobiliario (los precios ya están corrigiendo a la baja) como consecuencia del endurecimiento de la </w:t>
      </w:r>
      <w:r>
        <w:t>política monetaria</w:t>
      </w:r>
      <w:r w:rsidRPr="004D121B">
        <w:t xml:space="preserve"> y políticas macrop</w:t>
      </w:r>
      <w:r>
        <w:t>r</w:t>
      </w:r>
      <w:r w:rsidRPr="004D121B">
        <w:t>udenciales</w:t>
      </w:r>
      <w:r>
        <w:t>.</w:t>
      </w:r>
    </w:p>
    <w:p w14:paraId="4F051E8F" w14:textId="77777777" w:rsidR="00F52E8F" w:rsidRPr="00596936" w:rsidRDefault="00F52E8F" w:rsidP="00F52E8F">
      <w:pPr>
        <w:pStyle w:val="Nivel3SM"/>
        <w:keepNext/>
      </w:pPr>
      <w:r w:rsidRPr="001577AA">
        <w:rPr>
          <w:i/>
          <w:iCs/>
        </w:rPr>
        <w:t>Países con algunos indicadores preocupantes</w:t>
      </w:r>
      <w:r>
        <w:t>:</w:t>
      </w:r>
    </w:p>
    <w:p w14:paraId="12723429" w14:textId="77777777" w:rsidR="00F52E8F" w:rsidRPr="004D121B" w:rsidRDefault="00F52E8F" w:rsidP="00F52E8F">
      <w:pPr>
        <w:pStyle w:val="Nivel4"/>
        <w:ind w:left="1474"/>
      </w:pPr>
      <w:r w:rsidRPr="004D121B">
        <w:t>Alemania, Portugal y Francia, países en los que la tendencia alcista en los precios es anterior a la pandemia, pero donde los niveles de endeudamiento de los hogares no son preocupantes.</w:t>
      </w:r>
    </w:p>
    <w:p w14:paraId="4247C510" w14:textId="77777777" w:rsidR="00F52E8F" w:rsidRPr="00596936" w:rsidRDefault="00F52E8F" w:rsidP="00F52E8F">
      <w:pPr>
        <w:pStyle w:val="Nivel3SM"/>
        <w:keepNext/>
      </w:pPr>
      <w:r w:rsidRPr="001577AA">
        <w:rPr>
          <w:i/>
          <w:iCs/>
        </w:rPr>
        <w:t>Países donde no se aprecian desequilibrios excesivos</w:t>
      </w:r>
      <w:r>
        <w:t>:</w:t>
      </w:r>
    </w:p>
    <w:p w14:paraId="565FCB2E" w14:textId="77777777" w:rsidR="00F52E8F" w:rsidRPr="004D121B" w:rsidRDefault="00F52E8F" w:rsidP="00F52E8F">
      <w:pPr>
        <w:pStyle w:val="Nivel4"/>
        <w:ind w:left="1474"/>
      </w:pPr>
      <w:r w:rsidRPr="00614F24">
        <w:rPr>
          <w:b/>
        </w:rPr>
        <w:t>España</w:t>
      </w:r>
      <w:r w:rsidRPr="004D121B">
        <w:t xml:space="preserve"> o Italia, en los que no se aprecian, por el momento, señales de sobrevaloración ni desequilibrios excesivos en el mercado inmobiliario. En efecto, la JERS clasifica a estos dos países en</w:t>
      </w:r>
      <w:r>
        <w:t xml:space="preserve"> riesgo bajo de sobrevaloración.</w:t>
      </w:r>
    </w:p>
    <w:p w14:paraId="340291C8" w14:textId="77777777" w:rsidR="00F52E8F" w:rsidRPr="00725813" w:rsidRDefault="00F52E8F" w:rsidP="00F52E8F">
      <w:pPr>
        <w:pStyle w:val="Ttulo6"/>
      </w:pPr>
      <w:r w:rsidRPr="00614F24">
        <w:t>Perspectivas para el sector inmobiliario español</w:t>
      </w:r>
    </w:p>
    <w:p w14:paraId="619F78FA" w14:textId="77777777" w:rsidR="00F52E8F" w:rsidRDefault="00F52E8F" w:rsidP="00F52E8F">
      <w:pPr>
        <w:pStyle w:val="Nivel2SM"/>
        <w:keepNext/>
        <w:spacing w:after="0"/>
      </w:pPr>
      <w:r w:rsidRPr="00C72921">
        <w:rPr>
          <w:i/>
          <w:iCs/>
          <w:u w:val="single"/>
        </w:rPr>
        <w:t>Por el lado positivo</w:t>
      </w:r>
      <w:r w:rsidRPr="004D121B">
        <w:t xml:space="preserve"> </w:t>
      </w:r>
      <w:r>
        <w:t xml:space="preserve">y </w:t>
      </w:r>
      <w:r w:rsidRPr="004D121B">
        <w:t>teniendo en cuenta sus sólidos fundamentales:</w:t>
      </w:r>
    </w:p>
    <w:p w14:paraId="3DF0E80F" w14:textId="77777777" w:rsidR="00F52E8F" w:rsidRDefault="00F52E8F" w:rsidP="00F52E8F">
      <w:pPr>
        <w:pStyle w:val="Nivel3SM"/>
      </w:pPr>
      <w:r>
        <w:t>E</w:t>
      </w:r>
      <w:r w:rsidRPr="004D121B">
        <w:t>xiste una demanda embalsada y solvente,</w:t>
      </w:r>
    </w:p>
    <w:p w14:paraId="5E036E19" w14:textId="77777777" w:rsidR="00F52E8F" w:rsidRDefault="00F52E8F" w:rsidP="00F52E8F">
      <w:pPr>
        <w:pStyle w:val="Nivel3SM"/>
      </w:pPr>
      <w:r>
        <w:t>H</w:t>
      </w:r>
      <w:r w:rsidRPr="004D121B">
        <w:t xml:space="preserve">ay una oferta escasa y capacidad limitada de producción, </w:t>
      </w:r>
    </w:p>
    <w:p w14:paraId="44A3AF71" w14:textId="77777777" w:rsidR="00F52E8F" w:rsidRDefault="00F52E8F" w:rsidP="00F52E8F">
      <w:pPr>
        <w:pStyle w:val="Nivel3SM"/>
      </w:pPr>
      <w:r>
        <w:t>E</w:t>
      </w:r>
      <w:r w:rsidRPr="004D121B">
        <w:t xml:space="preserve">l ahorro de las familias se sitúa en niveles récord </w:t>
      </w:r>
    </w:p>
    <w:p w14:paraId="568E4D47" w14:textId="77777777" w:rsidR="00F52E8F" w:rsidRPr="00725813" w:rsidRDefault="00F52E8F" w:rsidP="00F52E8F">
      <w:pPr>
        <w:pStyle w:val="Nivel3SM"/>
      </w:pPr>
      <w:r>
        <w:t>L</w:t>
      </w:r>
      <w:r w:rsidRPr="004D121B">
        <w:t>as empresas promotoras registran</w:t>
      </w:r>
      <w:r>
        <w:t xml:space="preserve"> un bajo nivel de endeudamiento</w:t>
      </w:r>
      <w:r w:rsidRPr="004D121B">
        <w:t>.</w:t>
      </w:r>
    </w:p>
    <w:p w14:paraId="2C3784B8" w14:textId="77777777" w:rsidR="00F52E8F" w:rsidRPr="007B0CF2" w:rsidRDefault="00F52E8F" w:rsidP="00F52E8F">
      <w:pPr>
        <w:pStyle w:val="Nivel2SM"/>
        <w:keepNext/>
        <w:spacing w:after="0"/>
      </w:pPr>
      <w:r w:rsidRPr="00C72921">
        <w:rPr>
          <w:i/>
          <w:iCs/>
          <w:u w:val="single"/>
        </w:rPr>
        <w:t>Por el lado negativo</w:t>
      </w:r>
      <w:r w:rsidRPr="007B0CF2">
        <w:t>:</w:t>
      </w:r>
    </w:p>
    <w:p w14:paraId="68EB5E35" w14:textId="77777777" w:rsidR="00F52E8F" w:rsidRDefault="00F52E8F" w:rsidP="00F52E8F">
      <w:pPr>
        <w:pStyle w:val="Nivel3SM"/>
      </w:pPr>
      <w:r>
        <w:t>E</w:t>
      </w:r>
      <w:r w:rsidRPr="004D121B">
        <w:t xml:space="preserve">l cambio en la </w:t>
      </w:r>
      <w:r>
        <w:t>política monetaria</w:t>
      </w:r>
      <w:r w:rsidRPr="004D121B">
        <w:t xml:space="preserve"> del BCE hace esperar una moderación de la demanda residencial en los próximos meses.</w:t>
      </w:r>
    </w:p>
    <w:p w14:paraId="288A0F84" w14:textId="77777777" w:rsidR="00F52E8F" w:rsidRPr="00725813" w:rsidRDefault="00F52E8F" w:rsidP="00F52E8F">
      <w:pPr>
        <w:pStyle w:val="Nivel3SM"/>
      </w:pPr>
      <w:r>
        <w:lastRenderedPageBreak/>
        <w:t>L</w:t>
      </w:r>
      <w:r w:rsidRPr="004D121B">
        <w:t>a inflación continúa erosionando los ahorros de los hogares, que ante las perspectivas de desaceleración económica pueden cambiar su intención de compra</w:t>
      </w:r>
      <w:r>
        <w:t>.</w:t>
      </w:r>
    </w:p>
    <w:p w14:paraId="5C76FD52" w14:textId="6A34CB89" w:rsidR="00BF3DF7" w:rsidRDefault="00BF3DF7" w:rsidP="00DC3683">
      <w:pPr>
        <w:pStyle w:val="Ttulo1"/>
      </w:pPr>
      <w:bookmarkStart w:id="31" w:name="_Toc177740126"/>
      <w:r>
        <w:t>ANÁLISIS DINÁMICO</w:t>
      </w:r>
      <w:bookmarkEnd w:id="31"/>
    </w:p>
    <w:p w14:paraId="55E17767" w14:textId="5664F448" w:rsidR="00584459" w:rsidRPr="00584459" w:rsidRDefault="00584459" w:rsidP="00584459">
      <w:pPr>
        <w:pStyle w:val="Notaalopositor"/>
      </w:pPr>
      <w:r>
        <w:t>Esto llevar a la parte del subsector de la edificación. Al hablar del estudio de la evolución de los precios.</w:t>
      </w:r>
    </w:p>
    <w:p w14:paraId="2BB03D3F" w14:textId="4C436E34" w:rsidR="00BF3DF7" w:rsidRDefault="00BF3DF7" w:rsidP="00BF3DF7">
      <w:pPr>
        <w:pStyle w:val="Ttulo2"/>
      </w:pPr>
      <w:bookmarkStart w:id="32" w:name="_Toc177740127"/>
      <w:r>
        <w:t>Hasta los años 60</w:t>
      </w:r>
      <w:bookmarkEnd w:id="32"/>
    </w:p>
    <w:p w14:paraId="6490F0F5" w14:textId="763E9D33" w:rsidR="00BF3DF7" w:rsidRDefault="00BF3DF7" w:rsidP="00BF3DF7">
      <w:pPr>
        <w:pStyle w:val="Nivel2SM"/>
      </w:pPr>
      <w:r>
        <w:t>Al concluir la Guerra Civil el parque de viviendas español se encontraba muy deteriorado.</w:t>
      </w:r>
    </w:p>
    <w:p w14:paraId="15DD3F7D" w14:textId="2364491C" w:rsidR="00BF3DF7" w:rsidRPr="00BF3DF7" w:rsidRDefault="00BF3DF7" w:rsidP="00BF3DF7">
      <w:pPr>
        <w:pStyle w:val="Nivel2SM"/>
      </w:pPr>
      <w:r>
        <w:t>La mitad de la población vive de alquiler.</w:t>
      </w:r>
    </w:p>
    <w:p w14:paraId="078CA6F3" w14:textId="77777777" w:rsidR="00BF3DF7" w:rsidRDefault="00BF3DF7" w:rsidP="00BF3DF7">
      <w:pPr>
        <w:pStyle w:val="Ttulo2"/>
      </w:pPr>
      <w:bookmarkStart w:id="33" w:name="_Toc177740128"/>
      <w:r>
        <w:t>1960-1973</w:t>
      </w:r>
      <w:bookmarkEnd w:id="33"/>
    </w:p>
    <w:p w14:paraId="167B5608" w14:textId="7859E3EB" w:rsidR="00BF3DF7" w:rsidRDefault="00BF3DF7" w:rsidP="00BF3DF7">
      <w:pPr>
        <w:pStyle w:val="Nivel2SM"/>
        <w:keepNext/>
        <w:spacing w:after="0"/>
      </w:pPr>
      <w:r>
        <w:t>La expansión del sector de la construcción comienza en la década de los 60, animada por:</w:t>
      </w:r>
    </w:p>
    <w:p w14:paraId="58CAB3E0" w14:textId="59529790" w:rsidR="00BF3DF7" w:rsidRDefault="00BF3DF7" w:rsidP="00BF3DF7">
      <w:pPr>
        <w:pStyle w:val="Nivel3SM"/>
      </w:pPr>
      <w:r>
        <w:t>La expansión económica iniciada con el Plan de Estabilización de 1959 y la consecuente apertura de la economía española.</w:t>
      </w:r>
    </w:p>
    <w:p w14:paraId="56D7935D" w14:textId="32034727" w:rsidR="00BF3DF7" w:rsidRDefault="00BF3DF7" w:rsidP="00BF3DF7">
      <w:pPr>
        <w:pStyle w:val="Nivel3SM"/>
      </w:pPr>
      <w:r>
        <w:t>El éxodo rural, fruto del crecimiento del sector industrial y del sector servicios en detrimento del sector agrario.</w:t>
      </w:r>
    </w:p>
    <w:p w14:paraId="5F9BE379" w14:textId="2BFD6AD9" w:rsidR="00BF3DF7" w:rsidRDefault="00BF3DF7" w:rsidP="00BF3DF7">
      <w:pPr>
        <w:pStyle w:val="Nivel3SM"/>
      </w:pPr>
      <w:r>
        <w:t>Aumento de la población.</w:t>
      </w:r>
    </w:p>
    <w:p w14:paraId="69608B3D" w14:textId="0A5B2274" w:rsidR="00BF3DF7" w:rsidRDefault="00BF3DF7" w:rsidP="00BF3DF7">
      <w:pPr>
        <w:pStyle w:val="Nivel3SM"/>
      </w:pPr>
      <w:r>
        <w:t>Déficit de viviendas hasta entonces.</w:t>
      </w:r>
    </w:p>
    <w:p w14:paraId="1DB65D32" w14:textId="6ECB78E3" w:rsidR="00BF3DF7" w:rsidRDefault="00BF3DF7" w:rsidP="00CB0EA3">
      <w:pPr>
        <w:pStyle w:val="Nivel2SM"/>
        <w:keepNext/>
        <w:spacing w:after="0"/>
      </w:pPr>
      <w:r>
        <w:t>Esta etapa entre 1959 y 1973 se conoció como el Milagro Español y requirió de una gran dotación de infraestructuras, equipamiento social básico y viviendas para alojar a los nuevos residentes de las ciudades.</w:t>
      </w:r>
    </w:p>
    <w:p w14:paraId="64A45141" w14:textId="61482A0B" w:rsidR="00CB0EA3" w:rsidRDefault="00CB0EA3" w:rsidP="00CB0EA3">
      <w:pPr>
        <w:pStyle w:val="Nivel3SM"/>
      </w:pPr>
      <w:r>
        <w:t>Durante este periodo aumenta la cantidad de viviendas en propiedad.</w:t>
      </w:r>
    </w:p>
    <w:p w14:paraId="28F65E82" w14:textId="77777777" w:rsidR="00BF3DF7" w:rsidRDefault="00BF3DF7" w:rsidP="00BF3DF7">
      <w:pPr>
        <w:pStyle w:val="Ttulo2"/>
      </w:pPr>
      <w:bookmarkStart w:id="34" w:name="_Toc177740129"/>
      <w:r>
        <w:t>1973-1984</w:t>
      </w:r>
      <w:bookmarkEnd w:id="34"/>
    </w:p>
    <w:p w14:paraId="5A098058" w14:textId="35E65C5B" w:rsidR="00CB0EA3" w:rsidRDefault="00CB0EA3" w:rsidP="00CB0EA3">
      <w:pPr>
        <w:pStyle w:val="Nivel2SM"/>
        <w:keepNext/>
        <w:spacing w:after="0"/>
      </w:pPr>
      <w:r>
        <w:t>Sin embargo, esta expansión se vería interrumpida entre 1973 y 1984 por la crisis energética, que:</w:t>
      </w:r>
    </w:p>
    <w:p w14:paraId="5F342F10" w14:textId="787331BF" w:rsidR="00CB0EA3" w:rsidRDefault="00CB0EA3" w:rsidP="00CB0EA3">
      <w:pPr>
        <w:pStyle w:val="Nivel3SM"/>
      </w:pPr>
      <w:r>
        <w:t>Provocó un hundimiento de la demanda, consecuencia de la reducción del gasto público en infraestructuras, de la caída de la renta disponible de las familias y el aumento de los tipos de interés.</w:t>
      </w:r>
    </w:p>
    <w:p w14:paraId="6BE8E496" w14:textId="51C7BFA7" w:rsidR="00CB0EA3" w:rsidRDefault="00CB0EA3" w:rsidP="00CB0EA3">
      <w:pPr>
        <w:pStyle w:val="Nivel3SM"/>
      </w:pPr>
      <w:r>
        <w:t>Por el lado de la oferta, produjo un fuerte encarecimiento de los materiales de construcción y del precio de la energía.</w:t>
      </w:r>
    </w:p>
    <w:p w14:paraId="2B8952B5" w14:textId="039056AC" w:rsidR="00BF3DF7" w:rsidRDefault="00BF3DF7" w:rsidP="00BF3DF7">
      <w:pPr>
        <w:pStyle w:val="Ttulo2"/>
      </w:pPr>
      <w:bookmarkStart w:id="35" w:name="_Toc177740130"/>
      <w:r>
        <w:t>198</w:t>
      </w:r>
      <w:r w:rsidR="00CB0EA3">
        <w:t>5</w:t>
      </w:r>
      <w:r>
        <w:t>-1997</w:t>
      </w:r>
      <w:bookmarkEnd w:id="35"/>
    </w:p>
    <w:p w14:paraId="5010D5EB" w14:textId="45F757D5" w:rsidR="00CB0EA3" w:rsidRDefault="00CB0EA3" w:rsidP="00CB0EA3">
      <w:pPr>
        <w:pStyle w:val="Nivel2SM"/>
      </w:pPr>
      <w:r>
        <w:t>Así, habría que esperar hasta 1985 para que se produjese una nueva expansión del sector, que se vio favorecida por la mejora de la coyuntura internacional, por las expectativas de incorporación a la CEE y por la llegada del mercado de la generación del baby boom.</w:t>
      </w:r>
    </w:p>
    <w:p w14:paraId="5F47602A" w14:textId="5E3C484A" w:rsidR="00CB0EA3" w:rsidRDefault="00CB0EA3" w:rsidP="00CB0EA3">
      <w:pPr>
        <w:pStyle w:val="Nivel2SM"/>
      </w:pPr>
      <w:r>
        <w:t>Esta expansión fue acompañada de un fuerte aumento de la inversión infraestructuras para preparar al país para los acontecimientos de 1992 (JJOO de Barcelona y Expo de Sevilla).</w:t>
      </w:r>
    </w:p>
    <w:p w14:paraId="3A137F0E" w14:textId="754E4210" w:rsidR="00CB0EA3" w:rsidRPr="00CB0EA3" w:rsidRDefault="00CB0EA3" w:rsidP="00CB0EA3">
      <w:pPr>
        <w:pStyle w:val="Nivel2SM"/>
      </w:pPr>
      <w:r>
        <w:t>A pesar de ello, en 1989 comienza a aplicarse en España una política de enfriamiento de la economía consistente en políticas monetarias contractivas que provocaron un aumento del tipo de interés, y en una reducción del gasto público que dio lugar a una reducción de la licitación. El shock de esas medidas sobre el sector de la construcción se vería no obstante suavizado gracias a los proyectos financiados por la UE y a la orientación hacia mercados como Latinoamérica de las grandes empresas constructoras.</w:t>
      </w:r>
    </w:p>
    <w:p w14:paraId="0EB7E7CB" w14:textId="77777777" w:rsidR="00BF3DF7" w:rsidRDefault="00BF3DF7" w:rsidP="00BF3DF7">
      <w:pPr>
        <w:pStyle w:val="Ttulo2"/>
      </w:pPr>
      <w:bookmarkStart w:id="36" w:name="_Toc177740131"/>
      <w:r>
        <w:t>1997-2007</w:t>
      </w:r>
      <w:bookmarkEnd w:id="36"/>
    </w:p>
    <w:p w14:paraId="5E20B858" w14:textId="77777777" w:rsidR="00255899" w:rsidRPr="00255899" w:rsidRDefault="00686467" w:rsidP="00686467">
      <w:pPr>
        <w:pStyle w:val="Nivel2SM"/>
      </w:pPr>
      <w:r>
        <w:t>A partir de 1997 y</w:t>
      </w:r>
      <w:r w:rsidR="00EA62B0">
        <w:t xml:space="preserve"> hasta </w:t>
      </w:r>
      <w:r w:rsidR="00EA62B0" w:rsidRPr="00255899">
        <w:t>2007 tuvo lugar un boom sin precedentes en el sector de la edificación que experimentó en varios años tasas de crecimiento superiores al 10 %. En 2007, el sector inmobiliario representa el 12,2 % del PIB y el 14,2 % del empleo.</w:t>
      </w:r>
    </w:p>
    <w:p w14:paraId="1AA08A91" w14:textId="0AE09037" w:rsidR="00255899" w:rsidRPr="00255899" w:rsidRDefault="00255899" w:rsidP="0012542F">
      <w:pPr>
        <w:pStyle w:val="Notaalopositor"/>
        <w:rPr>
          <w:highlight w:val="yellow"/>
        </w:rPr>
      </w:pPr>
      <w:r>
        <w:rPr>
          <w:highlight w:val="yellow"/>
        </w:rPr>
        <w:t>En realidad</w:t>
      </w:r>
      <w:r w:rsidRPr="00255899">
        <w:rPr>
          <w:highlight w:val="yellow"/>
        </w:rPr>
        <w:t xml:space="preserve"> sería interesante traer aquí el apartado </w:t>
      </w:r>
      <w:r w:rsidRPr="00255899">
        <w:rPr>
          <w:highlight w:val="yellow"/>
        </w:rPr>
        <w:fldChar w:fldCharType="begin"/>
      </w:r>
      <w:r w:rsidRPr="00255899">
        <w:rPr>
          <w:highlight w:val="yellow"/>
        </w:rPr>
        <w:instrText xml:space="preserve"> REF _Ref150876801 \h  \* MERGEFORMAT </w:instrText>
      </w:r>
      <w:r w:rsidRPr="00255899">
        <w:rPr>
          <w:highlight w:val="yellow"/>
        </w:rPr>
      </w:r>
      <w:r w:rsidRPr="00255899">
        <w:rPr>
          <w:highlight w:val="yellow"/>
        </w:rPr>
        <w:fldChar w:fldCharType="separate"/>
      </w:r>
      <w:r w:rsidR="009D598E" w:rsidRPr="009D598E">
        <w:rPr>
          <w:highlight w:val="yellow"/>
        </w:rPr>
        <w:t>Estudio de la evolución de los precios en</w:t>
      </w:r>
      <w:r w:rsidR="009D598E">
        <w:t xml:space="preserve"> la edificación residencial</w:t>
      </w:r>
      <w:r w:rsidRPr="00255899">
        <w:rPr>
          <w:highlight w:val="yellow"/>
        </w:rPr>
        <w:fldChar w:fldCharType="end"/>
      </w:r>
      <w:r w:rsidRPr="00255899">
        <w:rPr>
          <w:highlight w:val="yellow"/>
        </w:rPr>
        <w:t xml:space="preserve"> o eliminar directamente el apartado de Perspectiva dinámica para esta exposición y sustituirla por el análisis por subsectores.</w:t>
      </w:r>
    </w:p>
    <w:p w14:paraId="712ABAA8" w14:textId="79B78CC9" w:rsidR="00BF3DF7" w:rsidRDefault="00BF3DF7" w:rsidP="00BF3DF7">
      <w:pPr>
        <w:pStyle w:val="Ttulo2"/>
      </w:pPr>
      <w:bookmarkStart w:id="37" w:name="_Toc177740132"/>
      <w:r>
        <w:t>2008-2013</w:t>
      </w:r>
      <w:bookmarkEnd w:id="37"/>
    </w:p>
    <w:p w14:paraId="6D04C5F2" w14:textId="77777777" w:rsidR="000B64F9" w:rsidRPr="000B64F9" w:rsidRDefault="000B64F9" w:rsidP="000B64F9">
      <w:pPr>
        <w:pStyle w:val="Nivel2SM"/>
      </w:pPr>
    </w:p>
    <w:p w14:paraId="0671451A" w14:textId="2052E136" w:rsidR="00BF3DF7" w:rsidRDefault="00BF3DF7" w:rsidP="00BF3DF7">
      <w:pPr>
        <w:pStyle w:val="Ttulo2"/>
      </w:pPr>
      <w:bookmarkStart w:id="38" w:name="_Toc177740133"/>
      <w:r>
        <w:t>2014-2020</w:t>
      </w:r>
      <w:bookmarkEnd w:id="38"/>
    </w:p>
    <w:p w14:paraId="78DA40CF" w14:textId="77777777" w:rsidR="00BF3DF7" w:rsidRPr="00BF3DF7" w:rsidRDefault="00BF3DF7" w:rsidP="000B64F9">
      <w:pPr>
        <w:pStyle w:val="Nivel2SM"/>
      </w:pPr>
    </w:p>
    <w:p w14:paraId="6D004A4B" w14:textId="6A34CB89" w:rsidR="005D3AAC" w:rsidRPr="008E3100" w:rsidRDefault="003E18FD" w:rsidP="00DC3683">
      <w:pPr>
        <w:pStyle w:val="Ttulo1"/>
      </w:pPr>
      <w:bookmarkStart w:id="39" w:name="_Toc177740134"/>
      <w:r>
        <w:t>POLÍTICA ECONÓMICA</w:t>
      </w:r>
      <w:r w:rsidR="003B7C5E" w:rsidRPr="008E3100">
        <w:t>: POLÍTICAS DE VIVIENDA Y SUELO</w:t>
      </w:r>
      <w:bookmarkEnd w:id="39"/>
    </w:p>
    <w:p w14:paraId="4129E11E" w14:textId="77777777" w:rsidR="001B1A58" w:rsidRDefault="001B1A58" w:rsidP="00DC3683">
      <w:pPr>
        <w:pStyle w:val="Ttulo2"/>
      </w:pPr>
      <w:bookmarkStart w:id="40" w:name="_Toc177740135"/>
      <w:r>
        <w:t>Justificación de teoría económica y objetivos</w:t>
      </w:r>
      <w:bookmarkEnd w:id="40"/>
    </w:p>
    <w:p w14:paraId="5ECE2773" w14:textId="5C1CE73E" w:rsidR="00DB5973" w:rsidRDefault="00DB5973" w:rsidP="00DB5973">
      <w:pPr>
        <w:pStyle w:val="Nivel1SM"/>
        <w:keepNext/>
        <w:spacing w:before="0" w:after="0"/>
      </w:pPr>
      <w:r>
        <w:t>Existen varias justificaciones a la intervención del sector público en el sector de la construcción:</w:t>
      </w:r>
    </w:p>
    <w:p w14:paraId="35351BD7" w14:textId="6CADB38D" w:rsidR="00B62ACF" w:rsidRPr="008E3100" w:rsidRDefault="00B62ACF" w:rsidP="00B62ACF">
      <w:pPr>
        <w:pStyle w:val="Nivel2SM"/>
        <w:keepNext/>
        <w:spacing w:after="0"/>
      </w:pPr>
      <w:r w:rsidRPr="008E3100">
        <w:t xml:space="preserve">La </w:t>
      </w:r>
      <w:r w:rsidRPr="00550F66">
        <w:rPr>
          <w:i/>
          <w:iCs/>
        </w:rPr>
        <w:t>justificación básica de la intervención del sector público</w:t>
      </w:r>
      <w:r w:rsidRPr="008E3100">
        <w:t xml:space="preserve"> en el</w:t>
      </w:r>
      <w:r>
        <w:t xml:space="preserve"> sub</w:t>
      </w:r>
      <w:r w:rsidRPr="008E3100">
        <w:t xml:space="preserve">sector residencial es la </w:t>
      </w:r>
      <w:r w:rsidRPr="00985A11">
        <w:rPr>
          <w:b/>
          <w:bCs/>
        </w:rPr>
        <w:t>equidad</w:t>
      </w:r>
      <w:r w:rsidRPr="008E3100">
        <w:t>:</w:t>
      </w:r>
    </w:p>
    <w:p w14:paraId="5179D841" w14:textId="77777777" w:rsidR="00B62ACF" w:rsidRPr="008E3100" w:rsidRDefault="00B62ACF" w:rsidP="00B62ACF">
      <w:pPr>
        <w:pStyle w:val="Nivel3SM"/>
      </w:pPr>
      <w:r w:rsidRPr="008E3100">
        <w:t xml:space="preserve">Como vimos anteriormente, la Constitución establece que todos los ciudadanos tienen </w:t>
      </w:r>
      <w:r w:rsidRPr="00985A11">
        <w:rPr>
          <w:i/>
          <w:iCs/>
        </w:rPr>
        <w:t>derecho a una vivienda digna</w:t>
      </w:r>
      <w:r w:rsidRPr="008E3100">
        <w:t xml:space="preserve"> (art.</w:t>
      </w:r>
      <w:r>
        <w:t> </w:t>
      </w:r>
      <w:r w:rsidRPr="008E3100">
        <w:t>47).</w:t>
      </w:r>
    </w:p>
    <w:p w14:paraId="4A6A0496" w14:textId="77777777" w:rsidR="00B62ACF" w:rsidRPr="008E3100" w:rsidRDefault="00B62ACF" w:rsidP="00DB5973">
      <w:pPr>
        <w:pStyle w:val="Nivel3SM"/>
        <w:keepNext/>
      </w:pPr>
      <w:r w:rsidRPr="00DB5973">
        <w:t>Cumplir</w:t>
      </w:r>
      <w:r w:rsidRPr="008E3100">
        <w:t xml:space="preserve"> con </w:t>
      </w:r>
      <w:r>
        <w:t>dicho</w:t>
      </w:r>
      <w:r w:rsidRPr="008E3100">
        <w:t xml:space="preserve"> objetivo exige:</w:t>
      </w:r>
    </w:p>
    <w:p w14:paraId="603ED990" w14:textId="77777777" w:rsidR="00B62ACF" w:rsidRPr="008E3100" w:rsidRDefault="00B62ACF" w:rsidP="00DB5973">
      <w:pPr>
        <w:pStyle w:val="Nivel4"/>
        <w:ind w:left="1474"/>
      </w:pPr>
      <w:r w:rsidRPr="008E3100">
        <w:t>Una oferta de viviendas amplia (i.e. que no haya problemas de escasez).</w:t>
      </w:r>
    </w:p>
    <w:p w14:paraId="652B6068" w14:textId="77777777" w:rsidR="00DB5973" w:rsidRDefault="00B62ACF" w:rsidP="00DB5973">
      <w:pPr>
        <w:pStyle w:val="Nivel4"/>
        <w:ind w:left="1474"/>
      </w:pPr>
      <w:r w:rsidRPr="008E3100">
        <w:t>Unos precios moderados (i.e. que no haya problemas de accesibilidad).</w:t>
      </w:r>
    </w:p>
    <w:p w14:paraId="662D58CE" w14:textId="13728D01" w:rsidR="00B62ACF" w:rsidRDefault="00DB5973" w:rsidP="00DB5973">
      <w:pPr>
        <w:pStyle w:val="Nivel2SM"/>
      </w:pPr>
      <w:r>
        <w:t xml:space="preserve">Además, el desarrollo de las ciudades es un foco de </w:t>
      </w:r>
      <w:r w:rsidRPr="00257E3D">
        <w:rPr>
          <w:i/>
          <w:iCs/>
        </w:rPr>
        <w:t>externalidades</w:t>
      </w:r>
      <w:r>
        <w:t xml:space="preserve"> y </w:t>
      </w:r>
      <w:r w:rsidRPr="00257E3D">
        <w:rPr>
          <w:i/>
          <w:iCs/>
        </w:rPr>
        <w:t>bienes públicos</w:t>
      </w:r>
      <w:r>
        <w:t xml:space="preserve"> que necesariamente requiere de una coordinación centralizada.</w:t>
      </w:r>
    </w:p>
    <w:p w14:paraId="49234890" w14:textId="77777777" w:rsidR="00B62ACF" w:rsidRDefault="001B1A58" w:rsidP="00DC3683">
      <w:pPr>
        <w:pStyle w:val="Ttulo2"/>
      </w:pPr>
      <w:bookmarkStart w:id="41" w:name="_Toc177740136"/>
      <w:r>
        <w:t>Marco jurídico-institucional</w:t>
      </w:r>
      <w:bookmarkEnd w:id="41"/>
    </w:p>
    <w:p w14:paraId="7BDFBF12" w14:textId="49B41661" w:rsidR="001B1A58" w:rsidRDefault="00B62ACF" w:rsidP="00B62ACF">
      <w:pPr>
        <w:pStyle w:val="Ttulo3"/>
        <w:spacing w:before="0"/>
      </w:pPr>
      <w:bookmarkStart w:id="42" w:name="_Toc177740137"/>
      <w:r>
        <w:t>Nivel de competencias</w:t>
      </w:r>
      <w:bookmarkEnd w:id="42"/>
    </w:p>
    <w:p w14:paraId="75994357" w14:textId="2CB9114E" w:rsidR="00B62ACF" w:rsidRDefault="00B62ACF" w:rsidP="001A254D">
      <w:pPr>
        <w:pStyle w:val="Nivel1SM"/>
        <w:keepNext/>
        <w:spacing w:before="0" w:after="0"/>
      </w:pPr>
      <w:r w:rsidRPr="00E9295E">
        <w:t xml:space="preserve">La mayoría de las competencias en política de vivienda y de suelo corresponde a las </w:t>
      </w:r>
      <w:r w:rsidRPr="00E9295E">
        <w:rPr>
          <w:i/>
          <w:iCs/>
        </w:rPr>
        <w:t>Comunidades Autónomas</w:t>
      </w:r>
      <w:r w:rsidRPr="00E9295E">
        <w:t xml:space="preserve"> (art. 148 CE: “Ordenación del territorio, urbanismo y vivienda</w:t>
      </w:r>
      <w:r w:rsidR="001A254D">
        <w:t xml:space="preserve"> + Obras públicas de interés de la CCAA en su propio territorio</w:t>
      </w:r>
      <w:r w:rsidRPr="00E9295E">
        <w:t xml:space="preserve">”), aunque algunas cuestiones son de </w:t>
      </w:r>
      <w:r w:rsidRPr="00E9295E">
        <w:rPr>
          <w:i/>
          <w:iCs/>
        </w:rPr>
        <w:t>ámbito estatal</w:t>
      </w:r>
      <w:r w:rsidRPr="00E9295E">
        <w:t xml:space="preserve"> (legislación del alquiler o deducciones en el IRPF).</w:t>
      </w:r>
    </w:p>
    <w:p w14:paraId="04B41244" w14:textId="0A445CC0" w:rsidR="001A254D" w:rsidRDefault="001A254D" w:rsidP="00B62ACF">
      <w:pPr>
        <w:pStyle w:val="Nivel2SM"/>
        <w:rPr>
          <w:spacing w:val="-2"/>
        </w:rPr>
      </w:pPr>
      <w:r>
        <w:rPr>
          <w:spacing w:val="-2"/>
        </w:rPr>
        <w:t>El Tribunal Constitucional sentenció en 1997 que, efectivamente, las competencias básicas de legislación urbanística residían de forma exclusiva en las CCAA, correspondiendo tanto a las CCAA como a las EELL su ejecución.</w:t>
      </w:r>
    </w:p>
    <w:p w14:paraId="4E2D42CD" w14:textId="11D88AAB" w:rsidR="001A254D" w:rsidRPr="00E9295E" w:rsidRDefault="001A254D" w:rsidP="00B62ACF">
      <w:pPr>
        <w:pStyle w:val="Nivel2SM"/>
        <w:rPr>
          <w:spacing w:val="-2"/>
        </w:rPr>
      </w:pPr>
      <w:r>
        <w:rPr>
          <w:spacing w:val="-2"/>
        </w:rPr>
        <w:t xml:space="preserve">Por su parte, al </w:t>
      </w:r>
      <w:r w:rsidR="00D44831">
        <w:rPr>
          <w:spacing w:val="-2"/>
        </w:rPr>
        <w:t>E</w:t>
      </w:r>
      <w:r>
        <w:rPr>
          <w:spacing w:val="-2"/>
        </w:rPr>
        <w:t>stado le corresponde, como máximo, la fijación de un marco amplio que condiciones (pero no suplante), el ordenamiento llevado por las CCAA. Además, le corresponde garantizar la igualdad de oportunidades en el acceso a la vivienda.</w:t>
      </w:r>
    </w:p>
    <w:p w14:paraId="11CF5593" w14:textId="77777777" w:rsidR="00B62ACF" w:rsidRDefault="00B62ACF" w:rsidP="00B62ACF">
      <w:pPr>
        <w:pStyle w:val="Ttulo3"/>
      </w:pPr>
      <w:bookmarkStart w:id="43" w:name="_Toc177740138"/>
      <w:r>
        <w:t>Fundamentos jurídicos</w:t>
      </w:r>
      <w:bookmarkEnd w:id="43"/>
    </w:p>
    <w:p w14:paraId="2EC80B18" w14:textId="4A91302C" w:rsidR="001A254D" w:rsidRDefault="00C440C8" w:rsidP="001A254D">
      <w:pPr>
        <w:pStyle w:val="Nivel2SM"/>
      </w:pPr>
      <w:r w:rsidRPr="00C50BF9">
        <w:rPr>
          <w:i/>
          <w:iCs/>
          <w:u w:val="single"/>
        </w:rPr>
        <w:t>Artículo 47 de la Constitución Española</w:t>
      </w:r>
      <w:r>
        <w:t>: Todos los españoles tienen derecho a disfrutar de una vivienda digna y adecuada. Los poderes públicos promoverán las condiciones necesarias para ello, regulando la utilización del suelo de acuerdo con el interés general para impedir la especulación. De esta manera, la CE considera a la vivienda como un bien preferente dentro del Estado del Bienestar.</w:t>
      </w:r>
    </w:p>
    <w:p w14:paraId="62D291E8" w14:textId="1A4F6CF0" w:rsidR="00C440C8" w:rsidRDefault="00C440C8" w:rsidP="001A254D">
      <w:pPr>
        <w:pStyle w:val="Nivel2SM"/>
      </w:pPr>
      <w:r w:rsidRPr="00C50BF9">
        <w:rPr>
          <w:i/>
          <w:iCs/>
          <w:u w:val="single"/>
        </w:rPr>
        <w:t>RDL de reforma del mercado de alquiler (2019)</w:t>
      </w:r>
      <w:r>
        <w:t>: Se amplía</w:t>
      </w:r>
      <w:r w:rsidR="00E01CDE">
        <w:t xml:space="preserve"> el plazo de prórroga obligatoria de los contratos de alquiler de 3 a 5 años. La subida de la renta anual estará ligada al IPC durante el tiempo que dure el contrato. El arrendador debe comunicar al inquilino su voluntad de no renovarlo, con al menos 4 meses de antelación. Si es el inquilino el que quiere irse debe avisar con 2 meses de antelación. La potestad de recuperación de la vivienda por el propietario para resolver anticipadamente el contrato debe quedar recogida expresamente en el contrato.</w:t>
      </w:r>
    </w:p>
    <w:p w14:paraId="24B8B811" w14:textId="67E3FDE3" w:rsidR="00C440C8" w:rsidRDefault="00C440C8" w:rsidP="001A254D">
      <w:pPr>
        <w:pStyle w:val="Nivel2SM"/>
      </w:pPr>
      <w:r w:rsidRPr="00C50BF9">
        <w:rPr>
          <w:i/>
          <w:iCs/>
          <w:u w:val="single"/>
        </w:rPr>
        <w:t>RDL de 10 de marzo de 2020</w:t>
      </w:r>
      <w:r>
        <w:t>:</w:t>
      </w:r>
      <w:r w:rsidRPr="00C440C8">
        <w:t xml:space="preserve"> </w:t>
      </w:r>
      <w:r>
        <w:t>Prórroga de la suspensión de desahucios, se hace para 4 años para los colectivos más vulnerables.</w:t>
      </w:r>
    </w:p>
    <w:p w14:paraId="25D59CA1" w14:textId="237D459C" w:rsidR="00E01CDE" w:rsidRPr="001A254D" w:rsidRDefault="00E01CDE" w:rsidP="001A254D">
      <w:pPr>
        <w:pStyle w:val="Nivel2SM"/>
      </w:pPr>
      <w:r>
        <w:rPr>
          <w:i/>
          <w:iCs/>
          <w:u w:val="single"/>
        </w:rPr>
        <w:t>Ley de Suelo de 2015</w:t>
      </w:r>
      <w:r>
        <w:t>.</w:t>
      </w:r>
    </w:p>
    <w:p w14:paraId="5B2054EE" w14:textId="61B5223F" w:rsidR="00B62ACF" w:rsidRDefault="00B62ACF" w:rsidP="00B62ACF">
      <w:pPr>
        <w:pStyle w:val="Ttulo3"/>
      </w:pPr>
      <w:bookmarkStart w:id="44" w:name="_Toc177740139"/>
      <w:r>
        <w:t>Procedimiento de toma de decisiones</w:t>
      </w:r>
      <w:bookmarkEnd w:id="44"/>
    </w:p>
    <w:p w14:paraId="3AF6FB91" w14:textId="77777777" w:rsidR="000C55AD" w:rsidRPr="000C55AD" w:rsidRDefault="000C55AD" w:rsidP="000C55AD">
      <w:pPr>
        <w:pStyle w:val="Nivel2SM"/>
      </w:pPr>
    </w:p>
    <w:p w14:paraId="197388F6" w14:textId="77777777" w:rsidR="00E01CDE" w:rsidRDefault="00E01CDE" w:rsidP="00E01CDE">
      <w:pPr>
        <w:pStyle w:val="Ttulo2"/>
      </w:pPr>
      <w:bookmarkStart w:id="45" w:name="_Toc177740140"/>
      <w:r>
        <w:lastRenderedPageBreak/>
        <w:t>Evolución histórica</w:t>
      </w:r>
      <w:bookmarkEnd w:id="45"/>
    </w:p>
    <w:p w14:paraId="005A159F" w14:textId="77777777" w:rsidR="00E01CDE" w:rsidRPr="008E3100" w:rsidRDefault="00E01CDE" w:rsidP="00E01CDE">
      <w:pPr>
        <w:pStyle w:val="Nivel2SM"/>
        <w:keepNext/>
        <w:spacing w:after="0"/>
      </w:pPr>
      <w:r w:rsidRPr="008E3100">
        <w:t xml:space="preserve">La </w:t>
      </w:r>
      <w:r w:rsidRPr="00550F66">
        <w:rPr>
          <w:i/>
          <w:iCs/>
        </w:rPr>
        <w:t>justificación básica de la intervención del sector público</w:t>
      </w:r>
      <w:r w:rsidRPr="008E3100">
        <w:t xml:space="preserve"> en el</w:t>
      </w:r>
      <w:r>
        <w:t xml:space="preserve"> sub</w:t>
      </w:r>
      <w:r w:rsidRPr="008E3100">
        <w:t xml:space="preserve">sector residencial es la </w:t>
      </w:r>
      <w:r w:rsidRPr="00985A11">
        <w:rPr>
          <w:b/>
          <w:bCs/>
        </w:rPr>
        <w:t>equidad</w:t>
      </w:r>
      <w:r w:rsidRPr="008E3100">
        <w:t>:</w:t>
      </w:r>
    </w:p>
    <w:p w14:paraId="1AFC167B" w14:textId="77777777" w:rsidR="00E01CDE" w:rsidRPr="008E3100" w:rsidRDefault="00E01CDE" w:rsidP="00E01CDE">
      <w:pPr>
        <w:pStyle w:val="Nivel3SM"/>
      </w:pPr>
      <w:r w:rsidRPr="008E3100">
        <w:t xml:space="preserve">Como vimos anteriormente, la Constitución establece que todos los ciudadanos tienen </w:t>
      </w:r>
      <w:r w:rsidRPr="00985A11">
        <w:rPr>
          <w:i/>
          <w:iCs/>
        </w:rPr>
        <w:t>derecho a una vivienda digna</w:t>
      </w:r>
      <w:r w:rsidRPr="008E3100">
        <w:t xml:space="preserve"> (art.</w:t>
      </w:r>
      <w:r>
        <w:t> </w:t>
      </w:r>
      <w:r w:rsidRPr="008E3100">
        <w:t>47).</w:t>
      </w:r>
    </w:p>
    <w:p w14:paraId="53F73C7C" w14:textId="77777777" w:rsidR="00E01CDE" w:rsidRPr="008E3100" w:rsidRDefault="00E01CDE" w:rsidP="00E01CDE">
      <w:pPr>
        <w:pStyle w:val="Nivel2SM"/>
        <w:keepNext/>
        <w:spacing w:after="0"/>
      </w:pPr>
      <w:r w:rsidRPr="008E3100">
        <w:t xml:space="preserve">Cumplir con </w:t>
      </w:r>
      <w:r>
        <w:t>dicho</w:t>
      </w:r>
      <w:r w:rsidRPr="008E3100">
        <w:t xml:space="preserve"> objetivo exige:</w:t>
      </w:r>
    </w:p>
    <w:p w14:paraId="4ED83411" w14:textId="77777777" w:rsidR="00E01CDE" w:rsidRPr="008E3100" w:rsidRDefault="00E01CDE" w:rsidP="00E01CDE">
      <w:pPr>
        <w:pStyle w:val="Nivel3SM"/>
      </w:pPr>
      <w:r w:rsidRPr="008E3100">
        <w:t>Una oferta de viviendas amplia (i.e. que no haya problemas de escasez).</w:t>
      </w:r>
    </w:p>
    <w:p w14:paraId="575253E7" w14:textId="77777777" w:rsidR="00E01CDE" w:rsidRDefault="00E01CDE" w:rsidP="00E01CDE">
      <w:pPr>
        <w:pStyle w:val="Nivel3SM"/>
      </w:pPr>
      <w:r w:rsidRPr="008E3100">
        <w:t>Unos precios moderados (i.e. que no haya problemas de accesibilidad).</w:t>
      </w:r>
    </w:p>
    <w:p w14:paraId="0C69BC0F" w14:textId="77777777" w:rsidR="00E01CDE" w:rsidRPr="00E9295E" w:rsidRDefault="00E01CDE" w:rsidP="00E01CDE">
      <w:pPr>
        <w:pStyle w:val="Nivel2SM"/>
        <w:keepNext/>
        <w:spacing w:after="0"/>
        <w:rPr>
          <w:spacing w:val="2"/>
        </w:rPr>
      </w:pPr>
      <w:r w:rsidRPr="00E9295E">
        <w:rPr>
          <w:spacing w:val="2"/>
        </w:rPr>
        <w:t xml:space="preserve">La intervención del sector público se ha centrado principalmente en </w:t>
      </w:r>
      <w:r w:rsidRPr="00550F66">
        <w:rPr>
          <w:b/>
          <w:bCs/>
          <w:spacing w:val="2"/>
        </w:rPr>
        <w:t>aumentar la oferta de vivienda</w:t>
      </w:r>
      <w:r w:rsidRPr="00E9295E">
        <w:rPr>
          <w:spacing w:val="2"/>
        </w:rPr>
        <w:t xml:space="preserve"> en sus diferentes formas, ya que así se puede atender a los 2 objetivos anteriores. La oferta de vivienda se ha tratado de expandir por diferentes vías:</w:t>
      </w:r>
    </w:p>
    <w:p w14:paraId="4F603795" w14:textId="77777777" w:rsidR="00E01CDE" w:rsidRPr="008E3100" w:rsidRDefault="00E01CDE" w:rsidP="00E01CDE">
      <w:pPr>
        <w:pStyle w:val="Nivel3SM"/>
      </w:pPr>
      <w:r w:rsidRPr="00550F66">
        <w:rPr>
          <w:i/>
          <w:iCs/>
          <w:u w:val="single"/>
        </w:rPr>
        <w:t>Política de suelo</w:t>
      </w:r>
      <w:r w:rsidRPr="008E3100">
        <w:t xml:space="preserve">, que abra nuevas </w:t>
      </w:r>
      <w:r w:rsidRPr="002D2332">
        <w:rPr>
          <w:i/>
          <w:iCs/>
        </w:rPr>
        <w:t>posibilidades de edificación</w:t>
      </w:r>
      <w:r w:rsidRPr="008E3100">
        <w:t>.</w:t>
      </w:r>
    </w:p>
    <w:p w14:paraId="39412872" w14:textId="77777777" w:rsidR="00E01CDE" w:rsidRPr="008E3100" w:rsidRDefault="00E01CDE" w:rsidP="00E01CDE">
      <w:pPr>
        <w:pStyle w:val="Nivel3SM"/>
      </w:pPr>
      <w:r w:rsidRPr="00550F66">
        <w:rPr>
          <w:i/>
          <w:iCs/>
          <w:u w:val="single"/>
        </w:rPr>
        <w:t>Política de vivienda</w:t>
      </w:r>
      <w:r w:rsidRPr="008E3100">
        <w:t xml:space="preserve">, que aproveche dichas posibilidades de edificación para ofertar viviendas a </w:t>
      </w:r>
      <w:r w:rsidRPr="002D2332">
        <w:rPr>
          <w:i/>
          <w:iCs/>
        </w:rPr>
        <w:t>precios razonables</w:t>
      </w:r>
      <w:r w:rsidRPr="008E3100">
        <w:t>.</w:t>
      </w:r>
    </w:p>
    <w:p w14:paraId="13B964AD" w14:textId="77777777" w:rsidR="00E01CDE" w:rsidRPr="008E3100" w:rsidRDefault="00E01CDE" w:rsidP="00E01CDE">
      <w:pPr>
        <w:pStyle w:val="Nivel2SM"/>
      </w:pPr>
      <w:r w:rsidRPr="008E3100">
        <w:t>Veremos primero la política de vivienda y después la de suelo.</w:t>
      </w:r>
    </w:p>
    <w:p w14:paraId="4A57EA5C" w14:textId="77777777" w:rsidR="00E01CDE" w:rsidRDefault="00E01CDE" w:rsidP="00E01CDE">
      <w:pPr>
        <w:pStyle w:val="Ttulo3"/>
      </w:pPr>
      <w:bookmarkStart w:id="46" w:name="_Toc177740141"/>
      <w:r>
        <w:t>P</w:t>
      </w:r>
      <w:r w:rsidRPr="008E3100">
        <w:t>olítica de vivienda</w:t>
      </w:r>
      <w:bookmarkEnd w:id="46"/>
    </w:p>
    <w:p w14:paraId="29C69707" w14:textId="77777777" w:rsidR="00E01CDE" w:rsidRPr="008E3100" w:rsidRDefault="00E01CDE" w:rsidP="00E01CDE">
      <w:pPr>
        <w:pStyle w:val="Ttulo6"/>
        <w:spacing w:before="0"/>
      </w:pPr>
      <w:r w:rsidRPr="008E3100">
        <w:t>Hasta finales de los 50</w:t>
      </w:r>
    </w:p>
    <w:p w14:paraId="429CA595" w14:textId="77777777" w:rsidR="00E01CDE" w:rsidRPr="008E3100" w:rsidRDefault="00E01CDE" w:rsidP="00E01CDE">
      <w:pPr>
        <w:pStyle w:val="Nivel2SM"/>
      </w:pPr>
      <w:r w:rsidRPr="008E3100">
        <w:t>Hasta finales de los años</w:t>
      </w:r>
      <w:r>
        <w:t> </w:t>
      </w:r>
      <w:r w:rsidRPr="008E3100">
        <w:t xml:space="preserve">50 más de la mitad de la población vivía en </w:t>
      </w:r>
      <w:r w:rsidRPr="008E3100">
        <w:rPr>
          <w:b/>
        </w:rPr>
        <w:t>régimen de alquiler</w:t>
      </w:r>
      <w:r w:rsidRPr="008E3100">
        <w:t>. Además el parqu</w:t>
      </w:r>
      <w:r>
        <w:t>e</w:t>
      </w:r>
      <w:r w:rsidRPr="008E3100">
        <w:t xml:space="preserve"> de viviendas nacional se mantuvo constante (estancamiento económico autarquía) lo que llevó a un aumento de las rentas de alquiler.</w:t>
      </w:r>
    </w:p>
    <w:p w14:paraId="0E892E42" w14:textId="77777777" w:rsidR="00E01CDE" w:rsidRPr="008E3100" w:rsidRDefault="00E01CDE" w:rsidP="00E01CDE">
      <w:pPr>
        <w:pStyle w:val="Nivel2SM"/>
        <w:keepNext/>
        <w:spacing w:after="0"/>
      </w:pPr>
      <w:r w:rsidRPr="008E3100">
        <w:t xml:space="preserve">En 1946 se promulga la primera </w:t>
      </w:r>
      <w:r w:rsidRPr="00481237">
        <w:rPr>
          <w:i/>
          <w:iCs/>
          <w:u w:val="single"/>
        </w:rPr>
        <w:t>Ley de Arrendamientos Urbanos</w:t>
      </w:r>
      <w:r>
        <w:t xml:space="preserve"> (LAU)</w:t>
      </w:r>
      <w:r w:rsidRPr="008E3100">
        <w:t>:</w:t>
      </w:r>
    </w:p>
    <w:p w14:paraId="3FC04762" w14:textId="77777777" w:rsidR="00E01CDE" w:rsidRPr="008E3100" w:rsidRDefault="00E01CDE" w:rsidP="00E01CDE">
      <w:pPr>
        <w:pStyle w:val="Nivel3SM"/>
      </w:pPr>
      <w:r w:rsidRPr="008E3100">
        <w:t>Congelación de las rentas de los alquileres.</w:t>
      </w:r>
    </w:p>
    <w:p w14:paraId="4E7F574A" w14:textId="77777777" w:rsidR="00E01CDE" w:rsidRPr="008E3100" w:rsidRDefault="00E01CDE" w:rsidP="00E01CDE">
      <w:pPr>
        <w:pStyle w:val="Nivel3SM"/>
        <w:keepNext/>
      </w:pPr>
      <w:r>
        <w:t>Establece que el inquilino tiene d</w:t>
      </w:r>
      <w:r w:rsidRPr="008E3100">
        <w:t>erecho de prórroga forzosa e indefinida del contrato.</w:t>
      </w:r>
    </w:p>
    <w:p w14:paraId="06447FD0" w14:textId="77777777" w:rsidR="00E01CDE" w:rsidRPr="008E3100" w:rsidRDefault="00E01CDE" w:rsidP="00E01CDE">
      <w:pPr>
        <w:pStyle w:val="Nivel4"/>
        <w:ind w:left="1474"/>
      </w:pPr>
      <w:r w:rsidRPr="008E3100">
        <w:t>Resultado: Ambas medidas desincentivaron la oferta de viviendas de alquiler, lo que generó el efecto contrario al pretendido: un aumento de</w:t>
      </w:r>
      <w:r>
        <w:t>l precio del alquiler</w:t>
      </w:r>
      <w:r w:rsidRPr="008E3100">
        <w:t>.</w:t>
      </w:r>
    </w:p>
    <w:p w14:paraId="0CE7FE72" w14:textId="77777777" w:rsidR="00E01CDE" w:rsidRPr="00725813" w:rsidRDefault="00E01CDE" w:rsidP="00E01CDE">
      <w:pPr>
        <w:pStyle w:val="Ttulo6"/>
      </w:pPr>
      <w:r w:rsidRPr="008E3100">
        <w:t>Desde los años</w:t>
      </w:r>
      <w:r>
        <w:t> </w:t>
      </w:r>
      <w:r w:rsidRPr="008E3100">
        <w:t>60 hasta el estallido de la crisis inmobiliaria</w:t>
      </w:r>
      <w:r>
        <w:t xml:space="preserve"> (1960-2007)</w:t>
      </w:r>
    </w:p>
    <w:p w14:paraId="3B191183" w14:textId="77777777" w:rsidR="00E01CDE" w:rsidRPr="008E3100" w:rsidRDefault="00E01CDE" w:rsidP="00E01CDE">
      <w:pPr>
        <w:pStyle w:val="Nivel2SM"/>
        <w:keepNext/>
        <w:spacing w:after="0"/>
      </w:pPr>
      <w:r w:rsidRPr="008E3100">
        <w:t xml:space="preserve">Tras el </w:t>
      </w:r>
      <w:r>
        <w:t>Plan de Estabilización de 1959,</w:t>
      </w:r>
      <w:r w:rsidRPr="008E3100">
        <w:t xml:space="preserve"> España experimentó una década de bonanza. Esto llevó a la necesidad de aumentar al parqu</w:t>
      </w:r>
      <w:r>
        <w:t>e</w:t>
      </w:r>
      <w:r w:rsidRPr="008E3100">
        <w:t xml:space="preserve"> de viviendas y un fomento de la propiedad lo cual se llevó a cabo mediante:</w:t>
      </w:r>
    </w:p>
    <w:p w14:paraId="4BC1ADF9" w14:textId="77777777" w:rsidR="00E01CDE" w:rsidRPr="008E3100" w:rsidRDefault="00E01CDE" w:rsidP="00E01CDE">
      <w:pPr>
        <w:pStyle w:val="Nivel3SM"/>
      </w:pPr>
      <w:r w:rsidRPr="00E255DC">
        <w:rPr>
          <w:i/>
          <w:iCs/>
          <w:u w:val="single"/>
        </w:rPr>
        <w:t>Las viviendas de protección oficial (</w:t>
      </w:r>
      <w:proofErr w:type="spellStart"/>
      <w:r w:rsidRPr="00E255DC">
        <w:rPr>
          <w:i/>
          <w:iCs/>
          <w:u w:val="single"/>
        </w:rPr>
        <w:t>VPOs</w:t>
      </w:r>
      <w:proofErr w:type="spellEnd"/>
      <w:r w:rsidRPr="00E255DC">
        <w:rPr>
          <w:i/>
          <w:iCs/>
          <w:u w:val="single"/>
        </w:rPr>
        <w:t>)</w:t>
      </w:r>
      <w:r w:rsidRPr="008E3100">
        <w:t>.</w:t>
      </w:r>
    </w:p>
    <w:p w14:paraId="603C0C10" w14:textId="77777777" w:rsidR="00E01CDE" w:rsidRPr="008E3100" w:rsidRDefault="00E01CDE" w:rsidP="00E01CDE">
      <w:pPr>
        <w:pStyle w:val="Nivel3SM"/>
      </w:pPr>
      <w:r w:rsidRPr="00E255DC">
        <w:rPr>
          <w:i/>
          <w:iCs/>
          <w:u w:val="single"/>
        </w:rPr>
        <w:t>Las deducciones por compra de vivienda</w:t>
      </w:r>
      <w:r w:rsidRPr="008E3100">
        <w:t>.</w:t>
      </w:r>
    </w:p>
    <w:p w14:paraId="7AA79D26" w14:textId="77777777" w:rsidR="00E01CDE" w:rsidRPr="008E3100" w:rsidRDefault="00E01CDE" w:rsidP="00E01CDE">
      <w:pPr>
        <w:pStyle w:val="Nivel3SM"/>
      </w:pPr>
      <w:r w:rsidRPr="00E255DC">
        <w:rPr>
          <w:i/>
          <w:iCs/>
          <w:u w:val="single"/>
        </w:rPr>
        <w:t>Una política de alquiler</w:t>
      </w:r>
      <w:r w:rsidRPr="008E3100">
        <w:t>.</w:t>
      </w:r>
    </w:p>
    <w:p w14:paraId="0B44A4C2" w14:textId="77777777" w:rsidR="00E01CDE" w:rsidRPr="00725813" w:rsidRDefault="00E01CDE" w:rsidP="00E01CDE">
      <w:pPr>
        <w:pStyle w:val="Ttulo7"/>
        <w:numPr>
          <w:ilvl w:val="0"/>
          <w:numId w:val="12"/>
        </w:numPr>
        <w:ind w:left="1135" w:hanging="284"/>
      </w:pPr>
      <w:r w:rsidRPr="008E3100">
        <w:t>Viviendas de Protección Oficial</w:t>
      </w:r>
      <w:r>
        <w:t xml:space="preserve"> (</w:t>
      </w:r>
      <w:proofErr w:type="spellStart"/>
      <w:r>
        <w:t>VPOs</w:t>
      </w:r>
      <w:proofErr w:type="spellEnd"/>
      <w:r>
        <w:t>)</w:t>
      </w:r>
    </w:p>
    <w:p w14:paraId="637153F5" w14:textId="77777777" w:rsidR="00E01CDE" w:rsidRPr="008E3100" w:rsidRDefault="00E01CDE" w:rsidP="00E01CDE">
      <w:pPr>
        <w:pStyle w:val="Nivel2SM"/>
        <w:keepNext/>
        <w:spacing w:after="0"/>
      </w:pPr>
      <w:r w:rsidRPr="00481237">
        <w:rPr>
          <w:i/>
          <w:iCs/>
          <w:u w:val="single"/>
        </w:rPr>
        <w:t>Objetivos</w:t>
      </w:r>
      <w:r w:rsidRPr="008E3100">
        <w:t>:</w:t>
      </w:r>
    </w:p>
    <w:p w14:paraId="0DAEC1A9" w14:textId="77777777" w:rsidR="00E01CDE" w:rsidRPr="008E3100" w:rsidRDefault="00E01CDE" w:rsidP="00E01CDE">
      <w:pPr>
        <w:pStyle w:val="Nivel3SM"/>
      </w:pPr>
      <w:r w:rsidRPr="008E3100">
        <w:t>Aumentar la oferta.</w:t>
      </w:r>
    </w:p>
    <w:p w14:paraId="04483A34" w14:textId="77777777" w:rsidR="00E01CDE" w:rsidRPr="008E3100" w:rsidRDefault="00E01CDE" w:rsidP="00E01CDE">
      <w:pPr>
        <w:pStyle w:val="Nivel3SM"/>
      </w:pPr>
      <w:r w:rsidRPr="008E3100">
        <w:t>Fomento de la propiedad.</w:t>
      </w:r>
    </w:p>
    <w:p w14:paraId="61ED8D25" w14:textId="77777777" w:rsidR="00E01CDE" w:rsidRPr="008E3100" w:rsidRDefault="00E01CDE" w:rsidP="00E01CDE">
      <w:pPr>
        <w:pStyle w:val="Nivel2SM"/>
        <w:keepNext/>
        <w:spacing w:after="0"/>
      </w:pPr>
      <w:r w:rsidRPr="00481237">
        <w:rPr>
          <w:i/>
          <w:iCs/>
          <w:u w:val="single"/>
        </w:rPr>
        <w:t>Funcionamiento</w:t>
      </w:r>
      <w:r>
        <w:t>:</w:t>
      </w:r>
    </w:p>
    <w:p w14:paraId="714C9D61" w14:textId="77777777" w:rsidR="00E01CDE" w:rsidRPr="008E3100" w:rsidRDefault="00E01CDE" w:rsidP="00E01CDE">
      <w:pPr>
        <w:pStyle w:val="Nivel3SM"/>
      </w:pPr>
      <w:r w:rsidRPr="008E3100">
        <w:t xml:space="preserve">La construcción de nuevas </w:t>
      </w:r>
      <w:proofErr w:type="spellStart"/>
      <w:r w:rsidRPr="008E3100">
        <w:t>VPOs</w:t>
      </w:r>
      <w:proofErr w:type="spellEnd"/>
      <w:r w:rsidRPr="008E3100">
        <w:t xml:space="preserve"> va a ser desarrollada por promotores privados que recibirían ayudas públicas para realizar estas actividades.</w:t>
      </w:r>
    </w:p>
    <w:p w14:paraId="233E8362" w14:textId="77777777" w:rsidR="00E01CDE" w:rsidRPr="008E3100" w:rsidRDefault="00E01CDE" w:rsidP="00E01CDE">
      <w:pPr>
        <w:pStyle w:val="Nivel3SM"/>
        <w:keepNext/>
      </w:pPr>
      <w:r w:rsidRPr="008E3100">
        <w:t>Tanto el constructor como el comprador quedan sujetos a una serie de condiciones legales:</w:t>
      </w:r>
    </w:p>
    <w:p w14:paraId="304304DE" w14:textId="77777777" w:rsidR="00E01CDE" w:rsidRPr="008E3100" w:rsidRDefault="00E01CDE" w:rsidP="00E01CDE">
      <w:pPr>
        <w:pStyle w:val="Nivel4"/>
        <w:ind w:left="1474"/>
      </w:pPr>
      <w:r w:rsidRPr="008E3100">
        <w:t xml:space="preserve">El </w:t>
      </w:r>
      <w:r w:rsidRPr="007A677B">
        <w:rPr>
          <w:i/>
          <w:iCs/>
        </w:rPr>
        <w:t>constructor</w:t>
      </w:r>
      <w:r>
        <w:t xml:space="preserve"> r</w:t>
      </w:r>
      <w:r w:rsidRPr="008E3100">
        <w:t>ecibe financiación por una gran parte del proyecto (hasta el 80</w:t>
      </w:r>
      <w:r>
        <w:t> </w:t>
      </w:r>
      <w:r w:rsidRPr="008E3100">
        <w:t>%) a un tipo de interés bajo, pero a cambio no puede vender la vivienda por encima de un cierto precio fijado con la Administración.</w:t>
      </w:r>
    </w:p>
    <w:p w14:paraId="161E9051" w14:textId="77777777" w:rsidR="00E01CDE" w:rsidRPr="008E3100" w:rsidRDefault="00E01CDE" w:rsidP="00E01CDE">
      <w:pPr>
        <w:pStyle w:val="Nivel4"/>
        <w:ind w:left="1474"/>
      </w:pPr>
      <w:r w:rsidRPr="008E3100">
        <w:t xml:space="preserve">El </w:t>
      </w:r>
      <w:r w:rsidRPr="007A677B">
        <w:rPr>
          <w:i/>
          <w:iCs/>
        </w:rPr>
        <w:t>comprador</w:t>
      </w:r>
      <w:r>
        <w:t xml:space="preserve"> a</w:t>
      </w:r>
      <w:r w:rsidRPr="008E3100">
        <w:t>dquiere la vivienda por un precio notablemente inferior al de mercado, pero a cambio está obligado a no vender la vivienda durante 30</w:t>
      </w:r>
      <w:r>
        <w:t> </w:t>
      </w:r>
      <w:r w:rsidRPr="008E3100">
        <w:t>años desde la compra.</w:t>
      </w:r>
      <w:r>
        <w:t xml:space="preserve"> </w:t>
      </w:r>
      <w:r w:rsidRPr="008E3100">
        <w:t>Además, para ser beneficiario, el comprador debe satisfacer una serie de requisitos en términos de ingresos y no poseer vivienda en propiedad.</w:t>
      </w:r>
    </w:p>
    <w:p w14:paraId="2D933AD5" w14:textId="77777777" w:rsidR="00E01CDE" w:rsidRPr="008E3100" w:rsidRDefault="00E01CDE" w:rsidP="00E01CDE">
      <w:pPr>
        <w:pStyle w:val="Nivel2SM"/>
        <w:keepNext/>
        <w:spacing w:after="0"/>
      </w:pPr>
      <w:r w:rsidRPr="00481237">
        <w:rPr>
          <w:i/>
          <w:iCs/>
          <w:u w:val="single"/>
        </w:rPr>
        <w:lastRenderedPageBreak/>
        <w:t>Resultado</w:t>
      </w:r>
      <w:r w:rsidRPr="008E3100">
        <w:t>:</w:t>
      </w:r>
    </w:p>
    <w:p w14:paraId="0444DB31" w14:textId="77777777" w:rsidR="00E01CDE" w:rsidRPr="008E3100" w:rsidRDefault="00E01CDE" w:rsidP="00E01CDE">
      <w:pPr>
        <w:pStyle w:val="Nivel3SM"/>
      </w:pPr>
      <w:r w:rsidRPr="008E3100">
        <w:t xml:space="preserve">Con la proliferación de las VPO para venta, se produce un cambio de modelo que </w:t>
      </w:r>
      <w:r w:rsidRPr="00974DFE">
        <w:rPr>
          <w:u w:val="single"/>
        </w:rPr>
        <w:t>prima la propiedad</w:t>
      </w:r>
      <w:r w:rsidRPr="008E3100">
        <w:t>.</w:t>
      </w:r>
    </w:p>
    <w:p w14:paraId="6099AA29" w14:textId="77777777" w:rsidR="00E01CDE" w:rsidRPr="008E3100" w:rsidRDefault="00E01CDE" w:rsidP="00E01CDE">
      <w:pPr>
        <w:pStyle w:val="Nivel3SM"/>
      </w:pPr>
      <w:r w:rsidRPr="008E3100">
        <w:t xml:space="preserve">A mediados de los 70, las VPO llegarán a representar más de </w:t>
      </w:r>
      <w:r w:rsidRPr="008E3100">
        <w:rPr>
          <w:b/>
        </w:rPr>
        <w:t>2/3 de la construcción</w:t>
      </w:r>
      <w:r w:rsidRPr="008E3100">
        <w:t>.</w:t>
      </w:r>
    </w:p>
    <w:p w14:paraId="0221CC0D" w14:textId="77777777" w:rsidR="00E01CDE" w:rsidRPr="00481237" w:rsidRDefault="00E01CDE" w:rsidP="00E01CDE">
      <w:pPr>
        <w:pStyle w:val="Nivel2SM"/>
        <w:keepNext/>
        <w:spacing w:after="0"/>
      </w:pPr>
      <w:r w:rsidRPr="00481237">
        <w:rPr>
          <w:i/>
          <w:iCs/>
          <w:u w:val="single"/>
        </w:rPr>
        <w:t>Problemas</w:t>
      </w:r>
      <w:r w:rsidRPr="00481237">
        <w:t>:</w:t>
      </w:r>
    </w:p>
    <w:p w14:paraId="659DCA70" w14:textId="77777777" w:rsidR="00E01CDE" w:rsidRPr="008E3100" w:rsidRDefault="00E01CDE" w:rsidP="00E01CDE">
      <w:pPr>
        <w:pStyle w:val="Nivel3SM"/>
      </w:pPr>
      <w:r w:rsidRPr="008E3100">
        <w:t xml:space="preserve">No obstante, estas ayudas van a estar diseñadas de forma ineficiente, ya que apenas van a prestar atención a las características socioeconómicas de los adjudicatarios (por ello este sistema se llegó a calificar de </w:t>
      </w:r>
      <w:r w:rsidRPr="00743E88">
        <w:rPr>
          <w:i/>
          <w:iCs/>
        </w:rPr>
        <w:t>“ayudas a la piedra”</w:t>
      </w:r>
      <w:r w:rsidRPr="008E3100">
        <w:t>).</w:t>
      </w:r>
    </w:p>
    <w:p w14:paraId="716C21F9" w14:textId="77777777" w:rsidR="00E01CDE" w:rsidRPr="008E3100" w:rsidRDefault="00E01CDE" w:rsidP="00E01CDE">
      <w:pPr>
        <w:pStyle w:val="Nivel3SM"/>
      </w:pPr>
      <w:r w:rsidRPr="008E3100">
        <w:t>El resultado fue que los promotores prestaron más atención al segmento de rentas más altas, pues se trataba de proyectos más rentables. Por lo tanto, persistió el déficit de vivienda para los colectivos más vulnerables.</w:t>
      </w:r>
    </w:p>
    <w:p w14:paraId="5C6044E4" w14:textId="77777777" w:rsidR="00E01CDE" w:rsidRPr="00974DFE" w:rsidRDefault="00E01CDE" w:rsidP="00E01CDE">
      <w:pPr>
        <w:pStyle w:val="Nivel2SM"/>
        <w:keepNext/>
        <w:spacing w:after="0"/>
        <w:rPr>
          <w:u w:val="single"/>
        </w:rPr>
      </w:pPr>
      <w:r w:rsidRPr="00481237">
        <w:rPr>
          <w:i/>
          <w:iCs/>
          <w:u w:val="single"/>
        </w:rPr>
        <w:t>Solución</w:t>
      </w:r>
      <w:r w:rsidRPr="00481237">
        <w:t xml:space="preserve">: </w:t>
      </w:r>
      <w:r w:rsidRPr="00481237">
        <w:rPr>
          <w:i/>
          <w:iCs/>
        </w:rPr>
        <w:t xml:space="preserve">Ley sobre </w:t>
      </w:r>
      <w:proofErr w:type="spellStart"/>
      <w:r w:rsidRPr="00481237">
        <w:rPr>
          <w:i/>
          <w:iCs/>
        </w:rPr>
        <w:t>VPOs</w:t>
      </w:r>
      <w:proofErr w:type="spellEnd"/>
      <w:r w:rsidRPr="00481237">
        <w:rPr>
          <w:i/>
          <w:iCs/>
        </w:rPr>
        <w:t xml:space="preserve"> de 1978</w:t>
      </w:r>
      <w:r w:rsidRPr="00481237">
        <w:t>.</w:t>
      </w:r>
    </w:p>
    <w:p w14:paraId="743FCD58" w14:textId="77777777" w:rsidR="00E01CDE" w:rsidRPr="008E3100" w:rsidRDefault="00E01CDE" w:rsidP="00E01CDE">
      <w:pPr>
        <w:pStyle w:val="Nivel3SM"/>
      </w:pPr>
      <w:r w:rsidRPr="008E3100">
        <w:t xml:space="preserve">Esta ley reforma el sistema de ayudas, de modo que las viviendas pasan a orientarse más hacia los </w:t>
      </w:r>
      <w:r w:rsidRPr="008E3100">
        <w:rPr>
          <w:b/>
        </w:rPr>
        <w:t>colectivos más desfavorecidos</w:t>
      </w:r>
      <w:r w:rsidRPr="008E3100">
        <w:t xml:space="preserve"> (derecho de percepción en función de las características de la vivienda, ayudas a familias con rentas bajas, etc.).</w:t>
      </w:r>
    </w:p>
    <w:p w14:paraId="4EB5A619" w14:textId="77777777" w:rsidR="00E01CDE" w:rsidRPr="00725813" w:rsidRDefault="00E01CDE" w:rsidP="00E01CDE">
      <w:pPr>
        <w:pStyle w:val="Ttulo7"/>
        <w:numPr>
          <w:ilvl w:val="0"/>
          <w:numId w:val="12"/>
        </w:numPr>
        <w:ind w:left="1135" w:hanging="284"/>
      </w:pPr>
      <w:r w:rsidRPr="008E3100">
        <w:t>Deducciones por compra de vivienda</w:t>
      </w:r>
    </w:p>
    <w:p w14:paraId="29B1F41C" w14:textId="77777777" w:rsidR="00E01CDE" w:rsidRPr="008E3100" w:rsidRDefault="00E01CDE" w:rsidP="00E01CDE">
      <w:pPr>
        <w:pStyle w:val="Nivel2SM"/>
        <w:keepNext/>
        <w:spacing w:after="0"/>
      </w:pPr>
      <w:r w:rsidRPr="002E6583">
        <w:rPr>
          <w:i/>
          <w:iCs/>
          <w:u w:val="single"/>
        </w:rPr>
        <w:t>Objetivos</w:t>
      </w:r>
      <w:r w:rsidRPr="008E3100">
        <w:t>:</w:t>
      </w:r>
    </w:p>
    <w:p w14:paraId="2AEEA6A5" w14:textId="77777777" w:rsidR="00E01CDE" w:rsidRPr="008E3100" w:rsidRDefault="00E01CDE" w:rsidP="00E01CDE">
      <w:pPr>
        <w:pStyle w:val="Nivel3SM"/>
      </w:pPr>
      <w:r w:rsidRPr="008E3100">
        <w:t>Fomento de la propiedad.</w:t>
      </w:r>
    </w:p>
    <w:p w14:paraId="207BE4EE" w14:textId="77777777" w:rsidR="00E01CDE" w:rsidRPr="00743E88" w:rsidRDefault="00E01CDE" w:rsidP="00E01CDE">
      <w:pPr>
        <w:pStyle w:val="Nivel2SM"/>
        <w:keepNext/>
        <w:spacing w:after="0"/>
        <w:rPr>
          <w:u w:val="single"/>
        </w:rPr>
      </w:pPr>
      <w:r w:rsidRPr="002E6583">
        <w:rPr>
          <w:i/>
          <w:iCs/>
          <w:u w:val="single"/>
        </w:rPr>
        <w:t>Medidas</w:t>
      </w:r>
      <w:r>
        <w:t>:</w:t>
      </w:r>
    </w:p>
    <w:p w14:paraId="4C0A41E5" w14:textId="77777777" w:rsidR="00E01CDE" w:rsidRPr="008E3100" w:rsidRDefault="00E01CDE" w:rsidP="00E01CDE">
      <w:pPr>
        <w:pStyle w:val="Nivel3SM"/>
        <w:keepNext/>
      </w:pPr>
      <w:r w:rsidRPr="002E6583">
        <w:rPr>
          <w:i/>
          <w:iCs/>
        </w:rPr>
        <w:t>Reforma del IRPF en 1978</w:t>
      </w:r>
      <w:r>
        <w:t>:</w:t>
      </w:r>
    </w:p>
    <w:p w14:paraId="408EDA50" w14:textId="77777777" w:rsidR="00E01CDE" w:rsidRPr="008E3100" w:rsidRDefault="00E01CDE" w:rsidP="00E01CDE">
      <w:pPr>
        <w:pStyle w:val="Nivel4"/>
        <w:ind w:left="1474"/>
      </w:pPr>
      <w:r w:rsidRPr="000B64F9">
        <w:rPr>
          <w:i/>
          <w:iCs/>
        </w:rPr>
        <w:t>Deducción del 15 %</w:t>
      </w:r>
      <w:r w:rsidRPr="008E3100">
        <w:t xml:space="preserve"> de las cantidades destinadas a la adquisición de vivienda habitual (excluyendo intereses). Esta deducción era, además, universal, pues se la podía aplicar cualquier contribuyente, </w:t>
      </w:r>
      <w:r w:rsidRPr="000B64F9">
        <w:rPr>
          <w:i/>
          <w:iCs/>
        </w:rPr>
        <w:t>independientemente de su nivel de renta</w:t>
      </w:r>
      <w:r w:rsidRPr="008E3100">
        <w:t>.</w:t>
      </w:r>
    </w:p>
    <w:p w14:paraId="435A0D06" w14:textId="77777777" w:rsidR="00E01CDE" w:rsidRPr="008E3100" w:rsidRDefault="00E01CDE" w:rsidP="00E01CDE">
      <w:pPr>
        <w:pStyle w:val="Nivel3SM"/>
        <w:keepNext/>
      </w:pPr>
      <w:r w:rsidRPr="002E6583">
        <w:rPr>
          <w:i/>
          <w:iCs/>
        </w:rPr>
        <w:t>Decreto Boyer de 1985</w:t>
      </w:r>
      <w:r w:rsidRPr="00EC37B1">
        <w:t>:</w:t>
      </w:r>
    </w:p>
    <w:p w14:paraId="70B27079" w14:textId="77777777" w:rsidR="00E01CDE" w:rsidRPr="008E3100" w:rsidRDefault="00E01CDE" w:rsidP="00E01CDE">
      <w:pPr>
        <w:pStyle w:val="Nivel4"/>
        <w:ind w:left="1474"/>
      </w:pPr>
      <w:r w:rsidRPr="008E3100">
        <w:t xml:space="preserve">Se extiende aún más el alcance de esta deducción al eliminar el requisito de vivienda habitual, de modo que </w:t>
      </w:r>
      <w:r w:rsidRPr="000B64F9">
        <w:rPr>
          <w:i/>
          <w:iCs/>
        </w:rPr>
        <w:t>la deducción se puede aplicar también a la compra de 2ª vivienda</w:t>
      </w:r>
      <w:r w:rsidRPr="008E3100">
        <w:t>.</w:t>
      </w:r>
    </w:p>
    <w:p w14:paraId="0891D53C" w14:textId="77777777" w:rsidR="00E01CDE" w:rsidRPr="008E3100" w:rsidRDefault="00E01CDE" w:rsidP="00E01CDE">
      <w:pPr>
        <w:pStyle w:val="Nivel2SM"/>
        <w:keepNext/>
        <w:spacing w:after="0"/>
      </w:pPr>
      <w:r w:rsidRPr="002E6583">
        <w:rPr>
          <w:i/>
          <w:iCs/>
          <w:u w:val="single"/>
        </w:rPr>
        <w:t>Estas medidas tienen un doble problema</w:t>
      </w:r>
      <w:r w:rsidRPr="008E3100">
        <w:t>:</w:t>
      </w:r>
    </w:p>
    <w:p w14:paraId="5DAE1B43" w14:textId="77777777" w:rsidR="00E01CDE" w:rsidRPr="008E3100" w:rsidRDefault="00E01CDE" w:rsidP="00E01CDE">
      <w:pPr>
        <w:pStyle w:val="Nivel3SM"/>
      </w:pPr>
      <w:r w:rsidRPr="008E3100">
        <w:t>Una subvención a un bien cuya oferta es inelástica en el c</w:t>
      </w:r>
      <w:r>
        <w:t>orto plazo</w:t>
      </w:r>
      <w:r w:rsidRPr="008E3100">
        <w:t xml:space="preserve"> se traslada íntegramente a precios, beneficiando a promotores y constructores</w:t>
      </w:r>
      <w:r>
        <w:t xml:space="preserve"> </w:t>
      </w:r>
      <w:r w:rsidRPr="000A26E8">
        <w:rPr>
          <w:color w:val="767171" w:themeColor="background2" w:themeShade="80"/>
          <w:sz w:val="19"/>
          <w:szCs w:val="19"/>
        </w:rPr>
        <w:t>[</w:t>
      </w:r>
      <w:r>
        <w:rPr>
          <w:color w:val="767171" w:themeColor="background2" w:themeShade="80"/>
          <w:sz w:val="19"/>
          <w:szCs w:val="19"/>
        </w:rPr>
        <w:t>ver tema 4.B.9]</w:t>
      </w:r>
      <w:r w:rsidRPr="008E3100">
        <w:t>.</w:t>
      </w:r>
    </w:p>
    <w:p w14:paraId="7B58C994" w14:textId="77777777" w:rsidR="00E01CDE" w:rsidRPr="008E3100" w:rsidRDefault="00E01CDE" w:rsidP="00E01CDE">
      <w:pPr>
        <w:pStyle w:val="Nivel3SM"/>
      </w:pPr>
      <w:r w:rsidRPr="008E3100">
        <w:t>Actúan en dirección opuesta a las medidas de estimulación del alquiler.</w:t>
      </w:r>
    </w:p>
    <w:p w14:paraId="183A36B8" w14:textId="77777777" w:rsidR="00E01CDE" w:rsidRPr="008E3100" w:rsidRDefault="00E01CDE" w:rsidP="00E01CDE">
      <w:pPr>
        <w:pStyle w:val="Ttulo7"/>
        <w:numPr>
          <w:ilvl w:val="0"/>
          <w:numId w:val="12"/>
        </w:numPr>
        <w:ind w:left="1135" w:hanging="284"/>
      </w:pPr>
      <w:r w:rsidRPr="008E3100">
        <w:t>Política de alquiler</w:t>
      </w:r>
    </w:p>
    <w:p w14:paraId="0C51DF61" w14:textId="77777777" w:rsidR="00E01CDE" w:rsidRPr="008E3100" w:rsidRDefault="00E01CDE" w:rsidP="00E01CDE">
      <w:pPr>
        <w:pStyle w:val="Nivel2SM"/>
        <w:keepNext/>
        <w:spacing w:after="0"/>
      </w:pPr>
      <w:r w:rsidRPr="002E6583">
        <w:rPr>
          <w:i/>
          <w:iCs/>
          <w:u w:val="single"/>
        </w:rPr>
        <w:t>Objetivo</w:t>
      </w:r>
      <w:r w:rsidRPr="008E3100">
        <w:t>:</w:t>
      </w:r>
    </w:p>
    <w:p w14:paraId="3BF337FF" w14:textId="77777777" w:rsidR="00E01CDE" w:rsidRPr="008E3100" w:rsidRDefault="00E01CDE" w:rsidP="00E01CDE">
      <w:pPr>
        <w:pStyle w:val="Nivel3SM"/>
      </w:pPr>
      <w:r w:rsidRPr="008E3100">
        <w:t>Aumento de la oferta de alquiler.</w:t>
      </w:r>
    </w:p>
    <w:p w14:paraId="7CB80E78" w14:textId="77777777" w:rsidR="00E01CDE" w:rsidRPr="00743E88" w:rsidRDefault="00E01CDE" w:rsidP="00E01CDE">
      <w:pPr>
        <w:pStyle w:val="Nivel2SM"/>
        <w:keepNext/>
        <w:spacing w:after="0"/>
        <w:rPr>
          <w:u w:val="single"/>
        </w:rPr>
      </w:pPr>
      <w:r w:rsidRPr="002E6583">
        <w:rPr>
          <w:i/>
          <w:iCs/>
          <w:u w:val="single"/>
        </w:rPr>
        <w:t>Medidas</w:t>
      </w:r>
      <w:r>
        <w:t>:</w:t>
      </w:r>
    </w:p>
    <w:p w14:paraId="3C1013D2" w14:textId="77777777" w:rsidR="00E01CDE" w:rsidRPr="008E3100" w:rsidRDefault="00E01CDE" w:rsidP="00E01CDE">
      <w:pPr>
        <w:pStyle w:val="Nivel3SM"/>
        <w:keepNext/>
      </w:pPr>
      <w:r w:rsidRPr="002E6583">
        <w:rPr>
          <w:i/>
          <w:iCs/>
        </w:rPr>
        <w:t>Decreto Boyer de 1985</w:t>
      </w:r>
      <w:r>
        <w:t>:</w:t>
      </w:r>
    </w:p>
    <w:p w14:paraId="4FD52D70" w14:textId="77777777" w:rsidR="00E01CDE" w:rsidRPr="008E3100" w:rsidRDefault="00E01CDE" w:rsidP="00E01CDE">
      <w:pPr>
        <w:pStyle w:val="Nivel4"/>
        <w:ind w:left="1474"/>
      </w:pPr>
      <w:r w:rsidRPr="008E3100">
        <w:t>Liberaliza las rentas de los alquileres de los nuevos contratos.</w:t>
      </w:r>
    </w:p>
    <w:p w14:paraId="403D0CD6" w14:textId="77777777" w:rsidR="00E01CDE" w:rsidRPr="008E3100" w:rsidRDefault="00E01CDE" w:rsidP="00E01CDE">
      <w:pPr>
        <w:pStyle w:val="Nivel4"/>
        <w:ind w:left="1474"/>
      </w:pPr>
      <w:r w:rsidRPr="008E3100">
        <w:t>Suprime la prórroga forzosa de arrendamientos.</w:t>
      </w:r>
    </w:p>
    <w:p w14:paraId="01223DD8" w14:textId="77777777" w:rsidR="00E01CDE" w:rsidRPr="008E3100" w:rsidRDefault="00E01CDE" w:rsidP="00E01CDE">
      <w:pPr>
        <w:pStyle w:val="Nivel3SM"/>
        <w:keepNext/>
      </w:pPr>
      <w:r w:rsidRPr="002E6583">
        <w:rPr>
          <w:i/>
          <w:iCs/>
        </w:rPr>
        <w:t>Ley de Arrendamientos Urbanos (LAU) de 1994</w:t>
      </w:r>
      <w:r>
        <w:t>:</w:t>
      </w:r>
    </w:p>
    <w:p w14:paraId="19AB419E" w14:textId="77777777" w:rsidR="00E01CDE" w:rsidRPr="008E3100" w:rsidRDefault="00E01CDE" w:rsidP="00E01CDE">
      <w:pPr>
        <w:pStyle w:val="Nivel4"/>
        <w:ind w:left="1474"/>
      </w:pPr>
      <w:r w:rsidRPr="008E3100">
        <w:t>Mayor flexibilidad en la duración de los contratos.</w:t>
      </w:r>
    </w:p>
    <w:p w14:paraId="5A00FC13" w14:textId="77777777" w:rsidR="00E01CDE" w:rsidRPr="008E3100" w:rsidRDefault="00E01CDE" w:rsidP="00E01CDE">
      <w:pPr>
        <w:pStyle w:val="Nivel4"/>
        <w:ind w:left="1474"/>
      </w:pPr>
      <w:r w:rsidRPr="008E3100">
        <w:t>Actualización de contratos vía IPC.</w:t>
      </w:r>
    </w:p>
    <w:p w14:paraId="72D35AA6" w14:textId="77777777" w:rsidR="00E01CDE" w:rsidRPr="00743E88" w:rsidRDefault="00E01CDE" w:rsidP="00E01CDE">
      <w:pPr>
        <w:pStyle w:val="Nivel2SM"/>
        <w:keepNext/>
        <w:spacing w:after="0"/>
        <w:rPr>
          <w:u w:val="single"/>
        </w:rPr>
      </w:pPr>
      <w:r w:rsidRPr="002E6583">
        <w:rPr>
          <w:i/>
          <w:iCs/>
          <w:u w:val="single"/>
        </w:rPr>
        <w:t>Problemas</w:t>
      </w:r>
      <w:r>
        <w:t>:</w:t>
      </w:r>
    </w:p>
    <w:p w14:paraId="3149907C" w14:textId="77777777" w:rsidR="00E01CDE" w:rsidRPr="008E3100" w:rsidRDefault="00E01CDE" w:rsidP="00E01CDE">
      <w:pPr>
        <w:pStyle w:val="Nivel3SM"/>
      </w:pPr>
      <w:r w:rsidRPr="008E3100">
        <w:t>Segmentación entre las viviendas sujetas a la nueva normativa y las viviendas de renta antigua.</w:t>
      </w:r>
    </w:p>
    <w:p w14:paraId="6E38BA63" w14:textId="77777777" w:rsidR="00E01CDE" w:rsidRPr="008E3100" w:rsidRDefault="00E01CDE" w:rsidP="00E01CDE">
      <w:pPr>
        <w:pStyle w:val="Nivel3SM"/>
      </w:pPr>
      <w:r w:rsidRPr="008E3100">
        <w:t>Ambas medidas, se vieron fuertemente contrarrestadas por los incentivos a la compra de viviendas, no consiguieron aumentar la oferta de alquiler.</w:t>
      </w:r>
    </w:p>
    <w:p w14:paraId="115363E6" w14:textId="77777777" w:rsidR="00E01CDE" w:rsidRPr="008E3100" w:rsidRDefault="00E01CDE" w:rsidP="00E01CDE">
      <w:pPr>
        <w:pStyle w:val="Ttulo7"/>
      </w:pPr>
      <w:r w:rsidRPr="008E3100">
        <w:lastRenderedPageBreak/>
        <w:t>Resultado</w:t>
      </w:r>
    </w:p>
    <w:p w14:paraId="472C32D0" w14:textId="77777777" w:rsidR="00E01CDE" w:rsidRPr="008E3100" w:rsidRDefault="00E01CDE" w:rsidP="00E01CDE">
      <w:pPr>
        <w:pStyle w:val="Nivel2SM"/>
        <w:keepNext/>
        <w:spacing w:after="0"/>
      </w:pPr>
      <w:r w:rsidRPr="008E3100">
        <w:t xml:space="preserve">Como resultado de las sucesivas iniciativas desarrolladas, el parque de viviendas aumentó notablemente: entre 1950 y 2008, el </w:t>
      </w:r>
      <w:r w:rsidRPr="008E3100">
        <w:rPr>
          <w:u w:val="single"/>
        </w:rPr>
        <w:t>parqu</w:t>
      </w:r>
      <w:r>
        <w:rPr>
          <w:u w:val="single"/>
        </w:rPr>
        <w:t>e</w:t>
      </w:r>
      <w:r w:rsidRPr="008E3100">
        <w:rPr>
          <w:u w:val="single"/>
        </w:rPr>
        <w:t xml:space="preserve"> de viviendas pasó de 6 a 25</w:t>
      </w:r>
      <w:r>
        <w:rPr>
          <w:u w:val="single"/>
        </w:rPr>
        <w:t> </w:t>
      </w:r>
      <w:r w:rsidRPr="008E3100">
        <w:rPr>
          <w:u w:val="single"/>
        </w:rPr>
        <w:t>millones</w:t>
      </w:r>
      <w:r w:rsidRPr="008E3100">
        <w:t>, un aumento de 19</w:t>
      </w:r>
      <w:r>
        <w:t> </w:t>
      </w:r>
      <w:r w:rsidRPr="008E3100">
        <w:t>millones en poco más de 50</w:t>
      </w:r>
      <w:r>
        <w:t> </w:t>
      </w:r>
      <w:r w:rsidRPr="008E3100">
        <w:t>años.</w:t>
      </w:r>
    </w:p>
    <w:p w14:paraId="05A6419D" w14:textId="77777777" w:rsidR="00E01CDE" w:rsidRPr="008E3100" w:rsidRDefault="00E01CDE" w:rsidP="00E01CDE">
      <w:pPr>
        <w:pStyle w:val="Nivel3SM"/>
      </w:pPr>
      <w:r w:rsidRPr="008E3100">
        <w:t xml:space="preserve">En definitiva, se puede decir que la política de vivienda no logró plenamente su objetivo final, pues si bien sí garantizó una oferta abundante, </w:t>
      </w:r>
      <w:r w:rsidRPr="008E3100">
        <w:rPr>
          <w:b/>
          <w:u w:val="single"/>
        </w:rPr>
        <w:t>no lo hizo a precios asequibles</w:t>
      </w:r>
      <w:r w:rsidRPr="008E3100">
        <w:t>.</w:t>
      </w:r>
    </w:p>
    <w:p w14:paraId="562FD4AA" w14:textId="77777777" w:rsidR="00E01CDE" w:rsidRPr="008E3100" w:rsidRDefault="00E01CDE" w:rsidP="00E01CDE">
      <w:pPr>
        <w:pStyle w:val="Nivel3SM"/>
      </w:pPr>
      <w:r w:rsidRPr="008E3100">
        <w:t>De hecho, el indicador “</w:t>
      </w:r>
      <w:r w:rsidRPr="008E3100">
        <w:rPr>
          <w:b/>
        </w:rPr>
        <w:t>esfuerzo para la compra de vivienda</w:t>
      </w:r>
      <w:r w:rsidRPr="008E3100">
        <w:t xml:space="preserve">” (i.e. </w:t>
      </w:r>
      <w:r w:rsidRPr="008E3100">
        <w:rPr>
          <w:b/>
        </w:rPr>
        <w:t>precio de la vivienda dividido entre la renta bruta disponible anual</w:t>
      </w:r>
      <w:r w:rsidRPr="008E3100">
        <w:t xml:space="preserve">) se situaba en 2008 muy cerca de </w:t>
      </w:r>
      <w:r w:rsidRPr="008E3100">
        <w:rPr>
          <w:b/>
        </w:rPr>
        <w:t>14</w:t>
      </w:r>
      <w:r w:rsidRPr="008E3100">
        <w:t>, muy superior a la de otros países</w:t>
      </w:r>
      <w:r>
        <w:rPr>
          <w:rStyle w:val="Refdenotaalpie"/>
        </w:rPr>
        <w:footnoteReference w:id="7"/>
      </w:r>
      <w:r w:rsidRPr="008E3100">
        <w:t>.</w:t>
      </w:r>
    </w:p>
    <w:p w14:paraId="03FE532E" w14:textId="77777777" w:rsidR="00E01CDE" w:rsidRPr="009F631D" w:rsidRDefault="00E01CDE" w:rsidP="00E01CDE">
      <w:pPr>
        <w:pStyle w:val="Ttulo6"/>
      </w:pPr>
      <w:r w:rsidRPr="008E3100">
        <w:t>Desde el estallido de la crisis inmobiliaria hasta la actualidad</w:t>
      </w:r>
      <w:r>
        <w:t xml:space="preserve"> (2007-2020)</w:t>
      </w:r>
    </w:p>
    <w:p w14:paraId="4EC9C1E2" w14:textId="77777777" w:rsidR="00E01CDE" w:rsidRPr="009F631D" w:rsidRDefault="00E01CDE" w:rsidP="00E01CDE">
      <w:pPr>
        <w:pStyle w:val="Ttulo7"/>
        <w:spacing w:before="0"/>
      </w:pPr>
      <w:r w:rsidRPr="008E3100">
        <w:t>Introducción</w:t>
      </w:r>
    </w:p>
    <w:p w14:paraId="2D1FE175" w14:textId="77777777" w:rsidR="00E01CDE" w:rsidRPr="008E3100" w:rsidRDefault="00E01CDE" w:rsidP="00E01CDE">
      <w:pPr>
        <w:pStyle w:val="Nivel2SM"/>
      </w:pPr>
      <w:r w:rsidRPr="008E3100">
        <w:t xml:space="preserve">Tras el estallido de la burbuja inmobiliaria en 2008, se produce una reorientación de la política de vivienda hacia el </w:t>
      </w:r>
      <w:r w:rsidRPr="00497D48">
        <w:rPr>
          <w:i/>
          <w:iCs/>
        </w:rPr>
        <w:t>fomento del alquiler</w:t>
      </w:r>
      <w:r w:rsidRPr="008E3100">
        <w:t xml:space="preserve"> y el </w:t>
      </w:r>
      <w:r w:rsidRPr="00497D48">
        <w:rPr>
          <w:i/>
          <w:iCs/>
        </w:rPr>
        <w:t>impulso de la rehabilitación</w:t>
      </w:r>
      <w:r w:rsidRPr="008E3100">
        <w:t xml:space="preserve">. Además en materia de compra de vivienda recientemente </w:t>
      </w:r>
      <w:r w:rsidRPr="00BD5402">
        <w:rPr>
          <w:i/>
          <w:iCs/>
        </w:rPr>
        <w:t>se ha reformado la ley hipotecaria</w:t>
      </w:r>
      <w:r w:rsidRPr="008E3100">
        <w:t>.</w:t>
      </w:r>
    </w:p>
    <w:p w14:paraId="3B18FDA0" w14:textId="77777777" w:rsidR="00E01CDE" w:rsidRPr="008E3100" w:rsidRDefault="00E01CDE" w:rsidP="00E01CDE">
      <w:pPr>
        <w:pStyle w:val="Ttulo7"/>
        <w:numPr>
          <w:ilvl w:val="0"/>
          <w:numId w:val="38"/>
        </w:numPr>
        <w:ind w:left="1135" w:hanging="284"/>
      </w:pPr>
      <w:r w:rsidRPr="008E3100">
        <w:t>Fomento del alquiler</w:t>
      </w:r>
    </w:p>
    <w:p w14:paraId="48C6BED6" w14:textId="77777777" w:rsidR="00E01CDE" w:rsidRPr="008E3100" w:rsidRDefault="00E01CDE" w:rsidP="00E01CDE">
      <w:pPr>
        <w:pStyle w:val="Nivel2SM"/>
        <w:keepNext/>
        <w:spacing w:after="0"/>
      </w:pPr>
      <w:r w:rsidRPr="008E3100">
        <w:t>Se han llevado a cabo numerosas medidas. Comentamos a continuación las principales y más recientes.</w:t>
      </w:r>
    </w:p>
    <w:p w14:paraId="0B93FE2C" w14:textId="77777777" w:rsidR="00E01CDE" w:rsidRPr="008E3100" w:rsidRDefault="00E01CDE" w:rsidP="00E01CDE">
      <w:pPr>
        <w:pStyle w:val="Nivel3SM"/>
        <w:keepNext/>
      </w:pPr>
      <w:r w:rsidRPr="00C969DF">
        <w:rPr>
          <w:i/>
          <w:iCs/>
          <w:u w:val="single"/>
        </w:rPr>
        <w:t>Plan Estatal de Vivienda y Rehabilitación 2009-2012 (PEVR)</w:t>
      </w:r>
      <w:r>
        <w:rPr>
          <w:bCs/>
        </w:rPr>
        <w:t>.</w:t>
      </w:r>
    </w:p>
    <w:p w14:paraId="478A9D13" w14:textId="77777777" w:rsidR="00E01CDE" w:rsidRPr="008E3100" w:rsidRDefault="00E01CDE" w:rsidP="00E01CDE">
      <w:pPr>
        <w:pStyle w:val="Nivel4"/>
        <w:ind w:left="1474"/>
      </w:pPr>
      <w:r w:rsidRPr="00EF3057">
        <w:t>Presupuesto de 10.000 M€ (un 50 % más que el anterior). Su objetivo principal era que el 40 % de las nuevas viviendas de VPO se destinasen al alquiler</w:t>
      </w:r>
      <w:r w:rsidRPr="008E3100">
        <w:t>.</w:t>
      </w:r>
    </w:p>
    <w:p w14:paraId="2BB8B97F" w14:textId="77777777" w:rsidR="00E01CDE" w:rsidRPr="008E3100" w:rsidRDefault="00E01CDE" w:rsidP="00E01CDE">
      <w:pPr>
        <w:pStyle w:val="Nivel3SM"/>
        <w:keepNext/>
      </w:pPr>
      <w:r w:rsidRPr="00C969DF">
        <w:rPr>
          <w:i/>
          <w:iCs/>
          <w:u w:val="single"/>
        </w:rPr>
        <w:t>Ley de Medidas para el Fomento del Alquiler de 2013</w:t>
      </w:r>
      <w:r>
        <w:t>:</w:t>
      </w:r>
    </w:p>
    <w:p w14:paraId="68B0FD93" w14:textId="77777777" w:rsidR="00E01CDE" w:rsidRPr="008E3100" w:rsidRDefault="00E01CDE" w:rsidP="00E01CDE">
      <w:pPr>
        <w:pStyle w:val="Nivel4"/>
        <w:keepNext/>
        <w:ind w:left="1474"/>
      </w:pPr>
      <w:r w:rsidRPr="00374E15">
        <w:rPr>
          <w:i/>
          <w:iCs/>
        </w:rPr>
        <w:t>Objetivo</w:t>
      </w:r>
      <w:r w:rsidRPr="008E3100">
        <w:t>:</w:t>
      </w:r>
    </w:p>
    <w:p w14:paraId="68FCD255" w14:textId="77777777" w:rsidR="00E01CDE" w:rsidRPr="008E3100" w:rsidRDefault="00E01CDE" w:rsidP="00E01CDE">
      <w:pPr>
        <w:pStyle w:val="Nivel5"/>
        <w:ind w:left="1871"/>
      </w:pPr>
      <w:r w:rsidRPr="008E3100">
        <w:t>Flexibiliza la relación entre las partes:</w:t>
      </w:r>
    </w:p>
    <w:p w14:paraId="461DF03A" w14:textId="77777777" w:rsidR="00E01CDE" w:rsidRPr="008E3100" w:rsidRDefault="00E01CDE" w:rsidP="00E01CDE">
      <w:pPr>
        <w:pStyle w:val="Nivel4"/>
        <w:keepNext/>
        <w:ind w:left="1474"/>
      </w:pPr>
      <w:r w:rsidRPr="00DA22E5">
        <w:rPr>
          <w:i/>
          <w:iCs/>
          <w:u w:val="single"/>
        </w:rPr>
        <w:t>Medidas</w:t>
      </w:r>
      <w:r w:rsidRPr="008E3100">
        <w:t>:</w:t>
      </w:r>
    </w:p>
    <w:p w14:paraId="0595C9C0" w14:textId="77777777" w:rsidR="00E01CDE" w:rsidRPr="008E3100" w:rsidRDefault="00E01CDE" w:rsidP="00E01CDE">
      <w:pPr>
        <w:pStyle w:val="Nivel5"/>
        <w:ind w:left="1871"/>
      </w:pPr>
      <w:r w:rsidRPr="00DA22E5">
        <w:rPr>
          <w:i/>
          <w:iCs/>
        </w:rPr>
        <w:t>Reducción de la prórroga forzosa</w:t>
      </w:r>
      <w:r w:rsidRPr="008E3100">
        <w:t>. La prórroga optativa forzosa en favor del arrendatario se reduce de 5 a 3</w:t>
      </w:r>
      <w:r>
        <w:t> </w:t>
      </w:r>
      <w:r w:rsidRPr="008E3100">
        <w:t>años desde la firma del contrato.</w:t>
      </w:r>
    </w:p>
    <w:p w14:paraId="5E6974B5" w14:textId="77777777" w:rsidR="00E01CDE" w:rsidRPr="008E3100" w:rsidRDefault="00E01CDE" w:rsidP="00E01CDE">
      <w:pPr>
        <w:pStyle w:val="Nivel5"/>
        <w:keepNext/>
        <w:ind w:left="1871"/>
      </w:pPr>
      <w:r w:rsidRPr="00DA22E5">
        <w:rPr>
          <w:i/>
          <w:iCs/>
        </w:rPr>
        <w:t>Facilidades para dejar o recuperar la vivienda</w:t>
      </w:r>
      <w:r w:rsidRPr="008E3100">
        <w:t>:</w:t>
      </w:r>
    </w:p>
    <w:p w14:paraId="0EAF392B" w14:textId="77777777" w:rsidR="00E01CDE" w:rsidRPr="008E3100" w:rsidRDefault="00E01CDE" w:rsidP="00E01CDE">
      <w:pPr>
        <w:pStyle w:val="Nivel6"/>
        <w:ind w:left="2212"/>
      </w:pPr>
      <w:r w:rsidRPr="00AC2C72">
        <w:rPr>
          <w:i/>
          <w:iCs/>
        </w:rPr>
        <w:t>Arrendatario</w:t>
      </w:r>
      <w:r w:rsidRPr="008E3100">
        <w:t xml:space="preserve">: Podrá </w:t>
      </w:r>
      <w:r w:rsidRPr="00AC2C72">
        <w:rPr>
          <w:bCs/>
        </w:rPr>
        <w:t>rescindir el contrato</w:t>
      </w:r>
      <w:r w:rsidRPr="008E3100">
        <w:t xml:space="preserve"> sin pagar indemnización si han pasado al menos 6</w:t>
      </w:r>
      <w:r>
        <w:t> </w:t>
      </w:r>
      <w:r w:rsidRPr="008E3100">
        <w:t>meses y avisa con 1</w:t>
      </w:r>
      <w:r>
        <w:t> </w:t>
      </w:r>
      <w:r w:rsidRPr="008E3100">
        <w:t>mes de antelación</w:t>
      </w:r>
      <w:r>
        <w:t>.</w:t>
      </w:r>
    </w:p>
    <w:p w14:paraId="7330F24C" w14:textId="77777777" w:rsidR="00E01CDE" w:rsidRPr="008E3100" w:rsidRDefault="00E01CDE" w:rsidP="00E01CDE">
      <w:pPr>
        <w:pStyle w:val="Nivel6"/>
        <w:ind w:left="2212"/>
      </w:pPr>
      <w:r w:rsidRPr="00AC2C72">
        <w:rPr>
          <w:i/>
          <w:iCs/>
        </w:rPr>
        <w:t>Arrendador</w:t>
      </w:r>
      <w:r w:rsidRPr="008E3100">
        <w:t xml:space="preserve">: Podrá </w:t>
      </w:r>
      <w:r w:rsidRPr="00AC2C72">
        <w:rPr>
          <w:bCs/>
        </w:rPr>
        <w:t>rescindir el contrato</w:t>
      </w:r>
      <w:r w:rsidRPr="008E3100">
        <w:t xml:space="preserve"> sin pagar indemnización en caso de necesitarla para él o para un familiar de primer grado si ha pasado al menos 1</w:t>
      </w:r>
      <w:r>
        <w:t> </w:t>
      </w:r>
      <w:r w:rsidRPr="008E3100">
        <w:t>año y avisa con 2</w:t>
      </w:r>
      <w:r>
        <w:t> </w:t>
      </w:r>
      <w:r w:rsidRPr="008E3100">
        <w:t>meses de antelación.</w:t>
      </w:r>
    </w:p>
    <w:p w14:paraId="37CC38FC" w14:textId="77777777" w:rsidR="00E01CDE" w:rsidRPr="008E3100" w:rsidRDefault="00E01CDE" w:rsidP="00E01CDE">
      <w:pPr>
        <w:pStyle w:val="Nivel5"/>
        <w:ind w:left="1871"/>
      </w:pPr>
      <w:r w:rsidRPr="00DA22E5">
        <w:rPr>
          <w:i/>
          <w:iCs/>
        </w:rPr>
        <w:t>Registro de inquilinos morosos</w:t>
      </w:r>
      <w:r w:rsidRPr="008E3100">
        <w:t>. Se trata de un registro de sentencias firmes de impagos de rentas del alquiler, lo que permite reducir la información asimétrica.</w:t>
      </w:r>
    </w:p>
    <w:p w14:paraId="30B2DA43" w14:textId="77777777" w:rsidR="00E01CDE" w:rsidRPr="008E3100" w:rsidRDefault="00E01CDE" w:rsidP="00E01CDE">
      <w:pPr>
        <w:pStyle w:val="Nivel5"/>
        <w:keepNext/>
        <w:ind w:left="1871"/>
      </w:pPr>
      <w:r w:rsidRPr="00DA22E5">
        <w:rPr>
          <w:i/>
          <w:iCs/>
        </w:rPr>
        <w:t>Agilización del desahucio exprés</w:t>
      </w:r>
      <w:r w:rsidRPr="008E3100">
        <w:t>.</w:t>
      </w:r>
    </w:p>
    <w:p w14:paraId="586C1774" w14:textId="77777777" w:rsidR="00E01CDE" w:rsidRPr="008E3100" w:rsidRDefault="00E01CDE" w:rsidP="00E01CDE">
      <w:pPr>
        <w:pStyle w:val="Nivel6"/>
        <w:ind w:left="2212"/>
      </w:pPr>
      <w:r w:rsidRPr="008E3100">
        <w:t xml:space="preserve">En caso de </w:t>
      </w:r>
      <w:r w:rsidRPr="00DA22E5">
        <w:rPr>
          <w:bCs/>
          <w:i/>
          <w:iCs/>
        </w:rPr>
        <w:t>morosidad</w:t>
      </w:r>
      <w:r w:rsidRPr="008E3100">
        <w:t xml:space="preserve">, incluso con 1 solo mes de impago, se rescinde el contrato y se inicia el procedimiento de desahucio. </w:t>
      </w:r>
      <w:r w:rsidRPr="00C969DF">
        <w:rPr>
          <w:bCs/>
          <w:i/>
          <w:iCs/>
        </w:rPr>
        <w:t>El desalojo podrá efectuarse a los 10 días, reduciendo los trámites y notificaciones</w:t>
      </w:r>
      <w:r w:rsidRPr="008E3100">
        <w:t>.</w:t>
      </w:r>
    </w:p>
    <w:p w14:paraId="45CC922F" w14:textId="77777777" w:rsidR="00E01CDE" w:rsidRPr="008E3100" w:rsidRDefault="00E01CDE" w:rsidP="00E01CDE">
      <w:pPr>
        <w:pStyle w:val="Nivel6"/>
        <w:ind w:left="2212"/>
      </w:pPr>
      <w:r w:rsidRPr="008E3100">
        <w:t xml:space="preserve">No obstante mediante la </w:t>
      </w:r>
      <w:r w:rsidRPr="00C969DF">
        <w:rPr>
          <w:i/>
          <w:iCs/>
          <w:u w:val="single"/>
        </w:rPr>
        <w:t xml:space="preserve">Ley </w:t>
      </w:r>
      <w:proofErr w:type="spellStart"/>
      <w:r w:rsidRPr="00C969DF">
        <w:rPr>
          <w:i/>
          <w:iCs/>
          <w:u w:val="single"/>
        </w:rPr>
        <w:t>Antidesahucios</w:t>
      </w:r>
      <w:proofErr w:type="spellEnd"/>
      <w:r w:rsidRPr="00C969DF">
        <w:rPr>
          <w:i/>
          <w:iCs/>
          <w:u w:val="single"/>
        </w:rPr>
        <w:t xml:space="preserve"> de 2013</w:t>
      </w:r>
      <w:r w:rsidRPr="008E3100">
        <w:t xml:space="preserve"> se prevé la suspensión de los desahucios durante </w:t>
      </w:r>
      <w:r>
        <w:t>2 </w:t>
      </w:r>
      <w:r w:rsidRPr="008E3100">
        <w:t>años para los colectivos más vulnerables.</w:t>
      </w:r>
    </w:p>
    <w:p w14:paraId="5410F522" w14:textId="77777777" w:rsidR="00E01CDE" w:rsidRPr="00D22C5D" w:rsidRDefault="00E01CDE" w:rsidP="00E01CDE">
      <w:pPr>
        <w:pStyle w:val="Nivel3SM"/>
        <w:keepNext/>
        <w:jc w:val="left"/>
        <w:rPr>
          <w:i/>
          <w:iCs/>
          <w:u w:val="single"/>
        </w:rPr>
      </w:pPr>
      <w:r w:rsidRPr="00D22C5D">
        <w:rPr>
          <w:i/>
          <w:iCs/>
          <w:u w:val="single"/>
        </w:rPr>
        <w:lastRenderedPageBreak/>
        <w:t>RDL de Medidas Urgentes en materia de Vivienda y Alquiler 201</w:t>
      </w:r>
      <w:r>
        <w:rPr>
          <w:i/>
          <w:iCs/>
          <w:u w:val="single"/>
        </w:rPr>
        <w:t>9</w:t>
      </w:r>
    </w:p>
    <w:p w14:paraId="2998EDF3" w14:textId="77777777" w:rsidR="00E01CDE" w:rsidRPr="008E3100" w:rsidRDefault="00E01CDE" w:rsidP="00E01CDE">
      <w:pPr>
        <w:pStyle w:val="Notaalopositor"/>
      </w:pPr>
      <w:r>
        <w:t>Las medidas que están aquí son las de la propuesta de diciembre de 2018</w:t>
      </w:r>
      <w:r w:rsidRPr="008E3100">
        <w:t xml:space="preserve"> que no se aprobó. El que sí se aprobó fue en </w:t>
      </w:r>
      <w:r>
        <w:t>a</w:t>
      </w:r>
      <w:r w:rsidRPr="008E3100">
        <w:t xml:space="preserve">bril </w:t>
      </w:r>
      <w:r>
        <w:t xml:space="preserve">de </w:t>
      </w:r>
      <w:r w:rsidRPr="008E3100">
        <w:t xml:space="preserve">2019 (probablemente son </w:t>
      </w:r>
      <w:r>
        <w:t>muy parecidos</w:t>
      </w:r>
      <w:r w:rsidRPr="008E3100">
        <w:t xml:space="preserve">, pero tengo duda </w:t>
      </w:r>
      <w:r>
        <w:t>sobre</w:t>
      </w:r>
      <w:r w:rsidRPr="008E3100">
        <w:t xml:space="preserve"> lo de los precios)</w:t>
      </w:r>
      <w:r>
        <w:t>.</w:t>
      </w:r>
    </w:p>
    <w:p w14:paraId="6AED3986" w14:textId="19BC251E" w:rsidR="00E01CDE" w:rsidRPr="008E3100" w:rsidRDefault="00000000" w:rsidP="00E01CDE">
      <w:pPr>
        <w:pStyle w:val="Notaalopositor"/>
        <w:rPr>
          <w:u w:val="single"/>
        </w:rPr>
      </w:pPr>
      <w:hyperlink r:id="rId16" w:history="1">
        <w:r w:rsidR="00E01CDE" w:rsidRPr="008E3100">
          <w:rPr>
            <w:rStyle w:val="Hipervnculo"/>
          </w:rPr>
          <w:t>https://www.auren.com/es-ES/blog/abogados-y-asesores-fiscales/2019-03-19/principales-novedades-del-decreto-ley-de-medidas-urgentes-en-materia-de-vivienda-y-alquiler</w:t>
        </w:r>
      </w:hyperlink>
    </w:p>
    <w:p w14:paraId="29C4B700" w14:textId="77777777" w:rsidR="00E01CDE" w:rsidRPr="008E3100" w:rsidRDefault="00E01CDE" w:rsidP="00E01CDE">
      <w:pPr>
        <w:pStyle w:val="Nivel4"/>
        <w:keepNext/>
        <w:ind w:left="1474"/>
      </w:pPr>
      <w:r w:rsidRPr="00D22C5D">
        <w:rPr>
          <w:i/>
          <w:iCs/>
        </w:rPr>
        <w:t>Objetivo</w:t>
      </w:r>
      <w:r>
        <w:t>:</w:t>
      </w:r>
    </w:p>
    <w:p w14:paraId="7AAD556F" w14:textId="77777777" w:rsidR="00E01CDE" w:rsidRPr="008E3100" w:rsidRDefault="00E01CDE" w:rsidP="00E01CDE">
      <w:pPr>
        <w:pStyle w:val="Nivel5"/>
        <w:ind w:left="1871"/>
        <w:rPr>
          <w:u w:val="single"/>
        </w:rPr>
      </w:pPr>
      <w:r w:rsidRPr="008E3100">
        <w:t xml:space="preserve">Con el objetivo de aliviar los precios y la escasez de oferta que experimenta el sector del alquiler el gobierno aprobó un decreto ley en </w:t>
      </w:r>
      <w:r>
        <w:t>abril</w:t>
      </w:r>
      <w:r w:rsidRPr="008E3100">
        <w:t xml:space="preserve"> de </w:t>
      </w:r>
      <w:r>
        <w:t>2019</w:t>
      </w:r>
      <w:r w:rsidRPr="008E3100">
        <w:t>.</w:t>
      </w:r>
    </w:p>
    <w:p w14:paraId="66B38CBE" w14:textId="77777777" w:rsidR="00E01CDE" w:rsidRPr="008E3100" w:rsidRDefault="00E01CDE" w:rsidP="00E01CDE">
      <w:pPr>
        <w:pStyle w:val="Nivel4"/>
        <w:keepNext/>
        <w:ind w:left="1474"/>
      </w:pPr>
      <w:r w:rsidRPr="008E3100">
        <w:t xml:space="preserve">Entre las </w:t>
      </w:r>
      <w:r w:rsidRPr="00D22C5D">
        <w:rPr>
          <w:i/>
          <w:iCs/>
        </w:rPr>
        <w:t>principales medidas</w:t>
      </w:r>
      <w:r w:rsidRPr="008E3100">
        <w:t xml:space="preserve"> destacan (6):</w:t>
      </w:r>
    </w:p>
    <w:p w14:paraId="112B33F6" w14:textId="77777777" w:rsidR="00E01CDE" w:rsidRPr="00654333" w:rsidRDefault="00E01CDE" w:rsidP="00E01CDE">
      <w:pPr>
        <w:pStyle w:val="Nivel5"/>
        <w:ind w:left="1871"/>
        <w:rPr>
          <w:highlight w:val="yellow"/>
          <w:u w:val="single"/>
        </w:rPr>
      </w:pPr>
      <w:r w:rsidRPr="00654333">
        <w:rPr>
          <w:i/>
          <w:iCs/>
          <w:highlight w:val="yellow"/>
        </w:rPr>
        <w:t>Precio de los contratos</w:t>
      </w:r>
      <w:r w:rsidRPr="00654333">
        <w:rPr>
          <w:highlight w:val="yellow"/>
        </w:rPr>
        <w:t>: Posibilidad para los ayuntamientos de limitar el precio de los arrendamientos de forma temporal y excepcional en una zona urbana de “mercado tensionado”.</w:t>
      </w:r>
    </w:p>
    <w:p w14:paraId="41751D2A" w14:textId="77777777" w:rsidR="00E01CDE" w:rsidRPr="00C969DF" w:rsidRDefault="00E01CDE" w:rsidP="00E01CDE">
      <w:pPr>
        <w:pStyle w:val="Nivel5"/>
        <w:ind w:left="1871"/>
        <w:rPr>
          <w:u w:val="single"/>
        </w:rPr>
      </w:pPr>
      <w:r w:rsidRPr="008E3100">
        <w:t>Duración en los contratos</w:t>
      </w:r>
      <w:r>
        <w:t xml:space="preserve">: </w:t>
      </w:r>
      <w:r w:rsidRPr="008E3100">
        <w:t xml:space="preserve">Ampliación de la duración de los contratos de alquiler. </w:t>
      </w:r>
      <w:r>
        <w:t>5 </w:t>
      </w:r>
      <w:r w:rsidRPr="008E3100">
        <w:t xml:space="preserve">años para propietarios particulares y </w:t>
      </w:r>
      <w:r>
        <w:t>7 años</w:t>
      </w:r>
      <w:r w:rsidRPr="008E3100">
        <w:t xml:space="preserve"> si son empresas.</w:t>
      </w:r>
    </w:p>
    <w:p w14:paraId="44ECA1F5" w14:textId="77777777" w:rsidR="00E01CDE" w:rsidRPr="00C969DF" w:rsidRDefault="00E01CDE" w:rsidP="00E01CDE">
      <w:pPr>
        <w:pStyle w:val="Nivel5"/>
        <w:ind w:left="1871"/>
        <w:rPr>
          <w:u w:val="single"/>
        </w:rPr>
      </w:pPr>
      <w:r w:rsidRPr="00C969DF">
        <w:rPr>
          <w:i/>
          <w:iCs/>
        </w:rPr>
        <w:t>Limitación en el aumento de rentas</w:t>
      </w:r>
      <w:r>
        <w:t xml:space="preserve">: </w:t>
      </w:r>
      <w:r w:rsidRPr="008E3100">
        <w:t>Los contratos de hasta 600</w:t>
      </w:r>
      <w:r>
        <w:t> €</w:t>
      </w:r>
      <w:r w:rsidRPr="008E3100">
        <w:t xml:space="preserve"> no subirán más del IPC.</w:t>
      </w:r>
    </w:p>
    <w:p w14:paraId="450E1BB4" w14:textId="77777777" w:rsidR="00E01CDE" w:rsidRPr="008E3100" w:rsidRDefault="00E01CDE" w:rsidP="00E01CDE">
      <w:pPr>
        <w:pStyle w:val="Nivel5"/>
        <w:ind w:left="1871"/>
      </w:pPr>
      <w:r w:rsidRPr="00C969DF">
        <w:rPr>
          <w:i/>
          <w:iCs/>
        </w:rPr>
        <w:t>Incentivos fiscales y bonificaciones</w:t>
      </w:r>
      <w:r>
        <w:t xml:space="preserve">: </w:t>
      </w:r>
      <w:r w:rsidRPr="008E3100">
        <w:t>Vía libre para que los ayuntamientos establezcan incentivos fiscales para el alquiler.</w:t>
      </w:r>
      <w:r>
        <w:t xml:space="preserve"> </w:t>
      </w:r>
      <w:r w:rsidRPr="008E3100">
        <w:t>Los ayuntamientos podrán aplicar una bonificación de hasta el 95</w:t>
      </w:r>
      <w:r>
        <w:t> </w:t>
      </w:r>
      <w:r w:rsidRPr="008E3100">
        <w:t>% en la cuota del IBI pero solo en alquileres con precio limitado.</w:t>
      </w:r>
    </w:p>
    <w:p w14:paraId="4949B137" w14:textId="03AA84DD" w:rsidR="00E01CDE" w:rsidRPr="00C969DF" w:rsidRDefault="00E01CDE" w:rsidP="00E01CDE">
      <w:pPr>
        <w:pStyle w:val="Nivel5"/>
        <w:ind w:left="1871"/>
        <w:rPr>
          <w:u w:val="single"/>
        </w:rPr>
      </w:pPr>
      <w:r w:rsidRPr="00C969DF">
        <w:rPr>
          <w:i/>
          <w:iCs/>
        </w:rPr>
        <w:t>Aumento del parque</w:t>
      </w:r>
      <w:r>
        <w:t xml:space="preserve">: </w:t>
      </w:r>
      <w:r w:rsidRPr="008E3100">
        <w:t>Además</w:t>
      </w:r>
      <w:r w:rsidR="00D62A04">
        <w:t>,</w:t>
      </w:r>
      <w:r w:rsidRPr="008E3100">
        <w:t xml:space="preserve"> los gobiernos locales podrán utilizar su superávit para promover su parque de vivienda pública.</w:t>
      </w:r>
    </w:p>
    <w:p w14:paraId="2B20693E" w14:textId="77777777" w:rsidR="00E01CDE" w:rsidRPr="008E3100" w:rsidRDefault="00E01CDE" w:rsidP="00E01CDE">
      <w:pPr>
        <w:pStyle w:val="Nivel5"/>
        <w:ind w:left="1871"/>
      </w:pPr>
      <w:r w:rsidRPr="00C969DF">
        <w:rPr>
          <w:i/>
          <w:iCs/>
        </w:rPr>
        <w:t>Pisos turísticos</w:t>
      </w:r>
      <w:r w:rsidRPr="008E3100">
        <w:t>:</w:t>
      </w:r>
      <w:r>
        <w:t xml:space="preserve"> </w:t>
      </w:r>
      <w:r w:rsidRPr="008E3100">
        <w:t>Se facilitará que las comunidades de vecinos puedan limitar los pisos vacacionales.</w:t>
      </w:r>
    </w:p>
    <w:p w14:paraId="15723655" w14:textId="77777777" w:rsidR="00E01CDE" w:rsidRPr="00554D45" w:rsidRDefault="00E01CDE" w:rsidP="00E01CDE">
      <w:pPr>
        <w:pStyle w:val="Nivel3SM"/>
        <w:keepNext/>
        <w:rPr>
          <w:u w:val="single"/>
        </w:rPr>
      </w:pPr>
      <w:r>
        <w:rPr>
          <w:u w:val="single"/>
        </w:rPr>
        <w:t>Plan de Infraestructura, Transporte y Vivienda (</w:t>
      </w:r>
      <w:r w:rsidRPr="00554D45">
        <w:rPr>
          <w:u w:val="single"/>
        </w:rPr>
        <w:t>PITVI</w:t>
      </w:r>
      <w:r>
        <w:rPr>
          <w:u w:val="single"/>
        </w:rPr>
        <w:t>)</w:t>
      </w:r>
      <w:r w:rsidRPr="00554D45">
        <w:rPr>
          <w:u w:val="single"/>
        </w:rPr>
        <w:t xml:space="preserve"> 2018</w:t>
      </w:r>
      <w:r>
        <w:rPr>
          <w:u w:val="single"/>
        </w:rPr>
        <w:t>-</w:t>
      </w:r>
      <w:r w:rsidRPr="00554D45">
        <w:rPr>
          <w:u w:val="single"/>
        </w:rPr>
        <w:t>2021</w:t>
      </w:r>
      <w:r>
        <w:t>:</w:t>
      </w:r>
    </w:p>
    <w:p w14:paraId="599B274E" w14:textId="77777777" w:rsidR="00E01CDE" w:rsidRPr="008E3100" w:rsidRDefault="00E01CDE" w:rsidP="00E01CDE">
      <w:pPr>
        <w:pStyle w:val="Nivel4"/>
        <w:keepNext/>
        <w:ind w:left="1474"/>
      </w:pPr>
      <w:r w:rsidRPr="00AD5BC5">
        <w:rPr>
          <w:i/>
          <w:iCs/>
        </w:rPr>
        <w:t>Ayudas directas al alquiler para población con escasos medios</w:t>
      </w:r>
      <w:r>
        <w:t>:</w:t>
      </w:r>
    </w:p>
    <w:p w14:paraId="303FBFAB" w14:textId="77777777" w:rsidR="00E01CDE" w:rsidRPr="008E3100" w:rsidRDefault="00E01CDE" w:rsidP="00E01CDE">
      <w:pPr>
        <w:pStyle w:val="Nivel5"/>
        <w:ind w:left="1871"/>
      </w:pPr>
      <w:r w:rsidRPr="008E3100">
        <w:t>Con carácter general: hasta el 40</w:t>
      </w:r>
      <w:r>
        <w:t> </w:t>
      </w:r>
      <w:r w:rsidRPr="008E3100">
        <w:t>% de la renta mensual</w:t>
      </w:r>
    </w:p>
    <w:p w14:paraId="18A8BEEB" w14:textId="77777777" w:rsidR="00E01CDE" w:rsidRPr="008E3100" w:rsidRDefault="00E01CDE" w:rsidP="00E01CDE">
      <w:pPr>
        <w:pStyle w:val="Nivel5"/>
        <w:ind w:left="1871"/>
      </w:pPr>
      <w:r w:rsidRPr="008E3100">
        <w:t>Mayores de 65</w:t>
      </w:r>
      <w:r>
        <w:t> </w:t>
      </w:r>
      <w:r w:rsidRPr="008E3100">
        <w:t>años: hasta el 50</w:t>
      </w:r>
      <w:r>
        <w:t> </w:t>
      </w:r>
      <w:r w:rsidRPr="008E3100">
        <w:t>% de la renta mensual</w:t>
      </w:r>
    </w:p>
    <w:p w14:paraId="1CB0EEE7" w14:textId="77777777" w:rsidR="00E01CDE" w:rsidRPr="008E3100" w:rsidRDefault="00E01CDE" w:rsidP="00E01CDE">
      <w:pPr>
        <w:pStyle w:val="Nivel5"/>
        <w:ind w:left="1871"/>
      </w:pPr>
      <w:r w:rsidRPr="008E3100">
        <w:t>Ayuda hasta el 30</w:t>
      </w:r>
      <w:r>
        <w:t> </w:t>
      </w:r>
      <w:r w:rsidRPr="008E3100">
        <w:t>% del alquiler en el tramo comprendido entre 601 y 900</w:t>
      </w:r>
      <w:r>
        <w:t> </w:t>
      </w:r>
      <w:r w:rsidRPr="008E3100">
        <w:t>euros en determinados ámbitos a definir por las comunidades autónomas.</w:t>
      </w:r>
    </w:p>
    <w:p w14:paraId="4AC9C9DE" w14:textId="77777777" w:rsidR="00E01CDE" w:rsidRPr="008E3100" w:rsidRDefault="00E01CDE" w:rsidP="00E01CDE">
      <w:pPr>
        <w:pStyle w:val="Nivel4"/>
        <w:keepNext/>
        <w:ind w:left="1474"/>
      </w:pPr>
      <w:r w:rsidRPr="00AD5BC5">
        <w:rPr>
          <w:i/>
          <w:iCs/>
        </w:rPr>
        <w:t>Programa de Ayuda a los jóvenes con recursos escasos</w:t>
      </w:r>
      <w:r>
        <w:t>:</w:t>
      </w:r>
    </w:p>
    <w:p w14:paraId="3A521B19" w14:textId="77777777" w:rsidR="00E01CDE" w:rsidRPr="008E3100" w:rsidRDefault="00E01CDE" w:rsidP="00E01CDE">
      <w:pPr>
        <w:pStyle w:val="Nivel5"/>
        <w:ind w:left="1871"/>
      </w:pPr>
      <w:r w:rsidRPr="008E3100">
        <w:t>Hasta 50</w:t>
      </w:r>
      <w:r>
        <w:t> </w:t>
      </w:r>
      <w:r w:rsidRPr="008E3100">
        <w:t>% del alquiler mensual.</w:t>
      </w:r>
    </w:p>
    <w:p w14:paraId="7AE65290" w14:textId="77777777" w:rsidR="00E01CDE" w:rsidRPr="008E3100" w:rsidRDefault="00E01CDE" w:rsidP="00E01CDE">
      <w:pPr>
        <w:pStyle w:val="Nivel5"/>
        <w:ind w:left="1871"/>
      </w:pPr>
      <w:r w:rsidRPr="008E3100">
        <w:t>Hasta 30</w:t>
      </w:r>
      <w:r>
        <w:t> </w:t>
      </w:r>
      <w:r w:rsidRPr="008E3100">
        <w:t>% en el tramo entre 601 y 900</w:t>
      </w:r>
      <w:r>
        <w:t> </w:t>
      </w:r>
      <w:r w:rsidRPr="008E3100">
        <w:t>euros.</w:t>
      </w:r>
    </w:p>
    <w:p w14:paraId="70FA5F43" w14:textId="77777777" w:rsidR="00E01CDE" w:rsidRPr="008E3100" w:rsidRDefault="00E01CDE" w:rsidP="00E01CDE">
      <w:pPr>
        <w:pStyle w:val="Nivel4"/>
        <w:ind w:left="1474"/>
      </w:pPr>
      <w:r w:rsidRPr="00991739">
        <w:rPr>
          <w:i/>
          <w:iCs/>
        </w:rPr>
        <w:t>Pisos de la SAREB</w:t>
      </w:r>
      <w:r>
        <w:t xml:space="preserve">: </w:t>
      </w:r>
      <w:r w:rsidRPr="008E3100">
        <w:t>Oferta de alquiler de pisos de la Sareb a familias desahuciadas a precios bajos.</w:t>
      </w:r>
    </w:p>
    <w:p w14:paraId="50257E68" w14:textId="77777777" w:rsidR="00E01CDE" w:rsidRPr="008C0214" w:rsidRDefault="00E01CDE" w:rsidP="00E01CDE">
      <w:pPr>
        <w:pStyle w:val="Ttulo7"/>
        <w:numPr>
          <w:ilvl w:val="0"/>
          <w:numId w:val="38"/>
        </w:numPr>
        <w:ind w:left="1135" w:hanging="284"/>
        <w:rPr>
          <w:lang w:val="en-GB"/>
        </w:rPr>
      </w:pPr>
      <w:r w:rsidRPr="008E3100">
        <w:t>Impulso a la rehabilitación</w:t>
      </w:r>
    </w:p>
    <w:p w14:paraId="496F395E" w14:textId="77777777" w:rsidR="00E01CDE" w:rsidRPr="008E3100" w:rsidRDefault="00E01CDE" w:rsidP="00E01CDE">
      <w:pPr>
        <w:pStyle w:val="Nivel2SM"/>
        <w:keepNext/>
        <w:spacing w:after="0"/>
      </w:pPr>
      <w:r w:rsidRPr="008E3100">
        <w:t xml:space="preserve">La rehabilitación es </w:t>
      </w:r>
      <w:r w:rsidRPr="00DE2E13">
        <w:rPr>
          <w:b/>
          <w:bCs/>
        </w:rPr>
        <w:t>positiva</w:t>
      </w:r>
      <w:r w:rsidRPr="008E3100">
        <w:t xml:space="preserve"> porque:</w:t>
      </w:r>
    </w:p>
    <w:p w14:paraId="4AF89FF8" w14:textId="77777777" w:rsidR="00E01CDE" w:rsidRDefault="00E01CDE" w:rsidP="00E01CDE">
      <w:pPr>
        <w:pStyle w:val="Nivel3SM"/>
      </w:pPr>
      <w:r w:rsidRPr="008E3100">
        <w:t>Es intensiva en mano de obra, por lo que puede absorber desempleo;</w:t>
      </w:r>
    </w:p>
    <w:p w14:paraId="3F1DB83F" w14:textId="77777777" w:rsidR="00E01CDE" w:rsidRPr="008E3100" w:rsidRDefault="00E01CDE" w:rsidP="00E01CDE">
      <w:pPr>
        <w:pStyle w:val="Nivel3SM"/>
      </w:pPr>
      <w:r>
        <w:t>T</w:t>
      </w:r>
      <w:r w:rsidRPr="008E3100">
        <w:t>iene un escaso impacto medioambiental</w:t>
      </w:r>
      <w:r>
        <w:t>; y</w:t>
      </w:r>
    </w:p>
    <w:p w14:paraId="723229D7" w14:textId="77777777" w:rsidR="00E01CDE" w:rsidRPr="008E3100" w:rsidRDefault="00E01CDE" w:rsidP="00E01CDE">
      <w:pPr>
        <w:pStyle w:val="Nivel3SM"/>
      </w:pPr>
      <w:r w:rsidRPr="008E3100">
        <w:t>Se centra en el aumento de la calidad más que en la cantidad.</w:t>
      </w:r>
    </w:p>
    <w:p w14:paraId="097C1EF6" w14:textId="77777777" w:rsidR="00E01CDE" w:rsidRPr="008E3100" w:rsidRDefault="00E01CDE" w:rsidP="00E01CDE">
      <w:pPr>
        <w:pStyle w:val="Nivel2SM"/>
        <w:keepNext/>
        <w:spacing w:after="0"/>
      </w:pPr>
      <w:r w:rsidRPr="008E3100">
        <w:t xml:space="preserve">Entre las principales </w:t>
      </w:r>
      <w:r w:rsidRPr="00DE2E13">
        <w:rPr>
          <w:u w:val="single"/>
        </w:rPr>
        <w:t>medidas</w:t>
      </w:r>
      <w:r w:rsidRPr="008E3100">
        <w:t xml:space="preserve"> se incluyen</w:t>
      </w:r>
    </w:p>
    <w:p w14:paraId="79BC6E99" w14:textId="77777777" w:rsidR="00E01CDE" w:rsidRPr="008E3100" w:rsidRDefault="00E01CDE" w:rsidP="00E01CDE">
      <w:pPr>
        <w:pStyle w:val="Nivel3SM"/>
        <w:keepNext/>
      </w:pPr>
      <w:r w:rsidRPr="007C636A">
        <w:rPr>
          <w:i/>
          <w:iCs/>
          <w:u w:val="single"/>
        </w:rPr>
        <w:t>Plan Estatal de Vivienda y Rehabilitación 2009-2012</w:t>
      </w:r>
      <w:r w:rsidRPr="008E3100">
        <w:t>.</w:t>
      </w:r>
    </w:p>
    <w:p w14:paraId="4CEBDC5E" w14:textId="77777777" w:rsidR="00E01CDE" w:rsidRPr="008E3100" w:rsidRDefault="00E01CDE" w:rsidP="00E01CDE">
      <w:pPr>
        <w:pStyle w:val="Nivel4"/>
        <w:ind w:left="1474"/>
      </w:pPr>
      <w:r w:rsidRPr="008E3100">
        <w:t xml:space="preserve">Este Plan contempló ayudas para la rehabilitación y para la </w:t>
      </w:r>
      <w:r w:rsidRPr="008E3100">
        <w:rPr>
          <w:b/>
        </w:rPr>
        <w:t>mejora de la eficiencia energética y accesibilidad</w:t>
      </w:r>
      <w:r w:rsidRPr="008E3100">
        <w:t xml:space="preserve"> (adaptación para personas con discapacidades).</w:t>
      </w:r>
    </w:p>
    <w:p w14:paraId="0F71D47F" w14:textId="77777777" w:rsidR="00E01CDE" w:rsidRPr="008E3100" w:rsidRDefault="00E01CDE" w:rsidP="00E01CDE">
      <w:pPr>
        <w:pStyle w:val="Nivel3SM"/>
      </w:pPr>
      <w:r w:rsidRPr="003B4573">
        <w:rPr>
          <w:i/>
          <w:iCs/>
          <w:u w:val="single"/>
        </w:rPr>
        <w:t xml:space="preserve">Plan de Infraestructura, Transporte y Vivienda </w:t>
      </w:r>
      <w:r>
        <w:rPr>
          <w:i/>
          <w:iCs/>
          <w:u w:val="single"/>
        </w:rPr>
        <w:t>(</w:t>
      </w:r>
      <w:r w:rsidRPr="007C636A">
        <w:rPr>
          <w:i/>
          <w:iCs/>
          <w:u w:val="single"/>
        </w:rPr>
        <w:t>PITVI</w:t>
      </w:r>
      <w:r>
        <w:rPr>
          <w:i/>
          <w:iCs/>
          <w:u w:val="single"/>
        </w:rPr>
        <w:t>)</w:t>
      </w:r>
      <w:r w:rsidRPr="007C636A">
        <w:rPr>
          <w:i/>
          <w:iCs/>
          <w:u w:val="single"/>
        </w:rPr>
        <w:t xml:space="preserve"> 2018-2021</w:t>
      </w:r>
      <w:r w:rsidRPr="008E3100">
        <w:t>.</w:t>
      </w:r>
    </w:p>
    <w:p w14:paraId="1CF1D784" w14:textId="77777777" w:rsidR="00E01CDE" w:rsidRPr="007C636A" w:rsidRDefault="00E01CDE" w:rsidP="00E01CDE">
      <w:pPr>
        <w:pStyle w:val="Nivel4"/>
        <w:ind w:left="1474"/>
      </w:pPr>
      <w:r w:rsidRPr="007C636A">
        <w:rPr>
          <w:i/>
          <w:iCs/>
        </w:rPr>
        <w:t>Eficiencia energética</w:t>
      </w:r>
      <w:r>
        <w:t xml:space="preserve">: </w:t>
      </w:r>
      <w:r w:rsidRPr="007C636A">
        <w:rPr>
          <w:bCs/>
        </w:rPr>
        <w:t>Ayudas de hasta 12.000 €</w:t>
      </w:r>
      <w:r w:rsidRPr="008E3100">
        <w:t xml:space="preserve"> para la rehabilitación que mejore la eficiencia energética.</w:t>
      </w:r>
    </w:p>
    <w:p w14:paraId="04E5B275" w14:textId="77777777" w:rsidR="00E01CDE" w:rsidRPr="008E3100" w:rsidRDefault="00E01CDE" w:rsidP="00E01CDE">
      <w:pPr>
        <w:pStyle w:val="Nivel4"/>
        <w:ind w:left="1474"/>
      </w:pPr>
      <w:r w:rsidRPr="007C636A">
        <w:rPr>
          <w:i/>
          <w:iCs/>
        </w:rPr>
        <w:lastRenderedPageBreak/>
        <w:t>Personas mayores y personas con discapacidad</w:t>
      </w:r>
      <w:r w:rsidRPr="007C636A">
        <w:t xml:space="preserve">: </w:t>
      </w:r>
      <w:r w:rsidRPr="008E3100">
        <w:t>Hasta 400</w:t>
      </w:r>
      <w:r>
        <w:t> </w:t>
      </w:r>
      <w:r w:rsidRPr="008E3100">
        <w:t>€</w:t>
      </w:r>
      <w:r>
        <w:t>/</w:t>
      </w:r>
      <w:r w:rsidRPr="008E3100">
        <w:t>m</w:t>
      </w:r>
      <w:r w:rsidRPr="007C636A">
        <w:rPr>
          <w:vertAlign w:val="superscript"/>
        </w:rPr>
        <w:t>2</w:t>
      </w:r>
      <w:r w:rsidRPr="008E3100">
        <w:t xml:space="preserve"> con un límite del 40</w:t>
      </w:r>
      <w:r>
        <w:t> </w:t>
      </w:r>
      <w:r w:rsidRPr="008E3100">
        <w:t>% de la inversión en caso de rehabilitar la vivienda para el uso de personas mayores o con discapacidad.</w:t>
      </w:r>
    </w:p>
    <w:p w14:paraId="7AFBDB43" w14:textId="77777777" w:rsidR="00E01CDE" w:rsidRPr="008E3100" w:rsidRDefault="00E01CDE" w:rsidP="00E01CDE">
      <w:pPr>
        <w:pStyle w:val="Ttulo7"/>
        <w:numPr>
          <w:ilvl w:val="0"/>
          <w:numId w:val="38"/>
        </w:numPr>
        <w:ind w:left="1135" w:hanging="284"/>
      </w:pPr>
      <w:r w:rsidRPr="008E3100">
        <w:t>Compra de vivienda</w:t>
      </w:r>
    </w:p>
    <w:p w14:paraId="2B17925A" w14:textId="77777777" w:rsidR="00E01CDE" w:rsidRPr="008E3100" w:rsidRDefault="00E01CDE" w:rsidP="00E01CDE">
      <w:pPr>
        <w:pStyle w:val="Ttulo8"/>
        <w:numPr>
          <w:ilvl w:val="0"/>
          <w:numId w:val="13"/>
        </w:numPr>
        <w:spacing w:before="0"/>
        <w:ind w:left="1276" w:hanging="284"/>
      </w:pPr>
      <w:r w:rsidRPr="008E3100">
        <w:t>Nueva Ley de Crédito Inmobiliario: Febrero 2019</w:t>
      </w:r>
    </w:p>
    <w:p w14:paraId="425647A9" w14:textId="77777777" w:rsidR="00E01CDE" w:rsidRPr="00F0288B" w:rsidRDefault="00E01CDE" w:rsidP="00E01CDE">
      <w:pPr>
        <w:pStyle w:val="Nivel2SM"/>
        <w:rPr>
          <w:bCs/>
        </w:rPr>
      </w:pPr>
      <w:r w:rsidRPr="008E3100">
        <w:t>El Congreso aprob</w:t>
      </w:r>
      <w:r>
        <w:t>ó</w:t>
      </w:r>
      <w:r w:rsidRPr="008E3100">
        <w:t xml:space="preserve"> en </w:t>
      </w:r>
      <w:r>
        <w:rPr>
          <w:bCs/>
        </w:rPr>
        <w:t>2019 un</w:t>
      </w:r>
      <w:r w:rsidRPr="00F0288B">
        <w:rPr>
          <w:bCs/>
        </w:rPr>
        <w:t>a nueva ley hipotecaria</w:t>
      </w:r>
      <w:r>
        <w:rPr>
          <w:bCs/>
        </w:rPr>
        <w:t xml:space="preserve"> que </w:t>
      </w:r>
      <w:r w:rsidRPr="00F0288B">
        <w:rPr>
          <w:bCs/>
        </w:rPr>
        <w:t>transpo</w:t>
      </w:r>
      <w:r>
        <w:rPr>
          <w:bCs/>
        </w:rPr>
        <w:t>ne</w:t>
      </w:r>
      <w:r w:rsidRPr="00F0288B">
        <w:rPr>
          <w:bCs/>
        </w:rPr>
        <w:t xml:space="preserve"> una directiva europea con 3 años de retraso y sobre la que existía la amenaza de una multa de Bruselas por 105.000 euros al día.</w:t>
      </w:r>
    </w:p>
    <w:p w14:paraId="0307E462" w14:textId="77777777" w:rsidR="00E01CDE" w:rsidRPr="008E3100" w:rsidRDefault="00E01CDE" w:rsidP="00E01CDE">
      <w:pPr>
        <w:pStyle w:val="Nivel2SM"/>
        <w:keepNext/>
        <w:spacing w:after="0"/>
      </w:pPr>
      <w:r w:rsidRPr="008E3100">
        <w:t>Los principales aspectos de la nueva ley incluyen:</w:t>
      </w:r>
    </w:p>
    <w:p w14:paraId="60D129BD" w14:textId="77777777" w:rsidR="00E01CDE" w:rsidRPr="008E3100" w:rsidRDefault="00E01CDE" w:rsidP="00E01CDE">
      <w:pPr>
        <w:pStyle w:val="Nivel3SM"/>
        <w:keepNext/>
      </w:pPr>
      <w:r w:rsidRPr="00AE6215">
        <w:rPr>
          <w:i/>
          <w:iCs/>
        </w:rPr>
        <w:t>Mayor dificultad de embargar</w:t>
      </w:r>
      <w:r w:rsidRPr="008E3100">
        <w:t>.</w:t>
      </w:r>
    </w:p>
    <w:p w14:paraId="533B22F5" w14:textId="77777777" w:rsidR="00E01CDE" w:rsidRPr="00BE67BE" w:rsidRDefault="00E01CDE" w:rsidP="00E01CDE">
      <w:pPr>
        <w:pStyle w:val="Nivel4"/>
        <w:ind w:left="1474"/>
        <w:rPr>
          <w:spacing w:val="-6"/>
        </w:rPr>
      </w:pPr>
      <w:r w:rsidRPr="00BE67BE">
        <w:rPr>
          <w:spacing w:val="-6"/>
        </w:rPr>
        <w:t xml:space="preserve">Aumentan las cantidades impagadas necesarias para que se pueda iniciar el procedimiento de ejecución de la hipoteca que acaba, en última instancia, con el desahucio. En lugar de dejar de pagar 3 cuotas como dictaba hasta ahora la ley, hará falta el impago de entre </w:t>
      </w:r>
      <w:r w:rsidRPr="00BE67BE">
        <w:rPr>
          <w:b/>
          <w:spacing w:val="-6"/>
        </w:rPr>
        <w:t>12 y 15 mensualidades o entre un 3 % y un 7 %</w:t>
      </w:r>
      <w:r w:rsidRPr="00BE67BE">
        <w:rPr>
          <w:spacing w:val="-6"/>
        </w:rPr>
        <w:t xml:space="preserve"> del valor del </w:t>
      </w:r>
      <w:r w:rsidRPr="00BE67BE">
        <w:rPr>
          <w:b/>
          <w:spacing w:val="-6"/>
        </w:rPr>
        <w:t>préstamo</w:t>
      </w:r>
      <w:r w:rsidRPr="00BE67BE">
        <w:rPr>
          <w:spacing w:val="-6"/>
        </w:rPr>
        <w:t>.</w:t>
      </w:r>
    </w:p>
    <w:p w14:paraId="1EB9060B" w14:textId="77777777" w:rsidR="00E01CDE" w:rsidRPr="008E3100" w:rsidRDefault="00E01CDE" w:rsidP="00E01CDE">
      <w:pPr>
        <w:pStyle w:val="Nivel3SM"/>
        <w:keepNext/>
      </w:pPr>
      <w:r w:rsidRPr="00AE6215">
        <w:rPr>
          <w:i/>
          <w:iCs/>
        </w:rPr>
        <w:t>Rebaja los intereses de demora</w:t>
      </w:r>
      <w:r w:rsidRPr="008E3100">
        <w:t>.</w:t>
      </w:r>
    </w:p>
    <w:p w14:paraId="3B29A332" w14:textId="77777777" w:rsidR="00E01CDE" w:rsidRPr="008E3100" w:rsidRDefault="00E01CDE" w:rsidP="00E01CDE">
      <w:pPr>
        <w:pStyle w:val="Nivel4"/>
        <w:ind w:left="1474"/>
      </w:pPr>
      <w:r w:rsidRPr="008E3100">
        <w:t xml:space="preserve">Con la legislación anterior los </w:t>
      </w:r>
      <w:r w:rsidRPr="008E3100">
        <w:rPr>
          <w:b/>
        </w:rPr>
        <w:t>intereses de demora se pactaban entre las partes y podían alcanzar el 25</w:t>
      </w:r>
      <w:r>
        <w:rPr>
          <w:b/>
        </w:rPr>
        <w:t> </w:t>
      </w:r>
      <w:r w:rsidRPr="008E3100">
        <w:rPr>
          <w:b/>
        </w:rPr>
        <w:t>%</w:t>
      </w:r>
      <w:r w:rsidRPr="008E3100">
        <w:t>. Semejantes tipos fueron considerados excesivos por el Supremo, que destacó que no debían superar el 2</w:t>
      </w:r>
      <w:r>
        <w:t> </w:t>
      </w:r>
      <w:r w:rsidRPr="008E3100">
        <w:t xml:space="preserve">% de recargo sobre el tipo contratado. La legislación finalmente lo ha dejado en un </w:t>
      </w:r>
      <w:r w:rsidRPr="008E3100">
        <w:rPr>
          <w:b/>
        </w:rPr>
        <w:t>recargo del 3</w:t>
      </w:r>
      <w:r>
        <w:rPr>
          <w:b/>
        </w:rPr>
        <w:t> </w:t>
      </w:r>
      <w:r w:rsidRPr="008E3100">
        <w:rPr>
          <w:b/>
        </w:rPr>
        <w:t>%</w:t>
      </w:r>
      <w:r w:rsidRPr="008E3100">
        <w:t>. Como resultado, en las hipotecas nuevas se aplicará el 3</w:t>
      </w:r>
      <w:r>
        <w:t> </w:t>
      </w:r>
      <w:r w:rsidRPr="008E3100">
        <w:t>% y en las antiguas el 2</w:t>
      </w:r>
      <w:r>
        <w:t> </w:t>
      </w:r>
      <w:r w:rsidRPr="008E3100">
        <w:t>%.</w:t>
      </w:r>
    </w:p>
    <w:p w14:paraId="47668EC7" w14:textId="77777777" w:rsidR="00E01CDE" w:rsidRPr="008E3100" w:rsidRDefault="00E01CDE" w:rsidP="00E01CDE">
      <w:pPr>
        <w:pStyle w:val="Nivel3SM"/>
        <w:keepNext/>
      </w:pPr>
      <w:r w:rsidRPr="00AE6215">
        <w:rPr>
          <w:i/>
          <w:iCs/>
        </w:rPr>
        <w:t>Reparto de los costes de la hipoteca</w:t>
      </w:r>
      <w:r>
        <w:t>:</w:t>
      </w:r>
    </w:p>
    <w:p w14:paraId="44804B6C" w14:textId="77777777" w:rsidR="00E01CDE" w:rsidRPr="008E3100" w:rsidRDefault="00E01CDE" w:rsidP="00E01CDE">
      <w:pPr>
        <w:pStyle w:val="Nivel4"/>
        <w:ind w:left="1474"/>
      </w:pPr>
      <w:r w:rsidRPr="008E3100">
        <w:t xml:space="preserve">Los clientes no tendrán que abonar ninguno salvo la </w:t>
      </w:r>
      <w:r w:rsidRPr="008E3100">
        <w:rPr>
          <w:b/>
        </w:rPr>
        <w:t>tasación</w:t>
      </w:r>
      <w:r w:rsidRPr="008E3100">
        <w:t>. El impuesto de Actos Jurídicos Documentados, los gastos del notario, el registro y la gestoría correrán a cuenta de las entidades.</w:t>
      </w:r>
    </w:p>
    <w:p w14:paraId="08DA53FE" w14:textId="77777777" w:rsidR="00E01CDE" w:rsidRPr="008E3100" w:rsidRDefault="00E01CDE" w:rsidP="00E01CDE">
      <w:pPr>
        <w:pStyle w:val="Nivel3SM"/>
        <w:keepNext/>
      </w:pPr>
      <w:r w:rsidRPr="0025164B">
        <w:rPr>
          <w:i/>
          <w:iCs/>
        </w:rPr>
        <w:t>Facilita el cambio de una hipoteca variable a una fija</w:t>
      </w:r>
      <w:r w:rsidRPr="008E3100">
        <w:t>.</w:t>
      </w:r>
    </w:p>
    <w:p w14:paraId="3AD4DE03" w14:textId="77777777" w:rsidR="00E01CDE" w:rsidRPr="008E3100" w:rsidRDefault="00E01CDE" w:rsidP="00E01CDE">
      <w:pPr>
        <w:pStyle w:val="Nivel4"/>
        <w:ind w:left="1474"/>
      </w:pPr>
      <w:r w:rsidRPr="008E3100">
        <w:t>En el fondo lo que hace la ley es allanar el camino para cambiar a un banco que ofrezca el tipo fijo, fomentando la competencia entre entidades. Para ello, abaratará las comisiones de cancelación y los aranceles notariales y registrales.</w:t>
      </w:r>
    </w:p>
    <w:p w14:paraId="1355EF69" w14:textId="77777777" w:rsidR="00E01CDE" w:rsidRPr="008E3100" w:rsidRDefault="00E01CDE" w:rsidP="00E01CDE">
      <w:pPr>
        <w:pStyle w:val="Nivel3SM"/>
      </w:pPr>
      <w:r w:rsidRPr="00320106">
        <w:rPr>
          <w:i/>
          <w:iCs/>
        </w:rPr>
        <w:t xml:space="preserve">Prohibición de remunerar a los trabajadores de las entidades bancarias en función del </w:t>
      </w:r>
      <w:r w:rsidRPr="00320106">
        <w:rPr>
          <w:bCs/>
          <w:i/>
          <w:iCs/>
        </w:rPr>
        <w:t>número de hipotecas concedidas</w:t>
      </w:r>
      <w:r w:rsidRPr="008E3100">
        <w:t>.</w:t>
      </w:r>
    </w:p>
    <w:p w14:paraId="62CE4C36" w14:textId="77777777" w:rsidR="00E01CDE" w:rsidRPr="002649F3" w:rsidRDefault="00E01CDE" w:rsidP="00E01CDE">
      <w:pPr>
        <w:pStyle w:val="Nivel3SM"/>
      </w:pPr>
      <w:r>
        <w:t>Se</w:t>
      </w:r>
      <w:r w:rsidRPr="008E3100">
        <w:t xml:space="preserve"> exige </w:t>
      </w:r>
      <w:r w:rsidRPr="00320106">
        <w:rPr>
          <w:i/>
          <w:iCs/>
        </w:rPr>
        <w:t>formación anual a los comerciales de hipotecas</w:t>
      </w:r>
      <w:r w:rsidRPr="008E3100">
        <w:t xml:space="preserve"> </w:t>
      </w:r>
      <w:r>
        <w:t>(</w:t>
      </w:r>
      <w:r w:rsidRPr="008E3100">
        <w:t>50</w:t>
      </w:r>
      <w:r>
        <w:t> </w:t>
      </w:r>
      <w:r w:rsidRPr="008E3100">
        <w:t>horas</w:t>
      </w:r>
      <w:r>
        <w:t>)</w:t>
      </w:r>
      <w:r w:rsidRPr="008E3100">
        <w:t>.</w:t>
      </w:r>
    </w:p>
    <w:p w14:paraId="1F4E8EE2" w14:textId="77777777" w:rsidR="00E01CDE" w:rsidRPr="008E3100" w:rsidRDefault="00E01CDE" w:rsidP="00E01CDE">
      <w:pPr>
        <w:pStyle w:val="Nivel3SM"/>
      </w:pPr>
      <w:r w:rsidRPr="008E3100">
        <w:t xml:space="preserve">Los bancos tendrán que hacer un </w:t>
      </w:r>
      <w:r w:rsidRPr="00320106">
        <w:rPr>
          <w:i/>
          <w:iCs/>
        </w:rPr>
        <w:t>examen de la solvencia del cliente</w:t>
      </w:r>
      <w:r w:rsidRPr="008E3100">
        <w:t xml:space="preserve"> en función de su capacidad de pago, y no del previsible incremento del valor de la vivienda, los avalistas o unas garantías adicionales.</w:t>
      </w:r>
    </w:p>
    <w:p w14:paraId="23CC30B8" w14:textId="77777777" w:rsidR="00E01CDE" w:rsidRPr="002649F3" w:rsidRDefault="00E01CDE" w:rsidP="00E01CDE">
      <w:pPr>
        <w:pStyle w:val="Nivel3SM"/>
      </w:pPr>
      <w:r w:rsidRPr="00320106">
        <w:rPr>
          <w:i/>
          <w:iCs/>
        </w:rPr>
        <w:t>Prohíbe las cláusulas suelo</w:t>
      </w:r>
      <w:r w:rsidRPr="008E3100">
        <w:t>.</w:t>
      </w:r>
    </w:p>
    <w:p w14:paraId="6B75DAA8" w14:textId="77777777" w:rsidR="00E01CDE" w:rsidRPr="008E3100" w:rsidRDefault="00E01CDE" w:rsidP="00E01CDE">
      <w:pPr>
        <w:pStyle w:val="Ttulo8"/>
        <w:numPr>
          <w:ilvl w:val="0"/>
          <w:numId w:val="13"/>
        </w:numPr>
        <w:ind w:left="1276" w:hanging="284"/>
      </w:pPr>
      <w:r w:rsidRPr="008E3100">
        <w:t>PITVI 2018</w:t>
      </w:r>
      <w:r>
        <w:t>-</w:t>
      </w:r>
      <w:r w:rsidRPr="008E3100">
        <w:t>2021</w:t>
      </w:r>
    </w:p>
    <w:p w14:paraId="23525ABD" w14:textId="77777777" w:rsidR="00E01CDE" w:rsidRPr="002649F3" w:rsidRDefault="00E01CDE" w:rsidP="00E01CDE">
      <w:pPr>
        <w:pStyle w:val="Nivel2SM"/>
      </w:pPr>
      <w:r w:rsidRPr="008E3100">
        <w:t xml:space="preserve">El Plan </w:t>
      </w:r>
      <w:r>
        <w:t>de Infraestructura, Transporte y Vivienda (</w:t>
      </w:r>
      <w:r w:rsidRPr="008E3100">
        <w:t>PITVI</w:t>
      </w:r>
      <w:r>
        <w:t>)</w:t>
      </w:r>
      <w:r w:rsidRPr="008E3100">
        <w:t xml:space="preserve"> incluye entre otros una ayuda a los jóvenes de hasta 10.800</w:t>
      </w:r>
      <w:r>
        <w:t> </w:t>
      </w:r>
      <w:r w:rsidRPr="008E3100">
        <w:t>euros con un límite del 20</w:t>
      </w:r>
      <w:r>
        <w:t> </w:t>
      </w:r>
      <w:r w:rsidRPr="008E3100">
        <w:t>% del precio de adquisición (inferior a los 10.000</w:t>
      </w:r>
      <w:r>
        <w:t> </w:t>
      </w:r>
      <w:r w:rsidRPr="008E3100">
        <w:t>euros).</w:t>
      </w:r>
    </w:p>
    <w:p w14:paraId="296FDA4E" w14:textId="77777777" w:rsidR="00E01CDE" w:rsidRPr="002649F3" w:rsidRDefault="00E01CDE" w:rsidP="00E01CDE">
      <w:pPr>
        <w:pStyle w:val="Ttulo3"/>
      </w:pPr>
      <w:bookmarkStart w:id="47" w:name="_Toc177740142"/>
      <w:r w:rsidRPr="008E3100">
        <w:t xml:space="preserve">Política de </w:t>
      </w:r>
      <w:r>
        <w:t>s</w:t>
      </w:r>
      <w:r w:rsidRPr="008E3100">
        <w:t>uelo</w:t>
      </w:r>
      <w:bookmarkEnd w:id="47"/>
    </w:p>
    <w:p w14:paraId="4316AD6A" w14:textId="77777777" w:rsidR="00E01CDE" w:rsidRPr="002649F3" w:rsidRDefault="00E01CDE" w:rsidP="00E01CDE">
      <w:pPr>
        <w:pStyle w:val="Ttulo6"/>
        <w:spacing w:before="0"/>
      </w:pPr>
      <w:r w:rsidRPr="008E3100">
        <w:t>Objetivos</w:t>
      </w:r>
    </w:p>
    <w:p w14:paraId="5807957F" w14:textId="77777777" w:rsidR="00E01CDE" w:rsidRPr="008E3100" w:rsidRDefault="00E01CDE" w:rsidP="00E01CDE">
      <w:pPr>
        <w:pStyle w:val="Nivel2SM"/>
        <w:keepNext/>
        <w:spacing w:after="0"/>
      </w:pPr>
      <w:r w:rsidRPr="008E3100">
        <w:t xml:space="preserve">La </w:t>
      </w:r>
      <w:r w:rsidRPr="00E217A8">
        <w:rPr>
          <w:b/>
          <w:bCs/>
        </w:rPr>
        <w:t>política de suelo</w:t>
      </w:r>
      <w:r w:rsidRPr="008E3100">
        <w:t xml:space="preserve"> tiene un doble objetivo:</w:t>
      </w:r>
    </w:p>
    <w:p w14:paraId="35FF08BF" w14:textId="77777777" w:rsidR="00E01CDE" w:rsidRPr="008E3100" w:rsidRDefault="00E01CDE" w:rsidP="00E01CDE">
      <w:pPr>
        <w:pStyle w:val="Nivel3SM"/>
      </w:pPr>
      <w:r w:rsidRPr="00F52785">
        <w:rPr>
          <w:i/>
          <w:iCs/>
        </w:rPr>
        <w:t>Incrementar el suelo urbanizable</w:t>
      </w:r>
      <w:r w:rsidRPr="008E3100">
        <w:t xml:space="preserve"> como medio para aumentar el parque de viviendas.</w:t>
      </w:r>
    </w:p>
    <w:p w14:paraId="13FF5889" w14:textId="77777777" w:rsidR="00E01CDE" w:rsidRPr="008E3100" w:rsidRDefault="00E01CDE" w:rsidP="00E01CDE">
      <w:pPr>
        <w:pStyle w:val="Nivel3SM"/>
      </w:pPr>
      <w:r w:rsidRPr="008E3100">
        <w:t xml:space="preserve">Establecer un </w:t>
      </w:r>
      <w:r w:rsidRPr="00F52785">
        <w:rPr>
          <w:i/>
          <w:iCs/>
        </w:rPr>
        <w:t>desarrollo ordenado y coherente del proceso de urbanización</w:t>
      </w:r>
      <w:r w:rsidRPr="008E3100">
        <w:t>.</w:t>
      </w:r>
    </w:p>
    <w:p w14:paraId="45F44EBE" w14:textId="77777777" w:rsidR="00E01CDE" w:rsidRPr="008E3100" w:rsidRDefault="00E01CDE" w:rsidP="00E01CDE">
      <w:pPr>
        <w:pStyle w:val="Ttulo6"/>
      </w:pPr>
      <w:r w:rsidRPr="008E3100">
        <w:lastRenderedPageBreak/>
        <w:t>Evolución</w:t>
      </w:r>
    </w:p>
    <w:p w14:paraId="487DBA19" w14:textId="77777777" w:rsidR="00E01CDE" w:rsidRPr="008E3100" w:rsidRDefault="00E01CDE" w:rsidP="000B1565">
      <w:pPr>
        <w:pStyle w:val="Nivel2SM"/>
        <w:keepNext/>
        <w:spacing w:after="0"/>
      </w:pPr>
      <w:r w:rsidRPr="000B1565">
        <w:rPr>
          <w:i/>
          <w:iCs/>
          <w:u w:val="single"/>
        </w:rPr>
        <w:t>Primeras leyes de suelo</w:t>
      </w:r>
      <w:r w:rsidRPr="008E3100">
        <w:t>:</w:t>
      </w:r>
    </w:p>
    <w:p w14:paraId="1A591A37" w14:textId="77777777" w:rsidR="00E01CDE" w:rsidRPr="008E3100" w:rsidRDefault="00E01CDE" w:rsidP="00E01CDE">
      <w:pPr>
        <w:pStyle w:val="Nivel3SM"/>
        <w:keepNext/>
      </w:pPr>
      <w:r w:rsidRPr="008E3100">
        <w:t>Definición y clasificación del suelo en:</w:t>
      </w:r>
    </w:p>
    <w:p w14:paraId="674F6E3E" w14:textId="77777777" w:rsidR="00E01CDE" w:rsidRPr="008E3100" w:rsidRDefault="00E01CDE" w:rsidP="00E01CDE">
      <w:pPr>
        <w:pStyle w:val="Nivel4"/>
        <w:ind w:left="1474"/>
      </w:pPr>
      <w:r w:rsidRPr="008413E2">
        <w:rPr>
          <w:i/>
          <w:iCs/>
        </w:rPr>
        <w:t>Rústico</w:t>
      </w:r>
      <w:r w:rsidRPr="008E3100">
        <w:t>.</w:t>
      </w:r>
    </w:p>
    <w:p w14:paraId="6D453E8D" w14:textId="77777777" w:rsidR="00E01CDE" w:rsidRPr="008E3100" w:rsidRDefault="00E01CDE" w:rsidP="00E01CDE">
      <w:pPr>
        <w:pStyle w:val="Nivel4"/>
        <w:keepNext/>
        <w:ind w:left="1474"/>
      </w:pPr>
      <w:r w:rsidRPr="008413E2">
        <w:rPr>
          <w:i/>
          <w:iCs/>
        </w:rPr>
        <w:t>Urbanizable</w:t>
      </w:r>
      <w:r w:rsidRPr="008E3100">
        <w:t>.</w:t>
      </w:r>
    </w:p>
    <w:p w14:paraId="147D94FF" w14:textId="3505710E" w:rsidR="00E01CDE" w:rsidRPr="008E3100" w:rsidRDefault="00E01CDE" w:rsidP="00E01CDE">
      <w:pPr>
        <w:pStyle w:val="Nivel5"/>
        <w:ind w:left="1871"/>
      </w:pPr>
      <w:r w:rsidRPr="00E31306">
        <w:rPr>
          <w:i/>
          <w:iCs/>
        </w:rPr>
        <w:t>Suelo urbanizable programado</w:t>
      </w:r>
      <w:r w:rsidRPr="008E3100">
        <w:t xml:space="preserve">: </w:t>
      </w:r>
      <w:r w:rsidR="00E31306">
        <w:t>A</w:t>
      </w:r>
      <w:r w:rsidRPr="008E3100">
        <w:t>quel que ha de ser urbanizado inmediatamente</w:t>
      </w:r>
      <w:r w:rsidR="00CC0638">
        <w:t>.</w:t>
      </w:r>
    </w:p>
    <w:p w14:paraId="30C9B229" w14:textId="52AD2005" w:rsidR="00E01CDE" w:rsidRPr="00E57230" w:rsidRDefault="00E01CDE" w:rsidP="00E01CDE">
      <w:pPr>
        <w:pStyle w:val="Nivel5"/>
        <w:ind w:left="1871"/>
        <w:rPr>
          <w:spacing w:val="-2"/>
        </w:rPr>
      </w:pPr>
      <w:r w:rsidRPr="00E31306">
        <w:rPr>
          <w:i/>
          <w:iCs/>
          <w:spacing w:val="-2"/>
        </w:rPr>
        <w:t>Suelo urbanizable no</w:t>
      </w:r>
      <w:r w:rsidR="008413E2">
        <w:rPr>
          <w:i/>
          <w:iCs/>
          <w:spacing w:val="-2"/>
        </w:rPr>
        <w:t> </w:t>
      </w:r>
      <w:r w:rsidRPr="00E31306">
        <w:rPr>
          <w:i/>
          <w:iCs/>
          <w:spacing w:val="-2"/>
        </w:rPr>
        <w:t>programado</w:t>
      </w:r>
      <w:r w:rsidRPr="00E57230">
        <w:rPr>
          <w:spacing w:val="-2"/>
        </w:rPr>
        <w:t xml:space="preserve">: </w:t>
      </w:r>
      <w:r w:rsidR="00E31306">
        <w:rPr>
          <w:spacing w:val="-2"/>
        </w:rPr>
        <w:t>A</w:t>
      </w:r>
      <w:r w:rsidRPr="00E57230">
        <w:rPr>
          <w:spacing w:val="-2"/>
        </w:rPr>
        <w:t>quel que se reserva para su futuro desarrollo.</w:t>
      </w:r>
    </w:p>
    <w:p w14:paraId="44C49939" w14:textId="77777777" w:rsidR="00E01CDE" w:rsidRPr="008E3100" w:rsidRDefault="00E01CDE" w:rsidP="00E01CDE">
      <w:pPr>
        <w:pStyle w:val="Nivel4"/>
        <w:ind w:left="1474"/>
      </w:pPr>
      <w:r w:rsidRPr="008413E2">
        <w:rPr>
          <w:i/>
          <w:iCs/>
        </w:rPr>
        <w:t>Urbanizado</w:t>
      </w:r>
      <w:r w:rsidRPr="008E3100">
        <w:t>.</w:t>
      </w:r>
    </w:p>
    <w:p w14:paraId="453700BD" w14:textId="77777777" w:rsidR="00E01CDE" w:rsidRPr="008E3100" w:rsidRDefault="00E01CDE" w:rsidP="00E01CDE">
      <w:pPr>
        <w:pStyle w:val="Nivel2SM"/>
        <w:keepNext/>
        <w:spacing w:after="0"/>
      </w:pPr>
      <w:r w:rsidRPr="00E31306">
        <w:rPr>
          <w:i/>
          <w:iCs/>
          <w:u w:val="single"/>
        </w:rPr>
        <w:t>Ley del Suelo de 1998</w:t>
      </w:r>
      <w:r w:rsidRPr="008E3100">
        <w:t>.</w:t>
      </w:r>
    </w:p>
    <w:p w14:paraId="6A24351D" w14:textId="77777777" w:rsidR="00E01CDE" w:rsidRPr="008E3100" w:rsidRDefault="00E01CDE" w:rsidP="00E01CDE">
      <w:pPr>
        <w:pStyle w:val="Nivel3SM"/>
      </w:pPr>
      <w:r w:rsidRPr="008E3100">
        <w:t>Su objetivo principal era aumentar la oferta de suelo y, con ello, reducir el precio del suelo y de la vivienda.</w:t>
      </w:r>
    </w:p>
    <w:p w14:paraId="0A168D4E" w14:textId="77777777" w:rsidR="00E01CDE" w:rsidRPr="008E3100" w:rsidRDefault="00E01CDE" w:rsidP="00E01CDE">
      <w:pPr>
        <w:pStyle w:val="Nivel3SM"/>
      </w:pPr>
      <w:r w:rsidRPr="008E3100">
        <w:t xml:space="preserve">Así, establece el </w:t>
      </w:r>
      <w:r w:rsidRPr="009445B0">
        <w:rPr>
          <w:i/>
          <w:iCs/>
        </w:rPr>
        <w:t>carácter residual del suelo urbanizable</w:t>
      </w:r>
      <w:r w:rsidRPr="008E3100">
        <w:t>, de forma que se pasa a calificar como urbanizable todo aquel suelo que no fuese ni rústico ni urbanizado.</w:t>
      </w:r>
    </w:p>
    <w:p w14:paraId="1E378ECD" w14:textId="77777777" w:rsidR="00E01CDE" w:rsidRPr="008E3100" w:rsidRDefault="00E01CDE" w:rsidP="00E01CDE">
      <w:pPr>
        <w:pStyle w:val="Nivel2SM"/>
        <w:keepNext/>
        <w:spacing w:after="0"/>
      </w:pPr>
      <w:r w:rsidRPr="00C76E75">
        <w:rPr>
          <w:i/>
          <w:iCs/>
          <w:u w:val="single"/>
        </w:rPr>
        <w:t>Ley del Suelo de 2008</w:t>
      </w:r>
      <w:r w:rsidRPr="008E3100">
        <w:t>.</w:t>
      </w:r>
    </w:p>
    <w:p w14:paraId="546E216B" w14:textId="77777777" w:rsidR="00E01CDE" w:rsidRPr="008E3100" w:rsidRDefault="00E01CDE" w:rsidP="00E01CDE">
      <w:pPr>
        <w:pStyle w:val="Nivel3SM"/>
      </w:pPr>
      <w:r w:rsidRPr="008E3100">
        <w:t>Contempla sólo 2</w:t>
      </w:r>
      <w:r>
        <w:t> </w:t>
      </w:r>
      <w:r w:rsidRPr="008E3100">
        <w:t xml:space="preserve">tipos de suelo: </w:t>
      </w:r>
      <w:r w:rsidRPr="009445B0">
        <w:rPr>
          <w:i/>
          <w:iCs/>
        </w:rPr>
        <w:t>rural</w:t>
      </w:r>
      <w:r w:rsidRPr="008E3100">
        <w:t xml:space="preserve"> o </w:t>
      </w:r>
      <w:r w:rsidRPr="009445B0">
        <w:rPr>
          <w:i/>
          <w:iCs/>
        </w:rPr>
        <w:t>urbanizado</w:t>
      </w:r>
      <w:r w:rsidRPr="008E3100">
        <w:t xml:space="preserve">. De esta manera, desaparece el </w:t>
      </w:r>
      <w:r w:rsidRPr="008E3100">
        <w:rPr>
          <w:b/>
        </w:rPr>
        <w:t>suelo urbanizable</w:t>
      </w:r>
      <w:r w:rsidRPr="008E3100">
        <w:t xml:space="preserve"> (que es el estado intermedio entre rural y urbanizado).</w:t>
      </w:r>
    </w:p>
    <w:p w14:paraId="2004E2A2" w14:textId="77777777" w:rsidR="00E01CDE" w:rsidRPr="008E3100" w:rsidRDefault="00E01CDE" w:rsidP="00E01CDE">
      <w:pPr>
        <w:pStyle w:val="Nivel2SM"/>
        <w:keepNext/>
        <w:spacing w:after="0"/>
      </w:pPr>
      <w:r w:rsidRPr="00C76E75">
        <w:rPr>
          <w:i/>
          <w:iCs/>
          <w:u w:val="single"/>
        </w:rPr>
        <w:t>Texto Refundido de 2015</w:t>
      </w:r>
      <w:r w:rsidRPr="008E3100">
        <w:t>.</w:t>
      </w:r>
    </w:p>
    <w:p w14:paraId="767735BE" w14:textId="77777777" w:rsidR="00E01CDE" w:rsidRPr="008E3100" w:rsidRDefault="00E01CDE" w:rsidP="00E01CDE">
      <w:pPr>
        <w:pStyle w:val="Nivel3SM"/>
      </w:pPr>
      <w:r w:rsidRPr="008E3100">
        <w:t>Aglutina toda la normativa dispersa sobre suelo.</w:t>
      </w:r>
    </w:p>
    <w:p w14:paraId="5655B282" w14:textId="77777777" w:rsidR="00E01CDE" w:rsidRPr="002649F3" w:rsidRDefault="00E01CDE" w:rsidP="00E01CDE">
      <w:pPr>
        <w:pStyle w:val="Ttulo6"/>
      </w:pPr>
      <w:r w:rsidRPr="008E3100">
        <w:t>SEPES</w:t>
      </w:r>
    </w:p>
    <w:p w14:paraId="30AE0210" w14:textId="77777777" w:rsidR="00E01CDE" w:rsidRPr="008E3100" w:rsidRDefault="00E01CDE" w:rsidP="00E01CDE">
      <w:pPr>
        <w:pStyle w:val="Nivel2SM"/>
      </w:pPr>
      <w:r w:rsidRPr="008E3100">
        <w:t xml:space="preserve">La </w:t>
      </w:r>
      <w:r w:rsidRPr="008E3100">
        <w:rPr>
          <w:b/>
        </w:rPr>
        <w:t>Entidad Estatal de Suelo</w:t>
      </w:r>
      <w:r w:rsidRPr="008E3100">
        <w:t xml:space="preserve"> es un organismo público dependiente del Ministerio de Fomento cuyo </w:t>
      </w:r>
      <w:r w:rsidRPr="008E3100">
        <w:rPr>
          <w:u w:val="single"/>
        </w:rPr>
        <w:t>objetivo es la creación de suelo urbanizado para uso industrial, residencial o de servicios</w:t>
      </w:r>
      <w:r w:rsidRPr="008E3100">
        <w:t xml:space="preserve">. También se encarga del desarrollo de </w:t>
      </w:r>
      <w:proofErr w:type="spellStart"/>
      <w:r w:rsidRPr="008E3100">
        <w:t>VPOs</w:t>
      </w:r>
      <w:proofErr w:type="spellEnd"/>
      <w:r w:rsidRPr="008E3100">
        <w:t xml:space="preserve"> desde 2004.</w:t>
      </w:r>
    </w:p>
    <w:p w14:paraId="1E91FBAD" w14:textId="77777777" w:rsidR="00E01CDE" w:rsidRPr="008E3100" w:rsidRDefault="00E01CDE" w:rsidP="00E01CDE">
      <w:pPr>
        <w:pStyle w:val="Ttulo6"/>
      </w:pPr>
      <w:r w:rsidRPr="008E3100">
        <w:t>Problemas</w:t>
      </w:r>
    </w:p>
    <w:p w14:paraId="6170E9D9" w14:textId="77777777" w:rsidR="00E01CDE" w:rsidRPr="008E3100" w:rsidRDefault="00E01CDE" w:rsidP="00E01CDE">
      <w:pPr>
        <w:pStyle w:val="Nivel2SM"/>
        <w:keepNext/>
        <w:spacing w:after="0"/>
      </w:pPr>
      <w:r w:rsidRPr="00AC7F93">
        <w:t>Ante la sucesiva quiebra de promotoras,</w:t>
      </w:r>
      <w:r w:rsidRPr="00AC7F93">
        <w:rPr>
          <w:i/>
          <w:iCs/>
        </w:rPr>
        <w:t xml:space="preserve"> el suelo ha ido acumulándose en los balances de las entidades de crédito</w:t>
      </w:r>
      <w:r w:rsidRPr="008E3100">
        <w:t>.</w:t>
      </w:r>
    </w:p>
    <w:p w14:paraId="43C8070B" w14:textId="77777777" w:rsidR="00E01CDE" w:rsidRPr="008E3100" w:rsidRDefault="00E01CDE" w:rsidP="00E01CDE">
      <w:pPr>
        <w:pStyle w:val="Nivel3SM"/>
      </w:pPr>
      <w:r w:rsidRPr="008E3100">
        <w:t>Solución SAREB.</w:t>
      </w:r>
    </w:p>
    <w:p w14:paraId="6BC30956" w14:textId="77777777" w:rsidR="00E01CDE" w:rsidRPr="008E3100" w:rsidRDefault="00E01CDE" w:rsidP="00E01CDE">
      <w:pPr>
        <w:pStyle w:val="Nivel2SM"/>
        <w:keepNext/>
        <w:spacing w:after="0"/>
      </w:pPr>
      <w:r w:rsidRPr="00AC7F93">
        <w:rPr>
          <w:i/>
          <w:iCs/>
        </w:rPr>
        <w:t>Oligopolio en la transformación de suelo rústico en suelo urbanizable</w:t>
      </w:r>
      <w:r w:rsidRPr="008E3100">
        <w:t>.</w:t>
      </w:r>
    </w:p>
    <w:p w14:paraId="344A0800" w14:textId="77777777" w:rsidR="00E01CDE" w:rsidRPr="008E3100" w:rsidRDefault="00E01CDE" w:rsidP="00E01CDE">
      <w:pPr>
        <w:pStyle w:val="Nivel3SM"/>
      </w:pPr>
      <w:r w:rsidRPr="008E3100">
        <w:t>La necesidad de cuantiosos recursos financieros para el proceso de transformación del suelo rústico en urbanizable hacía que las grandes promotoras controlasen la adquisición del suelo, conformando un oligopolio.</w:t>
      </w:r>
      <w:r>
        <w:t xml:space="preserve"> </w:t>
      </w:r>
      <w:r w:rsidRPr="008E3100">
        <w:t>De esta manera, las pequeñas promotoras y cooperativas sólo podían adquirir el suelo cuando ya era suelo urbanizable y más caro.</w:t>
      </w:r>
    </w:p>
    <w:p w14:paraId="1721C73D" w14:textId="77777777" w:rsidR="00E01CDE" w:rsidRPr="008E3100" w:rsidRDefault="00E01CDE" w:rsidP="00E01CDE">
      <w:pPr>
        <w:pStyle w:val="Nivel3SM"/>
      </w:pPr>
      <w:r w:rsidRPr="008E3100">
        <w:t>De ahí que la Ley del Suelo de 2008 eliminase la clasificación intermedia de suelo urbanizable, para evitar la especulación.</w:t>
      </w:r>
    </w:p>
    <w:p w14:paraId="05E51D78" w14:textId="77777777" w:rsidR="00E01CDE" w:rsidRPr="008E3100" w:rsidRDefault="00E01CDE" w:rsidP="00E01CDE">
      <w:pPr>
        <w:pStyle w:val="Nivel2SM"/>
        <w:keepNext/>
        <w:spacing w:after="0"/>
      </w:pPr>
      <w:r w:rsidRPr="00AC7F93">
        <w:rPr>
          <w:i/>
          <w:iCs/>
        </w:rPr>
        <w:t>Sobreexplotación</w:t>
      </w:r>
      <w:r w:rsidRPr="008E3100">
        <w:t>.</w:t>
      </w:r>
    </w:p>
    <w:p w14:paraId="41A841CF" w14:textId="7790BAA7" w:rsidR="00E01CDE" w:rsidRPr="001F2FB2" w:rsidRDefault="00E01CDE" w:rsidP="00E01CDE">
      <w:pPr>
        <w:pStyle w:val="Nivel3SM"/>
        <w:rPr>
          <w:spacing w:val="-5"/>
        </w:rPr>
      </w:pPr>
      <w:r w:rsidRPr="001F2FB2">
        <w:rPr>
          <w:spacing w:val="-5"/>
        </w:rPr>
        <w:t>Las corporaciones locales obtenían gran parte de sus ingresos del sector de la construcción (licencias de construcción, impuestos sobre bienes inmuebles, etc.), por lo que tenían incentivos en sobredesarrollar la urbanización en sus Planes Generales de Ordenación Urbana.</w:t>
      </w:r>
    </w:p>
    <w:p w14:paraId="2A3DA85A" w14:textId="6F13869E" w:rsidR="001B1A58" w:rsidRDefault="001B1A58" w:rsidP="00DC3683">
      <w:pPr>
        <w:pStyle w:val="Ttulo2"/>
      </w:pPr>
      <w:bookmarkStart w:id="48" w:name="_Toc177740143"/>
      <w:r>
        <w:t>Instrumentos político-financieros</w:t>
      </w:r>
      <w:bookmarkEnd w:id="48"/>
    </w:p>
    <w:p w14:paraId="77DD4819" w14:textId="1B5DA56D" w:rsidR="00EE4796" w:rsidRDefault="00EE4796" w:rsidP="00EE4796">
      <w:pPr>
        <w:pStyle w:val="Ttulo3"/>
        <w:spacing w:before="0"/>
      </w:pPr>
      <w:bookmarkStart w:id="49" w:name="_Toc177740144"/>
      <w:r>
        <w:t>Planes de Urbanismo y Planes de Ordenación Urbana</w:t>
      </w:r>
      <w:bookmarkEnd w:id="49"/>
    </w:p>
    <w:p w14:paraId="011AFC1E" w14:textId="74448BD2" w:rsidR="00EE4796" w:rsidRDefault="00EE4796" w:rsidP="00B62ACF">
      <w:pPr>
        <w:pStyle w:val="Ttulo3"/>
      </w:pPr>
      <w:bookmarkStart w:id="50" w:name="_Toc177740145"/>
      <w:r>
        <w:t>PITVI 2012-2024</w:t>
      </w:r>
      <w:bookmarkEnd w:id="50"/>
    </w:p>
    <w:p w14:paraId="11E5F309" w14:textId="72A00CE1" w:rsidR="0026250F" w:rsidRDefault="0020276E" w:rsidP="00B62ACF">
      <w:pPr>
        <w:pStyle w:val="Ttulo3"/>
      </w:pPr>
      <w:bookmarkStart w:id="51" w:name="_Toc177740146"/>
      <w:r>
        <w:t>Plan de Recuperación, Transformación y Resiliencia en España</w:t>
      </w:r>
      <w:bookmarkEnd w:id="51"/>
    </w:p>
    <w:p w14:paraId="241876E6" w14:textId="44326967" w:rsidR="0026250F" w:rsidRPr="002649F3" w:rsidRDefault="0026250F" w:rsidP="00B62ACF">
      <w:pPr>
        <w:pStyle w:val="Ttulo6"/>
      </w:pPr>
      <w:r w:rsidRPr="00DC3683">
        <w:t>Descripción</w:t>
      </w:r>
      <w:r w:rsidRPr="000C2DFF">
        <w:t xml:space="preserve"> del plan</w:t>
      </w:r>
    </w:p>
    <w:p w14:paraId="599609DA" w14:textId="7A9B71C9" w:rsidR="0026250F" w:rsidRPr="002377F6" w:rsidRDefault="0026250F" w:rsidP="002377F6">
      <w:pPr>
        <w:pStyle w:val="Nivel1SM"/>
        <w:keepNext/>
        <w:spacing w:before="0" w:after="0"/>
      </w:pPr>
      <w:r w:rsidRPr="002377F6">
        <w:t>Los fondos europeos para la recuperación se distribuyen en España a través de</w:t>
      </w:r>
      <w:r w:rsidR="002377F6">
        <w:t>l Plan de Recuperación, Transformación y Resiliencia</w:t>
      </w:r>
      <w:r w:rsidR="002377F6" w:rsidRPr="002377F6">
        <w:t xml:space="preserve">, </w:t>
      </w:r>
      <w:r w:rsidR="002377F6">
        <w:t>que se estructura</w:t>
      </w:r>
      <w:r w:rsidRPr="002377F6">
        <w:t xml:space="preserve"> </w:t>
      </w:r>
      <w:r w:rsidR="002377F6">
        <w:t>en</w:t>
      </w:r>
      <w:r w:rsidRPr="002377F6">
        <w:t xml:space="preserve"> </w:t>
      </w:r>
      <w:r w:rsidRPr="002377F6">
        <w:rPr>
          <w:b/>
        </w:rPr>
        <w:t>4</w:t>
      </w:r>
      <w:r w:rsidR="00F005B7" w:rsidRPr="002377F6">
        <w:rPr>
          <w:b/>
        </w:rPr>
        <w:t> </w:t>
      </w:r>
      <w:r w:rsidRPr="002377F6">
        <w:rPr>
          <w:b/>
        </w:rPr>
        <w:t>ejes transversales</w:t>
      </w:r>
      <w:r w:rsidRPr="002377F6">
        <w:t>:</w:t>
      </w:r>
    </w:p>
    <w:p w14:paraId="3C34C761" w14:textId="77777777" w:rsidR="002377F6" w:rsidRDefault="00AC7F93" w:rsidP="00A97055">
      <w:pPr>
        <w:pStyle w:val="Prrafodelista"/>
        <w:numPr>
          <w:ilvl w:val="0"/>
          <w:numId w:val="42"/>
        </w:numPr>
        <w:spacing w:after="100"/>
        <w:ind w:left="567" w:hanging="113"/>
      </w:pPr>
      <w:r w:rsidRPr="002377F6">
        <w:rPr>
          <w:i/>
          <w:iCs/>
          <w:u w:val="single"/>
        </w:rPr>
        <w:t>T</w:t>
      </w:r>
      <w:r w:rsidR="0026250F" w:rsidRPr="002377F6">
        <w:rPr>
          <w:i/>
          <w:iCs/>
          <w:u w:val="single"/>
        </w:rPr>
        <w:t>ransición ecológica</w:t>
      </w:r>
      <w:r w:rsidR="002377F6">
        <w:t>.</w:t>
      </w:r>
    </w:p>
    <w:p w14:paraId="6F0E2217" w14:textId="77777777" w:rsidR="002377F6" w:rsidRDefault="00AC7F93" w:rsidP="00A8459F">
      <w:pPr>
        <w:pStyle w:val="Prrafodelista"/>
        <w:numPr>
          <w:ilvl w:val="0"/>
          <w:numId w:val="42"/>
        </w:numPr>
        <w:spacing w:after="100"/>
        <w:ind w:left="567" w:hanging="113"/>
      </w:pPr>
      <w:r w:rsidRPr="002377F6">
        <w:rPr>
          <w:i/>
          <w:iCs/>
          <w:u w:val="single"/>
        </w:rPr>
        <w:t>T</w:t>
      </w:r>
      <w:r w:rsidR="0026250F" w:rsidRPr="002377F6">
        <w:rPr>
          <w:i/>
          <w:iCs/>
          <w:u w:val="single"/>
        </w:rPr>
        <w:t>ransformación digital</w:t>
      </w:r>
      <w:r w:rsidR="002377F6">
        <w:t>.</w:t>
      </w:r>
    </w:p>
    <w:p w14:paraId="169AEA9C" w14:textId="77777777" w:rsidR="002377F6" w:rsidRDefault="00AC7F93" w:rsidP="004B26AC">
      <w:pPr>
        <w:pStyle w:val="Prrafodelista"/>
        <w:numPr>
          <w:ilvl w:val="0"/>
          <w:numId w:val="42"/>
        </w:numPr>
        <w:spacing w:after="100"/>
        <w:ind w:left="567" w:hanging="113"/>
      </w:pPr>
      <w:r w:rsidRPr="002377F6">
        <w:rPr>
          <w:i/>
          <w:iCs/>
          <w:u w:val="single"/>
        </w:rPr>
        <w:lastRenderedPageBreak/>
        <w:t>C</w:t>
      </w:r>
      <w:r w:rsidR="0026250F" w:rsidRPr="002377F6">
        <w:rPr>
          <w:i/>
          <w:iCs/>
          <w:u w:val="single"/>
        </w:rPr>
        <w:t>ohesión social y territorial</w:t>
      </w:r>
      <w:r w:rsidR="002377F6">
        <w:t>.</w:t>
      </w:r>
    </w:p>
    <w:p w14:paraId="43B91162" w14:textId="778A7AEE" w:rsidR="0026250F" w:rsidRDefault="00AC7F93" w:rsidP="004B26AC">
      <w:pPr>
        <w:pStyle w:val="Prrafodelista"/>
        <w:numPr>
          <w:ilvl w:val="0"/>
          <w:numId w:val="42"/>
        </w:numPr>
        <w:spacing w:after="100"/>
        <w:ind w:left="567" w:hanging="113"/>
      </w:pPr>
      <w:r w:rsidRPr="002377F6">
        <w:rPr>
          <w:i/>
          <w:iCs/>
          <w:u w:val="single"/>
        </w:rPr>
        <w:t>I</w:t>
      </w:r>
      <w:r w:rsidR="0026250F" w:rsidRPr="002377F6">
        <w:rPr>
          <w:i/>
          <w:iCs/>
          <w:u w:val="single"/>
        </w:rPr>
        <w:t>gualdad de género</w:t>
      </w:r>
      <w:r w:rsidR="0026250F">
        <w:t>.</w:t>
      </w:r>
    </w:p>
    <w:p w14:paraId="2DDCABBA" w14:textId="62565C66" w:rsidR="0026250F" w:rsidRPr="002377F6" w:rsidRDefault="0026250F" w:rsidP="002377F6">
      <w:pPr>
        <w:pStyle w:val="Nivel1SM"/>
        <w:keepNext/>
        <w:spacing w:after="0"/>
      </w:pPr>
      <w:r>
        <w:t xml:space="preserve">Estos ejes, se proyectan en </w:t>
      </w:r>
      <w:r w:rsidRPr="002377F6">
        <w:rPr>
          <w:b/>
        </w:rPr>
        <w:t>10</w:t>
      </w:r>
      <w:r w:rsidR="00F005B7" w:rsidRPr="002377F6">
        <w:rPr>
          <w:b/>
        </w:rPr>
        <w:t> </w:t>
      </w:r>
      <w:r w:rsidRPr="002377F6">
        <w:rPr>
          <w:b/>
        </w:rPr>
        <w:t>políticas palanca</w:t>
      </w:r>
      <w:r w:rsidRPr="002377F6">
        <w:t>, de gran capacidad de arrastre sobre la actividad y el empleo.</w:t>
      </w:r>
    </w:p>
    <w:p w14:paraId="05B4D138" w14:textId="5FEBF415" w:rsidR="0026250F" w:rsidRDefault="0026250F" w:rsidP="002377F6">
      <w:pPr>
        <w:pStyle w:val="Nivel2SM"/>
        <w:keepNext/>
        <w:spacing w:after="0"/>
      </w:pPr>
      <w:r>
        <w:t xml:space="preserve">Estas </w:t>
      </w:r>
      <w:r w:rsidR="002E17C7">
        <w:t>10 </w:t>
      </w:r>
      <w:r>
        <w:t xml:space="preserve">palancas recogen los </w:t>
      </w:r>
      <w:r w:rsidRPr="002377F6">
        <w:rPr>
          <w:b/>
        </w:rPr>
        <w:t>30</w:t>
      </w:r>
      <w:r w:rsidR="00F005B7" w:rsidRPr="002377F6">
        <w:rPr>
          <w:b/>
        </w:rPr>
        <w:t> </w:t>
      </w:r>
      <w:r w:rsidRPr="002377F6">
        <w:rPr>
          <w:b/>
        </w:rPr>
        <w:t>componentes</w:t>
      </w:r>
      <w:r>
        <w:t xml:space="preserve"> que articulan los proyectos coherentes de inversiones y reformas para modernizar el país.</w:t>
      </w:r>
    </w:p>
    <w:p w14:paraId="04CB123C" w14:textId="77777777" w:rsidR="0026250F" w:rsidRDefault="0026250F" w:rsidP="002377F6">
      <w:pPr>
        <w:pStyle w:val="Nivel3SM"/>
      </w:pPr>
      <w:r>
        <w:t>La mayoría tienen carácter horizontal, algunos están específicamente dirigidos a impulsar la modernización de sectores tractores, como el comercio, el turismo, el agroalimentario, la salud, la automoción o las propias AAAPP.</w:t>
      </w:r>
    </w:p>
    <w:p w14:paraId="34F0C034" w14:textId="77777777" w:rsidR="005829D1" w:rsidRDefault="0026250F" w:rsidP="00B62ACF">
      <w:pPr>
        <w:pStyle w:val="Ttulo6"/>
      </w:pPr>
      <w:r w:rsidRPr="000E1CB2">
        <w:t>Palanca</w:t>
      </w:r>
      <w:r w:rsidR="00F005B7" w:rsidRPr="000E1CB2">
        <w:t> </w:t>
      </w:r>
      <w:r w:rsidRPr="000E1CB2">
        <w:t>I: Agenda urbana y rural, lucha contra la despoblación y desarrollo de la agricultura</w:t>
      </w:r>
    </w:p>
    <w:p w14:paraId="0EBA5332" w14:textId="0D4BEDDC" w:rsidR="0026250F" w:rsidRPr="002649F3" w:rsidRDefault="0026250F" w:rsidP="005829D1">
      <w:pPr>
        <w:pStyle w:val="Ttulo7"/>
        <w:spacing w:before="0"/>
      </w:pPr>
      <w:r w:rsidRPr="0026250F">
        <w:t>Componente</w:t>
      </w:r>
      <w:r w:rsidR="00F005B7">
        <w:t> </w:t>
      </w:r>
      <w:r w:rsidRPr="0026250F">
        <w:t>2: Plan de rehabilitación de vivienda y regeneración urbana</w:t>
      </w:r>
    </w:p>
    <w:p w14:paraId="1D166BAD" w14:textId="77777777" w:rsidR="004E5ADA" w:rsidRPr="004E5ADA" w:rsidRDefault="004E5ADA" w:rsidP="00EF41D5">
      <w:pPr>
        <w:pStyle w:val="Nivel2SM"/>
        <w:keepNext/>
        <w:spacing w:after="0"/>
      </w:pPr>
      <w:r w:rsidRPr="00EF41D5">
        <w:rPr>
          <w:u w:val="single"/>
        </w:rPr>
        <w:t>Justificación: M</w:t>
      </w:r>
      <w:r w:rsidR="0026250F" w:rsidRPr="00EF41D5">
        <w:rPr>
          <w:u w:val="single"/>
        </w:rPr>
        <w:t>edidas c</w:t>
      </w:r>
      <w:r w:rsidRPr="00EF41D5">
        <w:rPr>
          <w:u w:val="single"/>
        </w:rPr>
        <w:t>on un enorme potencial en España</w:t>
      </w:r>
      <w:r>
        <w:t>, por:</w:t>
      </w:r>
    </w:p>
    <w:p w14:paraId="002D7C68" w14:textId="2F926457" w:rsidR="004E5ADA" w:rsidRDefault="000E1CB2" w:rsidP="00EF41D5">
      <w:pPr>
        <w:pStyle w:val="Nivel3SM"/>
      </w:pPr>
      <w:r>
        <w:t>L</w:t>
      </w:r>
      <w:r w:rsidR="0026250F">
        <w:t>as condiciones de antigüedad y conservación del parque de edificios y viviendas públicos y privados,</w:t>
      </w:r>
    </w:p>
    <w:p w14:paraId="6C0A49DE" w14:textId="5582FC02" w:rsidR="004E5ADA" w:rsidRDefault="000E1CB2" w:rsidP="00EF41D5">
      <w:pPr>
        <w:pStyle w:val="Nivel3SM"/>
      </w:pPr>
      <w:r>
        <w:t>C</w:t>
      </w:r>
      <w:r w:rsidR="0026250F">
        <w:t>apacidad de descarbonización,</w:t>
      </w:r>
    </w:p>
    <w:p w14:paraId="61C0AA4E" w14:textId="3E181A5B" w:rsidR="004E5ADA" w:rsidRDefault="000E1CB2" w:rsidP="00EF41D5">
      <w:pPr>
        <w:pStyle w:val="Nivel3SM"/>
      </w:pPr>
      <w:r>
        <w:t>C</w:t>
      </w:r>
      <w:r w:rsidR="0026250F">
        <w:t>reación de puestos de trabajo,</w:t>
      </w:r>
    </w:p>
    <w:p w14:paraId="375266B3" w14:textId="56294A25" w:rsidR="004E5ADA" w:rsidRDefault="000E1CB2" w:rsidP="00EF41D5">
      <w:pPr>
        <w:pStyle w:val="Nivel3SM"/>
      </w:pPr>
      <w:r>
        <w:t>C</w:t>
      </w:r>
      <w:r w:rsidR="0026250F">
        <w:t>ohesión social</w:t>
      </w:r>
      <w:r w:rsidR="00E57230">
        <w:t>,</w:t>
      </w:r>
    </w:p>
    <w:p w14:paraId="3BA10280" w14:textId="7385A1AE" w:rsidR="0026250F" w:rsidRDefault="000E1CB2" w:rsidP="00EF41D5">
      <w:pPr>
        <w:pStyle w:val="Nivel3SM"/>
      </w:pPr>
      <w:r>
        <w:t>I</w:t>
      </w:r>
      <w:r w:rsidR="0026250F">
        <w:t>mpacto urbano y rural.</w:t>
      </w:r>
    </w:p>
    <w:p w14:paraId="16200F86" w14:textId="0F4E1DAC" w:rsidR="0026250F" w:rsidRPr="00EF41D5" w:rsidRDefault="0026250F" w:rsidP="00EF41D5">
      <w:pPr>
        <w:pStyle w:val="Nivel2SM"/>
        <w:keepNext/>
        <w:spacing w:after="0"/>
        <w:rPr>
          <w:u w:val="single"/>
        </w:rPr>
      </w:pPr>
      <w:r w:rsidRPr="006D5CB5">
        <w:rPr>
          <w:b/>
          <w:bCs/>
        </w:rPr>
        <w:t>Reformas</w:t>
      </w:r>
      <w:r w:rsidR="006D5CB5">
        <w:t>:</w:t>
      </w:r>
    </w:p>
    <w:p w14:paraId="6700463E" w14:textId="77777777" w:rsidR="00242789" w:rsidRPr="00242789" w:rsidRDefault="00242789" w:rsidP="00EF41D5">
      <w:pPr>
        <w:pStyle w:val="Nivel3SM"/>
        <w:keepNext/>
      </w:pPr>
      <w:r w:rsidRPr="00242789">
        <w:t>Agenda Urbana Española</w:t>
      </w:r>
    </w:p>
    <w:p w14:paraId="1093AC11" w14:textId="40BADABD" w:rsidR="0026250F" w:rsidRDefault="000E1CB2" w:rsidP="00EF41D5">
      <w:pPr>
        <w:pStyle w:val="Nivel4"/>
        <w:ind w:left="1474"/>
      </w:pPr>
      <w:r>
        <w:t>P</w:t>
      </w:r>
      <w:r w:rsidR="0026250F">
        <w:t>apel fundamental los Municipios Españoles y que está alineada con los objetivos para un desarrollo rural y urbano sostenible.</w:t>
      </w:r>
    </w:p>
    <w:p w14:paraId="0C3CBF1A" w14:textId="0C930841" w:rsidR="00242789" w:rsidRPr="00242789" w:rsidRDefault="0026250F" w:rsidP="00EF41D5">
      <w:pPr>
        <w:pStyle w:val="Nivel3SM"/>
        <w:keepNext/>
      </w:pPr>
      <w:r w:rsidRPr="00242789">
        <w:t xml:space="preserve">Estrategia </w:t>
      </w:r>
      <w:r w:rsidR="000E1CB2">
        <w:t>a largo plazo</w:t>
      </w:r>
      <w:r w:rsidRPr="00242789">
        <w:t xml:space="preserve"> Rehabilitación Energética en el Sector de la Edificación</w:t>
      </w:r>
    </w:p>
    <w:p w14:paraId="117C0165" w14:textId="021BBC7A" w:rsidR="0026250F" w:rsidRDefault="000E1CB2" w:rsidP="00EF41D5">
      <w:pPr>
        <w:pStyle w:val="Nivel4"/>
        <w:ind w:left="1474"/>
      </w:pPr>
      <w:r>
        <w:t>R</w:t>
      </w:r>
      <w:r w:rsidR="0026250F">
        <w:t>enovación del parque nacional de edificios residenciales y no residenciales, tanto públicos como privados, con alta eficiencia energética y descarbonizados antes de 2050.</w:t>
      </w:r>
    </w:p>
    <w:p w14:paraId="5D4E34F7" w14:textId="55CDA651" w:rsidR="00242789" w:rsidRDefault="0026250F" w:rsidP="00EF41D5">
      <w:pPr>
        <w:pStyle w:val="Nivel3SM"/>
        <w:keepNext/>
      </w:pPr>
      <w:r w:rsidRPr="00242789">
        <w:t>Ley de Vivienda</w:t>
      </w:r>
    </w:p>
    <w:p w14:paraId="1C52C731" w14:textId="3B1A00E3" w:rsidR="00974AB3" w:rsidRDefault="00BE69F2" w:rsidP="00EF41D5">
      <w:pPr>
        <w:pStyle w:val="Nivel4"/>
        <w:ind w:left="1474"/>
      </w:pPr>
      <w:r>
        <w:t>P</w:t>
      </w:r>
      <w:r w:rsidR="0026250F">
        <w:t>rotección del derecho a acceder a una vivienda digna y adecuada</w:t>
      </w:r>
    </w:p>
    <w:p w14:paraId="2EB06603" w14:textId="08FEADB4" w:rsidR="0026250F" w:rsidRDefault="00BE69F2" w:rsidP="00EF41D5">
      <w:pPr>
        <w:pStyle w:val="Nivel4"/>
        <w:ind w:left="1474"/>
      </w:pPr>
      <w:r>
        <w:t>V</w:t>
      </w:r>
      <w:r w:rsidR="0026250F">
        <w:t xml:space="preserve">ivienda eficiente </w:t>
      </w:r>
      <w:r w:rsidR="00974AB3">
        <w:t xml:space="preserve">asequible </w:t>
      </w:r>
      <w:r w:rsidR="0026250F">
        <w:t xml:space="preserve">incluido en el </w:t>
      </w:r>
      <w:proofErr w:type="spellStart"/>
      <w:r w:rsidR="0026250F">
        <w:t>Renovation</w:t>
      </w:r>
      <w:proofErr w:type="spellEnd"/>
      <w:r w:rsidR="0026250F">
        <w:t xml:space="preserve"> Wave.</w:t>
      </w:r>
    </w:p>
    <w:p w14:paraId="4046584F" w14:textId="77777777" w:rsidR="00974AB3" w:rsidRDefault="0026250F" w:rsidP="00EF41D5">
      <w:pPr>
        <w:pStyle w:val="Nivel3SM"/>
        <w:keepNext/>
      </w:pPr>
      <w:r w:rsidRPr="00974AB3">
        <w:t>Oficinas de Rehabilitación (“ventanilla única”)</w:t>
      </w:r>
    </w:p>
    <w:p w14:paraId="28252D92" w14:textId="279402C1" w:rsidR="0026250F" w:rsidRDefault="002F517C" w:rsidP="00EF41D5">
      <w:pPr>
        <w:pStyle w:val="Nivel4"/>
        <w:ind w:left="1474"/>
      </w:pPr>
      <w:r>
        <w:t>M</w:t>
      </w:r>
      <w:r w:rsidR="0026250F">
        <w:t>arco normativo para facilitar la gestión de las ayudas, financiación y fiscalidad</w:t>
      </w:r>
      <w:r w:rsidR="00974AB3">
        <w:t xml:space="preserve"> </w:t>
      </w:r>
      <w:proofErr w:type="spellStart"/>
      <w:r w:rsidR="00974AB3">
        <w:t>wrt</w:t>
      </w:r>
      <w:proofErr w:type="spellEnd"/>
      <w:r w:rsidR="00974AB3">
        <w:t xml:space="preserve"> a l</w:t>
      </w:r>
      <w:r w:rsidR="0026250F">
        <w:t>a rehabilitación.</w:t>
      </w:r>
    </w:p>
    <w:p w14:paraId="12A41A14" w14:textId="48FECA1A" w:rsidR="006D5CB5" w:rsidRDefault="0026250F" w:rsidP="00957FAC">
      <w:pPr>
        <w:pStyle w:val="Nivel2SM"/>
        <w:keepNext/>
        <w:spacing w:after="0"/>
      </w:pPr>
      <w:r w:rsidRPr="006D5CB5">
        <w:rPr>
          <w:b/>
          <w:bCs/>
        </w:rPr>
        <w:t>Inversiones</w:t>
      </w:r>
      <w:r w:rsidR="006D5CB5">
        <w:t xml:space="preserve">: </w:t>
      </w:r>
      <w:r w:rsidR="006D5CB5" w:rsidRPr="006D5CB5">
        <w:t>Inversión total estimada</w:t>
      </w:r>
      <w:r w:rsidR="006D5CB5">
        <w:t>: 6.820 millones de euros.</w:t>
      </w:r>
    </w:p>
    <w:p w14:paraId="251CDB17" w14:textId="35B3BC32" w:rsidR="00974AB3" w:rsidRPr="00974AB3" w:rsidRDefault="0026250F" w:rsidP="000E03DF">
      <w:pPr>
        <w:pStyle w:val="Nivel3SM"/>
        <w:keepNext/>
      </w:pPr>
      <w:r w:rsidRPr="00974AB3">
        <w:t>Programas de rehabilitaci</w:t>
      </w:r>
      <w:r w:rsidR="00974AB3" w:rsidRPr="00974AB3">
        <w:t>ón,</w:t>
      </w:r>
      <w:r w:rsidRPr="00974AB3">
        <w:t xml:space="preserve"> regeneración y renovación urbana</w:t>
      </w:r>
      <w:r w:rsidR="00FA329A">
        <w:t>.</w:t>
      </w:r>
    </w:p>
    <w:p w14:paraId="5F0DC59D" w14:textId="23758DB2" w:rsidR="0026250F" w:rsidRDefault="002F517C" w:rsidP="000E03DF">
      <w:pPr>
        <w:pStyle w:val="Nivel4"/>
        <w:ind w:left="1474"/>
      </w:pPr>
      <w:r>
        <w:t>E</w:t>
      </w:r>
      <w:r w:rsidR="0026250F">
        <w:t>n barrios o zonas delimitadas en función de su nivel de renta y que tendrá especial incidencia en colectivos vulnerables</w:t>
      </w:r>
      <w:r w:rsidR="00974AB3">
        <w:t>.</w:t>
      </w:r>
    </w:p>
    <w:p w14:paraId="2E630415" w14:textId="3B6F3E3F" w:rsidR="00974AB3" w:rsidRDefault="0026250F" w:rsidP="000E03DF">
      <w:pPr>
        <w:pStyle w:val="Nivel3SM"/>
        <w:keepNext/>
      </w:pPr>
      <w:r w:rsidRPr="00974AB3">
        <w:t>Programa de construcción de viviendas en alquiler social en edificios energéticamente eficientes</w:t>
      </w:r>
      <w:r w:rsidR="00FA329A">
        <w:t>.</w:t>
      </w:r>
    </w:p>
    <w:p w14:paraId="27A0709F" w14:textId="21A0E0C9" w:rsidR="0026250F" w:rsidRDefault="002F517C" w:rsidP="000E03DF">
      <w:pPr>
        <w:pStyle w:val="Nivel4"/>
        <w:ind w:left="1474"/>
      </w:pPr>
      <w:r>
        <w:t>P</w:t>
      </w:r>
      <w:r w:rsidR="0026250F">
        <w:t>ara incrementar la oferta de vivienda en alquiler a precio asequible, contando con la colaboración del sector privado.</w:t>
      </w:r>
    </w:p>
    <w:p w14:paraId="510D592E" w14:textId="3C379581" w:rsidR="004E5ADA" w:rsidRDefault="0026250F" w:rsidP="000E03DF">
      <w:pPr>
        <w:pStyle w:val="Nivel3SM"/>
        <w:keepNext/>
      </w:pPr>
      <w:r w:rsidRPr="004E5ADA">
        <w:t>Programa de rehabilitación energética de edificios</w:t>
      </w:r>
      <w:r w:rsidR="00FA329A">
        <w:t>.</w:t>
      </w:r>
    </w:p>
    <w:p w14:paraId="08231640" w14:textId="1D43AD39" w:rsidR="0026250F" w:rsidRDefault="002F517C" w:rsidP="000E03DF">
      <w:pPr>
        <w:pStyle w:val="Nivel4"/>
        <w:ind w:left="1474"/>
      </w:pPr>
      <w:r>
        <w:t>A</w:t>
      </w:r>
      <w:r w:rsidR="0026250F">
        <w:t>ctuaciones de ahorro y eficiencia energética e incorporación energías renovables.</w:t>
      </w:r>
    </w:p>
    <w:p w14:paraId="4519553D" w14:textId="2800A7F1" w:rsidR="004E5ADA" w:rsidRDefault="0026250F" w:rsidP="000E03DF">
      <w:pPr>
        <w:pStyle w:val="Nivel3SM"/>
        <w:keepNext/>
      </w:pPr>
      <w:r w:rsidRPr="004E5ADA">
        <w:t>Programa de regeneración y reto demográfico</w:t>
      </w:r>
      <w:r w:rsidR="00FA329A">
        <w:t>.</w:t>
      </w:r>
    </w:p>
    <w:p w14:paraId="77E7E3A4" w14:textId="2D4502C9" w:rsidR="004E5ADA" w:rsidRDefault="004E5ADA" w:rsidP="000E03DF">
      <w:pPr>
        <w:pStyle w:val="Nivel4"/>
        <w:ind w:left="1474"/>
      </w:pPr>
      <w:r>
        <w:t>E</w:t>
      </w:r>
      <w:r w:rsidR="0026250F">
        <w:t>ficiencia energética de edificios</w:t>
      </w:r>
      <w:r>
        <w:t xml:space="preserve">, </w:t>
      </w:r>
      <w:r w:rsidR="0026250F">
        <w:t xml:space="preserve">energías renovables y </w:t>
      </w:r>
      <w:r>
        <w:t>movilidad eléctrica (municipios</w:t>
      </w:r>
      <w:r w:rsidR="000E1CB2">
        <w:t xml:space="preserve"> </w:t>
      </w:r>
      <w:r>
        <w:t>&lt; 5000</w:t>
      </w:r>
      <w:r w:rsidR="00D76CCD">
        <w:t> </w:t>
      </w:r>
      <w:r>
        <w:t>habitantes)</w:t>
      </w:r>
      <w:r w:rsidR="00FA329A">
        <w:t>.</w:t>
      </w:r>
    </w:p>
    <w:p w14:paraId="16150CA8" w14:textId="57EA122E" w:rsidR="004E5ADA" w:rsidRDefault="0026250F" w:rsidP="000E03DF">
      <w:pPr>
        <w:pStyle w:val="Nivel3SM"/>
        <w:keepNext/>
      </w:pPr>
      <w:r w:rsidRPr="004E5ADA">
        <w:t>Programa de impulso a la rehabilitación de edificios públicos</w:t>
      </w:r>
      <w:r w:rsidR="00FA329A">
        <w:t>.</w:t>
      </w:r>
    </w:p>
    <w:p w14:paraId="418D9C47" w14:textId="27D3E979" w:rsidR="00CE7AF4" w:rsidRPr="00D76CCD" w:rsidRDefault="002F517C" w:rsidP="000E03DF">
      <w:pPr>
        <w:pStyle w:val="Nivel4"/>
        <w:ind w:left="1474"/>
      </w:pPr>
      <w:r>
        <w:t>R</w:t>
      </w:r>
      <w:r w:rsidR="0026250F">
        <w:t>ehabilitación sostenible del parque público institucional</w:t>
      </w:r>
      <w:r w:rsidR="00FA329A">
        <w:t>.</w:t>
      </w:r>
    </w:p>
    <w:p w14:paraId="59D8C387" w14:textId="6160FD19" w:rsidR="00343ED2" w:rsidRDefault="00343ED2" w:rsidP="00B62ACF">
      <w:pPr>
        <w:pStyle w:val="Ttulo6"/>
      </w:pPr>
      <w:r>
        <w:lastRenderedPageBreak/>
        <w:t>Doble transición</w:t>
      </w:r>
    </w:p>
    <w:p w14:paraId="719D7463" w14:textId="5B082B12" w:rsidR="00E94AEF" w:rsidRPr="00D76CCD" w:rsidRDefault="00343ED2" w:rsidP="00B62ACF">
      <w:pPr>
        <w:pStyle w:val="Ttulo7"/>
        <w:spacing w:before="0"/>
      </w:pPr>
      <w:r w:rsidRPr="00343ED2">
        <w:t>Transición digital</w:t>
      </w:r>
      <w:r w:rsidR="0073193D">
        <w:t>: Construcción 4.0</w:t>
      </w:r>
    </w:p>
    <w:p w14:paraId="15AB1033" w14:textId="35A49746" w:rsidR="00313314" w:rsidRDefault="00313314" w:rsidP="00AA24BD">
      <w:pPr>
        <w:pStyle w:val="Nivel2SM"/>
      </w:pPr>
      <w:r w:rsidRPr="00317498">
        <w:t xml:space="preserve">La </w:t>
      </w:r>
      <w:r w:rsidRPr="00317498">
        <w:rPr>
          <w:i/>
          <w:iCs/>
          <w:u w:val="single"/>
        </w:rPr>
        <w:t>Construcción</w:t>
      </w:r>
      <w:r w:rsidR="00670C3C" w:rsidRPr="00317498">
        <w:rPr>
          <w:i/>
          <w:iCs/>
          <w:u w:val="single"/>
        </w:rPr>
        <w:t> </w:t>
      </w:r>
      <w:r w:rsidRPr="00317498">
        <w:rPr>
          <w:i/>
          <w:iCs/>
          <w:u w:val="single"/>
        </w:rPr>
        <w:t>4.0</w:t>
      </w:r>
      <w:r>
        <w:t xml:space="preserve"> es un nuevo concepto surgido de la Cuarta Revolución Industrial, la llamada Industria</w:t>
      </w:r>
      <w:r w:rsidR="00670C3C">
        <w:t> </w:t>
      </w:r>
      <w:r>
        <w:t>4.0, y que se ha extendido recientemente en el sector de la construcción como una ventana de oportunidad para realizar la transformación pendiente que este sector viene necesitando desde hace años.</w:t>
      </w:r>
    </w:p>
    <w:p w14:paraId="5E992322" w14:textId="3E6EF3A2" w:rsidR="0073193D" w:rsidRPr="0073193D" w:rsidRDefault="0073193D" w:rsidP="00AA24BD">
      <w:pPr>
        <w:pStyle w:val="Nivel2SM"/>
        <w:keepNext/>
        <w:spacing w:after="0"/>
        <w:rPr>
          <w:u w:val="single"/>
        </w:rPr>
      </w:pPr>
      <w:r w:rsidRPr="00317498">
        <w:t xml:space="preserve">Según un </w:t>
      </w:r>
      <w:r w:rsidR="00164330" w:rsidRPr="00317498">
        <w:t>e</w:t>
      </w:r>
      <w:r w:rsidRPr="00317498">
        <w:t xml:space="preserve">studio de McKinsey </w:t>
      </w:r>
      <w:r w:rsidR="00313314" w:rsidRPr="00317498">
        <w:rPr>
          <w:i/>
          <w:iCs/>
          <w:u w:val="single"/>
        </w:rPr>
        <w:t>“Reinvent</w:t>
      </w:r>
      <w:r w:rsidRPr="00317498">
        <w:rPr>
          <w:i/>
          <w:iCs/>
          <w:u w:val="single"/>
        </w:rPr>
        <w:t>ando la construcción</w:t>
      </w:r>
      <w:r w:rsidR="00313314" w:rsidRPr="00317498">
        <w:rPr>
          <w:i/>
          <w:iCs/>
          <w:u w:val="single"/>
        </w:rPr>
        <w:t>”</w:t>
      </w:r>
      <w:r w:rsidR="00317498">
        <w:t>:</w:t>
      </w:r>
    </w:p>
    <w:p w14:paraId="33E5A871" w14:textId="636E46BA" w:rsidR="0073193D" w:rsidRDefault="0073193D" w:rsidP="00AA24BD">
      <w:pPr>
        <w:pStyle w:val="Nivel3SM"/>
      </w:pPr>
      <w:r>
        <w:t>L</w:t>
      </w:r>
      <w:r w:rsidR="00313314">
        <w:t>a construcción podría incrementar por 5, o incluso por 10, su productividad si adquiere un estilo de producción similar a la de la industria manufacturera y hace su transición tecnológica hacia la automatización y el uso del dato.</w:t>
      </w:r>
    </w:p>
    <w:p w14:paraId="0C7BCFC5" w14:textId="4269A3F7" w:rsidR="00313314" w:rsidRDefault="0073193D" w:rsidP="00AA24BD">
      <w:pPr>
        <w:pStyle w:val="Nivel3SM"/>
        <w:keepNext/>
      </w:pPr>
      <w:r>
        <w:t>La</w:t>
      </w:r>
      <w:r w:rsidR="00313314">
        <w:t xml:space="preserve"> Construcción</w:t>
      </w:r>
      <w:r w:rsidR="00E74781">
        <w:t> </w:t>
      </w:r>
      <w:r w:rsidR="00313314">
        <w:t xml:space="preserve">4.0 pivota sobre </w:t>
      </w:r>
      <w:r w:rsidR="00A873E2">
        <w:t>2 </w:t>
      </w:r>
      <w:r w:rsidR="00313314">
        <w:t>pilares</w:t>
      </w:r>
      <w:r w:rsidR="00A873E2">
        <w:t>:</w:t>
      </w:r>
      <w:r w:rsidR="00313314">
        <w:t xml:space="preserve"> la </w:t>
      </w:r>
      <w:r w:rsidR="00313314" w:rsidRPr="00A873E2">
        <w:rPr>
          <w:i/>
          <w:iCs/>
        </w:rPr>
        <w:t>industrialización de los procesos constructivos</w:t>
      </w:r>
      <w:r w:rsidR="00313314">
        <w:t xml:space="preserve"> y la </w:t>
      </w:r>
      <w:r w:rsidR="00313314" w:rsidRPr="00A873E2">
        <w:rPr>
          <w:i/>
          <w:iCs/>
        </w:rPr>
        <w:t>incorporación de tecnologías emergentes</w:t>
      </w:r>
      <w:r w:rsidR="00313314">
        <w:t>.</w:t>
      </w:r>
    </w:p>
    <w:p w14:paraId="129B3775" w14:textId="77777777" w:rsidR="000E7F14" w:rsidRDefault="000E7F14" w:rsidP="000E7F14">
      <w:pPr>
        <w:pStyle w:val="Nivel4"/>
        <w:keepNext/>
        <w:ind w:left="1474"/>
        <w:rPr>
          <w:spacing w:val="-2"/>
        </w:rPr>
      </w:pPr>
      <w:r>
        <w:rPr>
          <w:i/>
          <w:iCs/>
          <w:spacing w:val="-2"/>
        </w:rPr>
        <w:t>Incorporación de n</w:t>
      </w:r>
      <w:r w:rsidR="0073193D" w:rsidRPr="000E7F14">
        <w:rPr>
          <w:i/>
          <w:iCs/>
          <w:spacing w:val="-2"/>
        </w:rPr>
        <w:t>uevas tecnologías</w:t>
      </w:r>
      <w:r w:rsidR="0073193D" w:rsidRPr="00A873E2">
        <w:rPr>
          <w:spacing w:val="-2"/>
        </w:rPr>
        <w:t>:</w:t>
      </w:r>
    </w:p>
    <w:p w14:paraId="447A9587" w14:textId="4CAD64D2" w:rsidR="000E7F14" w:rsidRDefault="00313314" w:rsidP="000E7F14">
      <w:pPr>
        <w:pStyle w:val="Nivel5"/>
        <w:ind w:left="1871"/>
      </w:pPr>
      <w:proofErr w:type="spellStart"/>
      <w:r w:rsidRPr="00A873E2">
        <w:rPr>
          <w:i/>
          <w:iCs/>
        </w:rPr>
        <w:t>IoT</w:t>
      </w:r>
      <w:proofErr w:type="spellEnd"/>
      <w:r w:rsidR="0073193D" w:rsidRPr="00A873E2">
        <w:t xml:space="preserve"> (mejora la toma de decisiones y aumenta la información disponible)</w:t>
      </w:r>
      <w:r w:rsidR="000E7F14">
        <w:t>;</w:t>
      </w:r>
    </w:p>
    <w:p w14:paraId="456AAF54" w14:textId="77777777" w:rsidR="000E7F14" w:rsidRDefault="000E7F14" w:rsidP="000E7F14">
      <w:pPr>
        <w:pStyle w:val="Nivel5"/>
        <w:ind w:left="1871"/>
      </w:pPr>
      <w:proofErr w:type="spellStart"/>
      <w:r>
        <w:rPr>
          <w:i/>
          <w:iCs/>
        </w:rPr>
        <w:t>C</w:t>
      </w:r>
      <w:r w:rsidR="00313314" w:rsidRPr="00A873E2">
        <w:rPr>
          <w:i/>
          <w:iCs/>
        </w:rPr>
        <w:t>loudcomputing</w:t>
      </w:r>
      <w:proofErr w:type="spellEnd"/>
      <w:r w:rsidR="0073193D" w:rsidRPr="00A873E2">
        <w:t xml:space="preserve"> (almacenamiento de información), la robótica (automatizar procesos)</w:t>
      </w:r>
      <w:r>
        <w:t>;</w:t>
      </w:r>
    </w:p>
    <w:p w14:paraId="04DE6E72" w14:textId="7FE50D0E" w:rsidR="0073193D" w:rsidRPr="00A873E2" w:rsidRDefault="000E7F14" w:rsidP="000E7F14">
      <w:pPr>
        <w:pStyle w:val="Nivel5"/>
        <w:ind w:left="1871"/>
      </w:pPr>
      <w:r>
        <w:rPr>
          <w:i/>
          <w:iCs/>
        </w:rPr>
        <w:t>B</w:t>
      </w:r>
      <w:r w:rsidR="0073193D" w:rsidRPr="00A873E2">
        <w:rPr>
          <w:i/>
          <w:iCs/>
        </w:rPr>
        <w:t>ig data</w:t>
      </w:r>
      <w:r w:rsidR="0073193D" w:rsidRPr="00A873E2">
        <w:t xml:space="preserve"> (gestión masiva de datos, explotando su potencial)</w:t>
      </w:r>
      <w:r>
        <w:t>; y</w:t>
      </w:r>
    </w:p>
    <w:p w14:paraId="643FAF87" w14:textId="4C007666" w:rsidR="0073193D" w:rsidRPr="001472AF" w:rsidRDefault="000E7F14" w:rsidP="000E7F14">
      <w:pPr>
        <w:pStyle w:val="Nivel5"/>
        <w:ind w:left="1871"/>
        <w:rPr>
          <w:spacing w:val="-3"/>
        </w:rPr>
      </w:pPr>
      <w:r w:rsidRPr="001472AF">
        <w:rPr>
          <w:i/>
          <w:iCs/>
          <w:spacing w:val="-3"/>
        </w:rPr>
        <w:t>M</w:t>
      </w:r>
      <w:r w:rsidR="0073193D" w:rsidRPr="001472AF">
        <w:rPr>
          <w:i/>
          <w:iCs/>
          <w:spacing w:val="-3"/>
        </w:rPr>
        <w:t>etodología BIM (</w:t>
      </w:r>
      <w:proofErr w:type="spellStart"/>
      <w:r w:rsidR="0073193D" w:rsidRPr="001472AF">
        <w:rPr>
          <w:i/>
          <w:iCs/>
          <w:spacing w:val="-3"/>
        </w:rPr>
        <w:t>Building</w:t>
      </w:r>
      <w:proofErr w:type="spellEnd"/>
      <w:r w:rsidR="0073193D" w:rsidRPr="001472AF">
        <w:rPr>
          <w:i/>
          <w:iCs/>
          <w:spacing w:val="-3"/>
        </w:rPr>
        <w:t xml:space="preserve"> </w:t>
      </w:r>
      <w:proofErr w:type="spellStart"/>
      <w:r w:rsidR="0073193D" w:rsidRPr="001472AF">
        <w:rPr>
          <w:i/>
          <w:iCs/>
          <w:spacing w:val="-3"/>
        </w:rPr>
        <w:t>Information</w:t>
      </w:r>
      <w:proofErr w:type="spellEnd"/>
      <w:r w:rsidR="0073193D" w:rsidRPr="001472AF">
        <w:rPr>
          <w:i/>
          <w:iCs/>
          <w:spacing w:val="-3"/>
        </w:rPr>
        <w:t xml:space="preserve"> </w:t>
      </w:r>
      <w:proofErr w:type="spellStart"/>
      <w:r w:rsidR="0073193D" w:rsidRPr="001472AF">
        <w:rPr>
          <w:i/>
          <w:iCs/>
          <w:spacing w:val="-3"/>
        </w:rPr>
        <w:t>Modelling</w:t>
      </w:r>
      <w:proofErr w:type="spellEnd"/>
      <w:r w:rsidR="0073193D" w:rsidRPr="001472AF">
        <w:rPr>
          <w:i/>
          <w:iCs/>
          <w:spacing w:val="-3"/>
        </w:rPr>
        <w:t>)</w:t>
      </w:r>
      <w:r w:rsidR="0073193D" w:rsidRPr="001472AF">
        <w:rPr>
          <w:spacing w:val="-3"/>
        </w:rPr>
        <w:t xml:space="preserve"> permite virtualizar la construcción: réplica digital exacta antes de construir</w:t>
      </w:r>
      <w:r w:rsidR="00AE6C9C">
        <w:rPr>
          <w:spacing w:val="-3"/>
        </w:rPr>
        <w:t xml:space="preserve"> (</w:t>
      </w:r>
      <w:r w:rsidR="0073193D" w:rsidRPr="001472AF">
        <w:rPr>
          <w:spacing w:val="-3"/>
        </w:rPr>
        <w:t>realidad virtual y realidad aumentada</w:t>
      </w:r>
      <w:r w:rsidR="00AE6C9C">
        <w:rPr>
          <w:spacing w:val="-3"/>
        </w:rPr>
        <w:t>)</w:t>
      </w:r>
      <w:r w:rsidR="0073193D" w:rsidRPr="001472AF">
        <w:rPr>
          <w:spacing w:val="-3"/>
        </w:rPr>
        <w:t>.</w:t>
      </w:r>
    </w:p>
    <w:p w14:paraId="7B2C8BC2" w14:textId="18142313" w:rsidR="000E7F14" w:rsidRDefault="000E7F14" w:rsidP="00AA24BD">
      <w:pPr>
        <w:pStyle w:val="Nivel4"/>
        <w:ind w:left="1474"/>
      </w:pPr>
      <w:r w:rsidRPr="000E7F14">
        <w:rPr>
          <w:i/>
          <w:iCs/>
        </w:rPr>
        <w:t>Industrialización de los procesos constructivos</w:t>
      </w:r>
      <w:r>
        <w:t>.</w:t>
      </w:r>
    </w:p>
    <w:p w14:paraId="7DE06C31" w14:textId="09824DED" w:rsidR="00343ED2" w:rsidRDefault="00343ED2" w:rsidP="00B62ACF">
      <w:pPr>
        <w:pStyle w:val="Ttulo7"/>
      </w:pPr>
      <w:r>
        <w:t>Transición ecológica</w:t>
      </w:r>
      <w:r w:rsidR="0073193D">
        <w:t>: Economía circular</w:t>
      </w:r>
    </w:p>
    <w:p w14:paraId="25A38A6A" w14:textId="719C213F" w:rsidR="00E94AEF" w:rsidRPr="00415015" w:rsidRDefault="00E94AEF" w:rsidP="00415015">
      <w:pPr>
        <w:pStyle w:val="Nivel2SM"/>
        <w:keepNext/>
        <w:spacing w:after="0"/>
        <w:rPr>
          <w:u w:val="single"/>
        </w:rPr>
      </w:pPr>
      <w:r w:rsidRPr="00317498">
        <w:rPr>
          <w:i/>
          <w:iCs/>
          <w:u w:val="single"/>
        </w:rPr>
        <w:t>Un sector más sostenible</w:t>
      </w:r>
      <w:r w:rsidR="006D5CB5">
        <w:t>:</w:t>
      </w:r>
    </w:p>
    <w:p w14:paraId="0E01CCAB" w14:textId="00B70D35" w:rsidR="00E94AEF" w:rsidRDefault="00E94AEF" w:rsidP="00415015">
      <w:pPr>
        <w:pStyle w:val="Nivel3SM"/>
      </w:pPr>
      <w:r w:rsidRPr="008E3100">
        <w:t xml:space="preserve">La economía circular aplicada a la construcción, apoyada en una progresiva industrialización del sector, reduciría drásticamente, </w:t>
      </w:r>
      <w:r>
        <w:t xml:space="preserve">p.ej. </w:t>
      </w:r>
      <w:r w:rsidRPr="008E3100">
        <w:t>la ingente cantidad de desechos sólidos generados por esta actividad.</w:t>
      </w:r>
    </w:p>
    <w:p w14:paraId="76156C86" w14:textId="6E00E0A5" w:rsidR="00E94AEF" w:rsidRDefault="00E94AEF" w:rsidP="00415015">
      <w:pPr>
        <w:pStyle w:val="Nivel3SM"/>
        <w:keepNext/>
      </w:pPr>
      <w:r w:rsidRPr="008E3100">
        <w:t>La Directiva Marco de Residuos de la UE establece el objetivo de reciclar el 70</w:t>
      </w:r>
      <w:r w:rsidR="00E57230">
        <w:t> </w:t>
      </w:r>
      <w:r w:rsidRPr="008E3100">
        <w:t>% de los desechos de construcción y demolición en 2020.</w:t>
      </w:r>
    </w:p>
    <w:p w14:paraId="2EF1378F" w14:textId="2876E4F2" w:rsidR="00E94AEF" w:rsidRDefault="00E94AEF" w:rsidP="00415015">
      <w:pPr>
        <w:pStyle w:val="Nivel4"/>
        <w:ind w:left="1474"/>
      </w:pPr>
      <w:r w:rsidRPr="008E3100">
        <w:t>Un reto nada fácil. “Una de las mayores dificultades a la hora de reciclar y reutilizar estos residuos es la falta de confianza en la calidad de los materiales reciclados”</w:t>
      </w:r>
      <w:r w:rsidR="00415015">
        <w:t>.</w:t>
      </w:r>
    </w:p>
    <w:p w14:paraId="76ED2B8F" w14:textId="7439D979" w:rsidR="00E94AEF" w:rsidRPr="008E3100" w:rsidRDefault="00E94AEF" w:rsidP="00415015">
      <w:pPr>
        <w:pStyle w:val="Nivel4"/>
        <w:ind w:left="1474"/>
      </w:pPr>
      <w:r>
        <w:t>E</w:t>
      </w:r>
      <w:r w:rsidRPr="008E3100">
        <w:t>n promedio, los materiales reciclados solo suponen el 12</w:t>
      </w:r>
      <w:r w:rsidR="00415015">
        <w:t> </w:t>
      </w:r>
      <w:r w:rsidRPr="008E3100">
        <w:t>% de la</w:t>
      </w:r>
      <w:r>
        <w:t xml:space="preserve"> demanda de materiales en la UE</w:t>
      </w:r>
      <w:r w:rsidRPr="008E3100">
        <w:t>.</w:t>
      </w:r>
    </w:p>
    <w:p w14:paraId="1DDEE55F" w14:textId="6E4605A6" w:rsidR="00E94AEF" w:rsidRDefault="00E94AEF" w:rsidP="00415015">
      <w:pPr>
        <w:pStyle w:val="Nivel2SM"/>
        <w:keepNext/>
        <w:spacing w:after="0"/>
      </w:pPr>
      <w:r w:rsidRPr="00343ED2">
        <w:t xml:space="preserve">La </w:t>
      </w:r>
      <w:r w:rsidRPr="00415015">
        <w:rPr>
          <w:u w:val="single"/>
        </w:rPr>
        <w:t>búsqueda de la sostenibilidad y la eficiencia energética es otro duro combate</w:t>
      </w:r>
      <w:r w:rsidRPr="008E3100">
        <w:t xml:space="preserve"> que libra el sector de la construcción, actualm</w:t>
      </w:r>
      <w:r w:rsidR="00343ED2">
        <w:t>ente en plena transformación</w:t>
      </w:r>
      <w:r w:rsidR="00317498">
        <w:t>.</w:t>
      </w:r>
    </w:p>
    <w:p w14:paraId="0B123AB1" w14:textId="7F80CA69" w:rsidR="00E94AEF" w:rsidRDefault="00E94AEF" w:rsidP="00415015">
      <w:pPr>
        <w:pStyle w:val="Nivel3SM"/>
      </w:pPr>
      <w:r w:rsidRPr="008E3100">
        <w:t>Los edificios, según cifras de la UE, absorben hasta un 40</w:t>
      </w:r>
      <w:r w:rsidR="00032E50">
        <w:t> </w:t>
      </w:r>
      <w:r w:rsidRPr="008E3100">
        <w:t>% de la demanda de energía primaria, l</w:t>
      </w:r>
      <w:r w:rsidR="00343ED2">
        <w:t xml:space="preserve">os actuales planes estratégicos a nivel nacional y UE </w:t>
      </w:r>
      <w:r w:rsidRPr="008E3100">
        <w:t>impulsará</w:t>
      </w:r>
      <w:r w:rsidR="00343ED2">
        <w:t>n</w:t>
      </w:r>
      <w:r w:rsidRPr="008E3100">
        <w:t xml:space="preserve"> un salto cualitativo</w:t>
      </w:r>
      <w:r w:rsidR="00032E50">
        <w:t>.</w:t>
      </w:r>
    </w:p>
    <w:p w14:paraId="55624F39" w14:textId="77777777" w:rsidR="00343ED2" w:rsidRDefault="00E94AEF" w:rsidP="00415015">
      <w:pPr>
        <w:pStyle w:val="Nivel3SM"/>
      </w:pPr>
      <w:r w:rsidRPr="008E3100">
        <w:t>El reto de la eficiencia energética comprende desde el diseño del edificio hasta los materiales empleados, pasando por el aprovechamiento de los recursos naturales como la luz solar, el viento o el calor del suelo. En estos edificios, el consumo energético debe proceder, en su mayor parte, de fuentes de energía renovable generadas in situ.</w:t>
      </w:r>
    </w:p>
    <w:p w14:paraId="2F13FE17" w14:textId="6AB4FBAE" w:rsidR="00225453" w:rsidRDefault="00343ED2" w:rsidP="00415015">
      <w:pPr>
        <w:pStyle w:val="Nivel3SM"/>
      </w:pPr>
      <w:r>
        <w:t>La i</w:t>
      </w:r>
      <w:r w:rsidR="00E94AEF" w:rsidRPr="008E3100">
        <w:t>nvestigación en nuevos materiales o el redescubrim</w:t>
      </w:r>
      <w:r>
        <w:t>iento de algunos tradicionales</w:t>
      </w:r>
      <w:r w:rsidR="00E94AEF" w:rsidRPr="008E3100">
        <w:t>, reemplazarán progresivamente a las materias primas que consumen mucha energía</w:t>
      </w:r>
      <w:r w:rsidR="00C55BB4">
        <w:t>.</w:t>
      </w:r>
    </w:p>
    <w:p w14:paraId="1757F024" w14:textId="3964F5E4" w:rsidR="00C55BB4" w:rsidRDefault="00C55BB4" w:rsidP="00B62ACF">
      <w:pPr>
        <w:pStyle w:val="Ttulo3"/>
      </w:pPr>
      <w:bookmarkStart w:id="52" w:name="_Toc177740147"/>
      <w:r w:rsidRPr="00225453">
        <w:lastRenderedPageBreak/>
        <w:t>L</w:t>
      </w:r>
      <w:r w:rsidR="00225453" w:rsidRPr="00225453">
        <w:t>ey por el Derecho a la Vivienda (</w:t>
      </w:r>
      <w:r w:rsidRPr="00225453">
        <w:t>202</w:t>
      </w:r>
      <w:r w:rsidR="001049E8">
        <w:t>3</w:t>
      </w:r>
      <w:r w:rsidR="00225453" w:rsidRPr="00225453">
        <w:t>)</w:t>
      </w:r>
      <w:bookmarkEnd w:id="52"/>
    </w:p>
    <w:p w14:paraId="6C81D14F" w14:textId="36DB9403" w:rsidR="00174EB9" w:rsidRPr="00174EB9" w:rsidRDefault="00000000" w:rsidP="00A41B65">
      <w:pPr>
        <w:pStyle w:val="Cajadeanotaciones"/>
        <w:keepNext/>
        <w:rPr>
          <w:sz w:val="19"/>
          <w:szCs w:val="19"/>
        </w:rPr>
      </w:pPr>
      <w:hyperlink r:id="rId17" w:history="1">
        <w:r w:rsidR="00174EB9" w:rsidRPr="00174EB9">
          <w:rPr>
            <w:rStyle w:val="Hipervnculo"/>
            <w:sz w:val="19"/>
            <w:szCs w:val="19"/>
          </w:rPr>
          <w:t>https://www.lamoncloa.gob.es/serviciosdeprensa/notasprensa/transportes/Paginas/2023/040523-nueva-ley-vivienda-2023.aspx</w:t>
        </w:r>
      </w:hyperlink>
    </w:p>
    <w:p w14:paraId="6FB3E031" w14:textId="4136DA1B" w:rsidR="00C55BB4" w:rsidRDefault="00C55BB4" w:rsidP="00A41B65">
      <w:pPr>
        <w:pStyle w:val="Nivel1SM"/>
        <w:keepNext/>
        <w:spacing w:before="0" w:after="0"/>
      </w:pPr>
      <w:r>
        <w:t>La norma favorece el acceso a la vivienda a precios asequibles, protege de las situaciones de vulnerabilidad y combate la especulación inmobiliaria.</w:t>
      </w:r>
      <w:r w:rsidR="00A41B65">
        <w:t xml:space="preserve"> Se trata de la p</w:t>
      </w:r>
      <w:r>
        <w:t xml:space="preserve">rimera norma que desarrolla </w:t>
      </w:r>
      <w:r w:rsidR="00CE7AF4">
        <w:t xml:space="preserve">dicho </w:t>
      </w:r>
      <w:r>
        <w:t>derecho constitucional.</w:t>
      </w:r>
    </w:p>
    <w:p w14:paraId="56D3F664" w14:textId="2A733021" w:rsidR="002D0828" w:rsidRPr="002D0828" w:rsidRDefault="002D0828" w:rsidP="00AA24BD">
      <w:pPr>
        <w:pStyle w:val="Nivel2SM"/>
        <w:keepNext/>
        <w:spacing w:after="0"/>
      </w:pPr>
      <w:r w:rsidRPr="00EC75B8">
        <w:rPr>
          <w:i/>
          <w:iCs/>
          <w:u w:val="single"/>
        </w:rPr>
        <w:t xml:space="preserve">Parque público de vivienda </w:t>
      </w:r>
      <w:r w:rsidR="00C55BB4" w:rsidRPr="00EC75B8">
        <w:rPr>
          <w:i/>
          <w:iCs/>
          <w:u w:val="single"/>
        </w:rPr>
        <w:t>social</w:t>
      </w:r>
      <w:r w:rsidR="00C55BB4" w:rsidRPr="002D0828">
        <w:t>.</w:t>
      </w:r>
    </w:p>
    <w:p w14:paraId="1CA04301" w14:textId="75FE41CB" w:rsidR="002D0828" w:rsidRDefault="002D0828" w:rsidP="00E05DDC">
      <w:pPr>
        <w:pStyle w:val="Nivel3SM"/>
      </w:pPr>
      <w:r>
        <w:t>S</w:t>
      </w:r>
      <w:r w:rsidR="00C55BB4">
        <w:t xml:space="preserve">e somete a protección permanente </w:t>
      </w:r>
      <w:r w:rsidR="00AA24BD">
        <w:t>“</w:t>
      </w:r>
      <w:r w:rsidR="00C55BB4">
        <w:t>para que no pueda ser enajenado, como sucedió en el pasado</w:t>
      </w:r>
      <w:r w:rsidR="00AA24BD">
        <w:t>”</w:t>
      </w:r>
      <w:r w:rsidR="00C55BB4">
        <w:t>.</w:t>
      </w:r>
    </w:p>
    <w:p w14:paraId="48EF5522" w14:textId="77777777" w:rsidR="00911E74" w:rsidRDefault="00911E74" w:rsidP="00911E74">
      <w:pPr>
        <w:pStyle w:val="Nivel3SM"/>
        <w:keepNext/>
        <w:rPr>
          <w:spacing w:val="-3"/>
        </w:rPr>
      </w:pPr>
      <w:r>
        <w:t>R</w:t>
      </w:r>
      <w:r w:rsidR="00C55BB4">
        <w:t>eserva obligatoria del 30</w:t>
      </w:r>
      <w:r w:rsidR="00766F86">
        <w:t> </w:t>
      </w:r>
      <w:r w:rsidR="00C55BB4">
        <w:t>% de cualquier promoción a vivienda protegida y que de ese 30</w:t>
      </w:r>
      <w:r w:rsidR="00B8006F">
        <w:t> </w:t>
      </w:r>
      <w:r w:rsidR="00C55BB4">
        <w:t>% el 15</w:t>
      </w:r>
      <w:r w:rsidR="00766F86">
        <w:t> </w:t>
      </w:r>
      <w:r w:rsidR="00C55BB4">
        <w:t xml:space="preserve">% tenga que ir a alquiler social, </w:t>
      </w:r>
      <w:r w:rsidR="00C55BB4" w:rsidRPr="00911E74">
        <w:rPr>
          <w:spacing w:val="-3"/>
        </w:rPr>
        <w:t>de modo que se pueda construir poco a poco un parque público de vivienda en consonancia con los países europeos.</w:t>
      </w:r>
    </w:p>
    <w:p w14:paraId="1E86E097" w14:textId="74E2A93B" w:rsidR="00C55BB4" w:rsidRPr="00911E74" w:rsidRDefault="002D0828" w:rsidP="00911E74">
      <w:pPr>
        <w:pStyle w:val="Nivel4"/>
        <w:ind w:left="1474"/>
      </w:pPr>
      <w:r w:rsidRPr="00911E74">
        <w:t>En Francia</w:t>
      </w:r>
      <w:r w:rsidR="00C55BB4" w:rsidRPr="00911E74">
        <w:t xml:space="preserve">, hay </w:t>
      </w:r>
      <w:r w:rsidR="00911E74">
        <w:t>7 </w:t>
      </w:r>
      <w:r w:rsidR="00C55BB4" w:rsidRPr="00911E74">
        <w:t>veces más vivienda social que en España, y en Países Bajos</w:t>
      </w:r>
      <w:r w:rsidR="001B5044">
        <w:t xml:space="preserve"> 12 veces más que en nuestro país</w:t>
      </w:r>
      <w:r w:rsidR="00C55BB4" w:rsidRPr="00911E74">
        <w:t>.</w:t>
      </w:r>
    </w:p>
    <w:p w14:paraId="3762C5DE" w14:textId="5DE4C7AD" w:rsidR="002D0828" w:rsidRPr="00AA24BD" w:rsidRDefault="002D0828" w:rsidP="00AA24BD">
      <w:pPr>
        <w:pStyle w:val="Nivel2SM"/>
        <w:keepNext/>
        <w:spacing w:after="0"/>
        <w:rPr>
          <w:u w:val="single"/>
        </w:rPr>
      </w:pPr>
      <w:r w:rsidRPr="00CC4E66">
        <w:rPr>
          <w:i/>
          <w:iCs/>
          <w:u w:val="single"/>
        </w:rPr>
        <w:t>Reg</w:t>
      </w:r>
      <w:r w:rsidR="00C55BB4" w:rsidRPr="00CC4E66">
        <w:rPr>
          <w:i/>
          <w:iCs/>
          <w:u w:val="single"/>
        </w:rPr>
        <w:t>ulación de los desahucios en situaciones de vulnerabilidad</w:t>
      </w:r>
      <w:r w:rsidR="00CC4E66">
        <w:t>:</w:t>
      </w:r>
    </w:p>
    <w:p w14:paraId="634D9449" w14:textId="634A4BE9" w:rsidR="002D0828" w:rsidRDefault="002D0828" w:rsidP="00E05DDC">
      <w:pPr>
        <w:pStyle w:val="Nivel3SM"/>
      </w:pPr>
      <w:r>
        <w:t>L</w:t>
      </w:r>
      <w:r w:rsidR="00C55BB4">
        <w:t>os servicios sociales se coordinarán de manera más eficaz con los jueces para poder ofrecer soluciones habitacionales a los afectados.</w:t>
      </w:r>
    </w:p>
    <w:p w14:paraId="29CD78B6" w14:textId="749CB815" w:rsidR="00C55BB4" w:rsidRDefault="003F115F" w:rsidP="00E05DDC">
      <w:pPr>
        <w:pStyle w:val="Nivel3SM"/>
      </w:pPr>
      <w:r>
        <w:t>G</w:t>
      </w:r>
      <w:r w:rsidR="00C55BB4">
        <w:t xml:space="preserve">arantizará que la alternativa que se busque para estas familias sea una vivienda, y no un albergue, como </w:t>
      </w:r>
      <w:r w:rsidR="002D0828">
        <w:t>sucede en algunas CCAA.</w:t>
      </w:r>
    </w:p>
    <w:p w14:paraId="4A9C9770" w14:textId="4EC92C1D" w:rsidR="002D0828" w:rsidRDefault="00063A43" w:rsidP="00AA24BD">
      <w:pPr>
        <w:pStyle w:val="Nivel2SM"/>
        <w:keepNext/>
        <w:spacing w:after="0"/>
      </w:pPr>
      <w:r w:rsidRPr="004776D0">
        <w:rPr>
          <w:i/>
          <w:iCs/>
          <w:u w:val="single"/>
        </w:rPr>
        <w:t xml:space="preserve">Las CCAA </w:t>
      </w:r>
      <w:r w:rsidR="00C55BB4" w:rsidRPr="004776D0">
        <w:rPr>
          <w:i/>
          <w:iCs/>
          <w:u w:val="single"/>
        </w:rPr>
        <w:t xml:space="preserve">podrán declarar por tiempo limitado </w:t>
      </w:r>
      <w:r w:rsidRPr="004776D0">
        <w:rPr>
          <w:i/>
          <w:iCs/>
          <w:u w:val="single"/>
        </w:rPr>
        <w:t>(3</w:t>
      </w:r>
      <w:r w:rsidR="00B8006F" w:rsidRPr="004776D0">
        <w:rPr>
          <w:i/>
          <w:iCs/>
          <w:u w:val="single"/>
        </w:rPr>
        <w:t> </w:t>
      </w:r>
      <w:r w:rsidRPr="004776D0">
        <w:rPr>
          <w:i/>
          <w:iCs/>
          <w:u w:val="single"/>
        </w:rPr>
        <w:t xml:space="preserve">años) </w:t>
      </w:r>
      <w:r w:rsidR="00C55BB4" w:rsidRPr="004776D0">
        <w:rPr>
          <w:i/>
          <w:iCs/>
          <w:u w:val="single"/>
        </w:rPr>
        <w:t>zonas</w:t>
      </w:r>
      <w:r w:rsidRPr="004776D0">
        <w:rPr>
          <w:i/>
          <w:iCs/>
          <w:u w:val="single"/>
        </w:rPr>
        <w:t xml:space="preserve"> de mercado residencial tensionado</w:t>
      </w:r>
      <w:r w:rsidR="00C55BB4" w:rsidRPr="004776D0">
        <w:rPr>
          <w:i/>
          <w:iCs/>
        </w:rPr>
        <w:t xml:space="preserve"> </w:t>
      </w:r>
      <w:r w:rsidRPr="004776D0">
        <w:rPr>
          <w:i/>
          <w:iCs/>
        </w:rPr>
        <w:t>(ZMRT)</w:t>
      </w:r>
      <w:r>
        <w:t xml:space="preserve"> </w:t>
      </w:r>
      <w:r w:rsidR="00C55BB4">
        <w:t xml:space="preserve">y </w:t>
      </w:r>
      <w:r>
        <w:t xml:space="preserve">establecer medidas para controlar el coste del alquiler, impidiendo </w:t>
      </w:r>
      <w:r w:rsidR="00C55BB4">
        <w:t>incrementos abusivos de la renta</w:t>
      </w:r>
      <w:r>
        <w:t xml:space="preserve"> y aumentar la oferta:</w:t>
      </w:r>
    </w:p>
    <w:p w14:paraId="746A7BCD" w14:textId="77777777" w:rsidR="00C55BB4" w:rsidRDefault="00063A43" w:rsidP="00E05DDC">
      <w:pPr>
        <w:pStyle w:val="Nivel3SM"/>
      </w:pPr>
      <w:r>
        <w:t>I</w:t>
      </w:r>
      <w:r w:rsidR="00C55BB4">
        <w:t>ncentivos fiscales para que sea más provechoso para los propietarios bajar los precios del alquiler.</w:t>
      </w:r>
    </w:p>
    <w:p w14:paraId="341C58B1" w14:textId="77777777" w:rsidR="004726A5" w:rsidRDefault="00CE7AF4" w:rsidP="00E05DDC">
      <w:pPr>
        <w:pStyle w:val="Nivel3SM"/>
      </w:pPr>
      <w:r>
        <w:t>A</w:t>
      </w:r>
      <w:r w:rsidR="004726A5">
        <w:t xml:space="preserve">fecta </w:t>
      </w:r>
      <w:r>
        <w:t xml:space="preserve">solo </w:t>
      </w:r>
      <w:r w:rsidR="004726A5">
        <w:t>a determinados propietarios, busca frenar la especulación.</w:t>
      </w:r>
    </w:p>
    <w:p w14:paraId="3E834376" w14:textId="49010334" w:rsidR="00063A43" w:rsidRDefault="00063A43" w:rsidP="00AA24BD">
      <w:pPr>
        <w:pStyle w:val="Nivel3SM"/>
        <w:keepNext/>
      </w:pPr>
      <w:r>
        <w:t>Las zonas tensionadas son aquellas donde el pago de la renta suponga más del 30</w:t>
      </w:r>
      <w:r w:rsidR="00B8006F">
        <w:t> </w:t>
      </w:r>
      <w:r>
        <w:t>% de los ingresos y también (más habitual) donde el alquiler haya subido 5</w:t>
      </w:r>
      <w:r w:rsidR="00B8006F">
        <w:t> </w:t>
      </w:r>
      <w:r>
        <w:t>% por encima del IPC autonómico en los últimos 5</w:t>
      </w:r>
      <w:r w:rsidR="00D76CCD">
        <w:t> </w:t>
      </w:r>
      <w:r>
        <w:t>años.</w:t>
      </w:r>
    </w:p>
    <w:p w14:paraId="75F92B50" w14:textId="7320519D" w:rsidR="00C55BB4" w:rsidRDefault="00063A43" w:rsidP="00AA24BD">
      <w:pPr>
        <w:pStyle w:val="Nivel4"/>
        <w:ind w:left="1474"/>
      </w:pPr>
      <w:r>
        <w:t>Actualmente, entorno a un 9</w:t>
      </w:r>
      <w:r w:rsidR="00D76CCD">
        <w:t> </w:t>
      </w:r>
      <w:r>
        <w:t>% de los distritos de España se considerarían tensionados, la mayoría</w:t>
      </w:r>
      <w:r w:rsidR="00CE7AF4">
        <w:t>:</w:t>
      </w:r>
      <w:r>
        <w:t xml:space="preserve"> en Madrid, Barcelona y Costa del Sol. </w:t>
      </w:r>
      <w:r w:rsidRPr="00CE7AF4">
        <w:rPr>
          <w:i/>
        </w:rPr>
        <w:t>Sin embarg</w:t>
      </w:r>
      <w:r w:rsidR="00CE7AF4" w:rsidRPr="00CE7AF4">
        <w:rPr>
          <w:i/>
        </w:rPr>
        <w:t>o, dichos Gobiernos regionales del PP</w:t>
      </w:r>
      <w:r w:rsidRPr="00CE7AF4">
        <w:rPr>
          <w:i/>
        </w:rPr>
        <w:t>, han anunciado que no implantarán dichas medidas.</w:t>
      </w:r>
    </w:p>
    <w:p w14:paraId="2FE6DC3B" w14:textId="50EA703D" w:rsidR="007271E9" w:rsidRDefault="00C55BB4" w:rsidP="0071408B">
      <w:pPr>
        <w:pStyle w:val="Nivel2SM"/>
      </w:pPr>
      <w:r w:rsidRPr="0071408B">
        <w:rPr>
          <w:i/>
          <w:iCs/>
          <w:u w:val="single"/>
        </w:rPr>
        <w:t>Respecto a las viviendas vacías,</w:t>
      </w:r>
      <w:r w:rsidR="0071408B" w:rsidRPr="0071408B">
        <w:rPr>
          <w:i/>
          <w:iCs/>
          <w:u w:val="single"/>
        </w:rPr>
        <w:t xml:space="preserve"> </w:t>
      </w:r>
      <w:r w:rsidRPr="0071408B">
        <w:rPr>
          <w:i/>
          <w:iCs/>
          <w:u w:val="single"/>
        </w:rPr>
        <w:t>los ayuntamientos puedan hacer un recargo de hasta el 150</w:t>
      </w:r>
      <w:r w:rsidR="00B8006F" w:rsidRPr="0071408B">
        <w:rPr>
          <w:i/>
          <w:iCs/>
          <w:u w:val="single"/>
        </w:rPr>
        <w:t> </w:t>
      </w:r>
      <w:r w:rsidRPr="0071408B">
        <w:rPr>
          <w:i/>
          <w:iCs/>
          <w:u w:val="single"/>
        </w:rPr>
        <w:t>% en el IBI</w:t>
      </w:r>
      <w:r w:rsidR="002D0828">
        <w:t>, para incentivar su venta o entrada al alquiler.</w:t>
      </w:r>
    </w:p>
    <w:p w14:paraId="469B9900" w14:textId="77777777" w:rsidR="007271E9" w:rsidRPr="008E3100" w:rsidRDefault="007271E9" w:rsidP="00D76CCD">
      <w:pPr>
        <w:pStyle w:val="Introduccinyconclusin"/>
      </w:pPr>
      <w:r w:rsidRPr="008E3100">
        <w:t>CONCLUSION</w:t>
      </w:r>
    </w:p>
    <w:p w14:paraId="41E47CA0" w14:textId="77777777" w:rsidR="0020684D" w:rsidRDefault="0020684D">
      <w:pPr>
        <w:pStyle w:val="Nivel1"/>
        <w:keepNext/>
        <w:numPr>
          <w:ilvl w:val="0"/>
          <w:numId w:val="10"/>
        </w:numPr>
        <w:spacing w:before="0" w:after="0" w:line="256" w:lineRule="auto"/>
        <w:ind w:left="623" w:hanging="198"/>
        <w:rPr>
          <w:spacing w:val="-4"/>
        </w:rPr>
      </w:pPr>
      <w:bookmarkStart w:id="53" w:name="_Hlk149722330"/>
      <w:r>
        <w:rPr>
          <w:b/>
          <w:bCs/>
          <w:i/>
          <w:iCs/>
          <w:spacing w:val="-4"/>
        </w:rPr>
        <w:t>Recapitulación (Ideas clave)</w:t>
      </w:r>
      <w:r>
        <w:rPr>
          <w:spacing w:val="-4"/>
        </w:rPr>
        <w:t>:</w:t>
      </w:r>
    </w:p>
    <w:p w14:paraId="758DE415" w14:textId="587BC4BA" w:rsidR="0020684D" w:rsidRDefault="003F115F">
      <w:pPr>
        <w:pStyle w:val="Nivel2"/>
        <w:numPr>
          <w:ilvl w:val="1"/>
          <w:numId w:val="10"/>
        </w:numPr>
        <w:spacing w:line="256" w:lineRule="auto"/>
        <w:ind w:left="1049" w:hanging="198"/>
      </w:pPr>
      <w:r>
        <w:t xml:space="preserve">A lo largo de la presente exposición se han tratado de detallar las principales características del sector de la construcción así como la de sus respectivos subsectores, concentrando una buena parte de </w:t>
      </w:r>
      <w:proofErr w:type="gramStart"/>
      <w:r>
        <w:t>la misma</w:t>
      </w:r>
      <w:proofErr w:type="gramEnd"/>
      <w:r>
        <w:t xml:space="preserve"> en la política del suelo y la vivienda.</w:t>
      </w:r>
    </w:p>
    <w:p w14:paraId="79FE57BD" w14:textId="77777777" w:rsidR="003F115F" w:rsidRDefault="003F115F" w:rsidP="003F115F">
      <w:pPr>
        <w:pStyle w:val="Nivel2"/>
        <w:keepNext/>
        <w:numPr>
          <w:ilvl w:val="1"/>
          <w:numId w:val="10"/>
        </w:numPr>
        <w:spacing w:after="0" w:line="256" w:lineRule="auto"/>
        <w:ind w:left="1049" w:hanging="198"/>
      </w:pPr>
      <w:r>
        <w:t>Como añadido, podemos señalar el potencial que puede presentar el segmento de la rehabilitación y reforma de viviendas para adaptar las memas a las exigencias medioambientales y energéticas.</w:t>
      </w:r>
    </w:p>
    <w:p w14:paraId="52DE1155" w14:textId="7743AADA" w:rsidR="003F115F" w:rsidRDefault="003F115F" w:rsidP="003F115F">
      <w:pPr>
        <w:pStyle w:val="Nivel3"/>
        <w:keepNext/>
      </w:pPr>
      <w:r>
        <w:t>Por añadidura, la reparación ocupa un papel importante dado que el valor de la vivienda se deprecia con el tiempo.</w:t>
      </w:r>
    </w:p>
    <w:p w14:paraId="0E80CEDA" w14:textId="0CEF495C" w:rsidR="003F115F" w:rsidRDefault="003F115F" w:rsidP="003F115F">
      <w:pPr>
        <w:pStyle w:val="Nivel4"/>
      </w:pPr>
      <w:r>
        <w:t>Por ejemplo, Japón asume que las viviendas pierden un 4 % de su valor cada año, una cifra que no afectaría en el PIB por ser medido en términos brutos (no se deduce el consumo del capital fijo).</w:t>
      </w:r>
    </w:p>
    <w:p w14:paraId="5034D8DC" w14:textId="53990A2F" w:rsidR="003F115F" w:rsidRDefault="003F115F" w:rsidP="003F115F">
      <w:pPr>
        <w:pStyle w:val="Nivel3"/>
      </w:pPr>
      <w:r>
        <w:t>Además, la rehabilitación es positiva porque</w:t>
      </w:r>
      <w:r w:rsidR="00E80729">
        <w:t>:</w:t>
      </w:r>
      <w:r>
        <w:t xml:space="preserve"> (</w:t>
      </w:r>
      <w:r>
        <w:rPr>
          <w:i/>
          <w:iCs/>
        </w:rPr>
        <w:t>i</w:t>
      </w:r>
      <w:r>
        <w:t>) es intensiva en mano de obra, por lo que puede absorber desempleo; y (</w:t>
      </w:r>
      <w:proofErr w:type="spellStart"/>
      <w:r>
        <w:rPr>
          <w:i/>
          <w:iCs/>
        </w:rPr>
        <w:t>ii</w:t>
      </w:r>
      <w:proofErr w:type="spellEnd"/>
      <w:r>
        <w:t>) genera un menor impacto medioambiental.</w:t>
      </w:r>
    </w:p>
    <w:p w14:paraId="28CE6B16" w14:textId="0900B231" w:rsidR="00E25399" w:rsidRDefault="00E25399" w:rsidP="00E25399">
      <w:pPr>
        <w:pStyle w:val="Nivel2"/>
      </w:pPr>
      <w:r>
        <w:lastRenderedPageBreak/>
        <w:t>Asimismo, cabe mencionar la edificación no residencial cuya demanda depende de las expectativas empresariales o las condiciones financieras, al estar relacionada con los locales comerciales.</w:t>
      </w:r>
    </w:p>
    <w:p w14:paraId="323611A7" w14:textId="62D1EE78" w:rsidR="00E25399" w:rsidRDefault="00E25399" w:rsidP="00E25399">
      <w:pPr>
        <w:pStyle w:val="Nivel2"/>
      </w:pPr>
      <w:r>
        <w:t>El sustancial impacto macroeconómico que tendrá la crisis sanitaria del COVID-19 podría agravar las dificultades de accesibilidad a la vivienda.</w:t>
      </w:r>
    </w:p>
    <w:p w14:paraId="7DFC80DE" w14:textId="77777777" w:rsidR="0020684D" w:rsidRDefault="0020684D">
      <w:pPr>
        <w:pStyle w:val="Nivel1"/>
        <w:keepNext/>
        <w:numPr>
          <w:ilvl w:val="0"/>
          <w:numId w:val="10"/>
        </w:numPr>
        <w:spacing w:after="0" w:line="256" w:lineRule="auto"/>
        <w:ind w:left="623" w:hanging="198"/>
        <w:rPr>
          <w:spacing w:val="-4"/>
        </w:rPr>
      </w:pPr>
      <w:r>
        <w:rPr>
          <w:b/>
          <w:bCs/>
          <w:i/>
          <w:iCs/>
          <w:spacing w:val="-4"/>
        </w:rPr>
        <w:t>Relevancia</w:t>
      </w:r>
      <w:r>
        <w:rPr>
          <w:spacing w:val="-4"/>
        </w:rPr>
        <w:t>:</w:t>
      </w:r>
    </w:p>
    <w:p w14:paraId="5AE8AE72" w14:textId="77777777" w:rsidR="0020684D" w:rsidRDefault="0020684D">
      <w:pPr>
        <w:pStyle w:val="Nivel2"/>
        <w:numPr>
          <w:ilvl w:val="1"/>
          <w:numId w:val="10"/>
        </w:numPr>
        <w:spacing w:line="256" w:lineRule="auto"/>
        <w:ind w:left="1049" w:hanging="198"/>
      </w:pPr>
    </w:p>
    <w:p w14:paraId="2B79378A" w14:textId="77777777" w:rsidR="0020684D" w:rsidRDefault="0020684D">
      <w:pPr>
        <w:pStyle w:val="Nivel1"/>
        <w:keepNext/>
        <w:numPr>
          <w:ilvl w:val="0"/>
          <w:numId w:val="10"/>
        </w:numPr>
        <w:spacing w:after="0" w:line="256" w:lineRule="auto"/>
        <w:ind w:left="623" w:hanging="198"/>
        <w:rPr>
          <w:spacing w:val="-4"/>
        </w:rPr>
      </w:pPr>
      <w:r>
        <w:rPr>
          <w:b/>
          <w:bCs/>
          <w:i/>
          <w:iCs/>
          <w:spacing w:val="-4"/>
        </w:rPr>
        <w:t>Extensiones y relación con otras partes del temario</w:t>
      </w:r>
      <w:r>
        <w:rPr>
          <w:spacing w:val="-4"/>
        </w:rPr>
        <w:t>:</w:t>
      </w:r>
    </w:p>
    <w:p w14:paraId="645460BA" w14:textId="77777777" w:rsidR="0020684D" w:rsidRDefault="0020684D">
      <w:pPr>
        <w:pStyle w:val="Nivel2"/>
        <w:numPr>
          <w:ilvl w:val="1"/>
          <w:numId w:val="10"/>
        </w:numPr>
        <w:spacing w:line="256" w:lineRule="auto"/>
        <w:ind w:left="1049" w:hanging="198"/>
      </w:pPr>
    </w:p>
    <w:p w14:paraId="140FB73C" w14:textId="77777777" w:rsidR="0020684D" w:rsidRDefault="0020684D">
      <w:pPr>
        <w:pStyle w:val="Nivel1"/>
        <w:keepNext/>
        <w:numPr>
          <w:ilvl w:val="0"/>
          <w:numId w:val="10"/>
        </w:numPr>
        <w:spacing w:after="0" w:line="256" w:lineRule="auto"/>
        <w:ind w:left="623" w:hanging="198"/>
        <w:rPr>
          <w:spacing w:val="-4"/>
        </w:rPr>
      </w:pPr>
      <w:r>
        <w:rPr>
          <w:b/>
          <w:bCs/>
          <w:i/>
          <w:iCs/>
          <w:spacing w:val="-4"/>
        </w:rPr>
        <w:t>Opinión</w:t>
      </w:r>
      <w:r>
        <w:rPr>
          <w:spacing w:val="-4"/>
        </w:rPr>
        <w:t>:</w:t>
      </w:r>
    </w:p>
    <w:p w14:paraId="39F52F58" w14:textId="77777777" w:rsidR="0020684D" w:rsidRDefault="0020684D">
      <w:pPr>
        <w:pStyle w:val="Nivel2"/>
        <w:numPr>
          <w:ilvl w:val="1"/>
          <w:numId w:val="10"/>
        </w:numPr>
        <w:spacing w:line="256" w:lineRule="auto"/>
        <w:ind w:left="1049" w:hanging="198"/>
      </w:pPr>
    </w:p>
    <w:p w14:paraId="0E2625CD" w14:textId="77777777" w:rsidR="0020684D" w:rsidRDefault="0020684D">
      <w:pPr>
        <w:pStyle w:val="Nivel1"/>
        <w:keepNext/>
        <w:numPr>
          <w:ilvl w:val="0"/>
          <w:numId w:val="10"/>
        </w:numPr>
        <w:spacing w:after="0" w:line="256" w:lineRule="auto"/>
        <w:ind w:left="623" w:hanging="198"/>
        <w:rPr>
          <w:spacing w:val="-4"/>
        </w:rPr>
      </w:pPr>
      <w:r>
        <w:rPr>
          <w:b/>
          <w:bCs/>
          <w:i/>
          <w:iCs/>
          <w:spacing w:val="-4"/>
        </w:rPr>
        <w:t>Idea final (Salida o cierre)</w:t>
      </w:r>
      <w:r>
        <w:rPr>
          <w:spacing w:val="-4"/>
        </w:rPr>
        <w:t>:</w:t>
      </w:r>
    </w:p>
    <w:p w14:paraId="6884F35A" w14:textId="77777777" w:rsidR="0020684D" w:rsidRDefault="0020684D">
      <w:pPr>
        <w:pStyle w:val="Nivel2"/>
        <w:numPr>
          <w:ilvl w:val="1"/>
          <w:numId w:val="10"/>
        </w:numPr>
        <w:spacing w:line="256" w:lineRule="auto"/>
        <w:ind w:left="1049" w:hanging="198"/>
      </w:pPr>
    </w:p>
    <w:bookmarkEnd w:id="53"/>
    <w:p w14:paraId="4F78A148" w14:textId="77777777" w:rsidR="0020684D" w:rsidRDefault="0020684D" w:rsidP="0020684D">
      <w:r>
        <w:rPr>
          <w:rFonts w:ascii="Times New Roman" w:hAnsi="Times New Roman" w:cs="Times New Roman"/>
          <w:sz w:val="24"/>
          <w:szCs w:val="24"/>
          <w:lang w:eastAsia="es-ES"/>
        </w:rPr>
        <w:br w:type="page"/>
      </w:r>
    </w:p>
    <w:p w14:paraId="13431699" w14:textId="77777777" w:rsidR="00D76CCD" w:rsidRDefault="00D76CCD" w:rsidP="00D76CCD">
      <w:pPr>
        <w:pStyle w:val="Ttulo4"/>
      </w:pPr>
      <w:bookmarkStart w:id="54" w:name="_Hlk146181162"/>
      <w:r>
        <w:lastRenderedPageBreak/>
        <w:t>Bibliografía</w:t>
      </w:r>
    </w:p>
    <w:p w14:paraId="0FC6B0AB" w14:textId="77777777" w:rsidR="00D76CCD" w:rsidRDefault="00D76CCD" w:rsidP="00D76CCD">
      <w:r>
        <w:t xml:space="preserve">Tema María Palacios </w:t>
      </w:r>
      <w:proofErr w:type="spellStart"/>
      <w:r>
        <w:t>Carrere</w:t>
      </w:r>
      <w:proofErr w:type="spellEnd"/>
    </w:p>
    <w:p w14:paraId="5CAA2370" w14:textId="091399EB" w:rsidR="0012542F" w:rsidRDefault="0012542F" w:rsidP="00D76CCD">
      <w:r>
        <w:t>Tema Juan Luis Cordero Tarifa</w:t>
      </w:r>
    </w:p>
    <w:p w14:paraId="547455BB" w14:textId="77777777" w:rsidR="00D76CCD" w:rsidRDefault="00D76CCD" w:rsidP="00D76CCD">
      <w:r>
        <w:t>Tema José Bernardo de Lizaur</w:t>
      </w:r>
    </w:p>
    <w:p w14:paraId="0E09B6F6" w14:textId="77777777" w:rsidR="00D76CCD" w:rsidRDefault="00D76CCD" w:rsidP="00D76CCD">
      <w:pPr>
        <w:pStyle w:val="Ttulo4"/>
      </w:pPr>
      <w:r>
        <w:t>Preguntas de otros exámenes</w:t>
      </w:r>
    </w:p>
    <w:p w14:paraId="25BCAE8C" w14:textId="77777777" w:rsidR="00D76CCD" w:rsidRPr="002908B3" w:rsidRDefault="00D76CCD" w:rsidP="00D76CCD">
      <w:pPr>
        <w:pStyle w:val="Nivel2SM"/>
      </w:pPr>
    </w:p>
    <w:p w14:paraId="5280E6A8" w14:textId="77777777" w:rsidR="00D76CCD" w:rsidRDefault="00D76CCD" w:rsidP="00D76CCD">
      <w:pPr>
        <w:pStyle w:val="Ttulo4"/>
      </w:pPr>
      <w:r w:rsidRPr="00342648">
        <w:t>Anexos</w:t>
      </w:r>
    </w:p>
    <w:p w14:paraId="361DA4E8" w14:textId="77777777" w:rsidR="00D76CCD" w:rsidRPr="00AF1FE6" w:rsidRDefault="00D76CCD" w:rsidP="00D76CCD">
      <w:pPr>
        <w:pStyle w:val="Ttulo5"/>
        <w:rPr>
          <w:u w:val="none"/>
        </w:rPr>
      </w:pPr>
      <w:r w:rsidRPr="0002549F">
        <w:t>Anexo</w:t>
      </w:r>
      <w:r>
        <w:t> </w:t>
      </w:r>
      <w:r w:rsidRPr="0002549F">
        <w:t>1</w:t>
      </w:r>
      <w:r w:rsidRPr="00AF1FE6">
        <w:rPr>
          <w:u w:val="none"/>
        </w:rPr>
        <w:t xml:space="preserve">: </w:t>
      </w:r>
    </w:p>
    <w:bookmarkEnd w:id="54"/>
    <w:p w14:paraId="2A4C2502" w14:textId="70C4883F" w:rsidR="00D76CCD" w:rsidRDefault="00D76CCD" w:rsidP="00E16298">
      <w:pPr>
        <w:tabs>
          <w:tab w:val="left" w:pos="2825"/>
        </w:tabs>
        <w:rPr>
          <w:u w:val="single"/>
        </w:rPr>
      </w:pPr>
    </w:p>
    <w:sectPr w:rsidR="00D76CCD" w:rsidSect="00F5614D">
      <w:headerReference w:type="even" r:id="rId18"/>
      <w:headerReference w:type="default" r:id="rId19"/>
      <w:footerReference w:type="even" r:id="rId20"/>
      <w:footerReference w:type="default" r:id="rId21"/>
      <w:headerReference w:type="first" r:id="rId22"/>
      <w:footerReference w:type="first" r:id="rId2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EC34E" w14:textId="77777777" w:rsidR="00D53B74" w:rsidRDefault="00D53B74">
      <w:r>
        <w:separator/>
      </w:r>
    </w:p>
  </w:endnote>
  <w:endnote w:type="continuationSeparator" w:id="0">
    <w:p w14:paraId="16845A25" w14:textId="77777777" w:rsidR="00D53B74" w:rsidRDefault="00D53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F5614D" w:rsidRPr="009B5FC2" w14:paraId="7796C11F" w14:textId="77777777" w:rsidTr="00F5614D">
      <w:trPr>
        <w:trHeight w:val="138"/>
        <w:jc w:val="center"/>
      </w:trPr>
      <w:tc>
        <w:tcPr>
          <w:tcW w:w="1134" w:type="dxa"/>
          <w:shd w:val="clear" w:color="auto" w:fill="auto"/>
        </w:tcPr>
        <w:p w14:paraId="7EE1F453" w14:textId="77777777" w:rsidR="00F5614D" w:rsidRPr="00F5614D" w:rsidRDefault="00F5614D" w:rsidP="00F5614D">
          <w:pPr>
            <w:pStyle w:val="Encabezado"/>
            <w:tabs>
              <w:tab w:val="clear" w:pos="4252"/>
              <w:tab w:val="clear" w:pos="8504"/>
              <w:tab w:val="right" w:pos="924"/>
              <w:tab w:val="center" w:pos="1310"/>
            </w:tabs>
            <w:spacing w:after="0"/>
            <w:contextualSpacing/>
            <w:jc w:val="left"/>
            <w:rPr>
              <w:i/>
              <w:iCs/>
              <w:color w:val="5F2987"/>
              <w:sz w:val="18"/>
              <w:szCs w:val="18"/>
            </w:rPr>
          </w:pPr>
          <w:r w:rsidRPr="00F5614D">
            <w:rPr>
              <w:b/>
              <w:bCs/>
              <w:i/>
              <w:iCs/>
              <w:color w:val="5F2987"/>
              <w:spacing w:val="-6"/>
              <w:sz w:val="18"/>
              <w:szCs w:val="18"/>
            </w:rPr>
            <w:fldChar w:fldCharType="begin"/>
          </w:r>
          <w:r w:rsidRPr="00F5614D">
            <w:rPr>
              <w:b/>
              <w:bCs/>
              <w:i/>
              <w:iCs/>
              <w:color w:val="5F2987"/>
              <w:spacing w:val="-6"/>
              <w:sz w:val="18"/>
              <w:szCs w:val="18"/>
            </w:rPr>
            <w:instrText>PAGE  \* Arabic  \* MERGEFORMAT</w:instrText>
          </w:r>
          <w:r w:rsidRPr="00F5614D">
            <w:rPr>
              <w:b/>
              <w:bCs/>
              <w:i/>
              <w:iCs/>
              <w:color w:val="5F2987"/>
              <w:spacing w:val="-6"/>
              <w:sz w:val="18"/>
              <w:szCs w:val="18"/>
            </w:rPr>
            <w:fldChar w:fldCharType="separate"/>
          </w:r>
          <w:r w:rsidRPr="00F5614D">
            <w:rPr>
              <w:b/>
              <w:bCs/>
              <w:i/>
              <w:iCs/>
              <w:color w:val="5F2987"/>
              <w:spacing w:val="-6"/>
              <w:sz w:val="18"/>
              <w:szCs w:val="18"/>
            </w:rPr>
            <w:t>2</w:t>
          </w:r>
          <w:r w:rsidRPr="00F5614D">
            <w:rPr>
              <w:b/>
              <w:bCs/>
              <w:i/>
              <w:iCs/>
              <w:color w:val="5F2987"/>
              <w:spacing w:val="-6"/>
              <w:sz w:val="18"/>
              <w:szCs w:val="18"/>
            </w:rPr>
            <w:fldChar w:fldCharType="end"/>
          </w:r>
          <w:r w:rsidRPr="00F5614D">
            <w:rPr>
              <w:b/>
              <w:bCs/>
              <w:i/>
              <w:iCs/>
              <w:color w:val="5F2987"/>
              <w:spacing w:val="-6"/>
              <w:sz w:val="18"/>
              <w:szCs w:val="18"/>
            </w:rPr>
            <w:t>/</w:t>
          </w:r>
          <w:r w:rsidRPr="00F5614D">
            <w:rPr>
              <w:b/>
              <w:bCs/>
              <w:i/>
              <w:iCs/>
              <w:color w:val="5F2987"/>
              <w:spacing w:val="-6"/>
              <w:sz w:val="18"/>
              <w:szCs w:val="18"/>
            </w:rPr>
            <w:fldChar w:fldCharType="begin"/>
          </w:r>
          <w:r w:rsidRPr="00F5614D">
            <w:rPr>
              <w:b/>
              <w:bCs/>
              <w:i/>
              <w:iCs/>
              <w:color w:val="5F2987"/>
              <w:spacing w:val="-6"/>
              <w:sz w:val="18"/>
              <w:szCs w:val="18"/>
            </w:rPr>
            <w:instrText>NUMPAGES  \* Arabic  \* MERGEFORMAT</w:instrText>
          </w:r>
          <w:r w:rsidRPr="00F5614D">
            <w:rPr>
              <w:b/>
              <w:bCs/>
              <w:i/>
              <w:iCs/>
              <w:color w:val="5F2987"/>
              <w:spacing w:val="-6"/>
              <w:sz w:val="18"/>
              <w:szCs w:val="18"/>
            </w:rPr>
            <w:fldChar w:fldCharType="separate"/>
          </w:r>
          <w:r w:rsidRPr="00F5614D">
            <w:rPr>
              <w:b/>
              <w:bCs/>
              <w:i/>
              <w:iCs/>
              <w:color w:val="5F2987"/>
              <w:spacing w:val="-6"/>
              <w:sz w:val="18"/>
              <w:szCs w:val="18"/>
            </w:rPr>
            <w:t>9</w:t>
          </w:r>
          <w:r w:rsidRPr="00F5614D">
            <w:rPr>
              <w:b/>
              <w:bCs/>
              <w:i/>
              <w:iCs/>
              <w:color w:val="5F2987"/>
              <w:spacing w:val="-6"/>
              <w:sz w:val="18"/>
              <w:szCs w:val="18"/>
            </w:rPr>
            <w:fldChar w:fldCharType="end"/>
          </w:r>
        </w:p>
      </w:tc>
      <w:tc>
        <w:tcPr>
          <w:tcW w:w="7088" w:type="dxa"/>
          <w:shd w:val="clear" w:color="auto" w:fill="auto"/>
          <w:vAlign w:val="center"/>
        </w:tcPr>
        <w:p w14:paraId="3D670811" w14:textId="77777777" w:rsidR="00F5614D" w:rsidRPr="00F5614D" w:rsidRDefault="00F5614D" w:rsidP="00F5614D">
          <w:pPr>
            <w:pStyle w:val="Encabezado"/>
            <w:spacing w:after="0"/>
            <w:ind w:right="-110"/>
            <w:contextualSpacing/>
            <w:jc w:val="center"/>
            <w:rPr>
              <w:i/>
              <w:iCs/>
              <w:color w:val="5F2987"/>
              <w:sz w:val="18"/>
              <w:szCs w:val="18"/>
            </w:rPr>
          </w:pPr>
        </w:p>
      </w:tc>
      <w:tc>
        <w:tcPr>
          <w:tcW w:w="2551" w:type="dxa"/>
          <w:shd w:val="clear" w:color="auto" w:fill="auto"/>
          <w:vAlign w:val="center"/>
        </w:tcPr>
        <w:p w14:paraId="34AD4E04" w14:textId="77777777" w:rsidR="00F5614D" w:rsidRPr="00F5614D" w:rsidRDefault="00F5614D" w:rsidP="00F5614D">
          <w:pPr>
            <w:pStyle w:val="Encabezado"/>
            <w:spacing w:after="0"/>
            <w:contextualSpacing/>
            <w:jc w:val="right"/>
            <w:rPr>
              <w:b/>
              <w:bCs/>
              <w:i/>
              <w:iCs/>
              <w:color w:val="5F2987"/>
              <w:spacing w:val="-6"/>
              <w:sz w:val="18"/>
              <w:szCs w:val="18"/>
            </w:rPr>
          </w:pPr>
        </w:p>
      </w:tc>
    </w:tr>
  </w:tbl>
  <w:p w14:paraId="6D7BC203" w14:textId="77777777" w:rsidR="00F5614D" w:rsidRPr="009C61AF" w:rsidRDefault="00F5614D"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F5614D" w:rsidRPr="00C44422" w14:paraId="26532BF0" w14:textId="77777777" w:rsidTr="00F5614D">
      <w:trPr>
        <w:trHeight w:val="138"/>
        <w:jc w:val="center"/>
      </w:trPr>
      <w:tc>
        <w:tcPr>
          <w:tcW w:w="1134" w:type="dxa"/>
          <w:shd w:val="clear" w:color="auto" w:fill="auto"/>
          <w:vAlign w:val="center"/>
        </w:tcPr>
        <w:p w14:paraId="4F38D2E5" w14:textId="77777777" w:rsidR="00F5614D" w:rsidRPr="00F5614D" w:rsidRDefault="00F5614D" w:rsidP="00F5614D">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51FF752E" w14:textId="77777777" w:rsidR="00F5614D" w:rsidRPr="00F5614D" w:rsidRDefault="00F5614D" w:rsidP="00F5614D">
          <w:pPr>
            <w:pStyle w:val="Encabezado"/>
            <w:spacing w:after="0"/>
            <w:ind w:right="-110"/>
            <w:contextualSpacing/>
            <w:jc w:val="center"/>
            <w:rPr>
              <w:i/>
              <w:iCs/>
              <w:color w:val="5F2987"/>
              <w:sz w:val="18"/>
              <w:szCs w:val="18"/>
            </w:rPr>
          </w:pPr>
        </w:p>
      </w:tc>
      <w:tc>
        <w:tcPr>
          <w:tcW w:w="2551" w:type="dxa"/>
          <w:shd w:val="clear" w:color="auto" w:fill="auto"/>
          <w:vAlign w:val="center"/>
        </w:tcPr>
        <w:p w14:paraId="503F4552" w14:textId="77777777" w:rsidR="00F5614D" w:rsidRPr="00F5614D" w:rsidRDefault="00F5614D" w:rsidP="00F5614D">
          <w:pPr>
            <w:pStyle w:val="Encabezado"/>
            <w:spacing w:after="0"/>
            <w:contextualSpacing/>
            <w:jc w:val="right"/>
            <w:rPr>
              <w:b/>
              <w:bCs/>
              <w:i/>
              <w:iCs/>
              <w:color w:val="5F2987"/>
              <w:spacing w:val="-6"/>
              <w:sz w:val="18"/>
              <w:szCs w:val="18"/>
            </w:rPr>
          </w:pPr>
          <w:r w:rsidRPr="00F5614D">
            <w:rPr>
              <w:b/>
              <w:bCs/>
              <w:i/>
              <w:iCs/>
              <w:color w:val="5F2987"/>
              <w:spacing w:val="-6"/>
              <w:sz w:val="18"/>
              <w:szCs w:val="18"/>
            </w:rPr>
            <w:fldChar w:fldCharType="begin"/>
          </w:r>
          <w:r w:rsidRPr="00F5614D">
            <w:rPr>
              <w:b/>
              <w:bCs/>
              <w:i/>
              <w:iCs/>
              <w:color w:val="5F2987"/>
              <w:spacing w:val="-6"/>
              <w:sz w:val="18"/>
              <w:szCs w:val="18"/>
            </w:rPr>
            <w:instrText>PAGE  \* Arabic  \* MERGEFORMAT</w:instrText>
          </w:r>
          <w:r w:rsidRPr="00F5614D">
            <w:rPr>
              <w:b/>
              <w:bCs/>
              <w:i/>
              <w:iCs/>
              <w:color w:val="5F2987"/>
              <w:spacing w:val="-6"/>
              <w:sz w:val="18"/>
              <w:szCs w:val="18"/>
            </w:rPr>
            <w:fldChar w:fldCharType="separate"/>
          </w:r>
          <w:r w:rsidRPr="00F5614D">
            <w:rPr>
              <w:b/>
              <w:bCs/>
              <w:i/>
              <w:iCs/>
              <w:color w:val="5F2987"/>
              <w:spacing w:val="-6"/>
              <w:sz w:val="18"/>
              <w:szCs w:val="18"/>
            </w:rPr>
            <w:t>1</w:t>
          </w:r>
          <w:r w:rsidRPr="00F5614D">
            <w:rPr>
              <w:b/>
              <w:bCs/>
              <w:i/>
              <w:iCs/>
              <w:color w:val="5F2987"/>
              <w:spacing w:val="-6"/>
              <w:sz w:val="18"/>
              <w:szCs w:val="18"/>
            </w:rPr>
            <w:fldChar w:fldCharType="end"/>
          </w:r>
          <w:r w:rsidRPr="00F5614D">
            <w:rPr>
              <w:b/>
              <w:bCs/>
              <w:i/>
              <w:iCs/>
              <w:color w:val="5F2987"/>
              <w:spacing w:val="-6"/>
              <w:sz w:val="18"/>
              <w:szCs w:val="18"/>
            </w:rPr>
            <w:t>/</w:t>
          </w:r>
          <w:r w:rsidRPr="00F5614D">
            <w:rPr>
              <w:b/>
              <w:bCs/>
              <w:i/>
              <w:iCs/>
              <w:color w:val="5F2987"/>
              <w:spacing w:val="-6"/>
              <w:sz w:val="18"/>
              <w:szCs w:val="18"/>
            </w:rPr>
            <w:fldChar w:fldCharType="begin"/>
          </w:r>
          <w:r w:rsidRPr="00F5614D">
            <w:rPr>
              <w:b/>
              <w:bCs/>
              <w:i/>
              <w:iCs/>
              <w:color w:val="5F2987"/>
              <w:spacing w:val="-6"/>
              <w:sz w:val="18"/>
              <w:szCs w:val="18"/>
            </w:rPr>
            <w:instrText>NUMPAGES  \* Arabic  \* MERGEFORMAT</w:instrText>
          </w:r>
          <w:r w:rsidRPr="00F5614D">
            <w:rPr>
              <w:b/>
              <w:bCs/>
              <w:i/>
              <w:iCs/>
              <w:color w:val="5F2987"/>
              <w:spacing w:val="-6"/>
              <w:sz w:val="18"/>
              <w:szCs w:val="18"/>
            </w:rPr>
            <w:fldChar w:fldCharType="separate"/>
          </w:r>
          <w:r w:rsidRPr="00F5614D">
            <w:rPr>
              <w:b/>
              <w:bCs/>
              <w:i/>
              <w:iCs/>
              <w:color w:val="5F2987"/>
              <w:spacing w:val="-6"/>
              <w:sz w:val="18"/>
              <w:szCs w:val="18"/>
            </w:rPr>
            <w:t>2</w:t>
          </w:r>
          <w:r w:rsidRPr="00F5614D">
            <w:rPr>
              <w:b/>
              <w:bCs/>
              <w:i/>
              <w:iCs/>
              <w:color w:val="5F2987"/>
              <w:spacing w:val="-6"/>
              <w:sz w:val="18"/>
              <w:szCs w:val="18"/>
            </w:rPr>
            <w:fldChar w:fldCharType="end"/>
          </w:r>
        </w:p>
      </w:tc>
    </w:tr>
  </w:tbl>
  <w:p w14:paraId="5FC96529" w14:textId="77777777" w:rsidR="00F5614D" w:rsidRPr="00BE1B62" w:rsidRDefault="00F5614D"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F5614D" w:rsidRPr="00C44422" w14:paraId="7A970F9D" w14:textId="77777777" w:rsidTr="00F5614D">
      <w:trPr>
        <w:trHeight w:val="138"/>
        <w:jc w:val="center"/>
      </w:trPr>
      <w:tc>
        <w:tcPr>
          <w:tcW w:w="1134" w:type="dxa"/>
          <w:shd w:val="clear" w:color="auto" w:fill="auto"/>
          <w:vAlign w:val="center"/>
        </w:tcPr>
        <w:p w14:paraId="35FDB1BC" w14:textId="77777777" w:rsidR="00F5614D" w:rsidRPr="00F5614D" w:rsidRDefault="00F5614D" w:rsidP="00F5614D">
          <w:pPr>
            <w:pStyle w:val="Encabezado"/>
            <w:tabs>
              <w:tab w:val="clear" w:pos="4252"/>
              <w:tab w:val="clear" w:pos="8504"/>
              <w:tab w:val="right" w:pos="924"/>
              <w:tab w:val="center" w:pos="1310"/>
            </w:tabs>
            <w:spacing w:after="0"/>
            <w:contextualSpacing/>
            <w:rPr>
              <w:i/>
              <w:iCs/>
              <w:color w:val="5F2987"/>
              <w:sz w:val="18"/>
              <w:szCs w:val="18"/>
            </w:rPr>
          </w:pPr>
        </w:p>
      </w:tc>
      <w:tc>
        <w:tcPr>
          <w:tcW w:w="7088" w:type="dxa"/>
          <w:shd w:val="clear" w:color="auto" w:fill="auto"/>
          <w:vAlign w:val="center"/>
        </w:tcPr>
        <w:p w14:paraId="60984B6B" w14:textId="77777777" w:rsidR="00F5614D" w:rsidRPr="00F5614D" w:rsidRDefault="00F5614D" w:rsidP="00F5614D">
          <w:pPr>
            <w:pStyle w:val="Encabezado"/>
            <w:spacing w:after="0"/>
            <w:ind w:right="-110"/>
            <w:contextualSpacing/>
            <w:jc w:val="center"/>
            <w:rPr>
              <w:i/>
              <w:iCs/>
              <w:color w:val="5F2987"/>
              <w:sz w:val="18"/>
              <w:szCs w:val="18"/>
            </w:rPr>
          </w:pPr>
        </w:p>
      </w:tc>
      <w:tc>
        <w:tcPr>
          <w:tcW w:w="2551" w:type="dxa"/>
          <w:shd w:val="clear" w:color="auto" w:fill="auto"/>
          <w:vAlign w:val="center"/>
        </w:tcPr>
        <w:p w14:paraId="4D9224B5" w14:textId="77777777" w:rsidR="00F5614D" w:rsidRPr="00F5614D" w:rsidRDefault="00F5614D" w:rsidP="00F5614D">
          <w:pPr>
            <w:pStyle w:val="Encabezado"/>
            <w:spacing w:after="0"/>
            <w:contextualSpacing/>
            <w:jc w:val="right"/>
            <w:rPr>
              <w:b/>
              <w:bCs/>
              <w:i/>
              <w:iCs/>
              <w:color w:val="5F2987"/>
              <w:spacing w:val="-6"/>
              <w:sz w:val="18"/>
              <w:szCs w:val="18"/>
            </w:rPr>
          </w:pPr>
          <w:r w:rsidRPr="00F5614D">
            <w:rPr>
              <w:b/>
              <w:bCs/>
              <w:i/>
              <w:iCs/>
              <w:color w:val="5F2987"/>
              <w:spacing w:val="-6"/>
              <w:sz w:val="18"/>
              <w:szCs w:val="18"/>
            </w:rPr>
            <w:fldChar w:fldCharType="begin"/>
          </w:r>
          <w:r w:rsidRPr="00F5614D">
            <w:rPr>
              <w:b/>
              <w:bCs/>
              <w:i/>
              <w:iCs/>
              <w:color w:val="5F2987"/>
              <w:spacing w:val="-6"/>
              <w:sz w:val="18"/>
              <w:szCs w:val="18"/>
            </w:rPr>
            <w:instrText>PAGE  \* Arabic  \* MERGEFORMAT</w:instrText>
          </w:r>
          <w:r w:rsidRPr="00F5614D">
            <w:rPr>
              <w:b/>
              <w:bCs/>
              <w:i/>
              <w:iCs/>
              <w:color w:val="5F2987"/>
              <w:spacing w:val="-6"/>
              <w:sz w:val="18"/>
              <w:szCs w:val="18"/>
            </w:rPr>
            <w:fldChar w:fldCharType="separate"/>
          </w:r>
          <w:r w:rsidRPr="00F5614D">
            <w:rPr>
              <w:b/>
              <w:bCs/>
              <w:i/>
              <w:iCs/>
              <w:color w:val="5F2987"/>
              <w:spacing w:val="-6"/>
              <w:sz w:val="18"/>
              <w:szCs w:val="18"/>
            </w:rPr>
            <w:t>1</w:t>
          </w:r>
          <w:r w:rsidRPr="00F5614D">
            <w:rPr>
              <w:b/>
              <w:bCs/>
              <w:i/>
              <w:iCs/>
              <w:color w:val="5F2987"/>
              <w:spacing w:val="-6"/>
              <w:sz w:val="18"/>
              <w:szCs w:val="18"/>
            </w:rPr>
            <w:fldChar w:fldCharType="end"/>
          </w:r>
          <w:r w:rsidRPr="00F5614D">
            <w:rPr>
              <w:b/>
              <w:bCs/>
              <w:i/>
              <w:iCs/>
              <w:color w:val="5F2987"/>
              <w:spacing w:val="-6"/>
              <w:sz w:val="18"/>
              <w:szCs w:val="18"/>
            </w:rPr>
            <w:t>/</w:t>
          </w:r>
          <w:r w:rsidRPr="00F5614D">
            <w:rPr>
              <w:b/>
              <w:bCs/>
              <w:i/>
              <w:iCs/>
              <w:color w:val="5F2987"/>
              <w:spacing w:val="-6"/>
              <w:sz w:val="18"/>
              <w:szCs w:val="18"/>
            </w:rPr>
            <w:fldChar w:fldCharType="begin"/>
          </w:r>
          <w:r w:rsidRPr="00F5614D">
            <w:rPr>
              <w:b/>
              <w:bCs/>
              <w:i/>
              <w:iCs/>
              <w:color w:val="5F2987"/>
              <w:spacing w:val="-6"/>
              <w:sz w:val="18"/>
              <w:szCs w:val="18"/>
            </w:rPr>
            <w:instrText>NUMPAGES  \* Arabic  \* MERGEFORMAT</w:instrText>
          </w:r>
          <w:r w:rsidRPr="00F5614D">
            <w:rPr>
              <w:b/>
              <w:bCs/>
              <w:i/>
              <w:iCs/>
              <w:color w:val="5F2987"/>
              <w:spacing w:val="-6"/>
              <w:sz w:val="18"/>
              <w:szCs w:val="18"/>
            </w:rPr>
            <w:fldChar w:fldCharType="separate"/>
          </w:r>
          <w:r w:rsidRPr="00F5614D">
            <w:rPr>
              <w:b/>
              <w:bCs/>
              <w:i/>
              <w:iCs/>
              <w:color w:val="5F2987"/>
              <w:spacing w:val="-6"/>
              <w:sz w:val="18"/>
              <w:szCs w:val="18"/>
            </w:rPr>
            <w:t>2</w:t>
          </w:r>
          <w:r w:rsidRPr="00F5614D">
            <w:rPr>
              <w:b/>
              <w:bCs/>
              <w:i/>
              <w:iCs/>
              <w:color w:val="5F2987"/>
              <w:spacing w:val="-6"/>
              <w:sz w:val="18"/>
              <w:szCs w:val="18"/>
            </w:rPr>
            <w:fldChar w:fldCharType="end"/>
          </w:r>
        </w:p>
      </w:tc>
    </w:tr>
  </w:tbl>
  <w:p w14:paraId="103EEE67" w14:textId="77777777" w:rsidR="00F5614D" w:rsidRPr="00BE1B62" w:rsidRDefault="00F5614D"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2BFAB3" w14:textId="77777777" w:rsidR="00D53B74" w:rsidRPr="00567D3F" w:rsidRDefault="00D53B74" w:rsidP="00567D3F">
      <w:pPr>
        <w:spacing w:after="0" w:line="240" w:lineRule="auto"/>
        <w:rPr>
          <w:sz w:val="16"/>
          <w:szCs w:val="16"/>
        </w:rPr>
      </w:pPr>
      <w:r w:rsidRPr="00567D3F">
        <w:rPr>
          <w:sz w:val="16"/>
          <w:szCs w:val="16"/>
        </w:rPr>
        <w:separator/>
      </w:r>
    </w:p>
  </w:footnote>
  <w:footnote w:type="continuationSeparator" w:id="0">
    <w:p w14:paraId="5F9B9CFB" w14:textId="77777777" w:rsidR="00D53B74" w:rsidRPr="00567D3F" w:rsidRDefault="00D53B74" w:rsidP="00567D3F">
      <w:pPr>
        <w:spacing w:after="0" w:line="240" w:lineRule="auto"/>
        <w:rPr>
          <w:sz w:val="16"/>
          <w:szCs w:val="16"/>
        </w:rPr>
      </w:pPr>
      <w:r w:rsidRPr="00567D3F">
        <w:rPr>
          <w:sz w:val="16"/>
          <w:szCs w:val="16"/>
        </w:rPr>
        <w:continuationSeparator/>
      </w:r>
    </w:p>
  </w:footnote>
  <w:footnote w:type="continuationNotice" w:id="1">
    <w:p w14:paraId="556B808D" w14:textId="77777777" w:rsidR="00D53B74" w:rsidRPr="00567D3F" w:rsidRDefault="00D53B74" w:rsidP="00567D3F">
      <w:pPr>
        <w:spacing w:after="0" w:line="192" w:lineRule="auto"/>
        <w:jc w:val="right"/>
        <w:rPr>
          <w:sz w:val="16"/>
          <w:szCs w:val="16"/>
        </w:rPr>
      </w:pPr>
      <w:r w:rsidRPr="00567D3F">
        <w:rPr>
          <w:rFonts w:ascii="Cambria Math" w:hAnsi="Cambria Math" w:cs="Cambria Math"/>
          <w:color w:val="202122"/>
          <w:sz w:val="16"/>
          <w:szCs w:val="16"/>
          <w:shd w:val="clear" w:color="auto" w:fill="FFFFFF"/>
        </w:rPr>
        <w:t>↪</w:t>
      </w:r>
    </w:p>
  </w:footnote>
  <w:footnote w:id="2">
    <w:p w14:paraId="26980F6C" w14:textId="2A10AB74" w:rsidR="00A5602F" w:rsidRPr="00326166" w:rsidRDefault="00A5602F" w:rsidP="00A5602F">
      <w:pPr>
        <w:pStyle w:val="Textonotapie"/>
        <w:rPr>
          <w:spacing w:val="-6"/>
        </w:rPr>
      </w:pPr>
      <w:r w:rsidRPr="00326166">
        <w:rPr>
          <w:rStyle w:val="Refdenotaalpie"/>
          <w:spacing w:val="-6"/>
        </w:rPr>
        <w:footnoteRef/>
      </w:r>
      <w:r w:rsidRPr="00326166">
        <w:rPr>
          <w:spacing w:val="-6"/>
        </w:rPr>
        <w:t xml:space="preserve"> Dentro del sector secundario distinguimos a su vez entre la </w:t>
      </w:r>
      <w:r w:rsidRPr="00326166">
        <w:rPr>
          <w:i/>
          <w:iCs/>
          <w:spacing w:val="-6"/>
        </w:rPr>
        <w:t>industria</w:t>
      </w:r>
      <w:r w:rsidRPr="00326166">
        <w:rPr>
          <w:spacing w:val="-6"/>
        </w:rPr>
        <w:t xml:space="preserve"> (17,44 %) y la </w:t>
      </w:r>
      <w:r w:rsidRPr="00326166">
        <w:rPr>
          <w:i/>
          <w:iCs/>
          <w:spacing w:val="-6"/>
        </w:rPr>
        <w:t>construcción</w:t>
      </w:r>
      <w:r w:rsidRPr="00326166">
        <w:rPr>
          <w:spacing w:val="-6"/>
        </w:rPr>
        <w:t xml:space="preserve"> (5,41 %).</w:t>
      </w:r>
      <w:r w:rsidR="00326166" w:rsidRPr="00326166">
        <w:rPr>
          <w:spacing w:val="-6"/>
        </w:rPr>
        <w:t xml:space="preserve"> </w:t>
      </w:r>
      <w:hyperlink r:id="rId1" w:history="1">
        <w:r w:rsidR="00326166" w:rsidRPr="00326166">
          <w:rPr>
            <w:rStyle w:val="Hipervnculo"/>
            <w:spacing w:val="-6"/>
          </w:rPr>
          <w:t>https://www.ine.es/jaxiT3/Tabla.htm?t=32450</w:t>
        </w:r>
      </w:hyperlink>
    </w:p>
  </w:footnote>
  <w:footnote w:id="3">
    <w:p w14:paraId="32947A6D" w14:textId="77777777" w:rsidR="00A5602F" w:rsidRDefault="00A5602F" w:rsidP="00A5602F">
      <w:pPr>
        <w:pStyle w:val="Textonotapie"/>
      </w:pPr>
      <w:r w:rsidRPr="00C02E0C">
        <w:rPr>
          <w:rStyle w:val="Refdenotaalpie"/>
        </w:rPr>
        <w:footnoteRef/>
      </w:r>
      <w:r w:rsidRPr="00C02E0C">
        <w:t xml:space="preserve"> En términos de empleo, representan un </w:t>
      </w:r>
      <w:r>
        <w:t>3,8 %</w:t>
      </w:r>
      <w:r w:rsidRPr="00C02E0C">
        <w:t>, 20</w:t>
      </w:r>
      <w:r>
        <w:t>,1 %</w:t>
      </w:r>
      <w:r w:rsidRPr="00C02E0C">
        <w:t xml:space="preserve"> (1</w:t>
      </w:r>
      <w:r>
        <w:t xml:space="preserve">3,6 % </w:t>
      </w:r>
      <w:r w:rsidRPr="00C02E0C">
        <w:t>+</w:t>
      </w:r>
      <w:r>
        <w:t xml:space="preserve"> </w:t>
      </w:r>
      <w:r w:rsidRPr="00C02E0C">
        <w:t>6</w:t>
      </w:r>
      <w:r>
        <w:t>,5 %</w:t>
      </w:r>
      <w:r w:rsidRPr="00C02E0C">
        <w:t>) y 7</w:t>
      </w:r>
      <w:r>
        <w:t>6,1 </w:t>
      </w:r>
      <w:r w:rsidRPr="00C02E0C">
        <w:t>% respectivamente.</w:t>
      </w:r>
    </w:p>
    <w:p w14:paraId="0529796C" w14:textId="77777777" w:rsidR="00A5602F" w:rsidRPr="00C02E0C" w:rsidRDefault="00A5602F" w:rsidP="00A5602F">
      <w:pPr>
        <w:pStyle w:val="Textonotapie"/>
        <w:jc w:val="center"/>
      </w:pPr>
      <w:r w:rsidRPr="00484A0C">
        <w:rPr>
          <w:noProof/>
        </w:rPr>
        <w:drawing>
          <wp:inline distT="0" distB="0" distL="0" distR="0" wp14:anchorId="2323E533" wp14:editId="331C9B83">
            <wp:extent cx="3135923" cy="1454732"/>
            <wp:effectExtent l="0" t="0" r="7620" b="0"/>
            <wp:docPr id="14451892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52119" cy="1462245"/>
                    </a:xfrm>
                    <a:prstGeom prst="rect">
                      <a:avLst/>
                    </a:prstGeom>
                    <a:noFill/>
                    <a:ln>
                      <a:noFill/>
                    </a:ln>
                  </pic:spPr>
                </pic:pic>
              </a:graphicData>
            </a:graphic>
          </wp:inline>
        </w:drawing>
      </w:r>
    </w:p>
  </w:footnote>
  <w:footnote w:id="4">
    <w:p w14:paraId="49D5F3A0" w14:textId="77777777" w:rsidR="002B5790" w:rsidRDefault="002B5790" w:rsidP="002B5790">
      <w:pPr>
        <w:pStyle w:val="Textonotapie"/>
      </w:pPr>
      <w:r>
        <w:rPr>
          <w:rStyle w:val="Refdenotaalpie"/>
        </w:rPr>
        <w:footnoteRef/>
      </w:r>
      <w:r>
        <w:t xml:space="preserve"> </w:t>
      </w:r>
      <w:hyperlink r:id="rId3" w:history="1">
        <w:r w:rsidRPr="00E34969">
          <w:rPr>
            <w:rStyle w:val="Hipervnculo"/>
          </w:rPr>
          <w:t>https://www.funcas.es/wp-content/uploads/2022/10/Capitulo-8_El-sector-servicios.pdf</w:t>
        </w:r>
      </w:hyperlink>
    </w:p>
  </w:footnote>
  <w:footnote w:id="5">
    <w:p w14:paraId="5EDB75E0" w14:textId="77777777" w:rsidR="000F41B9" w:rsidRDefault="000F41B9" w:rsidP="000F41B9">
      <w:pPr>
        <w:pStyle w:val="Textonotapie"/>
      </w:pPr>
      <w:r>
        <w:rPr>
          <w:rStyle w:val="Refdenotaalpie"/>
        </w:rPr>
        <w:footnoteRef/>
      </w:r>
      <w:r>
        <w:t xml:space="preserve"> </w:t>
      </w:r>
      <w:hyperlink r:id="rId4" w:history="1">
        <w:r w:rsidRPr="0071787E">
          <w:rPr>
            <w:rStyle w:val="Hipervnculo"/>
          </w:rPr>
          <w:t>https://elpais.com/economia/2023-09-21/espana-pacta-con-bruselas-descartar-los-peajes-en-2024-por-el-uso-de-las-autovias.html</w:t>
        </w:r>
      </w:hyperlink>
    </w:p>
  </w:footnote>
  <w:footnote w:id="6">
    <w:p w14:paraId="1F6D75D2" w14:textId="77777777" w:rsidR="00F52E8F" w:rsidRDefault="00F52E8F" w:rsidP="00F52E8F">
      <w:pPr>
        <w:pStyle w:val="Textonotapie"/>
      </w:pPr>
      <w:r>
        <w:rPr>
          <w:rStyle w:val="Refdenotaalpie"/>
        </w:rPr>
        <w:footnoteRef/>
      </w:r>
      <w:r>
        <w:t xml:space="preserve"> </w:t>
      </w:r>
      <w:hyperlink r:id="rId5" w:history="1">
        <w:r w:rsidRPr="00897DE6">
          <w:rPr>
            <w:rStyle w:val="Hipervnculo"/>
          </w:rPr>
          <w:t>https://www.europapress.es/economia/construccion-y-vivienda-00342/noticia-viviendas-vacias-espana-suponen-mas-14-parque-residencial-mitad-estan-14-provincias-20230920110025.html</w:t>
        </w:r>
      </w:hyperlink>
    </w:p>
  </w:footnote>
  <w:footnote w:id="7">
    <w:p w14:paraId="6EF18B65" w14:textId="77777777" w:rsidR="00E01CDE" w:rsidRDefault="00E01CDE" w:rsidP="00E01CDE">
      <w:pPr>
        <w:pStyle w:val="Textonotapie"/>
      </w:pPr>
      <w:r>
        <w:rPr>
          <w:rStyle w:val="Refdenotaalpie"/>
        </w:rPr>
        <w:footnoteRef/>
      </w:r>
      <w:r>
        <w:t xml:space="preserve"> </w:t>
      </w:r>
      <w:hyperlink r:id="rId6" w:history="1">
        <w:r w:rsidRPr="0071787E">
          <w:rPr>
            <w:rStyle w:val="Hipervnculo"/>
          </w:rPr>
          <w:t>https://cincodias.elpais.com/economia/2023-06-05/el-esfuerzo-para-comprar-vivienda-llega-a-maximos-desde-la-crisis-financiera.html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D76CCD" w:rsidRPr="00D76CCD" w14:paraId="4E26D248" w14:textId="77777777" w:rsidTr="00F5614D">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shd w:val="clear" w:color="auto" w:fill="auto"/>
              <w:vAlign w:val="center"/>
            </w:tcPr>
            <w:p w14:paraId="779C441F" w14:textId="7DA87BDB" w:rsidR="00F5614D" w:rsidRPr="00D76CCD" w:rsidRDefault="00F5614D" w:rsidP="00F5614D">
              <w:pPr>
                <w:pStyle w:val="Encabezado"/>
                <w:tabs>
                  <w:tab w:val="clear" w:pos="4252"/>
                  <w:tab w:val="clear" w:pos="8504"/>
                  <w:tab w:val="right" w:pos="924"/>
                  <w:tab w:val="center" w:pos="1310"/>
                </w:tabs>
                <w:spacing w:after="0"/>
                <w:contextualSpacing/>
                <w:rPr>
                  <w:i/>
                  <w:iCs/>
                  <w:color w:val="5F2987"/>
                  <w:sz w:val="18"/>
                  <w:szCs w:val="18"/>
                </w:rPr>
              </w:pPr>
              <w:r w:rsidRPr="00D76CCD">
                <w:rPr>
                  <w:b/>
                  <w:bCs/>
                  <w:i/>
                  <w:iCs/>
                  <w:caps/>
                  <w:color w:val="5F2987"/>
                  <w:sz w:val="18"/>
                  <w:szCs w:val="18"/>
                </w:rPr>
                <w:t>4.A.11</w:t>
              </w:r>
            </w:p>
          </w:tc>
        </w:sdtContent>
      </w:sdt>
      <w:tc>
        <w:tcPr>
          <w:tcW w:w="7088" w:type="dxa"/>
          <w:shd w:val="clear" w:color="auto" w:fill="auto"/>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0EE5532" w14:textId="2442B00D" w:rsidR="00F5614D" w:rsidRPr="00D76CCD" w:rsidRDefault="00D76CCD" w:rsidP="00F5614D">
              <w:pPr>
                <w:pStyle w:val="Encabezado"/>
                <w:spacing w:after="0"/>
                <w:ind w:right="-110"/>
                <w:contextualSpacing/>
                <w:jc w:val="center"/>
                <w:rPr>
                  <w:i/>
                  <w:iCs/>
                  <w:color w:val="5F2987"/>
                  <w:sz w:val="18"/>
                  <w:szCs w:val="18"/>
                </w:rPr>
              </w:pPr>
              <w:r>
                <w:rPr>
                  <w:i/>
                  <w:iCs/>
                  <w:color w:val="5F2987"/>
                  <w:sz w:val="18"/>
                  <w:szCs w:val="18"/>
                </w:rPr>
                <w:t>El sector de la construcción en España. Problemas y política de vivienda y suelo.</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shd w:val="clear" w:color="auto" w:fill="auto"/>
              <w:vAlign w:val="center"/>
            </w:tcPr>
            <w:p w14:paraId="1247236D" w14:textId="047663CE" w:rsidR="00F5614D" w:rsidRPr="00D76CCD" w:rsidRDefault="00F5614D" w:rsidP="00F5614D">
              <w:pPr>
                <w:pStyle w:val="Encabezado"/>
                <w:spacing w:after="0"/>
                <w:contextualSpacing/>
                <w:jc w:val="right"/>
                <w:rPr>
                  <w:b/>
                  <w:bCs/>
                  <w:i/>
                  <w:iCs/>
                  <w:color w:val="5F2987"/>
                  <w:spacing w:val="-6"/>
                  <w:sz w:val="18"/>
                  <w:szCs w:val="18"/>
                </w:rPr>
              </w:pPr>
              <w:r w:rsidRPr="00D76CCD">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D76CCD" w:rsidRPr="00D76CCD" w14:paraId="5CF23AB1" w14:textId="77777777" w:rsidTr="00F5614D">
      <w:trPr>
        <w:trHeight w:val="136"/>
        <w:jc w:val="center"/>
      </w:trPr>
      <w:bookmarkStart w:id="55" w:name="_Hlk72149218" w:displacedByCustomXml="next"/>
      <w:sdt>
        <w:sdtPr>
          <w:rPr>
            <w:b/>
            <w:bCs/>
            <w:i/>
            <w:iCs/>
            <w:caps/>
            <w:color w:val="5F2987"/>
            <w:sz w:val="18"/>
            <w:szCs w:val="18"/>
          </w:rPr>
          <w:alias w:val="Title"/>
          <w:tag w:val=""/>
          <w:id w:val="610557572"/>
          <w:dataBinding w:prefixMappings="xmlns:ns0='http://purl.org/dc/elements/1.1/' xmlns:ns1='http://schemas.openxmlformats.org/package/2006/metadata/core-properties' " w:xpath="/ns1:coreProperties[1]/ns0:title[1]" w:storeItemID="{6C3C8BC8-F283-45AE-878A-BAB7291924A1}"/>
          <w:text/>
        </w:sdtPr>
        <w:sdtContent>
          <w:tc>
            <w:tcPr>
              <w:tcW w:w="1134" w:type="dxa"/>
              <w:shd w:val="clear" w:color="auto" w:fill="auto"/>
              <w:vAlign w:val="center"/>
            </w:tcPr>
            <w:p w14:paraId="33F3E4B4" w14:textId="315C66DB" w:rsidR="00F5614D" w:rsidRPr="00D76CCD" w:rsidRDefault="00F5614D" w:rsidP="00F5614D">
              <w:pPr>
                <w:pStyle w:val="Encabezado"/>
                <w:tabs>
                  <w:tab w:val="clear" w:pos="4252"/>
                  <w:tab w:val="clear" w:pos="8504"/>
                  <w:tab w:val="right" w:pos="924"/>
                  <w:tab w:val="center" w:pos="1310"/>
                </w:tabs>
                <w:spacing w:after="0"/>
                <w:contextualSpacing/>
                <w:rPr>
                  <w:i/>
                  <w:iCs/>
                  <w:color w:val="5F2987"/>
                  <w:sz w:val="18"/>
                  <w:szCs w:val="18"/>
                </w:rPr>
              </w:pPr>
              <w:r w:rsidRPr="00D76CCD">
                <w:rPr>
                  <w:b/>
                  <w:bCs/>
                  <w:i/>
                  <w:iCs/>
                  <w:caps/>
                  <w:color w:val="5F2987"/>
                  <w:sz w:val="18"/>
                  <w:szCs w:val="18"/>
                </w:rPr>
                <w:t>4.A.11</w:t>
              </w:r>
            </w:p>
          </w:tc>
        </w:sdtContent>
      </w:sdt>
      <w:tc>
        <w:tcPr>
          <w:tcW w:w="7088" w:type="dxa"/>
          <w:shd w:val="clear" w:color="auto" w:fill="auto"/>
          <w:vAlign w:val="center"/>
        </w:tcPr>
        <w:sdt>
          <w:sdtPr>
            <w:rPr>
              <w:i/>
              <w:iCs/>
              <w:color w:val="5F2987"/>
              <w:sz w:val="18"/>
              <w:szCs w:val="18"/>
            </w:rPr>
            <w:alias w:val="Subject"/>
            <w:tag w:val=""/>
            <w:id w:val="925072997"/>
            <w:dataBinding w:prefixMappings="xmlns:ns0='http://purl.org/dc/elements/1.1/' xmlns:ns1='http://schemas.openxmlformats.org/package/2006/metadata/core-properties' " w:xpath="/ns1:coreProperties[1]/ns0:subject[1]" w:storeItemID="{6C3C8BC8-F283-45AE-878A-BAB7291924A1}"/>
            <w:text/>
          </w:sdtPr>
          <w:sdtContent>
            <w:p w14:paraId="2E999B3E" w14:textId="349C10B8" w:rsidR="00F5614D" w:rsidRPr="00D76CCD" w:rsidRDefault="00D76CCD" w:rsidP="00F5614D">
              <w:pPr>
                <w:pStyle w:val="Encabezado"/>
                <w:spacing w:after="0"/>
                <w:ind w:right="-110"/>
                <w:contextualSpacing/>
                <w:jc w:val="center"/>
                <w:rPr>
                  <w:i/>
                  <w:iCs/>
                  <w:color w:val="5F2987"/>
                  <w:sz w:val="18"/>
                  <w:szCs w:val="18"/>
                </w:rPr>
              </w:pPr>
              <w:r>
                <w:rPr>
                  <w:i/>
                  <w:iCs/>
                  <w:color w:val="5F2987"/>
                  <w:sz w:val="18"/>
                  <w:szCs w:val="18"/>
                </w:rPr>
                <w:t>El sector de la construcción en España. Problemas y política de vivienda y suelo.</w:t>
              </w:r>
            </w:p>
          </w:sdtContent>
        </w:sdt>
      </w:tc>
      <w:sdt>
        <w:sdtPr>
          <w:rPr>
            <w:b/>
            <w:bCs/>
            <w:i/>
            <w:iCs/>
            <w:color w:val="5F2987"/>
            <w:spacing w:val="-6"/>
            <w:sz w:val="18"/>
            <w:szCs w:val="18"/>
          </w:rPr>
          <w:alias w:val="Author"/>
          <w:tag w:val=""/>
          <w:id w:val="1052571327"/>
          <w:dataBinding w:prefixMappings="xmlns:ns0='http://purl.org/dc/elements/1.1/' xmlns:ns1='http://schemas.openxmlformats.org/package/2006/metadata/core-properties' " w:xpath="/ns1:coreProperties[1]/ns0:creator[1]" w:storeItemID="{6C3C8BC8-F283-45AE-878A-BAB7291924A1}"/>
          <w:text/>
        </w:sdtPr>
        <w:sdtContent>
          <w:tc>
            <w:tcPr>
              <w:tcW w:w="2551" w:type="dxa"/>
              <w:shd w:val="clear" w:color="auto" w:fill="auto"/>
              <w:vAlign w:val="center"/>
            </w:tcPr>
            <w:p w14:paraId="55E568CC" w14:textId="06D638CD" w:rsidR="00F5614D" w:rsidRPr="00D76CCD" w:rsidRDefault="002649F3" w:rsidP="00F5614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55"/>
  </w:tbl>
  <w:p w14:paraId="23912312" w14:textId="77777777" w:rsidR="00F5614D" w:rsidRPr="00C80BBD" w:rsidRDefault="00F5614D" w:rsidP="00C80BBD">
    <w:pPr>
      <w:pStyle w:val="Encabezado"/>
      <w:spacing w:after="0"/>
      <w:rPr>
        <w:i/>
        <w:iCs/>
        <w:color w:val="5F2987"/>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624" w:type="dxa"/>
      <w:tblInd w:w="-885" w:type="dxa"/>
      <w:tblBorders>
        <w:bottom w:val="single" w:sz="4" w:space="0" w:color="5F2987"/>
      </w:tblBorders>
      <w:tblLook w:val="04A0" w:firstRow="1" w:lastRow="0" w:firstColumn="1" w:lastColumn="0" w:noHBand="0" w:noVBand="1"/>
    </w:tblPr>
    <w:tblGrid>
      <w:gridCol w:w="3261"/>
      <w:gridCol w:w="4819"/>
      <w:gridCol w:w="3544"/>
    </w:tblGrid>
    <w:tr w:rsidR="00F5614D" w:rsidRPr="00F5614D" w14:paraId="50F46336" w14:textId="77777777" w:rsidTr="00F5614D">
      <w:tc>
        <w:tcPr>
          <w:tcW w:w="3261" w:type="dxa"/>
          <w:tcBorders>
            <w:bottom w:val="thickThinSmallGap" w:sz="12" w:space="0" w:color="5F2987"/>
          </w:tcBorders>
          <w:shd w:val="clear" w:color="auto" w:fill="auto"/>
        </w:tcPr>
        <w:p w14:paraId="5F14B0D6" w14:textId="1348C266" w:rsidR="00F5614D" w:rsidRPr="00F5614D" w:rsidRDefault="00F5614D" w:rsidP="00F5614D">
          <w:pPr>
            <w:pStyle w:val="Encabezado"/>
            <w:spacing w:after="0"/>
            <w:jc w:val="left"/>
            <w:rPr>
              <w:i/>
              <w:iCs/>
              <w:color w:val="5F2987"/>
              <w:spacing w:val="-6"/>
              <w:sz w:val="18"/>
              <w:szCs w:val="18"/>
            </w:rPr>
          </w:pPr>
          <w:r w:rsidRPr="00F5614D">
            <w:rPr>
              <w:i/>
              <w:iCs/>
              <w:color w:val="5F2987"/>
              <w:spacing w:val="-6"/>
              <w:sz w:val="14"/>
              <w:szCs w:val="14"/>
            </w:rPr>
            <w:t>Fecha de la última actualización:</w:t>
          </w:r>
          <w:r w:rsidRPr="00F5614D">
            <w:rPr>
              <w:i/>
              <w:iCs/>
              <w:color w:val="5F2987"/>
              <w:spacing w:val="-6"/>
              <w:sz w:val="18"/>
              <w:szCs w:val="18"/>
            </w:rPr>
            <w:t xml:space="preserve"> </w:t>
          </w:r>
          <w:r w:rsidRPr="00F5614D">
            <w:rPr>
              <w:i/>
              <w:iCs/>
              <w:color w:val="5F2987"/>
              <w:spacing w:val="-6"/>
              <w:sz w:val="18"/>
              <w:szCs w:val="18"/>
            </w:rPr>
            <w:fldChar w:fldCharType="begin"/>
          </w:r>
          <w:r w:rsidRPr="00F5614D">
            <w:rPr>
              <w:i/>
              <w:iCs/>
              <w:color w:val="5F2987"/>
              <w:spacing w:val="-6"/>
              <w:sz w:val="18"/>
              <w:szCs w:val="18"/>
            </w:rPr>
            <w:instrText xml:space="preserve"> SAVEDATE  \@ "dd/MM/yyyy"  \* MERGEFORMAT </w:instrText>
          </w:r>
          <w:r w:rsidRPr="00F5614D">
            <w:rPr>
              <w:i/>
              <w:iCs/>
              <w:color w:val="5F2987"/>
              <w:spacing w:val="-6"/>
              <w:sz w:val="18"/>
              <w:szCs w:val="18"/>
            </w:rPr>
            <w:fldChar w:fldCharType="separate"/>
          </w:r>
          <w:r w:rsidR="009D598E">
            <w:rPr>
              <w:i/>
              <w:iCs/>
              <w:noProof/>
              <w:color w:val="5F2987"/>
              <w:spacing w:val="-6"/>
              <w:sz w:val="18"/>
              <w:szCs w:val="18"/>
            </w:rPr>
            <w:t>20/09/2024</w:t>
          </w:r>
          <w:r w:rsidRPr="00F5614D">
            <w:rPr>
              <w:i/>
              <w:iCs/>
              <w:color w:val="5F2987"/>
              <w:spacing w:val="-6"/>
              <w:sz w:val="18"/>
              <w:szCs w:val="18"/>
            </w:rPr>
            <w:fldChar w:fldCharType="end"/>
          </w:r>
        </w:p>
      </w:tc>
      <w:tc>
        <w:tcPr>
          <w:tcW w:w="4819" w:type="dxa"/>
          <w:tcBorders>
            <w:bottom w:val="thickThinSmallGap" w:sz="12" w:space="0" w:color="5F2987"/>
          </w:tcBorders>
          <w:shd w:val="clear" w:color="auto" w:fill="auto"/>
        </w:tcPr>
        <w:p w14:paraId="37D0E59F" w14:textId="77777777" w:rsidR="00F5614D" w:rsidRPr="00F5614D" w:rsidRDefault="00F5614D" w:rsidP="00F5614D">
          <w:pPr>
            <w:pStyle w:val="Encabezado"/>
            <w:spacing w:after="0"/>
            <w:jc w:val="center"/>
            <w:rPr>
              <w:i/>
              <w:iCs/>
              <w:color w:val="5F2987"/>
              <w:spacing w:val="-6"/>
              <w:sz w:val="18"/>
              <w:szCs w:val="18"/>
            </w:rPr>
          </w:pPr>
          <w:r w:rsidRPr="00F5614D">
            <w:rPr>
              <w:i/>
              <w:iCs/>
              <w:color w:val="5F2987"/>
              <w:spacing w:val="-6"/>
              <w:sz w:val="18"/>
              <w:szCs w:val="18"/>
            </w:rPr>
            <w:t>Oposición a Técnico Comercial y Economista del Estado</w:t>
          </w:r>
        </w:p>
      </w:tc>
      <w:sdt>
        <w:sdtPr>
          <w:rPr>
            <w:i/>
            <w:iCs/>
            <w:color w:val="5F2987"/>
            <w:spacing w:val="-6"/>
            <w:sz w:val="18"/>
            <w:szCs w:val="18"/>
          </w:rPr>
          <w:alias w:val="Título"/>
          <w:tag w:val=""/>
          <w:id w:val="-1333606382"/>
          <w:placeholder>
            <w:docPart w:val="94FDEA0F264C4C9CAECF4AE2C7AB86FA"/>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shd w:val="clear" w:color="auto" w:fill="auto"/>
            </w:tcPr>
            <w:p w14:paraId="6405E378" w14:textId="5721123C" w:rsidR="00F5614D" w:rsidRPr="00F5614D" w:rsidRDefault="00F5614D" w:rsidP="00F5614D">
              <w:pPr>
                <w:pStyle w:val="Encabezado"/>
                <w:spacing w:after="0"/>
                <w:jc w:val="right"/>
                <w:rPr>
                  <w:i/>
                  <w:iCs/>
                  <w:color w:val="5F2987"/>
                  <w:spacing w:val="-6"/>
                  <w:sz w:val="18"/>
                  <w:szCs w:val="18"/>
                </w:rPr>
              </w:pPr>
              <w:r w:rsidRPr="00F5614D">
                <w:rPr>
                  <w:i/>
                  <w:iCs/>
                  <w:color w:val="5F2987"/>
                  <w:spacing w:val="-6"/>
                  <w:sz w:val="18"/>
                  <w:szCs w:val="18"/>
                </w:rPr>
                <w:t>4.A.11</w:t>
              </w:r>
            </w:p>
          </w:tc>
        </w:sdtContent>
      </w:sdt>
    </w:tr>
  </w:tbl>
  <w:p w14:paraId="4A8EE8AE" w14:textId="77777777" w:rsidR="00F5614D" w:rsidRPr="00C80BBD" w:rsidRDefault="00F5614D"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9C91422"/>
    <w:multiLevelType w:val="hybridMultilevel"/>
    <w:tmpl w:val="677A4706"/>
    <w:lvl w:ilvl="0" w:tplc="17EAC08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18117F2A"/>
    <w:multiLevelType w:val="hybridMultilevel"/>
    <w:tmpl w:val="631C9606"/>
    <w:lvl w:ilvl="0" w:tplc="968AD9C8">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6C57CF"/>
    <w:multiLevelType w:val="hybridMultilevel"/>
    <w:tmpl w:val="5BA428B2"/>
    <w:lvl w:ilvl="0" w:tplc="32684C3E">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6" w15:restartNumberingAfterBreak="0">
    <w:nsid w:val="1FC506F7"/>
    <w:multiLevelType w:val="hybridMultilevel"/>
    <w:tmpl w:val="139CCDD8"/>
    <w:lvl w:ilvl="0" w:tplc="32684C3E">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7" w15:restartNumberingAfterBreak="0">
    <w:nsid w:val="2337327E"/>
    <w:multiLevelType w:val="hybridMultilevel"/>
    <w:tmpl w:val="832A8214"/>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2FD36737"/>
    <w:multiLevelType w:val="hybridMultilevel"/>
    <w:tmpl w:val="E28A5AB4"/>
    <w:lvl w:ilvl="0" w:tplc="BA54BADA">
      <w:start w:val="1"/>
      <w:numFmt w:val="decimal"/>
      <w:lvlText w:val="%1)"/>
      <w:lvlJc w:val="right"/>
      <w:pPr>
        <w:ind w:left="720" w:hanging="360"/>
      </w:pPr>
      <w:rPr>
        <w:rFonts w:hint="default"/>
      </w:rPr>
    </w:lvl>
    <w:lvl w:ilvl="1" w:tplc="1478B010">
      <w:start w:val="1"/>
      <w:numFmt w:val="lowerLetter"/>
      <w:lvlText w:val="%2."/>
      <w:lvlJc w:val="righ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6725FF1"/>
    <w:multiLevelType w:val="hybridMultilevel"/>
    <w:tmpl w:val="46C207AC"/>
    <w:lvl w:ilvl="0" w:tplc="5AA2781C">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3" w15:restartNumberingAfterBreak="0">
    <w:nsid w:val="37AC0B59"/>
    <w:multiLevelType w:val="hybridMultilevel"/>
    <w:tmpl w:val="5BA428B2"/>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4"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0FB7C1A"/>
    <w:multiLevelType w:val="multilevel"/>
    <w:tmpl w:val="0809001D"/>
    <w:numStyleLink w:val="Lista1"/>
  </w:abstractNum>
  <w:abstractNum w:abstractNumId="2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AD3A67"/>
    <w:multiLevelType w:val="hybridMultilevel"/>
    <w:tmpl w:val="A802D71A"/>
    <w:lvl w:ilvl="0" w:tplc="EB1A098C">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37" w15:restartNumberingAfterBreak="0">
    <w:nsid w:val="79E925F4"/>
    <w:multiLevelType w:val="multilevel"/>
    <w:tmpl w:val="308A86F4"/>
    <w:lvl w:ilvl="0">
      <w:start w:val="1"/>
      <w:numFmt w:val="lowerRoman"/>
      <w:lvlText w:val="%1)"/>
      <w:lvlJc w:val="right"/>
      <w:pPr>
        <w:ind w:left="360" w:hanging="360"/>
      </w:pPr>
      <w:rPr>
        <w:rFonts w:ascii="Palatino Linotype" w:eastAsia="Calibri" w:hAnsi="Palatino Linotype" w:cs="Times New Roman" w:hint="default"/>
        <w:b w:val="0"/>
        <w:i/>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38" w15:restartNumberingAfterBreak="0">
    <w:nsid w:val="7A5308B1"/>
    <w:multiLevelType w:val="hybridMultilevel"/>
    <w:tmpl w:val="8CB0A9B6"/>
    <w:lvl w:ilvl="0" w:tplc="C27452FA">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BFF4999"/>
    <w:multiLevelType w:val="hybridMultilevel"/>
    <w:tmpl w:val="A2A2C274"/>
    <w:lvl w:ilvl="0" w:tplc="96363EC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21735185">
    <w:abstractNumId w:val="12"/>
  </w:num>
  <w:num w:numId="2" w16cid:durableId="912079554">
    <w:abstractNumId w:val="35"/>
  </w:num>
  <w:num w:numId="3" w16cid:durableId="818036281">
    <w:abstractNumId w:val="19"/>
  </w:num>
  <w:num w:numId="4" w16cid:durableId="1337344958">
    <w:abstractNumId w:val="30"/>
  </w:num>
  <w:num w:numId="5" w16cid:durableId="273563268">
    <w:abstractNumId w:val="20"/>
  </w:num>
  <w:num w:numId="6" w16cid:durableId="997031049">
    <w:abstractNumId w:val="25"/>
  </w:num>
  <w:num w:numId="7" w16cid:durableId="906770788">
    <w:abstractNumId w:val="14"/>
  </w:num>
  <w:num w:numId="8" w16cid:durableId="1991902276">
    <w:abstractNumId w:val="29"/>
  </w:num>
  <w:num w:numId="9" w16cid:durableId="1122458887">
    <w:abstractNumId w:val="37"/>
  </w:num>
  <w:num w:numId="10" w16cid:durableId="2033068323">
    <w:abstractNumId w:val="12"/>
  </w:num>
  <w:num w:numId="11" w16cid:durableId="1045058302">
    <w:abstractNumId w:val="39"/>
  </w:num>
  <w:num w:numId="12" w16cid:durableId="295645900">
    <w:abstractNumId w:val="33"/>
  </w:num>
  <w:num w:numId="13" w16cid:durableId="486938045">
    <w:abstractNumId w:val="22"/>
  </w:num>
  <w:num w:numId="14" w16cid:durableId="181676059">
    <w:abstractNumId w:val="31"/>
  </w:num>
  <w:num w:numId="15" w16cid:durableId="1281767471">
    <w:abstractNumId w:val="32"/>
  </w:num>
  <w:num w:numId="16" w16cid:durableId="259066400">
    <w:abstractNumId w:val="36"/>
  </w:num>
  <w:num w:numId="17" w16cid:durableId="373384582">
    <w:abstractNumId w:val="18"/>
  </w:num>
  <w:num w:numId="18" w16cid:durableId="829365101">
    <w:abstractNumId w:val="28"/>
  </w:num>
  <w:num w:numId="19" w16cid:durableId="25372873">
    <w:abstractNumId w:val="26"/>
  </w:num>
  <w:num w:numId="20" w16cid:durableId="159583792">
    <w:abstractNumId w:val="9"/>
  </w:num>
  <w:num w:numId="21" w16cid:durableId="1412461012">
    <w:abstractNumId w:val="7"/>
  </w:num>
  <w:num w:numId="22" w16cid:durableId="1049498149">
    <w:abstractNumId w:val="6"/>
  </w:num>
  <w:num w:numId="23" w16cid:durableId="480776684">
    <w:abstractNumId w:val="5"/>
  </w:num>
  <w:num w:numId="24" w16cid:durableId="1221096349">
    <w:abstractNumId w:val="4"/>
  </w:num>
  <w:num w:numId="25" w16cid:durableId="1127814330">
    <w:abstractNumId w:val="8"/>
  </w:num>
  <w:num w:numId="26" w16cid:durableId="953441926">
    <w:abstractNumId w:val="3"/>
  </w:num>
  <w:num w:numId="27" w16cid:durableId="1642999023">
    <w:abstractNumId w:val="2"/>
  </w:num>
  <w:num w:numId="28" w16cid:durableId="327173804">
    <w:abstractNumId w:val="1"/>
  </w:num>
  <w:num w:numId="29" w16cid:durableId="434401366">
    <w:abstractNumId w:val="0"/>
  </w:num>
  <w:num w:numId="30" w16cid:durableId="1051079801">
    <w:abstractNumId w:val="34"/>
  </w:num>
  <w:num w:numId="31" w16cid:durableId="623118318">
    <w:abstractNumId w:val="24"/>
  </w:num>
  <w:num w:numId="32" w16cid:durableId="7665390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79938890">
    <w:abstractNumId w:val="27"/>
  </w:num>
  <w:num w:numId="34" w16cid:durableId="494882035">
    <w:abstractNumId w:val="10"/>
  </w:num>
  <w:num w:numId="35" w16cid:durableId="1688755940">
    <w:abstractNumId w:val="15"/>
  </w:num>
  <w:num w:numId="36" w16cid:durableId="1531651700">
    <w:abstractNumId w:val="17"/>
  </w:num>
  <w:num w:numId="37" w16cid:durableId="2142570106">
    <w:abstractNumId w:val="23"/>
  </w:num>
  <w:num w:numId="38" w16cid:durableId="871528022">
    <w:abstractNumId w:val="16"/>
  </w:num>
  <w:num w:numId="39" w16cid:durableId="241960573">
    <w:abstractNumId w:val="13"/>
  </w:num>
  <w:num w:numId="40" w16cid:durableId="1019551256">
    <w:abstractNumId w:val="21"/>
  </w:num>
  <w:num w:numId="41" w16cid:durableId="823007003">
    <w:abstractNumId w:val="11"/>
  </w:num>
  <w:num w:numId="42" w16cid:durableId="1182861324">
    <w:abstractNumId w:val="3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508"/>
    <w:rsid w:val="000009CE"/>
    <w:rsid w:val="00000F08"/>
    <w:rsid w:val="00001448"/>
    <w:rsid w:val="0000166E"/>
    <w:rsid w:val="000016E3"/>
    <w:rsid w:val="00001E3D"/>
    <w:rsid w:val="000021CD"/>
    <w:rsid w:val="000023C4"/>
    <w:rsid w:val="00002450"/>
    <w:rsid w:val="000027A0"/>
    <w:rsid w:val="00002A09"/>
    <w:rsid w:val="00002B76"/>
    <w:rsid w:val="00002E3A"/>
    <w:rsid w:val="00002EB6"/>
    <w:rsid w:val="000032B1"/>
    <w:rsid w:val="0000330D"/>
    <w:rsid w:val="00003A25"/>
    <w:rsid w:val="000040EA"/>
    <w:rsid w:val="00004264"/>
    <w:rsid w:val="00004D68"/>
    <w:rsid w:val="00004F22"/>
    <w:rsid w:val="000051EF"/>
    <w:rsid w:val="000053F9"/>
    <w:rsid w:val="00005501"/>
    <w:rsid w:val="000055F6"/>
    <w:rsid w:val="00005700"/>
    <w:rsid w:val="00005B62"/>
    <w:rsid w:val="00005F38"/>
    <w:rsid w:val="00005F55"/>
    <w:rsid w:val="00006177"/>
    <w:rsid w:val="00006470"/>
    <w:rsid w:val="0000663D"/>
    <w:rsid w:val="000066BD"/>
    <w:rsid w:val="000066C0"/>
    <w:rsid w:val="0000675F"/>
    <w:rsid w:val="000076BF"/>
    <w:rsid w:val="000077E2"/>
    <w:rsid w:val="00007F0E"/>
    <w:rsid w:val="00011154"/>
    <w:rsid w:val="00011356"/>
    <w:rsid w:val="00011E91"/>
    <w:rsid w:val="000120FA"/>
    <w:rsid w:val="00012701"/>
    <w:rsid w:val="0001280A"/>
    <w:rsid w:val="00012CD0"/>
    <w:rsid w:val="00013192"/>
    <w:rsid w:val="000135D2"/>
    <w:rsid w:val="000137D7"/>
    <w:rsid w:val="00013A38"/>
    <w:rsid w:val="00013A71"/>
    <w:rsid w:val="00013BF9"/>
    <w:rsid w:val="00013C30"/>
    <w:rsid w:val="0001470D"/>
    <w:rsid w:val="0001569A"/>
    <w:rsid w:val="000157F5"/>
    <w:rsid w:val="00015997"/>
    <w:rsid w:val="000160C9"/>
    <w:rsid w:val="000161D0"/>
    <w:rsid w:val="00016574"/>
    <w:rsid w:val="0001668B"/>
    <w:rsid w:val="00016C02"/>
    <w:rsid w:val="00017A57"/>
    <w:rsid w:val="00017B40"/>
    <w:rsid w:val="00017C10"/>
    <w:rsid w:val="000203CA"/>
    <w:rsid w:val="00020755"/>
    <w:rsid w:val="0002076A"/>
    <w:rsid w:val="00020816"/>
    <w:rsid w:val="00020868"/>
    <w:rsid w:val="00021052"/>
    <w:rsid w:val="000214D2"/>
    <w:rsid w:val="000214D5"/>
    <w:rsid w:val="00021872"/>
    <w:rsid w:val="000219B4"/>
    <w:rsid w:val="00021E32"/>
    <w:rsid w:val="00022152"/>
    <w:rsid w:val="00022263"/>
    <w:rsid w:val="00022463"/>
    <w:rsid w:val="00022E34"/>
    <w:rsid w:val="000230C3"/>
    <w:rsid w:val="000233DD"/>
    <w:rsid w:val="0002361F"/>
    <w:rsid w:val="00023640"/>
    <w:rsid w:val="0002386C"/>
    <w:rsid w:val="0002394F"/>
    <w:rsid w:val="0002399C"/>
    <w:rsid w:val="000239B1"/>
    <w:rsid w:val="00023DA9"/>
    <w:rsid w:val="00023E6B"/>
    <w:rsid w:val="00023FD6"/>
    <w:rsid w:val="00024095"/>
    <w:rsid w:val="00024146"/>
    <w:rsid w:val="00024A80"/>
    <w:rsid w:val="00024CD1"/>
    <w:rsid w:val="00024DF7"/>
    <w:rsid w:val="00024FB5"/>
    <w:rsid w:val="00025365"/>
    <w:rsid w:val="000254B1"/>
    <w:rsid w:val="000255BC"/>
    <w:rsid w:val="00025A5C"/>
    <w:rsid w:val="00025C75"/>
    <w:rsid w:val="00025C78"/>
    <w:rsid w:val="00026457"/>
    <w:rsid w:val="00026B2F"/>
    <w:rsid w:val="00026E2C"/>
    <w:rsid w:val="00026E3D"/>
    <w:rsid w:val="00027073"/>
    <w:rsid w:val="000272EA"/>
    <w:rsid w:val="00027874"/>
    <w:rsid w:val="000279CA"/>
    <w:rsid w:val="00027B0F"/>
    <w:rsid w:val="00027D34"/>
    <w:rsid w:val="00027DD5"/>
    <w:rsid w:val="0003011A"/>
    <w:rsid w:val="00030166"/>
    <w:rsid w:val="00030BE9"/>
    <w:rsid w:val="0003115D"/>
    <w:rsid w:val="0003122B"/>
    <w:rsid w:val="0003128A"/>
    <w:rsid w:val="000319FC"/>
    <w:rsid w:val="00031D49"/>
    <w:rsid w:val="000322BC"/>
    <w:rsid w:val="000325D4"/>
    <w:rsid w:val="00032962"/>
    <w:rsid w:val="000329E8"/>
    <w:rsid w:val="00032AA1"/>
    <w:rsid w:val="00032E0F"/>
    <w:rsid w:val="00032E50"/>
    <w:rsid w:val="00032EA1"/>
    <w:rsid w:val="00032ECC"/>
    <w:rsid w:val="0003359A"/>
    <w:rsid w:val="000335BC"/>
    <w:rsid w:val="00034407"/>
    <w:rsid w:val="0003506A"/>
    <w:rsid w:val="00035391"/>
    <w:rsid w:val="00036360"/>
    <w:rsid w:val="00036EAA"/>
    <w:rsid w:val="00037286"/>
    <w:rsid w:val="00037980"/>
    <w:rsid w:val="000379B1"/>
    <w:rsid w:val="00037BA7"/>
    <w:rsid w:val="00037D18"/>
    <w:rsid w:val="0004045E"/>
    <w:rsid w:val="0004047C"/>
    <w:rsid w:val="000404B1"/>
    <w:rsid w:val="00040C13"/>
    <w:rsid w:val="00041671"/>
    <w:rsid w:val="0004175F"/>
    <w:rsid w:val="000419AD"/>
    <w:rsid w:val="00041BFD"/>
    <w:rsid w:val="00041E53"/>
    <w:rsid w:val="000421C1"/>
    <w:rsid w:val="000422C5"/>
    <w:rsid w:val="000423AB"/>
    <w:rsid w:val="00042696"/>
    <w:rsid w:val="00042DAB"/>
    <w:rsid w:val="00042DAE"/>
    <w:rsid w:val="00043363"/>
    <w:rsid w:val="0004351B"/>
    <w:rsid w:val="000436A6"/>
    <w:rsid w:val="00043790"/>
    <w:rsid w:val="000439C9"/>
    <w:rsid w:val="00043AF6"/>
    <w:rsid w:val="00043B1C"/>
    <w:rsid w:val="00043BD9"/>
    <w:rsid w:val="00043E46"/>
    <w:rsid w:val="00043FA0"/>
    <w:rsid w:val="00044164"/>
    <w:rsid w:val="00044994"/>
    <w:rsid w:val="00044E0E"/>
    <w:rsid w:val="00044EEE"/>
    <w:rsid w:val="00045070"/>
    <w:rsid w:val="00045285"/>
    <w:rsid w:val="00045432"/>
    <w:rsid w:val="000456D4"/>
    <w:rsid w:val="00045AF0"/>
    <w:rsid w:val="00045F40"/>
    <w:rsid w:val="00045FC7"/>
    <w:rsid w:val="0004640E"/>
    <w:rsid w:val="000464E5"/>
    <w:rsid w:val="00046894"/>
    <w:rsid w:val="00046E12"/>
    <w:rsid w:val="00046F0A"/>
    <w:rsid w:val="000472B2"/>
    <w:rsid w:val="00047596"/>
    <w:rsid w:val="00047F74"/>
    <w:rsid w:val="00047FD5"/>
    <w:rsid w:val="00050399"/>
    <w:rsid w:val="0005073C"/>
    <w:rsid w:val="000508A6"/>
    <w:rsid w:val="000508D3"/>
    <w:rsid w:val="00050CA9"/>
    <w:rsid w:val="00051268"/>
    <w:rsid w:val="000515EB"/>
    <w:rsid w:val="0005188E"/>
    <w:rsid w:val="000519BB"/>
    <w:rsid w:val="00051F7B"/>
    <w:rsid w:val="00052224"/>
    <w:rsid w:val="00052BBD"/>
    <w:rsid w:val="00052E5A"/>
    <w:rsid w:val="0005333B"/>
    <w:rsid w:val="00053B06"/>
    <w:rsid w:val="00053C54"/>
    <w:rsid w:val="00053CEF"/>
    <w:rsid w:val="0005451E"/>
    <w:rsid w:val="000549AD"/>
    <w:rsid w:val="00054CB3"/>
    <w:rsid w:val="00054E2B"/>
    <w:rsid w:val="0005534A"/>
    <w:rsid w:val="00055368"/>
    <w:rsid w:val="00055643"/>
    <w:rsid w:val="00055D9E"/>
    <w:rsid w:val="00056419"/>
    <w:rsid w:val="000567DF"/>
    <w:rsid w:val="0005681F"/>
    <w:rsid w:val="00057058"/>
    <w:rsid w:val="000570D0"/>
    <w:rsid w:val="000576F2"/>
    <w:rsid w:val="0005794D"/>
    <w:rsid w:val="000601B9"/>
    <w:rsid w:val="00060228"/>
    <w:rsid w:val="000603B8"/>
    <w:rsid w:val="0006089F"/>
    <w:rsid w:val="00060B47"/>
    <w:rsid w:val="00061016"/>
    <w:rsid w:val="00061379"/>
    <w:rsid w:val="000615AC"/>
    <w:rsid w:val="00061865"/>
    <w:rsid w:val="0006187D"/>
    <w:rsid w:val="000619C0"/>
    <w:rsid w:val="00061EB1"/>
    <w:rsid w:val="00061F61"/>
    <w:rsid w:val="000621FB"/>
    <w:rsid w:val="00062547"/>
    <w:rsid w:val="00062584"/>
    <w:rsid w:val="00062667"/>
    <w:rsid w:val="00062B55"/>
    <w:rsid w:val="0006321F"/>
    <w:rsid w:val="00063852"/>
    <w:rsid w:val="00063A43"/>
    <w:rsid w:val="00064985"/>
    <w:rsid w:val="000649BE"/>
    <w:rsid w:val="00064AA9"/>
    <w:rsid w:val="00064B12"/>
    <w:rsid w:val="0006564D"/>
    <w:rsid w:val="00065961"/>
    <w:rsid w:val="00065B17"/>
    <w:rsid w:val="00065B51"/>
    <w:rsid w:val="00065B5C"/>
    <w:rsid w:val="00065D37"/>
    <w:rsid w:val="00065F29"/>
    <w:rsid w:val="00066A3F"/>
    <w:rsid w:val="00066AD2"/>
    <w:rsid w:val="00066CDB"/>
    <w:rsid w:val="00066DB4"/>
    <w:rsid w:val="00066EA5"/>
    <w:rsid w:val="00066EE2"/>
    <w:rsid w:val="000675E4"/>
    <w:rsid w:val="00067750"/>
    <w:rsid w:val="0007015B"/>
    <w:rsid w:val="00070191"/>
    <w:rsid w:val="000705E3"/>
    <w:rsid w:val="0007064D"/>
    <w:rsid w:val="00070743"/>
    <w:rsid w:val="00070AB1"/>
    <w:rsid w:val="00070B7A"/>
    <w:rsid w:val="00070C1B"/>
    <w:rsid w:val="00070D19"/>
    <w:rsid w:val="0007141A"/>
    <w:rsid w:val="00071619"/>
    <w:rsid w:val="00071926"/>
    <w:rsid w:val="0007194A"/>
    <w:rsid w:val="0007205B"/>
    <w:rsid w:val="0007259E"/>
    <w:rsid w:val="000725F5"/>
    <w:rsid w:val="00072CBD"/>
    <w:rsid w:val="000734C4"/>
    <w:rsid w:val="00073BB9"/>
    <w:rsid w:val="00073C42"/>
    <w:rsid w:val="00073EAD"/>
    <w:rsid w:val="0007449E"/>
    <w:rsid w:val="0007452D"/>
    <w:rsid w:val="000747BB"/>
    <w:rsid w:val="0007480F"/>
    <w:rsid w:val="00074AAF"/>
    <w:rsid w:val="0007508F"/>
    <w:rsid w:val="0007525E"/>
    <w:rsid w:val="00075726"/>
    <w:rsid w:val="00076240"/>
    <w:rsid w:val="000762DE"/>
    <w:rsid w:val="00076382"/>
    <w:rsid w:val="0007642F"/>
    <w:rsid w:val="000764AD"/>
    <w:rsid w:val="00076897"/>
    <w:rsid w:val="00076964"/>
    <w:rsid w:val="00076B08"/>
    <w:rsid w:val="0007702B"/>
    <w:rsid w:val="00077DFE"/>
    <w:rsid w:val="00080ACF"/>
    <w:rsid w:val="000811D6"/>
    <w:rsid w:val="00081B23"/>
    <w:rsid w:val="00082241"/>
    <w:rsid w:val="00082C9E"/>
    <w:rsid w:val="0008348F"/>
    <w:rsid w:val="00083882"/>
    <w:rsid w:val="000841B0"/>
    <w:rsid w:val="00084408"/>
    <w:rsid w:val="00084D71"/>
    <w:rsid w:val="00085177"/>
    <w:rsid w:val="00085598"/>
    <w:rsid w:val="0008577C"/>
    <w:rsid w:val="00085FC9"/>
    <w:rsid w:val="000860BF"/>
    <w:rsid w:val="0008641E"/>
    <w:rsid w:val="0008688A"/>
    <w:rsid w:val="00086893"/>
    <w:rsid w:val="000871EF"/>
    <w:rsid w:val="00087BA9"/>
    <w:rsid w:val="00090006"/>
    <w:rsid w:val="00090B01"/>
    <w:rsid w:val="00090D15"/>
    <w:rsid w:val="000912CF"/>
    <w:rsid w:val="00091307"/>
    <w:rsid w:val="0009195F"/>
    <w:rsid w:val="00091DC2"/>
    <w:rsid w:val="00091F4E"/>
    <w:rsid w:val="0009319B"/>
    <w:rsid w:val="00093BD9"/>
    <w:rsid w:val="00093C52"/>
    <w:rsid w:val="00093F18"/>
    <w:rsid w:val="000943C5"/>
    <w:rsid w:val="000947AC"/>
    <w:rsid w:val="00094B37"/>
    <w:rsid w:val="00094FE7"/>
    <w:rsid w:val="0009506D"/>
    <w:rsid w:val="000954D2"/>
    <w:rsid w:val="00095F6E"/>
    <w:rsid w:val="00096069"/>
    <w:rsid w:val="00096096"/>
    <w:rsid w:val="000961BF"/>
    <w:rsid w:val="00096521"/>
    <w:rsid w:val="00096569"/>
    <w:rsid w:val="000968C5"/>
    <w:rsid w:val="00096C51"/>
    <w:rsid w:val="00096DFA"/>
    <w:rsid w:val="000974BE"/>
    <w:rsid w:val="00097738"/>
    <w:rsid w:val="000979F7"/>
    <w:rsid w:val="00097AF7"/>
    <w:rsid w:val="00097E02"/>
    <w:rsid w:val="000A00F4"/>
    <w:rsid w:val="000A0126"/>
    <w:rsid w:val="000A0363"/>
    <w:rsid w:val="000A0643"/>
    <w:rsid w:val="000A09CA"/>
    <w:rsid w:val="000A0DB2"/>
    <w:rsid w:val="000A12DC"/>
    <w:rsid w:val="000A16CE"/>
    <w:rsid w:val="000A1771"/>
    <w:rsid w:val="000A1D85"/>
    <w:rsid w:val="000A24AA"/>
    <w:rsid w:val="000A265B"/>
    <w:rsid w:val="000A26E8"/>
    <w:rsid w:val="000A27FB"/>
    <w:rsid w:val="000A280C"/>
    <w:rsid w:val="000A2927"/>
    <w:rsid w:val="000A312B"/>
    <w:rsid w:val="000A39AE"/>
    <w:rsid w:val="000A3A91"/>
    <w:rsid w:val="000A3D7D"/>
    <w:rsid w:val="000A3EA6"/>
    <w:rsid w:val="000A3EEA"/>
    <w:rsid w:val="000A442B"/>
    <w:rsid w:val="000A44F7"/>
    <w:rsid w:val="000A454A"/>
    <w:rsid w:val="000A4A72"/>
    <w:rsid w:val="000A4D28"/>
    <w:rsid w:val="000A500F"/>
    <w:rsid w:val="000A5531"/>
    <w:rsid w:val="000A58DA"/>
    <w:rsid w:val="000A60D1"/>
    <w:rsid w:val="000A6519"/>
    <w:rsid w:val="000A67FF"/>
    <w:rsid w:val="000A6D0A"/>
    <w:rsid w:val="000A6DE8"/>
    <w:rsid w:val="000A6F79"/>
    <w:rsid w:val="000A6FA7"/>
    <w:rsid w:val="000A73E3"/>
    <w:rsid w:val="000A76CF"/>
    <w:rsid w:val="000A7DBE"/>
    <w:rsid w:val="000A7E52"/>
    <w:rsid w:val="000A7EAE"/>
    <w:rsid w:val="000B0054"/>
    <w:rsid w:val="000B0096"/>
    <w:rsid w:val="000B0449"/>
    <w:rsid w:val="000B05A2"/>
    <w:rsid w:val="000B0925"/>
    <w:rsid w:val="000B09C4"/>
    <w:rsid w:val="000B0BAE"/>
    <w:rsid w:val="000B0E5A"/>
    <w:rsid w:val="000B0FE2"/>
    <w:rsid w:val="000B11F8"/>
    <w:rsid w:val="000B1534"/>
    <w:rsid w:val="000B1565"/>
    <w:rsid w:val="000B15D8"/>
    <w:rsid w:val="000B19FF"/>
    <w:rsid w:val="000B1AB6"/>
    <w:rsid w:val="000B1C3E"/>
    <w:rsid w:val="000B1CB5"/>
    <w:rsid w:val="000B1D8F"/>
    <w:rsid w:val="000B1E8A"/>
    <w:rsid w:val="000B2526"/>
    <w:rsid w:val="000B2B60"/>
    <w:rsid w:val="000B30E2"/>
    <w:rsid w:val="000B3B89"/>
    <w:rsid w:val="000B3C7C"/>
    <w:rsid w:val="000B4761"/>
    <w:rsid w:val="000B48BB"/>
    <w:rsid w:val="000B4B3B"/>
    <w:rsid w:val="000B4D1F"/>
    <w:rsid w:val="000B6476"/>
    <w:rsid w:val="000B64E0"/>
    <w:rsid w:val="000B64F9"/>
    <w:rsid w:val="000B676C"/>
    <w:rsid w:val="000B69FA"/>
    <w:rsid w:val="000B7003"/>
    <w:rsid w:val="000B7180"/>
    <w:rsid w:val="000B7442"/>
    <w:rsid w:val="000B744C"/>
    <w:rsid w:val="000B7548"/>
    <w:rsid w:val="000B7686"/>
    <w:rsid w:val="000C0074"/>
    <w:rsid w:val="000C025D"/>
    <w:rsid w:val="000C0260"/>
    <w:rsid w:val="000C0489"/>
    <w:rsid w:val="000C10F8"/>
    <w:rsid w:val="000C13F2"/>
    <w:rsid w:val="000C1462"/>
    <w:rsid w:val="000C1523"/>
    <w:rsid w:val="000C1935"/>
    <w:rsid w:val="000C197A"/>
    <w:rsid w:val="000C1DBE"/>
    <w:rsid w:val="000C1EEB"/>
    <w:rsid w:val="000C2052"/>
    <w:rsid w:val="000C20FD"/>
    <w:rsid w:val="000C2166"/>
    <w:rsid w:val="000C21EA"/>
    <w:rsid w:val="000C254C"/>
    <w:rsid w:val="000C283F"/>
    <w:rsid w:val="000C3DC2"/>
    <w:rsid w:val="000C3F12"/>
    <w:rsid w:val="000C3FA8"/>
    <w:rsid w:val="000C4450"/>
    <w:rsid w:val="000C4B4C"/>
    <w:rsid w:val="000C4FD1"/>
    <w:rsid w:val="000C525D"/>
    <w:rsid w:val="000C55AD"/>
    <w:rsid w:val="000C56EF"/>
    <w:rsid w:val="000C5B28"/>
    <w:rsid w:val="000C6528"/>
    <w:rsid w:val="000C6B51"/>
    <w:rsid w:val="000C6E66"/>
    <w:rsid w:val="000C6FA4"/>
    <w:rsid w:val="000C703F"/>
    <w:rsid w:val="000C762E"/>
    <w:rsid w:val="000C76CF"/>
    <w:rsid w:val="000C79CF"/>
    <w:rsid w:val="000C7A08"/>
    <w:rsid w:val="000C7AB9"/>
    <w:rsid w:val="000D010B"/>
    <w:rsid w:val="000D013F"/>
    <w:rsid w:val="000D0384"/>
    <w:rsid w:val="000D0DFF"/>
    <w:rsid w:val="000D0FDC"/>
    <w:rsid w:val="000D1177"/>
    <w:rsid w:val="000D1552"/>
    <w:rsid w:val="000D18D7"/>
    <w:rsid w:val="000D198E"/>
    <w:rsid w:val="000D1B72"/>
    <w:rsid w:val="000D22F9"/>
    <w:rsid w:val="000D2489"/>
    <w:rsid w:val="000D2CD4"/>
    <w:rsid w:val="000D2E97"/>
    <w:rsid w:val="000D324F"/>
    <w:rsid w:val="000D329E"/>
    <w:rsid w:val="000D3789"/>
    <w:rsid w:val="000D37C8"/>
    <w:rsid w:val="000D38CD"/>
    <w:rsid w:val="000D3DDE"/>
    <w:rsid w:val="000D4047"/>
    <w:rsid w:val="000D5122"/>
    <w:rsid w:val="000D5658"/>
    <w:rsid w:val="000D568F"/>
    <w:rsid w:val="000D5C47"/>
    <w:rsid w:val="000D72B2"/>
    <w:rsid w:val="000D7434"/>
    <w:rsid w:val="000D79D9"/>
    <w:rsid w:val="000D7B09"/>
    <w:rsid w:val="000D7F37"/>
    <w:rsid w:val="000D7FAC"/>
    <w:rsid w:val="000E03DF"/>
    <w:rsid w:val="000E0D36"/>
    <w:rsid w:val="000E0D60"/>
    <w:rsid w:val="000E0F78"/>
    <w:rsid w:val="000E1061"/>
    <w:rsid w:val="000E112F"/>
    <w:rsid w:val="000E11D2"/>
    <w:rsid w:val="000E1335"/>
    <w:rsid w:val="000E140A"/>
    <w:rsid w:val="000E144E"/>
    <w:rsid w:val="000E1949"/>
    <w:rsid w:val="000E1A81"/>
    <w:rsid w:val="000E1CB2"/>
    <w:rsid w:val="000E23AA"/>
    <w:rsid w:val="000E23EA"/>
    <w:rsid w:val="000E2483"/>
    <w:rsid w:val="000E2F28"/>
    <w:rsid w:val="000E35AE"/>
    <w:rsid w:val="000E3E9D"/>
    <w:rsid w:val="000E3F00"/>
    <w:rsid w:val="000E45EE"/>
    <w:rsid w:val="000E47C9"/>
    <w:rsid w:val="000E48DC"/>
    <w:rsid w:val="000E4AB4"/>
    <w:rsid w:val="000E537D"/>
    <w:rsid w:val="000E596E"/>
    <w:rsid w:val="000E599F"/>
    <w:rsid w:val="000E5A0A"/>
    <w:rsid w:val="000E5A42"/>
    <w:rsid w:val="000E5C8C"/>
    <w:rsid w:val="000E5CE6"/>
    <w:rsid w:val="000E63CE"/>
    <w:rsid w:val="000E65E9"/>
    <w:rsid w:val="000E6621"/>
    <w:rsid w:val="000E69E0"/>
    <w:rsid w:val="000E6B23"/>
    <w:rsid w:val="000E7029"/>
    <w:rsid w:val="000E70A6"/>
    <w:rsid w:val="000E7318"/>
    <w:rsid w:val="000E7B38"/>
    <w:rsid w:val="000E7F14"/>
    <w:rsid w:val="000F05E1"/>
    <w:rsid w:val="000F08BD"/>
    <w:rsid w:val="000F0914"/>
    <w:rsid w:val="000F0B43"/>
    <w:rsid w:val="000F12FD"/>
    <w:rsid w:val="000F1641"/>
    <w:rsid w:val="000F1991"/>
    <w:rsid w:val="000F21A2"/>
    <w:rsid w:val="000F2883"/>
    <w:rsid w:val="000F36D8"/>
    <w:rsid w:val="000F3978"/>
    <w:rsid w:val="000F41A6"/>
    <w:rsid w:val="000F41B9"/>
    <w:rsid w:val="000F4754"/>
    <w:rsid w:val="000F4E33"/>
    <w:rsid w:val="000F51DA"/>
    <w:rsid w:val="000F5218"/>
    <w:rsid w:val="000F5222"/>
    <w:rsid w:val="000F57A9"/>
    <w:rsid w:val="000F57CE"/>
    <w:rsid w:val="000F58E0"/>
    <w:rsid w:val="000F591C"/>
    <w:rsid w:val="000F595B"/>
    <w:rsid w:val="000F5E3F"/>
    <w:rsid w:val="000F6025"/>
    <w:rsid w:val="000F69E9"/>
    <w:rsid w:val="000F6E15"/>
    <w:rsid w:val="000F765B"/>
    <w:rsid w:val="000F79E6"/>
    <w:rsid w:val="000F7C08"/>
    <w:rsid w:val="000F7CCF"/>
    <w:rsid w:val="00100149"/>
    <w:rsid w:val="00100599"/>
    <w:rsid w:val="00100A84"/>
    <w:rsid w:val="00100DE1"/>
    <w:rsid w:val="00101138"/>
    <w:rsid w:val="001014A7"/>
    <w:rsid w:val="001014AA"/>
    <w:rsid w:val="00101A75"/>
    <w:rsid w:val="00101CA5"/>
    <w:rsid w:val="001025D7"/>
    <w:rsid w:val="001028B4"/>
    <w:rsid w:val="00102B02"/>
    <w:rsid w:val="00102D75"/>
    <w:rsid w:val="00102E18"/>
    <w:rsid w:val="001033DC"/>
    <w:rsid w:val="00103552"/>
    <w:rsid w:val="0010381F"/>
    <w:rsid w:val="001039D3"/>
    <w:rsid w:val="00103C93"/>
    <w:rsid w:val="00103D94"/>
    <w:rsid w:val="00103FD3"/>
    <w:rsid w:val="00104196"/>
    <w:rsid w:val="00104262"/>
    <w:rsid w:val="00104428"/>
    <w:rsid w:val="001048FB"/>
    <w:rsid w:val="001049E8"/>
    <w:rsid w:val="00104A2E"/>
    <w:rsid w:val="00104A41"/>
    <w:rsid w:val="001054FC"/>
    <w:rsid w:val="00105598"/>
    <w:rsid w:val="001059C9"/>
    <w:rsid w:val="001061A6"/>
    <w:rsid w:val="001062F1"/>
    <w:rsid w:val="00106401"/>
    <w:rsid w:val="001067C9"/>
    <w:rsid w:val="00106927"/>
    <w:rsid w:val="00106B92"/>
    <w:rsid w:val="00106C24"/>
    <w:rsid w:val="0010709A"/>
    <w:rsid w:val="00107175"/>
    <w:rsid w:val="00107300"/>
    <w:rsid w:val="00107491"/>
    <w:rsid w:val="00107791"/>
    <w:rsid w:val="00107C93"/>
    <w:rsid w:val="001100D5"/>
    <w:rsid w:val="0011029F"/>
    <w:rsid w:val="0011093D"/>
    <w:rsid w:val="0011097C"/>
    <w:rsid w:val="00110A50"/>
    <w:rsid w:val="00110C5E"/>
    <w:rsid w:val="00110FE6"/>
    <w:rsid w:val="0011118B"/>
    <w:rsid w:val="001111EE"/>
    <w:rsid w:val="001114CA"/>
    <w:rsid w:val="00111F70"/>
    <w:rsid w:val="00112249"/>
    <w:rsid w:val="001123A7"/>
    <w:rsid w:val="00112A64"/>
    <w:rsid w:val="00112B5D"/>
    <w:rsid w:val="00113038"/>
    <w:rsid w:val="00113181"/>
    <w:rsid w:val="00113545"/>
    <w:rsid w:val="001138C0"/>
    <w:rsid w:val="001138F3"/>
    <w:rsid w:val="00113926"/>
    <w:rsid w:val="00113BE1"/>
    <w:rsid w:val="00113C92"/>
    <w:rsid w:val="00113F74"/>
    <w:rsid w:val="0011405A"/>
    <w:rsid w:val="00114156"/>
    <w:rsid w:val="00114458"/>
    <w:rsid w:val="0011502D"/>
    <w:rsid w:val="001150C5"/>
    <w:rsid w:val="00115210"/>
    <w:rsid w:val="001152BD"/>
    <w:rsid w:val="00115659"/>
    <w:rsid w:val="001164CB"/>
    <w:rsid w:val="001168B8"/>
    <w:rsid w:val="00116AFE"/>
    <w:rsid w:val="00116E6B"/>
    <w:rsid w:val="00120078"/>
    <w:rsid w:val="001205E1"/>
    <w:rsid w:val="001206D9"/>
    <w:rsid w:val="0012126B"/>
    <w:rsid w:val="001212AF"/>
    <w:rsid w:val="00121369"/>
    <w:rsid w:val="00121D71"/>
    <w:rsid w:val="001221B5"/>
    <w:rsid w:val="00122278"/>
    <w:rsid w:val="00122282"/>
    <w:rsid w:val="00122371"/>
    <w:rsid w:val="001224E0"/>
    <w:rsid w:val="00122900"/>
    <w:rsid w:val="00122936"/>
    <w:rsid w:val="00122F71"/>
    <w:rsid w:val="00123AF0"/>
    <w:rsid w:val="00124184"/>
    <w:rsid w:val="0012434D"/>
    <w:rsid w:val="001244FF"/>
    <w:rsid w:val="001247BA"/>
    <w:rsid w:val="001247FA"/>
    <w:rsid w:val="001249B3"/>
    <w:rsid w:val="001249BE"/>
    <w:rsid w:val="00124E01"/>
    <w:rsid w:val="00124F54"/>
    <w:rsid w:val="00125188"/>
    <w:rsid w:val="0012542F"/>
    <w:rsid w:val="00125993"/>
    <w:rsid w:val="00125A75"/>
    <w:rsid w:val="00125B31"/>
    <w:rsid w:val="00125D43"/>
    <w:rsid w:val="00125D87"/>
    <w:rsid w:val="0012616F"/>
    <w:rsid w:val="001263B1"/>
    <w:rsid w:val="001269C5"/>
    <w:rsid w:val="00126B77"/>
    <w:rsid w:val="00126E38"/>
    <w:rsid w:val="001274F1"/>
    <w:rsid w:val="00127594"/>
    <w:rsid w:val="0012792C"/>
    <w:rsid w:val="00127935"/>
    <w:rsid w:val="00127D7D"/>
    <w:rsid w:val="00130361"/>
    <w:rsid w:val="001306CD"/>
    <w:rsid w:val="00131138"/>
    <w:rsid w:val="001313B0"/>
    <w:rsid w:val="0013168E"/>
    <w:rsid w:val="00131782"/>
    <w:rsid w:val="00131B2C"/>
    <w:rsid w:val="00131D37"/>
    <w:rsid w:val="00131DCF"/>
    <w:rsid w:val="00131F1E"/>
    <w:rsid w:val="00131F5B"/>
    <w:rsid w:val="00132061"/>
    <w:rsid w:val="001320C8"/>
    <w:rsid w:val="001324E7"/>
    <w:rsid w:val="001326AF"/>
    <w:rsid w:val="00132CA4"/>
    <w:rsid w:val="00133991"/>
    <w:rsid w:val="00133B43"/>
    <w:rsid w:val="00133B56"/>
    <w:rsid w:val="00133D52"/>
    <w:rsid w:val="00133F37"/>
    <w:rsid w:val="00134045"/>
    <w:rsid w:val="00134161"/>
    <w:rsid w:val="00134704"/>
    <w:rsid w:val="00134944"/>
    <w:rsid w:val="00134A8E"/>
    <w:rsid w:val="00134E18"/>
    <w:rsid w:val="00135009"/>
    <w:rsid w:val="0013527A"/>
    <w:rsid w:val="001354B7"/>
    <w:rsid w:val="00135570"/>
    <w:rsid w:val="00135582"/>
    <w:rsid w:val="00135622"/>
    <w:rsid w:val="001356E5"/>
    <w:rsid w:val="0013573A"/>
    <w:rsid w:val="00135E97"/>
    <w:rsid w:val="0013632D"/>
    <w:rsid w:val="00136690"/>
    <w:rsid w:val="001373DE"/>
    <w:rsid w:val="0013769A"/>
    <w:rsid w:val="00137705"/>
    <w:rsid w:val="001379AB"/>
    <w:rsid w:val="00137C6A"/>
    <w:rsid w:val="00140AED"/>
    <w:rsid w:val="00140B57"/>
    <w:rsid w:val="00140B67"/>
    <w:rsid w:val="00140F1C"/>
    <w:rsid w:val="00141353"/>
    <w:rsid w:val="00141AE8"/>
    <w:rsid w:val="00142095"/>
    <w:rsid w:val="0014277C"/>
    <w:rsid w:val="00142B4A"/>
    <w:rsid w:val="00142BF8"/>
    <w:rsid w:val="0014336D"/>
    <w:rsid w:val="00143603"/>
    <w:rsid w:val="00143B41"/>
    <w:rsid w:val="00143F4A"/>
    <w:rsid w:val="00143FDE"/>
    <w:rsid w:val="00144545"/>
    <w:rsid w:val="00144DAA"/>
    <w:rsid w:val="0014577B"/>
    <w:rsid w:val="00145BD6"/>
    <w:rsid w:val="00145E30"/>
    <w:rsid w:val="0014635E"/>
    <w:rsid w:val="001463EC"/>
    <w:rsid w:val="001467B0"/>
    <w:rsid w:val="001468F2"/>
    <w:rsid w:val="00146924"/>
    <w:rsid w:val="001469A1"/>
    <w:rsid w:val="00146A42"/>
    <w:rsid w:val="00146ACA"/>
    <w:rsid w:val="00146D04"/>
    <w:rsid w:val="00146E3E"/>
    <w:rsid w:val="001472AF"/>
    <w:rsid w:val="001477B5"/>
    <w:rsid w:val="0014790B"/>
    <w:rsid w:val="00147934"/>
    <w:rsid w:val="00147EAD"/>
    <w:rsid w:val="00150090"/>
    <w:rsid w:val="001509FD"/>
    <w:rsid w:val="0015199E"/>
    <w:rsid w:val="001520F6"/>
    <w:rsid w:val="001523BB"/>
    <w:rsid w:val="00152780"/>
    <w:rsid w:val="0015285B"/>
    <w:rsid w:val="00152E43"/>
    <w:rsid w:val="00153316"/>
    <w:rsid w:val="00153B2C"/>
    <w:rsid w:val="00153E7A"/>
    <w:rsid w:val="0015419A"/>
    <w:rsid w:val="0015430F"/>
    <w:rsid w:val="0015435C"/>
    <w:rsid w:val="001545D6"/>
    <w:rsid w:val="0015465F"/>
    <w:rsid w:val="00154D33"/>
    <w:rsid w:val="00154EE3"/>
    <w:rsid w:val="0015510B"/>
    <w:rsid w:val="00155144"/>
    <w:rsid w:val="00155472"/>
    <w:rsid w:val="001555E0"/>
    <w:rsid w:val="0015581E"/>
    <w:rsid w:val="001558F1"/>
    <w:rsid w:val="00155B6D"/>
    <w:rsid w:val="00155D0A"/>
    <w:rsid w:val="00155D62"/>
    <w:rsid w:val="00155EE2"/>
    <w:rsid w:val="00155FA3"/>
    <w:rsid w:val="00156641"/>
    <w:rsid w:val="001567CD"/>
    <w:rsid w:val="0015688B"/>
    <w:rsid w:val="00156998"/>
    <w:rsid w:val="001569BA"/>
    <w:rsid w:val="00156CAB"/>
    <w:rsid w:val="00156EFF"/>
    <w:rsid w:val="00156F36"/>
    <w:rsid w:val="00156F70"/>
    <w:rsid w:val="001577A2"/>
    <w:rsid w:val="001577AA"/>
    <w:rsid w:val="00157C44"/>
    <w:rsid w:val="00157DE8"/>
    <w:rsid w:val="00157E61"/>
    <w:rsid w:val="00160011"/>
    <w:rsid w:val="00160023"/>
    <w:rsid w:val="00160061"/>
    <w:rsid w:val="00160698"/>
    <w:rsid w:val="00160CF7"/>
    <w:rsid w:val="001610F7"/>
    <w:rsid w:val="00161146"/>
    <w:rsid w:val="001631C4"/>
    <w:rsid w:val="001633DA"/>
    <w:rsid w:val="0016367A"/>
    <w:rsid w:val="001638B8"/>
    <w:rsid w:val="001639C2"/>
    <w:rsid w:val="00163D69"/>
    <w:rsid w:val="00163DDF"/>
    <w:rsid w:val="00163E43"/>
    <w:rsid w:val="00164330"/>
    <w:rsid w:val="001645C2"/>
    <w:rsid w:val="00164977"/>
    <w:rsid w:val="00164A31"/>
    <w:rsid w:val="00164C6B"/>
    <w:rsid w:val="00164D68"/>
    <w:rsid w:val="00164E25"/>
    <w:rsid w:val="00164F52"/>
    <w:rsid w:val="001650FE"/>
    <w:rsid w:val="0016533A"/>
    <w:rsid w:val="00165792"/>
    <w:rsid w:val="00165EAD"/>
    <w:rsid w:val="001660A2"/>
    <w:rsid w:val="00166877"/>
    <w:rsid w:val="00167C67"/>
    <w:rsid w:val="00167D07"/>
    <w:rsid w:val="00167DC8"/>
    <w:rsid w:val="00167F36"/>
    <w:rsid w:val="00170321"/>
    <w:rsid w:val="00170583"/>
    <w:rsid w:val="001705BE"/>
    <w:rsid w:val="00171335"/>
    <w:rsid w:val="001714B6"/>
    <w:rsid w:val="001718A9"/>
    <w:rsid w:val="00171CE6"/>
    <w:rsid w:val="00171FA8"/>
    <w:rsid w:val="00172068"/>
    <w:rsid w:val="001722E4"/>
    <w:rsid w:val="00172614"/>
    <w:rsid w:val="00172731"/>
    <w:rsid w:val="001727E7"/>
    <w:rsid w:val="0017361A"/>
    <w:rsid w:val="001736A8"/>
    <w:rsid w:val="00173968"/>
    <w:rsid w:val="00173D3A"/>
    <w:rsid w:val="0017426B"/>
    <w:rsid w:val="0017427D"/>
    <w:rsid w:val="0017486E"/>
    <w:rsid w:val="00174A9E"/>
    <w:rsid w:val="00174EB9"/>
    <w:rsid w:val="001751AD"/>
    <w:rsid w:val="001757B8"/>
    <w:rsid w:val="00175867"/>
    <w:rsid w:val="00175CD3"/>
    <w:rsid w:val="00175D03"/>
    <w:rsid w:val="00176034"/>
    <w:rsid w:val="00176A0F"/>
    <w:rsid w:val="0017722C"/>
    <w:rsid w:val="00177664"/>
    <w:rsid w:val="0017771E"/>
    <w:rsid w:val="00177836"/>
    <w:rsid w:val="001778CD"/>
    <w:rsid w:val="00177A61"/>
    <w:rsid w:val="00177D42"/>
    <w:rsid w:val="00177EAA"/>
    <w:rsid w:val="00180335"/>
    <w:rsid w:val="001805C5"/>
    <w:rsid w:val="0018082A"/>
    <w:rsid w:val="00180A98"/>
    <w:rsid w:val="00180F47"/>
    <w:rsid w:val="00181500"/>
    <w:rsid w:val="001815C1"/>
    <w:rsid w:val="001817E7"/>
    <w:rsid w:val="00181C36"/>
    <w:rsid w:val="00181DB0"/>
    <w:rsid w:val="00182462"/>
    <w:rsid w:val="0018248E"/>
    <w:rsid w:val="00182AFD"/>
    <w:rsid w:val="00182CAE"/>
    <w:rsid w:val="00182D3B"/>
    <w:rsid w:val="00182F6F"/>
    <w:rsid w:val="00183427"/>
    <w:rsid w:val="00183A06"/>
    <w:rsid w:val="00183C0F"/>
    <w:rsid w:val="00183CB8"/>
    <w:rsid w:val="0018438B"/>
    <w:rsid w:val="001845DE"/>
    <w:rsid w:val="001848C9"/>
    <w:rsid w:val="00184999"/>
    <w:rsid w:val="00184B66"/>
    <w:rsid w:val="00184C18"/>
    <w:rsid w:val="00184D75"/>
    <w:rsid w:val="00185527"/>
    <w:rsid w:val="0018589E"/>
    <w:rsid w:val="00185905"/>
    <w:rsid w:val="00185B9F"/>
    <w:rsid w:val="00185EEE"/>
    <w:rsid w:val="0018673F"/>
    <w:rsid w:val="00186A22"/>
    <w:rsid w:val="00186D75"/>
    <w:rsid w:val="0018728D"/>
    <w:rsid w:val="001873CF"/>
    <w:rsid w:val="0018781A"/>
    <w:rsid w:val="001878DE"/>
    <w:rsid w:val="00190D02"/>
    <w:rsid w:val="00190F33"/>
    <w:rsid w:val="00191285"/>
    <w:rsid w:val="00191311"/>
    <w:rsid w:val="001913DF"/>
    <w:rsid w:val="00191492"/>
    <w:rsid w:val="00191BED"/>
    <w:rsid w:val="00191BF7"/>
    <w:rsid w:val="00192842"/>
    <w:rsid w:val="0019287E"/>
    <w:rsid w:val="00192897"/>
    <w:rsid w:val="00192CC3"/>
    <w:rsid w:val="001930EB"/>
    <w:rsid w:val="001930F3"/>
    <w:rsid w:val="00193C90"/>
    <w:rsid w:val="00193CB3"/>
    <w:rsid w:val="00193F15"/>
    <w:rsid w:val="001944C8"/>
    <w:rsid w:val="0019489B"/>
    <w:rsid w:val="00194AF9"/>
    <w:rsid w:val="001953E5"/>
    <w:rsid w:val="00195400"/>
    <w:rsid w:val="001958A6"/>
    <w:rsid w:val="00195F6D"/>
    <w:rsid w:val="00196044"/>
    <w:rsid w:val="00196147"/>
    <w:rsid w:val="00196427"/>
    <w:rsid w:val="00196972"/>
    <w:rsid w:val="00196B4B"/>
    <w:rsid w:val="00196C5B"/>
    <w:rsid w:val="00197123"/>
    <w:rsid w:val="00197282"/>
    <w:rsid w:val="00197F18"/>
    <w:rsid w:val="001A03F7"/>
    <w:rsid w:val="001A0631"/>
    <w:rsid w:val="001A06BC"/>
    <w:rsid w:val="001A06D9"/>
    <w:rsid w:val="001A0CAC"/>
    <w:rsid w:val="001A0FD0"/>
    <w:rsid w:val="001A18D0"/>
    <w:rsid w:val="001A1ABF"/>
    <w:rsid w:val="001A2256"/>
    <w:rsid w:val="001A24CC"/>
    <w:rsid w:val="001A254D"/>
    <w:rsid w:val="001A25CD"/>
    <w:rsid w:val="001A2639"/>
    <w:rsid w:val="001A2719"/>
    <w:rsid w:val="001A2CE8"/>
    <w:rsid w:val="001A31FE"/>
    <w:rsid w:val="001A33FA"/>
    <w:rsid w:val="001A37B6"/>
    <w:rsid w:val="001A3C4E"/>
    <w:rsid w:val="001A4125"/>
    <w:rsid w:val="001A45AD"/>
    <w:rsid w:val="001A4BB3"/>
    <w:rsid w:val="001A5074"/>
    <w:rsid w:val="001A522B"/>
    <w:rsid w:val="001A5F1D"/>
    <w:rsid w:val="001A635B"/>
    <w:rsid w:val="001A6380"/>
    <w:rsid w:val="001A6D4A"/>
    <w:rsid w:val="001A729F"/>
    <w:rsid w:val="001A7844"/>
    <w:rsid w:val="001A7895"/>
    <w:rsid w:val="001A7B4D"/>
    <w:rsid w:val="001B0626"/>
    <w:rsid w:val="001B074F"/>
    <w:rsid w:val="001B0E22"/>
    <w:rsid w:val="001B111A"/>
    <w:rsid w:val="001B125D"/>
    <w:rsid w:val="001B15CC"/>
    <w:rsid w:val="001B1672"/>
    <w:rsid w:val="001B1A58"/>
    <w:rsid w:val="001B1D54"/>
    <w:rsid w:val="001B1FF4"/>
    <w:rsid w:val="001B21EC"/>
    <w:rsid w:val="001B23B4"/>
    <w:rsid w:val="001B2B97"/>
    <w:rsid w:val="001B2BA5"/>
    <w:rsid w:val="001B2C29"/>
    <w:rsid w:val="001B2E56"/>
    <w:rsid w:val="001B3038"/>
    <w:rsid w:val="001B3172"/>
    <w:rsid w:val="001B346C"/>
    <w:rsid w:val="001B34E9"/>
    <w:rsid w:val="001B38D3"/>
    <w:rsid w:val="001B416B"/>
    <w:rsid w:val="001B4B77"/>
    <w:rsid w:val="001B4D08"/>
    <w:rsid w:val="001B4DE2"/>
    <w:rsid w:val="001B4E25"/>
    <w:rsid w:val="001B5044"/>
    <w:rsid w:val="001B5466"/>
    <w:rsid w:val="001B577B"/>
    <w:rsid w:val="001B585A"/>
    <w:rsid w:val="001B5CA5"/>
    <w:rsid w:val="001B5DDE"/>
    <w:rsid w:val="001B62C6"/>
    <w:rsid w:val="001B62D0"/>
    <w:rsid w:val="001B65B0"/>
    <w:rsid w:val="001B687A"/>
    <w:rsid w:val="001B689C"/>
    <w:rsid w:val="001B6A0F"/>
    <w:rsid w:val="001B6BFD"/>
    <w:rsid w:val="001B7370"/>
    <w:rsid w:val="001B742E"/>
    <w:rsid w:val="001B748C"/>
    <w:rsid w:val="001B765A"/>
    <w:rsid w:val="001B7677"/>
    <w:rsid w:val="001B7C2F"/>
    <w:rsid w:val="001B7C46"/>
    <w:rsid w:val="001B7CB3"/>
    <w:rsid w:val="001B7DA3"/>
    <w:rsid w:val="001B7DF0"/>
    <w:rsid w:val="001C031B"/>
    <w:rsid w:val="001C0940"/>
    <w:rsid w:val="001C0F35"/>
    <w:rsid w:val="001C11DC"/>
    <w:rsid w:val="001C148A"/>
    <w:rsid w:val="001C157F"/>
    <w:rsid w:val="001C17E9"/>
    <w:rsid w:val="001C18BE"/>
    <w:rsid w:val="001C1DC8"/>
    <w:rsid w:val="001C1F92"/>
    <w:rsid w:val="001C2CAD"/>
    <w:rsid w:val="001C2EE4"/>
    <w:rsid w:val="001C2F3C"/>
    <w:rsid w:val="001C3046"/>
    <w:rsid w:val="001C3693"/>
    <w:rsid w:val="001C3ACE"/>
    <w:rsid w:val="001C3D0B"/>
    <w:rsid w:val="001C3D55"/>
    <w:rsid w:val="001C3DB7"/>
    <w:rsid w:val="001C4500"/>
    <w:rsid w:val="001C4718"/>
    <w:rsid w:val="001C4953"/>
    <w:rsid w:val="001C4C26"/>
    <w:rsid w:val="001C535E"/>
    <w:rsid w:val="001C5625"/>
    <w:rsid w:val="001C5B5E"/>
    <w:rsid w:val="001C6141"/>
    <w:rsid w:val="001C632A"/>
    <w:rsid w:val="001C6951"/>
    <w:rsid w:val="001C6B03"/>
    <w:rsid w:val="001C6D2E"/>
    <w:rsid w:val="001C6E1B"/>
    <w:rsid w:val="001C734C"/>
    <w:rsid w:val="001C7407"/>
    <w:rsid w:val="001C7490"/>
    <w:rsid w:val="001C7E0C"/>
    <w:rsid w:val="001C7F22"/>
    <w:rsid w:val="001D03D1"/>
    <w:rsid w:val="001D05AA"/>
    <w:rsid w:val="001D1F2F"/>
    <w:rsid w:val="001D2AD9"/>
    <w:rsid w:val="001D2E0E"/>
    <w:rsid w:val="001D2EA1"/>
    <w:rsid w:val="001D30AA"/>
    <w:rsid w:val="001D3229"/>
    <w:rsid w:val="001D3D3F"/>
    <w:rsid w:val="001D3D61"/>
    <w:rsid w:val="001D3DEB"/>
    <w:rsid w:val="001D4096"/>
    <w:rsid w:val="001D4180"/>
    <w:rsid w:val="001D4419"/>
    <w:rsid w:val="001D4865"/>
    <w:rsid w:val="001D4909"/>
    <w:rsid w:val="001D4E9B"/>
    <w:rsid w:val="001D559C"/>
    <w:rsid w:val="001D5B83"/>
    <w:rsid w:val="001D5C48"/>
    <w:rsid w:val="001D6930"/>
    <w:rsid w:val="001D6A97"/>
    <w:rsid w:val="001D6C85"/>
    <w:rsid w:val="001D6EA3"/>
    <w:rsid w:val="001D73D5"/>
    <w:rsid w:val="001D740D"/>
    <w:rsid w:val="001D777B"/>
    <w:rsid w:val="001E000D"/>
    <w:rsid w:val="001E014D"/>
    <w:rsid w:val="001E0354"/>
    <w:rsid w:val="001E03FE"/>
    <w:rsid w:val="001E0479"/>
    <w:rsid w:val="001E065A"/>
    <w:rsid w:val="001E0910"/>
    <w:rsid w:val="001E0FB0"/>
    <w:rsid w:val="001E11BE"/>
    <w:rsid w:val="001E14A2"/>
    <w:rsid w:val="001E1A52"/>
    <w:rsid w:val="001E1DA3"/>
    <w:rsid w:val="001E2164"/>
    <w:rsid w:val="001E2BD2"/>
    <w:rsid w:val="001E2E17"/>
    <w:rsid w:val="001E3CA7"/>
    <w:rsid w:val="001E3D44"/>
    <w:rsid w:val="001E52C3"/>
    <w:rsid w:val="001E530B"/>
    <w:rsid w:val="001E5BBB"/>
    <w:rsid w:val="001E603D"/>
    <w:rsid w:val="001E6095"/>
    <w:rsid w:val="001E61C1"/>
    <w:rsid w:val="001E65E6"/>
    <w:rsid w:val="001E68C5"/>
    <w:rsid w:val="001E6E7B"/>
    <w:rsid w:val="001E7256"/>
    <w:rsid w:val="001E7465"/>
    <w:rsid w:val="001E7791"/>
    <w:rsid w:val="001E798B"/>
    <w:rsid w:val="001E7BDD"/>
    <w:rsid w:val="001E7C03"/>
    <w:rsid w:val="001E7D69"/>
    <w:rsid w:val="001F0006"/>
    <w:rsid w:val="001F00AD"/>
    <w:rsid w:val="001F0432"/>
    <w:rsid w:val="001F061D"/>
    <w:rsid w:val="001F0659"/>
    <w:rsid w:val="001F0675"/>
    <w:rsid w:val="001F0AD8"/>
    <w:rsid w:val="001F0F0B"/>
    <w:rsid w:val="001F0FBD"/>
    <w:rsid w:val="001F0FC5"/>
    <w:rsid w:val="001F11E4"/>
    <w:rsid w:val="001F14E8"/>
    <w:rsid w:val="001F206A"/>
    <w:rsid w:val="001F23B7"/>
    <w:rsid w:val="001F262F"/>
    <w:rsid w:val="001F26F9"/>
    <w:rsid w:val="001F27C7"/>
    <w:rsid w:val="001F293C"/>
    <w:rsid w:val="001F29C2"/>
    <w:rsid w:val="001F2EF2"/>
    <w:rsid w:val="001F2FB2"/>
    <w:rsid w:val="001F3893"/>
    <w:rsid w:val="001F3A80"/>
    <w:rsid w:val="001F4573"/>
    <w:rsid w:val="001F4889"/>
    <w:rsid w:val="001F4DDF"/>
    <w:rsid w:val="001F5178"/>
    <w:rsid w:val="001F525A"/>
    <w:rsid w:val="001F5592"/>
    <w:rsid w:val="001F57D9"/>
    <w:rsid w:val="001F5B49"/>
    <w:rsid w:val="001F5C43"/>
    <w:rsid w:val="001F5F42"/>
    <w:rsid w:val="001F6272"/>
    <w:rsid w:val="001F6399"/>
    <w:rsid w:val="001F63A8"/>
    <w:rsid w:val="001F63C6"/>
    <w:rsid w:val="001F6AA4"/>
    <w:rsid w:val="001F6D4E"/>
    <w:rsid w:val="001F6E2A"/>
    <w:rsid w:val="001F70BD"/>
    <w:rsid w:val="001F737C"/>
    <w:rsid w:val="001F73CB"/>
    <w:rsid w:val="001F7896"/>
    <w:rsid w:val="001F7C26"/>
    <w:rsid w:val="0020044B"/>
    <w:rsid w:val="00200489"/>
    <w:rsid w:val="002004F7"/>
    <w:rsid w:val="00200605"/>
    <w:rsid w:val="00200A01"/>
    <w:rsid w:val="00200B0E"/>
    <w:rsid w:val="00200C78"/>
    <w:rsid w:val="00200DDA"/>
    <w:rsid w:val="00200DE2"/>
    <w:rsid w:val="00200E22"/>
    <w:rsid w:val="00200EFE"/>
    <w:rsid w:val="002011D7"/>
    <w:rsid w:val="002015C1"/>
    <w:rsid w:val="002015F2"/>
    <w:rsid w:val="002017A6"/>
    <w:rsid w:val="0020182E"/>
    <w:rsid w:val="00201DCD"/>
    <w:rsid w:val="00202384"/>
    <w:rsid w:val="0020276E"/>
    <w:rsid w:val="00202B5D"/>
    <w:rsid w:val="00202FE3"/>
    <w:rsid w:val="0020312E"/>
    <w:rsid w:val="0020322D"/>
    <w:rsid w:val="0020329A"/>
    <w:rsid w:val="0020331F"/>
    <w:rsid w:val="002035BB"/>
    <w:rsid w:val="00203D5D"/>
    <w:rsid w:val="00203E2F"/>
    <w:rsid w:val="00203F81"/>
    <w:rsid w:val="002042F4"/>
    <w:rsid w:val="0020456A"/>
    <w:rsid w:val="002048FC"/>
    <w:rsid w:val="00204BCA"/>
    <w:rsid w:val="00204E5D"/>
    <w:rsid w:val="00205183"/>
    <w:rsid w:val="0020536B"/>
    <w:rsid w:val="0020538E"/>
    <w:rsid w:val="00205552"/>
    <w:rsid w:val="0020584F"/>
    <w:rsid w:val="0020598B"/>
    <w:rsid w:val="002060EC"/>
    <w:rsid w:val="0020684D"/>
    <w:rsid w:val="00206861"/>
    <w:rsid w:val="002069A3"/>
    <w:rsid w:val="00206A8B"/>
    <w:rsid w:val="00206C33"/>
    <w:rsid w:val="00206F33"/>
    <w:rsid w:val="00207B22"/>
    <w:rsid w:val="00207B84"/>
    <w:rsid w:val="00207BE0"/>
    <w:rsid w:val="002103E5"/>
    <w:rsid w:val="00210AD3"/>
    <w:rsid w:val="00210B62"/>
    <w:rsid w:val="00210DCE"/>
    <w:rsid w:val="002112F8"/>
    <w:rsid w:val="0021195C"/>
    <w:rsid w:val="00211D3F"/>
    <w:rsid w:val="00211E9D"/>
    <w:rsid w:val="00211F87"/>
    <w:rsid w:val="00212205"/>
    <w:rsid w:val="00212224"/>
    <w:rsid w:val="002129EF"/>
    <w:rsid w:val="0021349C"/>
    <w:rsid w:val="0021352E"/>
    <w:rsid w:val="00213604"/>
    <w:rsid w:val="00213694"/>
    <w:rsid w:val="00213A95"/>
    <w:rsid w:val="00213BAC"/>
    <w:rsid w:val="00213C4E"/>
    <w:rsid w:val="00214572"/>
    <w:rsid w:val="00214BD2"/>
    <w:rsid w:val="00214D29"/>
    <w:rsid w:val="00214EA3"/>
    <w:rsid w:val="00215253"/>
    <w:rsid w:val="002152E7"/>
    <w:rsid w:val="00215757"/>
    <w:rsid w:val="002158F6"/>
    <w:rsid w:val="00215AA6"/>
    <w:rsid w:val="00215DD8"/>
    <w:rsid w:val="002160B7"/>
    <w:rsid w:val="002165E0"/>
    <w:rsid w:val="00216792"/>
    <w:rsid w:val="00216B45"/>
    <w:rsid w:val="00216BD2"/>
    <w:rsid w:val="00216C91"/>
    <w:rsid w:val="00216D49"/>
    <w:rsid w:val="00216F3C"/>
    <w:rsid w:val="00217336"/>
    <w:rsid w:val="0021737E"/>
    <w:rsid w:val="0021738F"/>
    <w:rsid w:val="00217789"/>
    <w:rsid w:val="00217809"/>
    <w:rsid w:val="002178F7"/>
    <w:rsid w:val="00217C4A"/>
    <w:rsid w:val="00217CC6"/>
    <w:rsid w:val="00217DFD"/>
    <w:rsid w:val="00220148"/>
    <w:rsid w:val="002202ED"/>
    <w:rsid w:val="002204FC"/>
    <w:rsid w:val="00220558"/>
    <w:rsid w:val="002208D9"/>
    <w:rsid w:val="00220F68"/>
    <w:rsid w:val="00221390"/>
    <w:rsid w:val="00221758"/>
    <w:rsid w:val="0022185E"/>
    <w:rsid w:val="00221A9E"/>
    <w:rsid w:val="00221E5A"/>
    <w:rsid w:val="00222140"/>
    <w:rsid w:val="002221E3"/>
    <w:rsid w:val="002224C7"/>
    <w:rsid w:val="002226D7"/>
    <w:rsid w:val="00222879"/>
    <w:rsid w:val="0022353E"/>
    <w:rsid w:val="00223852"/>
    <w:rsid w:val="00223940"/>
    <w:rsid w:val="00224165"/>
    <w:rsid w:val="00224336"/>
    <w:rsid w:val="00224451"/>
    <w:rsid w:val="002244D6"/>
    <w:rsid w:val="00224944"/>
    <w:rsid w:val="00224F21"/>
    <w:rsid w:val="00225453"/>
    <w:rsid w:val="00225493"/>
    <w:rsid w:val="00225A4A"/>
    <w:rsid w:val="00226A1A"/>
    <w:rsid w:val="00226D92"/>
    <w:rsid w:val="00226DBD"/>
    <w:rsid w:val="0022753A"/>
    <w:rsid w:val="00227567"/>
    <w:rsid w:val="00227A67"/>
    <w:rsid w:val="00227CEB"/>
    <w:rsid w:val="00227D12"/>
    <w:rsid w:val="00227F49"/>
    <w:rsid w:val="0023026F"/>
    <w:rsid w:val="0023047B"/>
    <w:rsid w:val="0023064E"/>
    <w:rsid w:val="0023072F"/>
    <w:rsid w:val="0023073A"/>
    <w:rsid w:val="00230A96"/>
    <w:rsid w:val="002310E7"/>
    <w:rsid w:val="00231105"/>
    <w:rsid w:val="0023192B"/>
    <w:rsid w:val="00231ECC"/>
    <w:rsid w:val="00232273"/>
    <w:rsid w:val="002322FE"/>
    <w:rsid w:val="00232313"/>
    <w:rsid w:val="00232524"/>
    <w:rsid w:val="002325D0"/>
    <w:rsid w:val="00232977"/>
    <w:rsid w:val="0023328C"/>
    <w:rsid w:val="002334F9"/>
    <w:rsid w:val="00233538"/>
    <w:rsid w:val="002338A0"/>
    <w:rsid w:val="0023391E"/>
    <w:rsid w:val="00233C2D"/>
    <w:rsid w:val="00233CC7"/>
    <w:rsid w:val="00233FF0"/>
    <w:rsid w:val="00234361"/>
    <w:rsid w:val="002348C9"/>
    <w:rsid w:val="002350D7"/>
    <w:rsid w:val="0023517C"/>
    <w:rsid w:val="00235884"/>
    <w:rsid w:val="0023613C"/>
    <w:rsid w:val="0023622A"/>
    <w:rsid w:val="00236B84"/>
    <w:rsid w:val="00236D2D"/>
    <w:rsid w:val="00236D8B"/>
    <w:rsid w:val="00236ED0"/>
    <w:rsid w:val="00237369"/>
    <w:rsid w:val="002373A2"/>
    <w:rsid w:val="00237599"/>
    <w:rsid w:val="002377F6"/>
    <w:rsid w:val="00237901"/>
    <w:rsid w:val="0023792E"/>
    <w:rsid w:val="00237A1C"/>
    <w:rsid w:val="00237B1C"/>
    <w:rsid w:val="00237F04"/>
    <w:rsid w:val="002400C9"/>
    <w:rsid w:val="002401C4"/>
    <w:rsid w:val="00240471"/>
    <w:rsid w:val="0024069C"/>
    <w:rsid w:val="00240EFB"/>
    <w:rsid w:val="00241ACF"/>
    <w:rsid w:val="00241B96"/>
    <w:rsid w:val="00242152"/>
    <w:rsid w:val="0024217B"/>
    <w:rsid w:val="002421EA"/>
    <w:rsid w:val="002422A9"/>
    <w:rsid w:val="00242789"/>
    <w:rsid w:val="00242F80"/>
    <w:rsid w:val="0024324F"/>
    <w:rsid w:val="00243279"/>
    <w:rsid w:val="00243458"/>
    <w:rsid w:val="002436C1"/>
    <w:rsid w:val="002437DE"/>
    <w:rsid w:val="0024415A"/>
    <w:rsid w:val="00244C8C"/>
    <w:rsid w:val="002450CD"/>
    <w:rsid w:val="002455EA"/>
    <w:rsid w:val="00245669"/>
    <w:rsid w:val="002460FB"/>
    <w:rsid w:val="00246A4B"/>
    <w:rsid w:val="00247220"/>
    <w:rsid w:val="002478E9"/>
    <w:rsid w:val="00247B66"/>
    <w:rsid w:val="00247C23"/>
    <w:rsid w:val="002501B5"/>
    <w:rsid w:val="00250B87"/>
    <w:rsid w:val="00250B9B"/>
    <w:rsid w:val="0025135D"/>
    <w:rsid w:val="002513D1"/>
    <w:rsid w:val="0025164B"/>
    <w:rsid w:val="00251983"/>
    <w:rsid w:val="00251B20"/>
    <w:rsid w:val="00252362"/>
    <w:rsid w:val="002532B9"/>
    <w:rsid w:val="00253DEB"/>
    <w:rsid w:val="00253F2E"/>
    <w:rsid w:val="00253FD8"/>
    <w:rsid w:val="0025411D"/>
    <w:rsid w:val="002542B0"/>
    <w:rsid w:val="002543A9"/>
    <w:rsid w:val="0025477B"/>
    <w:rsid w:val="00254A2E"/>
    <w:rsid w:val="00254B38"/>
    <w:rsid w:val="00255325"/>
    <w:rsid w:val="00255899"/>
    <w:rsid w:val="00255BDA"/>
    <w:rsid w:val="002562DB"/>
    <w:rsid w:val="00256929"/>
    <w:rsid w:val="00256BEC"/>
    <w:rsid w:val="00256D5F"/>
    <w:rsid w:val="00256E4B"/>
    <w:rsid w:val="00257085"/>
    <w:rsid w:val="002576E6"/>
    <w:rsid w:val="00257E3D"/>
    <w:rsid w:val="00257E5B"/>
    <w:rsid w:val="00257F09"/>
    <w:rsid w:val="00260022"/>
    <w:rsid w:val="002600A5"/>
    <w:rsid w:val="002606E7"/>
    <w:rsid w:val="0026094A"/>
    <w:rsid w:val="00260B92"/>
    <w:rsid w:val="00260D19"/>
    <w:rsid w:val="002611F5"/>
    <w:rsid w:val="0026124E"/>
    <w:rsid w:val="00261919"/>
    <w:rsid w:val="00261A24"/>
    <w:rsid w:val="00261DF2"/>
    <w:rsid w:val="0026216F"/>
    <w:rsid w:val="0026250F"/>
    <w:rsid w:val="00262C0B"/>
    <w:rsid w:val="00262E56"/>
    <w:rsid w:val="0026300C"/>
    <w:rsid w:val="002635F6"/>
    <w:rsid w:val="00263B5B"/>
    <w:rsid w:val="00264633"/>
    <w:rsid w:val="002649F3"/>
    <w:rsid w:val="00264CB8"/>
    <w:rsid w:val="00264F4B"/>
    <w:rsid w:val="00265468"/>
    <w:rsid w:val="00265526"/>
    <w:rsid w:val="002657CF"/>
    <w:rsid w:val="00265C21"/>
    <w:rsid w:val="00265E3F"/>
    <w:rsid w:val="0026611F"/>
    <w:rsid w:val="00266365"/>
    <w:rsid w:val="0026680B"/>
    <w:rsid w:val="00266892"/>
    <w:rsid w:val="00266A7E"/>
    <w:rsid w:val="00266C46"/>
    <w:rsid w:val="002671E8"/>
    <w:rsid w:val="00267369"/>
    <w:rsid w:val="00267D15"/>
    <w:rsid w:val="00267E3F"/>
    <w:rsid w:val="00267F81"/>
    <w:rsid w:val="00270176"/>
    <w:rsid w:val="00270597"/>
    <w:rsid w:val="00270602"/>
    <w:rsid w:val="00270703"/>
    <w:rsid w:val="002709BD"/>
    <w:rsid w:val="00270F8D"/>
    <w:rsid w:val="00270F95"/>
    <w:rsid w:val="00270FAD"/>
    <w:rsid w:val="0027137E"/>
    <w:rsid w:val="002717E7"/>
    <w:rsid w:val="00271E4F"/>
    <w:rsid w:val="002720CC"/>
    <w:rsid w:val="00272AD7"/>
    <w:rsid w:val="002730E8"/>
    <w:rsid w:val="0027321A"/>
    <w:rsid w:val="002733B8"/>
    <w:rsid w:val="00273840"/>
    <w:rsid w:val="00273BCD"/>
    <w:rsid w:val="00273C3D"/>
    <w:rsid w:val="00273F89"/>
    <w:rsid w:val="0027423C"/>
    <w:rsid w:val="002743A2"/>
    <w:rsid w:val="00274ABE"/>
    <w:rsid w:val="00274B18"/>
    <w:rsid w:val="00274B40"/>
    <w:rsid w:val="002753A9"/>
    <w:rsid w:val="00275844"/>
    <w:rsid w:val="00275C3A"/>
    <w:rsid w:val="00275C40"/>
    <w:rsid w:val="00275D3B"/>
    <w:rsid w:val="00275DAE"/>
    <w:rsid w:val="00275F17"/>
    <w:rsid w:val="0027631D"/>
    <w:rsid w:val="00276556"/>
    <w:rsid w:val="00276A31"/>
    <w:rsid w:val="00276C95"/>
    <w:rsid w:val="002772E0"/>
    <w:rsid w:val="00277B20"/>
    <w:rsid w:val="00277BC3"/>
    <w:rsid w:val="0028039A"/>
    <w:rsid w:val="00281016"/>
    <w:rsid w:val="00281241"/>
    <w:rsid w:val="002813C7"/>
    <w:rsid w:val="00281DBD"/>
    <w:rsid w:val="002820A0"/>
    <w:rsid w:val="00282575"/>
    <w:rsid w:val="002829DB"/>
    <w:rsid w:val="00282F01"/>
    <w:rsid w:val="00282F5B"/>
    <w:rsid w:val="00283388"/>
    <w:rsid w:val="00283651"/>
    <w:rsid w:val="002836CC"/>
    <w:rsid w:val="00283789"/>
    <w:rsid w:val="00283BC9"/>
    <w:rsid w:val="00283EAB"/>
    <w:rsid w:val="00284218"/>
    <w:rsid w:val="002845C9"/>
    <w:rsid w:val="00284BA5"/>
    <w:rsid w:val="00284CA2"/>
    <w:rsid w:val="002850CA"/>
    <w:rsid w:val="002851AA"/>
    <w:rsid w:val="002855AB"/>
    <w:rsid w:val="002855C3"/>
    <w:rsid w:val="002855CF"/>
    <w:rsid w:val="002855E4"/>
    <w:rsid w:val="00285AD5"/>
    <w:rsid w:val="00285B27"/>
    <w:rsid w:val="002863C4"/>
    <w:rsid w:val="00286503"/>
    <w:rsid w:val="00286D0F"/>
    <w:rsid w:val="00286D29"/>
    <w:rsid w:val="002878C2"/>
    <w:rsid w:val="002900F8"/>
    <w:rsid w:val="00290220"/>
    <w:rsid w:val="00290224"/>
    <w:rsid w:val="00290911"/>
    <w:rsid w:val="00291208"/>
    <w:rsid w:val="00291B4B"/>
    <w:rsid w:val="00291DD0"/>
    <w:rsid w:val="00291E53"/>
    <w:rsid w:val="00292021"/>
    <w:rsid w:val="002921C7"/>
    <w:rsid w:val="00292422"/>
    <w:rsid w:val="002926EF"/>
    <w:rsid w:val="002927FF"/>
    <w:rsid w:val="0029285F"/>
    <w:rsid w:val="00292C24"/>
    <w:rsid w:val="00292D97"/>
    <w:rsid w:val="00292DCB"/>
    <w:rsid w:val="00293D85"/>
    <w:rsid w:val="002944C1"/>
    <w:rsid w:val="00294745"/>
    <w:rsid w:val="00294927"/>
    <w:rsid w:val="00294A3E"/>
    <w:rsid w:val="00294D79"/>
    <w:rsid w:val="00294F7E"/>
    <w:rsid w:val="002950F8"/>
    <w:rsid w:val="002953B1"/>
    <w:rsid w:val="0029546E"/>
    <w:rsid w:val="00295662"/>
    <w:rsid w:val="00295724"/>
    <w:rsid w:val="0029582E"/>
    <w:rsid w:val="00295B07"/>
    <w:rsid w:val="00295BA4"/>
    <w:rsid w:val="00295CE6"/>
    <w:rsid w:val="00295E19"/>
    <w:rsid w:val="00296483"/>
    <w:rsid w:val="00296C31"/>
    <w:rsid w:val="00296C66"/>
    <w:rsid w:val="00296DC0"/>
    <w:rsid w:val="00296FEF"/>
    <w:rsid w:val="002974D7"/>
    <w:rsid w:val="002977CE"/>
    <w:rsid w:val="002978D4"/>
    <w:rsid w:val="00297D4B"/>
    <w:rsid w:val="00297F55"/>
    <w:rsid w:val="002A0153"/>
    <w:rsid w:val="002A0346"/>
    <w:rsid w:val="002A0515"/>
    <w:rsid w:val="002A0F3C"/>
    <w:rsid w:val="002A124D"/>
    <w:rsid w:val="002A1427"/>
    <w:rsid w:val="002A146A"/>
    <w:rsid w:val="002A1C11"/>
    <w:rsid w:val="002A1E6D"/>
    <w:rsid w:val="002A229C"/>
    <w:rsid w:val="002A23EB"/>
    <w:rsid w:val="002A291C"/>
    <w:rsid w:val="002A29B7"/>
    <w:rsid w:val="002A2BE8"/>
    <w:rsid w:val="002A2CD8"/>
    <w:rsid w:val="002A2E52"/>
    <w:rsid w:val="002A2EB1"/>
    <w:rsid w:val="002A3240"/>
    <w:rsid w:val="002A3A6D"/>
    <w:rsid w:val="002A4195"/>
    <w:rsid w:val="002A4383"/>
    <w:rsid w:val="002A4571"/>
    <w:rsid w:val="002A4CD3"/>
    <w:rsid w:val="002A53D2"/>
    <w:rsid w:val="002A56E1"/>
    <w:rsid w:val="002A5FC3"/>
    <w:rsid w:val="002A5FEA"/>
    <w:rsid w:val="002A6102"/>
    <w:rsid w:val="002A61AE"/>
    <w:rsid w:val="002A632A"/>
    <w:rsid w:val="002A6641"/>
    <w:rsid w:val="002A723D"/>
    <w:rsid w:val="002A730E"/>
    <w:rsid w:val="002A7A7E"/>
    <w:rsid w:val="002A7C26"/>
    <w:rsid w:val="002A7CD1"/>
    <w:rsid w:val="002B0819"/>
    <w:rsid w:val="002B093F"/>
    <w:rsid w:val="002B0C52"/>
    <w:rsid w:val="002B0E44"/>
    <w:rsid w:val="002B0EF7"/>
    <w:rsid w:val="002B1226"/>
    <w:rsid w:val="002B1465"/>
    <w:rsid w:val="002B196C"/>
    <w:rsid w:val="002B2072"/>
    <w:rsid w:val="002B28E4"/>
    <w:rsid w:val="002B32C6"/>
    <w:rsid w:val="002B34EE"/>
    <w:rsid w:val="002B36F2"/>
    <w:rsid w:val="002B435A"/>
    <w:rsid w:val="002B449A"/>
    <w:rsid w:val="002B46EF"/>
    <w:rsid w:val="002B4A3E"/>
    <w:rsid w:val="002B4A75"/>
    <w:rsid w:val="002B50AE"/>
    <w:rsid w:val="002B538D"/>
    <w:rsid w:val="002B5790"/>
    <w:rsid w:val="002B601D"/>
    <w:rsid w:val="002B6525"/>
    <w:rsid w:val="002B652F"/>
    <w:rsid w:val="002B668A"/>
    <w:rsid w:val="002B6878"/>
    <w:rsid w:val="002B6B81"/>
    <w:rsid w:val="002B6EBC"/>
    <w:rsid w:val="002B6F45"/>
    <w:rsid w:val="002B71A9"/>
    <w:rsid w:val="002B721E"/>
    <w:rsid w:val="002B747C"/>
    <w:rsid w:val="002B74B5"/>
    <w:rsid w:val="002B7700"/>
    <w:rsid w:val="002B79A4"/>
    <w:rsid w:val="002C0024"/>
    <w:rsid w:val="002C0372"/>
    <w:rsid w:val="002C04D4"/>
    <w:rsid w:val="002C0D9B"/>
    <w:rsid w:val="002C1334"/>
    <w:rsid w:val="002C151D"/>
    <w:rsid w:val="002C1559"/>
    <w:rsid w:val="002C159B"/>
    <w:rsid w:val="002C2010"/>
    <w:rsid w:val="002C22BF"/>
    <w:rsid w:val="002C22D0"/>
    <w:rsid w:val="002C2BC0"/>
    <w:rsid w:val="002C2E78"/>
    <w:rsid w:val="002C2F29"/>
    <w:rsid w:val="002C2F8F"/>
    <w:rsid w:val="002C2FC6"/>
    <w:rsid w:val="002C3060"/>
    <w:rsid w:val="002C355C"/>
    <w:rsid w:val="002C3668"/>
    <w:rsid w:val="002C37BE"/>
    <w:rsid w:val="002C3A97"/>
    <w:rsid w:val="002C3AB9"/>
    <w:rsid w:val="002C3C2D"/>
    <w:rsid w:val="002C3DFA"/>
    <w:rsid w:val="002C41D5"/>
    <w:rsid w:val="002C4236"/>
    <w:rsid w:val="002C4352"/>
    <w:rsid w:val="002C47CF"/>
    <w:rsid w:val="002C48FE"/>
    <w:rsid w:val="002C4DC5"/>
    <w:rsid w:val="002C537C"/>
    <w:rsid w:val="002C5791"/>
    <w:rsid w:val="002C60D1"/>
    <w:rsid w:val="002C6C69"/>
    <w:rsid w:val="002C6DD9"/>
    <w:rsid w:val="002C6E92"/>
    <w:rsid w:val="002C6E98"/>
    <w:rsid w:val="002C7235"/>
    <w:rsid w:val="002C762F"/>
    <w:rsid w:val="002C7BB8"/>
    <w:rsid w:val="002D012B"/>
    <w:rsid w:val="002D037F"/>
    <w:rsid w:val="002D047C"/>
    <w:rsid w:val="002D04C1"/>
    <w:rsid w:val="002D0828"/>
    <w:rsid w:val="002D0A3F"/>
    <w:rsid w:val="002D0CE2"/>
    <w:rsid w:val="002D0D0E"/>
    <w:rsid w:val="002D0F55"/>
    <w:rsid w:val="002D11E5"/>
    <w:rsid w:val="002D1271"/>
    <w:rsid w:val="002D1A73"/>
    <w:rsid w:val="002D2332"/>
    <w:rsid w:val="002D2871"/>
    <w:rsid w:val="002D2937"/>
    <w:rsid w:val="002D2B3E"/>
    <w:rsid w:val="002D2F39"/>
    <w:rsid w:val="002D2F86"/>
    <w:rsid w:val="002D3151"/>
    <w:rsid w:val="002D35FE"/>
    <w:rsid w:val="002D3700"/>
    <w:rsid w:val="002D3C97"/>
    <w:rsid w:val="002D4F5E"/>
    <w:rsid w:val="002D576B"/>
    <w:rsid w:val="002D65ED"/>
    <w:rsid w:val="002D67F9"/>
    <w:rsid w:val="002D694D"/>
    <w:rsid w:val="002D6EB2"/>
    <w:rsid w:val="002D6FBA"/>
    <w:rsid w:val="002D704B"/>
    <w:rsid w:val="002D7293"/>
    <w:rsid w:val="002D7650"/>
    <w:rsid w:val="002D7D63"/>
    <w:rsid w:val="002D7DB7"/>
    <w:rsid w:val="002E026C"/>
    <w:rsid w:val="002E02FF"/>
    <w:rsid w:val="002E0509"/>
    <w:rsid w:val="002E0551"/>
    <w:rsid w:val="002E0C5D"/>
    <w:rsid w:val="002E1545"/>
    <w:rsid w:val="002E168F"/>
    <w:rsid w:val="002E17C7"/>
    <w:rsid w:val="002E1DAF"/>
    <w:rsid w:val="002E1E46"/>
    <w:rsid w:val="002E1F98"/>
    <w:rsid w:val="002E2221"/>
    <w:rsid w:val="002E2448"/>
    <w:rsid w:val="002E272B"/>
    <w:rsid w:val="002E28A5"/>
    <w:rsid w:val="002E28CF"/>
    <w:rsid w:val="002E2BA7"/>
    <w:rsid w:val="002E35A7"/>
    <w:rsid w:val="002E3778"/>
    <w:rsid w:val="002E3857"/>
    <w:rsid w:val="002E3B09"/>
    <w:rsid w:val="002E3F29"/>
    <w:rsid w:val="002E464B"/>
    <w:rsid w:val="002E46D9"/>
    <w:rsid w:val="002E4952"/>
    <w:rsid w:val="002E51A2"/>
    <w:rsid w:val="002E525A"/>
    <w:rsid w:val="002E5CAD"/>
    <w:rsid w:val="002E5CDA"/>
    <w:rsid w:val="002E5F16"/>
    <w:rsid w:val="002E60C7"/>
    <w:rsid w:val="002E6140"/>
    <w:rsid w:val="002E622D"/>
    <w:rsid w:val="002E6583"/>
    <w:rsid w:val="002E66A6"/>
    <w:rsid w:val="002E6A02"/>
    <w:rsid w:val="002E6B49"/>
    <w:rsid w:val="002E6EE8"/>
    <w:rsid w:val="002E6F44"/>
    <w:rsid w:val="002E6F99"/>
    <w:rsid w:val="002E7189"/>
    <w:rsid w:val="002E7600"/>
    <w:rsid w:val="002E7720"/>
    <w:rsid w:val="002E7815"/>
    <w:rsid w:val="002E7B6A"/>
    <w:rsid w:val="002E7D77"/>
    <w:rsid w:val="002F1165"/>
    <w:rsid w:val="002F13B1"/>
    <w:rsid w:val="002F1556"/>
    <w:rsid w:val="002F1700"/>
    <w:rsid w:val="002F184D"/>
    <w:rsid w:val="002F22D6"/>
    <w:rsid w:val="002F2459"/>
    <w:rsid w:val="002F26AB"/>
    <w:rsid w:val="002F2747"/>
    <w:rsid w:val="002F2F23"/>
    <w:rsid w:val="002F2F49"/>
    <w:rsid w:val="002F3188"/>
    <w:rsid w:val="002F3280"/>
    <w:rsid w:val="002F35B1"/>
    <w:rsid w:val="002F3B14"/>
    <w:rsid w:val="002F404C"/>
    <w:rsid w:val="002F414F"/>
    <w:rsid w:val="002F4240"/>
    <w:rsid w:val="002F49DB"/>
    <w:rsid w:val="002F4AA1"/>
    <w:rsid w:val="002F4C9D"/>
    <w:rsid w:val="002F517C"/>
    <w:rsid w:val="002F594E"/>
    <w:rsid w:val="002F59F8"/>
    <w:rsid w:val="002F60BA"/>
    <w:rsid w:val="002F64A9"/>
    <w:rsid w:val="002F6BB4"/>
    <w:rsid w:val="002F6D5C"/>
    <w:rsid w:val="002F71F3"/>
    <w:rsid w:val="002F728D"/>
    <w:rsid w:val="002F7760"/>
    <w:rsid w:val="002F77A1"/>
    <w:rsid w:val="002F7C05"/>
    <w:rsid w:val="002F7F90"/>
    <w:rsid w:val="0030031A"/>
    <w:rsid w:val="00300EF3"/>
    <w:rsid w:val="00300FF8"/>
    <w:rsid w:val="00301211"/>
    <w:rsid w:val="00301345"/>
    <w:rsid w:val="00301677"/>
    <w:rsid w:val="003017D1"/>
    <w:rsid w:val="00301C50"/>
    <w:rsid w:val="00301C76"/>
    <w:rsid w:val="0030204F"/>
    <w:rsid w:val="003024A3"/>
    <w:rsid w:val="003026D6"/>
    <w:rsid w:val="003033DF"/>
    <w:rsid w:val="00303599"/>
    <w:rsid w:val="00303714"/>
    <w:rsid w:val="00303A91"/>
    <w:rsid w:val="00303B26"/>
    <w:rsid w:val="00303EF6"/>
    <w:rsid w:val="003045D2"/>
    <w:rsid w:val="00304749"/>
    <w:rsid w:val="003047A6"/>
    <w:rsid w:val="00305941"/>
    <w:rsid w:val="00305D84"/>
    <w:rsid w:val="00305EA2"/>
    <w:rsid w:val="00306111"/>
    <w:rsid w:val="00306473"/>
    <w:rsid w:val="003068C2"/>
    <w:rsid w:val="0030690C"/>
    <w:rsid w:val="00306B9C"/>
    <w:rsid w:val="00306D9E"/>
    <w:rsid w:val="00306DD4"/>
    <w:rsid w:val="00306ED4"/>
    <w:rsid w:val="00307396"/>
    <w:rsid w:val="00307528"/>
    <w:rsid w:val="00307C66"/>
    <w:rsid w:val="00307DFD"/>
    <w:rsid w:val="00307FCB"/>
    <w:rsid w:val="003104F3"/>
    <w:rsid w:val="00310B41"/>
    <w:rsid w:val="00310CFD"/>
    <w:rsid w:val="00311181"/>
    <w:rsid w:val="00311349"/>
    <w:rsid w:val="003113AD"/>
    <w:rsid w:val="003117EB"/>
    <w:rsid w:val="00311E39"/>
    <w:rsid w:val="00311E96"/>
    <w:rsid w:val="00312016"/>
    <w:rsid w:val="00312034"/>
    <w:rsid w:val="003120A7"/>
    <w:rsid w:val="00312207"/>
    <w:rsid w:val="00312401"/>
    <w:rsid w:val="003124C1"/>
    <w:rsid w:val="00312C58"/>
    <w:rsid w:val="00312FA3"/>
    <w:rsid w:val="00313314"/>
    <w:rsid w:val="0031358B"/>
    <w:rsid w:val="00313643"/>
    <w:rsid w:val="00313C0B"/>
    <w:rsid w:val="0031414E"/>
    <w:rsid w:val="003145F6"/>
    <w:rsid w:val="0031476B"/>
    <w:rsid w:val="0031483F"/>
    <w:rsid w:val="0031491B"/>
    <w:rsid w:val="003150F3"/>
    <w:rsid w:val="00315544"/>
    <w:rsid w:val="0031591F"/>
    <w:rsid w:val="00315CA4"/>
    <w:rsid w:val="0031626A"/>
    <w:rsid w:val="0031637B"/>
    <w:rsid w:val="00316493"/>
    <w:rsid w:val="003164EA"/>
    <w:rsid w:val="00316E32"/>
    <w:rsid w:val="00317447"/>
    <w:rsid w:val="00317498"/>
    <w:rsid w:val="00317C80"/>
    <w:rsid w:val="00320106"/>
    <w:rsid w:val="00320298"/>
    <w:rsid w:val="00320457"/>
    <w:rsid w:val="003204D5"/>
    <w:rsid w:val="003206B5"/>
    <w:rsid w:val="00320702"/>
    <w:rsid w:val="00320AB2"/>
    <w:rsid w:val="00320E74"/>
    <w:rsid w:val="00321147"/>
    <w:rsid w:val="0032159E"/>
    <w:rsid w:val="00321EEF"/>
    <w:rsid w:val="00321F9C"/>
    <w:rsid w:val="003226F9"/>
    <w:rsid w:val="00322815"/>
    <w:rsid w:val="00323098"/>
    <w:rsid w:val="003231EF"/>
    <w:rsid w:val="00323B38"/>
    <w:rsid w:val="00323C1C"/>
    <w:rsid w:val="00323D02"/>
    <w:rsid w:val="0032410D"/>
    <w:rsid w:val="00324755"/>
    <w:rsid w:val="003247AF"/>
    <w:rsid w:val="00324D19"/>
    <w:rsid w:val="0032501D"/>
    <w:rsid w:val="00325020"/>
    <w:rsid w:val="003253BE"/>
    <w:rsid w:val="0032558C"/>
    <w:rsid w:val="0032580C"/>
    <w:rsid w:val="00326166"/>
    <w:rsid w:val="00326574"/>
    <w:rsid w:val="00326794"/>
    <w:rsid w:val="00326970"/>
    <w:rsid w:val="003269BC"/>
    <w:rsid w:val="003269E7"/>
    <w:rsid w:val="00327019"/>
    <w:rsid w:val="0032715D"/>
    <w:rsid w:val="00327346"/>
    <w:rsid w:val="00327368"/>
    <w:rsid w:val="0032766E"/>
    <w:rsid w:val="0032769E"/>
    <w:rsid w:val="003276AB"/>
    <w:rsid w:val="0032784B"/>
    <w:rsid w:val="003279C0"/>
    <w:rsid w:val="00327AB0"/>
    <w:rsid w:val="00327B2C"/>
    <w:rsid w:val="00327CCF"/>
    <w:rsid w:val="00327D4D"/>
    <w:rsid w:val="00327FAA"/>
    <w:rsid w:val="00330144"/>
    <w:rsid w:val="00330253"/>
    <w:rsid w:val="0033083B"/>
    <w:rsid w:val="00330A6E"/>
    <w:rsid w:val="00330AB2"/>
    <w:rsid w:val="00330D06"/>
    <w:rsid w:val="0033130F"/>
    <w:rsid w:val="00331414"/>
    <w:rsid w:val="00331503"/>
    <w:rsid w:val="00331752"/>
    <w:rsid w:val="0033190E"/>
    <w:rsid w:val="0033197E"/>
    <w:rsid w:val="00331A58"/>
    <w:rsid w:val="00331E23"/>
    <w:rsid w:val="00331FC9"/>
    <w:rsid w:val="003320DD"/>
    <w:rsid w:val="00333037"/>
    <w:rsid w:val="003330C8"/>
    <w:rsid w:val="0033315B"/>
    <w:rsid w:val="00333628"/>
    <w:rsid w:val="0033381C"/>
    <w:rsid w:val="00333C9E"/>
    <w:rsid w:val="00333E87"/>
    <w:rsid w:val="00333F01"/>
    <w:rsid w:val="00334465"/>
    <w:rsid w:val="003348E4"/>
    <w:rsid w:val="003349D3"/>
    <w:rsid w:val="00334D4B"/>
    <w:rsid w:val="00334F3D"/>
    <w:rsid w:val="00335261"/>
    <w:rsid w:val="003355AF"/>
    <w:rsid w:val="003357F5"/>
    <w:rsid w:val="003359EF"/>
    <w:rsid w:val="00335A48"/>
    <w:rsid w:val="00335B9A"/>
    <w:rsid w:val="00336993"/>
    <w:rsid w:val="003369F5"/>
    <w:rsid w:val="00336C24"/>
    <w:rsid w:val="00336D06"/>
    <w:rsid w:val="00336E6C"/>
    <w:rsid w:val="003371C9"/>
    <w:rsid w:val="003371DB"/>
    <w:rsid w:val="00337A39"/>
    <w:rsid w:val="00337DEC"/>
    <w:rsid w:val="00337DEE"/>
    <w:rsid w:val="003400C5"/>
    <w:rsid w:val="003405F0"/>
    <w:rsid w:val="00340C6C"/>
    <w:rsid w:val="00340D2C"/>
    <w:rsid w:val="00340F2B"/>
    <w:rsid w:val="003410DC"/>
    <w:rsid w:val="0034110C"/>
    <w:rsid w:val="00341177"/>
    <w:rsid w:val="00341352"/>
    <w:rsid w:val="00341746"/>
    <w:rsid w:val="00341AEE"/>
    <w:rsid w:val="00341C4D"/>
    <w:rsid w:val="00341C73"/>
    <w:rsid w:val="00341D94"/>
    <w:rsid w:val="0034223E"/>
    <w:rsid w:val="003422B6"/>
    <w:rsid w:val="003429CA"/>
    <w:rsid w:val="00342B0D"/>
    <w:rsid w:val="00342D34"/>
    <w:rsid w:val="00343794"/>
    <w:rsid w:val="00343C24"/>
    <w:rsid w:val="00343ED2"/>
    <w:rsid w:val="00343F79"/>
    <w:rsid w:val="00344430"/>
    <w:rsid w:val="003445F0"/>
    <w:rsid w:val="003447B4"/>
    <w:rsid w:val="003447CC"/>
    <w:rsid w:val="00344BFC"/>
    <w:rsid w:val="00344C03"/>
    <w:rsid w:val="00344D78"/>
    <w:rsid w:val="003451A6"/>
    <w:rsid w:val="003455BF"/>
    <w:rsid w:val="00345BC0"/>
    <w:rsid w:val="0034640E"/>
    <w:rsid w:val="0034657E"/>
    <w:rsid w:val="00346632"/>
    <w:rsid w:val="003466AA"/>
    <w:rsid w:val="003467E8"/>
    <w:rsid w:val="00346BD7"/>
    <w:rsid w:val="0034741C"/>
    <w:rsid w:val="00347566"/>
    <w:rsid w:val="0034793D"/>
    <w:rsid w:val="003479C3"/>
    <w:rsid w:val="00350038"/>
    <w:rsid w:val="0035016E"/>
    <w:rsid w:val="0035068E"/>
    <w:rsid w:val="003506BE"/>
    <w:rsid w:val="00350B7F"/>
    <w:rsid w:val="00350DF3"/>
    <w:rsid w:val="00350E16"/>
    <w:rsid w:val="0035129A"/>
    <w:rsid w:val="00351377"/>
    <w:rsid w:val="00351B61"/>
    <w:rsid w:val="00351BF1"/>
    <w:rsid w:val="00352301"/>
    <w:rsid w:val="0035232C"/>
    <w:rsid w:val="003525BA"/>
    <w:rsid w:val="003525FE"/>
    <w:rsid w:val="003526A2"/>
    <w:rsid w:val="00352776"/>
    <w:rsid w:val="00352A43"/>
    <w:rsid w:val="003535AE"/>
    <w:rsid w:val="003535DB"/>
    <w:rsid w:val="00353CB5"/>
    <w:rsid w:val="00353E1E"/>
    <w:rsid w:val="003540EE"/>
    <w:rsid w:val="0035487A"/>
    <w:rsid w:val="00354F80"/>
    <w:rsid w:val="00355B48"/>
    <w:rsid w:val="00355F82"/>
    <w:rsid w:val="003565C2"/>
    <w:rsid w:val="003566D2"/>
    <w:rsid w:val="00356AB7"/>
    <w:rsid w:val="00356AFB"/>
    <w:rsid w:val="00356F7C"/>
    <w:rsid w:val="00357150"/>
    <w:rsid w:val="00357266"/>
    <w:rsid w:val="003573E0"/>
    <w:rsid w:val="00357782"/>
    <w:rsid w:val="003578DC"/>
    <w:rsid w:val="0036036B"/>
    <w:rsid w:val="0036060F"/>
    <w:rsid w:val="00360A57"/>
    <w:rsid w:val="00360B63"/>
    <w:rsid w:val="00360BCC"/>
    <w:rsid w:val="00360FFF"/>
    <w:rsid w:val="00361012"/>
    <w:rsid w:val="003613E3"/>
    <w:rsid w:val="003618D6"/>
    <w:rsid w:val="00361E5B"/>
    <w:rsid w:val="003620B4"/>
    <w:rsid w:val="003624EB"/>
    <w:rsid w:val="003626B5"/>
    <w:rsid w:val="003626C7"/>
    <w:rsid w:val="00362AFD"/>
    <w:rsid w:val="00362C5A"/>
    <w:rsid w:val="00362E66"/>
    <w:rsid w:val="003630F0"/>
    <w:rsid w:val="0036319F"/>
    <w:rsid w:val="003633DE"/>
    <w:rsid w:val="003635AA"/>
    <w:rsid w:val="003637D8"/>
    <w:rsid w:val="00363C16"/>
    <w:rsid w:val="0036402D"/>
    <w:rsid w:val="0036447A"/>
    <w:rsid w:val="0036473A"/>
    <w:rsid w:val="0036499B"/>
    <w:rsid w:val="003649C8"/>
    <w:rsid w:val="0036513B"/>
    <w:rsid w:val="003655F2"/>
    <w:rsid w:val="003656EB"/>
    <w:rsid w:val="00365731"/>
    <w:rsid w:val="00365861"/>
    <w:rsid w:val="00365870"/>
    <w:rsid w:val="00365A01"/>
    <w:rsid w:val="00365A29"/>
    <w:rsid w:val="00366552"/>
    <w:rsid w:val="003665C8"/>
    <w:rsid w:val="00366668"/>
    <w:rsid w:val="00366729"/>
    <w:rsid w:val="0036692A"/>
    <w:rsid w:val="00366C0A"/>
    <w:rsid w:val="00366DA7"/>
    <w:rsid w:val="00366E4B"/>
    <w:rsid w:val="00367103"/>
    <w:rsid w:val="00367568"/>
    <w:rsid w:val="00367AAD"/>
    <w:rsid w:val="00367E00"/>
    <w:rsid w:val="00367E13"/>
    <w:rsid w:val="00370951"/>
    <w:rsid w:val="00370ADE"/>
    <w:rsid w:val="00370CCF"/>
    <w:rsid w:val="00370D3B"/>
    <w:rsid w:val="00370DBC"/>
    <w:rsid w:val="00370FAB"/>
    <w:rsid w:val="0037106F"/>
    <w:rsid w:val="003710F1"/>
    <w:rsid w:val="00371723"/>
    <w:rsid w:val="00371B46"/>
    <w:rsid w:val="00371C55"/>
    <w:rsid w:val="00371FBB"/>
    <w:rsid w:val="003720AE"/>
    <w:rsid w:val="0037241F"/>
    <w:rsid w:val="00372772"/>
    <w:rsid w:val="00372920"/>
    <w:rsid w:val="00373811"/>
    <w:rsid w:val="00373925"/>
    <w:rsid w:val="0037397B"/>
    <w:rsid w:val="00373AD0"/>
    <w:rsid w:val="00373DF0"/>
    <w:rsid w:val="0037442E"/>
    <w:rsid w:val="0037456A"/>
    <w:rsid w:val="00374694"/>
    <w:rsid w:val="003746BB"/>
    <w:rsid w:val="003746EF"/>
    <w:rsid w:val="00374713"/>
    <w:rsid w:val="00374C89"/>
    <w:rsid w:val="00374E15"/>
    <w:rsid w:val="00374EAC"/>
    <w:rsid w:val="0037653D"/>
    <w:rsid w:val="003766E3"/>
    <w:rsid w:val="003767C0"/>
    <w:rsid w:val="003773A7"/>
    <w:rsid w:val="0037774A"/>
    <w:rsid w:val="003778FE"/>
    <w:rsid w:val="00377CD3"/>
    <w:rsid w:val="00377E1D"/>
    <w:rsid w:val="00377F71"/>
    <w:rsid w:val="00380620"/>
    <w:rsid w:val="00380899"/>
    <w:rsid w:val="003808C9"/>
    <w:rsid w:val="0038090E"/>
    <w:rsid w:val="00380B86"/>
    <w:rsid w:val="00380BF7"/>
    <w:rsid w:val="00380C05"/>
    <w:rsid w:val="00380DCC"/>
    <w:rsid w:val="00380FC5"/>
    <w:rsid w:val="0038139C"/>
    <w:rsid w:val="0038141E"/>
    <w:rsid w:val="00381649"/>
    <w:rsid w:val="003818BD"/>
    <w:rsid w:val="00381912"/>
    <w:rsid w:val="003824BC"/>
    <w:rsid w:val="00382555"/>
    <w:rsid w:val="003825BE"/>
    <w:rsid w:val="003826A6"/>
    <w:rsid w:val="003826D9"/>
    <w:rsid w:val="00382A0B"/>
    <w:rsid w:val="00382B0A"/>
    <w:rsid w:val="00382B69"/>
    <w:rsid w:val="00382F20"/>
    <w:rsid w:val="00383BD1"/>
    <w:rsid w:val="00383D1A"/>
    <w:rsid w:val="00384C44"/>
    <w:rsid w:val="00385564"/>
    <w:rsid w:val="00386540"/>
    <w:rsid w:val="00386FCC"/>
    <w:rsid w:val="003874D1"/>
    <w:rsid w:val="00387AE1"/>
    <w:rsid w:val="00387B4B"/>
    <w:rsid w:val="003901DE"/>
    <w:rsid w:val="003904CA"/>
    <w:rsid w:val="00390739"/>
    <w:rsid w:val="00390F9C"/>
    <w:rsid w:val="003910CF"/>
    <w:rsid w:val="00391B48"/>
    <w:rsid w:val="00391DAD"/>
    <w:rsid w:val="00391F49"/>
    <w:rsid w:val="00391F4C"/>
    <w:rsid w:val="0039211D"/>
    <w:rsid w:val="003923BA"/>
    <w:rsid w:val="00392C51"/>
    <w:rsid w:val="00392C90"/>
    <w:rsid w:val="00392CF9"/>
    <w:rsid w:val="00392DEE"/>
    <w:rsid w:val="003931F7"/>
    <w:rsid w:val="0039341D"/>
    <w:rsid w:val="00393BA1"/>
    <w:rsid w:val="00393BAA"/>
    <w:rsid w:val="00393F58"/>
    <w:rsid w:val="00393FA2"/>
    <w:rsid w:val="003941DC"/>
    <w:rsid w:val="00394666"/>
    <w:rsid w:val="00394818"/>
    <w:rsid w:val="00394945"/>
    <w:rsid w:val="00394A46"/>
    <w:rsid w:val="003953C0"/>
    <w:rsid w:val="00395579"/>
    <w:rsid w:val="0039569D"/>
    <w:rsid w:val="00395AED"/>
    <w:rsid w:val="00395C24"/>
    <w:rsid w:val="00395CF4"/>
    <w:rsid w:val="0039614D"/>
    <w:rsid w:val="003962A8"/>
    <w:rsid w:val="003963B7"/>
    <w:rsid w:val="003967EC"/>
    <w:rsid w:val="003973E2"/>
    <w:rsid w:val="00397665"/>
    <w:rsid w:val="00397C86"/>
    <w:rsid w:val="00397F31"/>
    <w:rsid w:val="003A006F"/>
    <w:rsid w:val="003A0680"/>
    <w:rsid w:val="003A082D"/>
    <w:rsid w:val="003A0D3A"/>
    <w:rsid w:val="003A0EAA"/>
    <w:rsid w:val="003A0EBF"/>
    <w:rsid w:val="003A0EE0"/>
    <w:rsid w:val="003A13AE"/>
    <w:rsid w:val="003A1529"/>
    <w:rsid w:val="003A195B"/>
    <w:rsid w:val="003A19A1"/>
    <w:rsid w:val="003A19F1"/>
    <w:rsid w:val="003A1CCB"/>
    <w:rsid w:val="003A2305"/>
    <w:rsid w:val="003A2A9E"/>
    <w:rsid w:val="003A2BCB"/>
    <w:rsid w:val="003A2F4D"/>
    <w:rsid w:val="003A2F6C"/>
    <w:rsid w:val="003A3050"/>
    <w:rsid w:val="003A317B"/>
    <w:rsid w:val="003A3605"/>
    <w:rsid w:val="003A3D07"/>
    <w:rsid w:val="003A3DE8"/>
    <w:rsid w:val="003A3EA3"/>
    <w:rsid w:val="003A3EF3"/>
    <w:rsid w:val="003A414D"/>
    <w:rsid w:val="003A4827"/>
    <w:rsid w:val="003A4FBA"/>
    <w:rsid w:val="003A5040"/>
    <w:rsid w:val="003A51CF"/>
    <w:rsid w:val="003A6238"/>
    <w:rsid w:val="003A6826"/>
    <w:rsid w:val="003A68FD"/>
    <w:rsid w:val="003A6942"/>
    <w:rsid w:val="003A6F93"/>
    <w:rsid w:val="003A721F"/>
    <w:rsid w:val="003A75E0"/>
    <w:rsid w:val="003A7F37"/>
    <w:rsid w:val="003B0089"/>
    <w:rsid w:val="003B00C4"/>
    <w:rsid w:val="003B014C"/>
    <w:rsid w:val="003B01A8"/>
    <w:rsid w:val="003B0914"/>
    <w:rsid w:val="003B0E98"/>
    <w:rsid w:val="003B0F21"/>
    <w:rsid w:val="003B112B"/>
    <w:rsid w:val="003B1416"/>
    <w:rsid w:val="003B1915"/>
    <w:rsid w:val="003B1A78"/>
    <w:rsid w:val="003B214F"/>
    <w:rsid w:val="003B2F26"/>
    <w:rsid w:val="003B3490"/>
    <w:rsid w:val="003B3956"/>
    <w:rsid w:val="003B3D0E"/>
    <w:rsid w:val="003B4170"/>
    <w:rsid w:val="003B42A8"/>
    <w:rsid w:val="003B439F"/>
    <w:rsid w:val="003B4573"/>
    <w:rsid w:val="003B46BE"/>
    <w:rsid w:val="003B4C80"/>
    <w:rsid w:val="003B4DE1"/>
    <w:rsid w:val="003B507D"/>
    <w:rsid w:val="003B58E9"/>
    <w:rsid w:val="003B5A30"/>
    <w:rsid w:val="003B5E14"/>
    <w:rsid w:val="003B6BED"/>
    <w:rsid w:val="003B75CA"/>
    <w:rsid w:val="003B77FB"/>
    <w:rsid w:val="003B7C5E"/>
    <w:rsid w:val="003B7CF2"/>
    <w:rsid w:val="003C0322"/>
    <w:rsid w:val="003C0BA9"/>
    <w:rsid w:val="003C0DF3"/>
    <w:rsid w:val="003C0E9D"/>
    <w:rsid w:val="003C0FA7"/>
    <w:rsid w:val="003C10D2"/>
    <w:rsid w:val="003C135D"/>
    <w:rsid w:val="003C16D4"/>
    <w:rsid w:val="003C1D9F"/>
    <w:rsid w:val="003C2A95"/>
    <w:rsid w:val="003C2E11"/>
    <w:rsid w:val="003C33B1"/>
    <w:rsid w:val="003C3513"/>
    <w:rsid w:val="003C36D7"/>
    <w:rsid w:val="003C3BB4"/>
    <w:rsid w:val="003C3C20"/>
    <w:rsid w:val="003C4218"/>
    <w:rsid w:val="003C4260"/>
    <w:rsid w:val="003C42DC"/>
    <w:rsid w:val="003C4426"/>
    <w:rsid w:val="003C4477"/>
    <w:rsid w:val="003C4573"/>
    <w:rsid w:val="003C4ADA"/>
    <w:rsid w:val="003C4BC2"/>
    <w:rsid w:val="003C4DA2"/>
    <w:rsid w:val="003C5060"/>
    <w:rsid w:val="003C5C2B"/>
    <w:rsid w:val="003C5D99"/>
    <w:rsid w:val="003C5E17"/>
    <w:rsid w:val="003C64DF"/>
    <w:rsid w:val="003C6EC8"/>
    <w:rsid w:val="003C7092"/>
    <w:rsid w:val="003C728E"/>
    <w:rsid w:val="003C7414"/>
    <w:rsid w:val="003C758F"/>
    <w:rsid w:val="003C75BC"/>
    <w:rsid w:val="003D079A"/>
    <w:rsid w:val="003D0C70"/>
    <w:rsid w:val="003D1724"/>
    <w:rsid w:val="003D1881"/>
    <w:rsid w:val="003D18E6"/>
    <w:rsid w:val="003D1C7B"/>
    <w:rsid w:val="003D1D6F"/>
    <w:rsid w:val="003D2529"/>
    <w:rsid w:val="003D25C9"/>
    <w:rsid w:val="003D2DEE"/>
    <w:rsid w:val="003D2EBE"/>
    <w:rsid w:val="003D2F25"/>
    <w:rsid w:val="003D30F0"/>
    <w:rsid w:val="003D33A2"/>
    <w:rsid w:val="003D433B"/>
    <w:rsid w:val="003D46A4"/>
    <w:rsid w:val="003D4F14"/>
    <w:rsid w:val="003D4F68"/>
    <w:rsid w:val="003D50F7"/>
    <w:rsid w:val="003D5374"/>
    <w:rsid w:val="003D5995"/>
    <w:rsid w:val="003D5DC8"/>
    <w:rsid w:val="003D616A"/>
    <w:rsid w:val="003D6A1A"/>
    <w:rsid w:val="003D6C11"/>
    <w:rsid w:val="003D6CAC"/>
    <w:rsid w:val="003D6FF9"/>
    <w:rsid w:val="003D716D"/>
    <w:rsid w:val="003D7755"/>
    <w:rsid w:val="003D7C32"/>
    <w:rsid w:val="003D7D46"/>
    <w:rsid w:val="003D7F3B"/>
    <w:rsid w:val="003E05E7"/>
    <w:rsid w:val="003E081B"/>
    <w:rsid w:val="003E1129"/>
    <w:rsid w:val="003E13F9"/>
    <w:rsid w:val="003E164E"/>
    <w:rsid w:val="003E181F"/>
    <w:rsid w:val="003E18FD"/>
    <w:rsid w:val="003E196A"/>
    <w:rsid w:val="003E20D6"/>
    <w:rsid w:val="003E2205"/>
    <w:rsid w:val="003E2858"/>
    <w:rsid w:val="003E336E"/>
    <w:rsid w:val="003E3BD5"/>
    <w:rsid w:val="003E3D2C"/>
    <w:rsid w:val="003E444A"/>
    <w:rsid w:val="003E44DC"/>
    <w:rsid w:val="003E4512"/>
    <w:rsid w:val="003E462C"/>
    <w:rsid w:val="003E4CCB"/>
    <w:rsid w:val="003E4F6F"/>
    <w:rsid w:val="003E505A"/>
    <w:rsid w:val="003E506E"/>
    <w:rsid w:val="003E50C4"/>
    <w:rsid w:val="003E50F0"/>
    <w:rsid w:val="003E514E"/>
    <w:rsid w:val="003E53FC"/>
    <w:rsid w:val="003E5E23"/>
    <w:rsid w:val="003E65D3"/>
    <w:rsid w:val="003E6624"/>
    <w:rsid w:val="003E6B43"/>
    <w:rsid w:val="003E6CC8"/>
    <w:rsid w:val="003E6EEB"/>
    <w:rsid w:val="003E74BE"/>
    <w:rsid w:val="003E74F7"/>
    <w:rsid w:val="003E76B7"/>
    <w:rsid w:val="003E7F82"/>
    <w:rsid w:val="003F00E2"/>
    <w:rsid w:val="003F019D"/>
    <w:rsid w:val="003F027D"/>
    <w:rsid w:val="003F071C"/>
    <w:rsid w:val="003F07FB"/>
    <w:rsid w:val="003F0CF5"/>
    <w:rsid w:val="003F0E27"/>
    <w:rsid w:val="003F115F"/>
    <w:rsid w:val="003F12DB"/>
    <w:rsid w:val="003F14A9"/>
    <w:rsid w:val="003F239D"/>
    <w:rsid w:val="003F25EF"/>
    <w:rsid w:val="003F273D"/>
    <w:rsid w:val="003F2A76"/>
    <w:rsid w:val="003F2E50"/>
    <w:rsid w:val="003F35DB"/>
    <w:rsid w:val="003F364A"/>
    <w:rsid w:val="003F39E4"/>
    <w:rsid w:val="003F3D95"/>
    <w:rsid w:val="003F3DD4"/>
    <w:rsid w:val="003F40C5"/>
    <w:rsid w:val="003F5430"/>
    <w:rsid w:val="003F55F4"/>
    <w:rsid w:val="003F5DED"/>
    <w:rsid w:val="003F5F0F"/>
    <w:rsid w:val="003F6221"/>
    <w:rsid w:val="003F66C2"/>
    <w:rsid w:val="003F66DB"/>
    <w:rsid w:val="003F6C12"/>
    <w:rsid w:val="003F6EF1"/>
    <w:rsid w:val="003F6F17"/>
    <w:rsid w:val="003F6FB6"/>
    <w:rsid w:val="003F6FBA"/>
    <w:rsid w:val="003F7584"/>
    <w:rsid w:val="003F75FA"/>
    <w:rsid w:val="003F7672"/>
    <w:rsid w:val="003F7889"/>
    <w:rsid w:val="00400540"/>
    <w:rsid w:val="0040089B"/>
    <w:rsid w:val="00400909"/>
    <w:rsid w:val="00400B7A"/>
    <w:rsid w:val="00400C81"/>
    <w:rsid w:val="00400EB1"/>
    <w:rsid w:val="00400F10"/>
    <w:rsid w:val="004013CD"/>
    <w:rsid w:val="00401593"/>
    <w:rsid w:val="0040185F"/>
    <w:rsid w:val="004018D1"/>
    <w:rsid w:val="00401B94"/>
    <w:rsid w:val="0040203A"/>
    <w:rsid w:val="004020C7"/>
    <w:rsid w:val="004022CE"/>
    <w:rsid w:val="004028BA"/>
    <w:rsid w:val="00402A1B"/>
    <w:rsid w:val="004035A7"/>
    <w:rsid w:val="00403650"/>
    <w:rsid w:val="00403671"/>
    <w:rsid w:val="004039C5"/>
    <w:rsid w:val="00403B22"/>
    <w:rsid w:val="00403D3E"/>
    <w:rsid w:val="00403E5A"/>
    <w:rsid w:val="00404177"/>
    <w:rsid w:val="004045C3"/>
    <w:rsid w:val="00404EE3"/>
    <w:rsid w:val="00405007"/>
    <w:rsid w:val="004054EF"/>
    <w:rsid w:val="00405520"/>
    <w:rsid w:val="0040572B"/>
    <w:rsid w:val="00405882"/>
    <w:rsid w:val="004058A1"/>
    <w:rsid w:val="00405D03"/>
    <w:rsid w:val="004060B3"/>
    <w:rsid w:val="00406138"/>
    <w:rsid w:val="00406201"/>
    <w:rsid w:val="004074B9"/>
    <w:rsid w:val="00407C0D"/>
    <w:rsid w:val="004104FC"/>
    <w:rsid w:val="004107C1"/>
    <w:rsid w:val="00410A8E"/>
    <w:rsid w:val="00410CB5"/>
    <w:rsid w:val="0041127B"/>
    <w:rsid w:val="00411556"/>
    <w:rsid w:val="0041158D"/>
    <w:rsid w:val="004116ED"/>
    <w:rsid w:val="00411AB2"/>
    <w:rsid w:val="004120AE"/>
    <w:rsid w:val="004122E3"/>
    <w:rsid w:val="004125B7"/>
    <w:rsid w:val="00412DA4"/>
    <w:rsid w:val="00413A42"/>
    <w:rsid w:val="00413ECE"/>
    <w:rsid w:val="00414165"/>
    <w:rsid w:val="004149CB"/>
    <w:rsid w:val="00414CEB"/>
    <w:rsid w:val="00415015"/>
    <w:rsid w:val="0041599F"/>
    <w:rsid w:val="00415ADC"/>
    <w:rsid w:val="00415B81"/>
    <w:rsid w:val="00415E37"/>
    <w:rsid w:val="00415F5E"/>
    <w:rsid w:val="00415FC0"/>
    <w:rsid w:val="00416080"/>
    <w:rsid w:val="00416983"/>
    <w:rsid w:val="00416D1A"/>
    <w:rsid w:val="00417509"/>
    <w:rsid w:val="0041769F"/>
    <w:rsid w:val="0041789F"/>
    <w:rsid w:val="004202B5"/>
    <w:rsid w:val="0042068F"/>
    <w:rsid w:val="00420825"/>
    <w:rsid w:val="00420C76"/>
    <w:rsid w:val="00420F31"/>
    <w:rsid w:val="004211B1"/>
    <w:rsid w:val="0042187D"/>
    <w:rsid w:val="00421A31"/>
    <w:rsid w:val="004224B4"/>
    <w:rsid w:val="004225E7"/>
    <w:rsid w:val="00422787"/>
    <w:rsid w:val="00422986"/>
    <w:rsid w:val="00422F93"/>
    <w:rsid w:val="004232ED"/>
    <w:rsid w:val="004233EE"/>
    <w:rsid w:val="0042348F"/>
    <w:rsid w:val="004237C9"/>
    <w:rsid w:val="004239C3"/>
    <w:rsid w:val="00423E14"/>
    <w:rsid w:val="00424051"/>
    <w:rsid w:val="0042424E"/>
    <w:rsid w:val="0042485A"/>
    <w:rsid w:val="0042538D"/>
    <w:rsid w:val="00425A1A"/>
    <w:rsid w:val="00425BCF"/>
    <w:rsid w:val="004265F7"/>
    <w:rsid w:val="00426682"/>
    <w:rsid w:val="0042676C"/>
    <w:rsid w:val="004269D3"/>
    <w:rsid w:val="00426BE5"/>
    <w:rsid w:val="00426E29"/>
    <w:rsid w:val="00426FCC"/>
    <w:rsid w:val="00426FD2"/>
    <w:rsid w:val="0042706F"/>
    <w:rsid w:val="00427131"/>
    <w:rsid w:val="0042723F"/>
    <w:rsid w:val="00427403"/>
    <w:rsid w:val="0042742B"/>
    <w:rsid w:val="00427853"/>
    <w:rsid w:val="00427898"/>
    <w:rsid w:val="004278F4"/>
    <w:rsid w:val="004300B4"/>
    <w:rsid w:val="0043033B"/>
    <w:rsid w:val="004303CC"/>
    <w:rsid w:val="004304B2"/>
    <w:rsid w:val="00430721"/>
    <w:rsid w:val="0043079D"/>
    <w:rsid w:val="0043144C"/>
    <w:rsid w:val="00431744"/>
    <w:rsid w:val="00431AD6"/>
    <w:rsid w:val="00431B48"/>
    <w:rsid w:val="00431CFD"/>
    <w:rsid w:val="00431D0E"/>
    <w:rsid w:val="0043265C"/>
    <w:rsid w:val="004337C9"/>
    <w:rsid w:val="00433897"/>
    <w:rsid w:val="00433A0E"/>
    <w:rsid w:val="00433A3E"/>
    <w:rsid w:val="00433A3F"/>
    <w:rsid w:val="0043413D"/>
    <w:rsid w:val="0043442C"/>
    <w:rsid w:val="0043486A"/>
    <w:rsid w:val="00434AF4"/>
    <w:rsid w:val="00434DE9"/>
    <w:rsid w:val="00434F18"/>
    <w:rsid w:val="0043546F"/>
    <w:rsid w:val="00435495"/>
    <w:rsid w:val="0043677C"/>
    <w:rsid w:val="004367CC"/>
    <w:rsid w:val="004368AA"/>
    <w:rsid w:val="00436DCA"/>
    <w:rsid w:val="004371DE"/>
    <w:rsid w:val="004374C5"/>
    <w:rsid w:val="00437528"/>
    <w:rsid w:val="00437B06"/>
    <w:rsid w:val="00437F0A"/>
    <w:rsid w:val="0044015A"/>
    <w:rsid w:val="00440380"/>
    <w:rsid w:val="004403AA"/>
    <w:rsid w:val="00440EC9"/>
    <w:rsid w:val="00441593"/>
    <w:rsid w:val="00441624"/>
    <w:rsid w:val="004420AB"/>
    <w:rsid w:val="004420DF"/>
    <w:rsid w:val="004427DB"/>
    <w:rsid w:val="00442809"/>
    <w:rsid w:val="00442ABD"/>
    <w:rsid w:val="00442C79"/>
    <w:rsid w:val="00442CEF"/>
    <w:rsid w:val="00442D3C"/>
    <w:rsid w:val="00442E08"/>
    <w:rsid w:val="00442E54"/>
    <w:rsid w:val="00442E7A"/>
    <w:rsid w:val="004430FA"/>
    <w:rsid w:val="004433BD"/>
    <w:rsid w:val="0044355D"/>
    <w:rsid w:val="00443AEE"/>
    <w:rsid w:val="00443B04"/>
    <w:rsid w:val="00443C87"/>
    <w:rsid w:val="00443DCD"/>
    <w:rsid w:val="00443E27"/>
    <w:rsid w:val="00443FAC"/>
    <w:rsid w:val="00443FB2"/>
    <w:rsid w:val="00444035"/>
    <w:rsid w:val="004447B5"/>
    <w:rsid w:val="004448CB"/>
    <w:rsid w:val="00444A76"/>
    <w:rsid w:val="004456C3"/>
    <w:rsid w:val="0044630A"/>
    <w:rsid w:val="00446376"/>
    <w:rsid w:val="004465D0"/>
    <w:rsid w:val="00446790"/>
    <w:rsid w:val="00447DA8"/>
    <w:rsid w:val="00450023"/>
    <w:rsid w:val="004502B2"/>
    <w:rsid w:val="004504BC"/>
    <w:rsid w:val="0045068C"/>
    <w:rsid w:val="00450C37"/>
    <w:rsid w:val="00450CAB"/>
    <w:rsid w:val="00450EFA"/>
    <w:rsid w:val="00450F85"/>
    <w:rsid w:val="0045150C"/>
    <w:rsid w:val="004517AD"/>
    <w:rsid w:val="004517AF"/>
    <w:rsid w:val="00451B57"/>
    <w:rsid w:val="00451FF2"/>
    <w:rsid w:val="00452150"/>
    <w:rsid w:val="00452F32"/>
    <w:rsid w:val="00453AD9"/>
    <w:rsid w:val="00453B76"/>
    <w:rsid w:val="00453C51"/>
    <w:rsid w:val="00453E2C"/>
    <w:rsid w:val="00453F07"/>
    <w:rsid w:val="0045409D"/>
    <w:rsid w:val="00454181"/>
    <w:rsid w:val="0045434F"/>
    <w:rsid w:val="0045438C"/>
    <w:rsid w:val="00454477"/>
    <w:rsid w:val="00454C5A"/>
    <w:rsid w:val="0045524C"/>
    <w:rsid w:val="00455389"/>
    <w:rsid w:val="00455701"/>
    <w:rsid w:val="004559F9"/>
    <w:rsid w:val="00455C80"/>
    <w:rsid w:val="00455E65"/>
    <w:rsid w:val="0045602E"/>
    <w:rsid w:val="0045607A"/>
    <w:rsid w:val="004563DD"/>
    <w:rsid w:val="00456977"/>
    <w:rsid w:val="00456AA3"/>
    <w:rsid w:val="00456CDF"/>
    <w:rsid w:val="00456F6D"/>
    <w:rsid w:val="00457458"/>
    <w:rsid w:val="00457521"/>
    <w:rsid w:val="00457639"/>
    <w:rsid w:val="00457741"/>
    <w:rsid w:val="00457F73"/>
    <w:rsid w:val="00460512"/>
    <w:rsid w:val="0046061E"/>
    <w:rsid w:val="00460B9F"/>
    <w:rsid w:val="0046107F"/>
    <w:rsid w:val="0046115B"/>
    <w:rsid w:val="00461274"/>
    <w:rsid w:val="0046137A"/>
    <w:rsid w:val="004614B2"/>
    <w:rsid w:val="004614B4"/>
    <w:rsid w:val="00461909"/>
    <w:rsid w:val="0046193D"/>
    <w:rsid w:val="0046254C"/>
    <w:rsid w:val="00462F89"/>
    <w:rsid w:val="00463587"/>
    <w:rsid w:val="004635B4"/>
    <w:rsid w:val="0046424E"/>
    <w:rsid w:val="004645F9"/>
    <w:rsid w:val="004646DB"/>
    <w:rsid w:val="004646ED"/>
    <w:rsid w:val="00465409"/>
    <w:rsid w:val="004654B1"/>
    <w:rsid w:val="0046557B"/>
    <w:rsid w:val="00465639"/>
    <w:rsid w:val="00465B3C"/>
    <w:rsid w:val="00465EAF"/>
    <w:rsid w:val="00466114"/>
    <w:rsid w:val="004662D8"/>
    <w:rsid w:val="004666EB"/>
    <w:rsid w:val="00466845"/>
    <w:rsid w:val="0046684E"/>
    <w:rsid w:val="0046692F"/>
    <w:rsid w:val="00466C74"/>
    <w:rsid w:val="00467088"/>
    <w:rsid w:val="00467451"/>
    <w:rsid w:val="00470338"/>
    <w:rsid w:val="0047033E"/>
    <w:rsid w:val="00470EFE"/>
    <w:rsid w:val="0047111B"/>
    <w:rsid w:val="004713C2"/>
    <w:rsid w:val="00471A54"/>
    <w:rsid w:val="00471F10"/>
    <w:rsid w:val="0047252D"/>
    <w:rsid w:val="00472568"/>
    <w:rsid w:val="004726A5"/>
    <w:rsid w:val="00473008"/>
    <w:rsid w:val="004730EF"/>
    <w:rsid w:val="0047312D"/>
    <w:rsid w:val="004733AD"/>
    <w:rsid w:val="004735E2"/>
    <w:rsid w:val="004736B1"/>
    <w:rsid w:val="00473793"/>
    <w:rsid w:val="004738F5"/>
    <w:rsid w:val="00473B58"/>
    <w:rsid w:val="00473F11"/>
    <w:rsid w:val="0047417D"/>
    <w:rsid w:val="004741FF"/>
    <w:rsid w:val="0047430E"/>
    <w:rsid w:val="00474B75"/>
    <w:rsid w:val="00474E4E"/>
    <w:rsid w:val="00474E77"/>
    <w:rsid w:val="00474E97"/>
    <w:rsid w:val="00475647"/>
    <w:rsid w:val="00475708"/>
    <w:rsid w:val="0047581F"/>
    <w:rsid w:val="00475F0E"/>
    <w:rsid w:val="004766B7"/>
    <w:rsid w:val="00476990"/>
    <w:rsid w:val="00476C8F"/>
    <w:rsid w:val="00477416"/>
    <w:rsid w:val="00477499"/>
    <w:rsid w:val="004776D0"/>
    <w:rsid w:val="00477A35"/>
    <w:rsid w:val="0048041C"/>
    <w:rsid w:val="00480712"/>
    <w:rsid w:val="00480BEA"/>
    <w:rsid w:val="00480D1E"/>
    <w:rsid w:val="00480FAB"/>
    <w:rsid w:val="00481015"/>
    <w:rsid w:val="0048121F"/>
    <w:rsid w:val="00481237"/>
    <w:rsid w:val="00481A57"/>
    <w:rsid w:val="00481BB0"/>
    <w:rsid w:val="00481D33"/>
    <w:rsid w:val="00482295"/>
    <w:rsid w:val="004822A0"/>
    <w:rsid w:val="004822E9"/>
    <w:rsid w:val="00482359"/>
    <w:rsid w:val="0048269D"/>
    <w:rsid w:val="004828F5"/>
    <w:rsid w:val="00482D74"/>
    <w:rsid w:val="00482EE5"/>
    <w:rsid w:val="00483A40"/>
    <w:rsid w:val="00483AC1"/>
    <w:rsid w:val="004841F2"/>
    <w:rsid w:val="00484659"/>
    <w:rsid w:val="00484678"/>
    <w:rsid w:val="00484E04"/>
    <w:rsid w:val="00484E24"/>
    <w:rsid w:val="0048512A"/>
    <w:rsid w:val="004855BE"/>
    <w:rsid w:val="0048581C"/>
    <w:rsid w:val="00485878"/>
    <w:rsid w:val="00485A57"/>
    <w:rsid w:val="00485E5B"/>
    <w:rsid w:val="00485E70"/>
    <w:rsid w:val="004860EF"/>
    <w:rsid w:val="00486229"/>
    <w:rsid w:val="00486587"/>
    <w:rsid w:val="004867BC"/>
    <w:rsid w:val="00486A41"/>
    <w:rsid w:val="00486C68"/>
    <w:rsid w:val="00486D74"/>
    <w:rsid w:val="00486DEC"/>
    <w:rsid w:val="004871B0"/>
    <w:rsid w:val="004874E3"/>
    <w:rsid w:val="00487564"/>
    <w:rsid w:val="00487899"/>
    <w:rsid w:val="00487C6C"/>
    <w:rsid w:val="004902B4"/>
    <w:rsid w:val="0049058A"/>
    <w:rsid w:val="004905F3"/>
    <w:rsid w:val="00490985"/>
    <w:rsid w:val="00490B67"/>
    <w:rsid w:val="00490E53"/>
    <w:rsid w:val="00490F0E"/>
    <w:rsid w:val="00490F50"/>
    <w:rsid w:val="00491305"/>
    <w:rsid w:val="0049147B"/>
    <w:rsid w:val="0049164E"/>
    <w:rsid w:val="00491668"/>
    <w:rsid w:val="0049176D"/>
    <w:rsid w:val="004919FE"/>
    <w:rsid w:val="00491A6E"/>
    <w:rsid w:val="00491C14"/>
    <w:rsid w:val="00491D70"/>
    <w:rsid w:val="0049254F"/>
    <w:rsid w:val="0049261B"/>
    <w:rsid w:val="004929E8"/>
    <w:rsid w:val="00492F2D"/>
    <w:rsid w:val="00492FD6"/>
    <w:rsid w:val="0049308D"/>
    <w:rsid w:val="004936E8"/>
    <w:rsid w:val="0049401A"/>
    <w:rsid w:val="00494332"/>
    <w:rsid w:val="00494428"/>
    <w:rsid w:val="00494BE0"/>
    <w:rsid w:val="00494F86"/>
    <w:rsid w:val="004958F6"/>
    <w:rsid w:val="00495AB3"/>
    <w:rsid w:val="00495EE8"/>
    <w:rsid w:val="0049648D"/>
    <w:rsid w:val="00496494"/>
    <w:rsid w:val="004968C1"/>
    <w:rsid w:val="00496A8D"/>
    <w:rsid w:val="00496F6D"/>
    <w:rsid w:val="004974D9"/>
    <w:rsid w:val="004977C3"/>
    <w:rsid w:val="00497A7B"/>
    <w:rsid w:val="00497D48"/>
    <w:rsid w:val="004A0A50"/>
    <w:rsid w:val="004A11F0"/>
    <w:rsid w:val="004A1AD7"/>
    <w:rsid w:val="004A1BC5"/>
    <w:rsid w:val="004A1FB2"/>
    <w:rsid w:val="004A2114"/>
    <w:rsid w:val="004A2631"/>
    <w:rsid w:val="004A268D"/>
    <w:rsid w:val="004A2FA9"/>
    <w:rsid w:val="004A32AE"/>
    <w:rsid w:val="004A3385"/>
    <w:rsid w:val="004A341F"/>
    <w:rsid w:val="004A3531"/>
    <w:rsid w:val="004A36CE"/>
    <w:rsid w:val="004A3872"/>
    <w:rsid w:val="004A3BFA"/>
    <w:rsid w:val="004A3CFE"/>
    <w:rsid w:val="004A40C7"/>
    <w:rsid w:val="004A4621"/>
    <w:rsid w:val="004A4631"/>
    <w:rsid w:val="004A46E4"/>
    <w:rsid w:val="004A4BDE"/>
    <w:rsid w:val="004A519F"/>
    <w:rsid w:val="004A51D1"/>
    <w:rsid w:val="004A5295"/>
    <w:rsid w:val="004A52A8"/>
    <w:rsid w:val="004A550E"/>
    <w:rsid w:val="004A5B34"/>
    <w:rsid w:val="004A5C1E"/>
    <w:rsid w:val="004A612A"/>
    <w:rsid w:val="004A63FA"/>
    <w:rsid w:val="004A6533"/>
    <w:rsid w:val="004A6B1E"/>
    <w:rsid w:val="004A7631"/>
    <w:rsid w:val="004A77D6"/>
    <w:rsid w:val="004A7952"/>
    <w:rsid w:val="004A7B5F"/>
    <w:rsid w:val="004A7DE3"/>
    <w:rsid w:val="004B0148"/>
    <w:rsid w:val="004B0ABB"/>
    <w:rsid w:val="004B0B04"/>
    <w:rsid w:val="004B0C11"/>
    <w:rsid w:val="004B0D40"/>
    <w:rsid w:val="004B19BE"/>
    <w:rsid w:val="004B1A72"/>
    <w:rsid w:val="004B1A7A"/>
    <w:rsid w:val="004B1C77"/>
    <w:rsid w:val="004B20FA"/>
    <w:rsid w:val="004B28F6"/>
    <w:rsid w:val="004B2D91"/>
    <w:rsid w:val="004B32E0"/>
    <w:rsid w:val="004B3BDB"/>
    <w:rsid w:val="004B40BF"/>
    <w:rsid w:val="004B4536"/>
    <w:rsid w:val="004B4569"/>
    <w:rsid w:val="004B4863"/>
    <w:rsid w:val="004B4D7D"/>
    <w:rsid w:val="004B603D"/>
    <w:rsid w:val="004B685E"/>
    <w:rsid w:val="004B68D4"/>
    <w:rsid w:val="004B698D"/>
    <w:rsid w:val="004B69F5"/>
    <w:rsid w:val="004B6A26"/>
    <w:rsid w:val="004B6E5D"/>
    <w:rsid w:val="004B7264"/>
    <w:rsid w:val="004B74D9"/>
    <w:rsid w:val="004B7CF0"/>
    <w:rsid w:val="004B7E94"/>
    <w:rsid w:val="004B7EC8"/>
    <w:rsid w:val="004B7FAD"/>
    <w:rsid w:val="004C00E1"/>
    <w:rsid w:val="004C01CB"/>
    <w:rsid w:val="004C0214"/>
    <w:rsid w:val="004C0AA7"/>
    <w:rsid w:val="004C1234"/>
    <w:rsid w:val="004C12A3"/>
    <w:rsid w:val="004C132B"/>
    <w:rsid w:val="004C13CF"/>
    <w:rsid w:val="004C14E3"/>
    <w:rsid w:val="004C1559"/>
    <w:rsid w:val="004C1631"/>
    <w:rsid w:val="004C1780"/>
    <w:rsid w:val="004C18E3"/>
    <w:rsid w:val="004C1BFF"/>
    <w:rsid w:val="004C1CB1"/>
    <w:rsid w:val="004C1EBD"/>
    <w:rsid w:val="004C1F58"/>
    <w:rsid w:val="004C24FC"/>
    <w:rsid w:val="004C2598"/>
    <w:rsid w:val="004C2DD9"/>
    <w:rsid w:val="004C3E60"/>
    <w:rsid w:val="004C42BE"/>
    <w:rsid w:val="004C442C"/>
    <w:rsid w:val="004C46E9"/>
    <w:rsid w:val="004C493B"/>
    <w:rsid w:val="004C4AF6"/>
    <w:rsid w:val="004C4D1F"/>
    <w:rsid w:val="004C5105"/>
    <w:rsid w:val="004C528A"/>
    <w:rsid w:val="004C5B6F"/>
    <w:rsid w:val="004C5FA1"/>
    <w:rsid w:val="004C6075"/>
    <w:rsid w:val="004C6180"/>
    <w:rsid w:val="004C6A4A"/>
    <w:rsid w:val="004C702A"/>
    <w:rsid w:val="004C7097"/>
    <w:rsid w:val="004C7508"/>
    <w:rsid w:val="004C7817"/>
    <w:rsid w:val="004C7AB6"/>
    <w:rsid w:val="004C7C30"/>
    <w:rsid w:val="004D02FB"/>
    <w:rsid w:val="004D059A"/>
    <w:rsid w:val="004D0A75"/>
    <w:rsid w:val="004D1058"/>
    <w:rsid w:val="004D108B"/>
    <w:rsid w:val="004D121B"/>
    <w:rsid w:val="004D135D"/>
    <w:rsid w:val="004D157A"/>
    <w:rsid w:val="004D206C"/>
    <w:rsid w:val="004D21C9"/>
    <w:rsid w:val="004D23B3"/>
    <w:rsid w:val="004D248F"/>
    <w:rsid w:val="004D266E"/>
    <w:rsid w:val="004D27AE"/>
    <w:rsid w:val="004D2C5E"/>
    <w:rsid w:val="004D2CB6"/>
    <w:rsid w:val="004D322D"/>
    <w:rsid w:val="004D32F6"/>
    <w:rsid w:val="004D391C"/>
    <w:rsid w:val="004D3F24"/>
    <w:rsid w:val="004D4293"/>
    <w:rsid w:val="004D5719"/>
    <w:rsid w:val="004D618F"/>
    <w:rsid w:val="004D6CF9"/>
    <w:rsid w:val="004D7479"/>
    <w:rsid w:val="004D77E9"/>
    <w:rsid w:val="004D7BAF"/>
    <w:rsid w:val="004D7D6E"/>
    <w:rsid w:val="004D7D80"/>
    <w:rsid w:val="004D7E8D"/>
    <w:rsid w:val="004D7F43"/>
    <w:rsid w:val="004E0480"/>
    <w:rsid w:val="004E0520"/>
    <w:rsid w:val="004E0B6C"/>
    <w:rsid w:val="004E16EE"/>
    <w:rsid w:val="004E1A3B"/>
    <w:rsid w:val="004E1AE9"/>
    <w:rsid w:val="004E1D13"/>
    <w:rsid w:val="004E1E85"/>
    <w:rsid w:val="004E219E"/>
    <w:rsid w:val="004E22CD"/>
    <w:rsid w:val="004E2929"/>
    <w:rsid w:val="004E2DDF"/>
    <w:rsid w:val="004E3223"/>
    <w:rsid w:val="004E3274"/>
    <w:rsid w:val="004E362E"/>
    <w:rsid w:val="004E3796"/>
    <w:rsid w:val="004E37F7"/>
    <w:rsid w:val="004E3916"/>
    <w:rsid w:val="004E3A08"/>
    <w:rsid w:val="004E3A1E"/>
    <w:rsid w:val="004E41A4"/>
    <w:rsid w:val="004E4419"/>
    <w:rsid w:val="004E4538"/>
    <w:rsid w:val="004E47C9"/>
    <w:rsid w:val="004E5574"/>
    <w:rsid w:val="004E56E0"/>
    <w:rsid w:val="004E5ADA"/>
    <w:rsid w:val="004E5D42"/>
    <w:rsid w:val="004E6399"/>
    <w:rsid w:val="004E6EAF"/>
    <w:rsid w:val="004E7444"/>
    <w:rsid w:val="004E7BE3"/>
    <w:rsid w:val="004E7BE8"/>
    <w:rsid w:val="004E7CB4"/>
    <w:rsid w:val="004E7CF2"/>
    <w:rsid w:val="004E7DC1"/>
    <w:rsid w:val="004E7F44"/>
    <w:rsid w:val="004F0865"/>
    <w:rsid w:val="004F08FF"/>
    <w:rsid w:val="004F0AC3"/>
    <w:rsid w:val="004F1D22"/>
    <w:rsid w:val="004F204E"/>
    <w:rsid w:val="004F234D"/>
    <w:rsid w:val="004F25D5"/>
    <w:rsid w:val="004F2980"/>
    <w:rsid w:val="004F2A5E"/>
    <w:rsid w:val="004F2EED"/>
    <w:rsid w:val="004F2F78"/>
    <w:rsid w:val="004F31E5"/>
    <w:rsid w:val="004F3423"/>
    <w:rsid w:val="004F355B"/>
    <w:rsid w:val="004F3C11"/>
    <w:rsid w:val="004F3F93"/>
    <w:rsid w:val="004F4B4C"/>
    <w:rsid w:val="004F4E79"/>
    <w:rsid w:val="004F5109"/>
    <w:rsid w:val="004F51D6"/>
    <w:rsid w:val="004F5424"/>
    <w:rsid w:val="004F57FE"/>
    <w:rsid w:val="004F5AF0"/>
    <w:rsid w:val="004F5C48"/>
    <w:rsid w:val="004F6488"/>
    <w:rsid w:val="004F66BD"/>
    <w:rsid w:val="004F6C91"/>
    <w:rsid w:val="004F6E70"/>
    <w:rsid w:val="004F6F0C"/>
    <w:rsid w:val="004F7243"/>
    <w:rsid w:val="004F7539"/>
    <w:rsid w:val="004F7B2C"/>
    <w:rsid w:val="00500238"/>
    <w:rsid w:val="005007A6"/>
    <w:rsid w:val="00500951"/>
    <w:rsid w:val="00500D8C"/>
    <w:rsid w:val="00501014"/>
    <w:rsid w:val="0050130D"/>
    <w:rsid w:val="00501365"/>
    <w:rsid w:val="00501922"/>
    <w:rsid w:val="00501CDC"/>
    <w:rsid w:val="00502307"/>
    <w:rsid w:val="00502CFA"/>
    <w:rsid w:val="00502E3E"/>
    <w:rsid w:val="00502E92"/>
    <w:rsid w:val="00502F7A"/>
    <w:rsid w:val="00502F8D"/>
    <w:rsid w:val="00503621"/>
    <w:rsid w:val="00503E15"/>
    <w:rsid w:val="0050403B"/>
    <w:rsid w:val="00504865"/>
    <w:rsid w:val="00504BDA"/>
    <w:rsid w:val="00504E2A"/>
    <w:rsid w:val="00504F24"/>
    <w:rsid w:val="005058C6"/>
    <w:rsid w:val="00505F8A"/>
    <w:rsid w:val="005060D9"/>
    <w:rsid w:val="00506A30"/>
    <w:rsid w:val="00506BB6"/>
    <w:rsid w:val="00506EE2"/>
    <w:rsid w:val="005078A5"/>
    <w:rsid w:val="00507F78"/>
    <w:rsid w:val="0051039D"/>
    <w:rsid w:val="00510EC1"/>
    <w:rsid w:val="005111E1"/>
    <w:rsid w:val="00511213"/>
    <w:rsid w:val="005119F8"/>
    <w:rsid w:val="00511BD1"/>
    <w:rsid w:val="00512384"/>
    <w:rsid w:val="005123B0"/>
    <w:rsid w:val="00513305"/>
    <w:rsid w:val="00513439"/>
    <w:rsid w:val="005135A3"/>
    <w:rsid w:val="00513630"/>
    <w:rsid w:val="005136BE"/>
    <w:rsid w:val="00513707"/>
    <w:rsid w:val="00513A74"/>
    <w:rsid w:val="00513AA0"/>
    <w:rsid w:val="00513B8E"/>
    <w:rsid w:val="00513BBF"/>
    <w:rsid w:val="00513C25"/>
    <w:rsid w:val="00513D8F"/>
    <w:rsid w:val="0051465E"/>
    <w:rsid w:val="005147AA"/>
    <w:rsid w:val="0051490B"/>
    <w:rsid w:val="00514AFA"/>
    <w:rsid w:val="00514FED"/>
    <w:rsid w:val="00515606"/>
    <w:rsid w:val="005156EB"/>
    <w:rsid w:val="00515711"/>
    <w:rsid w:val="00515B3B"/>
    <w:rsid w:val="00515B67"/>
    <w:rsid w:val="00515BCC"/>
    <w:rsid w:val="00515E84"/>
    <w:rsid w:val="00516149"/>
    <w:rsid w:val="0051656F"/>
    <w:rsid w:val="00516C01"/>
    <w:rsid w:val="00517098"/>
    <w:rsid w:val="00517D53"/>
    <w:rsid w:val="00517FF0"/>
    <w:rsid w:val="0052028A"/>
    <w:rsid w:val="005208C9"/>
    <w:rsid w:val="00520AED"/>
    <w:rsid w:val="00520BF2"/>
    <w:rsid w:val="00520D6D"/>
    <w:rsid w:val="00520D8A"/>
    <w:rsid w:val="00521BD6"/>
    <w:rsid w:val="0052252E"/>
    <w:rsid w:val="00522562"/>
    <w:rsid w:val="00522829"/>
    <w:rsid w:val="00522B19"/>
    <w:rsid w:val="00523150"/>
    <w:rsid w:val="00523C53"/>
    <w:rsid w:val="005241D0"/>
    <w:rsid w:val="0052424B"/>
    <w:rsid w:val="00524276"/>
    <w:rsid w:val="00524534"/>
    <w:rsid w:val="00524EDB"/>
    <w:rsid w:val="005250CD"/>
    <w:rsid w:val="0052529A"/>
    <w:rsid w:val="00525A89"/>
    <w:rsid w:val="00525DAE"/>
    <w:rsid w:val="0052653C"/>
    <w:rsid w:val="005267FF"/>
    <w:rsid w:val="005269AC"/>
    <w:rsid w:val="00526FD9"/>
    <w:rsid w:val="005273BA"/>
    <w:rsid w:val="00527516"/>
    <w:rsid w:val="005276FF"/>
    <w:rsid w:val="005302DD"/>
    <w:rsid w:val="0053049E"/>
    <w:rsid w:val="005305FC"/>
    <w:rsid w:val="005309B4"/>
    <w:rsid w:val="00530A47"/>
    <w:rsid w:val="00530AFF"/>
    <w:rsid w:val="00531438"/>
    <w:rsid w:val="00531581"/>
    <w:rsid w:val="00531ECB"/>
    <w:rsid w:val="00532555"/>
    <w:rsid w:val="00532590"/>
    <w:rsid w:val="0053290D"/>
    <w:rsid w:val="00533429"/>
    <w:rsid w:val="005336F5"/>
    <w:rsid w:val="00533782"/>
    <w:rsid w:val="005337D8"/>
    <w:rsid w:val="005338F5"/>
    <w:rsid w:val="0053396B"/>
    <w:rsid w:val="00533B19"/>
    <w:rsid w:val="00533C36"/>
    <w:rsid w:val="005343DC"/>
    <w:rsid w:val="00534469"/>
    <w:rsid w:val="00534878"/>
    <w:rsid w:val="00534A74"/>
    <w:rsid w:val="00535237"/>
    <w:rsid w:val="005359FD"/>
    <w:rsid w:val="00535FAB"/>
    <w:rsid w:val="00536170"/>
    <w:rsid w:val="005362AE"/>
    <w:rsid w:val="00536CAC"/>
    <w:rsid w:val="00536E4B"/>
    <w:rsid w:val="005372E4"/>
    <w:rsid w:val="00537894"/>
    <w:rsid w:val="0053796C"/>
    <w:rsid w:val="00537CC0"/>
    <w:rsid w:val="00537DE9"/>
    <w:rsid w:val="00540203"/>
    <w:rsid w:val="00540271"/>
    <w:rsid w:val="00540CA3"/>
    <w:rsid w:val="00541278"/>
    <w:rsid w:val="00541283"/>
    <w:rsid w:val="0054133C"/>
    <w:rsid w:val="00541743"/>
    <w:rsid w:val="00541AC4"/>
    <w:rsid w:val="00541C62"/>
    <w:rsid w:val="0054203B"/>
    <w:rsid w:val="0054204F"/>
    <w:rsid w:val="00542509"/>
    <w:rsid w:val="005427B7"/>
    <w:rsid w:val="00542B13"/>
    <w:rsid w:val="00543132"/>
    <w:rsid w:val="005436F0"/>
    <w:rsid w:val="0054408E"/>
    <w:rsid w:val="005449A9"/>
    <w:rsid w:val="005449C6"/>
    <w:rsid w:val="00544FBD"/>
    <w:rsid w:val="00545049"/>
    <w:rsid w:val="005452D4"/>
    <w:rsid w:val="005456D9"/>
    <w:rsid w:val="00545713"/>
    <w:rsid w:val="0054579A"/>
    <w:rsid w:val="00545E9D"/>
    <w:rsid w:val="005464F3"/>
    <w:rsid w:val="00546839"/>
    <w:rsid w:val="00546F67"/>
    <w:rsid w:val="00546FED"/>
    <w:rsid w:val="005473D6"/>
    <w:rsid w:val="00550004"/>
    <w:rsid w:val="0055015B"/>
    <w:rsid w:val="00550329"/>
    <w:rsid w:val="00550467"/>
    <w:rsid w:val="005505B7"/>
    <w:rsid w:val="0055086E"/>
    <w:rsid w:val="00550D05"/>
    <w:rsid w:val="00550D37"/>
    <w:rsid w:val="00550D6A"/>
    <w:rsid w:val="00550F66"/>
    <w:rsid w:val="005512AE"/>
    <w:rsid w:val="00551560"/>
    <w:rsid w:val="00551653"/>
    <w:rsid w:val="0055178B"/>
    <w:rsid w:val="00551A2E"/>
    <w:rsid w:val="00551C21"/>
    <w:rsid w:val="00551ECD"/>
    <w:rsid w:val="0055232B"/>
    <w:rsid w:val="00552678"/>
    <w:rsid w:val="00552B9C"/>
    <w:rsid w:val="00552BF9"/>
    <w:rsid w:val="00552F36"/>
    <w:rsid w:val="00552F8C"/>
    <w:rsid w:val="005533FC"/>
    <w:rsid w:val="00553D8D"/>
    <w:rsid w:val="00554353"/>
    <w:rsid w:val="005544B9"/>
    <w:rsid w:val="005545B2"/>
    <w:rsid w:val="0055460C"/>
    <w:rsid w:val="00554747"/>
    <w:rsid w:val="00554D45"/>
    <w:rsid w:val="00554D73"/>
    <w:rsid w:val="00554F9D"/>
    <w:rsid w:val="005557E3"/>
    <w:rsid w:val="00555BEA"/>
    <w:rsid w:val="00555D25"/>
    <w:rsid w:val="00556318"/>
    <w:rsid w:val="00556A0E"/>
    <w:rsid w:val="0055702D"/>
    <w:rsid w:val="00557487"/>
    <w:rsid w:val="005577B3"/>
    <w:rsid w:val="005577CD"/>
    <w:rsid w:val="005579EC"/>
    <w:rsid w:val="0056013E"/>
    <w:rsid w:val="005608BA"/>
    <w:rsid w:val="0056098A"/>
    <w:rsid w:val="0056159B"/>
    <w:rsid w:val="00561D92"/>
    <w:rsid w:val="00561E7E"/>
    <w:rsid w:val="00562262"/>
    <w:rsid w:val="005623D5"/>
    <w:rsid w:val="00562481"/>
    <w:rsid w:val="005627AE"/>
    <w:rsid w:val="0056323F"/>
    <w:rsid w:val="00563498"/>
    <w:rsid w:val="0056389D"/>
    <w:rsid w:val="00563AEB"/>
    <w:rsid w:val="00563DE8"/>
    <w:rsid w:val="00563F45"/>
    <w:rsid w:val="00563F57"/>
    <w:rsid w:val="005642C1"/>
    <w:rsid w:val="005646E1"/>
    <w:rsid w:val="005648D9"/>
    <w:rsid w:val="00564A23"/>
    <w:rsid w:val="0056508D"/>
    <w:rsid w:val="0056530B"/>
    <w:rsid w:val="0056549A"/>
    <w:rsid w:val="0056559C"/>
    <w:rsid w:val="00565971"/>
    <w:rsid w:val="00565B86"/>
    <w:rsid w:val="00565D61"/>
    <w:rsid w:val="00566232"/>
    <w:rsid w:val="005663E8"/>
    <w:rsid w:val="00566514"/>
    <w:rsid w:val="005666D4"/>
    <w:rsid w:val="0056686F"/>
    <w:rsid w:val="00566B05"/>
    <w:rsid w:val="00566C34"/>
    <w:rsid w:val="005673AA"/>
    <w:rsid w:val="00567D3F"/>
    <w:rsid w:val="00567DB0"/>
    <w:rsid w:val="00567E3E"/>
    <w:rsid w:val="0057010E"/>
    <w:rsid w:val="00570180"/>
    <w:rsid w:val="005702F5"/>
    <w:rsid w:val="00570627"/>
    <w:rsid w:val="005709EE"/>
    <w:rsid w:val="00570CB9"/>
    <w:rsid w:val="005710E8"/>
    <w:rsid w:val="00571114"/>
    <w:rsid w:val="0057113B"/>
    <w:rsid w:val="00571619"/>
    <w:rsid w:val="0057172F"/>
    <w:rsid w:val="00571B99"/>
    <w:rsid w:val="00572031"/>
    <w:rsid w:val="0057206A"/>
    <w:rsid w:val="005721D3"/>
    <w:rsid w:val="005724CC"/>
    <w:rsid w:val="005724DE"/>
    <w:rsid w:val="00572559"/>
    <w:rsid w:val="005725CE"/>
    <w:rsid w:val="005726F5"/>
    <w:rsid w:val="005728AC"/>
    <w:rsid w:val="005729A1"/>
    <w:rsid w:val="00572D86"/>
    <w:rsid w:val="00572D88"/>
    <w:rsid w:val="00572FE5"/>
    <w:rsid w:val="00573225"/>
    <w:rsid w:val="005734A5"/>
    <w:rsid w:val="005735B1"/>
    <w:rsid w:val="0057383E"/>
    <w:rsid w:val="0057394E"/>
    <w:rsid w:val="00573CE0"/>
    <w:rsid w:val="0057475D"/>
    <w:rsid w:val="00574D9E"/>
    <w:rsid w:val="00574F38"/>
    <w:rsid w:val="00575484"/>
    <w:rsid w:val="00575CFA"/>
    <w:rsid w:val="00576111"/>
    <w:rsid w:val="0057616C"/>
    <w:rsid w:val="00576E44"/>
    <w:rsid w:val="005772B4"/>
    <w:rsid w:val="005773D4"/>
    <w:rsid w:val="0057752D"/>
    <w:rsid w:val="005777FB"/>
    <w:rsid w:val="005778E0"/>
    <w:rsid w:val="00577CD6"/>
    <w:rsid w:val="00580170"/>
    <w:rsid w:val="0058023D"/>
    <w:rsid w:val="0058054F"/>
    <w:rsid w:val="0058076F"/>
    <w:rsid w:val="00580A48"/>
    <w:rsid w:val="00580E4E"/>
    <w:rsid w:val="00581212"/>
    <w:rsid w:val="00581530"/>
    <w:rsid w:val="0058162C"/>
    <w:rsid w:val="00581B6D"/>
    <w:rsid w:val="00581C01"/>
    <w:rsid w:val="00581C89"/>
    <w:rsid w:val="00581EDF"/>
    <w:rsid w:val="00581FE4"/>
    <w:rsid w:val="005822F6"/>
    <w:rsid w:val="005829D1"/>
    <w:rsid w:val="005829F3"/>
    <w:rsid w:val="00582AD5"/>
    <w:rsid w:val="00582D9A"/>
    <w:rsid w:val="005833C6"/>
    <w:rsid w:val="005834CF"/>
    <w:rsid w:val="005836EC"/>
    <w:rsid w:val="00583AF2"/>
    <w:rsid w:val="00583B4C"/>
    <w:rsid w:val="00583B83"/>
    <w:rsid w:val="00583BA8"/>
    <w:rsid w:val="00584459"/>
    <w:rsid w:val="00584485"/>
    <w:rsid w:val="0058448F"/>
    <w:rsid w:val="00584A24"/>
    <w:rsid w:val="00584CB9"/>
    <w:rsid w:val="00584E9F"/>
    <w:rsid w:val="00584F4C"/>
    <w:rsid w:val="0058504C"/>
    <w:rsid w:val="005855FC"/>
    <w:rsid w:val="00585AA0"/>
    <w:rsid w:val="00585B53"/>
    <w:rsid w:val="005861B6"/>
    <w:rsid w:val="00586250"/>
    <w:rsid w:val="00586477"/>
    <w:rsid w:val="005865CE"/>
    <w:rsid w:val="005873BB"/>
    <w:rsid w:val="00587755"/>
    <w:rsid w:val="00587A29"/>
    <w:rsid w:val="00587D87"/>
    <w:rsid w:val="00587DC1"/>
    <w:rsid w:val="005903CD"/>
    <w:rsid w:val="00590BE2"/>
    <w:rsid w:val="005917D0"/>
    <w:rsid w:val="00591CE4"/>
    <w:rsid w:val="0059235C"/>
    <w:rsid w:val="00592732"/>
    <w:rsid w:val="00592FB5"/>
    <w:rsid w:val="00593760"/>
    <w:rsid w:val="00593BD2"/>
    <w:rsid w:val="00593C7C"/>
    <w:rsid w:val="00593F95"/>
    <w:rsid w:val="00593FF1"/>
    <w:rsid w:val="00594580"/>
    <w:rsid w:val="0059475F"/>
    <w:rsid w:val="005949A8"/>
    <w:rsid w:val="00594CD7"/>
    <w:rsid w:val="00595488"/>
    <w:rsid w:val="0059572F"/>
    <w:rsid w:val="005958AE"/>
    <w:rsid w:val="00595C00"/>
    <w:rsid w:val="00595ED6"/>
    <w:rsid w:val="00596052"/>
    <w:rsid w:val="0059642F"/>
    <w:rsid w:val="005965A9"/>
    <w:rsid w:val="005967D6"/>
    <w:rsid w:val="00596924"/>
    <w:rsid w:val="00596936"/>
    <w:rsid w:val="005969C3"/>
    <w:rsid w:val="005969E1"/>
    <w:rsid w:val="00597283"/>
    <w:rsid w:val="00597448"/>
    <w:rsid w:val="00597804"/>
    <w:rsid w:val="00597BE4"/>
    <w:rsid w:val="00597ECA"/>
    <w:rsid w:val="005A09C2"/>
    <w:rsid w:val="005A1399"/>
    <w:rsid w:val="005A1514"/>
    <w:rsid w:val="005A1980"/>
    <w:rsid w:val="005A1A34"/>
    <w:rsid w:val="005A1D50"/>
    <w:rsid w:val="005A21EE"/>
    <w:rsid w:val="005A2B3B"/>
    <w:rsid w:val="005A2F41"/>
    <w:rsid w:val="005A33CB"/>
    <w:rsid w:val="005A350C"/>
    <w:rsid w:val="005A3693"/>
    <w:rsid w:val="005A39E8"/>
    <w:rsid w:val="005A3A04"/>
    <w:rsid w:val="005A3DD0"/>
    <w:rsid w:val="005A47D5"/>
    <w:rsid w:val="005A4919"/>
    <w:rsid w:val="005A4B05"/>
    <w:rsid w:val="005A5237"/>
    <w:rsid w:val="005A5783"/>
    <w:rsid w:val="005A584F"/>
    <w:rsid w:val="005A5A98"/>
    <w:rsid w:val="005A5D75"/>
    <w:rsid w:val="005A6019"/>
    <w:rsid w:val="005A6108"/>
    <w:rsid w:val="005A6BAB"/>
    <w:rsid w:val="005A6CB0"/>
    <w:rsid w:val="005A6D68"/>
    <w:rsid w:val="005A71E3"/>
    <w:rsid w:val="005A7376"/>
    <w:rsid w:val="005A7423"/>
    <w:rsid w:val="005A75B4"/>
    <w:rsid w:val="005A7820"/>
    <w:rsid w:val="005A7879"/>
    <w:rsid w:val="005A788F"/>
    <w:rsid w:val="005A78EE"/>
    <w:rsid w:val="005A7E7F"/>
    <w:rsid w:val="005A7F20"/>
    <w:rsid w:val="005B02DF"/>
    <w:rsid w:val="005B0437"/>
    <w:rsid w:val="005B05B3"/>
    <w:rsid w:val="005B05F5"/>
    <w:rsid w:val="005B14AF"/>
    <w:rsid w:val="005B15CE"/>
    <w:rsid w:val="005B1AB9"/>
    <w:rsid w:val="005B1BEA"/>
    <w:rsid w:val="005B1C14"/>
    <w:rsid w:val="005B1CC5"/>
    <w:rsid w:val="005B1D6C"/>
    <w:rsid w:val="005B1DA5"/>
    <w:rsid w:val="005B202F"/>
    <w:rsid w:val="005B21DA"/>
    <w:rsid w:val="005B260E"/>
    <w:rsid w:val="005B2780"/>
    <w:rsid w:val="005B2EA8"/>
    <w:rsid w:val="005B34C2"/>
    <w:rsid w:val="005B380E"/>
    <w:rsid w:val="005B3813"/>
    <w:rsid w:val="005B3C3E"/>
    <w:rsid w:val="005B3D32"/>
    <w:rsid w:val="005B43D9"/>
    <w:rsid w:val="005B4E8D"/>
    <w:rsid w:val="005B4EEB"/>
    <w:rsid w:val="005B50EA"/>
    <w:rsid w:val="005B5335"/>
    <w:rsid w:val="005B536A"/>
    <w:rsid w:val="005B547E"/>
    <w:rsid w:val="005B5853"/>
    <w:rsid w:val="005B5A1E"/>
    <w:rsid w:val="005B5BFC"/>
    <w:rsid w:val="005B5D68"/>
    <w:rsid w:val="005B5EEC"/>
    <w:rsid w:val="005B699C"/>
    <w:rsid w:val="005B6B38"/>
    <w:rsid w:val="005B6EF1"/>
    <w:rsid w:val="005B6F05"/>
    <w:rsid w:val="005B7AE1"/>
    <w:rsid w:val="005B7F43"/>
    <w:rsid w:val="005C02D9"/>
    <w:rsid w:val="005C047D"/>
    <w:rsid w:val="005C0628"/>
    <w:rsid w:val="005C0D70"/>
    <w:rsid w:val="005C0F6F"/>
    <w:rsid w:val="005C1182"/>
    <w:rsid w:val="005C11E1"/>
    <w:rsid w:val="005C1467"/>
    <w:rsid w:val="005C1502"/>
    <w:rsid w:val="005C1746"/>
    <w:rsid w:val="005C1F6A"/>
    <w:rsid w:val="005C2170"/>
    <w:rsid w:val="005C2F03"/>
    <w:rsid w:val="005C2F77"/>
    <w:rsid w:val="005C3717"/>
    <w:rsid w:val="005C3814"/>
    <w:rsid w:val="005C389F"/>
    <w:rsid w:val="005C38A2"/>
    <w:rsid w:val="005C3B76"/>
    <w:rsid w:val="005C421F"/>
    <w:rsid w:val="005C4361"/>
    <w:rsid w:val="005C45E4"/>
    <w:rsid w:val="005C48B4"/>
    <w:rsid w:val="005C4B12"/>
    <w:rsid w:val="005C4B7F"/>
    <w:rsid w:val="005C4FBE"/>
    <w:rsid w:val="005C50FA"/>
    <w:rsid w:val="005C52C4"/>
    <w:rsid w:val="005C547A"/>
    <w:rsid w:val="005C5A21"/>
    <w:rsid w:val="005C5A2E"/>
    <w:rsid w:val="005C6045"/>
    <w:rsid w:val="005C63FF"/>
    <w:rsid w:val="005C6589"/>
    <w:rsid w:val="005C661A"/>
    <w:rsid w:val="005C69F6"/>
    <w:rsid w:val="005C7014"/>
    <w:rsid w:val="005C7192"/>
    <w:rsid w:val="005C74C0"/>
    <w:rsid w:val="005C7E2E"/>
    <w:rsid w:val="005D00E2"/>
    <w:rsid w:val="005D0637"/>
    <w:rsid w:val="005D0B0A"/>
    <w:rsid w:val="005D1575"/>
    <w:rsid w:val="005D187A"/>
    <w:rsid w:val="005D1ACA"/>
    <w:rsid w:val="005D2272"/>
    <w:rsid w:val="005D25FC"/>
    <w:rsid w:val="005D2B5E"/>
    <w:rsid w:val="005D3213"/>
    <w:rsid w:val="005D33E5"/>
    <w:rsid w:val="005D3557"/>
    <w:rsid w:val="005D3751"/>
    <w:rsid w:val="005D37FA"/>
    <w:rsid w:val="005D3AAC"/>
    <w:rsid w:val="005D3C95"/>
    <w:rsid w:val="005D4026"/>
    <w:rsid w:val="005D4D9E"/>
    <w:rsid w:val="005D5072"/>
    <w:rsid w:val="005D52CF"/>
    <w:rsid w:val="005D58C3"/>
    <w:rsid w:val="005D60FE"/>
    <w:rsid w:val="005D6418"/>
    <w:rsid w:val="005D7678"/>
    <w:rsid w:val="005D7722"/>
    <w:rsid w:val="005D7FA3"/>
    <w:rsid w:val="005E1509"/>
    <w:rsid w:val="005E1551"/>
    <w:rsid w:val="005E16E3"/>
    <w:rsid w:val="005E1759"/>
    <w:rsid w:val="005E1B51"/>
    <w:rsid w:val="005E25A6"/>
    <w:rsid w:val="005E270C"/>
    <w:rsid w:val="005E276A"/>
    <w:rsid w:val="005E2BE7"/>
    <w:rsid w:val="005E3036"/>
    <w:rsid w:val="005E334F"/>
    <w:rsid w:val="005E3557"/>
    <w:rsid w:val="005E3630"/>
    <w:rsid w:val="005E3B74"/>
    <w:rsid w:val="005E3BFB"/>
    <w:rsid w:val="005E4019"/>
    <w:rsid w:val="005E41B1"/>
    <w:rsid w:val="005E4237"/>
    <w:rsid w:val="005E44BC"/>
    <w:rsid w:val="005E4942"/>
    <w:rsid w:val="005E548D"/>
    <w:rsid w:val="005E5DE3"/>
    <w:rsid w:val="005E5F36"/>
    <w:rsid w:val="005E669F"/>
    <w:rsid w:val="005E6744"/>
    <w:rsid w:val="005E6815"/>
    <w:rsid w:val="005E6DD9"/>
    <w:rsid w:val="005E6F6E"/>
    <w:rsid w:val="005E7604"/>
    <w:rsid w:val="005E7CDA"/>
    <w:rsid w:val="005E7FD2"/>
    <w:rsid w:val="005F0324"/>
    <w:rsid w:val="005F0447"/>
    <w:rsid w:val="005F04C0"/>
    <w:rsid w:val="005F0747"/>
    <w:rsid w:val="005F07F5"/>
    <w:rsid w:val="005F0B88"/>
    <w:rsid w:val="005F0C58"/>
    <w:rsid w:val="005F0F49"/>
    <w:rsid w:val="005F1651"/>
    <w:rsid w:val="005F1B67"/>
    <w:rsid w:val="005F23DE"/>
    <w:rsid w:val="005F2AF2"/>
    <w:rsid w:val="005F2CC5"/>
    <w:rsid w:val="005F33FB"/>
    <w:rsid w:val="005F350F"/>
    <w:rsid w:val="005F3873"/>
    <w:rsid w:val="005F3943"/>
    <w:rsid w:val="005F3D75"/>
    <w:rsid w:val="005F3E68"/>
    <w:rsid w:val="005F42E6"/>
    <w:rsid w:val="005F431A"/>
    <w:rsid w:val="005F436C"/>
    <w:rsid w:val="005F4532"/>
    <w:rsid w:val="005F472D"/>
    <w:rsid w:val="005F4815"/>
    <w:rsid w:val="005F4919"/>
    <w:rsid w:val="005F4BC2"/>
    <w:rsid w:val="005F5141"/>
    <w:rsid w:val="005F51F2"/>
    <w:rsid w:val="005F569F"/>
    <w:rsid w:val="005F579B"/>
    <w:rsid w:val="005F590E"/>
    <w:rsid w:val="005F5F0B"/>
    <w:rsid w:val="005F6230"/>
    <w:rsid w:val="005F668D"/>
    <w:rsid w:val="005F676F"/>
    <w:rsid w:val="005F67F0"/>
    <w:rsid w:val="005F6BE6"/>
    <w:rsid w:val="005F70AD"/>
    <w:rsid w:val="005F730C"/>
    <w:rsid w:val="005F7584"/>
    <w:rsid w:val="005F77A1"/>
    <w:rsid w:val="005F784F"/>
    <w:rsid w:val="005F78BA"/>
    <w:rsid w:val="005F7C38"/>
    <w:rsid w:val="00600146"/>
    <w:rsid w:val="00600379"/>
    <w:rsid w:val="006003DE"/>
    <w:rsid w:val="00600C2C"/>
    <w:rsid w:val="00600EC1"/>
    <w:rsid w:val="006015FF"/>
    <w:rsid w:val="00601A15"/>
    <w:rsid w:val="00601DD8"/>
    <w:rsid w:val="00602062"/>
    <w:rsid w:val="00602183"/>
    <w:rsid w:val="006023EB"/>
    <w:rsid w:val="00602D84"/>
    <w:rsid w:val="006039DB"/>
    <w:rsid w:val="00603A3B"/>
    <w:rsid w:val="00603B58"/>
    <w:rsid w:val="006043DE"/>
    <w:rsid w:val="00604544"/>
    <w:rsid w:val="006048AF"/>
    <w:rsid w:val="00604BFB"/>
    <w:rsid w:val="00605191"/>
    <w:rsid w:val="006051AB"/>
    <w:rsid w:val="00605312"/>
    <w:rsid w:val="00605479"/>
    <w:rsid w:val="00605583"/>
    <w:rsid w:val="0060562E"/>
    <w:rsid w:val="00605AB8"/>
    <w:rsid w:val="00605AC1"/>
    <w:rsid w:val="006064D4"/>
    <w:rsid w:val="006066EE"/>
    <w:rsid w:val="00606B28"/>
    <w:rsid w:val="006072E6"/>
    <w:rsid w:val="006075FE"/>
    <w:rsid w:val="00607679"/>
    <w:rsid w:val="0060773D"/>
    <w:rsid w:val="00607805"/>
    <w:rsid w:val="006079C8"/>
    <w:rsid w:val="00607A44"/>
    <w:rsid w:val="00607A7B"/>
    <w:rsid w:val="00607A85"/>
    <w:rsid w:val="00607C65"/>
    <w:rsid w:val="00607CE3"/>
    <w:rsid w:val="006102C6"/>
    <w:rsid w:val="00610381"/>
    <w:rsid w:val="006107D3"/>
    <w:rsid w:val="00610C94"/>
    <w:rsid w:val="00611CC6"/>
    <w:rsid w:val="00611D0D"/>
    <w:rsid w:val="006125BB"/>
    <w:rsid w:val="00612725"/>
    <w:rsid w:val="0061280E"/>
    <w:rsid w:val="00612D04"/>
    <w:rsid w:val="00612F11"/>
    <w:rsid w:val="0061308B"/>
    <w:rsid w:val="00613545"/>
    <w:rsid w:val="0061382F"/>
    <w:rsid w:val="00613A1F"/>
    <w:rsid w:val="00613AE5"/>
    <w:rsid w:val="00613F6A"/>
    <w:rsid w:val="00614E2C"/>
    <w:rsid w:val="00614F10"/>
    <w:rsid w:val="00614F24"/>
    <w:rsid w:val="00615320"/>
    <w:rsid w:val="00615C17"/>
    <w:rsid w:val="00615F86"/>
    <w:rsid w:val="006161D7"/>
    <w:rsid w:val="00616381"/>
    <w:rsid w:val="006165DE"/>
    <w:rsid w:val="00616DC1"/>
    <w:rsid w:val="00616E2B"/>
    <w:rsid w:val="0061700A"/>
    <w:rsid w:val="0061718B"/>
    <w:rsid w:val="006171C1"/>
    <w:rsid w:val="006176F4"/>
    <w:rsid w:val="00617828"/>
    <w:rsid w:val="006178E3"/>
    <w:rsid w:val="00617AF1"/>
    <w:rsid w:val="006201C7"/>
    <w:rsid w:val="006204DC"/>
    <w:rsid w:val="00620D1D"/>
    <w:rsid w:val="0062163E"/>
    <w:rsid w:val="00622415"/>
    <w:rsid w:val="0062246F"/>
    <w:rsid w:val="006224EE"/>
    <w:rsid w:val="00622567"/>
    <w:rsid w:val="00622A37"/>
    <w:rsid w:val="00622D25"/>
    <w:rsid w:val="00622D41"/>
    <w:rsid w:val="00622E5F"/>
    <w:rsid w:val="00622E72"/>
    <w:rsid w:val="00622EF6"/>
    <w:rsid w:val="0062308B"/>
    <w:rsid w:val="00623287"/>
    <w:rsid w:val="006233B5"/>
    <w:rsid w:val="00623845"/>
    <w:rsid w:val="00623852"/>
    <w:rsid w:val="0062444B"/>
    <w:rsid w:val="006248B4"/>
    <w:rsid w:val="006249DA"/>
    <w:rsid w:val="0062561F"/>
    <w:rsid w:val="0062590A"/>
    <w:rsid w:val="00625A89"/>
    <w:rsid w:val="00625DDF"/>
    <w:rsid w:val="00626733"/>
    <w:rsid w:val="006267A6"/>
    <w:rsid w:val="00626D9F"/>
    <w:rsid w:val="00626E9E"/>
    <w:rsid w:val="00626F26"/>
    <w:rsid w:val="00627011"/>
    <w:rsid w:val="00627130"/>
    <w:rsid w:val="00627392"/>
    <w:rsid w:val="006273F6"/>
    <w:rsid w:val="00627422"/>
    <w:rsid w:val="00627579"/>
    <w:rsid w:val="00627919"/>
    <w:rsid w:val="00627C57"/>
    <w:rsid w:val="00630059"/>
    <w:rsid w:val="006300AD"/>
    <w:rsid w:val="006300FC"/>
    <w:rsid w:val="006308E5"/>
    <w:rsid w:val="00630CA9"/>
    <w:rsid w:val="00630FF6"/>
    <w:rsid w:val="00631076"/>
    <w:rsid w:val="00631308"/>
    <w:rsid w:val="00631A39"/>
    <w:rsid w:val="00631D57"/>
    <w:rsid w:val="00631DE8"/>
    <w:rsid w:val="00631E84"/>
    <w:rsid w:val="006324AB"/>
    <w:rsid w:val="00632644"/>
    <w:rsid w:val="00632FAB"/>
    <w:rsid w:val="00633C56"/>
    <w:rsid w:val="00633DA4"/>
    <w:rsid w:val="00634163"/>
    <w:rsid w:val="00634417"/>
    <w:rsid w:val="006349E1"/>
    <w:rsid w:val="00634AB6"/>
    <w:rsid w:val="00634BCB"/>
    <w:rsid w:val="00634F58"/>
    <w:rsid w:val="00635096"/>
    <w:rsid w:val="00635143"/>
    <w:rsid w:val="006351C4"/>
    <w:rsid w:val="00635303"/>
    <w:rsid w:val="00635505"/>
    <w:rsid w:val="006356C5"/>
    <w:rsid w:val="0063583F"/>
    <w:rsid w:val="00635FA1"/>
    <w:rsid w:val="00636303"/>
    <w:rsid w:val="006363A7"/>
    <w:rsid w:val="006363C2"/>
    <w:rsid w:val="00636C86"/>
    <w:rsid w:val="00636DE3"/>
    <w:rsid w:val="00636F58"/>
    <w:rsid w:val="00637022"/>
    <w:rsid w:val="006378D3"/>
    <w:rsid w:val="006379AE"/>
    <w:rsid w:val="00637CFD"/>
    <w:rsid w:val="00637EFC"/>
    <w:rsid w:val="0064003F"/>
    <w:rsid w:val="00640127"/>
    <w:rsid w:val="00640176"/>
    <w:rsid w:val="006404E7"/>
    <w:rsid w:val="00640B38"/>
    <w:rsid w:val="0064135A"/>
    <w:rsid w:val="00641640"/>
    <w:rsid w:val="00641B26"/>
    <w:rsid w:val="00641B52"/>
    <w:rsid w:val="006420D5"/>
    <w:rsid w:val="00642ACB"/>
    <w:rsid w:val="00642BD7"/>
    <w:rsid w:val="00642CE1"/>
    <w:rsid w:val="00642DB8"/>
    <w:rsid w:val="0064326A"/>
    <w:rsid w:val="0064327E"/>
    <w:rsid w:val="0064337B"/>
    <w:rsid w:val="006433F4"/>
    <w:rsid w:val="006434FC"/>
    <w:rsid w:val="00643652"/>
    <w:rsid w:val="00643804"/>
    <w:rsid w:val="0064388C"/>
    <w:rsid w:val="006438CB"/>
    <w:rsid w:val="00643B67"/>
    <w:rsid w:val="00644734"/>
    <w:rsid w:val="00644906"/>
    <w:rsid w:val="00644C72"/>
    <w:rsid w:val="0064500C"/>
    <w:rsid w:val="0064519E"/>
    <w:rsid w:val="00645398"/>
    <w:rsid w:val="00645B88"/>
    <w:rsid w:val="006463C9"/>
    <w:rsid w:val="00646A2A"/>
    <w:rsid w:val="00646B3D"/>
    <w:rsid w:val="00646BFE"/>
    <w:rsid w:val="0064708D"/>
    <w:rsid w:val="006472CE"/>
    <w:rsid w:val="00647523"/>
    <w:rsid w:val="00647DC5"/>
    <w:rsid w:val="006500CC"/>
    <w:rsid w:val="00650852"/>
    <w:rsid w:val="00650A67"/>
    <w:rsid w:val="00650DF8"/>
    <w:rsid w:val="00650FE0"/>
    <w:rsid w:val="00651566"/>
    <w:rsid w:val="006517B7"/>
    <w:rsid w:val="006518C6"/>
    <w:rsid w:val="00651A15"/>
    <w:rsid w:val="00651E4F"/>
    <w:rsid w:val="006522C6"/>
    <w:rsid w:val="006526BD"/>
    <w:rsid w:val="00652A4C"/>
    <w:rsid w:val="00653A3A"/>
    <w:rsid w:val="006541D5"/>
    <w:rsid w:val="0065430E"/>
    <w:rsid w:val="00654331"/>
    <w:rsid w:val="00654333"/>
    <w:rsid w:val="006543F3"/>
    <w:rsid w:val="00654892"/>
    <w:rsid w:val="00654CFA"/>
    <w:rsid w:val="00654DED"/>
    <w:rsid w:val="00655212"/>
    <w:rsid w:val="00655CB6"/>
    <w:rsid w:val="00655CC6"/>
    <w:rsid w:val="00655CF7"/>
    <w:rsid w:val="00655E2B"/>
    <w:rsid w:val="00656041"/>
    <w:rsid w:val="006560AD"/>
    <w:rsid w:val="006560E6"/>
    <w:rsid w:val="006564B5"/>
    <w:rsid w:val="006576BB"/>
    <w:rsid w:val="006576CB"/>
    <w:rsid w:val="0065778E"/>
    <w:rsid w:val="006579D0"/>
    <w:rsid w:val="00657A3F"/>
    <w:rsid w:val="00657B85"/>
    <w:rsid w:val="00657B8A"/>
    <w:rsid w:val="00657C11"/>
    <w:rsid w:val="006602E0"/>
    <w:rsid w:val="00660610"/>
    <w:rsid w:val="00660854"/>
    <w:rsid w:val="0066092A"/>
    <w:rsid w:val="00660C57"/>
    <w:rsid w:val="00660E37"/>
    <w:rsid w:val="00661026"/>
    <w:rsid w:val="00661061"/>
    <w:rsid w:val="0066142B"/>
    <w:rsid w:val="006614DF"/>
    <w:rsid w:val="006616A5"/>
    <w:rsid w:val="00661812"/>
    <w:rsid w:val="00661D2B"/>
    <w:rsid w:val="00661FE7"/>
    <w:rsid w:val="00662270"/>
    <w:rsid w:val="006624C6"/>
    <w:rsid w:val="00662746"/>
    <w:rsid w:val="00662888"/>
    <w:rsid w:val="00662AFD"/>
    <w:rsid w:val="00662C78"/>
    <w:rsid w:val="00662D1E"/>
    <w:rsid w:val="00663491"/>
    <w:rsid w:val="00663578"/>
    <w:rsid w:val="0066384F"/>
    <w:rsid w:val="00663C1B"/>
    <w:rsid w:val="00663E18"/>
    <w:rsid w:val="006641B8"/>
    <w:rsid w:val="006645C2"/>
    <w:rsid w:val="00664913"/>
    <w:rsid w:val="0066507D"/>
    <w:rsid w:val="006652D0"/>
    <w:rsid w:val="006659D5"/>
    <w:rsid w:val="00665BD8"/>
    <w:rsid w:val="00665FC9"/>
    <w:rsid w:val="00666236"/>
    <w:rsid w:val="006663A8"/>
    <w:rsid w:val="0066653E"/>
    <w:rsid w:val="0066738D"/>
    <w:rsid w:val="006673F2"/>
    <w:rsid w:val="006679D7"/>
    <w:rsid w:val="0067004D"/>
    <w:rsid w:val="006701BD"/>
    <w:rsid w:val="006702DC"/>
    <w:rsid w:val="00670404"/>
    <w:rsid w:val="00670507"/>
    <w:rsid w:val="00670A44"/>
    <w:rsid w:val="00670C3C"/>
    <w:rsid w:val="00670E79"/>
    <w:rsid w:val="0067109A"/>
    <w:rsid w:val="00671B1E"/>
    <w:rsid w:val="00671B73"/>
    <w:rsid w:val="00671E85"/>
    <w:rsid w:val="00672034"/>
    <w:rsid w:val="00673003"/>
    <w:rsid w:val="006730C7"/>
    <w:rsid w:val="006735C3"/>
    <w:rsid w:val="00673A9D"/>
    <w:rsid w:val="00673D74"/>
    <w:rsid w:val="00673FF8"/>
    <w:rsid w:val="0067452A"/>
    <w:rsid w:val="00674CD3"/>
    <w:rsid w:val="00674FD4"/>
    <w:rsid w:val="00675184"/>
    <w:rsid w:val="0067524A"/>
    <w:rsid w:val="00675354"/>
    <w:rsid w:val="00676048"/>
    <w:rsid w:val="00676170"/>
    <w:rsid w:val="00676890"/>
    <w:rsid w:val="00676C3C"/>
    <w:rsid w:val="00676CB1"/>
    <w:rsid w:val="0067701F"/>
    <w:rsid w:val="006773BD"/>
    <w:rsid w:val="00677733"/>
    <w:rsid w:val="00677775"/>
    <w:rsid w:val="00677A37"/>
    <w:rsid w:val="00677B72"/>
    <w:rsid w:val="00677CCE"/>
    <w:rsid w:val="00677F16"/>
    <w:rsid w:val="00677FD1"/>
    <w:rsid w:val="00680208"/>
    <w:rsid w:val="00680A4C"/>
    <w:rsid w:val="00680A7D"/>
    <w:rsid w:val="00680AFA"/>
    <w:rsid w:val="00680F48"/>
    <w:rsid w:val="00680FA9"/>
    <w:rsid w:val="00680FD9"/>
    <w:rsid w:val="0068207D"/>
    <w:rsid w:val="00682A7A"/>
    <w:rsid w:val="00683134"/>
    <w:rsid w:val="0068324E"/>
    <w:rsid w:val="006834AE"/>
    <w:rsid w:val="00683B25"/>
    <w:rsid w:val="00683DF7"/>
    <w:rsid w:val="00684087"/>
    <w:rsid w:val="00684151"/>
    <w:rsid w:val="00684808"/>
    <w:rsid w:val="0068487E"/>
    <w:rsid w:val="00684BD7"/>
    <w:rsid w:val="00686041"/>
    <w:rsid w:val="00686467"/>
    <w:rsid w:val="006868ED"/>
    <w:rsid w:val="006869E6"/>
    <w:rsid w:val="00686A31"/>
    <w:rsid w:val="00686B5C"/>
    <w:rsid w:val="00686CCD"/>
    <w:rsid w:val="00686DE3"/>
    <w:rsid w:val="00686F9D"/>
    <w:rsid w:val="00687235"/>
    <w:rsid w:val="00687372"/>
    <w:rsid w:val="006873C0"/>
    <w:rsid w:val="00687557"/>
    <w:rsid w:val="00687BEE"/>
    <w:rsid w:val="00690BDA"/>
    <w:rsid w:val="00690C15"/>
    <w:rsid w:val="0069106B"/>
    <w:rsid w:val="006912CC"/>
    <w:rsid w:val="006912F5"/>
    <w:rsid w:val="00691433"/>
    <w:rsid w:val="00691730"/>
    <w:rsid w:val="00691B34"/>
    <w:rsid w:val="00691B9B"/>
    <w:rsid w:val="00692085"/>
    <w:rsid w:val="00692415"/>
    <w:rsid w:val="0069260D"/>
    <w:rsid w:val="00692B31"/>
    <w:rsid w:val="00693903"/>
    <w:rsid w:val="00693E3D"/>
    <w:rsid w:val="006944AC"/>
    <w:rsid w:val="00694903"/>
    <w:rsid w:val="0069494F"/>
    <w:rsid w:val="0069509F"/>
    <w:rsid w:val="006950A7"/>
    <w:rsid w:val="00695944"/>
    <w:rsid w:val="00695C07"/>
    <w:rsid w:val="00695D17"/>
    <w:rsid w:val="00695EAC"/>
    <w:rsid w:val="0069657D"/>
    <w:rsid w:val="00696B3D"/>
    <w:rsid w:val="00696CE9"/>
    <w:rsid w:val="00696DA1"/>
    <w:rsid w:val="00697120"/>
    <w:rsid w:val="00697260"/>
    <w:rsid w:val="00697A66"/>
    <w:rsid w:val="006A0116"/>
    <w:rsid w:val="006A0C41"/>
    <w:rsid w:val="006A0C4C"/>
    <w:rsid w:val="006A0DA4"/>
    <w:rsid w:val="006A1300"/>
    <w:rsid w:val="006A14F2"/>
    <w:rsid w:val="006A1626"/>
    <w:rsid w:val="006A16B8"/>
    <w:rsid w:val="006A1B35"/>
    <w:rsid w:val="006A1F28"/>
    <w:rsid w:val="006A2335"/>
    <w:rsid w:val="006A24EE"/>
    <w:rsid w:val="006A2748"/>
    <w:rsid w:val="006A2771"/>
    <w:rsid w:val="006A27FD"/>
    <w:rsid w:val="006A289B"/>
    <w:rsid w:val="006A295A"/>
    <w:rsid w:val="006A2AF2"/>
    <w:rsid w:val="006A2C02"/>
    <w:rsid w:val="006A2C31"/>
    <w:rsid w:val="006A3144"/>
    <w:rsid w:val="006A314D"/>
    <w:rsid w:val="006A3168"/>
    <w:rsid w:val="006A33CD"/>
    <w:rsid w:val="006A3500"/>
    <w:rsid w:val="006A3961"/>
    <w:rsid w:val="006A3EE5"/>
    <w:rsid w:val="006A40E4"/>
    <w:rsid w:val="006A41A8"/>
    <w:rsid w:val="006A43E2"/>
    <w:rsid w:val="006A45BF"/>
    <w:rsid w:val="006A47C8"/>
    <w:rsid w:val="006A4904"/>
    <w:rsid w:val="006A54C7"/>
    <w:rsid w:val="006A56C3"/>
    <w:rsid w:val="006A56FC"/>
    <w:rsid w:val="006A582D"/>
    <w:rsid w:val="006A582E"/>
    <w:rsid w:val="006A5E28"/>
    <w:rsid w:val="006A655B"/>
    <w:rsid w:val="006A67B9"/>
    <w:rsid w:val="006A6959"/>
    <w:rsid w:val="006A6A76"/>
    <w:rsid w:val="006A6C70"/>
    <w:rsid w:val="006A6D2C"/>
    <w:rsid w:val="006A70C8"/>
    <w:rsid w:val="006A7250"/>
    <w:rsid w:val="006A7307"/>
    <w:rsid w:val="006A7DDF"/>
    <w:rsid w:val="006A7E0C"/>
    <w:rsid w:val="006B0D03"/>
    <w:rsid w:val="006B10A3"/>
    <w:rsid w:val="006B10C3"/>
    <w:rsid w:val="006B1559"/>
    <w:rsid w:val="006B18A5"/>
    <w:rsid w:val="006B19D9"/>
    <w:rsid w:val="006B1BFE"/>
    <w:rsid w:val="006B1F09"/>
    <w:rsid w:val="006B1F18"/>
    <w:rsid w:val="006B208B"/>
    <w:rsid w:val="006B229D"/>
    <w:rsid w:val="006B2BEE"/>
    <w:rsid w:val="006B2C7B"/>
    <w:rsid w:val="006B3021"/>
    <w:rsid w:val="006B359A"/>
    <w:rsid w:val="006B3891"/>
    <w:rsid w:val="006B3A4A"/>
    <w:rsid w:val="006B3CBF"/>
    <w:rsid w:val="006B42FA"/>
    <w:rsid w:val="006B4BB6"/>
    <w:rsid w:val="006B4FDF"/>
    <w:rsid w:val="006B5108"/>
    <w:rsid w:val="006B5FA6"/>
    <w:rsid w:val="006B606E"/>
    <w:rsid w:val="006B6278"/>
    <w:rsid w:val="006B62EE"/>
    <w:rsid w:val="006B63ED"/>
    <w:rsid w:val="006B65FB"/>
    <w:rsid w:val="006B662D"/>
    <w:rsid w:val="006B6842"/>
    <w:rsid w:val="006B73A6"/>
    <w:rsid w:val="006B77B2"/>
    <w:rsid w:val="006B7865"/>
    <w:rsid w:val="006B7DEE"/>
    <w:rsid w:val="006B7F9B"/>
    <w:rsid w:val="006C056E"/>
    <w:rsid w:val="006C09C6"/>
    <w:rsid w:val="006C0AEE"/>
    <w:rsid w:val="006C0C3C"/>
    <w:rsid w:val="006C0F58"/>
    <w:rsid w:val="006C0FCE"/>
    <w:rsid w:val="006C0FEC"/>
    <w:rsid w:val="006C11F9"/>
    <w:rsid w:val="006C17B7"/>
    <w:rsid w:val="006C2019"/>
    <w:rsid w:val="006C2200"/>
    <w:rsid w:val="006C25D4"/>
    <w:rsid w:val="006C278D"/>
    <w:rsid w:val="006C329C"/>
    <w:rsid w:val="006C349C"/>
    <w:rsid w:val="006C39D7"/>
    <w:rsid w:val="006C3A44"/>
    <w:rsid w:val="006C3D25"/>
    <w:rsid w:val="006C4061"/>
    <w:rsid w:val="006C4070"/>
    <w:rsid w:val="006C42E6"/>
    <w:rsid w:val="006C4771"/>
    <w:rsid w:val="006C4A1E"/>
    <w:rsid w:val="006C4A8C"/>
    <w:rsid w:val="006C4B22"/>
    <w:rsid w:val="006C4D1F"/>
    <w:rsid w:val="006C4F6A"/>
    <w:rsid w:val="006C58CB"/>
    <w:rsid w:val="006C5920"/>
    <w:rsid w:val="006C5F32"/>
    <w:rsid w:val="006C5F7A"/>
    <w:rsid w:val="006C6379"/>
    <w:rsid w:val="006C69D0"/>
    <w:rsid w:val="006C6AA9"/>
    <w:rsid w:val="006C7739"/>
    <w:rsid w:val="006C7955"/>
    <w:rsid w:val="006C7A91"/>
    <w:rsid w:val="006C7B62"/>
    <w:rsid w:val="006C7C11"/>
    <w:rsid w:val="006D0008"/>
    <w:rsid w:val="006D0242"/>
    <w:rsid w:val="006D026B"/>
    <w:rsid w:val="006D03A5"/>
    <w:rsid w:val="006D0822"/>
    <w:rsid w:val="006D08FB"/>
    <w:rsid w:val="006D091C"/>
    <w:rsid w:val="006D094E"/>
    <w:rsid w:val="006D0B91"/>
    <w:rsid w:val="006D0BA4"/>
    <w:rsid w:val="006D1F98"/>
    <w:rsid w:val="006D2093"/>
    <w:rsid w:val="006D20EA"/>
    <w:rsid w:val="006D2500"/>
    <w:rsid w:val="006D27A3"/>
    <w:rsid w:val="006D28DB"/>
    <w:rsid w:val="006D2F6E"/>
    <w:rsid w:val="006D3099"/>
    <w:rsid w:val="006D3214"/>
    <w:rsid w:val="006D3501"/>
    <w:rsid w:val="006D40A4"/>
    <w:rsid w:val="006D4156"/>
    <w:rsid w:val="006D55DD"/>
    <w:rsid w:val="006D5730"/>
    <w:rsid w:val="006D59A9"/>
    <w:rsid w:val="006D5CB5"/>
    <w:rsid w:val="006D5E35"/>
    <w:rsid w:val="006D60B1"/>
    <w:rsid w:val="006D60C5"/>
    <w:rsid w:val="006D62AB"/>
    <w:rsid w:val="006D6367"/>
    <w:rsid w:val="006D69DE"/>
    <w:rsid w:val="006D7328"/>
    <w:rsid w:val="006D7F74"/>
    <w:rsid w:val="006E00BB"/>
    <w:rsid w:val="006E02D4"/>
    <w:rsid w:val="006E0DDD"/>
    <w:rsid w:val="006E10AA"/>
    <w:rsid w:val="006E10BB"/>
    <w:rsid w:val="006E160D"/>
    <w:rsid w:val="006E16DE"/>
    <w:rsid w:val="006E1A97"/>
    <w:rsid w:val="006E1D32"/>
    <w:rsid w:val="006E1DD9"/>
    <w:rsid w:val="006E1E3B"/>
    <w:rsid w:val="006E2063"/>
    <w:rsid w:val="006E2146"/>
    <w:rsid w:val="006E2206"/>
    <w:rsid w:val="006E260F"/>
    <w:rsid w:val="006E26F4"/>
    <w:rsid w:val="006E2AAF"/>
    <w:rsid w:val="006E2C7B"/>
    <w:rsid w:val="006E2CFB"/>
    <w:rsid w:val="006E3D4F"/>
    <w:rsid w:val="006E3DB7"/>
    <w:rsid w:val="006E403F"/>
    <w:rsid w:val="006E4661"/>
    <w:rsid w:val="006E566B"/>
    <w:rsid w:val="006E5884"/>
    <w:rsid w:val="006E5963"/>
    <w:rsid w:val="006E5B5A"/>
    <w:rsid w:val="006E5BA3"/>
    <w:rsid w:val="006E5FB3"/>
    <w:rsid w:val="006E6142"/>
    <w:rsid w:val="006E61A6"/>
    <w:rsid w:val="006E6249"/>
    <w:rsid w:val="006E6B3F"/>
    <w:rsid w:val="006E735F"/>
    <w:rsid w:val="006E78EE"/>
    <w:rsid w:val="006E7E8D"/>
    <w:rsid w:val="006F032D"/>
    <w:rsid w:val="006F06A1"/>
    <w:rsid w:val="006F12B4"/>
    <w:rsid w:val="006F1455"/>
    <w:rsid w:val="006F154D"/>
    <w:rsid w:val="006F188C"/>
    <w:rsid w:val="006F18AD"/>
    <w:rsid w:val="006F1B81"/>
    <w:rsid w:val="006F1C18"/>
    <w:rsid w:val="006F1D46"/>
    <w:rsid w:val="006F1E7F"/>
    <w:rsid w:val="006F1EFD"/>
    <w:rsid w:val="006F24E5"/>
    <w:rsid w:val="006F257A"/>
    <w:rsid w:val="006F2685"/>
    <w:rsid w:val="006F269A"/>
    <w:rsid w:val="006F2CA0"/>
    <w:rsid w:val="006F2CED"/>
    <w:rsid w:val="006F2E7A"/>
    <w:rsid w:val="006F2F51"/>
    <w:rsid w:val="006F3098"/>
    <w:rsid w:val="006F32A0"/>
    <w:rsid w:val="006F33D5"/>
    <w:rsid w:val="006F33F3"/>
    <w:rsid w:val="006F3584"/>
    <w:rsid w:val="006F39E1"/>
    <w:rsid w:val="006F4709"/>
    <w:rsid w:val="006F49E7"/>
    <w:rsid w:val="006F4E52"/>
    <w:rsid w:val="006F4F4C"/>
    <w:rsid w:val="006F4FE1"/>
    <w:rsid w:val="006F5550"/>
    <w:rsid w:val="006F5DD6"/>
    <w:rsid w:val="006F636F"/>
    <w:rsid w:val="006F63DB"/>
    <w:rsid w:val="006F6A2B"/>
    <w:rsid w:val="006F7250"/>
    <w:rsid w:val="006F725C"/>
    <w:rsid w:val="006F7410"/>
    <w:rsid w:val="006F7DE6"/>
    <w:rsid w:val="006F7F17"/>
    <w:rsid w:val="00700663"/>
    <w:rsid w:val="007006E5"/>
    <w:rsid w:val="0070071F"/>
    <w:rsid w:val="00700790"/>
    <w:rsid w:val="007007BD"/>
    <w:rsid w:val="00700ABD"/>
    <w:rsid w:val="00701524"/>
    <w:rsid w:val="007024AA"/>
    <w:rsid w:val="00702801"/>
    <w:rsid w:val="00702AF7"/>
    <w:rsid w:val="00703395"/>
    <w:rsid w:val="0070342E"/>
    <w:rsid w:val="00703501"/>
    <w:rsid w:val="007038B9"/>
    <w:rsid w:val="00703E49"/>
    <w:rsid w:val="0070469F"/>
    <w:rsid w:val="00704A46"/>
    <w:rsid w:val="00704ED4"/>
    <w:rsid w:val="007050C6"/>
    <w:rsid w:val="007050ED"/>
    <w:rsid w:val="007051A4"/>
    <w:rsid w:val="00705EC3"/>
    <w:rsid w:val="00706096"/>
    <w:rsid w:val="00706159"/>
    <w:rsid w:val="007064A8"/>
    <w:rsid w:val="007064B2"/>
    <w:rsid w:val="00706817"/>
    <w:rsid w:val="007068AB"/>
    <w:rsid w:val="007069F2"/>
    <w:rsid w:val="00707361"/>
    <w:rsid w:val="007074FD"/>
    <w:rsid w:val="0070755C"/>
    <w:rsid w:val="007076BB"/>
    <w:rsid w:val="007077A2"/>
    <w:rsid w:val="00710038"/>
    <w:rsid w:val="00710041"/>
    <w:rsid w:val="00710148"/>
    <w:rsid w:val="00710652"/>
    <w:rsid w:val="007109D0"/>
    <w:rsid w:val="00710DC9"/>
    <w:rsid w:val="00710FD1"/>
    <w:rsid w:val="0071111F"/>
    <w:rsid w:val="0071120D"/>
    <w:rsid w:val="00711549"/>
    <w:rsid w:val="007116E6"/>
    <w:rsid w:val="00711733"/>
    <w:rsid w:val="007118EE"/>
    <w:rsid w:val="00711935"/>
    <w:rsid w:val="00711E43"/>
    <w:rsid w:val="007120B0"/>
    <w:rsid w:val="007127DF"/>
    <w:rsid w:val="00712FC1"/>
    <w:rsid w:val="0071301B"/>
    <w:rsid w:val="007130D4"/>
    <w:rsid w:val="007132F9"/>
    <w:rsid w:val="007136F0"/>
    <w:rsid w:val="00713E6D"/>
    <w:rsid w:val="00714019"/>
    <w:rsid w:val="0071408B"/>
    <w:rsid w:val="007143E6"/>
    <w:rsid w:val="00714495"/>
    <w:rsid w:val="00714DC1"/>
    <w:rsid w:val="007152E8"/>
    <w:rsid w:val="007155A9"/>
    <w:rsid w:val="00715A7D"/>
    <w:rsid w:val="00715B83"/>
    <w:rsid w:val="00715D60"/>
    <w:rsid w:val="00715E7F"/>
    <w:rsid w:val="007163B9"/>
    <w:rsid w:val="00716447"/>
    <w:rsid w:val="007165AC"/>
    <w:rsid w:val="00716B63"/>
    <w:rsid w:val="00716DBF"/>
    <w:rsid w:val="00716EA5"/>
    <w:rsid w:val="0071736D"/>
    <w:rsid w:val="00717481"/>
    <w:rsid w:val="00717BC0"/>
    <w:rsid w:val="007200C7"/>
    <w:rsid w:val="0072015D"/>
    <w:rsid w:val="00720494"/>
    <w:rsid w:val="00720E60"/>
    <w:rsid w:val="00720F7B"/>
    <w:rsid w:val="007210ED"/>
    <w:rsid w:val="007215EB"/>
    <w:rsid w:val="00721AE0"/>
    <w:rsid w:val="00722486"/>
    <w:rsid w:val="0072282F"/>
    <w:rsid w:val="00722D16"/>
    <w:rsid w:val="007235FA"/>
    <w:rsid w:val="007238BB"/>
    <w:rsid w:val="0072393F"/>
    <w:rsid w:val="00723DEF"/>
    <w:rsid w:val="00723F56"/>
    <w:rsid w:val="00724407"/>
    <w:rsid w:val="007248EE"/>
    <w:rsid w:val="00724AE2"/>
    <w:rsid w:val="00724AE9"/>
    <w:rsid w:val="0072518F"/>
    <w:rsid w:val="007253BE"/>
    <w:rsid w:val="007257E0"/>
    <w:rsid w:val="00725813"/>
    <w:rsid w:val="00725B73"/>
    <w:rsid w:val="00725B7B"/>
    <w:rsid w:val="00725D94"/>
    <w:rsid w:val="00726201"/>
    <w:rsid w:val="007271E9"/>
    <w:rsid w:val="007277C5"/>
    <w:rsid w:val="00727A37"/>
    <w:rsid w:val="00727A59"/>
    <w:rsid w:val="00727A74"/>
    <w:rsid w:val="00727BB9"/>
    <w:rsid w:val="00727BF9"/>
    <w:rsid w:val="00727D78"/>
    <w:rsid w:val="00730491"/>
    <w:rsid w:val="00730832"/>
    <w:rsid w:val="007308EE"/>
    <w:rsid w:val="00730B15"/>
    <w:rsid w:val="00730B4F"/>
    <w:rsid w:val="00730DB7"/>
    <w:rsid w:val="00730EC0"/>
    <w:rsid w:val="00730F03"/>
    <w:rsid w:val="00731007"/>
    <w:rsid w:val="0073193D"/>
    <w:rsid w:val="007319BC"/>
    <w:rsid w:val="00731A2F"/>
    <w:rsid w:val="00731F42"/>
    <w:rsid w:val="0073249D"/>
    <w:rsid w:val="0073303D"/>
    <w:rsid w:val="0073457F"/>
    <w:rsid w:val="007346AA"/>
    <w:rsid w:val="00734801"/>
    <w:rsid w:val="00734E00"/>
    <w:rsid w:val="00735378"/>
    <w:rsid w:val="007354FF"/>
    <w:rsid w:val="007356C6"/>
    <w:rsid w:val="00735726"/>
    <w:rsid w:val="007359B3"/>
    <w:rsid w:val="00735CB8"/>
    <w:rsid w:val="00735F1C"/>
    <w:rsid w:val="0073601E"/>
    <w:rsid w:val="00736116"/>
    <w:rsid w:val="007361B8"/>
    <w:rsid w:val="00736414"/>
    <w:rsid w:val="00737CE0"/>
    <w:rsid w:val="00740C09"/>
    <w:rsid w:val="00740D5A"/>
    <w:rsid w:val="00740F0B"/>
    <w:rsid w:val="00741703"/>
    <w:rsid w:val="00741830"/>
    <w:rsid w:val="007419A5"/>
    <w:rsid w:val="007421E6"/>
    <w:rsid w:val="00742331"/>
    <w:rsid w:val="00742668"/>
    <w:rsid w:val="0074274E"/>
    <w:rsid w:val="0074294E"/>
    <w:rsid w:val="00742C4B"/>
    <w:rsid w:val="00742CC1"/>
    <w:rsid w:val="00742DA3"/>
    <w:rsid w:val="00743375"/>
    <w:rsid w:val="007434FC"/>
    <w:rsid w:val="007435D8"/>
    <w:rsid w:val="00743BE2"/>
    <w:rsid w:val="00743E88"/>
    <w:rsid w:val="00744014"/>
    <w:rsid w:val="00744210"/>
    <w:rsid w:val="00744687"/>
    <w:rsid w:val="0074477F"/>
    <w:rsid w:val="00744838"/>
    <w:rsid w:val="00744E34"/>
    <w:rsid w:val="00744F52"/>
    <w:rsid w:val="0074544E"/>
    <w:rsid w:val="00745888"/>
    <w:rsid w:val="0074601D"/>
    <w:rsid w:val="007462CE"/>
    <w:rsid w:val="00746A9D"/>
    <w:rsid w:val="00746D86"/>
    <w:rsid w:val="00746F38"/>
    <w:rsid w:val="0074718B"/>
    <w:rsid w:val="00747618"/>
    <w:rsid w:val="007479F4"/>
    <w:rsid w:val="00747AA9"/>
    <w:rsid w:val="00747AE0"/>
    <w:rsid w:val="00747AE8"/>
    <w:rsid w:val="00747EB9"/>
    <w:rsid w:val="007501BA"/>
    <w:rsid w:val="0075025C"/>
    <w:rsid w:val="00750391"/>
    <w:rsid w:val="007506A7"/>
    <w:rsid w:val="007507C3"/>
    <w:rsid w:val="00750B17"/>
    <w:rsid w:val="00750D30"/>
    <w:rsid w:val="00750ED6"/>
    <w:rsid w:val="00751356"/>
    <w:rsid w:val="00751D18"/>
    <w:rsid w:val="00751E0F"/>
    <w:rsid w:val="00751FEA"/>
    <w:rsid w:val="007521DE"/>
    <w:rsid w:val="0075227E"/>
    <w:rsid w:val="007524AC"/>
    <w:rsid w:val="00752BBE"/>
    <w:rsid w:val="007538BD"/>
    <w:rsid w:val="00753A3E"/>
    <w:rsid w:val="007543C4"/>
    <w:rsid w:val="00754618"/>
    <w:rsid w:val="00755668"/>
    <w:rsid w:val="00755F9C"/>
    <w:rsid w:val="0075602D"/>
    <w:rsid w:val="00756468"/>
    <w:rsid w:val="00756C68"/>
    <w:rsid w:val="00757AA2"/>
    <w:rsid w:val="00757CCA"/>
    <w:rsid w:val="007602A1"/>
    <w:rsid w:val="00760584"/>
    <w:rsid w:val="007606F9"/>
    <w:rsid w:val="00760D5E"/>
    <w:rsid w:val="00761425"/>
    <w:rsid w:val="0076147E"/>
    <w:rsid w:val="007614F6"/>
    <w:rsid w:val="00761555"/>
    <w:rsid w:val="0076159C"/>
    <w:rsid w:val="007618DB"/>
    <w:rsid w:val="00761997"/>
    <w:rsid w:val="007619C8"/>
    <w:rsid w:val="00761B4A"/>
    <w:rsid w:val="00761F26"/>
    <w:rsid w:val="00762071"/>
    <w:rsid w:val="007626C2"/>
    <w:rsid w:val="007626FF"/>
    <w:rsid w:val="007629E5"/>
    <w:rsid w:val="00762E3E"/>
    <w:rsid w:val="00763099"/>
    <w:rsid w:val="00763735"/>
    <w:rsid w:val="007638F7"/>
    <w:rsid w:val="00763A8E"/>
    <w:rsid w:val="00763E10"/>
    <w:rsid w:val="00764336"/>
    <w:rsid w:val="007644D7"/>
    <w:rsid w:val="00764642"/>
    <w:rsid w:val="007649F7"/>
    <w:rsid w:val="00764C22"/>
    <w:rsid w:val="0076535B"/>
    <w:rsid w:val="00765847"/>
    <w:rsid w:val="0076592B"/>
    <w:rsid w:val="007659FE"/>
    <w:rsid w:val="00766280"/>
    <w:rsid w:val="00766318"/>
    <w:rsid w:val="00766494"/>
    <w:rsid w:val="007664A8"/>
    <w:rsid w:val="00766DB6"/>
    <w:rsid w:val="00766F86"/>
    <w:rsid w:val="0076735B"/>
    <w:rsid w:val="007678E8"/>
    <w:rsid w:val="00767CBE"/>
    <w:rsid w:val="00770647"/>
    <w:rsid w:val="00770B3F"/>
    <w:rsid w:val="00770C02"/>
    <w:rsid w:val="0077101D"/>
    <w:rsid w:val="007714C1"/>
    <w:rsid w:val="007716B3"/>
    <w:rsid w:val="00771809"/>
    <w:rsid w:val="00771DA7"/>
    <w:rsid w:val="00771EA6"/>
    <w:rsid w:val="0077239F"/>
    <w:rsid w:val="00772991"/>
    <w:rsid w:val="00772F06"/>
    <w:rsid w:val="007731B1"/>
    <w:rsid w:val="007732FA"/>
    <w:rsid w:val="007733A9"/>
    <w:rsid w:val="00773E71"/>
    <w:rsid w:val="00774252"/>
    <w:rsid w:val="0077449F"/>
    <w:rsid w:val="007745D4"/>
    <w:rsid w:val="00774804"/>
    <w:rsid w:val="00774A43"/>
    <w:rsid w:val="00774CCF"/>
    <w:rsid w:val="00774E52"/>
    <w:rsid w:val="007750D3"/>
    <w:rsid w:val="00775127"/>
    <w:rsid w:val="0077514E"/>
    <w:rsid w:val="007759A5"/>
    <w:rsid w:val="00776179"/>
    <w:rsid w:val="00776317"/>
    <w:rsid w:val="007763A0"/>
    <w:rsid w:val="007763AF"/>
    <w:rsid w:val="00776726"/>
    <w:rsid w:val="007767CE"/>
    <w:rsid w:val="00777164"/>
    <w:rsid w:val="00777364"/>
    <w:rsid w:val="007777C4"/>
    <w:rsid w:val="007778F1"/>
    <w:rsid w:val="00777B0A"/>
    <w:rsid w:val="00780005"/>
    <w:rsid w:val="007808F6"/>
    <w:rsid w:val="007809D7"/>
    <w:rsid w:val="007809DE"/>
    <w:rsid w:val="0078143D"/>
    <w:rsid w:val="00781448"/>
    <w:rsid w:val="007814FC"/>
    <w:rsid w:val="0078196E"/>
    <w:rsid w:val="0078201A"/>
    <w:rsid w:val="0078240F"/>
    <w:rsid w:val="00782A60"/>
    <w:rsid w:val="00782BA7"/>
    <w:rsid w:val="00782BBC"/>
    <w:rsid w:val="00783491"/>
    <w:rsid w:val="007836B7"/>
    <w:rsid w:val="00783ADB"/>
    <w:rsid w:val="00783B02"/>
    <w:rsid w:val="007840C0"/>
    <w:rsid w:val="007841B8"/>
    <w:rsid w:val="00784586"/>
    <w:rsid w:val="00784AF0"/>
    <w:rsid w:val="00784CBC"/>
    <w:rsid w:val="00785095"/>
    <w:rsid w:val="007852B9"/>
    <w:rsid w:val="0078534A"/>
    <w:rsid w:val="00785585"/>
    <w:rsid w:val="00785604"/>
    <w:rsid w:val="00785B2D"/>
    <w:rsid w:val="007865F2"/>
    <w:rsid w:val="00786606"/>
    <w:rsid w:val="007867AE"/>
    <w:rsid w:val="00786F5D"/>
    <w:rsid w:val="00787A23"/>
    <w:rsid w:val="00787BFF"/>
    <w:rsid w:val="00787F41"/>
    <w:rsid w:val="0079006F"/>
    <w:rsid w:val="007903C6"/>
    <w:rsid w:val="007903F9"/>
    <w:rsid w:val="00790727"/>
    <w:rsid w:val="00790C11"/>
    <w:rsid w:val="00791067"/>
    <w:rsid w:val="007912DB"/>
    <w:rsid w:val="00791628"/>
    <w:rsid w:val="00791936"/>
    <w:rsid w:val="00791A1A"/>
    <w:rsid w:val="00791DB6"/>
    <w:rsid w:val="00792A3D"/>
    <w:rsid w:val="007931DE"/>
    <w:rsid w:val="0079371C"/>
    <w:rsid w:val="0079387A"/>
    <w:rsid w:val="00793C70"/>
    <w:rsid w:val="00793EE4"/>
    <w:rsid w:val="0079403F"/>
    <w:rsid w:val="007940B1"/>
    <w:rsid w:val="00794216"/>
    <w:rsid w:val="00794817"/>
    <w:rsid w:val="00795410"/>
    <w:rsid w:val="00795434"/>
    <w:rsid w:val="00795838"/>
    <w:rsid w:val="00795B30"/>
    <w:rsid w:val="00795C4D"/>
    <w:rsid w:val="00795EF6"/>
    <w:rsid w:val="00795FD8"/>
    <w:rsid w:val="00796222"/>
    <w:rsid w:val="0079626F"/>
    <w:rsid w:val="00796374"/>
    <w:rsid w:val="00796A63"/>
    <w:rsid w:val="00796A9F"/>
    <w:rsid w:val="00796B5C"/>
    <w:rsid w:val="00797044"/>
    <w:rsid w:val="007976FC"/>
    <w:rsid w:val="007979DC"/>
    <w:rsid w:val="00797D15"/>
    <w:rsid w:val="00797DE4"/>
    <w:rsid w:val="007A0203"/>
    <w:rsid w:val="007A058C"/>
    <w:rsid w:val="007A080E"/>
    <w:rsid w:val="007A0FA8"/>
    <w:rsid w:val="007A1F4B"/>
    <w:rsid w:val="007A20BE"/>
    <w:rsid w:val="007A23C4"/>
    <w:rsid w:val="007A23E0"/>
    <w:rsid w:val="007A2998"/>
    <w:rsid w:val="007A2BB2"/>
    <w:rsid w:val="007A3A38"/>
    <w:rsid w:val="007A3A94"/>
    <w:rsid w:val="007A3EC3"/>
    <w:rsid w:val="007A3FAD"/>
    <w:rsid w:val="007A45DF"/>
    <w:rsid w:val="007A4FEA"/>
    <w:rsid w:val="007A5AEE"/>
    <w:rsid w:val="007A5ECC"/>
    <w:rsid w:val="007A5F17"/>
    <w:rsid w:val="007A6516"/>
    <w:rsid w:val="007A65DF"/>
    <w:rsid w:val="007A66F6"/>
    <w:rsid w:val="007A677B"/>
    <w:rsid w:val="007A687C"/>
    <w:rsid w:val="007A68F9"/>
    <w:rsid w:val="007A6D58"/>
    <w:rsid w:val="007A6D88"/>
    <w:rsid w:val="007A6FCD"/>
    <w:rsid w:val="007A7E3E"/>
    <w:rsid w:val="007A7FAD"/>
    <w:rsid w:val="007B01FD"/>
    <w:rsid w:val="007B0427"/>
    <w:rsid w:val="007B054D"/>
    <w:rsid w:val="007B0889"/>
    <w:rsid w:val="007B0ABB"/>
    <w:rsid w:val="007B0B01"/>
    <w:rsid w:val="007B0CF2"/>
    <w:rsid w:val="007B0DE0"/>
    <w:rsid w:val="007B1057"/>
    <w:rsid w:val="007B1376"/>
    <w:rsid w:val="007B1558"/>
    <w:rsid w:val="007B17CF"/>
    <w:rsid w:val="007B1B06"/>
    <w:rsid w:val="007B2032"/>
    <w:rsid w:val="007B227F"/>
    <w:rsid w:val="007B2534"/>
    <w:rsid w:val="007B35A6"/>
    <w:rsid w:val="007B3BFF"/>
    <w:rsid w:val="007B44B8"/>
    <w:rsid w:val="007B4664"/>
    <w:rsid w:val="007B46B7"/>
    <w:rsid w:val="007B4831"/>
    <w:rsid w:val="007B486D"/>
    <w:rsid w:val="007B4C38"/>
    <w:rsid w:val="007B50A9"/>
    <w:rsid w:val="007B5376"/>
    <w:rsid w:val="007B5587"/>
    <w:rsid w:val="007B55B9"/>
    <w:rsid w:val="007B57EF"/>
    <w:rsid w:val="007B585A"/>
    <w:rsid w:val="007B5C7D"/>
    <w:rsid w:val="007B5FFB"/>
    <w:rsid w:val="007B63FF"/>
    <w:rsid w:val="007B6821"/>
    <w:rsid w:val="007B6A27"/>
    <w:rsid w:val="007B73B3"/>
    <w:rsid w:val="007B75ED"/>
    <w:rsid w:val="007B76E7"/>
    <w:rsid w:val="007B7882"/>
    <w:rsid w:val="007B7C6A"/>
    <w:rsid w:val="007C015D"/>
    <w:rsid w:val="007C047F"/>
    <w:rsid w:val="007C0726"/>
    <w:rsid w:val="007C0E12"/>
    <w:rsid w:val="007C0E92"/>
    <w:rsid w:val="007C1012"/>
    <w:rsid w:val="007C1028"/>
    <w:rsid w:val="007C1529"/>
    <w:rsid w:val="007C1B87"/>
    <w:rsid w:val="007C1C44"/>
    <w:rsid w:val="007C2126"/>
    <w:rsid w:val="007C238E"/>
    <w:rsid w:val="007C2646"/>
    <w:rsid w:val="007C27D7"/>
    <w:rsid w:val="007C2917"/>
    <w:rsid w:val="007C2F29"/>
    <w:rsid w:val="007C2FFE"/>
    <w:rsid w:val="007C3384"/>
    <w:rsid w:val="007C390A"/>
    <w:rsid w:val="007C3A16"/>
    <w:rsid w:val="007C3A9E"/>
    <w:rsid w:val="007C4065"/>
    <w:rsid w:val="007C448C"/>
    <w:rsid w:val="007C4639"/>
    <w:rsid w:val="007C499C"/>
    <w:rsid w:val="007C5111"/>
    <w:rsid w:val="007C59C2"/>
    <w:rsid w:val="007C5AF2"/>
    <w:rsid w:val="007C5BEB"/>
    <w:rsid w:val="007C5D77"/>
    <w:rsid w:val="007C62BE"/>
    <w:rsid w:val="007C636A"/>
    <w:rsid w:val="007C63DA"/>
    <w:rsid w:val="007C6EE5"/>
    <w:rsid w:val="007C6F15"/>
    <w:rsid w:val="007C6F5A"/>
    <w:rsid w:val="007C6FF4"/>
    <w:rsid w:val="007C7701"/>
    <w:rsid w:val="007C782E"/>
    <w:rsid w:val="007C78C8"/>
    <w:rsid w:val="007C7AC6"/>
    <w:rsid w:val="007C7FA7"/>
    <w:rsid w:val="007C7FE9"/>
    <w:rsid w:val="007D0167"/>
    <w:rsid w:val="007D06D3"/>
    <w:rsid w:val="007D0749"/>
    <w:rsid w:val="007D0F78"/>
    <w:rsid w:val="007D113D"/>
    <w:rsid w:val="007D115A"/>
    <w:rsid w:val="007D1257"/>
    <w:rsid w:val="007D1869"/>
    <w:rsid w:val="007D1F48"/>
    <w:rsid w:val="007D283F"/>
    <w:rsid w:val="007D2D25"/>
    <w:rsid w:val="007D31A2"/>
    <w:rsid w:val="007D36FB"/>
    <w:rsid w:val="007D38DD"/>
    <w:rsid w:val="007D3A93"/>
    <w:rsid w:val="007D3AE1"/>
    <w:rsid w:val="007D3AE9"/>
    <w:rsid w:val="007D3D4C"/>
    <w:rsid w:val="007D4371"/>
    <w:rsid w:val="007D447A"/>
    <w:rsid w:val="007D45FB"/>
    <w:rsid w:val="007D462F"/>
    <w:rsid w:val="007D46A0"/>
    <w:rsid w:val="007D4881"/>
    <w:rsid w:val="007D48BD"/>
    <w:rsid w:val="007D4DC6"/>
    <w:rsid w:val="007D610B"/>
    <w:rsid w:val="007D621F"/>
    <w:rsid w:val="007D6248"/>
    <w:rsid w:val="007D69A0"/>
    <w:rsid w:val="007D6ACE"/>
    <w:rsid w:val="007D73B0"/>
    <w:rsid w:val="007D75E9"/>
    <w:rsid w:val="007D7952"/>
    <w:rsid w:val="007D7D13"/>
    <w:rsid w:val="007D7D6F"/>
    <w:rsid w:val="007E020E"/>
    <w:rsid w:val="007E0B89"/>
    <w:rsid w:val="007E0BEF"/>
    <w:rsid w:val="007E0F00"/>
    <w:rsid w:val="007E1454"/>
    <w:rsid w:val="007E1510"/>
    <w:rsid w:val="007E1F9D"/>
    <w:rsid w:val="007E22C2"/>
    <w:rsid w:val="007E253F"/>
    <w:rsid w:val="007E2AC3"/>
    <w:rsid w:val="007E33ED"/>
    <w:rsid w:val="007E3503"/>
    <w:rsid w:val="007E353A"/>
    <w:rsid w:val="007E3623"/>
    <w:rsid w:val="007E3923"/>
    <w:rsid w:val="007E3993"/>
    <w:rsid w:val="007E3E9F"/>
    <w:rsid w:val="007E3EB4"/>
    <w:rsid w:val="007E4B1B"/>
    <w:rsid w:val="007E53C3"/>
    <w:rsid w:val="007E56CD"/>
    <w:rsid w:val="007E5755"/>
    <w:rsid w:val="007E5990"/>
    <w:rsid w:val="007E5C4A"/>
    <w:rsid w:val="007E6A02"/>
    <w:rsid w:val="007E6A4F"/>
    <w:rsid w:val="007E793C"/>
    <w:rsid w:val="007E7D7A"/>
    <w:rsid w:val="007F00A1"/>
    <w:rsid w:val="007F0903"/>
    <w:rsid w:val="007F0D00"/>
    <w:rsid w:val="007F169B"/>
    <w:rsid w:val="007F1A7B"/>
    <w:rsid w:val="007F1B00"/>
    <w:rsid w:val="007F21D6"/>
    <w:rsid w:val="007F221E"/>
    <w:rsid w:val="007F22A7"/>
    <w:rsid w:val="007F2434"/>
    <w:rsid w:val="007F29A4"/>
    <w:rsid w:val="007F2A5D"/>
    <w:rsid w:val="007F2B72"/>
    <w:rsid w:val="007F2B91"/>
    <w:rsid w:val="007F2F5A"/>
    <w:rsid w:val="007F313A"/>
    <w:rsid w:val="007F40B7"/>
    <w:rsid w:val="007F4EA3"/>
    <w:rsid w:val="007F4EFB"/>
    <w:rsid w:val="007F55CB"/>
    <w:rsid w:val="007F5632"/>
    <w:rsid w:val="007F5806"/>
    <w:rsid w:val="007F5B37"/>
    <w:rsid w:val="007F5B69"/>
    <w:rsid w:val="007F5D34"/>
    <w:rsid w:val="007F5DA1"/>
    <w:rsid w:val="007F5EDD"/>
    <w:rsid w:val="007F5F90"/>
    <w:rsid w:val="007F61D0"/>
    <w:rsid w:val="007F6DD1"/>
    <w:rsid w:val="007F6E4E"/>
    <w:rsid w:val="007F75E9"/>
    <w:rsid w:val="007F7BDA"/>
    <w:rsid w:val="007F7E07"/>
    <w:rsid w:val="0080009C"/>
    <w:rsid w:val="008001C3"/>
    <w:rsid w:val="00800747"/>
    <w:rsid w:val="0080116C"/>
    <w:rsid w:val="00801416"/>
    <w:rsid w:val="00801832"/>
    <w:rsid w:val="00801AEC"/>
    <w:rsid w:val="00801C8D"/>
    <w:rsid w:val="00801DE4"/>
    <w:rsid w:val="00801F1E"/>
    <w:rsid w:val="008022C6"/>
    <w:rsid w:val="008023E5"/>
    <w:rsid w:val="008023F2"/>
    <w:rsid w:val="00802401"/>
    <w:rsid w:val="00802CF5"/>
    <w:rsid w:val="00802D01"/>
    <w:rsid w:val="00803082"/>
    <w:rsid w:val="008031A1"/>
    <w:rsid w:val="0080323A"/>
    <w:rsid w:val="008034DC"/>
    <w:rsid w:val="00803C0C"/>
    <w:rsid w:val="00804270"/>
    <w:rsid w:val="008048AB"/>
    <w:rsid w:val="00805087"/>
    <w:rsid w:val="0080525B"/>
    <w:rsid w:val="008061DC"/>
    <w:rsid w:val="00806226"/>
    <w:rsid w:val="0080646F"/>
    <w:rsid w:val="008065BA"/>
    <w:rsid w:val="008067BC"/>
    <w:rsid w:val="00806BA5"/>
    <w:rsid w:val="00807049"/>
    <w:rsid w:val="008072FA"/>
    <w:rsid w:val="00807444"/>
    <w:rsid w:val="00807470"/>
    <w:rsid w:val="00807B06"/>
    <w:rsid w:val="00807D59"/>
    <w:rsid w:val="0081009F"/>
    <w:rsid w:val="00810279"/>
    <w:rsid w:val="008103A5"/>
    <w:rsid w:val="00810518"/>
    <w:rsid w:val="008105B6"/>
    <w:rsid w:val="0081064D"/>
    <w:rsid w:val="008106B7"/>
    <w:rsid w:val="00810D13"/>
    <w:rsid w:val="00811016"/>
    <w:rsid w:val="00811B1F"/>
    <w:rsid w:val="00811CBB"/>
    <w:rsid w:val="00812546"/>
    <w:rsid w:val="008126C6"/>
    <w:rsid w:val="008127D8"/>
    <w:rsid w:val="00812968"/>
    <w:rsid w:val="00812AB8"/>
    <w:rsid w:val="0081311D"/>
    <w:rsid w:val="0081367A"/>
    <w:rsid w:val="008136DE"/>
    <w:rsid w:val="0081399B"/>
    <w:rsid w:val="00813A50"/>
    <w:rsid w:val="00813EB6"/>
    <w:rsid w:val="00813F8F"/>
    <w:rsid w:val="00814109"/>
    <w:rsid w:val="008147D2"/>
    <w:rsid w:val="00814FE0"/>
    <w:rsid w:val="00815357"/>
    <w:rsid w:val="0081544E"/>
    <w:rsid w:val="00815BCE"/>
    <w:rsid w:val="00815D08"/>
    <w:rsid w:val="0081674A"/>
    <w:rsid w:val="008168E7"/>
    <w:rsid w:val="00816E01"/>
    <w:rsid w:val="008171D5"/>
    <w:rsid w:val="0081747F"/>
    <w:rsid w:val="008174A5"/>
    <w:rsid w:val="00817551"/>
    <w:rsid w:val="00817F7C"/>
    <w:rsid w:val="008201B4"/>
    <w:rsid w:val="008203CC"/>
    <w:rsid w:val="00820698"/>
    <w:rsid w:val="0082093F"/>
    <w:rsid w:val="008209B5"/>
    <w:rsid w:val="00820A07"/>
    <w:rsid w:val="00820A81"/>
    <w:rsid w:val="00820ECD"/>
    <w:rsid w:val="0082103D"/>
    <w:rsid w:val="0082148A"/>
    <w:rsid w:val="00821962"/>
    <w:rsid w:val="00821A8D"/>
    <w:rsid w:val="00821ADD"/>
    <w:rsid w:val="00821B31"/>
    <w:rsid w:val="00821BB5"/>
    <w:rsid w:val="008221E8"/>
    <w:rsid w:val="00822289"/>
    <w:rsid w:val="00822377"/>
    <w:rsid w:val="00822549"/>
    <w:rsid w:val="0082269C"/>
    <w:rsid w:val="008228A3"/>
    <w:rsid w:val="00822942"/>
    <w:rsid w:val="00822ADD"/>
    <w:rsid w:val="008230D5"/>
    <w:rsid w:val="00823295"/>
    <w:rsid w:val="00824050"/>
    <w:rsid w:val="008242CB"/>
    <w:rsid w:val="00824363"/>
    <w:rsid w:val="00824608"/>
    <w:rsid w:val="0082495B"/>
    <w:rsid w:val="008249E4"/>
    <w:rsid w:val="00824CD4"/>
    <w:rsid w:val="00824CE6"/>
    <w:rsid w:val="00824D54"/>
    <w:rsid w:val="00824FFD"/>
    <w:rsid w:val="00825167"/>
    <w:rsid w:val="00825567"/>
    <w:rsid w:val="008259B2"/>
    <w:rsid w:val="00825A69"/>
    <w:rsid w:val="00826404"/>
    <w:rsid w:val="00826440"/>
    <w:rsid w:val="00826670"/>
    <w:rsid w:val="0082686B"/>
    <w:rsid w:val="00826DE1"/>
    <w:rsid w:val="008273AE"/>
    <w:rsid w:val="008275C4"/>
    <w:rsid w:val="00827880"/>
    <w:rsid w:val="00827DF1"/>
    <w:rsid w:val="00827EFE"/>
    <w:rsid w:val="00827FCD"/>
    <w:rsid w:val="0083008C"/>
    <w:rsid w:val="00830421"/>
    <w:rsid w:val="00830452"/>
    <w:rsid w:val="008309E7"/>
    <w:rsid w:val="00830C37"/>
    <w:rsid w:val="00830FC4"/>
    <w:rsid w:val="0083118C"/>
    <w:rsid w:val="0083125E"/>
    <w:rsid w:val="008319B3"/>
    <w:rsid w:val="00831F5F"/>
    <w:rsid w:val="00832835"/>
    <w:rsid w:val="00832AED"/>
    <w:rsid w:val="00832C8E"/>
    <w:rsid w:val="00833118"/>
    <w:rsid w:val="00833256"/>
    <w:rsid w:val="008337AE"/>
    <w:rsid w:val="00833ABA"/>
    <w:rsid w:val="008341F0"/>
    <w:rsid w:val="00834256"/>
    <w:rsid w:val="008346B7"/>
    <w:rsid w:val="00834A2D"/>
    <w:rsid w:val="00834AEF"/>
    <w:rsid w:val="008358EF"/>
    <w:rsid w:val="00835ADF"/>
    <w:rsid w:val="00835D65"/>
    <w:rsid w:val="008361C1"/>
    <w:rsid w:val="008363AA"/>
    <w:rsid w:val="00836400"/>
    <w:rsid w:val="00836A5E"/>
    <w:rsid w:val="00836B3D"/>
    <w:rsid w:val="00836C68"/>
    <w:rsid w:val="00836D0B"/>
    <w:rsid w:val="00836D7C"/>
    <w:rsid w:val="00836EF8"/>
    <w:rsid w:val="008370CC"/>
    <w:rsid w:val="00837AC9"/>
    <w:rsid w:val="00837D21"/>
    <w:rsid w:val="00840291"/>
    <w:rsid w:val="008402BF"/>
    <w:rsid w:val="008402E3"/>
    <w:rsid w:val="00840498"/>
    <w:rsid w:val="00840523"/>
    <w:rsid w:val="0084099C"/>
    <w:rsid w:val="00840B3C"/>
    <w:rsid w:val="0084117D"/>
    <w:rsid w:val="008411A4"/>
    <w:rsid w:val="008413E2"/>
    <w:rsid w:val="00841792"/>
    <w:rsid w:val="008421B0"/>
    <w:rsid w:val="00842672"/>
    <w:rsid w:val="00842699"/>
    <w:rsid w:val="00842D55"/>
    <w:rsid w:val="00843206"/>
    <w:rsid w:val="008432C8"/>
    <w:rsid w:val="008435D4"/>
    <w:rsid w:val="00843788"/>
    <w:rsid w:val="00843918"/>
    <w:rsid w:val="00843F7B"/>
    <w:rsid w:val="00843FD3"/>
    <w:rsid w:val="00843FD7"/>
    <w:rsid w:val="008446E6"/>
    <w:rsid w:val="00844943"/>
    <w:rsid w:val="008449D9"/>
    <w:rsid w:val="00844FBA"/>
    <w:rsid w:val="00845004"/>
    <w:rsid w:val="00845068"/>
    <w:rsid w:val="008452EB"/>
    <w:rsid w:val="008454CE"/>
    <w:rsid w:val="008459E2"/>
    <w:rsid w:val="00845E2F"/>
    <w:rsid w:val="00845F8A"/>
    <w:rsid w:val="00846950"/>
    <w:rsid w:val="00846AB3"/>
    <w:rsid w:val="00846B1F"/>
    <w:rsid w:val="00846C06"/>
    <w:rsid w:val="0084737B"/>
    <w:rsid w:val="0084755C"/>
    <w:rsid w:val="00847588"/>
    <w:rsid w:val="00847601"/>
    <w:rsid w:val="00847EEE"/>
    <w:rsid w:val="0085056C"/>
    <w:rsid w:val="008508F1"/>
    <w:rsid w:val="0085179F"/>
    <w:rsid w:val="00851936"/>
    <w:rsid w:val="00851A3F"/>
    <w:rsid w:val="00851ADE"/>
    <w:rsid w:val="00852070"/>
    <w:rsid w:val="00852672"/>
    <w:rsid w:val="00852FBA"/>
    <w:rsid w:val="0085304F"/>
    <w:rsid w:val="00853139"/>
    <w:rsid w:val="008533F0"/>
    <w:rsid w:val="00854006"/>
    <w:rsid w:val="00854037"/>
    <w:rsid w:val="00854065"/>
    <w:rsid w:val="0085433D"/>
    <w:rsid w:val="00854429"/>
    <w:rsid w:val="00854528"/>
    <w:rsid w:val="00854994"/>
    <w:rsid w:val="00854999"/>
    <w:rsid w:val="00854E4B"/>
    <w:rsid w:val="008553F1"/>
    <w:rsid w:val="0085563C"/>
    <w:rsid w:val="0085578B"/>
    <w:rsid w:val="008558B3"/>
    <w:rsid w:val="00855A32"/>
    <w:rsid w:val="0085601B"/>
    <w:rsid w:val="00856AAC"/>
    <w:rsid w:val="00856F0B"/>
    <w:rsid w:val="00857251"/>
    <w:rsid w:val="00857310"/>
    <w:rsid w:val="00857B7C"/>
    <w:rsid w:val="00857FCD"/>
    <w:rsid w:val="0086015D"/>
    <w:rsid w:val="00860596"/>
    <w:rsid w:val="00860987"/>
    <w:rsid w:val="00860B93"/>
    <w:rsid w:val="00860C8F"/>
    <w:rsid w:val="00860D07"/>
    <w:rsid w:val="00860DEB"/>
    <w:rsid w:val="00860EF6"/>
    <w:rsid w:val="00861091"/>
    <w:rsid w:val="0086111F"/>
    <w:rsid w:val="008617E6"/>
    <w:rsid w:val="008618E0"/>
    <w:rsid w:val="00861E8C"/>
    <w:rsid w:val="00862178"/>
    <w:rsid w:val="008624BA"/>
    <w:rsid w:val="00863162"/>
    <w:rsid w:val="008637C3"/>
    <w:rsid w:val="008638A8"/>
    <w:rsid w:val="008638F8"/>
    <w:rsid w:val="00863E84"/>
    <w:rsid w:val="0086487B"/>
    <w:rsid w:val="0086494E"/>
    <w:rsid w:val="008651A3"/>
    <w:rsid w:val="008655D3"/>
    <w:rsid w:val="00865603"/>
    <w:rsid w:val="0086562A"/>
    <w:rsid w:val="00865978"/>
    <w:rsid w:val="00865981"/>
    <w:rsid w:val="00865A9E"/>
    <w:rsid w:val="008662F1"/>
    <w:rsid w:val="00866391"/>
    <w:rsid w:val="008669A4"/>
    <w:rsid w:val="00866B3C"/>
    <w:rsid w:val="00866FC5"/>
    <w:rsid w:val="008672AC"/>
    <w:rsid w:val="00867423"/>
    <w:rsid w:val="00867A91"/>
    <w:rsid w:val="00867ACD"/>
    <w:rsid w:val="00870067"/>
    <w:rsid w:val="00870749"/>
    <w:rsid w:val="008708C8"/>
    <w:rsid w:val="00870A00"/>
    <w:rsid w:val="0087153F"/>
    <w:rsid w:val="008716AB"/>
    <w:rsid w:val="008719FB"/>
    <w:rsid w:val="00871CD8"/>
    <w:rsid w:val="00872356"/>
    <w:rsid w:val="00872AB8"/>
    <w:rsid w:val="00872B73"/>
    <w:rsid w:val="00872D28"/>
    <w:rsid w:val="00872EF5"/>
    <w:rsid w:val="0087335E"/>
    <w:rsid w:val="0087345A"/>
    <w:rsid w:val="00873589"/>
    <w:rsid w:val="0087388E"/>
    <w:rsid w:val="008738E5"/>
    <w:rsid w:val="00873DC0"/>
    <w:rsid w:val="0087418B"/>
    <w:rsid w:val="0087423F"/>
    <w:rsid w:val="008742AD"/>
    <w:rsid w:val="0087479E"/>
    <w:rsid w:val="00874EDC"/>
    <w:rsid w:val="008751B4"/>
    <w:rsid w:val="0087536B"/>
    <w:rsid w:val="00875A57"/>
    <w:rsid w:val="00875ABE"/>
    <w:rsid w:val="00875C57"/>
    <w:rsid w:val="00875D4F"/>
    <w:rsid w:val="00876684"/>
    <w:rsid w:val="0087676B"/>
    <w:rsid w:val="0087727F"/>
    <w:rsid w:val="008772A6"/>
    <w:rsid w:val="0087799E"/>
    <w:rsid w:val="00877D0D"/>
    <w:rsid w:val="00877E1B"/>
    <w:rsid w:val="0088057F"/>
    <w:rsid w:val="00880D38"/>
    <w:rsid w:val="00880DD5"/>
    <w:rsid w:val="00881199"/>
    <w:rsid w:val="008814C7"/>
    <w:rsid w:val="0088172B"/>
    <w:rsid w:val="008820E4"/>
    <w:rsid w:val="008821B2"/>
    <w:rsid w:val="0088230A"/>
    <w:rsid w:val="008824E7"/>
    <w:rsid w:val="008825F3"/>
    <w:rsid w:val="00882B16"/>
    <w:rsid w:val="00882CAB"/>
    <w:rsid w:val="00882DF9"/>
    <w:rsid w:val="008837A4"/>
    <w:rsid w:val="008838FA"/>
    <w:rsid w:val="00884067"/>
    <w:rsid w:val="008842CF"/>
    <w:rsid w:val="008843CA"/>
    <w:rsid w:val="008849F3"/>
    <w:rsid w:val="00884E3A"/>
    <w:rsid w:val="008855C7"/>
    <w:rsid w:val="008856FD"/>
    <w:rsid w:val="00885720"/>
    <w:rsid w:val="008857DD"/>
    <w:rsid w:val="008859D2"/>
    <w:rsid w:val="00885D3A"/>
    <w:rsid w:val="0088654E"/>
    <w:rsid w:val="008865BF"/>
    <w:rsid w:val="00886A85"/>
    <w:rsid w:val="00886AD9"/>
    <w:rsid w:val="0088715F"/>
    <w:rsid w:val="00887572"/>
    <w:rsid w:val="008876D1"/>
    <w:rsid w:val="00887ADF"/>
    <w:rsid w:val="00887BF1"/>
    <w:rsid w:val="00887F45"/>
    <w:rsid w:val="008901FA"/>
    <w:rsid w:val="00890600"/>
    <w:rsid w:val="00890726"/>
    <w:rsid w:val="00890864"/>
    <w:rsid w:val="00890FB9"/>
    <w:rsid w:val="00891B1F"/>
    <w:rsid w:val="00891BB5"/>
    <w:rsid w:val="00891D00"/>
    <w:rsid w:val="00892A1F"/>
    <w:rsid w:val="00892C1E"/>
    <w:rsid w:val="00892F7D"/>
    <w:rsid w:val="008935A3"/>
    <w:rsid w:val="00893613"/>
    <w:rsid w:val="00893AB4"/>
    <w:rsid w:val="00893B38"/>
    <w:rsid w:val="00893C34"/>
    <w:rsid w:val="00894534"/>
    <w:rsid w:val="00894B09"/>
    <w:rsid w:val="00894DA2"/>
    <w:rsid w:val="00895222"/>
    <w:rsid w:val="00895559"/>
    <w:rsid w:val="00895D64"/>
    <w:rsid w:val="00895F31"/>
    <w:rsid w:val="008963F5"/>
    <w:rsid w:val="008966E7"/>
    <w:rsid w:val="00896816"/>
    <w:rsid w:val="00896A63"/>
    <w:rsid w:val="00896C59"/>
    <w:rsid w:val="00896EB0"/>
    <w:rsid w:val="008973C5"/>
    <w:rsid w:val="00897CD0"/>
    <w:rsid w:val="00897E20"/>
    <w:rsid w:val="008A0620"/>
    <w:rsid w:val="008A09F6"/>
    <w:rsid w:val="008A0C69"/>
    <w:rsid w:val="008A0C6C"/>
    <w:rsid w:val="008A14F6"/>
    <w:rsid w:val="008A1537"/>
    <w:rsid w:val="008A211A"/>
    <w:rsid w:val="008A2375"/>
    <w:rsid w:val="008A2594"/>
    <w:rsid w:val="008A26B9"/>
    <w:rsid w:val="008A2809"/>
    <w:rsid w:val="008A2970"/>
    <w:rsid w:val="008A3076"/>
    <w:rsid w:val="008A3331"/>
    <w:rsid w:val="008A3406"/>
    <w:rsid w:val="008A360A"/>
    <w:rsid w:val="008A390F"/>
    <w:rsid w:val="008A3A85"/>
    <w:rsid w:val="008A3B3D"/>
    <w:rsid w:val="008A3BEC"/>
    <w:rsid w:val="008A4A69"/>
    <w:rsid w:val="008A4E03"/>
    <w:rsid w:val="008A541D"/>
    <w:rsid w:val="008A5544"/>
    <w:rsid w:val="008A5DCB"/>
    <w:rsid w:val="008A6027"/>
    <w:rsid w:val="008A69BE"/>
    <w:rsid w:val="008A72C3"/>
    <w:rsid w:val="008A77AB"/>
    <w:rsid w:val="008A7C10"/>
    <w:rsid w:val="008A7C7C"/>
    <w:rsid w:val="008B01E9"/>
    <w:rsid w:val="008B031C"/>
    <w:rsid w:val="008B09D1"/>
    <w:rsid w:val="008B0B54"/>
    <w:rsid w:val="008B0EFC"/>
    <w:rsid w:val="008B1229"/>
    <w:rsid w:val="008B1447"/>
    <w:rsid w:val="008B15E3"/>
    <w:rsid w:val="008B1802"/>
    <w:rsid w:val="008B262A"/>
    <w:rsid w:val="008B2668"/>
    <w:rsid w:val="008B2E14"/>
    <w:rsid w:val="008B2E49"/>
    <w:rsid w:val="008B2EEB"/>
    <w:rsid w:val="008B2F1E"/>
    <w:rsid w:val="008B3024"/>
    <w:rsid w:val="008B3070"/>
    <w:rsid w:val="008B3124"/>
    <w:rsid w:val="008B34B1"/>
    <w:rsid w:val="008B3DEB"/>
    <w:rsid w:val="008B3E2D"/>
    <w:rsid w:val="008B469A"/>
    <w:rsid w:val="008B4746"/>
    <w:rsid w:val="008B4C55"/>
    <w:rsid w:val="008B4C84"/>
    <w:rsid w:val="008B4F47"/>
    <w:rsid w:val="008B5779"/>
    <w:rsid w:val="008B57C1"/>
    <w:rsid w:val="008B59E0"/>
    <w:rsid w:val="008B5D62"/>
    <w:rsid w:val="008B5E00"/>
    <w:rsid w:val="008B5FD0"/>
    <w:rsid w:val="008B6F62"/>
    <w:rsid w:val="008B7003"/>
    <w:rsid w:val="008B712F"/>
    <w:rsid w:val="008B78E0"/>
    <w:rsid w:val="008B7E8B"/>
    <w:rsid w:val="008C0214"/>
    <w:rsid w:val="008C0417"/>
    <w:rsid w:val="008C050F"/>
    <w:rsid w:val="008C0CAC"/>
    <w:rsid w:val="008C0EAD"/>
    <w:rsid w:val="008C1538"/>
    <w:rsid w:val="008C1DDC"/>
    <w:rsid w:val="008C2656"/>
    <w:rsid w:val="008C29EA"/>
    <w:rsid w:val="008C2A99"/>
    <w:rsid w:val="008C2F03"/>
    <w:rsid w:val="008C352E"/>
    <w:rsid w:val="008C379F"/>
    <w:rsid w:val="008C3B37"/>
    <w:rsid w:val="008C3BAA"/>
    <w:rsid w:val="008C3C1F"/>
    <w:rsid w:val="008C3C22"/>
    <w:rsid w:val="008C403C"/>
    <w:rsid w:val="008C4230"/>
    <w:rsid w:val="008C4375"/>
    <w:rsid w:val="008C43F8"/>
    <w:rsid w:val="008C4670"/>
    <w:rsid w:val="008C4A09"/>
    <w:rsid w:val="008C4D5D"/>
    <w:rsid w:val="008C5982"/>
    <w:rsid w:val="008C5A79"/>
    <w:rsid w:val="008C5FAB"/>
    <w:rsid w:val="008C6030"/>
    <w:rsid w:val="008C6D0E"/>
    <w:rsid w:val="008C6E27"/>
    <w:rsid w:val="008C7470"/>
    <w:rsid w:val="008C7549"/>
    <w:rsid w:val="008C771D"/>
    <w:rsid w:val="008C790B"/>
    <w:rsid w:val="008C7C2E"/>
    <w:rsid w:val="008C7CCE"/>
    <w:rsid w:val="008D0214"/>
    <w:rsid w:val="008D04BF"/>
    <w:rsid w:val="008D051F"/>
    <w:rsid w:val="008D0BB5"/>
    <w:rsid w:val="008D0DBF"/>
    <w:rsid w:val="008D10B4"/>
    <w:rsid w:val="008D17B2"/>
    <w:rsid w:val="008D1A4D"/>
    <w:rsid w:val="008D21F8"/>
    <w:rsid w:val="008D22EA"/>
    <w:rsid w:val="008D24EF"/>
    <w:rsid w:val="008D2E87"/>
    <w:rsid w:val="008D3488"/>
    <w:rsid w:val="008D35CC"/>
    <w:rsid w:val="008D3872"/>
    <w:rsid w:val="008D3F02"/>
    <w:rsid w:val="008D4017"/>
    <w:rsid w:val="008D4136"/>
    <w:rsid w:val="008D4285"/>
    <w:rsid w:val="008D440E"/>
    <w:rsid w:val="008D4540"/>
    <w:rsid w:val="008D46DA"/>
    <w:rsid w:val="008D4A09"/>
    <w:rsid w:val="008D4ABF"/>
    <w:rsid w:val="008D4EA1"/>
    <w:rsid w:val="008D59D4"/>
    <w:rsid w:val="008D5F0D"/>
    <w:rsid w:val="008D67F2"/>
    <w:rsid w:val="008D6A49"/>
    <w:rsid w:val="008D6CE5"/>
    <w:rsid w:val="008D76BB"/>
    <w:rsid w:val="008D7E7B"/>
    <w:rsid w:val="008D7F77"/>
    <w:rsid w:val="008E0313"/>
    <w:rsid w:val="008E0657"/>
    <w:rsid w:val="008E0783"/>
    <w:rsid w:val="008E0999"/>
    <w:rsid w:val="008E0A83"/>
    <w:rsid w:val="008E0E36"/>
    <w:rsid w:val="008E1059"/>
    <w:rsid w:val="008E1222"/>
    <w:rsid w:val="008E148F"/>
    <w:rsid w:val="008E15E0"/>
    <w:rsid w:val="008E1610"/>
    <w:rsid w:val="008E18E6"/>
    <w:rsid w:val="008E1A9D"/>
    <w:rsid w:val="008E1ABE"/>
    <w:rsid w:val="008E1BD7"/>
    <w:rsid w:val="008E234C"/>
    <w:rsid w:val="008E27A4"/>
    <w:rsid w:val="008E295D"/>
    <w:rsid w:val="008E2A91"/>
    <w:rsid w:val="008E2C90"/>
    <w:rsid w:val="008E2D58"/>
    <w:rsid w:val="008E2E67"/>
    <w:rsid w:val="008E2EEF"/>
    <w:rsid w:val="008E2F82"/>
    <w:rsid w:val="008E301E"/>
    <w:rsid w:val="008E3100"/>
    <w:rsid w:val="008E3233"/>
    <w:rsid w:val="008E35CD"/>
    <w:rsid w:val="008E3A4F"/>
    <w:rsid w:val="008E3FD5"/>
    <w:rsid w:val="008E40FE"/>
    <w:rsid w:val="008E4244"/>
    <w:rsid w:val="008E442C"/>
    <w:rsid w:val="008E44C6"/>
    <w:rsid w:val="008E44FF"/>
    <w:rsid w:val="008E4616"/>
    <w:rsid w:val="008E49C6"/>
    <w:rsid w:val="008E4A38"/>
    <w:rsid w:val="008E4F57"/>
    <w:rsid w:val="008E549D"/>
    <w:rsid w:val="008E5B76"/>
    <w:rsid w:val="008E6388"/>
    <w:rsid w:val="008E666F"/>
    <w:rsid w:val="008E68EF"/>
    <w:rsid w:val="008E69CB"/>
    <w:rsid w:val="008E72DA"/>
    <w:rsid w:val="008E769F"/>
    <w:rsid w:val="008E772F"/>
    <w:rsid w:val="008E77D4"/>
    <w:rsid w:val="008E7861"/>
    <w:rsid w:val="008E7DA1"/>
    <w:rsid w:val="008F025A"/>
    <w:rsid w:val="008F031D"/>
    <w:rsid w:val="008F0546"/>
    <w:rsid w:val="008F06F5"/>
    <w:rsid w:val="008F09F5"/>
    <w:rsid w:val="008F0ADA"/>
    <w:rsid w:val="008F0E73"/>
    <w:rsid w:val="008F1645"/>
    <w:rsid w:val="008F17D0"/>
    <w:rsid w:val="008F1C4B"/>
    <w:rsid w:val="008F1D1F"/>
    <w:rsid w:val="008F2127"/>
    <w:rsid w:val="008F21B3"/>
    <w:rsid w:val="008F2219"/>
    <w:rsid w:val="008F24BE"/>
    <w:rsid w:val="008F2ADC"/>
    <w:rsid w:val="008F2DC7"/>
    <w:rsid w:val="008F2DD7"/>
    <w:rsid w:val="008F2E46"/>
    <w:rsid w:val="008F2E89"/>
    <w:rsid w:val="008F30F5"/>
    <w:rsid w:val="008F31BE"/>
    <w:rsid w:val="008F335B"/>
    <w:rsid w:val="008F3762"/>
    <w:rsid w:val="008F37B6"/>
    <w:rsid w:val="008F3866"/>
    <w:rsid w:val="008F3A3B"/>
    <w:rsid w:val="008F3FA7"/>
    <w:rsid w:val="008F3FAE"/>
    <w:rsid w:val="008F41AF"/>
    <w:rsid w:val="008F41EB"/>
    <w:rsid w:val="008F4264"/>
    <w:rsid w:val="008F4366"/>
    <w:rsid w:val="008F44EA"/>
    <w:rsid w:val="008F4581"/>
    <w:rsid w:val="008F4D2F"/>
    <w:rsid w:val="008F5077"/>
    <w:rsid w:val="008F5362"/>
    <w:rsid w:val="008F573A"/>
    <w:rsid w:val="008F59DD"/>
    <w:rsid w:val="008F5E91"/>
    <w:rsid w:val="008F6034"/>
    <w:rsid w:val="008F6449"/>
    <w:rsid w:val="008F6591"/>
    <w:rsid w:val="008F65F8"/>
    <w:rsid w:val="008F6EF1"/>
    <w:rsid w:val="008F749F"/>
    <w:rsid w:val="008F7994"/>
    <w:rsid w:val="008F7BCD"/>
    <w:rsid w:val="008F7DF0"/>
    <w:rsid w:val="0090010F"/>
    <w:rsid w:val="00900384"/>
    <w:rsid w:val="00900BA7"/>
    <w:rsid w:val="00900BD3"/>
    <w:rsid w:val="00900C0E"/>
    <w:rsid w:val="00900D77"/>
    <w:rsid w:val="00901BE2"/>
    <w:rsid w:val="009021D3"/>
    <w:rsid w:val="00902396"/>
    <w:rsid w:val="00902484"/>
    <w:rsid w:val="009028C3"/>
    <w:rsid w:val="0090295D"/>
    <w:rsid w:val="00902D47"/>
    <w:rsid w:val="00902F49"/>
    <w:rsid w:val="00902FD2"/>
    <w:rsid w:val="0090326E"/>
    <w:rsid w:val="009038E5"/>
    <w:rsid w:val="00903C4F"/>
    <w:rsid w:val="00903E9B"/>
    <w:rsid w:val="00904036"/>
    <w:rsid w:val="0090415E"/>
    <w:rsid w:val="00904860"/>
    <w:rsid w:val="009049E3"/>
    <w:rsid w:val="00904B95"/>
    <w:rsid w:val="009051A6"/>
    <w:rsid w:val="0090526F"/>
    <w:rsid w:val="009056A8"/>
    <w:rsid w:val="009058A8"/>
    <w:rsid w:val="009058ED"/>
    <w:rsid w:val="00905B43"/>
    <w:rsid w:val="009062C3"/>
    <w:rsid w:val="00906A01"/>
    <w:rsid w:val="00906D15"/>
    <w:rsid w:val="00907163"/>
    <w:rsid w:val="00907243"/>
    <w:rsid w:val="009072C7"/>
    <w:rsid w:val="0090759A"/>
    <w:rsid w:val="0090788C"/>
    <w:rsid w:val="00907A06"/>
    <w:rsid w:val="00907D85"/>
    <w:rsid w:val="00907F73"/>
    <w:rsid w:val="009105EB"/>
    <w:rsid w:val="009105FD"/>
    <w:rsid w:val="00910C34"/>
    <w:rsid w:val="0091100B"/>
    <w:rsid w:val="00911790"/>
    <w:rsid w:val="00911BE7"/>
    <w:rsid w:val="00911E74"/>
    <w:rsid w:val="00911E8D"/>
    <w:rsid w:val="009123BE"/>
    <w:rsid w:val="009127CC"/>
    <w:rsid w:val="009127FD"/>
    <w:rsid w:val="009128D6"/>
    <w:rsid w:val="00912FBA"/>
    <w:rsid w:val="00912FFD"/>
    <w:rsid w:val="00913169"/>
    <w:rsid w:val="00913284"/>
    <w:rsid w:val="0091355E"/>
    <w:rsid w:val="00913C94"/>
    <w:rsid w:val="0091462B"/>
    <w:rsid w:val="00914727"/>
    <w:rsid w:val="0091477B"/>
    <w:rsid w:val="00914893"/>
    <w:rsid w:val="00915030"/>
    <w:rsid w:val="009150A5"/>
    <w:rsid w:val="0091510C"/>
    <w:rsid w:val="00915251"/>
    <w:rsid w:val="009154E9"/>
    <w:rsid w:val="009155A2"/>
    <w:rsid w:val="00915640"/>
    <w:rsid w:val="0091567C"/>
    <w:rsid w:val="00915D6B"/>
    <w:rsid w:val="00916088"/>
    <w:rsid w:val="00916A1E"/>
    <w:rsid w:val="00916AC0"/>
    <w:rsid w:val="00916B92"/>
    <w:rsid w:val="00916BA3"/>
    <w:rsid w:val="00916D1F"/>
    <w:rsid w:val="00916FB7"/>
    <w:rsid w:val="0091710B"/>
    <w:rsid w:val="00917494"/>
    <w:rsid w:val="009175C7"/>
    <w:rsid w:val="00917EF2"/>
    <w:rsid w:val="00917F58"/>
    <w:rsid w:val="00920B2E"/>
    <w:rsid w:val="00920F73"/>
    <w:rsid w:val="00921569"/>
    <w:rsid w:val="00921676"/>
    <w:rsid w:val="009216EF"/>
    <w:rsid w:val="00921760"/>
    <w:rsid w:val="00921847"/>
    <w:rsid w:val="00921B00"/>
    <w:rsid w:val="00921E9A"/>
    <w:rsid w:val="00922332"/>
    <w:rsid w:val="00922748"/>
    <w:rsid w:val="00922B72"/>
    <w:rsid w:val="00922B91"/>
    <w:rsid w:val="00922F6D"/>
    <w:rsid w:val="00922FA6"/>
    <w:rsid w:val="00923019"/>
    <w:rsid w:val="00923526"/>
    <w:rsid w:val="00923992"/>
    <w:rsid w:val="009239EA"/>
    <w:rsid w:val="00923B6B"/>
    <w:rsid w:val="00924007"/>
    <w:rsid w:val="0092415E"/>
    <w:rsid w:val="0092432C"/>
    <w:rsid w:val="009247DE"/>
    <w:rsid w:val="009248B4"/>
    <w:rsid w:val="009267A4"/>
    <w:rsid w:val="00926A16"/>
    <w:rsid w:val="00926BFB"/>
    <w:rsid w:val="009271FC"/>
    <w:rsid w:val="00927375"/>
    <w:rsid w:val="009278AF"/>
    <w:rsid w:val="00927919"/>
    <w:rsid w:val="009308CD"/>
    <w:rsid w:val="009312EF"/>
    <w:rsid w:val="00931395"/>
    <w:rsid w:val="009313B1"/>
    <w:rsid w:val="009313FE"/>
    <w:rsid w:val="009315CE"/>
    <w:rsid w:val="00931C2C"/>
    <w:rsid w:val="00932944"/>
    <w:rsid w:val="00932BA7"/>
    <w:rsid w:val="009333AA"/>
    <w:rsid w:val="00934398"/>
    <w:rsid w:val="0093470F"/>
    <w:rsid w:val="00934AAC"/>
    <w:rsid w:val="00934B92"/>
    <w:rsid w:val="00934D79"/>
    <w:rsid w:val="00935188"/>
    <w:rsid w:val="00935343"/>
    <w:rsid w:val="00935363"/>
    <w:rsid w:val="0093549F"/>
    <w:rsid w:val="00935618"/>
    <w:rsid w:val="00935637"/>
    <w:rsid w:val="009359A1"/>
    <w:rsid w:val="00935A1F"/>
    <w:rsid w:val="00935D12"/>
    <w:rsid w:val="0093602D"/>
    <w:rsid w:val="009368DD"/>
    <w:rsid w:val="00936A55"/>
    <w:rsid w:val="00936AE7"/>
    <w:rsid w:val="00936C0E"/>
    <w:rsid w:val="00936D98"/>
    <w:rsid w:val="00937B4B"/>
    <w:rsid w:val="009400AB"/>
    <w:rsid w:val="0094040A"/>
    <w:rsid w:val="0094045E"/>
    <w:rsid w:val="009404A4"/>
    <w:rsid w:val="0094062A"/>
    <w:rsid w:val="009408C1"/>
    <w:rsid w:val="00940A1B"/>
    <w:rsid w:val="00940C72"/>
    <w:rsid w:val="00941045"/>
    <w:rsid w:val="00941197"/>
    <w:rsid w:val="00941252"/>
    <w:rsid w:val="00941464"/>
    <w:rsid w:val="009414D7"/>
    <w:rsid w:val="0094155A"/>
    <w:rsid w:val="00941631"/>
    <w:rsid w:val="0094172C"/>
    <w:rsid w:val="00941F1C"/>
    <w:rsid w:val="009420D1"/>
    <w:rsid w:val="00942A19"/>
    <w:rsid w:val="00942C0E"/>
    <w:rsid w:val="0094304C"/>
    <w:rsid w:val="00943071"/>
    <w:rsid w:val="009445B0"/>
    <w:rsid w:val="00944738"/>
    <w:rsid w:val="00944B0A"/>
    <w:rsid w:val="00945045"/>
    <w:rsid w:val="009453F5"/>
    <w:rsid w:val="009454BB"/>
    <w:rsid w:val="00945699"/>
    <w:rsid w:val="009456A4"/>
    <w:rsid w:val="00945F30"/>
    <w:rsid w:val="009460C8"/>
    <w:rsid w:val="00946480"/>
    <w:rsid w:val="009464FC"/>
    <w:rsid w:val="009469F4"/>
    <w:rsid w:val="00946E7A"/>
    <w:rsid w:val="00946FD3"/>
    <w:rsid w:val="00947950"/>
    <w:rsid w:val="00947D97"/>
    <w:rsid w:val="00947E93"/>
    <w:rsid w:val="009501BA"/>
    <w:rsid w:val="00950618"/>
    <w:rsid w:val="00950AE4"/>
    <w:rsid w:val="00950D58"/>
    <w:rsid w:val="00950E73"/>
    <w:rsid w:val="00950EB1"/>
    <w:rsid w:val="009510BA"/>
    <w:rsid w:val="00951192"/>
    <w:rsid w:val="0095127F"/>
    <w:rsid w:val="00951ACA"/>
    <w:rsid w:val="00952049"/>
    <w:rsid w:val="00952285"/>
    <w:rsid w:val="00952C41"/>
    <w:rsid w:val="009536BC"/>
    <w:rsid w:val="009537DD"/>
    <w:rsid w:val="00953992"/>
    <w:rsid w:val="00953C05"/>
    <w:rsid w:val="0095425E"/>
    <w:rsid w:val="009543DE"/>
    <w:rsid w:val="00954441"/>
    <w:rsid w:val="00954523"/>
    <w:rsid w:val="009557AA"/>
    <w:rsid w:val="00955807"/>
    <w:rsid w:val="009559B9"/>
    <w:rsid w:val="00955A22"/>
    <w:rsid w:val="00955FC8"/>
    <w:rsid w:val="00956881"/>
    <w:rsid w:val="009568B4"/>
    <w:rsid w:val="00956ECE"/>
    <w:rsid w:val="0095708D"/>
    <w:rsid w:val="009574BC"/>
    <w:rsid w:val="009577BB"/>
    <w:rsid w:val="0095783E"/>
    <w:rsid w:val="00957CE3"/>
    <w:rsid w:val="00957CFD"/>
    <w:rsid w:val="00957E29"/>
    <w:rsid w:val="00957E37"/>
    <w:rsid w:val="00957E96"/>
    <w:rsid w:val="00960324"/>
    <w:rsid w:val="00960330"/>
    <w:rsid w:val="009604C8"/>
    <w:rsid w:val="009608DF"/>
    <w:rsid w:val="00960931"/>
    <w:rsid w:val="00960A01"/>
    <w:rsid w:val="00960B7A"/>
    <w:rsid w:val="00960DEF"/>
    <w:rsid w:val="00960F98"/>
    <w:rsid w:val="009617D9"/>
    <w:rsid w:val="00961818"/>
    <w:rsid w:val="00961BDA"/>
    <w:rsid w:val="00961E76"/>
    <w:rsid w:val="0096201C"/>
    <w:rsid w:val="00962102"/>
    <w:rsid w:val="009625DA"/>
    <w:rsid w:val="00962C1B"/>
    <w:rsid w:val="00962E26"/>
    <w:rsid w:val="009631B1"/>
    <w:rsid w:val="00963222"/>
    <w:rsid w:val="00963688"/>
    <w:rsid w:val="00963876"/>
    <w:rsid w:val="00963B6D"/>
    <w:rsid w:val="00963C62"/>
    <w:rsid w:val="00963D4F"/>
    <w:rsid w:val="00963D7C"/>
    <w:rsid w:val="0096407D"/>
    <w:rsid w:val="0096444F"/>
    <w:rsid w:val="00964C48"/>
    <w:rsid w:val="00964D29"/>
    <w:rsid w:val="00964D62"/>
    <w:rsid w:val="00964F1C"/>
    <w:rsid w:val="009651CF"/>
    <w:rsid w:val="009653FF"/>
    <w:rsid w:val="0096630C"/>
    <w:rsid w:val="00966312"/>
    <w:rsid w:val="009663EA"/>
    <w:rsid w:val="00966482"/>
    <w:rsid w:val="00966650"/>
    <w:rsid w:val="009666D2"/>
    <w:rsid w:val="00966CF5"/>
    <w:rsid w:val="00966F59"/>
    <w:rsid w:val="0096746F"/>
    <w:rsid w:val="00967817"/>
    <w:rsid w:val="009678C4"/>
    <w:rsid w:val="009701FF"/>
    <w:rsid w:val="00970346"/>
    <w:rsid w:val="0097064A"/>
    <w:rsid w:val="00970BEC"/>
    <w:rsid w:val="00970C3C"/>
    <w:rsid w:val="009718D0"/>
    <w:rsid w:val="00971AA9"/>
    <w:rsid w:val="00971DBB"/>
    <w:rsid w:val="00971F25"/>
    <w:rsid w:val="009721F1"/>
    <w:rsid w:val="0097222A"/>
    <w:rsid w:val="009722D1"/>
    <w:rsid w:val="009724B4"/>
    <w:rsid w:val="00972868"/>
    <w:rsid w:val="00972CA1"/>
    <w:rsid w:val="00973028"/>
    <w:rsid w:val="00973258"/>
    <w:rsid w:val="009733FC"/>
    <w:rsid w:val="00973444"/>
    <w:rsid w:val="00973EEC"/>
    <w:rsid w:val="009740A5"/>
    <w:rsid w:val="00974758"/>
    <w:rsid w:val="00974AB3"/>
    <w:rsid w:val="00974DFE"/>
    <w:rsid w:val="0097522B"/>
    <w:rsid w:val="009758D1"/>
    <w:rsid w:val="00975938"/>
    <w:rsid w:val="009762A9"/>
    <w:rsid w:val="0097638D"/>
    <w:rsid w:val="00976DE4"/>
    <w:rsid w:val="00977009"/>
    <w:rsid w:val="00977162"/>
    <w:rsid w:val="009771FB"/>
    <w:rsid w:val="009773DE"/>
    <w:rsid w:val="009776D1"/>
    <w:rsid w:val="0097773E"/>
    <w:rsid w:val="00977CC2"/>
    <w:rsid w:val="00977E33"/>
    <w:rsid w:val="009805C6"/>
    <w:rsid w:val="009808BE"/>
    <w:rsid w:val="00981433"/>
    <w:rsid w:val="00981524"/>
    <w:rsid w:val="00981ACB"/>
    <w:rsid w:val="00981C2A"/>
    <w:rsid w:val="009822FD"/>
    <w:rsid w:val="00982373"/>
    <w:rsid w:val="0098243F"/>
    <w:rsid w:val="00982479"/>
    <w:rsid w:val="009825E8"/>
    <w:rsid w:val="009829A4"/>
    <w:rsid w:val="00982B6E"/>
    <w:rsid w:val="009831AB"/>
    <w:rsid w:val="009832FC"/>
    <w:rsid w:val="0098352A"/>
    <w:rsid w:val="00983545"/>
    <w:rsid w:val="00984143"/>
    <w:rsid w:val="00984243"/>
    <w:rsid w:val="009843AB"/>
    <w:rsid w:val="0098451E"/>
    <w:rsid w:val="0098490C"/>
    <w:rsid w:val="00984A51"/>
    <w:rsid w:val="00984C77"/>
    <w:rsid w:val="00985428"/>
    <w:rsid w:val="0098576B"/>
    <w:rsid w:val="00985821"/>
    <w:rsid w:val="00985A11"/>
    <w:rsid w:val="00985BD9"/>
    <w:rsid w:val="00985D0F"/>
    <w:rsid w:val="00986140"/>
    <w:rsid w:val="009863D9"/>
    <w:rsid w:val="00986A58"/>
    <w:rsid w:val="00986A6B"/>
    <w:rsid w:val="0098727F"/>
    <w:rsid w:val="0098731A"/>
    <w:rsid w:val="00987626"/>
    <w:rsid w:val="00987680"/>
    <w:rsid w:val="009876D6"/>
    <w:rsid w:val="009876F7"/>
    <w:rsid w:val="00987843"/>
    <w:rsid w:val="009879DC"/>
    <w:rsid w:val="00987D26"/>
    <w:rsid w:val="00990105"/>
    <w:rsid w:val="009904F2"/>
    <w:rsid w:val="009905CD"/>
    <w:rsid w:val="009907F1"/>
    <w:rsid w:val="00990D4A"/>
    <w:rsid w:val="009910B6"/>
    <w:rsid w:val="00991114"/>
    <w:rsid w:val="009912C6"/>
    <w:rsid w:val="0099130F"/>
    <w:rsid w:val="00991739"/>
    <w:rsid w:val="0099177F"/>
    <w:rsid w:val="0099182A"/>
    <w:rsid w:val="009919CB"/>
    <w:rsid w:val="00992C73"/>
    <w:rsid w:val="00992EA5"/>
    <w:rsid w:val="00992F90"/>
    <w:rsid w:val="0099362A"/>
    <w:rsid w:val="00993739"/>
    <w:rsid w:val="009939DA"/>
    <w:rsid w:val="00993B1C"/>
    <w:rsid w:val="00993D26"/>
    <w:rsid w:val="00993DE5"/>
    <w:rsid w:val="00994403"/>
    <w:rsid w:val="00994E9D"/>
    <w:rsid w:val="00994F27"/>
    <w:rsid w:val="0099525C"/>
    <w:rsid w:val="009953F0"/>
    <w:rsid w:val="00995AE9"/>
    <w:rsid w:val="009962E4"/>
    <w:rsid w:val="00996726"/>
    <w:rsid w:val="00996999"/>
    <w:rsid w:val="00996A1E"/>
    <w:rsid w:val="00996BE7"/>
    <w:rsid w:val="0099739B"/>
    <w:rsid w:val="009A0048"/>
    <w:rsid w:val="009A01A1"/>
    <w:rsid w:val="009A0A2B"/>
    <w:rsid w:val="009A0C05"/>
    <w:rsid w:val="009A10D0"/>
    <w:rsid w:val="009A1122"/>
    <w:rsid w:val="009A1DF0"/>
    <w:rsid w:val="009A1E1C"/>
    <w:rsid w:val="009A2328"/>
    <w:rsid w:val="009A27BF"/>
    <w:rsid w:val="009A2F20"/>
    <w:rsid w:val="009A30EB"/>
    <w:rsid w:val="009A3790"/>
    <w:rsid w:val="009A3C99"/>
    <w:rsid w:val="009A42C0"/>
    <w:rsid w:val="009A4860"/>
    <w:rsid w:val="009A4B16"/>
    <w:rsid w:val="009A4D68"/>
    <w:rsid w:val="009A4F37"/>
    <w:rsid w:val="009A4FF6"/>
    <w:rsid w:val="009A52DC"/>
    <w:rsid w:val="009A53B3"/>
    <w:rsid w:val="009A54D4"/>
    <w:rsid w:val="009A572D"/>
    <w:rsid w:val="009A584F"/>
    <w:rsid w:val="009A597A"/>
    <w:rsid w:val="009A5AAE"/>
    <w:rsid w:val="009A62DB"/>
    <w:rsid w:val="009A64C9"/>
    <w:rsid w:val="009A66A9"/>
    <w:rsid w:val="009A694E"/>
    <w:rsid w:val="009A70DE"/>
    <w:rsid w:val="009A7834"/>
    <w:rsid w:val="009A7854"/>
    <w:rsid w:val="009A78FB"/>
    <w:rsid w:val="009B015B"/>
    <w:rsid w:val="009B0C2E"/>
    <w:rsid w:val="009B0E4F"/>
    <w:rsid w:val="009B0FB0"/>
    <w:rsid w:val="009B1029"/>
    <w:rsid w:val="009B166A"/>
    <w:rsid w:val="009B1A15"/>
    <w:rsid w:val="009B24D5"/>
    <w:rsid w:val="009B26FB"/>
    <w:rsid w:val="009B2A8C"/>
    <w:rsid w:val="009B2B0D"/>
    <w:rsid w:val="009B2F6E"/>
    <w:rsid w:val="009B32AD"/>
    <w:rsid w:val="009B33EC"/>
    <w:rsid w:val="009B3516"/>
    <w:rsid w:val="009B3720"/>
    <w:rsid w:val="009B3A4B"/>
    <w:rsid w:val="009B3B9C"/>
    <w:rsid w:val="009B3E56"/>
    <w:rsid w:val="009B3FD1"/>
    <w:rsid w:val="009B4769"/>
    <w:rsid w:val="009B484B"/>
    <w:rsid w:val="009B4B34"/>
    <w:rsid w:val="009B546E"/>
    <w:rsid w:val="009B5A78"/>
    <w:rsid w:val="009B5DC9"/>
    <w:rsid w:val="009B6786"/>
    <w:rsid w:val="009B68E8"/>
    <w:rsid w:val="009B690E"/>
    <w:rsid w:val="009B6E1C"/>
    <w:rsid w:val="009B7452"/>
    <w:rsid w:val="009B7CEC"/>
    <w:rsid w:val="009C029C"/>
    <w:rsid w:val="009C0DDC"/>
    <w:rsid w:val="009C1390"/>
    <w:rsid w:val="009C1728"/>
    <w:rsid w:val="009C1968"/>
    <w:rsid w:val="009C19E4"/>
    <w:rsid w:val="009C19F1"/>
    <w:rsid w:val="009C1E25"/>
    <w:rsid w:val="009C1F24"/>
    <w:rsid w:val="009C26AA"/>
    <w:rsid w:val="009C2BA6"/>
    <w:rsid w:val="009C3210"/>
    <w:rsid w:val="009C32D6"/>
    <w:rsid w:val="009C3386"/>
    <w:rsid w:val="009C33E6"/>
    <w:rsid w:val="009C3792"/>
    <w:rsid w:val="009C3812"/>
    <w:rsid w:val="009C3B34"/>
    <w:rsid w:val="009C3F36"/>
    <w:rsid w:val="009C3FCE"/>
    <w:rsid w:val="009C415C"/>
    <w:rsid w:val="009C470B"/>
    <w:rsid w:val="009C52C0"/>
    <w:rsid w:val="009C5624"/>
    <w:rsid w:val="009C6402"/>
    <w:rsid w:val="009C6F2D"/>
    <w:rsid w:val="009C72CA"/>
    <w:rsid w:val="009C745B"/>
    <w:rsid w:val="009C7620"/>
    <w:rsid w:val="009C7B34"/>
    <w:rsid w:val="009C7F9B"/>
    <w:rsid w:val="009C7FD8"/>
    <w:rsid w:val="009D00C5"/>
    <w:rsid w:val="009D00F7"/>
    <w:rsid w:val="009D1315"/>
    <w:rsid w:val="009D142C"/>
    <w:rsid w:val="009D2192"/>
    <w:rsid w:val="009D25E7"/>
    <w:rsid w:val="009D26C8"/>
    <w:rsid w:val="009D27BD"/>
    <w:rsid w:val="009D2843"/>
    <w:rsid w:val="009D29A6"/>
    <w:rsid w:val="009D29AB"/>
    <w:rsid w:val="009D2E44"/>
    <w:rsid w:val="009D323A"/>
    <w:rsid w:val="009D343D"/>
    <w:rsid w:val="009D3721"/>
    <w:rsid w:val="009D3722"/>
    <w:rsid w:val="009D3727"/>
    <w:rsid w:val="009D382C"/>
    <w:rsid w:val="009D3C19"/>
    <w:rsid w:val="009D43BC"/>
    <w:rsid w:val="009D43EF"/>
    <w:rsid w:val="009D4752"/>
    <w:rsid w:val="009D537E"/>
    <w:rsid w:val="009D5782"/>
    <w:rsid w:val="009D584C"/>
    <w:rsid w:val="009D598E"/>
    <w:rsid w:val="009D5C56"/>
    <w:rsid w:val="009D5DB3"/>
    <w:rsid w:val="009D5FFA"/>
    <w:rsid w:val="009D64EA"/>
    <w:rsid w:val="009D65F9"/>
    <w:rsid w:val="009D66C7"/>
    <w:rsid w:val="009D67E5"/>
    <w:rsid w:val="009D687C"/>
    <w:rsid w:val="009D6880"/>
    <w:rsid w:val="009D6A81"/>
    <w:rsid w:val="009D7214"/>
    <w:rsid w:val="009D7466"/>
    <w:rsid w:val="009D774C"/>
    <w:rsid w:val="009D7BB5"/>
    <w:rsid w:val="009D7D69"/>
    <w:rsid w:val="009D7F4E"/>
    <w:rsid w:val="009E0453"/>
    <w:rsid w:val="009E04B0"/>
    <w:rsid w:val="009E04C6"/>
    <w:rsid w:val="009E05BB"/>
    <w:rsid w:val="009E0A07"/>
    <w:rsid w:val="009E19F7"/>
    <w:rsid w:val="009E1CC4"/>
    <w:rsid w:val="009E1D13"/>
    <w:rsid w:val="009E21C6"/>
    <w:rsid w:val="009E298C"/>
    <w:rsid w:val="009E299B"/>
    <w:rsid w:val="009E2E1E"/>
    <w:rsid w:val="009E33C4"/>
    <w:rsid w:val="009E34CA"/>
    <w:rsid w:val="009E3AF4"/>
    <w:rsid w:val="009E3CFA"/>
    <w:rsid w:val="009E3F45"/>
    <w:rsid w:val="009E40B9"/>
    <w:rsid w:val="009E4AD1"/>
    <w:rsid w:val="009E4FB9"/>
    <w:rsid w:val="009E535E"/>
    <w:rsid w:val="009E53A6"/>
    <w:rsid w:val="009E56D7"/>
    <w:rsid w:val="009E575E"/>
    <w:rsid w:val="009E57FD"/>
    <w:rsid w:val="009E5D0D"/>
    <w:rsid w:val="009E5D8F"/>
    <w:rsid w:val="009E616F"/>
    <w:rsid w:val="009E634A"/>
    <w:rsid w:val="009E6C56"/>
    <w:rsid w:val="009E6D63"/>
    <w:rsid w:val="009E6E08"/>
    <w:rsid w:val="009E6EC7"/>
    <w:rsid w:val="009E7025"/>
    <w:rsid w:val="009E728C"/>
    <w:rsid w:val="009E79E2"/>
    <w:rsid w:val="009E7AFF"/>
    <w:rsid w:val="009E7C82"/>
    <w:rsid w:val="009E7EA6"/>
    <w:rsid w:val="009F01E5"/>
    <w:rsid w:val="009F06C9"/>
    <w:rsid w:val="009F0B30"/>
    <w:rsid w:val="009F0CD0"/>
    <w:rsid w:val="009F0F2A"/>
    <w:rsid w:val="009F10A1"/>
    <w:rsid w:val="009F12F5"/>
    <w:rsid w:val="009F18E0"/>
    <w:rsid w:val="009F1A41"/>
    <w:rsid w:val="009F1D0B"/>
    <w:rsid w:val="009F1D6B"/>
    <w:rsid w:val="009F2B33"/>
    <w:rsid w:val="009F2D23"/>
    <w:rsid w:val="009F2F4E"/>
    <w:rsid w:val="009F3072"/>
    <w:rsid w:val="009F3540"/>
    <w:rsid w:val="009F3A31"/>
    <w:rsid w:val="009F3C99"/>
    <w:rsid w:val="009F3D76"/>
    <w:rsid w:val="009F3D94"/>
    <w:rsid w:val="009F46BA"/>
    <w:rsid w:val="009F4895"/>
    <w:rsid w:val="009F491C"/>
    <w:rsid w:val="009F4B0B"/>
    <w:rsid w:val="009F4FEC"/>
    <w:rsid w:val="009F57AB"/>
    <w:rsid w:val="009F59C7"/>
    <w:rsid w:val="009F5FCB"/>
    <w:rsid w:val="009F5FDA"/>
    <w:rsid w:val="009F6271"/>
    <w:rsid w:val="009F631D"/>
    <w:rsid w:val="009F65D0"/>
    <w:rsid w:val="009F664F"/>
    <w:rsid w:val="009F6A46"/>
    <w:rsid w:val="009F6B4C"/>
    <w:rsid w:val="009F6FD2"/>
    <w:rsid w:val="009F7EA2"/>
    <w:rsid w:val="00A00155"/>
    <w:rsid w:val="00A00546"/>
    <w:rsid w:val="00A005EC"/>
    <w:rsid w:val="00A006E0"/>
    <w:rsid w:val="00A007C4"/>
    <w:rsid w:val="00A009A9"/>
    <w:rsid w:val="00A00AFE"/>
    <w:rsid w:val="00A00F74"/>
    <w:rsid w:val="00A011B4"/>
    <w:rsid w:val="00A012AF"/>
    <w:rsid w:val="00A016C2"/>
    <w:rsid w:val="00A017F6"/>
    <w:rsid w:val="00A01A22"/>
    <w:rsid w:val="00A01E64"/>
    <w:rsid w:val="00A02252"/>
    <w:rsid w:val="00A02A8B"/>
    <w:rsid w:val="00A03433"/>
    <w:rsid w:val="00A03D71"/>
    <w:rsid w:val="00A03F47"/>
    <w:rsid w:val="00A0465F"/>
    <w:rsid w:val="00A0488C"/>
    <w:rsid w:val="00A04E82"/>
    <w:rsid w:val="00A04F6F"/>
    <w:rsid w:val="00A0504D"/>
    <w:rsid w:val="00A05433"/>
    <w:rsid w:val="00A058D6"/>
    <w:rsid w:val="00A05AB9"/>
    <w:rsid w:val="00A05E44"/>
    <w:rsid w:val="00A06282"/>
    <w:rsid w:val="00A062A0"/>
    <w:rsid w:val="00A06D29"/>
    <w:rsid w:val="00A06E88"/>
    <w:rsid w:val="00A0704D"/>
    <w:rsid w:val="00A07221"/>
    <w:rsid w:val="00A077BA"/>
    <w:rsid w:val="00A0780B"/>
    <w:rsid w:val="00A07FC6"/>
    <w:rsid w:val="00A1033B"/>
    <w:rsid w:val="00A103E6"/>
    <w:rsid w:val="00A10599"/>
    <w:rsid w:val="00A10EBE"/>
    <w:rsid w:val="00A10F47"/>
    <w:rsid w:val="00A112F1"/>
    <w:rsid w:val="00A11529"/>
    <w:rsid w:val="00A11530"/>
    <w:rsid w:val="00A1258F"/>
    <w:rsid w:val="00A12CAF"/>
    <w:rsid w:val="00A12D58"/>
    <w:rsid w:val="00A138DC"/>
    <w:rsid w:val="00A13930"/>
    <w:rsid w:val="00A13BFD"/>
    <w:rsid w:val="00A13EEC"/>
    <w:rsid w:val="00A13F3B"/>
    <w:rsid w:val="00A13F97"/>
    <w:rsid w:val="00A14062"/>
    <w:rsid w:val="00A14379"/>
    <w:rsid w:val="00A1438A"/>
    <w:rsid w:val="00A14902"/>
    <w:rsid w:val="00A149CA"/>
    <w:rsid w:val="00A14C81"/>
    <w:rsid w:val="00A14F97"/>
    <w:rsid w:val="00A150D6"/>
    <w:rsid w:val="00A1554B"/>
    <w:rsid w:val="00A15CB0"/>
    <w:rsid w:val="00A16BD3"/>
    <w:rsid w:val="00A16D32"/>
    <w:rsid w:val="00A16E7A"/>
    <w:rsid w:val="00A171C4"/>
    <w:rsid w:val="00A17200"/>
    <w:rsid w:val="00A17243"/>
    <w:rsid w:val="00A173F8"/>
    <w:rsid w:val="00A17634"/>
    <w:rsid w:val="00A177C9"/>
    <w:rsid w:val="00A17CBE"/>
    <w:rsid w:val="00A20152"/>
    <w:rsid w:val="00A20365"/>
    <w:rsid w:val="00A20F41"/>
    <w:rsid w:val="00A21680"/>
    <w:rsid w:val="00A21E49"/>
    <w:rsid w:val="00A21FA8"/>
    <w:rsid w:val="00A22100"/>
    <w:rsid w:val="00A22146"/>
    <w:rsid w:val="00A22162"/>
    <w:rsid w:val="00A22418"/>
    <w:rsid w:val="00A224DE"/>
    <w:rsid w:val="00A22834"/>
    <w:rsid w:val="00A22886"/>
    <w:rsid w:val="00A231C2"/>
    <w:rsid w:val="00A24204"/>
    <w:rsid w:val="00A24354"/>
    <w:rsid w:val="00A24538"/>
    <w:rsid w:val="00A2459B"/>
    <w:rsid w:val="00A245F5"/>
    <w:rsid w:val="00A24C51"/>
    <w:rsid w:val="00A251E2"/>
    <w:rsid w:val="00A25B82"/>
    <w:rsid w:val="00A25C1E"/>
    <w:rsid w:val="00A25DFB"/>
    <w:rsid w:val="00A26015"/>
    <w:rsid w:val="00A26063"/>
    <w:rsid w:val="00A2647D"/>
    <w:rsid w:val="00A26ADF"/>
    <w:rsid w:val="00A279D1"/>
    <w:rsid w:val="00A279EC"/>
    <w:rsid w:val="00A27A19"/>
    <w:rsid w:val="00A30208"/>
    <w:rsid w:val="00A30272"/>
    <w:rsid w:val="00A3027A"/>
    <w:rsid w:val="00A304F1"/>
    <w:rsid w:val="00A30D61"/>
    <w:rsid w:val="00A30F4C"/>
    <w:rsid w:val="00A317F3"/>
    <w:rsid w:val="00A31A23"/>
    <w:rsid w:val="00A31A8E"/>
    <w:rsid w:val="00A31B86"/>
    <w:rsid w:val="00A31D9F"/>
    <w:rsid w:val="00A31FFB"/>
    <w:rsid w:val="00A32977"/>
    <w:rsid w:val="00A32C00"/>
    <w:rsid w:val="00A32CBA"/>
    <w:rsid w:val="00A32E70"/>
    <w:rsid w:val="00A3335F"/>
    <w:rsid w:val="00A337BE"/>
    <w:rsid w:val="00A338DF"/>
    <w:rsid w:val="00A33E94"/>
    <w:rsid w:val="00A34181"/>
    <w:rsid w:val="00A34415"/>
    <w:rsid w:val="00A34831"/>
    <w:rsid w:val="00A348F0"/>
    <w:rsid w:val="00A35380"/>
    <w:rsid w:val="00A35644"/>
    <w:rsid w:val="00A357EB"/>
    <w:rsid w:val="00A35B44"/>
    <w:rsid w:val="00A361BD"/>
    <w:rsid w:val="00A36832"/>
    <w:rsid w:val="00A36938"/>
    <w:rsid w:val="00A3699B"/>
    <w:rsid w:val="00A36B26"/>
    <w:rsid w:val="00A36D38"/>
    <w:rsid w:val="00A36E31"/>
    <w:rsid w:val="00A36FA4"/>
    <w:rsid w:val="00A36FAF"/>
    <w:rsid w:val="00A370B9"/>
    <w:rsid w:val="00A3722E"/>
    <w:rsid w:val="00A37274"/>
    <w:rsid w:val="00A375AC"/>
    <w:rsid w:val="00A37897"/>
    <w:rsid w:val="00A37AF0"/>
    <w:rsid w:val="00A37E82"/>
    <w:rsid w:val="00A4046C"/>
    <w:rsid w:val="00A404BC"/>
    <w:rsid w:val="00A4083E"/>
    <w:rsid w:val="00A408E3"/>
    <w:rsid w:val="00A40ADB"/>
    <w:rsid w:val="00A410D1"/>
    <w:rsid w:val="00A417A6"/>
    <w:rsid w:val="00A41B65"/>
    <w:rsid w:val="00A41C63"/>
    <w:rsid w:val="00A41D40"/>
    <w:rsid w:val="00A420BA"/>
    <w:rsid w:val="00A420F9"/>
    <w:rsid w:val="00A42214"/>
    <w:rsid w:val="00A42D39"/>
    <w:rsid w:val="00A42EB4"/>
    <w:rsid w:val="00A4309D"/>
    <w:rsid w:val="00A43362"/>
    <w:rsid w:val="00A43650"/>
    <w:rsid w:val="00A436F2"/>
    <w:rsid w:val="00A43BCB"/>
    <w:rsid w:val="00A44393"/>
    <w:rsid w:val="00A4454F"/>
    <w:rsid w:val="00A4522F"/>
    <w:rsid w:val="00A45739"/>
    <w:rsid w:val="00A45907"/>
    <w:rsid w:val="00A45FC4"/>
    <w:rsid w:val="00A46106"/>
    <w:rsid w:val="00A464B1"/>
    <w:rsid w:val="00A46603"/>
    <w:rsid w:val="00A4686B"/>
    <w:rsid w:val="00A47276"/>
    <w:rsid w:val="00A47795"/>
    <w:rsid w:val="00A47817"/>
    <w:rsid w:val="00A47B3F"/>
    <w:rsid w:val="00A47C7D"/>
    <w:rsid w:val="00A47D1A"/>
    <w:rsid w:val="00A47D5E"/>
    <w:rsid w:val="00A50328"/>
    <w:rsid w:val="00A50621"/>
    <w:rsid w:val="00A50D76"/>
    <w:rsid w:val="00A51513"/>
    <w:rsid w:val="00A519CD"/>
    <w:rsid w:val="00A5236A"/>
    <w:rsid w:val="00A52409"/>
    <w:rsid w:val="00A52AAC"/>
    <w:rsid w:val="00A52ED9"/>
    <w:rsid w:val="00A52F78"/>
    <w:rsid w:val="00A53339"/>
    <w:rsid w:val="00A53BB1"/>
    <w:rsid w:val="00A53C18"/>
    <w:rsid w:val="00A5401C"/>
    <w:rsid w:val="00A54258"/>
    <w:rsid w:val="00A54AFE"/>
    <w:rsid w:val="00A54B85"/>
    <w:rsid w:val="00A54C4A"/>
    <w:rsid w:val="00A555E6"/>
    <w:rsid w:val="00A556F8"/>
    <w:rsid w:val="00A55977"/>
    <w:rsid w:val="00A55DB6"/>
    <w:rsid w:val="00A5602F"/>
    <w:rsid w:val="00A56B07"/>
    <w:rsid w:val="00A56BC5"/>
    <w:rsid w:val="00A56DBB"/>
    <w:rsid w:val="00A56FA9"/>
    <w:rsid w:val="00A573B6"/>
    <w:rsid w:val="00A57539"/>
    <w:rsid w:val="00A57D41"/>
    <w:rsid w:val="00A57DBD"/>
    <w:rsid w:val="00A57E2C"/>
    <w:rsid w:val="00A57E39"/>
    <w:rsid w:val="00A60018"/>
    <w:rsid w:val="00A60386"/>
    <w:rsid w:val="00A6079C"/>
    <w:rsid w:val="00A60A83"/>
    <w:rsid w:val="00A60B3E"/>
    <w:rsid w:val="00A60B88"/>
    <w:rsid w:val="00A60BC9"/>
    <w:rsid w:val="00A60CEF"/>
    <w:rsid w:val="00A61092"/>
    <w:rsid w:val="00A611AC"/>
    <w:rsid w:val="00A61671"/>
    <w:rsid w:val="00A618C7"/>
    <w:rsid w:val="00A619C9"/>
    <w:rsid w:val="00A61AEC"/>
    <w:rsid w:val="00A627E4"/>
    <w:rsid w:val="00A62AD6"/>
    <w:rsid w:val="00A62E55"/>
    <w:rsid w:val="00A62FF3"/>
    <w:rsid w:val="00A632F7"/>
    <w:rsid w:val="00A63C13"/>
    <w:rsid w:val="00A63D72"/>
    <w:rsid w:val="00A64374"/>
    <w:rsid w:val="00A644B6"/>
    <w:rsid w:val="00A64A30"/>
    <w:rsid w:val="00A64FC5"/>
    <w:rsid w:val="00A6515D"/>
    <w:rsid w:val="00A651A3"/>
    <w:rsid w:val="00A65B2B"/>
    <w:rsid w:val="00A66310"/>
    <w:rsid w:val="00A664D0"/>
    <w:rsid w:val="00A6653B"/>
    <w:rsid w:val="00A6685C"/>
    <w:rsid w:val="00A66914"/>
    <w:rsid w:val="00A66977"/>
    <w:rsid w:val="00A66ADF"/>
    <w:rsid w:val="00A66BD7"/>
    <w:rsid w:val="00A67241"/>
    <w:rsid w:val="00A67257"/>
    <w:rsid w:val="00A6765F"/>
    <w:rsid w:val="00A679EE"/>
    <w:rsid w:val="00A70918"/>
    <w:rsid w:val="00A70984"/>
    <w:rsid w:val="00A70B30"/>
    <w:rsid w:val="00A71AF4"/>
    <w:rsid w:val="00A7253E"/>
    <w:rsid w:val="00A72EDC"/>
    <w:rsid w:val="00A73216"/>
    <w:rsid w:val="00A733D8"/>
    <w:rsid w:val="00A73531"/>
    <w:rsid w:val="00A739E6"/>
    <w:rsid w:val="00A739F6"/>
    <w:rsid w:val="00A73BDE"/>
    <w:rsid w:val="00A73CB9"/>
    <w:rsid w:val="00A73FC5"/>
    <w:rsid w:val="00A74399"/>
    <w:rsid w:val="00A74B7A"/>
    <w:rsid w:val="00A74E0F"/>
    <w:rsid w:val="00A752AF"/>
    <w:rsid w:val="00A75321"/>
    <w:rsid w:val="00A759C5"/>
    <w:rsid w:val="00A75B77"/>
    <w:rsid w:val="00A75DB1"/>
    <w:rsid w:val="00A75F44"/>
    <w:rsid w:val="00A761C4"/>
    <w:rsid w:val="00A76892"/>
    <w:rsid w:val="00A76965"/>
    <w:rsid w:val="00A76A44"/>
    <w:rsid w:val="00A76C3C"/>
    <w:rsid w:val="00A77184"/>
    <w:rsid w:val="00A771DC"/>
    <w:rsid w:val="00A77295"/>
    <w:rsid w:val="00A77961"/>
    <w:rsid w:val="00A802E6"/>
    <w:rsid w:val="00A804E6"/>
    <w:rsid w:val="00A804F8"/>
    <w:rsid w:val="00A80527"/>
    <w:rsid w:val="00A80733"/>
    <w:rsid w:val="00A80B21"/>
    <w:rsid w:val="00A80B7E"/>
    <w:rsid w:val="00A80BEF"/>
    <w:rsid w:val="00A80D87"/>
    <w:rsid w:val="00A817C9"/>
    <w:rsid w:val="00A817FD"/>
    <w:rsid w:val="00A82657"/>
    <w:rsid w:val="00A82955"/>
    <w:rsid w:val="00A82A02"/>
    <w:rsid w:val="00A82D45"/>
    <w:rsid w:val="00A82F61"/>
    <w:rsid w:val="00A832DD"/>
    <w:rsid w:val="00A83E6F"/>
    <w:rsid w:val="00A8430A"/>
    <w:rsid w:val="00A84430"/>
    <w:rsid w:val="00A8463C"/>
    <w:rsid w:val="00A8493A"/>
    <w:rsid w:val="00A84C04"/>
    <w:rsid w:val="00A84C6D"/>
    <w:rsid w:val="00A84CD8"/>
    <w:rsid w:val="00A84DE0"/>
    <w:rsid w:val="00A84FD0"/>
    <w:rsid w:val="00A84FF1"/>
    <w:rsid w:val="00A85158"/>
    <w:rsid w:val="00A852EB"/>
    <w:rsid w:val="00A85426"/>
    <w:rsid w:val="00A85576"/>
    <w:rsid w:val="00A858A1"/>
    <w:rsid w:val="00A85A52"/>
    <w:rsid w:val="00A85A9B"/>
    <w:rsid w:val="00A85B9E"/>
    <w:rsid w:val="00A85D25"/>
    <w:rsid w:val="00A863E2"/>
    <w:rsid w:val="00A86558"/>
    <w:rsid w:val="00A86939"/>
    <w:rsid w:val="00A86941"/>
    <w:rsid w:val="00A86C2D"/>
    <w:rsid w:val="00A86D04"/>
    <w:rsid w:val="00A86DDA"/>
    <w:rsid w:val="00A873E2"/>
    <w:rsid w:val="00A8748A"/>
    <w:rsid w:val="00A87A7A"/>
    <w:rsid w:val="00A87D7E"/>
    <w:rsid w:val="00A9009B"/>
    <w:rsid w:val="00A903FC"/>
    <w:rsid w:val="00A904F1"/>
    <w:rsid w:val="00A90BE1"/>
    <w:rsid w:val="00A90D4E"/>
    <w:rsid w:val="00A9110D"/>
    <w:rsid w:val="00A91863"/>
    <w:rsid w:val="00A91A2D"/>
    <w:rsid w:val="00A91C87"/>
    <w:rsid w:val="00A91CCB"/>
    <w:rsid w:val="00A920B2"/>
    <w:rsid w:val="00A9298B"/>
    <w:rsid w:val="00A92AA7"/>
    <w:rsid w:val="00A93341"/>
    <w:rsid w:val="00A93561"/>
    <w:rsid w:val="00A93D66"/>
    <w:rsid w:val="00A94017"/>
    <w:rsid w:val="00A947FA"/>
    <w:rsid w:val="00A94BA9"/>
    <w:rsid w:val="00A94CC3"/>
    <w:rsid w:val="00A94FC8"/>
    <w:rsid w:val="00A9528F"/>
    <w:rsid w:val="00A95428"/>
    <w:rsid w:val="00A95A14"/>
    <w:rsid w:val="00A95A5B"/>
    <w:rsid w:val="00A95C28"/>
    <w:rsid w:val="00A95D9D"/>
    <w:rsid w:val="00A9615B"/>
    <w:rsid w:val="00A96189"/>
    <w:rsid w:val="00A966C0"/>
    <w:rsid w:val="00A96C0E"/>
    <w:rsid w:val="00A9701C"/>
    <w:rsid w:val="00A971A1"/>
    <w:rsid w:val="00A97750"/>
    <w:rsid w:val="00A97DB8"/>
    <w:rsid w:val="00AA0795"/>
    <w:rsid w:val="00AA0CD9"/>
    <w:rsid w:val="00AA1327"/>
    <w:rsid w:val="00AA14D6"/>
    <w:rsid w:val="00AA155C"/>
    <w:rsid w:val="00AA1A8B"/>
    <w:rsid w:val="00AA1BB4"/>
    <w:rsid w:val="00AA1C6B"/>
    <w:rsid w:val="00AA2491"/>
    <w:rsid w:val="00AA24BD"/>
    <w:rsid w:val="00AA2617"/>
    <w:rsid w:val="00AA2F5F"/>
    <w:rsid w:val="00AA2F9F"/>
    <w:rsid w:val="00AA30B6"/>
    <w:rsid w:val="00AA341A"/>
    <w:rsid w:val="00AA372C"/>
    <w:rsid w:val="00AA3AD3"/>
    <w:rsid w:val="00AA40B6"/>
    <w:rsid w:val="00AA4468"/>
    <w:rsid w:val="00AA4813"/>
    <w:rsid w:val="00AA49DB"/>
    <w:rsid w:val="00AA4BFD"/>
    <w:rsid w:val="00AA4D51"/>
    <w:rsid w:val="00AA512E"/>
    <w:rsid w:val="00AA559E"/>
    <w:rsid w:val="00AA5CAB"/>
    <w:rsid w:val="00AA5CBE"/>
    <w:rsid w:val="00AA5D36"/>
    <w:rsid w:val="00AA60C5"/>
    <w:rsid w:val="00AA641A"/>
    <w:rsid w:val="00AA7239"/>
    <w:rsid w:val="00AA7249"/>
    <w:rsid w:val="00AA74B0"/>
    <w:rsid w:val="00AA75E2"/>
    <w:rsid w:val="00AA77AB"/>
    <w:rsid w:val="00AA79C3"/>
    <w:rsid w:val="00AA7C4E"/>
    <w:rsid w:val="00AA7CCD"/>
    <w:rsid w:val="00AB0040"/>
    <w:rsid w:val="00AB028E"/>
    <w:rsid w:val="00AB055F"/>
    <w:rsid w:val="00AB062C"/>
    <w:rsid w:val="00AB06B2"/>
    <w:rsid w:val="00AB0F05"/>
    <w:rsid w:val="00AB11F6"/>
    <w:rsid w:val="00AB13F5"/>
    <w:rsid w:val="00AB16D8"/>
    <w:rsid w:val="00AB1756"/>
    <w:rsid w:val="00AB1845"/>
    <w:rsid w:val="00AB1DB1"/>
    <w:rsid w:val="00AB1F37"/>
    <w:rsid w:val="00AB21AF"/>
    <w:rsid w:val="00AB2388"/>
    <w:rsid w:val="00AB2544"/>
    <w:rsid w:val="00AB26D4"/>
    <w:rsid w:val="00AB29A7"/>
    <w:rsid w:val="00AB2B6A"/>
    <w:rsid w:val="00AB2DEE"/>
    <w:rsid w:val="00AB2F76"/>
    <w:rsid w:val="00AB300D"/>
    <w:rsid w:val="00AB3346"/>
    <w:rsid w:val="00AB33DF"/>
    <w:rsid w:val="00AB38CA"/>
    <w:rsid w:val="00AB3B2A"/>
    <w:rsid w:val="00AB46BC"/>
    <w:rsid w:val="00AB4799"/>
    <w:rsid w:val="00AB4914"/>
    <w:rsid w:val="00AB491F"/>
    <w:rsid w:val="00AB5196"/>
    <w:rsid w:val="00AB520B"/>
    <w:rsid w:val="00AB5430"/>
    <w:rsid w:val="00AB543E"/>
    <w:rsid w:val="00AB5C0F"/>
    <w:rsid w:val="00AB5F86"/>
    <w:rsid w:val="00AB617C"/>
    <w:rsid w:val="00AB64AF"/>
    <w:rsid w:val="00AB6C16"/>
    <w:rsid w:val="00AB6F0F"/>
    <w:rsid w:val="00AB725B"/>
    <w:rsid w:val="00AB77DC"/>
    <w:rsid w:val="00AB799B"/>
    <w:rsid w:val="00AB7E41"/>
    <w:rsid w:val="00AC025D"/>
    <w:rsid w:val="00AC0492"/>
    <w:rsid w:val="00AC0610"/>
    <w:rsid w:val="00AC099F"/>
    <w:rsid w:val="00AC0B14"/>
    <w:rsid w:val="00AC17A3"/>
    <w:rsid w:val="00AC17C0"/>
    <w:rsid w:val="00AC2C72"/>
    <w:rsid w:val="00AC2EEA"/>
    <w:rsid w:val="00AC3983"/>
    <w:rsid w:val="00AC39E3"/>
    <w:rsid w:val="00AC3C20"/>
    <w:rsid w:val="00AC4494"/>
    <w:rsid w:val="00AC4DF0"/>
    <w:rsid w:val="00AC53E6"/>
    <w:rsid w:val="00AC5512"/>
    <w:rsid w:val="00AC5C49"/>
    <w:rsid w:val="00AC5FAA"/>
    <w:rsid w:val="00AC67BE"/>
    <w:rsid w:val="00AC6873"/>
    <w:rsid w:val="00AC6CBC"/>
    <w:rsid w:val="00AC7084"/>
    <w:rsid w:val="00AC7841"/>
    <w:rsid w:val="00AC7F93"/>
    <w:rsid w:val="00AD0241"/>
    <w:rsid w:val="00AD09C9"/>
    <w:rsid w:val="00AD0C86"/>
    <w:rsid w:val="00AD0D35"/>
    <w:rsid w:val="00AD139C"/>
    <w:rsid w:val="00AD15B3"/>
    <w:rsid w:val="00AD1C1B"/>
    <w:rsid w:val="00AD225F"/>
    <w:rsid w:val="00AD2A7F"/>
    <w:rsid w:val="00AD2BE3"/>
    <w:rsid w:val="00AD35A8"/>
    <w:rsid w:val="00AD3840"/>
    <w:rsid w:val="00AD3879"/>
    <w:rsid w:val="00AD3B03"/>
    <w:rsid w:val="00AD40D7"/>
    <w:rsid w:val="00AD4869"/>
    <w:rsid w:val="00AD4F41"/>
    <w:rsid w:val="00AD50FF"/>
    <w:rsid w:val="00AD5357"/>
    <w:rsid w:val="00AD5435"/>
    <w:rsid w:val="00AD56B8"/>
    <w:rsid w:val="00AD56DC"/>
    <w:rsid w:val="00AD572F"/>
    <w:rsid w:val="00AD5A4C"/>
    <w:rsid w:val="00AD5BC5"/>
    <w:rsid w:val="00AD6576"/>
    <w:rsid w:val="00AD68DF"/>
    <w:rsid w:val="00AD6A7D"/>
    <w:rsid w:val="00AD6F21"/>
    <w:rsid w:val="00AD7511"/>
    <w:rsid w:val="00AD7527"/>
    <w:rsid w:val="00AD78C6"/>
    <w:rsid w:val="00AD7B90"/>
    <w:rsid w:val="00AE03FE"/>
    <w:rsid w:val="00AE0639"/>
    <w:rsid w:val="00AE07DE"/>
    <w:rsid w:val="00AE0873"/>
    <w:rsid w:val="00AE0C64"/>
    <w:rsid w:val="00AE16C8"/>
    <w:rsid w:val="00AE1CAE"/>
    <w:rsid w:val="00AE1E1D"/>
    <w:rsid w:val="00AE1F90"/>
    <w:rsid w:val="00AE2376"/>
    <w:rsid w:val="00AE2452"/>
    <w:rsid w:val="00AE26BA"/>
    <w:rsid w:val="00AE2BBE"/>
    <w:rsid w:val="00AE3DA7"/>
    <w:rsid w:val="00AE47E7"/>
    <w:rsid w:val="00AE47FD"/>
    <w:rsid w:val="00AE4DF8"/>
    <w:rsid w:val="00AE503F"/>
    <w:rsid w:val="00AE5554"/>
    <w:rsid w:val="00AE5635"/>
    <w:rsid w:val="00AE56E0"/>
    <w:rsid w:val="00AE5906"/>
    <w:rsid w:val="00AE594C"/>
    <w:rsid w:val="00AE5B4B"/>
    <w:rsid w:val="00AE5CF4"/>
    <w:rsid w:val="00AE5F28"/>
    <w:rsid w:val="00AE6215"/>
    <w:rsid w:val="00AE66D7"/>
    <w:rsid w:val="00AE6728"/>
    <w:rsid w:val="00AE6830"/>
    <w:rsid w:val="00AE6C9C"/>
    <w:rsid w:val="00AE7153"/>
    <w:rsid w:val="00AE74C4"/>
    <w:rsid w:val="00AE7A53"/>
    <w:rsid w:val="00AF02C2"/>
    <w:rsid w:val="00AF077A"/>
    <w:rsid w:val="00AF087D"/>
    <w:rsid w:val="00AF0AFA"/>
    <w:rsid w:val="00AF0E2E"/>
    <w:rsid w:val="00AF0E5F"/>
    <w:rsid w:val="00AF12CC"/>
    <w:rsid w:val="00AF1391"/>
    <w:rsid w:val="00AF1DF6"/>
    <w:rsid w:val="00AF247F"/>
    <w:rsid w:val="00AF27DA"/>
    <w:rsid w:val="00AF2849"/>
    <w:rsid w:val="00AF3194"/>
    <w:rsid w:val="00AF3348"/>
    <w:rsid w:val="00AF342B"/>
    <w:rsid w:val="00AF3443"/>
    <w:rsid w:val="00AF3BA9"/>
    <w:rsid w:val="00AF3D6E"/>
    <w:rsid w:val="00AF40EA"/>
    <w:rsid w:val="00AF426C"/>
    <w:rsid w:val="00AF4868"/>
    <w:rsid w:val="00AF558B"/>
    <w:rsid w:val="00AF57D6"/>
    <w:rsid w:val="00AF5891"/>
    <w:rsid w:val="00AF5895"/>
    <w:rsid w:val="00AF5909"/>
    <w:rsid w:val="00AF5CB8"/>
    <w:rsid w:val="00AF6231"/>
    <w:rsid w:val="00AF6429"/>
    <w:rsid w:val="00AF65AE"/>
    <w:rsid w:val="00AF695A"/>
    <w:rsid w:val="00AF6989"/>
    <w:rsid w:val="00AF7300"/>
    <w:rsid w:val="00AF7722"/>
    <w:rsid w:val="00AF775E"/>
    <w:rsid w:val="00AF77F8"/>
    <w:rsid w:val="00AF79F8"/>
    <w:rsid w:val="00AF7BE5"/>
    <w:rsid w:val="00AF7E5B"/>
    <w:rsid w:val="00B00EA7"/>
    <w:rsid w:val="00B00FCD"/>
    <w:rsid w:val="00B0126D"/>
    <w:rsid w:val="00B013BA"/>
    <w:rsid w:val="00B017F5"/>
    <w:rsid w:val="00B01C84"/>
    <w:rsid w:val="00B01CF7"/>
    <w:rsid w:val="00B0234C"/>
    <w:rsid w:val="00B0331D"/>
    <w:rsid w:val="00B0338D"/>
    <w:rsid w:val="00B0350F"/>
    <w:rsid w:val="00B035A8"/>
    <w:rsid w:val="00B037B9"/>
    <w:rsid w:val="00B037FE"/>
    <w:rsid w:val="00B038B0"/>
    <w:rsid w:val="00B03900"/>
    <w:rsid w:val="00B04257"/>
    <w:rsid w:val="00B045FE"/>
    <w:rsid w:val="00B049C8"/>
    <w:rsid w:val="00B051F9"/>
    <w:rsid w:val="00B052A5"/>
    <w:rsid w:val="00B0551A"/>
    <w:rsid w:val="00B05623"/>
    <w:rsid w:val="00B05792"/>
    <w:rsid w:val="00B05955"/>
    <w:rsid w:val="00B05CAA"/>
    <w:rsid w:val="00B061A9"/>
    <w:rsid w:val="00B074AD"/>
    <w:rsid w:val="00B076F3"/>
    <w:rsid w:val="00B07A1F"/>
    <w:rsid w:val="00B07AB3"/>
    <w:rsid w:val="00B07B18"/>
    <w:rsid w:val="00B10359"/>
    <w:rsid w:val="00B1057F"/>
    <w:rsid w:val="00B10632"/>
    <w:rsid w:val="00B10B1D"/>
    <w:rsid w:val="00B10E25"/>
    <w:rsid w:val="00B10F81"/>
    <w:rsid w:val="00B11C79"/>
    <w:rsid w:val="00B12AEB"/>
    <w:rsid w:val="00B12F86"/>
    <w:rsid w:val="00B130C6"/>
    <w:rsid w:val="00B1315E"/>
    <w:rsid w:val="00B133BB"/>
    <w:rsid w:val="00B133FC"/>
    <w:rsid w:val="00B13671"/>
    <w:rsid w:val="00B13B1C"/>
    <w:rsid w:val="00B14515"/>
    <w:rsid w:val="00B14A3F"/>
    <w:rsid w:val="00B14A7C"/>
    <w:rsid w:val="00B14CC7"/>
    <w:rsid w:val="00B14FD7"/>
    <w:rsid w:val="00B153F4"/>
    <w:rsid w:val="00B15708"/>
    <w:rsid w:val="00B15A42"/>
    <w:rsid w:val="00B15DE0"/>
    <w:rsid w:val="00B15FC8"/>
    <w:rsid w:val="00B1611B"/>
    <w:rsid w:val="00B16615"/>
    <w:rsid w:val="00B168F3"/>
    <w:rsid w:val="00B16AF9"/>
    <w:rsid w:val="00B16CE0"/>
    <w:rsid w:val="00B17047"/>
    <w:rsid w:val="00B17598"/>
    <w:rsid w:val="00B17683"/>
    <w:rsid w:val="00B177D7"/>
    <w:rsid w:val="00B179C1"/>
    <w:rsid w:val="00B20132"/>
    <w:rsid w:val="00B201C0"/>
    <w:rsid w:val="00B2074F"/>
    <w:rsid w:val="00B208FB"/>
    <w:rsid w:val="00B210BB"/>
    <w:rsid w:val="00B2180F"/>
    <w:rsid w:val="00B21DA6"/>
    <w:rsid w:val="00B223BB"/>
    <w:rsid w:val="00B22618"/>
    <w:rsid w:val="00B228C9"/>
    <w:rsid w:val="00B22ED2"/>
    <w:rsid w:val="00B23429"/>
    <w:rsid w:val="00B23EDF"/>
    <w:rsid w:val="00B24286"/>
    <w:rsid w:val="00B24335"/>
    <w:rsid w:val="00B2433F"/>
    <w:rsid w:val="00B2450C"/>
    <w:rsid w:val="00B2459A"/>
    <w:rsid w:val="00B245C5"/>
    <w:rsid w:val="00B25463"/>
    <w:rsid w:val="00B254C4"/>
    <w:rsid w:val="00B256A2"/>
    <w:rsid w:val="00B25918"/>
    <w:rsid w:val="00B25A93"/>
    <w:rsid w:val="00B25BEB"/>
    <w:rsid w:val="00B26024"/>
    <w:rsid w:val="00B263B0"/>
    <w:rsid w:val="00B263DB"/>
    <w:rsid w:val="00B26C52"/>
    <w:rsid w:val="00B26CE9"/>
    <w:rsid w:val="00B26D07"/>
    <w:rsid w:val="00B26EC4"/>
    <w:rsid w:val="00B2705C"/>
    <w:rsid w:val="00B274C9"/>
    <w:rsid w:val="00B27962"/>
    <w:rsid w:val="00B30281"/>
    <w:rsid w:val="00B303C8"/>
    <w:rsid w:val="00B30E16"/>
    <w:rsid w:val="00B30F3A"/>
    <w:rsid w:val="00B310EF"/>
    <w:rsid w:val="00B3147B"/>
    <w:rsid w:val="00B31EF2"/>
    <w:rsid w:val="00B328DF"/>
    <w:rsid w:val="00B32A7A"/>
    <w:rsid w:val="00B32EAA"/>
    <w:rsid w:val="00B3304C"/>
    <w:rsid w:val="00B3320B"/>
    <w:rsid w:val="00B334CA"/>
    <w:rsid w:val="00B337F7"/>
    <w:rsid w:val="00B33DDD"/>
    <w:rsid w:val="00B33F46"/>
    <w:rsid w:val="00B3451F"/>
    <w:rsid w:val="00B34B9F"/>
    <w:rsid w:val="00B3527C"/>
    <w:rsid w:val="00B35A30"/>
    <w:rsid w:val="00B35CD3"/>
    <w:rsid w:val="00B35DE5"/>
    <w:rsid w:val="00B35E18"/>
    <w:rsid w:val="00B35E74"/>
    <w:rsid w:val="00B36566"/>
    <w:rsid w:val="00B367F3"/>
    <w:rsid w:val="00B36B6F"/>
    <w:rsid w:val="00B36DD3"/>
    <w:rsid w:val="00B37609"/>
    <w:rsid w:val="00B378D2"/>
    <w:rsid w:val="00B40571"/>
    <w:rsid w:val="00B40891"/>
    <w:rsid w:val="00B408FE"/>
    <w:rsid w:val="00B40ABB"/>
    <w:rsid w:val="00B40F4B"/>
    <w:rsid w:val="00B4112C"/>
    <w:rsid w:val="00B41522"/>
    <w:rsid w:val="00B41700"/>
    <w:rsid w:val="00B41B15"/>
    <w:rsid w:val="00B41D93"/>
    <w:rsid w:val="00B4200A"/>
    <w:rsid w:val="00B431BD"/>
    <w:rsid w:val="00B43299"/>
    <w:rsid w:val="00B4330E"/>
    <w:rsid w:val="00B437D0"/>
    <w:rsid w:val="00B43DF2"/>
    <w:rsid w:val="00B4480A"/>
    <w:rsid w:val="00B44D14"/>
    <w:rsid w:val="00B44E28"/>
    <w:rsid w:val="00B44FF1"/>
    <w:rsid w:val="00B45090"/>
    <w:rsid w:val="00B453D7"/>
    <w:rsid w:val="00B454C2"/>
    <w:rsid w:val="00B45E04"/>
    <w:rsid w:val="00B46160"/>
    <w:rsid w:val="00B4668C"/>
    <w:rsid w:val="00B46AEA"/>
    <w:rsid w:val="00B46AFB"/>
    <w:rsid w:val="00B4724A"/>
    <w:rsid w:val="00B47E1D"/>
    <w:rsid w:val="00B50101"/>
    <w:rsid w:val="00B50176"/>
    <w:rsid w:val="00B50413"/>
    <w:rsid w:val="00B50A43"/>
    <w:rsid w:val="00B50BCB"/>
    <w:rsid w:val="00B50D59"/>
    <w:rsid w:val="00B50E35"/>
    <w:rsid w:val="00B50E61"/>
    <w:rsid w:val="00B50E9C"/>
    <w:rsid w:val="00B51C87"/>
    <w:rsid w:val="00B51FDF"/>
    <w:rsid w:val="00B520D5"/>
    <w:rsid w:val="00B5233E"/>
    <w:rsid w:val="00B523D7"/>
    <w:rsid w:val="00B52474"/>
    <w:rsid w:val="00B52A8F"/>
    <w:rsid w:val="00B531CA"/>
    <w:rsid w:val="00B5325C"/>
    <w:rsid w:val="00B5391A"/>
    <w:rsid w:val="00B542FE"/>
    <w:rsid w:val="00B54367"/>
    <w:rsid w:val="00B5437A"/>
    <w:rsid w:val="00B54770"/>
    <w:rsid w:val="00B548F4"/>
    <w:rsid w:val="00B54996"/>
    <w:rsid w:val="00B54D1D"/>
    <w:rsid w:val="00B54FE4"/>
    <w:rsid w:val="00B5521F"/>
    <w:rsid w:val="00B552CE"/>
    <w:rsid w:val="00B552D3"/>
    <w:rsid w:val="00B55403"/>
    <w:rsid w:val="00B55594"/>
    <w:rsid w:val="00B556FB"/>
    <w:rsid w:val="00B55D57"/>
    <w:rsid w:val="00B55D76"/>
    <w:rsid w:val="00B55F3E"/>
    <w:rsid w:val="00B56267"/>
    <w:rsid w:val="00B5630B"/>
    <w:rsid w:val="00B56757"/>
    <w:rsid w:val="00B56875"/>
    <w:rsid w:val="00B56A78"/>
    <w:rsid w:val="00B571FD"/>
    <w:rsid w:val="00B572E8"/>
    <w:rsid w:val="00B57483"/>
    <w:rsid w:val="00B579A6"/>
    <w:rsid w:val="00B57B45"/>
    <w:rsid w:val="00B57D92"/>
    <w:rsid w:val="00B60240"/>
    <w:rsid w:val="00B60292"/>
    <w:rsid w:val="00B60410"/>
    <w:rsid w:val="00B605E5"/>
    <w:rsid w:val="00B60AA5"/>
    <w:rsid w:val="00B60ABC"/>
    <w:rsid w:val="00B60D4F"/>
    <w:rsid w:val="00B60DE6"/>
    <w:rsid w:val="00B61323"/>
    <w:rsid w:val="00B615D5"/>
    <w:rsid w:val="00B6185F"/>
    <w:rsid w:val="00B619F8"/>
    <w:rsid w:val="00B620B0"/>
    <w:rsid w:val="00B62136"/>
    <w:rsid w:val="00B62255"/>
    <w:rsid w:val="00B62ACF"/>
    <w:rsid w:val="00B62C1C"/>
    <w:rsid w:val="00B62CAC"/>
    <w:rsid w:val="00B62E26"/>
    <w:rsid w:val="00B63BB8"/>
    <w:rsid w:val="00B63DE9"/>
    <w:rsid w:val="00B63EA6"/>
    <w:rsid w:val="00B64229"/>
    <w:rsid w:val="00B644AB"/>
    <w:rsid w:val="00B64672"/>
    <w:rsid w:val="00B6472A"/>
    <w:rsid w:val="00B654C2"/>
    <w:rsid w:val="00B65661"/>
    <w:rsid w:val="00B65CAD"/>
    <w:rsid w:val="00B65D3A"/>
    <w:rsid w:val="00B65D5D"/>
    <w:rsid w:val="00B66021"/>
    <w:rsid w:val="00B6641C"/>
    <w:rsid w:val="00B66877"/>
    <w:rsid w:val="00B66A0D"/>
    <w:rsid w:val="00B66BB9"/>
    <w:rsid w:val="00B6738D"/>
    <w:rsid w:val="00B67478"/>
    <w:rsid w:val="00B67890"/>
    <w:rsid w:val="00B678AC"/>
    <w:rsid w:val="00B67B81"/>
    <w:rsid w:val="00B701DC"/>
    <w:rsid w:val="00B70544"/>
    <w:rsid w:val="00B70B1F"/>
    <w:rsid w:val="00B71732"/>
    <w:rsid w:val="00B718D1"/>
    <w:rsid w:val="00B722A1"/>
    <w:rsid w:val="00B7233D"/>
    <w:rsid w:val="00B72340"/>
    <w:rsid w:val="00B72535"/>
    <w:rsid w:val="00B72750"/>
    <w:rsid w:val="00B727A3"/>
    <w:rsid w:val="00B72BD2"/>
    <w:rsid w:val="00B72C4B"/>
    <w:rsid w:val="00B72CB3"/>
    <w:rsid w:val="00B72EC6"/>
    <w:rsid w:val="00B7317A"/>
    <w:rsid w:val="00B7368C"/>
    <w:rsid w:val="00B73906"/>
    <w:rsid w:val="00B74909"/>
    <w:rsid w:val="00B7550F"/>
    <w:rsid w:val="00B758D2"/>
    <w:rsid w:val="00B75F58"/>
    <w:rsid w:val="00B7604F"/>
    <w:rsid w:val="00B76467"/>
    <w:rsid w:val="00B76688"/>
    <w:rsid w:val="00B7697D"/>
    <w:rsid w:val="00B77315"/>
    <w:rsid w:val="00B774BC"/>
    <w:rsid w:val="00B77932"/>
    <w:rsid w:val="00B8006F"/>
    <w:rsid w:val="00B80399"/>
    <w:rsid w:val="00B803DB"/>
    <w:rsid w:val="00B805F4"/>
    <w:rsid w:val="00B80617"/>
    <w:rsid w:val="00B80656"/>
    <w:rsid w:val="00B80742"/>
    <w:rsid w:val="00B80E45"/>
    <w:rsid w:val="00B81C24"/>
    <w:rsid w:val="00B81CE1"/>
    <w:rsid w:val="00B822F5"/>
    <w:rsid w:val="00B8235C"/>
    <w:rsid w:val="00B827A7"/>
    <w:rsid w:val="00B828E2"/>
    <w:rsid w:val="00B83672"/>
    <w:rsid w:val="00B83728"/>
    <w:rsid w:val="00B83764"/>
    <w:rsid w:val="00B83782"/>
    <w:rsid w:val="00B83964"/>
    <w:rsid w:val="00B83A84"/>
    <w:rsid w:val="00B83C74"/>
    <w:rsid w:val="00B83D8D"/>
    <w:rsid w:val="00B83DD1"/>
    <w:rsid w:val="00B83E27"/>
    <w:rsid w:val="00B83F04"/>
    <w:rsid w:val="00B8404B"/>
    <w:rsid w:val="00B840B9"/>
    <w:rsid w:val="00B840FD"/>
    <w:rsid w:val="00B84687"/>
    <w:rsid w:val="00B84904"/>
    <w:rsid w:val="00B84F51"/>
    <w:rsid w:val="00B851DC"/>
    <w:rsid w:val="00B85A1D"/>
    <w:rsid w:val="00B85DC7"/>
    <w:rsid w:val="00B85E32"/>
    <w:rsid w:val="00B86111"/>
    <w:rsid w:val="00B8616D"/>
    <w:rsid w:val="00B8651F"/>
    <w:rsid w:val="00B865E2"/>
    <w:rsid w:val="00B86A33"/>
    <w:rsid w:val="00B86C39"/>
    <w:rsid w:val="00B86D6F"/>
    <w:rsid w:val="00B86E84"/>
    <w:rsid w:val="00B86FC3"/>
    <w:rsid w:val="00B870E8"/>
    <w:rsid w:val="00B877D1"/>
    <w:rsid w:val="00B87BA4"/>
    <w:rsid w:val="00B87CBA"/>
    <w:rsid w:val="00B87DAA"/>
    <w:rsid w:val="00B87F60"/>
    <w:rsid w:val="00B90324"/>
    <w:rsid w:val="00B90567"/>
    <w:rsid w:val="00B905B0"/>
    <w:rsid w:val="00B907BF"/>
    <w:rsid w:val="00B90E39"/>
    <w:rsid w:val="00B911BB"/>
    <w:rsid w:val="00B91772"/>
    <w:rsid w:val="00B917C1"/>
    <w:rsid w:val="00B9195F"/>
    <w:rsid w:val="00B91BF4"/>
    <w:rsid w:val="00B923E9"/>
    <w:rsid w:val="00B924EA"/>
    <w:rsid w:val="00B93066"/>
    <w:rsid w:val="00B93588"/>
    <w:rsid w:val="00B938F7"/>
    <w:rsid w:val="00B9442B"/>
    <w:rsid w:val="00B94720"/>
    <w:rsid w:val="00B9480B"/>
    <w:rsid w:val="00B94A85"/>
    <w:rsid w:val="00B94AFE"/>
    <w:rsid w:val="00B94BC8"/>
    <w:rsid w:val="00B94D3A"/>
    <w:rsid w:val="00B94D79"/>
    <w:rsid w:val="00B94E8A"/>
    <w:rsid w:val="00B9524C"/>
    <w:rsid w:val="00B9582A"/>
    <w:rsid w:val="00B95B8C"/>
    <w:rsid w:val="00B95C32"/>
    <w:rsid w:val="00B95D49"/>
    <w:rsid w:val="00B962B1"/>
    <w:rsid w:val="00B96301"/>
    <w:rsid w:val="00B963EB"/>
    <w:rsid w:val="00B96731"/>
    <w:rsid w:val="00B96FC0"/>
    <w:rsid w:val="00B9738F"/>
    <w:rsid w:val="00B976F1"/>
    <w:rsid w:val="00B97A92"/>
    <w:rsid w:val="00B97C1F"/>
    <w:rsid w:val="00B97D27"/>
    <w:rsid w:val="00BA00BE"/>
    <w:rsid w:val="00BA04AA"/>
    <w:rsid w:val="00BA0BAD"/>
    <w:rsid w:val="00BA0E9C"/>
    <w:rsid w:val="00BA1711"/>
    <w:rsid w:val="00BA1765"/>
    <w:rsid w:val="00BA17FE"/>
    <w:rsid w:val="00BA1C65"/>
    <w:rsid w:val="00BA1DD3"/>
    <w:rsid w:val="00BA21B0"/>
    <w:rsid w:val="00BA25C8"/>
    <w:rsid w:val="00BA2679"/>
    <w:rsid w:val="00BA2A45"/>
    <w:rsid w:val="00BA2FF7"/>
    <w:rsid w:val="00BA31F1"/>
    <w:rsid w:val="00BA32E3"/>
    <w:rsid w:val="00BA34D4"/>
    <w:rsid w:val="00BA3700"/>
    <w:rsid w:val="00BA38D7"/>
    <w:rsid w:val="00BA4937"/>
    <w:rsid w:val="00BA500C"/>
    <w:rsid w:val="00BA524F"/>
    <w:rsid w:val="00BA5397"/>
    <w:rsid w:val="00BA54B7"/>
    <w:rsid w:val="00BA5DFB"/>
    <w:rsid w:val="00BA6A1B"/>
    <w:rsid w:val="00BA6E28"/>
    <w:rsid w:val="00BA6F1A"/>
    <w:rsid w:val="00BA711F"/>
    <w:rsid w:val="00BA719B"/>
    <w:rsid w:val="00BA7387"/>
    <w:rsid w:val="00BA741E"/>
    <w:rsid w:val="00BA7954"/>
    <w:rsid w:val="00BA7981"/>
    <w:rsid w:val="00BA7A10"/>
    <w:rsid w:val="00BA7AB6"/>
    <w:rsid w:val="00BA7E0C"/>
    <w:rsid w:val="00BA7F7F"/>
    <w:rsid w:val="00BB0836"/>
    <w:rsid w:val="00BB0B5C"/>
    <w:rsid w:val="00BB0BFA"/>
    <w:rsid w:val="00BB0D0A"/>
    <w:rsid w:val="00BB130B"/>
    <w:rsid w:val="00BB13EF"/>
    <w:rsid w:val="00BB193A"/>
    <w:rsid w:val="00BB1D4B"/>
    <w:rsid w:val="00BB1DFF"/>
    <w:rsid w:val="00BB2104"/>
    <w:rsid w:val="00BB21D0"/>
    <w:rsid w:val="00BB253F"/>
    <w:rsid w:val="00BB26AC"/>
    <w:rsid w:val="00BB2C97"/>
    <w:rsid w:val="00BB2D25"/>
    <w:rsid w:val="00BB2E97"/>
    <w:rsid w:val="00BB2FAF"/>
    <w:rsid w:val="00BB34EC"/>
    <w:rsid w:val="00BB3531"/>
    <w:rsid w:val="00BB3711"/>
    <w:rsid w:val="00BB398D"/>
    <w:rsid w:val="00BB44DC"/>
    <w:rsid w:val="00BB4D9D"/>
    <w:rsid w:val="00BB5002"/>
    <w:rsid w:val="00BB53B9"/>
    <w:rsid w:val="00BB5614"/>
    <w:rsid w:val="00BB5639"/>
    <w:rsid w:val="00BB5902"/>
    <w:rsid w:val="00BB639F"/>
    <w:rsid w:val="00BB6B51"/>
    <w:rsid w:val="00BB6E31"/>
    <w:rsid w:val="00BB7539"/>
    <w:rsid w:val="00BB77F8"/>
    <w:rsid w:val="00BB7A08"/>
    <w:rsid w:val="00BC0138"/>
    <w:rsid w:val="00BC08A4"/>
    <w:rsid w:val="00BC09A1"/>
    <w:rsid w:val="00BC0D27"/>
    <w:rsid w:val="00BC0F44"/>
    <w:rsid w:val="00BC0FCF"/>
    <w:rsid w:val="00BC1835"/>
    <w:rsid w:val="00BC24E2"/>
    <w:rsid w:val="00BC2591"/>
    <w:rsid w:val="00BC29CE"/>
    <w:rsid w:val="00BC2D0E"/>
    <w:rsid w:val="00BC2EC0"/>
    <w:rsid w:val="00BC2F70"/>
    <w:rsid w:val="00BC2FD6"/>
    <w:rsid w:val="00BC310B"/>
    <w:rsid w:val="00BC38DC"/>
    <w:rsid w:val="00BC3B6B"/>
    <w:rsid w:val="00BC4016"/>
    <w:rsid w:val="00BC44E4"/>
    <w:rsid w:val="00BC47FF"/>
    <w:rsid w:val="00BC4916"/>
    <w:rsid w:val="00BC4FAF"/>
    <w:rsid w:val="00BC5742"/>
    <w:rsid w:val="00BC5A2D"/>
    <w:rsid w:val="00BC5F6F"/>
    <w:rsid w:val="00BC60C9"/>
    <w:rsid w:val="00BC6228"/>
    <w:rsid w:val="00BC6E77"/>
    <w:rsid w:val="00BC7568"/>
    <w:rsid w:val="00BC763D"/>
    <w:rsid w:val="00BC7846"/>
    <w:rsid w:val="00BC7E7C"/>
    <w:rsid w:val="00BD003B"/>
    <w:rsid w:val="00BD01DF"/>
    <w:rsid w:val="00BD0223"/>
    <w:rsid w:val="00BD055A"/>
    <w:rsid w:val="00BD086B"/>
    <w:rsid w:val="00BD0885"/>
    <w:rsid w:val="00BD08C1"/>
    <w:rsid w:val="00BD0C27"/>
    <w:rsid w:val="00BD0C39"/>
    <w:rsid w:val="00BD0CD7"/>
    <w:rsid w:val="00BD0E38"/>
    <w:rsid w:val="00BD0FD2"/>
    <w:rsid w:val="00BD13F2"/>
    <w:rsid w:val="00BD178B"/>
    <w:rsid w:val="00BD2164"/>
    <w:rsid w:val="00BD2246"/>
    <w:rsid w:val="00BD255A"/>
    <w:rsid w:val="00BD2F6F"/>
    <w:rsid w:val="00BD3A40"/>
    <w:rsid w:val="00BD3DB4"/>
    <w:rsid w:val="00BD5227"/>
    <w:rsid w:val="00BD53A7"/>
    <w:rsid w:val="00BD5402"/>
    <w:rsid w:val="00BD559C"/>
    <w:rsid w:val="00BD5756"/>
    <w:rsid w:val="00BD57A5"/>
    <w:rsid w:val="00BD5BA5"/>
    <w:rsid w:val="00BD5F32"/>
    <w:rsid w:val="00BD636E"/>
    <w:rsid w:val="00BD66DA"/>
    <w:rsid w:val="00BD693B"/>
    <w:rsid w:val="00BD6A23"/>
    <w:rsid w:val="00BD6FA3"/>
    <w:rsid w:val="00BD702F"/>
    <w:rsid w:val="00BD7078"/>
    <w:rsid w:val="00BD786C"/>
    <w:rsid w:val="00BD7A5B"/>
    <w:rsid w:val="00BD7D46"/>
    <w:rsid w:val="00BD7FC9"/>
    <w:rsid w:val="00BE06C9"/>
    <w:rsid w:val="00BE0E45"/>
    <w:rsid w:val="00BE0EC2"/>
    <w:rsid w:val="00BE13BF"/>
    <w:rsid w:val="00BE1849"/>
    <w:rsid w:val="00BE1929"/>
    <w:rsid w:val="00BE1CB1"/>
    <w:rsid w:val="00BE1D3A"/>
    <w:rsid w:val="00BE1EA9"/>
    <w:rsid w:val="00BE21C8"/>
    <w:rsid w:val="00BE237B"/>
    <w:rsid w:val="00BE242A"/>
    <w:rsid w:val="00BE2A43"/>
    <w:rsid w:val="00BE2ACD"/>
    <w:rsid w:val="00BE2C32"/>
    <w:rsid w:val="00BE338F"/>
    <w:rsid w:val="00BE3BB2"/>
    <w:rsid w:val="00BE3E5F"/>
    <w:rsid w:val="00BE4914"/>
    <w:rsid w:val="00BE4928"/>
    <w:rsid w:val="00BE4ADF"/>
    <w:rsid w:val="00BE4B43"/>
    <w:rsid w:val="00BE53B3"/>
    <w:rsid w:val="00BE5443"/>
    <w:rsid w:val="00BE54B5"/>
    <w:rsid w:val="00BE59F2"/>
    <w:rsid w:val="00BE5D52"/>
    <w:rsid w:val="00BE6106"/>
    <w:rsid w:val="00BE642D"/>
    <w:rsid w:val="00BE669E"/>
    <w:rsid w:val="00BE67BE"/>
    <w:rsid w:val="00BE6847"/>
    <w:rsid w:val="00BE69F2"/>
    <w:rsid w:val="00BE6CD9"/>
    <w:rsid w:val="00BE72BF"/>
    <w:rsid w:val="00BE73B9"/>
    <w:rsid w:val="00BE75D5"/>
    <w:rsid w:val="00BE7F4D"/>
    <w:rsid w:val="00BF06F4"/>
    <w:rsid w:val="00BF0C2D"/>
    <w:rsid w:val="00BF0CB1"/>
    <w:rsid w:val="00BF117E"/>
    <w:rsid w:val="00BF1429"/>
    <w:rsid w:val="00BF1616"/>
    <w:rsid w:val="00BF199A"/>
    <w:rsid w:val="00BF19E3"/>
    <w:rsid w:val="00BF1A04"/>
    <w:rsid w:val="00BF1D5A"/>
    <w:rsid w:val="00BF1FFB"/>
    <w:rsid w:val="00BF237C"/>
    <w:rsid w:val="00BF24F5"/>
    <w:rsid w:val="00BF268A"/>
    <w:rsid w:val="00BF2B59"/>
    <w:rsid w:val="00BF2E5A"/>
    <w:rsid w:val="00BF31A2"/>
    <w:rsid w:val="00BF31FE"/>
    <w:rsid w:val="00BF35BC"/>
    <w:rsid w:val="00BF36EF"/>
    <w:rsid w:val="00BF3799"/>
    <w:rsid w:val="00BF3B15"/>
    <w:rsid w:val="00BF3DF7"/>
    <w:rsid w:val="00BF3E4C"/>
    <w:rsid w:val="00BF3E51"/>
    <w:rsid w:val="00BF3E89"/>
    <w:rsid w:val="00BF4006"/>
    <w:rsid w:val="00BF48A6"/>
    <w:rsid w:val="00BF4975"/>
    <w:rsid w:val="00BF4E65"/>
    <w:rsid w:val="00BF500D"/>
    <w:rsid w:val="00BF5184"/>
    <w:rsid w:val="00BF5608"/>
    <w:rsid w:val="00BF575A"/>
    <w:rsid w:val="00BF57FB"/>
    <w:rsid w:val="00BF5B26"/>
    <w:rsid w:val="00BF5B38"/>
    <w:rsid w:val="00BF6159"/>
    <w:rsid w:val="00BF6460"/>
    <w:rsid w:val="00BF66C1"/>
    <w:rsid w:val="00BF68CC"/>
    <w:rsid w:val="00BF6B5E"/>
    <w:rsid w:val="00BF6CAE"/>
    <w:rsid w:val="00BF6D3D"/>
    <w:rsid w:val="00BF704A"/>
    <w:rsid w:val="00BF7141"/>
    <w:rsid w:val="00BF729B"/>
    <w:rsid w:val="00BF7300"/>
    <w:rsid w:val="00BF7739"/>
    <w:rsid w:val="00BF7914"/>
    <w:rsid w:val="00BF795C"/>
    <w:rsid w:val="00BF7E1C"/>
    <w:rsid w:val="00BF7EE5"/>
    <w:rsid w:val="00C001B3"/>
    <w:rsid w:val="00C00562"/>
    <w:rsid w:val="00C005BD"/>
    <w:rsid w:val="00C007A9"/>
    <w:rsid w:val="00C0092B"/>
    <w:rsid w:val="00C00B3E"/>
    <w:rsid w:val="00C00CC2"/>
    <w:rsid w:val="00C00E44"/>
    <w:rsid w:val="00C00E5D"/>
    <w:rsid w:val="00C0243E"/>
    <w:rsid w:val="00C02822"/>
    <w:rsid w:val="00C029BE"/>
    <w:rsid w:val="00C02DAA"/>
    <w:rsid w:val="00C031B0"/>
    <w:rsid w:val="00C03B27"/>
    <w:rsid w:val="00C04135"/>
    <w:rsid w:val="00C04168"/>
    <w:rsid w:val="00C0453D"/>
    <w:rsid w:val="00C048C0"/>
    <w:rsid w:val="00C04A35"/>
    <w:rsid w:val="00C04B29"/>
    <w:rsid w:val="00C05131"/>
    <w:rsid w:val="00C055F0"/>
    <w:rsid w:val="00C05684"/>
    <w:rsid w:val="00C06278"/>
    <w:rsid w:val="00C06CB8"/>
    <w:rsid w:val="00C06D81"/>
    <w:rsid w:val="00C07B41"/>
    <w:rsid w:val="00C10277"/>
    <w:rsid w:val="00C102B2"/>
    <w:rsid w:val="00C1041E"/>
    <w:rsid w:val="00C10517"/>
    <w:rsid w:val="00C105A4"/>
    <w:rsid w:val="00C105A7"/>
    <w:rsid w:val="00C106A0"/>
    <w:rsid w:val="00C10A4C"/>
    <w:rsid w:val="00C10D11"/>
    <w:rsid w:val="00C1100B"/>
    <w:rsid w:val="00C118B0"/>
    <w:rsid w:val="00C11C09"/>
    <w:rsid w:val="00C11F39"/>
    <w:rsid w:val="00C122AF"/>
    <w:rsid w:val="00C124AB"/>
    <w:rsid w:val="00C12907"/>
    <w:rsid w:val="00C129A0"/>
    <w:rsid w:val="00C133F9"/>
    <w:rsid w:val="00C1340C"/>
    <w:rsid w:val="00C136AD"/>
    <w:rsid w:val="00C13713"/>
    <w:rsid w:val="00C13C87"/>
    <w:rsid w:val="00C13E4B"/>
    <w:rsid w:val="00C14187"/>
    <w:rsid w:val="00C141CB"/>
    <w:rsid w:val="00C1498A"/>
    <w:rsid w:val="00C14B96"/>
    <w:rsid w:val="00C14E50"/>
    <w:rsid w:val="00C15214"/>
    <w:rsid w:val="00C15318"/>
    <w:rsid w:val="00C15684"/>
    <w:rsid w:val="00C1596F"/>
    <w:rsid w:val="00C1610A"/>
    <w:rsid w:val="00C164C7"/>
    <w:rsid w:val="00C16B5D"/>
    <w:rsid w:val="00C1754C"/>
    <w:rsid w:val="00C177BE"/>
    <w:rsid w:val="00C1792F"/>
    <w:rsid w:val="00C179B5"/>
    <w:rsid w:val="00C17AC3"/>
    <w:rsid w:val="00C200B8"/>
    <w:rsid w:val="00C205F5"/>
    <w:rsid w:val="00C20762"/>
    <w:rsid w:val="00C20905"/>
    <w:rsid w:val="00C2097C"/>
    <w:rsid w:val="00C211F6"/>
    <w:rsid w:val="00C2162E"/>
    <w:rsid w:val="00C219A2"/>
    <w:rsid w:val="00C21B52"/>
    <w:rsid w:val="00C21FEC"/>
    <w:rsid w:val="00C22103"/>
    <w:rsid w:val="00C222ED"/>
    <w:rsid w:val="00C227AE"/>
    <w:rsid w:val="00C22AC4"/>
    <w:rsid w:val="00C22AFB"/>
    <w:rsid w:val="00C22C26"/>
    <w:rsid w:val="00C230CE"/>
    <w:rsid w:val="00C23397"/>
    <w:rsid w:val="00C2354D"/>
    <w:rsid w:val="00C2414E"/>
    <w:rsid w:val="00C24256"/>
    <w:rsid w:val="00C24441"/>
    <w:rsid w:val="00C2476B"/>
    <w:rsid w:val="00C24956"/>
    <w:rsid w:val="00C24D48"/>
    <w:rsid w:val="00C250F2"/>
    <w:rsid w:val="00C2579F"/>
    <w:rsid w:val="00C2594D"/>
    <w:rsid w:val="00C26059"/>
    <w:rsid w:val="00C26C4E"/>
    <w:rsid w:val="00C27170"/>
    <w:rsid w:val="00C27B32"/>
    <w:rsid w:val="00C27D05"/>
    <w:rsid w:val="00C27FC4"/>
    <w:rsid w:val="00C301A0"/>
    <w:rsid w:val="00C305EC"/>
    <w:rsid w:val="00C3125E"/>
    <w:rsid w:val="00C31470"/>
    <w:rsid w:val="00C3159F"/>
    <w:rsid w:val="00C31776"/>
    <w:rsid w:val="00C31B0A"/>
    <w:rsid w:val="00C31B1E"/>
    <w:rsid w:val="00C31F35"/>
    <w:rsid w:val="00C32159"/>
    <w:rsid w:val="00C326B9"/>
    <w:rsid w:val="00C32BD3"/>
    <w:rsid w:val="00C32C16"/>
    <w:rsid w:val="00C32EF5"/>
    <w:rsid w:val="00C3361F"/>
    <w:rsid w:val="00C3371B"/>
    <w:rsid w:val="00C3381F"/>
    <w:rsid w:val="00C338D6"/>
    <w:rsid w:val="00C341FB"/>
    <w:rsid w:val="00C347A0"/>
    <w:rsid w:val="00C348B2"/>
    <w:rsid w:val="00C34964"/>
    <w:rsid w:val="00C34F2A"/>
    <w:rsid w:val="00C3628C"/>
    <w:rsid w:val="00C3661C"/>
    <w:rsid w:val="00C36787"/>
    <w:rsid w:val="00C369DC"/>
    <w:rsid w:val="00C36B2C"/>
    <w:rsid w:val="00C375BB"/>
    <w:rsid w:val="00C37A0A"/>
    <w:rsid w:val="00C37C02"/>
    <w:rsid w:val="00C37FF6"/>
    <w:rsid w:val="00C40056"/>
    <w:rsid w:val="00C4016C"/>
    <w:rsid w:val="00C401FF"/>
    <w:rsid w:val="00C40401"/>
    <w:rsid w:val="00C40683"/>
    <w:rsid w:val="00C40CB6"/>
    <w:rsid w:val="00C41417"/>
    <w:rsid w:val="00C41453"/>
    <w:rsid w:val="00C41902"/>
    <w:rsid w:val="00C41C17"/>
    <w:rsid w:val="00C41C80"/>
    <w:rsid w:val="00C4216F"/>
    <w:rsid w:val="00C422D6"/>
    <w:rsid w:val="00C428DF"/>
    <w:rsid w:val="00C42F0F"/>
    <w:rsid w:val="00C43037"/>
    <w:rsid w:val="00C4317B"/>
    <w:rsid w:val="00C4345E"/>
    <w:rsid w:val="00C4382A"/>
    <w:rsid w:val="00C43DCF"/>
    <w:rsid w:val="00C440C8"/>
    <w:rsid w:val="00C44A92"/>
    <w:rsid w:val="00C4540A"/>
    <w:rsid w:val="00C45770"/>
    <w:rsid w:val="00C45C10"/>
    <w:rsid w:val="00C45C86"/>
    <w:rsid w:val="00C467B4"/>
    <w:rsid w:val="00C468D4"/>
    <w:rsid w:val="00C470ED"/>
    <w:rsid w:val="00C473D4"/>
    <w:rsid w:val="00C4795A"/>
    <w:rsid w:val="00C47980"/>
    <w:rsid w:val="00C47B9A"/>
    <w:rsid w:val="00C47C1E"/>
    <w:rsid w:val="00C47E2B"/>
    <w:rsid w:val="00C503A5"/>
    <w:rsid w:val="00C503FA"/>
    <w:rsid w:val="00C50986"/>
    <w:rsid w:val="00C50BF9"/>
    <w:rsid w:val="00C50C26"/>
    <w:rsid w:val="00C50E3F"/>
    <w:rsid w:val="00C51118"/>
    <w:rsid w:val="00C51201"/>
    <w:rsid w:val="00C5128C"/>
    <w:rsid w:val="00C51508"/>
    <w:rsid w:val="00C51707"/>
    <w:rsid w:val="00C52178"/>
    <w:rsid w:val="00C523EE"/>
    <w:rsid w:val="00C529FA"/>
    <w:rsid w:val="00C52A21"/>
    <w:rsid w:val="00C532EA"/>
    <w:rsid w:val="00C53377"/>
    <w:rsid w:val="00C534A4"/>
    <w:rsid w:val="00C537D2"/>
    <w:rsid w:val="00C53990"/>
    <w:rsid w:val="00C53A95"/>
    <w:rsid w:val="00C53DE9"/>
    <w:rsid w:val="00C53FCB"/>
    <w:rsid w:val="00C5415C"/>
    <w:rsid w:val="00C54C21"/>
    <w:rsid w:val="00C54D51"/>
    <w:rsid w:val="00C55BB4"/>
    <w:rsid w:val="00C55BFF"/>
    <w:rsid w:val="00C565C6"/>
    <w:rsid w:val="00C56631"/>
    <w:rsid w:val="00C56BF7"/>
    <w:rsid w:val="00C56E05"/>
    <w:rsid w:val="00C57035"/>
    <w:rsid w:val="00C57804"/>
    <w:rsid w:val="00C578F3"/>
    <w:rsid w:val="00C57A2D"/>
    <w:rsid w:val="00C57C5E"/>
    <w:rsid w:val="00C609DD"/>
    <w:rsid w:val="00C60EC2"/>
    <w:rsid w:val="00C61910"/>
    <w:rsid w:val="00C61E8F"/>
    <w:rsid w:val="00C61FB0"/>
    <w:rsid w:val="00C6270F"/>
    <w:rsid w:val="00C62D9C"/>
    <w:rsid w:val="00C631EF"/>
    <w:rsid w:val="00C63298"/>
    <w:rsid w:val="00C637C5"/>
    <w:rsid w:val="00C6383D"/>
    <w:rsid w:val="00C639B8"/>
    <w:rsid w:val="00C639F6"/>
    <w:rsid w:val="00C63C6D"/>
    <w:rsid w:val="00C63E8C"/>
    <w:rsid w:val="00C63EED"/>
    <w:rsid w:val="00C64965"/>
    <w:rsid w:val="00C650BA"/>
    <w:rsid w:val="00C65402"/>
    <w:rsid w:val="00C65564"/>
    <w:rsid w:val="00C658E3"/>
    <w:rsid w:val="00C65B83"/>
    <w:rsid w:val="00C66029"/>
    <w:rsid w:val="00C6608C"/>
    <w:rsid w:val="00C66BC1"/>
    <w:rsid w:val="00C6733E"/>
    <w:rsid w:val="00C67372"/>
    <w:rsid w:val="00C67587"/>
    <w:rsid w:val="00C67617"/>
    <w:rsid w:val="00C67726"/>
    <w:rsid w:val="00C70207"/>
    <w:rsid w:val="00C706B7"/>
    <w:rsid w:val="00C70997"/>
    <w:rsid w:val="00C70ACA"/>
    <w:rsid w:val="00C70B91"/>
    <w:rsid w:val="00C70E37"/>
    <w:rsid w:val="00C710C3"/>
    <w:rsid w:val="00C712A8"/>
    <w:rsid w:val="00C71807"/>
    <w:rsid w:val="00C71B8C"/>
    <w:rsid w:val="00C71D2A"/>
    <w:rsid w:val="00C72767"/>
    <w:rsid w:val="00C72921"/>
    <w:rsid w:val="00C72B2F"/>
    <w:rsid w:val="00C72CDC"/>
    <w:rsid w:val="00C72EA8"/>
    <w:rsid w:val="00C73211"/>
    <w:rsid w:val="00C738AE"/>
    <w:rsid w:val="00C73D7D"/>
    <w:rsid w:val="00C744D2"/>
    <w:rsid w:val="00C7454B"/>
    <w:rsid w:val="00C74677"/>
    <w:rsid w:val="00C74FEF"/>
    <w:rsid w:val="00C751FE"/>
    <w:rsid w:val="00C75228"/>
    <w:rsid w:val="00C753ED"/>
    <w:rsid w:val="00C75513"/>
    <w:rsid w:val="00C757C2"/>
    <w:rsid w:val="00C759AF"/>
    <w:rsid w:val="00C75A79"/>
    <w:rsid w:val="00C75C9E"/>
    <w:rsid w:val="00C75EE9"/>
    <w:rsid w:val="00C75F0A"/>
    <w:rsid w:val="00C7666C"/>
    <w:rsid w:val="00C76772"/>
    <w:rsid w:val="00C76861"/>
    <w:rsid w:val="00C7687D"/>
    <w:rsid w:val="00C76965"/>
    <w:rsid w:val="00C76AA1"/>
    <w:rsid w:val="00C76C46"/>
    <w:rsid w:val="00C76CAE"/>
    <w:rsid w:val="00C76D20"/>
    <w:rsid w:val="00C76D47"/>
    <w:rsid w:val="00C76E75"/>
    <w:rsid w:val="00C77263"/>
    <w:rsid w:val="00C775E0"/>
    <w:rsid w:val="00C77E2F"/>
    <w:rsid w:val="00C77EC9"/>
    <w:rsid w:val="00C77FB2"/>
    <w:rsid w:val="00C80012"/>
    <w:rsid w:val="00C80271"/>
    <w:rsid w:val="00C80412"/>
    <w:rsid w:val="00C80709"/>
    <w:rsid w:val="00C8083A"/>
    <w:rsid w:val="00C80B48"/>
    <w:rsid w:val="00C81004"/>
    <w:rsid w:val="00C81102"/>
    <w:rsid w:val="00C828F1"/>
    <w:rsid w:val="00C82900"/>
    <w:rsid w:val="00C82FCC"/>
    <w:rsid w:val="00C8327A"/>
    <w:rsid w:val="00C834B0"/>
    <w:rsid w:val="00C83E94"/>
    <w:rsid w:val="00C83EA7"/>
    <w:rsid w:val="00C842BD"/>
    <w:rsid w:val="00C848A0"/>
    <w:rsid w:val="00C8556F"/>
    <w:rsid w:val="00C857F2"/>
    <w:rsid w:val="00C858F4"/>
    <w:rsid w:val="00C85974"/>
    <w:rsid w:val="00C85CE5"/>
    <w:rsid w:val="00C85D3C"/>
    <w:rsid w:val="00C86220"/>
    <w:rsid w:val="00C86260"/>
    <w:rsid w:val="00C86456"/>
    <w:rsid w:val="00C8655F"/>
    <w:rsid w:val="00C8682A"/>
    <w:rsid w:val="00C86AA6"/>
    <w:rsid w:val="00C873FD"/>
    <w:rsid w:val="00C87C53"/>
    <w:rsid w:val="00C9020F"/>
    <w:rsid w:val="00C905B6"/>
    <w:rsid w:val="00C90764"/>
    <w:rsid w:val="00C90799"/>
    <w:rsid w:val="00C90BC4"/>
    <w:rsid w:val="00C90BF7"/>
    <w:rsid w:val="00C91407"/>
    <w:rsid w:val="00C91628"/>
    <w:rsid w:val="00C91774"/>
    <w:rsid w:val="00C91E22"/>
    <w:rsid w:val="00C92206"/>
    <w:rsid w:val="00C92D16"/>
    <w:rsid w:val="00C92DAC"/>
    <w:rsid w:val="00C92F28"/>
    <w:rsid w:val="00C93802"/>
    <w:rsid w:val="00C93C02"/>
    <w:rsid w:val="00C94149"/>
    <w:rsid w:val="00C94169"/>
    <w:rsid w:val="00C94C93"/>
    <w:rsid w:val="00C950F3"/>
    <w:rsid w:val="00C9544F"/>
    <w:rsid w:val="00C9555D"/>
    <w:rsid w:val="00C95646"/>
    <w:rsid w:val="00C96011"/>
    <w:rsid w:val="00C9637D"/>
    <w:rsid w:val="00C965B9"/>
    <w:rsid w:val="00C969DF"/>
    <w:rsid w:val="00C97264"/>
    <w:rsid w:val="00C975B7"/>
    <w:rsid w:val="00C977C8"/>
    <w:rsid w:val="00C979B2"/>
    <w:rsid w:val="00CA024D"/>
    <w:rsid w:val="00CA02EE"/>
    <w:rsid w:val="00CA08BF"/>
    <w:rsid w:val="00CA0956"/>
    <w:rsid w:val="00CA0A9E"/>
    <w:rsid w:val="00CA0B2F"/>
    <w:rsid w:val="00CA0F5E"/>
    <w:rsid w:val="00CA11CE"/>
    <w:rsid w:val="00CA171E"/>
    <w:rsid w:val="00CA183C"/>
    <w:rsid w:val="00CA1EED"/>
    <w:rsid w:val="00CA2162"/>
    <w:rsid w:val="00CA2334"/>
    <w:rsid w:val="00CA25AD"/>
    <w:rsid w:val="00CA25C3"/>
    <w:rsid w:val="00CA2C6D"/>
    <w:rsid w:val="00CA2D4E"/>
    <w:rsid w:val="00CA3246"/>
    <w:rsid w:val="00CA32D0"/>
    <w:rsid w:val="00CA3941"/>
    <w:rsid w:val="00CA3BB0"/>
    <w:rsid w:val="00CA3F16"/>
    <w:rsid w:val="00CA4281"/>
    <w:rsid w:val="00CA44EB"/>
    <w:rsid w:val="00CA4912"/>
    <w:rsid w:val="00CA546B"/>
    <w:rsid w:val="00CA5562"/>
    <w:rsid w:val="00CA5642"/>
    <w:rsid w:val="00CA5BCC"/>
    <w:rsid w:val="00CA61EB"/>
    <w:rsid w:val="00CA6AE8"/>
    <w:rsid w:val="00CA7210"/>
    <w:rsid w:val="00CA7505"/>
    <w:rsid w:val="00CA79EC"/>
    <w:rsid w:val="00CA7B65"/>
    <w:rsid w:val="00CA7CFA"/>
    <w:rsid w:val="00CA7D6F"/>
    <w:rsid w:val="00CB006D"/>
    <w:rsid w:val="00CB033E"/>
    <w:rsid w:val="00CB04EF"/>
    <w:rsid w:val="00CB04F1"/>
    <w:rsid w:val="00CB06E5"/>
    <w:rsid w:val="00CB0A79"/>
    <w:rsid w:val="00CB0CCE"/>
    <w:rsid w:val="00CB0EA3"/>
    <w:rsid w:val="00CB12C0"/>
    <w:rsid w:val="00CB1351"/>
    <w:rsid w:val="00CB1511"/>
    <w:rsid w:val="00CB179D"/>
    <w:rsid w:val="00CB185A"/>
    <w:rsid w:val="00CB1BBA"/>
    <w:rsid w:val="00CB1BC1"/>
    <w:rsid w:val="00CB1DCE"/>
    <w:rsid w:val="00CB23AE"/>
    <w:rsid w:val="00CB30C1"/>
    <w:rsid w:val="00CB325B"/>
    <w:rsid w:val="00CB328A"/>
    <w:rsid w:val="00CB34A1"/>
    <w:rsid w:val="00CB3B3B"/>
    <w:rsid w:val="00CB3B71"/>
    <w:rsid w:val="00CB3C60"/>
    <w:rsid w:val="00CB3E7B"/>
    <w:rsid w:val="00CB3F46"/>
    <w:rsid w:val="00CB4023"/>
    <w:rsid w:val="00CB4A7C"/>
    <w:rsid w:val="00CB4DD9"/>
    <w:rsid w:val="00CB4E03"/>
    <w:rsid w:val="00CB50B5"/>
    <w:rsid w:val="00CB577C"/>
    <w:rsid w:val="00CB587D"/>
    <w:rsid w:val="00CB6549"/>
    <w:rsid w:val="00CB6949"/>
    <w:rsid w:val="00CB743E"/>
    <w:rsid w:val="00CB7582"/>
    <w:rsid w:val="00CB76BD"/>
    <w:rsid w:val="00CB7816"/>
    <w:rsid w:val="00CB7969"/>
    <w:rsid w:val="00CB79F5"/>
    <w:rsid w:val="00CB7A50"/>
    <w:rsid w:val="00CB7B3F"/>
    <w:rsid w:val="00CB7CA7"/>
    <w:rsid w:val="00CB7D89"/>
    <w:rsid w:val="00CB7E10"/>
    <w:rsid w:val="00CB7E2D"/>
    <w:rsid w:val="00CC0638"/>
    <w:rsid w:val="00CC08A7"/>
    <w:rsid w:val="00CC153C"/>
    <w:rsid w:val="00CC1891"/>
    <w:rsid w:val="00CC1F9D"/>
    <w:rsid w:val="00CC269A"/>
    <w:rsid w:val="00CC2738"/>
    <w:rsid w:val="00CC2766"/>
    <w:rsid w:val="00CC2A85"/>
    <w:rsid w:val="00CC2B65"/>
    <w:rsid w:val="00CC2BAC"/>
    <w:rsid w:val="00CC350D"/>
    <w:rsid w:val="00CC3E34"/>
    <w:rsid w:val="00CC3E9B"/>
    <w:rsid w:val="00CC3EBD"/>
    <w:rsid w:val="00CC426E"/>
    <w:rsid w:val="00CC441A"/>
    <w:rsid w:val="00CC4669"/>
    <w:rsid w:val="00CC4865"/>
    <w:rsid w:val="00CC4A2A"/>
    <w:rsid w:val="00CC4C6D"/>
    <w:rsid w:val="00CC4CB6"/>
    <w:rsid w:val="00CC4E66"/>
    <w:rsid w:val="00CC538E"/>
    <w:rsid w:val="00CC55D4"/>
    <w:rsid w:val="00CC57E3"/>
    <w:rsid w:val="00CC5A08"/>
    <w:rsid w:val="00CC5CA5"/>
    <w:rsid w:val="00CC63B1"/>
    <w:rsid w:val="00CC66FC"/>
    <w:rsid w:val="00CC6B7B"/>
    <w:rsid w:val="00CC7236"/>
    <w:rsid w:val="00CC73D1"/>
    <w:rsid w:val="00CC76E0"/>
    <w:rsid w:val="00CC7B78"/>
    <w:rsid w:val="00CC7CDF"/>
    <w:rsid w:val="00CD017B"/>
    <w:rsid w:val="00CD0198"/>
    <w:rsid w:val="00CD0C55"/>
    <w:rsid w:val="00CD0D67"/>
    <w:rsid w:val="00CD0DEE"/>
    <w:rsid w:val="00CD0EEB"/>
    <w:rsid w:val="00CD0F24"/>
    <w:rsid w:val="00CD112A"/>
    <w:rsid w:val="00CD133B"/>
    <w:rsid w:val="00CD1BE3"/>
    <w:rsid w:val="00CD24D6"/>
    <w:rsid w:val="00CD24E7"/>
    <w:rsid w:val="00CD26A9"/>
    <w:rsid w:val="00CD2703"/>
    <w:rsid w:val="00CD2C14"/>
    <w:rsid w:val="00CD2D68"/>
    <w:rsid w:val="00CD2E4A"/>
    <w:rsid w:val="00CD303D"/>
    <w:rsid w:val="00CD3246"/>
    <w:rsid w:val="00CD36C9"/>
    <w:rsid w:val="00CD3AD3"/>
    <w:rsid w:val="00CD4535"/>
    <w:rsid w:val="00CD466E"/>
    <w:rsid w:val="00CD46EA"/>
    <w:rsid w:val="00CD4D6D"/>
    <w:rsid w:val="00CD504A"/>
    <w:rsid w:val="00CD51BA"/>
    <w:rsid w:val="00CD5707"/>
    <w:rsid w:val="00CD581F"/>
    <w:rsid w:val="00CD5987"/>
    <w:rsid w:val="00CD5D18"/>
    <w:rsid w:val="00CD5E67"/>
    <w:rsid w:val="00CD6244"/>
    <w:rsid w:val="00CD69D3"/>
    <w:rsid w:val="00CD69D4"/>
    <w:rsid w:val="00CD6E7B"/>
    <w:rsid w:val="00CD6F8C"/>
    <w:rsid w:val="00CD70E5"/>
    <w:rsid w:val="00CD7117"/>
    <w:rsid w:val="00CD7553"/>
    <w:rsid w:val="00CD7C15"/>
    <w:rsid w:val="00CD7C9D"/>
    <w:rsid w:val="00CD7E42"/>
    <w:rsid w:val="00CE025C"/>
    <w:rsid w:val="00CE066A"/>
    <w:rsid w:val="00CE06B0"/>
    <w:rsid w:val="00CE06D1"/>
    <w:rsid w:val="00CE0791"/>
    <w:rsid w:val="00CE0809"/>
    <w:rsid w:val="00CE0C93"/>
    <w:rsid w:val="00CE0FFB"/>
    <w:rsid w:val="00CE1077"/>
    <w:rsid w:val="00CE1217"/>
    <w:rsid w:val="00CE125F"/>
    <w:rsid w:val="00CE157C"/>
    <w:rsid w:val="00CE161B"/>
    <w:rsid w:val="00CE17CA"/>
    <w:rsid w:val="00CE1C6F"/>
    <w:rsid w:val="00CE220C"/>
    <w:rsid w:val="00CE2BF4"/>
    <w:rsid w:val="00CE2F42"/>
    <w:rsid w:val="00CE305C"/>
    <w:rsid w:val="00CE3062"/>
    <w:rsid w:val="00CE3BE8"/>
    <w:rsid w:val="00CE3E7C"/>
    <w:rsid w:val="00CE3E91"/>
    <w:rsid w:val="00CE4078"/>
    <w:rsid w:val="00CE4179"/>
    <w:rsid w:val="00CE43B7"/>
    <w:rsid w:val="00CE44AE"/>
    <w:rsid w:val="00CE457B"/>
    <w:rsid w:val="00CE465B"/>
    <w:rsid w:val="00CE4B3A"/>
    <w:rsid w:val="00CE5F47"/>
    <w:rsid w:val="00CE630C"/>
    <w:rsid w:val="00CE67FC"/>
    <w:rsid w:val="00CE69F8"/>
    <w:rsid w:val="00CE763A"/>
    <w:rsid w:val="00CE7AF4"/>
    <w:rsid w:val="00CE7B79"/>
    <w:rsid w:val="00CE7B9E"/>
    <w:rsid w:val="00CE7C0C"/>
    <w:rsid w:val="00CE7D88"/>
    <w:rsid w:val="00CF00DD"/>
    <w:rsid w:val="00CF013F"/>
    <w:rsid w:val="00CF0440"/>
    <w:rsid w:val="00CF06A0"/>
    <w:rsid w:val="00CF0796"/>
    <w:rsid w:val="00CF0891"/>
    <w:rsid w:val="00CF0A69"/>
    <w:rsid w:val="00CF0A88"/>
    <w:rsid w:val="00CF0C9D"/>
    <w:rsid w:val="00CF0E97"/>
    <w:rsid w:val="00CF10F4"/>
    <w:rsid w:val="00CF121D"/>
    <w:rsid w:val="00CF1954"/>
    <w:rsid w:val="00CF1A05"/>
    <w:rsid w:val="00CF1E73"/>
    <w:rsid w:val="00CF2627"/>
    <w:rsid w:val="00CF2685"/>
    <w:rsid w:val="00CF293C"/>
    <w:rsid w:val="00CF2D14"/>
    <w:rsid w:val="00CF310D"/>
    <w:rsid w:val="00CF32DF"/>
    <w:rsid w:val="00CF33A8"/>
    <w:rsid w:val="00CF34AC"/>
    <w:rsid w:val="00CF34F5"/>
    <w:rsid w:val="00CF369F"/>
    <w:rsid w:val="00CF3782"/>
    <w:rsid w:val="00CF3813"/>
    <w:rsid w:val="00CF41A9"/>
    <w:rsid w:val="00CF4706"/>
    <w:rsid w:val="00CF4A28"/>
    <w:rsid w:val="00CF4AB7"/>
    <w:rsid w:val="00CF5205"/>
    <w:rsid w:val="00CF5804"/>
    <w:rsid w:val="00CF5BAF"/>
    <w:rsid w:val="00CF654C"/>
    <w:rsid w:val="00CF67D7"/>
    <w:rsid w:val="00CF6C26"/>
    <w:rsid w:val="00CF6CA4"/>
    <w:rsid w:val="00CF6F4B"/>
    <w:rsid w:val="00CF7333"/>
    <w:rsid w:val="00CF7458"/>
    <w:rsid w:val="00CF7553"/>
    <w:rsid w:val="00CF75FE"/>
    <w:rsid w:val="00CF7710"/>
    <w:rsid w:val="00CF7868"/>
    <w:rsid w:val="00CF78BB"/>
    <w:rsid w:val="00CF78F5"/>
    <w:rsid w:val="00CF79CD"/>
    <w:rsid w:val="00CF7CA4"/>
    <w:rsid w:val="00CF7CD1"/>
    <w:rsid w:val="00D00165"/>
    <w:rsid w:val="00D005BB"/>
    <w:rsid w:val="00D007DD"/>
    <w:rsid w:val="00D00A62"/>
    <w:rsid w:val="00D00FF3"/>
    <w:rsid w:val="00D0116A"/>
    <w:rsid w:val="00D012E6"/>
    <w:rsid w:val="00D0186C"/>
    <w:rsid w:val="00D0191D"/>
    <w:rsid w:val="00D01A64"/>
    <w:rsid w:val="00D01D3B"/>
    <w:rsid w:val="00D01F87"/>
    <w:rsid w:val="00D02082"/>
    <w:rsid w:val="00D0210C"/>
    <w:rsid w:val="00D02344"/>
    <w:rsid w:val="00D0247F"/>
    <w:rsid w:val="00D02509"/>
    <w:rsid w:val="00D025EB"/>
    <w:rsid w:val="00D026A0"/>
    <w:rsid w:val="00D029E2"/>
    <w:rsid w:val="00D02A6B"/>
    <w:rsid w:val="00D034C7"/>
    <w:rsid w:val="00D03631"/>
    <w:rsid w:val="00D03A5E"/>
    <w:rsid w:val="00D03B2A"/>
    <w:rsid w:val="00D03BE9"/>
    <w:rsid w:val="00D03ECC"/>
    <w:rsid w:val="00D04E0C"/>
    <w:rsid w:val="00D05186"/>
    <w:rsid w:val="00D054F0"/>
    <w:rsid w:val="00D05686"/>
    <w:rsid w:val="00D05E49"/>
    <w:rsid w:val="00D076CE"/>
    <w:rsid w:val="00D077B2"/>
    <w:rsid w:val="00D07C62"/>
    <w:rsid w:val="00D07C81"/>
    <w:rsid w:val="00D102F0"/>
    <w:rsid w:val="00D105A2"/>
    <w:rsid w:val="00D11F93"/>
    <w:rsid w:val="00D123A7"/>
    <w:rsid w:val="00D12C18"/>
    <w:rsid w:val="00D12FF9"/>
    <w:rsid w:val="00D13212"/>
    <w:rsid w:val="00D1368A"/>
    <w:rsid w:val="00D13889"/>
    <w:rsid w:val="00D13A68"/>
    <w:rsid w:val="00D13BEF"/>
    <w:rsid w:val="00D14BCC"/>
    <w:rsid w:val="00D14D4B"/>
    <w:rsid w:val="00D14DB9"/>
    <w:rsid w:val="00D14F95"/>
    <w:rsid w:val="00D15396"/>
    <w:rsid w:val="00D1545B"/>
    <w:rsid w:val="00D155EC"/>
    <w:rsid w:val="00D15623"/>
    <w:rsid w:val="00D15835"/>
    <w:rsid w:val="00D16168"/>
    <w:rsid w:val="00D16ED0"/>
    <w:rsid w:val="00D17179"/>
    <w:rsid w:val="00D1753D"/>
    <w:rsid w:val="00D17582"/>
    <w:rsid w:val="00D176CE"/>
    <w:rsid w:val="00D177D2"/>
    <w:rsid w:val="00D17CE7"/>
    <w:rsid w:val="00D17F0D"/>
    <w:rsid w:val="00D20391"/>
    <w:rsid w:val="00D20513"/>
    <w:rsid w:val="00D20595"/>
    <w:rsid w:val="00D20B06"/>
    <w:rsid w:val="00D20CC6"/>
    <w:rsid w:val="00D21213"/>
    <w:rsid w:val="00D21261"/>
    <w:rsid w:val="00D215AC"/>
    <w:rsid w:val="00D21606"/>
    <w:rsid w:val="00D21883"/>
    <w:rsid w:val="00D218D4"/>
    <w:rsid w:val="00D21B79"/>
    <w:rsid w:val="00D21DAC"/>
    <w:rsid w:val="00D21DF5"/>
    <w:rsid w:val="00D21F03"/>
    <w:rsid w:val="00D226C7"/>
    <w:rsid w:val="00D226DF"/>
    <w:rsid w:val="00D227C5"/>
    <w:rsid w:val="00D22C5D"/>
    <w:rsid w:val="00D22EC9"/>
    <w:rsid w:val="00D23194"/>
    <w:rsid w:val="00D23674"/>
    <w:rsid w:val="00D2373B"/>
    <w:rsid w:val="00D23CB0"/>
    <w:rsid w:val="00D23D00"/>
    <w:rsid w:val="00D24398"/>
    <w:rsid w:val="00D24637"/>
    <w:rsid w:val="00D24A50"/>
    <w:rsid w:val="00D24C87"/>
    <w:rsid w:val="00D24D13"/>
    <w:rsid w:val="00D24EDB"/>
    <w:rsid w:val="00D25027"/>
    <w:rsid w:val="00D252A3"/>
    <w:rsid w:val="00D2569B"/>
    <w:rsid w:val="00D25BAB"/>
    <w:rsid w:val="00D261C3"/>
    <w:rsid w:val="00D2622A"/>
    <w:rsid w:val="00D262CC"/>
    <w:rsid w:val="00D263B5"/>
    <w:rsid w:val="00D264FD"/>
    <w:rsid w:val="00D2677A"/>
    <w:rsid w:val="00D26D06"/>
    <w:rsid w:val="00D27206"/>
    <w:rsid w:val="00D27802"/>
    <w:rsid w:val="00D278E7"/>
    <w:rsid w:val="00D30488"/>
    <w:rsid w:val="00D3056D"/>
    <w:rsid w:val="00D30849"/>
    <w:rsid w:val="00D30BF7"/>
    <w:rsid w:val="00D30D84"/>
    <w:rsid w:val="00D30E0F"/>
    <w:rsid w:val="00D30E53"/>
    <w:rsid w:val="00D31443"/>
    <w:rsid w:val="00D31DC8"/>
    <w:rsid w:val="00D31E33"/>
    <w:rsid w:val="00D31E47"/>
    <w:rsid w:val="00D3252C"/>
    <w:rsid w:val="00D32B02"/>
    <w:rsid w:val="00D330D0"/>
    <w:rsid w:val="00D33429"/>
    <w:rsid w:val="00D336ED"/>
    <w:rsid w:val="00D33878"/>
    <w:rsid w:val="00D33CCE"/>
    <w:rsid w:val="00D33EB9"/>
    <w:rsid w:val="00D340D7"/>
    <w:rsid w:val="00D34CAA"/>
    <w:rsid w:val="00D34D82"/>
    <w:rsid w:val="00D34D99"/>
    <w:rsid w:val="00D34DD3"/>
    <w:rsid w:val="00D34E54"/>
    <w:rsid w:val="00D3561C"/>
    <w:rsid w:val="00D356B9"/>
    <w:rsid w:val="00D35914"/>
    <w:rsid w:val="00D359F1"/>
    <w:rsid w:val="00D35B2E"/>
    <w:rsid w:val="00D35CC1"/>
    <w:rsid w:val="00D36404"/>
    <w:rsid w:val="00D36751"/>
    <w:rsid w:val="00D369E3"/>
    <w:rsid w:val="00D36DA2"/>
    <w:rsid w:val="00D36E9B"/>
    <w:rsid w:val="00D3751A"/>
    <w:rsid w:val="00D377D8"/>
    <w:rsid w:val="00D379EC"/>
    <w:rsid w:val="00D37D45"/>
    <w:rsid w:val="00D37E67"/>
    <w:rsid w:val="00D400F9"/>
    <w:rsid w:val="00D40242"/>
    <w:rsid w:val="00D40853"/>
    <w:rsid w:val="00D408E2"/>
    <w:rsid w:val="00D40EF1"/>
    <w:rsid w:val="00D412EE"/>
    <w:rsid w:val="00D413E6"/>
    <w:rsid w:val="00D41509"/>
    <w:rsid w:val="00D41EE0"/>
    <w:rsid w:val="00D41EEB"/>
    <w:rsid w:val="00D41F78"/>
    <w:rsid w:val="00D42281"/>
    <w:rsid w:val="00D425BB"/>
    <w:rsid w:val="00D427F1"/>
    <w:rsid w:val="00D428ED"/>
    <w:rsid w:val="00D43010"/>
    <w:rsid w:val="00D43674"/>
    <w:rsid w:val="00D43693"/>
    <w:rsid w:val="00D4390D"/>
    <w:rsid w:val="00D43A3E"/>
    <w:rsid w:val="00D43C35"/>
    <w:rsid w:val="00D43F92"/>
    <w:rsid w:val="00D4453A"/>
    <w:rsid w:val="00D44569"/>
    <w:rsid w:val="00D44831"/>
    <w:rsid w:val="00D44D0B"/>
    <w:rsid w:val="00D44DD7"/>
    <w:rsid w:val="00D44F32"/>
    <w:rsid w:val="00D44FE6"/>
    <w:rsid w:val="00D45BFA"/>
    <w:rsid w:val="00D45CA3"/>
    <w:rsid w:val="00D4618B"/>
    <w:rsid w:val="00D46254"/>
    <w:rsid w:val="00D468BF"/>
    <w:rsid w:val="00D46CC8"/>
    <w:rsid w:val="00D46FAE"/>
    <w:rsid w:val="00D4717E"/>
    <w:rsid w:val="00D47764"/>
    <w:rsid w:val="00D479C0"/>
    <w:rsid w:val="00D47F92"/>
    <w:rsid w:val="00D50472"/>
    <w:rsid w:val="00D505DD"/>
    <w:rsid w:val="00D50671"/>
    <w:rsid w:val="00D50CC5"/>
    <w:rsid w:val="00D5109E"/>
    <w:rsid w:val="00D516AB"/>
    <w:rsid w:val="00D51B0D"/>
    <w:rsid w:val="00D51B4A"/>
    <w:rsid w:val="00D53271"/>
    <w:rsid w:val="00D534D7"/>
    <w:rsid w:val="00D53759"/>
    <w:rsid w:val="00D538CC"/>
    <w:rsid w:val="00D53967"/>
    <w:rsid w:val="00D53B74"/>
    <w:rsid w:val="00D53EE9"/>
    <w:rsid w:val="00D53F2D"/>
    <w:rsid w:val="00D54184"/>
    <w:rsid w:val="00D54E52"/>
    <w:rsid w:val="00D54EFE"/>
    <w:rsid w:val="00D54F0D"/>
    <w:rsid w:val="00D5517D"/>
    <w:rsid w:val="00D556A3"/>
    <w:rsid w:val="00D55A24"/>
    <w:rsid w:val="00D55B18"/>
    <w:rsid w:val="00D56332"/>
    <w:rsid w:val="00D5634C"/>
    <w:rsid w:val="00D56497"/>
    <w:rsid w:val="00D5679A"/>
    <w:rsid w:val="00D567F8"/>
    <w:rsid w:val="00D567FD"/>
    <w:rsid w:val="00D56EE3"/>
    <w:rsid w:val="00D570AC"/>
    <w:rsid w:val="00D57386"/>
    <w:rsid w:val="00D5753B"/>
    <w:rsid w:val="00D5760A"/>
    <w:rsid w:val="00D579F2"/>
    <w:rsid w:val="00D57A5C"/>
    <w:rsid w:val="00D57AC6"/>
    <w:rsid w:val="00D57DE5"/>
    <w:rsid w:val="00D57FC3"/>
    <w:rsid w:val="00D60331"/>
    <w:rsid w:val="00D60439"/>
    <w:rsid w:val="00D607EE"/>
    <w:rsid w:val="00D60872"/>
    <w:rsid w:val="00D61008"/>
    <w:rsid w:val="00D61407"/>
    <w:rsid w:val="00D616D3"/>
    <w:rsid w:val="00D61B15"/>
    <w:rsid w:val="00D61B16"/>
    <w:rsid w:val="00D61BA9"/>
    <w:rsid w:val="00D620FB"/>
    <w:rsid w:val="00D62A04"/>
    <w:rsid w:val="00D62A70"/>
    <w:rsid w:val="00D62BCF"/>
    <w:rsid w:val="00D6312D"/>
    <w:rsid w:val="00D638B1"/>
    <w:rsid w:val="00D63D49"/>
    <w:rsid w:val="00D63F6B"/>
    <w:rsid w:val="00D6472A"/>
    <w:rsid w:val="00D6484C"/>
    <w:rsid w:val="00D64A78"/>
    <w:rsid w:val="00D64CF3"/>
    <w:rsid w:val="00D64F97"/>
    <w:rsid w:val="00D653C1"/>
    <w:rsid w:val="00D65471"/>
    <w:rsid w:val="00D66081"/>
    <w:rsid w:val="00D66185"/>
    <w:rsid w:val="00D66477"/>
    <w:rsid w:val="00D66542"/>
    <w:rsid w:val="00D6667B"/>
    <w:rsid w:val="00D666CD"/>
    <w:rsid w:val="00D66B68"/>
    <w:rsid w:val="00D66BC4"/>
    <w:rsid w:val="00D66DB6"/>
    <w:rsid w:val="00D66E11"/>
    <w:rsid w:val="00D67095"/>
    <w:rsid w:val="00D67105"/>
    <w:rsid w:val="00D6714B"/>
    <w:rsid w:val="00D67303"/>
    <w:rsid w:val="00D67329"/>
    <w:rsid w:val="00D6758D"/>
    <w:rsid w:val="00D679DC"/>
    <w:rsid w:val="00D67A0B"/>
    <w:rsid w:val="00D703DA"/>
    <w:rsid w:val="00D70966"/>
    <w:rsid w:val="00D70968"/>
    <w:rsid w:val="00D70BB2"/>
    <w:rsid w:val="00D70BB4"/>
    <w:rsid w:val="00D70F1D"/>
    <w:rsid w:val="00D713EE"/>
    <w:rsid w:val="00D717AB"/>
    <w:rsid w:val="00D718EA"/>
    <w:rsid w:val="00D71A8D"/>
    <w:rsid w:val="00D71C42"/>
    <w:rsid w:val="00D71D8F"/>
    <w:rsid w:val="00D71E81"/>
    <w:rsid w:val="00D72356"/>
    <w:rsid w:val="00D723C3"/>
    <w:rsid w:val="00D72528"/>
    <w:rsid w:val="00D72904"/>
    <w:rsid w:val="00D72D86"/>
    <w:rsid w:val="00D72FB3"/>
    <w:rsid w:val="00D7346D"/>
    <w:rsid w:val="00D7362D"/>
    <w:rsid w:val="00D73CA3"/>
    <w:rsid w:val="00D74061"/>
    <w:rsid w:val="00D74309"/>
    <w:rsid w:val="00D745D4"/>
    <w:rsid w:val="00D746F9"/>
    <w:rsid w:val="00D749CF"/>
    <w:rsid w:val="00D74B4B"/>
    <w:rsid w:val="00D75053"/>
    <w:rsid w:val="00D750E6"/>
    <w:rsid w:val="00D75261"/>
    <w:rsid w:val="00D7585D"/>
    <w:rsid w:val="00D75F47"/>
    <w:rsid w:val="00D76011"/>
    <w:rsid w:val="00D76194"/>
    <w:rsid w:val="00D766F5"/>
    <w:rsid w:val="00D76A07"/>
    <w:rsid w:val="00D76C7B"/>
    <w:rsid w:val="00D76CCD"/>
    <w:rsid w:val="00D76D92"/>
    <w:rsid w:val="00D76F61"/>
    <w:rsid w:val="00D76F86"/>
    <w:rsid w:val="00D77572"/>
    <w:rsid w:val="00D77813"/>
    <w:rsid w:val="00D77B9B"/>
    <w:rsid w:val="00D77D55"/>
    <w:rsid w:val="00D8017B"/>
    <w:rsid w:val="00D80317"/>
    <w:rsid w:val="00D80DD8"/>
    <w:rsid w:val="00D818B8"/>
    <w:rsid w:val="00D81A71"/>
    <w:rsid w:val="00D81AB4"/>
    <w:rsid w:val="00D81D5C"/>
    <w:rsid w:val="00D81F67"/>
    <w:rsid w:val="00D82042"/>
    <w:rsid w:val="00D82361"/>
    <w:rsid w:val="00D827C3"/>
    <w:rsid w:val="00D82804"/>
    <w:rsid w:val="00D82A59"/>
    <w:rsid w:val="00D82C77"/>
    <w:rsid w:val="00D82EE5"/>
    <w:rsid w:val="00D831C3"/>
    <w:rsid w:val="00D83A68"/>
    <w:rsid w:val="00D840DD"/>
    <w:rsid w:val="00D84115"/>
    <w:rsid w:val="00D84156"/>
    <w:rsid w:val="00D8449C"/>
    <w:rsid w:val="00D844AA"/>
    <w:rsid w:val="00D8479A"/>
    <w:rsid w:val="00D84980"/>
    <w:rsid w:val="00D84D23"/>
    <w:rsid w:val="00D85FBF"/>
    <w:rsid w:val="00D8608A"/>
    <w:rsid w:val="00D868A3"/>
    <w:rsid w:val="00D86BB2"/>
    <w:rsid w:val="00D86FAE"/>
    <w:rsid w:val="00D874B5"/>
    <w:rsid w:val="00D876FD"/>
    <w:rsid w:val="00D87721"/>
    <w:rsid w:val="00D878DB"/>
    <w:rsid w:val="00D87F38"/>
    <w:rsid w:val="00D900EF"/>
    <w:rsid w:val="00D9014E"/>
    <w:rsid w:val="00D90153"/>
    <w:rsid w:val="00D901ED"/>
    <w:rsid w:val="00D90202"/>
    <w:rsid w:val="00D90609"/>
    <w:rsid w:val="00D908F8"/>
    <w:rsid w:val="00D908FB"/>
    <w:rsid w:val="00D90ADD"/>
    <w:rsid w:val="00D90E10"/>
    <w:rsid w:val="00D9129B"/>
    <w:rsid w:val="00D91337"/>
    <w:rsid w:val="00D916F5"/>
    <w:rsid w:val="00D9182A"/>
    <w:rsid w:val="00D91C86"/>
    <w:rsid w:val="00D91F16"/>
    <w:rsid w:val="00D92511"/>
    <w:rsid w:val="00D9284E"/>
    <w:rsid w:val="00D92B93"/>
    <w:rsid w:val="00D92DD9"/>
    <w:rsid w:val="00D92E5C"/>
    <w:rsid w:val="00D92EF7"/>
    <w:rsid w:val="00D93065"/>
    <w:rsid w:val="00D930EA"/>
    <w:rsid w:val="00D9329C"/>
    <w:rsid w:val="00D933AE"/>
    <w:rsid w:val="00D9349D"/>
    <w:rsid w:val="00D934D4"/>
    <w:rsid w:val="00D938A3"/>
    <w:rsid w:val="00D93EE7"/>
    <w:rsid w:val="00D947A4"/>
    <w:rsid w:val="00D94871"/>
    <w:rsid w:val="00D9487D"/>
    <w:rsid w:val="00D95540"/>
    <w:rsid w:val="00D958FA"/>
    <w:rsid w:val="00D95BE7"/>
    <w:rsid w:val="00D95CF2"/>
    <w:rsid w:val="00D95E57"/>
    <w:rsid w:val="00D96149"/>
    <w:rsid w:val="00D96152"/>
    <w:rsid w:val="00D96268"/>
    <w:rsid w:val="00D962D3"/>
    <w:rsid w:val="00D96D4E"/>
    <w:rsid w:val="00D974AE"/>
    <w:rsid w:val="00D97511"/>
    <w:rsid w:val="00D976A9"/>
    <w:rsid w:val="00D977E9"/>
    <w:rsid w:val="00D9781D"/>
    <w:rsid w:val="00DA0D58"/>
    <w:rsid w:val="00DA0D63"/>
    <w:rsid w:val="00DA0E7F"/>
    <w:rsid w:val="00DA0E98"/>
    <w:rsid w:val="00DA1308"/>
    <w:rsid w:val="00DA1367"/>
    <w:rsid w:val="00DA1744"/>
    <w:rsid w:val="00DA199E"/>
    <w:rsid w:val="00DA1EEE"/>
    <w:rsid w:val="00DA210D"/>
    <w:rsid w:val="00DA2214"/>
    <w:rsid w:val="00DA22E5"/>
    <w:rsid w:val="00DA2530"/>
    <w:rsid w:val="00DA284C"/>
    <w:rsid w:val="00DA2896"/>
    <w:rsid w:val="00DA2A13"/>
    <w:rsid w:val="00DA2AC4"/>
    <w:rsid w:val="00DA2B94"/>
    <w:rsid w:val="00DA3AE5"/>
    <w:rsid w:val="00DA442D"/>
    <w:rsid w:val="00DA45AB"/>
    <w:rsid w:val="00DA4622"/>
    <w:rsid w:val="00DA46A9"/>
    <w:rsid w:val="00DA522A"/>
    <w:rsid w:val="00DA58EF"/>
    <w:rsid w:val="00DA5925"/>
    <w:rsid w:val="00DA5A00"/>
    <w:rsid w:val="00DA5A11"/>
    <w:rsid w:val="00DA5FDF"/>
    <w:rsid w:val="00DA6305"/>
    <w:rsid w:val="00DA6751"/>
    <w:rsid w:val="00DA792F"/>
    <w:rsid w:val="00DA7AFF"/>
    <w:rsid w:val="00DA7F2D"/>
    <w:rsid w:val="00DB0004"/>
    <w:rsid w:val="00DB03EB"/>
    <w:rsid w:val="00DB07AD"/>
    <w:rsid w:val="00DB0E1D"/>
    <w:rsid w:val="00DB0E78"/>
    <w:rsid w:val="00DB1068"/>
    <w:rsid w:val="00DB1347"/>
    <w:rsid w:val="00DB14C2"/>
    <w:rsid w:val="00DB16E8"/>
    <w:rsid w:val="00DB1BDE"/>
    <w:rsid w:val="00DB1FCA"/>
    <w:rsid w:val="00DB245E"/>
    <w:rsid w:val="00DB26D1"/>
    <w:rsid w:val="00DB2999"/>
    <w:rsid w:val="00DB2CE8"/>
    <w:rsid w:val="00DB2DD7"/>
    <w:rsid w:val="00DB2F1D"/>
    <w:rsid w:val="00DB34BC"/>
    <w:rsid w:val="00DB3604"/>
    <w:rsid w:val="00DB3960"/>
    <w:rsid w:val="00DB3F63"/>
    <w:rsid w:val="00DB4317"/>
    <w:rsid w:val="00DB45A8"/>
    <w:rsid w:val="00DB46FE"/>
    <w:rsid w:val="00DB475D"/>
    <w:rsid w:val="00DB4892"/>
    <w:rsid w:val="00DB51B8"/>
    <w:rsid w:val="00DB53DE"/>
    <w:rsid w:val="00DB5634"/>
    <w:rsid w:val="00DB5973"/>
    <w:rsid w:val="00DB5CC5"/>
    <w:rsid w:val="00DB5F28"/>
    <w:rsid w:val="00DB6A57"/>
    <w:rsid w:val="00DB7216"/>
    <w:rsid w:val="00DB75DE"/>
    <w:rsid w:val="00DB7915"/>
    <w:rsid w:val="00DB794D"/>
    <w:rsid w:val="00DB7F14"/>
    <w:rsid w:val="00DC00DD"/>
    <w:rsid w:val="00DC038D"/>
    <w:rsid w:val="00DC0432"/>
    <w:rsid w:val="00DC09B2"/>
    <w:rsid w:val="00DC0D84"/>
    <w:rsid w:val="00DC0FB0"/>
    <w:rsid w:val="00DC1220"/>
    <w:rsid w:val="00DC12C0"/>
    <w:rsid w:val="00DC16EA"/>
    <w:rsid w:val="00DC1DE3"/>
    <w:rsid w:val="00DC1F4A"/>
    <w:rsid w:val="00DC2831"/>
    <w:rsid w:val="00DC2CCE"/>
    <w:rsid w:val="00DC3065"/>
    <w:rsid w:val="00DC35D2"/>
    <w:rsid w:val="00DC3648"/>
    <w:rsid w:val="00DC3683"/>
    <w:rsid w:val="00DC3794"/>
    <w:rsid w:val="00DC37CF"/>
    <w:rsid w:val="00DC3AD8"/>
    <w:rsid w:val="00DC3C03"/>
    <w:rsid w:val="00DC3CCB"/>
    <w:rsid w:val="00DC450A"/>
    <w:rsid w:val="00DC4789"/>
    <w:rsid w:val="00DC4C92"/>
    <w:rsid w:val="00DC5128"/>
    <w:rsid w:val="00DC53B6"/>
    <w:rsid w:val="00DC5A0D"/>
    <w:rsid w:val="00DC5FCC"/>
    <w:rsid w:val="00DC5FFC"/>
    <w:rsid w:val="00DC6012"/>
    <w:rsid w:val="00DC6B23"/>
    <w:rsid w:val="00DC716A"/>
    <w:rsid w:val="00DC74AE"/>
    <w:rsid w:val="00DC75A4"/>
    <w:rsid w:val="00DC76C4"/>
    <w:rsid w:val="00DC7764"/>
    <w:rsid w:val="00DC7979"/>
    <w:rsid w:val="00DD06DA"/>
    <w:rsid w:val="00DD0761"/>
    <w:rsid w:val="00DD0838"/>
    <w:rsid w:val="00DD0914"/>
    <w:rsid w:val="00DD09F0"/>
    <w:rsid w:val="00DD0D3A"/>
    <w:rsid w:val="00DD0ED2"/>
    <w:rsid w:val="00DD0F81"/>
    <w:rsid w:val="00DD0F8F"/>
    <w:rsid w:val="00DD10B4"/>
    <w:rsid w:val="00DD1285"/>
    <w:rsid w:val="00DD14BA"/>
    <w:rsid w:val="00DD1AE2"/>
    <w:rsid w:val="00DD1C77"/>
    <w:rsid w:val="00DD1C93"/>
    <w:rsid w:val="00DD1D99"/>
    <w:rsid w:val="00DD1E4E"/>
    <w:rsid w:val="00DD2BE9"/>
    <w:rsid w:val="00DD2D00"/>
    <w:rsid w:val="00DD3184"/>
    <w:rsid w:val="00DD3684"/>
    <w:rsid w:val="00DD434E"/>
    <w:rsid w:val="00DD4577"/>
    <w:rsid w:val="00DD4647"/>
    <w:rsid w:val="00DD4720"/>
    <w:rsid w:val="00DD4ED3"/>
    <w:rsid w:val="00DD4F1E"/>
    <w:rsid w:val="00DD594F"/>
    <w:rsid w:val="00DD5956"/>
    <w:rsid w:val="00DD5A04"/>
    <w:rsid w:val="00DD5CA0"/>
    <w:rsid w:val="00DD5DC7"/>
    <w:rsid w:val="00DD61E8"/>
    <w:rsid w:val="00DD62C1"/>
    <w:rsid w:val="00DD668C"/>
    <w:rsid w:val="00DD66E5"/>
    <w:rsid w:val="00DD6C30"/>
    <w:rsid w:val="00DD6E3D"/>
    <w:rsid w:val="00DD747B"/>
    <w:rsid w:val="00DD76B9"/>
    <w:rsid w:val="00DD7AFE"/>
    <w:rsid w:val="00DD7D46"/>
    <w:rsid w:val="00DE01BA"/>
    <w:rsid w:val="00DE02CB"/>
    <w:rsid w:val="00DE06D0"/>
    <w:rsid w:val="00DE0745"/>
    <w:rsid w:val="00DE0AAD"/>
    <w:rsid w:val="00DE0ABA"/>
    <w:rsid w:val="00DE0B29"/>
    <w:rsid w:val="00DE0F16"/>
    <w:rsid w:val="00DE1511"/>
    <w:rsid w:val="00DE1E77"/>
    <w:rsid w:val="00DE23E6"/>
    <w:rsid w:val="00DE28B0"/>
    <w:rsid w:val="00DE2B2D"/>
    <w:rsid w:val="00DE2C70"/>
    <w:rsid w:val="00DE2D66"/>
    <w:rsid w:val="00DE2E13"/>
    <w:rsid w:val="00DE3139"/>
    <w:rsid w:val="00DE3A12"/>
    <w:rsid w:val="00DE3C0D"/>
    <w:rsid w:val="00DE3D7D"/>
    <w:rsid w:val="00DE4D2C"/>
    <w:rsid w:val="00DE4F37"/>
    <w:rsid w:val="00DE51B8"/>
    <w:rsid w:val="00DE53DA"/>
    <w:rsid w:val="00DE58C9"/>
    <w:rsid w:val="00DE64B1"/>
    <w:rsid w:val="00DE6977"/>
    <w:rsid w:val="00DE6A4D"/>
    <w:rsid w:val="00DE6F2B"/>
    <w:rsid w:val="00DE6FCB"/>
    <w:rsid w:val="00DE70F9"/>
    <w:rsid w:val="00DE714B"/>
    <w:rsid w:val="00DE71F5"/>
    <w:rsid w:val="00DE7284"/>
    <w:rsid w:val="00DE72CD"/>
    <w:rsid w:val="00DE7385"/>
    <w:rsid w:val="00DE7695"/>
    <w:rsid w:val="00DE76FA"/>
    <w:rsid w:val="00DE797D"/>
    <w:rsid w:val="00DE7D3F"/>
    <w:rsid w:val="00DE7E1A"/>
    <w:rsid w:val="00DF0095"/>
    <w:rsid w:val="00DF00D3"/>
    <w:rsid w:val="00DF025B"/>
    <w:rsid w:val="00DF09B7"/>
    <w:rsid w:val="00DF0A49"/>
    <w:rsid w:val="00DF0E81"/>
    <w:rsid w:val="00DF13DA"/>
    <w:rsid w:val="00DF13FF"/>
    <w:rsid w:val="00DF1504"/>
    <w:rsid w:val="00DF1BDA"/>
    <w:rsid w:val="00DF1BFF"/>
    <w:rsid w:val="00DF20CC"/>
    <w:rsid w:val="00DF2351"/>
    <w:rsid w:val="00DF24E8"/>
    <w:rsid w:val="00DF2DF6"/>
    <w:rsid w:val="00DF2F00"/>
    <w:rsid w:val="00DF322D"/>
    <w:rsid w:val="00DF3D20"/>
    <w:rsid w:val="00DF40E0"/>
    <w:rsid w:val="00DF470A"/>
    <w:rsid w:val="00DF4C7C"/>
    <w:rsid w:val="00DF4E10"/>
    <w:rsid w:val="00DF54E7"/>
    <w:rsid w:val="00DF57F3"/>
    <w:rsid w:val="00DF5F60"/>
    <w:rsid w:val="00DF6107"/>
    <w:rsid w:val="00DF651B"/>
    <w:rsid w:val="00DF6805"/>
    <w:rsid w:val="00DF6889"/>
    <w:rsid w:val="00DF6B2F"/>
    <w:rsid w:val="00DF6EBF"/>
    <w:rsid w:val="00DF7071"/>
    <w:rsid w:val="00DF71A3"/>
    <w:rsid w:val="00DF7201"/>
    <w:rsid w:val="00DF772C"/>
    <w:rsid w:val="00DF77EC"/>
    <w:rsid w:val="00E0014A"/>
    <w:rsid w:val="00E001D2"/>
    <w:rsid w:val="00E00633"/>
    <w:rsid w:val="00E00A7C"/>
    <w:rsid w:val="00E00AC6"/>
    <w:rsid w:val="00E00C9C"/>
    <w:rsid w:val="00E00DD1"/>
    <w:rsid w:val="00E00E08"/>
    <w:rsid w:val="00E01106"/>
    <w:rsid w:val="00E0119E"/>
    <w:rsid w:val="00E0137F"/>
    <w:rsid w:val="00E0165B"/>
    <w:rsid w:val="00E01AB7"/>
    <w:rsid w:val="00E01CDE"/>
    <w:rsid w:val="00E01FA3"/>
    <w:rsid w:val="00E02084"/>
    <w:rsid w:val="00E02418"/>
    <w:rsid w:val="00E02C4F"/>
    <w:rsid w:val="00E03324"/>
    <w:rsid w:val="00E03BFE"/>
    <w:rsid w:val="00E03C67"/>
    <w:rsid w:val="00E03C8B"/>
    <w:rsid w:val="00E040E7"/>
    <w:rsid w:val="00E043DC"/>
    <w:rsid w:val="00E046C9"/>
    <w:rsid w:val="00E048CD"/>
    <w:rsid w:val="00E04982"/>
    <w:rsid w:val="00E04993"/>
    <w:rsid w:val="00E04E73"/>
    <w:rsid w:val="00E04F62"/>
    <w:rsid w:val="00E0531F"/>
    <w:rsid w:val="00E055AB"/>
    <w:rsid w:val="00E05713"/>
    <w:rsid w:val="00E05AAF"/>
    <w:rsid w:val="00E05DDC"/>
    <w:rsid w:val="00E05E6B"/>
    <w:rsid w:val="00E05FD7"/>
    <w:rsid w:val="00E0649A"/>
    <w:rsid w:val="00E067A4"/>
    <w:rsid w:val="00E06A98"/>
    <w:rsid w:val="00E102BE"/>
    <w:rsid w:val="00E110B6"/>
    <w:rsid w:val="00E11C50"/>
    <w:rsid w:val="00E11DB4"/>
    <w:rsid w:val="00E11F33"/>
    <w:rsid w:val="00E124FD"/>
    <w:rsid w:val="00E12681"/>
    <w:rsid w:val="00E12736"/>
    <w:rsid w:val="00E1287F"/>
    <w:rsid w:val="00E12961"/>
    <w:rsid w:val="00E12B6A"/>
    <w:rsid w:val="00E12BF5"/>
    <w:rsid w:val="00E12BF8"/>
    <w:rsid w:val="00E12CA0"/>
    <w:rsid w:val="00E12E18"/>
    <w:rsid w:val="00E1328D"/>
    <w:rsid w:val="00E13540"/>
    <w:rsid w:val="00E138CB"/>
    <w:rsid w:val="00E1418E"/>
    <w:rsid w:val="00E143E5"/>
    <w:rsid w:val="00E14768"/>
    <w:rsid w:val="00E147B4"/>
    <w:rsid w:val="00E1485B"/>
    <w:rsid w:val="00E1521C"/>
    <w:rsid w:val="00E155DC"/>
    <w:rsid w:val="00E15D27"/>
    <w:rsid w:val="00E15D2E"/>
    <w:rsid w:val="00E15D72"/>
    <w:rsid w:val="00E15F38"/>
    <w:rsid w:val="00E16298"/>
    <w:rsid w:val="00E16CB4"/>
    <w:rsid w:val="00E1757B"/>
    <w:rsid w:val="00E2006A"/>
    <w:rsid w:val="00E20255"/>
    <w:rsid w:val="00E204ED"/>
    <w:rsid w:val="00E20526"/>
    <w:rsid w:val="00E20853"/>
    <w:rsid w:val="00E20963"/>
    <w:rsid w:val="00E209F6"/>
    <w:rsid w:val="00E2166B"/>
    <w:rsid w:val="00E217A8"/>
    <w:rsid w:val="00E218E7"/>
    <w:rsid w:val="00E21921"/>
    <w:rsid w:val="00E21E0F"/>
    <w:rsid w:val="00E21EB9"/>
    <w:rsid w:val="00E22121"/>
    <w:rsid w:val="00E22490"/>
    <w:rsid w:val="00E225A4"/>
    <w:rsid w:val="00E22C25"/>
    <w:rsid w:val="00E22EEE"/>
    <w:rsid w:val="00E2306E"/>
    <w:rsid w:val="00E235CE"/>
    <w:rsid w:val="00E24113"/>
    <w:rsid w:val="00E24241"/>
    <w:rsid w:val="00E24A4D"/>
    <w:rsid w:val="00E24F17"/>
    <w:rsid w:val="00E24F83"/>
    <w:rsid w:val="00E24F8C"/>
    <w:rsid w:val="00E25399"/>
    <w:rsid w:val="00E255DC"/>
    <w:rsid w:val="00E25703"/>
    <w:rsid w:val="00E25827"/>
    <w:rsid w:val="00E2582E"/>
    <w:rsid w:val="00E2602E"/>
    <w:rsid w:val="00E263C1"/>
    <w:rsid w:val="00E26434"/>
    <w:rsid w:val="00E265D1"/>
    <w:rsid w:val="00E267F6"/>
    <w:rsid w:val="00E268F7"/>
    <w:rsid w:val="00E2698A"/>
    <w:rsid w:val="00E26C71"/>
    <w:rsid w:val="00E2718A"/>
    <w:rsid w:val="00E27822"/>
    <w:rsid w:val="00E308B6"/>
    <w:rsid w:val="00E30CE6"/>
    <w:rsid w:val="00E30CEC"/>
    <w:rsid w:val="00E30EA4"/>
    <w:rsid w:val="00E30F9A"/>
    <w:rsid w:val="00E3103E"/>
    <w:rsid w:val="00E31112"/>
    <w:rsid w:val="00E31306"/>
    <w:rsid w:val="00E3196F"/>
    <w:rsid w:val="00E31B04"/>
    <w:rsid w:val="00E31EF6"/>
    <w:rsid w:val="00E31F49"/>
    <w:rsid w:val="00E321F1"/>
    <w:rsid w:val="00E32559"/>
    <w:rsid w:val="00E3299C"/>
    <w:rsid w:val="00E329CC"/>
    <w:rsid w:val="00E32B4B"/>
    <w:rsid w:val="00E32C50"/>
    <w:rsid w:val="00E32E99"/>
    <w:rsid w:val="00E32F8F"/>
    <w:rsid w:val="00E33056"/>
    <w:rsid w:val="00E3332C"/>
    <w:rsid w:val="00E33361"/>
    <w:rsid w:val="00E33B9E"/>
    <w:rsid w:val="00E34559"/>
    <w:rsid w:val="00E3476D"/>
    <w:rsid w:val="00E34EEC"/>
    <w:rsid w:val="00E3552E"/>
    <w:rsid w:val="00E35AD1"/>
    <w:rsid w:val="00E35F42"/>
    <w:rsid w:val="00E363D1"/>
    <w:rsid w:val="00E3699B"/>
    <w:rsid w:val="00E36A1E"/>
    <w:rsid w:val="00E36B6F"/>
    <w:rsid w:val="00E36BB4"/>
    <w:rsid w:val="00E372C0"/>
    <w:rsid w:val="00E3771F"/>
    <w:rsid w:val="00E37E08"/>
    <w:rsid w:val="00E37F61"/>
    <w:rsid w:val="00E406F8"/>
    <w:rsid w:val="00E4085A"/>
    <w:rsid w:val="00E408D3"/>
    <w:rsid w:val="00E4103D"/>
    <w:rsid w:val="00E4111F"/>
    <w:rsid w:val="00E411B1"/>
    <w:rsid w:val="00E4183C"/>
    <w:rsid w:val="00E419B5"/>
    <w:rsid w:val="00E41BB2"/>
    <w:rsid w:val="00E42565"/>
    <w:rsid w:val="00E42E1A"/>
    <w:rsid w:val="00E42E62"/>
    <w:rsid w:val="00E42E78"/>
    <w:rsid w:val="00E437D7"/>
    <w:rsid w:val="00E43A71"/>
    <w:rsid w:val="00E43DD4"/>
    <w:rsid w:val="00E43EE1"/>
    <w:rsid w:val="00E44305"/>
    <w:rsid w:val="00E444F7"/>
    <w:rsid w:val="00E446A7"/>
    <w:rsid w:val="00E44F76"/>
    <w:rsid w:val="00E45002"/>
    <w:rsid w:val="00E450F1"/>
    <w:rsid w:val="00E451F4"/>
    <w:rsid w:val="00E455F8"/>
    <w:rsid w:val="00E4575C"/>
    <w:rsid w:val="00E45C8A"/>
    <w:rsid w:val="00E4601F"/>
    <w:rsid w:val="00E46187"/>
    <w:rsid w:val="00E461D1"/>
    <w:rsid w:val="00E46287"/>
    <w:rsid w:val="00E4678B"/>
    <w:rsid w:val="00E46A43"/>
    <w:rsid w:val="00E46AC7"/>
    <w:rsid w:val="00E46DD0"/>
    <w:rsid w:val="00E47616"/>
    <w:rsid w:val="00E476C5"/>
    <w:rsid w:val="00E47936"/>
    <w:rsid w:val="00E47952"/>
    <w:rsid w:val="00E47B69"/>
    <w:rsid w:val="00E47DE5"/>
    <w:rsid w:val="00E47FE6"/>
    <w:rsid w:val="00E5003B"/>
    <w:rsid w:val="00E50C0D"/>
    <w:rsid w:val="00E51285"/>
    <w:rsid w:val="00E517FE"/>
    <w:rsid w:val="00E518ED"/>
    <w:rsid w:val="00E51AC3"/>
    <w:rsid w:val="00E51FD6"/>
    <w:rsid w:val="00E529F8"/>
    <w:rsid w:val="00E52D71"/>
    <w:rsid w:val="00E53E1C"/>
    <w:rsid w:val="00E54520"/>
    <w:rsid w:val="00E546C0"/>
    <w:rsid w:val="00E54802"/>
    <w:rsid w:val="00E54B3E"/>
    <w:rsid w:val="00E54C67"/>
    <w:rsid w:val="00E54DD9"/>
    <w:rsid w:val="00E55467"/>
    <w:rsid w:val="00E55F06"/>
    <w:rsid w:val="00E5603E"/>
    <w:rsid w:val="00E560D7"/>
    <w:rsid w:val="00E56308"/>
    <w:rsid w:val="00E56748"/>
    <w:rsid w:val="00E56850"/>
    <w:rsid w:val="00E56E04"/>
    <w:rsid w:val="00E57230"/>
    <w:rsid w:val="00E5744A"/>
    <w:rsid w:val="00E57B17"/>
    <w:rsid w:val="00E57BF7"/>
    <w:rsid w:val="00E60236"/>
    <w:rsid w:val="00E604D5"/>
    <w:rsid w:val="00E605FF"/>
    <w:rsid w:val="00E606B4"/>
    <w:rsid w:val="00E608C1"/>
    <w:rsid w:val="00E614D6"/>
    <w:rsid w:val="00E61678"/>
    <w:rsid w:val="00E61B2B"/>
    <w:rsid w:val="00E620D6"/>
    <w:rsid w:val="00E62172"/>
    <w:rsid w:val="00E6225E"/>
    <w:rsid w:val="00E622A0"/>
    <w:rsid w:val="00E628AB"/>
    <w:rsid w:val="00E62921"/>
    <w:rsid w:val="00E62D7D"/>
    <w:rsid w:val="00E62E7A"/>
    <w:rsid w:val="00E62F87"/>
    <w:rsid w:val="00E630FB"/>
    <w:rsid w:val="00E63499"/>
    <w:rsid w:val="00E634CE"/>
    <w:rsid w:val="00E63AD3"/>
    <w:rsid w:val="00E63FA9"/>
    <w:rsid w:val="00E64438"/>
    <w:rsid w:val="00E64662"/>
    <w:rsid w:val="00E64B38"/>
    <w:rsid w:val="00E64B9C"/>
    <w:rsid w:val="00E64FDC"/>
    <w:rsid w:val="00E65001"/>
    <w:rsid w:val="00E6516B"/>
    <w:rsid w:val="00E65239"/>
    <w:rsid w:val="00E65472"/>
    <w:rsid w:val="00E655D2"/>
    <w:rsid w:val="00E65AD5"/>
    <w:rsid w:val="00E65C0B"/>
    <w:rsid w:val="00E65EE5"/>
    <w:rsid w:val="00E66891"/>
    <w:rsid w:val="00E672F9"/>
    <w:rsid w:val="00E6737E"/>
    <w:rsid w:val="00E67538"/>
    <w:rsid w:val="00E67C6D"/>
    <w:rsid w:val="00E70007"/>
    <w:rsid w:val="00E70085"/>
    <w:rsid w:val="00E70BE9"/>
    <w:rsid w:val="00E7116B"/>
    <w:rsid w:val="00E712BC"/>
    <w:rsid w:val="00E714BC"/>
    <w:rsid w:val="00E71716"/>
    <w:rsid w:val="00E7179E"/>
    <w:rsid w:val="00E71FF4"/>
    <w:rsid w:val="00E721B1"/>
    <w:rsid w:val="00E7230D"/>
    <w:rsid w:val="00E723A1"/>
    <w:rsid w:val="00E72444"/>
    <w:rsid w:val="00E724AD"/>
    <w:rsid w:val="00E725EE"/>
    <w:rsid w:val="00E7297A"/>
    <w:rsid w:val="00E72FE9"/>
    <w:rsid w:val="00E7311D"/>
    <w:rsid w:val="00E732D1"/>
    <w:rsid w:val="00E7330A"/>
    <w:rsid w:val="00E73463"/>
    <w:rsid w:val="00E73882"/>
    <w:rsid w:val="00E73C73"/>
    <w:rsid w:val="00E74221"/>
    <w:rsid w:val="00E74670"/>
    <w:rsid w:val="00E74781"/>
    <w:rsid w:val="00E7483D"/>
    <w:rsid w:val="00E749D4"/>
    <w:rsid w:val="00E74AC9"/>
    <w:rsid w:val="00E74FC6"/>
    <w:rsid w:val="00E759F4"/>
    <w:rsid w:val="00E75B44"/>
    <w:rsid w:val="00E75CBE"/>
    <w:rsid w:val="00E765B0"/>
    <w:rsid w:val="00E76604"/>
    <w:rsid w:val="00E76CBC"/>
    <w:rsid w:val="00E7795B"/>
    <w:rsid w:val="00E8018B"/>
    <w:rsid w:val="00E801C5"/>
    <w:rsid w:val="00E8030E"/>
    <w:rsid w:val="00E80729"/>
    <w:rsid w:val="00E80E8F"/>
    <w:rsid w:val="00E80FD7"/>
    <w:rsid w:val="00E811F3"/>
    <w:rsid w:val="00E81263"/>
    <w:rsid w:val="00E81501"/>
    <w:rsid w:val="00E8169A"/>
    <w:rsid w:val="00E8177B"/>
    <w:rsid w:val="00E82160"/>
    <w:rsid w:val="00E829A0"/>
    <w:rsid w:val="00E82B30"/>
    <w:rsid w:val="00E82F56"/>
    <w:rsid w:val="00E830BF"/>
    <w:rsid w:val="00E8356D"/>
    <w:rsid w:val="00E83602"/>
    <w:rsid w:val="00E839DF"/>
    <w:rsid w:val="00E83A7E"/>
    <w:rsid w:val="00E83C48"/>
    <w:rsid w:val="00E83FE9"/>
    <w:rsid w:val="00E842CE"/>
    <w:rsid w:val="00E843A8"/>
    <w:rsid w:val="00E8442B"/>
    <w:rsid w:val="00E849FD"/>
    <w:rsid w:val="00E851FA"/>
    <w:rsid w:val="00E85219"/>
    <w:rsid w:val="00E8546A"/>
    <w:rsid w:val="00E8546F"/>
    <w:rsid w:val="00E854EB"/>
    <w:rsid w:val="00E854EF"/>
    <w:rsid w:val="00E8583E"/>
    <w:rsid w:val="00E859D6"/>
    <w:rsid w:val="00E85CB2"/>
    <w:rsid w:val="00E85E89"/>
    <w:rsid w:val="00E860A7"/>
    <w:rsid w:val="00E860ED"/>
    <w:rsid w:val="00E8651D"/>
    <w:rsid w:val="00E86D41"/>
    <w:rsid w:val="00E871A4"/>
    <w:rsid w:val="00E871F8"/>
    <w:rsid w:val="00E872DB"/>
    <w:rsid w:val="00E8747D"/>
    <w:rsid w:val="00E874CC"/>
    <w:rsid w:val="00E87A0A"/>
    <w:rsid w:val="00E87D1B"/>
    <w:rsid w:val="00E87F7B"/>
    <w:rsid w:val="00E90243"/>
    <w:rsid w:val="00E90C9E"/>
    <w:rsid w:val="00E90D73"/>
    <w:rsid w:val="00E90D8F"/>
    <w:rsid w:val="00E90FA0"/>
    <w:rsid w:val="00E913EB"/>
    <w:rsid w:val="00E916F1"/>
    <w:rsid w:val="00E9198A"/>
    <w:rsid w:val="00E91EF6"/>
    <w:rsid w:val="00E9261C"/>
    <w:rsid w:val="00E92737"/>
    <w:rsid w:val="00E92754"/>
    <w:rsid w:val="00E9295E"/>
    <w:rsid w:val="00E92B43"/>
    <w:rsid w:val="00E92B87"/>
    <w:rsid w:val="00E92C1F"/>
    <w:rsid w:val="00E92E2D"/>
    <w:rsid w:val="00E9308F"/>
    <w:rsid w:val="00E938E5"/>
    <w:rsid w:val="00E93DD3"/>
    <w:rsid w:val="00E94027"/>
    <w:rsid w:val="00E94AEF"/>
    <w:rsid w:val="00E94BE4"/>
    <w:rsid w:val="00E955A4"/>
    <w:rsid w:val="00E956BC"/>
    <w:rsid w:val="00E958D6"/>
    <w:rsid w:val="00E95D2B"/>
    <w:rsid w:val="00E9619C"/>
    <w:rsid w:val="00E96502"/>
    <w:rsid w:val="00E96C28"/>
    <w:rsid w:val="00E96C90"/>
    <w:rsid w:val="00E97ABD"/>
    <w:rsid w:val="00E97E08"/>
    <w:rsid w:val="00EA0135"/>
    <w:rsid w:val="00EA02A2"/>
    <w:rsid w:val="00EA061D"/>
    <w:rsid w:val="00EA0795"/>
    <w:rsid w:val="00EA0C4B"/>
    <w:rsid w:val="00EA0E2A"/>
    <w:rsid w:val="00EA0E73"/>
    <w:rsid w:val="00EA1ACC"/>
    <w:rsid w:val="00EA1F74"/>
    <w:rsid w:val="00EA2346"/>
    <w:rsid w:val="00EA241D"/>
    <w:rsid w:val="00EA2460"/>
    <w:rsid w:val="00EA261B"/>
    <w:rsid w:val="00EA2622"/>
    <w:rsid w:val="00EA2641"/>
    <w:rsid w:val="00EA2984"/>
    <w:rsid w:val="00EA2CCC"/>
    <w:rsid w:val="00EA2F16"/>
    <w:rsid w:val="00EA345C"/>
    <w:rsid w:val="00EA358F"/>
    <w:rsid w:val="00EA3FBF"/>
    <w:rsid w:val="00EA41D6"/>
    <w:rsid w:val="00EA4527"/>
    <w:rsid w:val="00EA45A6"/>
    <w:rsid w:val="00EA48EE"/>
    <w:rsid w:val="00EA4A39"/>
    <w:rsid w:val="00EA50F2"/>
    <w:rsid w:val="00EA5410"/>
    <w:rsid w:val="00EA5428"/>
    <w:rsid w:val="00EA5890"/>
    <w:rsid w:val="00EA5987"/>
    <w:rsid w:val="00EA599D"/>
    <w:rsid w:val="00EA5B0B"/>
    <w:rsid w:val="00EA5B71"/>
    <w:rsid w:val="00EA5CD9"/>
    <w:rsid w:val="00EA62B0"/>
    <w:rsid w:val="00EA6548"/>
    <w:rsid w:val="00EA65D8"/>
    <w:rsid w:val="00EA6881"/>
    <w:rsid w:val="00EA757E"/>
    <w:rsid w:val="00EA7B74"/>
    <w:rsid w:val="00EA7BE4"/>
    <w:rsid w:val="00EB019B"/>
    <w:rsid w:val="00EB0418"/>
    <w:rsid w:val="00EB077F"/>
    <w:rsid w:val="00EB0E7C"/>
    <w:rsid w:val="00EB0F76"/>
    <w:rsid w:val="00EB107B"/>
    <w:rsid w:val="00EB10B4"/>
    <w:rsid w:val="00EB1159"/>
    <w:rsid w:val="00EB11AD"/>
    <w:rsid w:val="00EB1BC9"/>
    <w:rsid w:val="00EB1F2E"/>
    <w:rsid w:val="00EB215A"/>
    <w:rsid w:val="00EB23BE"/>
    <w:rsid w:val="00EB2AD5"/>
    <w:rsid w:val="00EB2E56"/>
    <w:rsid w:val="00EB357F"/>
    <w:rsid w:val="00EB35E8"/>
    <w:rsid w:val="00EB36B6"/>
    <w:rsid w:val="00EB3814"/>
    <w:rsid w:val="00EB43E9"/>
    <w:rsid w:val="00EB4695"/>
    <w:rsid w:val="00EB47E7"/>
    <w:rsid w:val="00EB48A8"/>
    <w:rsid w:val="00EB4D02"/>
    <w:rsid w:val="00EB5268"/>
    <w:rsid w:val="00EB54F2"/>
    <w:rsid w:val="00EB595D"/>
    <w:rsid w:val="00EB6295"/>
    <w:rsid w:val="00EB693B"/>
    <w:rsid w:val="00EB6CA3"/>
    <w:rsid w:val="00EB6CD4"/>
    <w:rsid w:val="00EB6CF2"/>
    <w:rsid w:val="00EB6DC9"/>
    <w:rsid w:val="00EB70D9"/>
    <w:rsid w:val="00EB719E"/>
    <w:rsid w:val="00EB7474"/>
    <w:rsid w:val="00EB74A8"/>
    <w:rsid w:val="00EB78AE"/>
    <w:rsid w:val="00EB7AAA"/>
    <w:rsid w:val="00EB7E16"/>
    <w:rsid w:val="00EC0E19"/>
    <w:rsid w:val="00EC0EEB"/>
    <w:rsid w:val="00EC114D"/>
    <w:rsid w:val="00EC1394"/>
    <w:rsid w:val="00EC167D"/>
    <w:rsid w:val="00EC17EC"/>
    <w:rsid w:val="00EC214D"/>
    <w:rsid w:val="00EC2174"/>
    <w:rsid w:val="00EC2485"/>
    <w:rsid w:val="00EC2B01"/>
    <w:rsid w:val="00EC2C90"/>
    <w:rsid w:val="00EC30CA"/>
    <w:rsid w:val="00EC30FA"/>
    <w:rsid w:val="00EC3246"/>
    <w:rsid w:val="00EC3321"/>
    <w:rsid w:val="00EC341C"/>
    <w:rsid w:val="00EC37B1"/>
    <w:rsid w:val="00EC43E1"/>
    <w:rsid w:val="00EC43FC"/>
    <w:rsid w:val="00EC4452"/>
    <w:rsid w:val="00EC4461"/>
    <w:rsid w:val="00EC467A"/>
    <w:rsid w:val="00EC577A"/>
    <w:rsid w:val="00EC5819"/>
    <w:rsid w:val="00EC5863"/>
    <w:rsid w:val="00EC5BAC"/>
    <w:rsid w:val="00EC5D5F"/>
    <w:rsid w:val="00EC6244"/>
    <w:rsid w:val="00EC68F4"/>
    <w:rsid w:val="00EC6A0B"/>
    <w:rsid w:val="00EC6AF4"/>
    <w:rsid w:val="00EC6BDB"/>
    <w:rsid w:val="00EC6DBA"/>
    <w:rsid w:val="00EC6EFF"/>
    <w:rsid w:val="00EC72E9"/>
    <w:rsid w:val="00EC746A"/>
    <w:rsid w:val="00EC75B8"/>
    <w:rsid w:val="00EC7A61"/>
    <w:rsid w:val="00EC7AFE"/>
    <w:rsid w:val="00EC7EF9"/>
    <w:rsid w:val="00ED0364"/>
    <w:rsid w:val="00ED0457"/>
    <w:rsid w:val="00ED0490"/>
    <w:rsid w:val="00ED04D2"/>
    <w:rsid w:val="00ED07F0"/>
    <w:rsid w:val="00ED113D"/>
    <w:rsid w:val="00ED1831"/>
    <w:rsid w:val="00ED1D85"/>
    <w:rsid w:val="00ED232D"/>
    <w:rsid w:val="00ED2427"/>
    <w:rsid w:val="00ED2767"/>
    <w:rsid w:val="00ED2ABC"/>
    <w:rsid w:val="00ED2C35"/>
    <w:rsid w:val="00ED2C4F"/>
    <w:rsid w:val="00ED305A"/>
    <w:rsid w:val="00ED310D"/>
    <w:rsid w:val="00ED327C"/>
    <w:rsid w:val="00ED374B"/>
    <w:rsid w:val="00ED37C0"/>
    <w:rsid w:val="00ED3811"/>
    <w:rsid w:val="00ED3845"/>
    <w:rsid w:val="00ED38A4"/>
    <w:rsid w:val="00ED38EE"/>
    <w:rsid w:val="00ED477E"/>
    <w:rsid w:val="00ED48AF"/>
    <w:rsid w:val="00ED4A3F"/>
    <w:rsid w:val="00ED4BCF"/>
    <w:rsid w:val="00ED4EFB"/>
    <w:rsid w:val="00ED5166"/>
    <w:rsid w:val="00ED5334"/>
    <w:rsid w:val="00ED570F"/>
    <w:rsid w:val="00ED5D29"/>
    <w:rsid w:val="00ED622C"/>
    <w:rsid w:val="00ED62EE"/>
    <w:rsid w:val="00ED660F"/>
    <w:rsid w:val="00ED6610"/>
    <w:rsid w:val="00ED683D"/>
    <w:rsid w:val="00ED73FA"/>
    <w:rsid w:val="00ED76C1"/>
    <w:rsid w:val="00ED77B3"/>
    <w:rsid w:val="00ED7A2F"/>
    <w:rsid w:val="00ED7B38"/>
    <w:rsid w:val="00ED7D10"/>
    <w:rsid w:val="00ED7EC8"/>
    <w:rsid w:val="00EE0033"/>
    <w:rsid w:val="00EE007E"/>
    <w:rsid w:val="00EE02E3"/>
    <w:rsid w:val="00EE08C8"/>
    <w:rsid w:val="00EE08F2"/>
    <w:rsid w:val="00EE14B4"/>
    <w:rsid w:val="00EE1594"/>
    <w:rsid w:val="00EE168C"/>
    <w:rsid w:val="00EE16EF"/>
    <w:rsid w:val="00EE1AE0"/>
    <w:rsid w:val="00EE1D1B"/>
    <w:rsid w:val="00EE1E99"/>
    <w:rsid w:val="00EE273D"/>
    <w:rsid w:val="00EE294F"/>
    <w:rsid w:val="00EE29A7"/>
    <w:rsid w:val="00EE2B86"/>
    <w:rsid w:val="00EE2E1A"/>
    <w:rsid w:val="00EE31CC"/>
    <w:rsid w:val="00EE320F"/>
    <w:rsid w:val="00EE3BEC"/>
    <w:rsid w:val="00EE3CFF"/>
    <w:rsid w:val="00EE412D"/>
    <w:rsid w:val="00EE43E7"/>
    <w:rsid w:val="00EE447B"/>
    <w:rsid w:val="00EE471B"/>
    <w:rsid w:val="00EE4796"/>
    <w:rsid w:val="00EE4CFA"/>
    <w:rsid w:val="00EE5604"/>
    <w:rsid w:val="00EE5AAB"/>
    <w:rsid w:val="00EE6F51"/>
    <w:rsid w:val="00EE7274"/>
    <w:rsid w:val="00EE761F"/>
    <w:rsid w:val="00EE7A37"/>
    <w:rsid w:val="00EE7A6A"/>
    <w:rsid w:val="00EE7D4A"/>
    <w:rsid w:val="00EF00E8"/>
    <w:rsid w:val="00EF00FE"/>
    <w:rsid w:val="00EF0162"/>
    <w:rsid w:val="00EF064B"/>
    <w:rsid w:val="00EF064C"/>
    <w:rsid w:val="00EF1323"/>
    <w:rsid w:val="00EF1703"/>
    <w:rsid w:val="00EF1859"/>
    <w:rsid w:val="00EF20AE"/>
    <w:rsid w:val="00EF2136"/>
    <w:rsid w:val="00EF2617"/>
    <w:rsid w:val="00EF2999"/>
    <w:rsid w:val="00EF2B67"/>
    <w:rsid w:val="00EF2BE6"/>
    <w:rsid w:val="00EF3057"/>
    <w:rsid w:val="00EF36DB"/>
    <w:rsid w:val="00EF37C9"/>
    <w:rsid w:val="00EF38D5"/>
    <w:rsid w:val="00EF3B18"/>
    <w:rsid w:val="00EF3BB9"/>
    <w:rsid w:val="00EF3E68"/>
    <w:rsid w:val="00EF41D4"/>
    <w:rsid w:val="00EF41D5"/>
    <w:rsid w:val="00EF42A2"/>
    <w:rsid w:val="00EF4336"/>
    <w:rsid w:val="00EF49A2"/>
    <w:rsid w:val="00EF4AFF"/>
    <w:rsid w:val="00EF4DF0"/>
    <w:rsid w:val="00EF512C"/>
    <w:rsid w:val="00EF53C7"/>
    <w:rsid w:val="00EF5650"/>
    <w:rsid w:val="00EF5AF1"/>
    <w:rsid w:val="00EF5EC8"/>
    <w:rsid w:val="00EF62F0"/>
    <w:rsid w:val="00EF64AB"/>
    <w:rsid w:val="00EF65D1"/>
    <w:rsid w:val="00EF666E"/>
    <w:rsid w:val="00EF690D"/>
    <w:rsid w:val="00EF69EF"/>
    <w:rsid w:val="00EF706B"/>
    <w:rsid w:val="00EF73DC"/>
    <w:rsid w:val="00EF763A"/>
    <w:rsid w:val="00EF7C65"/>
    <w:rsid w:val="00EF7D05"/>
    <w:rsid w:val="00F00188"/>
    <w:rsid w:val="00F001F9"/>
    <w:rsid w:val="00F005B7"/>
    <w:rsid w:val="00F009FE"/>
    <w:rsid w:val="00F00F15"/>
    <w:rsid w:val="00F01036"/>
    <w:rsid w:val="00F013FF"/>
    <w:rsid w:val="00F01AC1"/>
    <w:rsid w:val="00F01B40"/>
    <w:rsid w:val="00F02235"/>
    <w:rsid w:val="00F02284"/>
    <w:rsid w:val="00F0288B"/>
    <w:rsid w:val="00F02E10"/>
    <w:rsid w:val="00F031F1"/>
    <w:rsid w:val="00F0332B"/>
    <w:rsid w:val="00F039DE"/>
    <w:rsid w:val="00F03B46"/>
    <w:rsid w:val="00F03B6E"/>
    <w:rsid w:val="00F03E80"/>
    <w:rsid w:val="00F0434C"/>
    <w:rsid w:val="00F0439D"/>
    <w:rsid w:val="00F043A5"/>
    <w:rsid w:val="00F04B81"/>
    <w:rsid w:val="00F054F3"/>
    <w:rsid w:val="00F05543"/>
    <w:rsid w:val="00F056DD"/>
    <w:rsid w:val="00F058A2"/>
    <w:rsid w:val="00F058C7"/>
    <w:rsid w:val="00F05943"/>
    <w:rsid w:val="00F0594B"/>
    <w:rsid w:val="00F05B99"/>
    <w:rsid w:val="00F05BE4"/>
    <w:rsid w:val="00F05EAF"/>
    <w:rsid w:val="00F05F98"/>
    <w:rsid w:val="00F066AB"/>
    <w:rsid w:val="00F066B7"/>
    <w:rsid w:val="00F06944"/>
    <w:rsid w:val="00F077B0"/>
    <w:rsid w:val="00F07A76"/>
    <w:rsid w:val="00F10004"/>
    <w:rsid w:val="00F10343"/>
    <w:rsid w:val="00F1049D"/>
    <w:rsid w:val="00F10615"/>
    <w:rsid w:val="00F1069E"/>
    <w:rsid w:val="00F11080"/>
    <w:rsid w:val="00F110A3"/>
    <w:rsid w:val="00F11327"/>
    <w:rsid w:val="00F11350"/>
    <w:rsid w:val="00F113AC"/>
    <w:rsid w:val="00F11700"/>
    <w:rsid w:val="00F11C7C"/>
    <w:rsid w:val="00F11CC6"/>
    <w:rsid w:val="00F11E08"/>
    <w:rsid w:val="00F121B1"/>
    <w:rsid w:val="00F122A6"/>
    <w:rsid w:val="00F12611"/>
    <w:rsid w:val="00F127C6"/>
    <w:rsid w:val="00F13200"/>
    <w:rsid w:val="00F13655"/>
    <w:rsid w:val="00F1374F"/>
    <w:rsid w:val="00F13867"/>
    <w:rsid w:val="00F13AB0"/>
    <w:rsid w:val="00F13B50"/>
    <w:rsid w:val="00F13D21"/>
    <w:rsid w:val="00F14123"/>
    <w:rsid w:val="00F14814"/>
    <w:rsid w:val="00F14982"/>
    <w:rsid w:val="00F15042"/>
    <w:rsid w:val="00F150DB"/>
    <w:rsid w:val="00F15749"/>
    <w:rsid w:val="00F16372"/>
    <w:rsid w:val="00F1653C"/>
    <w:rsid w:val="00F16CEC"/>
    <w:rsid w:val="00F16FD8"/>
    <w:rsid w:val="00F17055"/>
    <w:rsid w:val="00F1707E"/>
    <w:rsid w:val="00F173E3"/>
    <w:rsid w:val="00F17645"/>
    <w:rsid w:val="00F176C8"/>
    <w:rsid w:val="00F1799F"/>
    <w:rsid w:val="00F17A82"/>
    <w:rsid w:val="00F17A8D"/>
    <w:rsid w:val="00F17C7F"/>
    <w:rsid w:val="00F201A9"/>
    <w:rsid w:val="00F20993"/>
    <w:rsid w:val="00F20A06"/>
    <w:rsid w:val="00F20F9A"/>
    <w:rsid w:val="00F210E3"/>
    <w:rsid w:val="00F21422"/>
    <w:rsid w:val="00F21495"/>
    <w:rsid w:val="00F214E8"/>
    <w:rsid w:val="00F218E8"/>
    <w:rsid w:val="00F21B71"/>
    <w:rsid w:val="00F21EF2"/>
    <w:rsid w:val="00F22751"/>
    <w:rsid w:val="00F22B53"/>
    <w:rsid w:val="00F2310A"/>
    <w:rsid w:val="00F2331C"/>
    <w:rsid w:val="00F23809"/>
    <w:rsid w:val="00F23912"/>
    <w:rsid w:val="00F2391D"/>
    <w:rsid w:val="00F23A0D"/>
    <w:rsid w:val="00F24461"/>
    <w:rsid w:val="00F244A4"/>
    <w:rsid w:val="00F24520"/>
    <w:rsid w:val="00F245D9"/>
    <w:rsid w:val="00F246B6"/>
    <w:rsid w:val="00F24A30"/>
    <w:rsid w:val="00F25374"/>
    <w:rsid w:val="00F2552C"/>
    <w:rsid w:val="00F259A7"/>
    <w:rsid w:val="00F25B1B"/>
    <w:rsid w:val="00F25B3C"/>
    <w:rsid w:val="00F2652F"/>
    <w:rsid w:val="00F2655B"/>
    <w:rsid w:val="00F26C55"/>
    <w:rsid w:val="00F26D14"/>
    <w:rsid w:val="00F26FB5"/>
    <w:rsid w:val="00F2710E"/>
    <w:rsid w:val="00F27139"/>
    <w:rsid w:val="00F2737A"/>
    <w:rsid w:val="00F27539"/>
    <w:rsid w:val="00F27B93"/>
    <w:rsid w:val="00F27CA9"/>
    <w:rsid w:val="00F300F7"/>
    <w:rsid w:val="00F30553"/>
    <w:rsid w:val="00F30939"/>
    <w:rsid w:val="00F309C9"/>
    <w:rsid w:val="00F30A36"/>
    <w:rsid w:val="00F30DE3"/>
    <w:rsid w:val="00F30F8C"/>
    <w:rsid w:val="00F31557"/>
    <w:rsid w:val="00F3177E"/>
    <w:rsid w:val="00F3189C"/>
    <w:rsid w:val="00F318C3"/>
    <w:rsid w:val="00F31BD2"/>
    <w:rsid w:val="00F327CF"/>
    <w:rsid w:val="00F329DD"/>
    <w:rsid w:val="00F32DE2"/>
    <w:rsid w:val="00F32E11"/>
    <w:rsid w:val="00F332D5"/>
    <w:rsid w:val="00F334FE"/>
    <w:rsid w:val="00F33531"/>
    <w:rsid w:val="00F33CAF"/>
    <w:rsid w:val="00F340E2"/>
    <w:rsid w:val="00F34869"/>
    <w:rsid w:val="00F34EA6"/>
    <w:rsid w:val="00F352D1"/>
    <w:rsid w:val="00F355E8"/>
    <w:rsid w:val="00F3564C"/>
    <w:rsid w:val="00F35878"/>
    <w:rsid w:val="00F35879"/>
    <w:rsid w:val="00F358D6"/>
    <w:rsid w:val="00F35BA3"/>
    <w:rsid w:val="00F35BE5"/>
    <w:rsid w:val="00F35D37"/>
    <w:rsid w:val="00F36204"/>
    <w:rsid w:val="00F36A73"/>
    <w:rsid w:val="00F36C0C"/>
    <w:rsid w:val="00F36D54"/>
    <w:rsid w:val="00F36EA2"/>
    <w:rsid w:val="00F36FFD"/>
    <w:rsid w:val="00F37002"/>
    <w:rsid w:val="00F371B0"/>
    <w:rsid w:val="00F37308"/>
    <w:rsid w:val="00F37CE9"/>
    <w:rsid w:val="00F40B53"/>
    <w:rsid w:val="00F40BCC"/>
    <w:rsid w:val="00F4120F"/>
    <w:rsid w:val="00F4139C"/>
    <w:rsid w:val="00F41DF7"/>
    <w:rsid w:val="00F4259B"/>
    <w:rsid w:val="00F42716"/>
    <w:rsid w:val="00F4282F"/>
    <w:rsid w:val="00F428A6"/>
    <w:rsid w:val="00F42E62"/>
    <w:rsid w:val="00F4304F"/>
    <w:rsid w:val="00F430AE"/>
    <w:rsid w:val="00F430F2"/>
    <w:rsid w:val="00F4315E"/>
    <w:rsid w:val="00F431B8"/>
    <w:rsid w:val="00F43410"/>
    <w:rsid w:val="00F43CAC"/>
    <w:rsid w:val="00F43D41"/>
    <w:rsid w:val="00F44234"/>
    <w:rsid w:val="00F443EE"/>
    <w:rsid w:val="00F4453D"/>
    <w:rsid w:val="00F44E08"/>
    <w:rsid w:val="00F45177"/>
    <w:rsid w:val="00F45202"/>
    <w:rsid w:val="00F45442"/>
    <w:rsid w:val="00F459E0"/>
    <w:rsid w:val="00F459F0"/>
    <w:rsid w:val="00F45AA8"/>
    <w:rsid w:val="00F45C57"/>
    <w:rsid w:val="00F45C7C"/>
    <w:rsid w:val="00F45CA7"/>
    <w:rsid w:val="00F461A5"/>
    <w:rsid w:val="00F463CE"/>
    <w:rsid w:val="00F465CD"/>
    <w:rsid w:val="00F472BD"/>
    <w:rsid w:val="00F4758F"/>
    <w:rsid w:val="00F477B7"/>
    <w:rsid w:val="00F501B9"/>
    <w:rsid w:val="00F502B6"/>
    <w:rsid w:val="00F504B0"/>
    <w:rsid w:val="00F508BD"/>
    <w:rsid w:val="00F50C23"/>
    <w:rsid w:val="00F50C7D"/>
    <w:rsid w:val="00F50F37"/>
    <w:rsid w:val="00F5177A"/>
    <w:rsid w:val="00F52150"/>
    <w:rsid w:val="00F52785"/>
    <w:rsid w:val="00F52BEC"/>
    <w:rsid w:val="00F52E8F"/>
    <w:rsid w:val="00F52FBF"/>
    <w:rsid w:val="00F5383A"/>
    <w:rsid w:val="00F5394D"/>
    <w:rsid w:val="00F53957"/>
    <w:rsid w:val="00F53C16"/>
    <w:rsid w:val="00F5413C"/>
    <w:rsid w:val="00F54F29"/>
    <w:rsid w:val="00F55279"/>
    <w:rsid w:val="00F553EC"/>
    <w:rsid w:val="00F5565A"/>
    <w:rsid w:val="00F558F1"/>
    <w:rsid w:val="00F55FA4"/>
    <w:rsid w:val="00F56037"/>
    <w:rsid w:val="00F5614D"/>
    <w:rsid w:val="00F56166"/>
    <w:rsid w:val="00F56481"/>
    <w:rsid w:val="00F565F5"/>
    <w:rsid w:val="00F5676D"/>
    <w:rsid w:val="00F567B8"/>
    <w:rsid w:val="00F56FAC"/>
    <w:rsid w:val="00F57292"/>
    <w:rsid w:val="00F57304"/>
    <w:rsid w:val="00F5740B"/>
    <w:rsid w:val="00F6029A"/>
    <w:rsid w:val="00F609CB"/>
    <w:rsid w:val="00F60D85"/>
    <w:rsid w:val="00F61231"/>
    <w:rsid w:val="00F61A73"/>
    <w:rsid w:val="00F61E2B"/>
    <w:rsid w:val="00F620FC"/>
    <w:rsid w:val="00F621EC"/>
    <w:rsid w:val="00F62FA2"/>
    <w:rsid w:val="00F630A3"/>
    <w:rsid w:val="00F636F5"/>
    <w:rsid w:val="00F63DDB"/>
    <w:rsid w:val="00F64C10"/>
    <w:rsid w:val="00F64DB9"/>
    <w:rsid w:val="00F64E7A"/>
    <w:rsid w:val="00F65139"/>
    <w:rsid w:val="00F6545E"/>
    <w:rsid w:val="00F65547"/>
    <w:rsid w:val="00F65677"/>
    <w:rsid w:val="00F65B35"/>
    <w:rsid w:val="00F66AAB"/>
    <w:rsid w:val="00F66CAF"/>
    <w:rsid w:val="00F66DDC"/>
    <w:rsid w:val="00F672D9"/>
    <w:rsid w:val="00F672FE"/>
    <w:rsid w:val="00F67B93"/>
    <w:rsid w:val="00F701F1"/>
    <w:rsid w:val="00F702E8"/>
    <w:rsid w:val="00F705FD"/>
    <w:rsid w:val="00F70C8C"/>
    <w:rsid w:val="00F70DA6"/>
    <w:rsid w:val="00F70F3E"/>
    <w:rsid w:val="00F714AD"/>
    <w:rsid w:val="00F715F1"/>
    <w:rsid w:val="00F7166C"/>
    <w:rsid w:val="00F7172C"/>
    <w:rsid w:val="00F71CDB"/>
    <w:rsid w:val="00F71D13"/>
    <w:rsid w:val="00F729D2"/>
    <w:rsid w:val="00F72FCD"/>
    <w:rsid w:val="00F73422"/>
    <w:rsid w:val="00F734D5"/>
    <w:rsid w:val="00F74152"/>
    <w:rsid w:val="00F7422B"/>
    <w:rsid w:val="00F7501D"/>
    <w:rsid w:val="00F75082"/>
    <w:rsid w:val="00F75319"/>
    <w:rsid w:val="00F76235"/>
    <w:rsid w:val="00F76C16"/>
    <w:rsid w:val="00F76FAE"/>
    <w:rsid w:val="00F7716B"/>
    <w:rsid w:val="00F773BC"/>
    <w:rsid w:val="00F77526"/>
    <w:rsid w:val="00F77A78"/>
    <w:rsid w:val="00F803C7"/>
    <w:rsid w:val="00F8063B"/>
    <w:rsid w:val="00F80D98"/>
    <w:rsid w:val="00F80F1C"/>
    <w:rsid w:val="00F81640"/>
    <w:rsid w:val="00F81926"/>
    <w:rsid w:val="00F81AEE"/>
    <w:rsid w:val="00F81DDA"/>
    <w:rsid w:val="00F81FFC"/>
    <w:rsid w:val="00F8211C"/>
    <w:rsid w:val="00F8245A"/>
    <w:rsid w:val="00F824C5"/>
    <w:rsid w:val="00F8258D"/>
    <w:rsid w:val="00F826C6"/>
    <w:rsid w:val="00F82CD9"/>
    <w:rsid w:val="00F82EE9"/>
    <w:rsid w:val="00F83147"/>
    <w:rsid w:val="00F832F9"/>
    <w:rsid w:val="00F8340E"/>
    <w:rsid w:val="00F83EA4"/>
    <w:rsid w:val="00F84064"/>
    <w:rsid w:val="00F84287"/>
    <w:rsid w:val="00F845B2"/>
    <w:rsid w:val="00F845ED"/>
    <w:rsid w:val="00F8466E"/>
    <w:rsid w:val="00F846BC"/>
    <w:rsid w:val="00F8477E"/>
    <w:rsid w:val="00F84941"/>
    <w:rsid w:val="00F84B5D"/>
    <w:rsid w:val="00F84CB9"/>
    <w:rsid w:val="00F84ED3"/>
    <w:rsid w:val="00F85065"/>
    <w:rsid w:val="00F853B9"/>
    <w:rsid w:val="00F85538"/>
    <w:rsid w:val="00F8558F"/>
    <w:rsid w:val="00F858F8"/>
    <w:rsid w:val="00F86134"/>
    <w:rsid w:val="00F862BD"/>
    <w:rsid w:val="00F8666E"/>
    <w:rsid w:val="00F8673E"/>
    <w:rsid w:val="00F868EF"/>
    <w:rsid w:val="00F86CC0"/>
    <w:rsid w:val="00F86DE8"/>
    <w:rsid w:val="00F86E5B"/>
    <w:rsid w:val="00F86E74"/>
    <w:rsid w:val="00F873AF"/>
    <w:rsid w:val="00F87558"/>
    <w:rsid w:val="00F876C7"/>
    <w:rsid w:val="00F87DFA"/>
    <w:rsid w:val="00F87FD1"/>
    <w:rsid w:val="00F900C0"/>
    <w:rsid w:val="00F90129"/>
    <w:rsid w:val="00F90382"/>
    <w:rsid w:val="00F90503"/>
    <w:rsid w:val="00F9054D"/>
    <w:rsid w:val="00F91972"/>
    <w:rsid w:val="00F91B56"/>
    <w:rsid w:val="00F91EF4"/>
    <w:rsid w:val="00F922D7"/>
    <w:rsid w:val="00F92716"/>
    <w:rsid w:val="00F92794"/>
    <w:rsid w:val="00F92A8E"/>
    <w:rsid w:val="00F932C5"/>
    <w:rsid w:val="00F9369D"/>
    <w:rsid w:val="00F93D26"/>
    <w:rsid w:val="00F93D57"/>
    <w:rsid w:val="00F93DBC"/>
    <w:rsid w:val="00F94189"/>
    <w:rsid w:val="00F94317"/>
    <w:rsid w:val="00F946B3"/>
    <w:rsid w:val="00F94EE6"/>
    <w:rsid w:val="00F951EA"/>
    <w:rsid w:val="00F951FC"/>
    <w:rsid w:val="00F95506"/>
    <w:rsid w:val="00F95519"/>
    <w:rsid w:val="00F957F3"/>
    <w:rsid w:val="00F95806"/>
    <w:rsid w:val="00F95A33"/>
    <w:rsid w:val="00F95C01"/>
    <w:rsid w:val="00F96100"/>
    <w:rsid w:val="00F96160"/>
    <w:rsid w:val="00F962B6"/>
    <w:rsid w:val="00F9632F"/>
    <w:rsid w:val="00F96946"/>
    <w:rsid w:val="00F96B94"/>
    <w:rsid w:val="00F96D9D"/>
    <w:rsid w:val="00F96FFE"/>
    <w:rsid w:val="00F97212"/>
    <w:rsid w:val="00F9740C"/>
    <w:rsid w:val="00F97725"/>
    <w:rsid w:val="00F97ED9"/>
    <w:rsid w:val="00F97FF2"/>
    <w:rsid w:val="00FA0395"/>
    <w:rsid w:val="00FA0FAC"/>
    <w:rsid w:val="00FA1E75"/>
    <w:rsid w:val="00FA21E2"/>
    <w:rsid w:val="00FA2579"/>
    <w:rsid w:val="00FA2986"/>
    <w:rsid w:val="00FA2E62"/>
    <w:rsid w:val="00FA329A"/>
    <w:rsid w:val="00FA32A4"/>
    <w:rsid w:val="00FA3AD8"/>
    <w:rsid w:val="00FA3AFC"/>
    <w:rsid w:val="00FA3B1F"/>
    <w:rsid w:val="00FA4290"/>
    <w:rsid w:val="00FA43A8"/>
    <w:rsid w:val="00FA4853"/>
    <w:rsid w:val="00FA4B13"/>
    <w:rsid w:val="00FA5645"/>
    <w:rsid w:val="00FA57F9"/>
    <w:rsid w:val="00FA5A0D"/>
    <w:rsid w:val="00FA688A"/>
    <w:rsid w:val="00FA6D72"/>
    <w:rsid w:val="00FA76A7"/>
    <w:rsid w:val="00FA7F4B"/>
    <w:rsid w:val="00FB06BF"/>
    <w:rsid w:val="00FB0728"/>
    <w:rsid w:val="00FB0F47"/>
    <w:rsid w:val="00FB13A4"/>
    <w:rsid w:val="00FB1428"/>
    <w:rsid w:val="00FB14B8"/>
    <w:rsid w:val="00FB1B8E"/>
    <w:rsid w:val="00FB24B5"/>
    <w:rsid w:val="00FB24BA"/>
    <w:rsid w:val="00FB2570"/>
    <w:rsid w:val="00FB3DFE"/>
    <w:rsid w:val="00FB3FFE"/>
    <w:rsid w:val="00FB423E"/>
    <w:rsid w:val="00FB426B"/>
    <w:rsid w:val="00FB451F"/>
    <w:rsid w:val="00FB480D"/>
    <w:rsid w:val="00FB484B"/>
    <w:rsid w:val="00FB48E1"/>
    <w:rsid w:val="00FB4EB3"/>
    <w:rsid w:val="00FB524B"/>
    <w:rsid w:val="00FB53C7"/>
    <w:rsid w:val="00FB53DD"/>
    <w:rsid w:val="00FB5962"/>
    <w:rsid w:val="00FB5981"/>
    <w:rsid w:val="00FB61AC"/>
    <w:rsid w:val="00FB6258"/>
    <w:rsid w:val="00FB62F7"/>
    <w:rsid w:val="00FB63D8"/>
    <w:rsid w:val="00FB6759"/>
    <w:rsid w:val="00FB676E"/>
    <w:rsid w:val="00FB67B1"/>
    <w:rsid w:val="00FB67CE"/>
    <w:rsid w:val="00FB6CE3"/>
    <w:rsid w:val="00FB6CF9"/>
    <w:rsid w:val="00FB6DD0"/>
    <w:rsid w:val="00FB75F5"/>
    <w:rsid w:val="00FB7A40"/>
    <w:rsid w:val="00FB7BD7"/>
    <w:rsid w:val="00FC036A"/>
    <w:rsid w:val="00FC0557"/>
    <w:rsid w:val="00FC05F4"/>
    <w:rsid w:val="00FC07AD"/>
    <w:rsid w:val="00FC0C36"/>
    <w:rsid w:val="00FC1771"/>
    <w:rsid w:val="00FC1AFA"/>
    <w:rsid w:val="00FC1BCF"/>
    <w:rsid w:val="00FC2066"/>
    <w:rsid w:val="00FC208F"/>
    <w:rsid w:val="00FC22A8"/>
    <w:rsid w:val="00FC23DE"/>
    <w:rsid w:val="00FC2652"/>
    <w:rsid w:val="00FC2745"/>
    <w:rsid w:val="00FC30F1"/>
    <w:rsid w:val="00FC352B"/>
    <w:rsid w:val="00FC35B0"/>
    <w:rsid w:val="00FC3691"/>
    <w:rsid w:val="00FC38EB"/>
    <w:rsid w:val="00FC3B04"/>
    <w:rsid w:val="00FC3F33"/>
    <w:rsid w:val="00FC3F89"/>
    <w:rsid w:val="00FC41B0"/>
    <w:rsid w:val="00FC45FF"/>
    <w:rsid w:val="00FC49A8"/>
    <w:rsid w:val="00FC53EA"/>
    <w:rsid w:val="00FC5512"/>
    <w:rsid w:val="00FC5D4E"/>
    <w:rsid w:val="00FC5EB4"/>
    <w:rsid w:val="00FC60E6"/>
    <w:rsid w:val="00FC660D"/>
    <w:rsid w:val="00FC6C19"/>
    <w:rsid w:val="00FC6CD4"/>
    <w:rsid w:val="00FC7131"/>
    <w:rsid w:val="00FC74A1"/>
    <w:rsid w:val="00FC7618"/>
    <w:rsid w:val="00FC7AE2"/>
    <w:rsid w:val="00FC7D69"/>
    <w:rsid w:val="00FD0442"/>
    <w:rsid w:val="00FD0617"/>
    <w:rsid w:val="00FD095C"/>
    <w:rsid w:val="00FD1DCD"/>
    <w:rsid w:val="00FD22D5"/>
    <w:rsid w:val="00FD29B4"/>
    <w:rsid w:val="00FD29FF"/>
    <w:rsid w:val="00FD2A92"/>
    <w:rsid w:val="00FD2AD2"/>
    <w:rsid w:val="00FD2CA1"/>
    <w:rsid w:val="00FD2EAB"/>
    <w:rsid w:val="00FD2F73"/>
    <w:rsid w:val="00FD30C5"/>
    <w:rsid w:val="00FD38D4"/>
    <w:rsid w:val="00FD3DAF"/>
    <w:rsid w:val="00FD44E4"/>
    <w:rsid w:val="00FD4509"/>
    <w:rsid w:val="00FD4C96"/>
    <w:rsid w:val="00FD594A"/>
    <w:rsid w:val="00FD61F8"/>
    <w:rsid w:val="00FD62D1"/>
    <w:rsid w:val="00FD6386"/>
    <w:rsid w:val="00FD6504"/>
    <w:rsid w:val="00FD6EA4"/>
    <w:rsid w:val="00FD772E"/>
    <w:rsid w:val="00FD7853"/>
    <w:rsid w:val="00FD7CE8"/>
    <w:rsid w:val="00FE0225"/>
    <w:rsid w:val="00FE03CD"/>
    <w:rsid w:val="00FE09AF"/>
    <w:rsid w:val="00FE0C2E"/>
    <w:rsid w:val="00FE0D97"/>
    <w:rsid w:val="00FE0F07"/>
    <w:rsid w:val="00FE0F16"/>
    <w:rsid w:val="00FE112F"/>
    <w:rsid w:val="00FE1259"/>
    <w:rsid w:val="00FE1307"/>
    <w:rsid w:val="00FE16CC"/>
    <w:rsid w:val="00FE2066"/>
    <w:rsid w:val="00FE2198"/>
    <w:rsid w:val="00FE24A0"/>
    <w:rsid w:val="00FE250E"/>
    <w:rsid w:val="00FE273C"/>
    <w:rsid w:val="00FE2E74"/>
    <w:rsid w:val="00FE2ED2"/>
    <w:rsid w:val="00FE3242"/>
    <w:rsid w:val="00FE32A2"/>
    <w:rsid w:val="00FE3691"/>
    <w:rsid w:val="00FE3761"/>
    <w:rsid w:val="00FE3C6F"/>
    <w:rsid w:val="00FE3CB5"/>
    <w:rsid w:val="00FE3FF3"/>
    <w:rsid w:val="00FE41F5"/>
    <w:rsid w:val="00FE44CB"/>
    <w:rsid w:val="00FE452A"/>
    <w:rsid w:val="00FE4547"/>
    <w:rsid w:val="00FE461A"/>
    <w:rsid w:val="00FE46FA"/>
    <w:rsid w:val="00FE4830"/>
    <w:rsid w:val="00FE4934"/>
    <w:rsid w:val="00FE4D7B"/>
    <w:rsid w:val="00FE50D6"/>
    <w:rsid w:val="00FE5C13"/>
    <w:rsid w:val="00FE60B3"/>
    <w:rsid w:val="00FE6393"/>
    <w:rsid w:val="00FE643C"/>
    <w:rsid w:val="00FE66D9"/>
    <w:rsid w:val="00FE6BBD"/>
    <w:rsid w:val="00FE6BD0"/>
    <w:rsid w:val="00FE6E4E"/>
    <w:rsid w:val="00FE7CBB"/>
    <w:rsid w:val="00FE7D80"/>
    <w:rsid w:val="00FF0427"/>
    <w:rsid w:val="00FF05B0"/>
    <w:rsid w:val="00FF07A8"/>
    <w:rsid w:val="00FF09C6"/>
    <w:rsid w:val="00FF0FC7"/>
    <w:rsid w:val="00FF1247"/>
    <w:rsid w:val="00FF15FC"/>
    <w:rsid w:val="00FF1946"/>
    <w:rsid w:val="00FF19C5"/>
    <w:rsid w:val="00FF1D0F"/>
    <w:rsid w:val="00FF1F80"/>
    <w:rsid w:val="00FF1FCA"/>
    <w:rsid w:val="00FF20E9"/>
    <w:rsid w:val="00FF2308"/>
    <w:rsid w:val="00FF2855"/>
    <w:rsid w:val="00FF2AD3"/>
    <w:rsid w:val="00FF2B30"/>
    <w:rsid w:val="00FF3503"/>
    <w:rsid w:val="00FF36F7"/>
    <w:rsid w:val="00FF372C"/>
    <w:rsid w:val="00FF3820"/>
    <w:rsid w:val="00FF3AE4"/>
    <w:rsid w:val="00FF3B9E"/>
    <w:rsid w:val="00FF3EA8"/>
    <w:rsid w:val="00FF40C2"/>
    <w:rsid w:val="00FF4418"/>
    <w:rsid w:val="00FF4477"/>
    <w:rsid w:val="00FF4769"/>
    <w:rsid w:val="00FF4952"/>
    <w:rsid w:val="00FF4C75"/>
    <w:rsid w:val="00FF4EF4"/>
    <w:rsid w:val="00FF54D7"/>
    <w:rsid w:val="00FF591D"/>
    <w:rsid w:val="00FF59C5"/>
    <w:rsid w:val="00FF6338"/>
    <w:rsid w:val="00FF7576"/>
    <w:rsid w:val="00FF7747"/>
    <w:rsid w:val="00FF777F"/>
    <w:rsid w:val="00FF7842"/>
    <w:rsid w:val="00FF7BF7"/>
    <w:rsid w:val="00FF7D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B5844C"/>
  <w15:chartTrackingRefBased/>
  <w15:docId w15:val="{CF04A78B-595A-41FD-9EA6-60B6E3AAD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542F"/>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12542F"/>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12542F"/>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12542F"/>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12542F"/>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12542F"/>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12542F"/>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12542F"/>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12542F"/>
    <w:pPr>
      <w:ind w:left="993"/>
      <w:outlineLvl w:val="7"/>
    </w:pPr>
    <w:rPr>
      <w:color w:val="321547"/>
      <w:szCs w:val="22"/>
      <w:u w:val="dotDotDash"/>
    </w:rPr>
  </w:style>
  <w:style w:type="paragraph" w:styleId="Ttulo9">
    <w:name w:val="heading 9"/>
    <w:basedOn w:val="Ttulo8"/>
    <w:next w:val="Normal"/>
    <w:link w:val="Ttulo9Car"/>
    <w:uiPriority w:val="9"/>
    <w:unhideWhenUsed/>
    <w:qFormat/>
    <w:rsid w:val="0012542F"/>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12542F"/>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12542F"/>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12542F"/>
    <w:rPr>
      <w:color w:val="0563C1" w:themeColor="hyperlink"/>
      <w:u w:val="single"/>
    </w:rPr>
  </w:style>
  <w:style w:type="paragraph" w:styleId="Textonotapie">
    <w:name w:val="footnote text"/>
    <w:aliases w:val="Nota a pie de página"/>
    <w:basedOn w:val="Normal"/>
    <w:link w:val="TextonotapieCar"/>
    <w:uiPriority w:val="99"/>
    <w:unhideWhenUsed/>
    <w:qFormat/>
    <w:rsid w:val="0012542F"/>
    <w:pPr>
      <w:keepLines/>
      <w:spacing w:after="40" w:line="240" w:lineRule="auto"/>
    </w:pPr>
    <w:rPr>
      <w:sz w:val="16"/>
      <w:szCs w:val="20"/>
    </w:rPr>
  </w:style>
  <w:style w:type="character" w:styleId="Refdenotaalpie">
    <w:name w:val="footnote reference"/>
    <w:basedOn w:val="Fuentedeprrafopredeter"/>
    <w:uiPriority w:val="99"/>
    <w:unhideWhenUsed/>
    <w:rsid w:val="0012542F"/>
    <w:rPr>
      <w:vertAlign w:val="superscript"/>
    </w:rPr>
  </w:style>
  <w:style w:type="table" w:styleId="Tablaconcuadrcula">
    <w:name w:val="Table Grid"/>
    <w:basedOn w:val="Tablanormal"/>
    <w:uiPriority w:val="39"/>
    <w:rsid w:val="0012542F"/>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rsid w:val="00C96011"/>
    <w:rPr>
      <w:sz w:val="16"/>
      <w:szCs w:val="16"/>
    </w:rPr>
  </w:style>
  <w:style w:type="paragraph" w:styleId="Textocomentario">
    <w:name w:val="annotation text"/>
    <w:basedOn w:val="Normal"/>
    <w:link w:val="TextocomentarioCar"/>
    <w:uiPriority w:val="99"/>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12542F"/>
    <w:rPr>
      <w:rFonts w:ascii="Segoe UI" w:hAnsi="Segoe UI" w:cs="Segoe UI"/>
      <w:sz w:val="18"/>
      <w:szCs w:val="18"/>
    </w:rPr>
  </w:style>
  <w:style w:type="paragraph" w:styleId="NormalWeb">
    <w:name w:val="Normal (Web)"/>
    <w:basedOn w:val="Normal"/>
    <w:uiPriority w:val="99"/>
    <w:rsid w:val="00A67257"/>
    <w:pPr>
      <w:spacing w:before="100" w:beforeAutospacing="1" w:after="100" w:afterAutospacing="1"/>
    </w:pPr>
    <w:rPr>
      <w:rFonts w:eastAsia="Batang"/>
      <w:lang w:eastAsia="ko-KR"/>
    </w:rPr>
  </w:style>
  <w:style w:type="paragraph" w:styleId="Listaconvietas">
    <w:name w:val="List Bullet"/>
    <w:basedOn w:val="Normal"/>
    <w:rsid w:val="00773E71"/>
    <w:pPr>
      <w:tabs>
        <w:tab w:val="num" w:pos="360"/>
      </w:tabs>
      <w:ind w:left="360" w:hanging="360"/>
    </w:pPr>
  </w:style>
  <w:style w:type="paragraph" w:styleId="Encabezado">
    <w:name w:val="header"/>
    <w:basedOn w:val="Normal"/>
    <w:link w:val="EncabezadoCar"/>
    <w:uiPriority w:val="99"/>
    <w:unhideWhenUsed/>
    <w:rsid w:val="0012542F"/>
    <w:pPr>
      <w:tabs>
        <w:tab w:val="center" w:pos="4252"/>
        <w:tab w:val="right" w:pos="8504"/>
      </w:tabs>
    </w:pPr>
  </w:style>
  <w:style w:type="character" w:customStyle="1" w:styleId="corchete-llamada1">
    <w:name w:val="corchete-llamada1"/>
    <w:rsid w:val="00A56B07"/>
    <w:rPr>
      <w:vanish/>
      <w:webHidden w:val="0"/>
      <w:specVanish w:val="0"/>
    </w:rPr>
  </w:style>
  <w:style w:type="character" w:styleId="nfasis">
    <w:name w:val="Emphasis"/>
    <w:uiPriority w:val="20"/>
    <w:qFormat/>
    <w:rsid w:val="006E1E3B"/>
    <w:rPr>
      <w:i/>
      <w:iCs/>
    </w:rPr>
  </w:style>
  <w:style w:type="character" w:styleId="Textoennegrita">
    <w:name w:val="Strong"/>
    <w:uiPriority w:val="22"/>
    <w:qFormat/>
    <w:rsid w:val="00DA0E7F"/>
    <w:rPr>
      <w:b/>
      <w:bCs/>
    </w:rPr>
  </w:style>
  <w:style w:type="paragraph" w:customStyle="1" w:styleId="intro">
    <w:name w:val="intro"/>
    <w:basedOn w:val="Normal"/>
    <w:rsid w:val="002A632A"/>
    <w:pPr>
      <w:spacing w:before="100" w:beforeAutospacing="1" w:after="100" w:afterAutospacing="1"/>
    </w:pPr>
  </w:style>
  <w:style w:type="paragraph" w:styleId="Prrafodelista">
    <w:name w:val="List Paragraph"/>
    <w:basedOn w:val="Normal"/>
    <w:uiPriority w:val="34"/>
    <w:rsid w:val="0012542F"/>
    <w:pPr>
      <w:ind w:left="720"/>
      <w:contextualSpacing/>
    </w:pPr>
  </w:style>
  <w:style w:type="character" w:customStyle="1" w:styleId="TextonotapieCar">
    <w:name w:val="Texto nota pie Car"/>
    <w:aliases w:val="Nota a pie de página Car"/>
    <w:basedOn w:val="Fuentedeprrafopredeter"/>
    <w:link w:val="Textonotapie"/>
    <w:uiPriority w:val="99"/>
    <w:rsid w:val="0012542F"/>
    <w:rPr>
      <w:rFonts w:ascii="Palatino Linotype" w:eastAsiaTheme="minorHAnsi" w:hAnsi="Palatino Linotype" w:cstheme="minorBidi"/>
      <w:sz w:val="16"/>
      <w:lang w:eastAsia="en-US"/>
    </w:rPr>
  </w:style>
  <w:style w:type="character" w:customStyle="1" w:styleId="TextocomentarioCar">
    <w:name w:val="Texto comentario Car"/>
    <w:link w:val="Textocomentario"/>
    <w:uiPriority w:val="99"/>
    <w:semiHidden/>
    <w:rsid w:val="00C67587"/>
    <w:rPr>
      <w:lang w:val="es-ES" w:eastAsia="es-ES"/>
    </w:rPr>
  </w:style>
  <w:style w:type="character" w:customStyle="1" w:styleId="Mencinsinresolver1">
    <w:name w:val="Mención sin resolver1"/>
    <w:uiPriority w:val="99"/>
    <w:semiHidden/>
    <w:unhideWhenUsed/>
    <w:rsid w:val="00957CE3"/>
    <w:rPr>
      <w:color w:val="605E5C"/>
      <w:shd w:val="clear" w:color="auto" w:fill="E1DFDD"/>
    </w:rPr>
  </w:style>
  <w:style w:type="character" w:customStyle="1" w:styleId="Ttulo1Car">
    <w:name w:val="Título 1 Car"/>
    <w:basedOn w:val="Fuentedeprrafopredeter"/>
    <w:link w:val="Ttulo1"/>
    <w:uiPriority w:val="9"/>
    <w:rsid w:val="0012542F"/>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12542F"/>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12542F"/>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12542F"/>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12542F"/>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12542F"/>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12542F"/>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12542F"/>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12542F"/>
    <w:rPr>
      <w:rFonts w:ascii="Palatino Linotype" w:eastAsiaTheme="majorEastAsia" w:hAnsi="Palatino Linotype" w:cstheme="majorBidi"/>
      <w:i/>
      <w:color w:val="240F33"/>
      <w:spacing w:val="-4"/>
      <w:w w:val="99"/>
      <w:sz w:val="21"/>
      <w:szCs w:val="21"/>
      <w:u w:val="dotted"/>
      <w:lang w:eastAsia="en-US"/>
    </w:rPr>
  </w:style>
  <w:style w:type="character" w:customStyle="1" w:styleId="HeaderChar">
    <w:name w:val="Header Char"/>
    <w:basedOn w:val="Fuentedeprrafopredeter"/>
    <w:uiPriority w:val="99"/>
    <w:rsid w:val="0012542F"/>
    <w:rPr>
      <w:rFonts w:ascii="Garamond" w:hAnsi="Garamond"/>
      <w:lang w:val="es-ES"/>
    </w:rPr>
  </w:style>
  <w:style w:type="character" w:customStyle="1" w:styleId="FooterChar">
    <w:name w:val="Footer Char"/>
    <w:basedOn w:val="Fuentedeprrafopredeter"/>
    <w:uiPriority w:val="99"/>
    <w:rsid w:val="0012542F"/>
    <w:rPr>
      <w:rFonts w:ascii="Garamond" w:hAnsi="Garamond"/>
      <w:lang w:val="es-ES"/>
    </w:rPr>
  </w:style>
  <w:style w:type="character" w:styleId="Textodelmarcadordeposicin">
    <w:name w:val="Placeholder Text"/>
    <w:basedOn w:val="Fuentedeprrafopredeter"/>
    <w:uiPriority w:val="99"/>
    <w:semiHidden/>
    <w:rsid w:val="0012542F"/>
    <w:rPr>
      <w:color w:val="808080"/>
    </w:rPr>
  </w:style>
  <w:style w:type="paragraph" w:styleId="Ttulo">
    <w:name w:val="Title"/>
    <w:basedOn w:val="Normal"/>
    <w:next w:val="Normal"/>
    <w:link w:val="TtuloCar"/>
    <w:uiPriority w:val="10"/>
    <w:qFormat/>
    <w:rsid w:val="0012542F"/>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12542F"/>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12542F"/>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12542F"/>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12542F"/>
    <w:pPr>
      <w:numPr>
        <w:ilvl w:val="1"/>
        <w:numId w:val="1"/>
      </w:numPr>
      <w:spacing w:after="100"/>
      <w:ind w:left="1049" w:hanging="198"/>
      <w:contextualSpacing/>
    </w:pPr>
  </w:style>
  <w:style w:type="character" w:customStyle="1" w:styleId="Heading2Char">
    <w:name w:val="Heading 2 Char"/>
    <w:basedOn w:val="Fuentedeprrafopredeter"/>
    <w:uiPriority w:val="9"/>
    <w:rsid w:val="0012542F"/>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12542F"/>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12542F"/>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12542F"/>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12542F"/>
    <w:rPr>
      <w:rFonts w:ascii="Garamond" w:hAnsi="Garamond"/>
      <w:i/>
      <w:iCs/>
      <w:color w:val="5F2987"/>
      <w:u w:val="single"/>
      <w:lang w:val="es-ES"/>
    </w:rPr>
  </w:style>
  <w:style w:type="paragraph" w:styleId="TDC3">
    <w:name w:val="toc 3"/>
    <w:basedOn w:val="Normal"/>
    <w:next w:val="FinTDC"/>
    <w:autoRedefine/>
    <w:uiPriority w:val="39"/>
    <w:unhideWhenUsed/>
    <w:rsid w:val="0012542F"/>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12542F"/>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12542F"/>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12542F"/>
    <w:rPr>
      <w:color w:val="7F7F7F" w:themeColor="text1" w:themeTint="80"/>
      <w:sz w:val="16"/>
    </w:rPr>
  </w:style>
  <w:style w:type="character" w:customStyle="1" w:styleId="NocantarChar">
    <w:name w:val="No cantar Char"/>
    <w:basedOn w:val="Fuentedeprrafopredeter"/>
    <w:link w:val="Nocantar"/>
    <w:rsid w:val="0012542F"/>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12542F"/>
    <w:pPr>
      <w:numPr>
        <w:numId w:val="0"/>
      </w:numPr>
      <w:ind w:firstLine="142"/>
    </w:pPr>
  </w:style>
  <w:style w:type="character" w:customStyle="1" w:styleId="IntroduccinyconclusinChar">
    <w:name w:val="Introducción y conclusión Char"/>
    <w:basedOn w:val="Ttulo1Car"/>
    <w:link w:val="Introduccinyconclusin"/>
    <w:rsid w:val="0012542F"/>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12542F"/>
    <w:pPr>
      <w:numPr>
        <w:numId w:val="3"/>
      </w:numPr>
    </w:pPr>
  </w:style>
  <w:style w:type="paragraph" w:customStyle="1" w:styleId="Nivel1">
    <w:name w:val="Nivel 1"/>
    <w:basedOn w:val="Normal"/>
    <w:qFormat/>
    <w:rsid w:val="0012542F"/>
    <w:pPr>
      <w:numPr>
        <w:numId w:val="1"/>
      </w:numPr>
      <w:spacing w:before="100" w:after="100"/>
      <w:ind w:left="623" w:hanging="198"/>
    </w:pPr>
  </w:style>
  <w:style w:type="paragraph" w:customStyle="1" w:styleId="Nivel3">
    <w:name w:val="Nivel 3"/>
    <w:basedOn w:val="Nivel2"/>
    <w:link w:val="Nivel3Car"/>
    <w:qFormat/>
    <w:rsid w:val="0012542F"/>
    <w:pPr>
      <w:numPr>
        <w:ilvl w:val="2"/>
      </w:numPr>
      <w:spacing w:after="0"/>
      <w:ind w:left="1474" w:hanging="198"/>
    </w:pPr>
  </w:style>
  <w:style w:type="paragraph" w:customStyle="1" w:styleId="Letra">
    <w:name w:val="Letra"/>
    <w:basedOn w:val="Nivel1"/>
    <w:qFormat/>
    <w:rsid w:val="0012542F"/>
    <w:pPr>
      <w:numPr>
        <w:numId w:val="4"/>
      </w:numPr>
      <w:spacing w:before="0" w:after="40"/>
      <w:ind w:left="936" w:hanging="227"/>
    </w:pPr>
  </w:style>
  <w:style w:type="paragraph" w:customStyle="1" w:styleId="Nmero">
    <w:name w:val="Número"/>
    <w:basedOn w:val="Normal"/>
    <w:qFormat/>
    <w:rsid w:val="0012542F"/>
    <w:pPr>
      <w:numPr>
        <w:numId w:val="5"/>
      </w:numPr>
      <w:spacing w:after="40"/>
      <w:ind w:left="936" w:hanging="227"/>
    </w:pPr>
  </w:style>
  <w:style w:type="character" w:customStyle="1" w:styleId="BalloonTextChar">
    <w:name w:val="Balloon Text Char"/>
    <w:basedOn w:val="Fuentedeprrafopredeter"/>
    <w:uiPriority w:val="99"/>
    <w:semiHidden/>
    <w:rsid w:val="0012542F"/>
    <w:rPr>
      <w:rFonts w:ascii="Segoe UI" w:hAnsi="Segoe UI" w:cs="Segoe UI"/>
      <w:sz w:val="18"/>
      <w:szCs w:val="18"/>
      <w:lang w:val="es-ES"/>
    </w:rPr>
  </w:style>
  <w:style w:type="paragraph" w:customStyle="1" w:styleId="Notaalopositor">
    <w:name w:val="Nota al opositor"/>
    <w:basedOn w:val="Normal"/>
    <w:link w:val="NotaalopositorChar"/>
    <w:qFormat/>
    <w:rsid w:val="0012542F"/>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12542F"/>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12542F"/>
    <w:rPr>
      <w:rFonts w:ascii="Garamond" w:hAnsi="Garamond"/>
      <w:sz w:val="16"/>
      <w:szCs w:val="20"/>
      <w:lang w:val="es-ES"/>
    </w:rPr>
  </w:style>
  <w:style w:type="character" w:customStyle="1" w:styleId="Heading6Char">
    <w:name w:val="Heading 6 Char"/>
    <w:basedOn w:val="Fuentedeprrafopredeter"/>
    <w:uiPriority w:val="9"/>
    <w:semiHidden/>
    <w:rsid w:val="0012542F"/>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12542F"/>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12542F"/>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12542F"/>
    <w:rPr>
      <w:rFonts w:ascii="Garamond" w:eastAsiaTheme="minorEastAsia" w:hAnsi="Garamond"/>
      <w:smallCaps/>
      <w:color w:val="5A5A5A" w:themeColor="text1" w:themeTint="A5"/>
      <w:lang w:val="es-ES"/>
    </w:rPr>
  </w:style>
  <w:style w:type="paragraph" w:customStyle="1" w:styleId="Nivel1SM">
    <w:name w:val="Nivel 1 SM"/>
    <w:basedOn w:val="Nivel1"/>
    <w:qFormat/>
    <w:rsid w:val="0012542F"/>
    <w:pPr>
      <w:ind w:left="0"/>
    </w:pPr>
  </w:style>
  <w:style w:type="paragraph" w:customStyle="1" w:styleId="Nivel2SM">
    <w:name w:val="Nivel 2 SM"/>
    <w:basedOn w:val="Nivel2"/>
    <w:qFormat/>
    <w:rsid w:val="0012542F"/>
    <w:pPr>
      <w:ind w:left="567"/>
    </w:pPr>
  </w:style>
  <w:style w:type="paragraph" w:customStyle="1" w:styleId="Nivel3SM">
    <w:name w:val="Nivel 3 SM"/>
    <w:basedOn w:val="Nivel3"/>
    <w:qFormat/>
    <w:rsid w:val="0012542F"/>
    <w:pPr>
      <w:ind w:left="963"/>
    </w:pPr>
  </w:style>
  <w:style w:type="paragraph" w:styleId="Encabezadodelista">
    <w:name w:val="toa heading"/>
    <w:basedOn w:val="Normal"/>
    <w:next w:val="Normal"/>
    <w:uiPriority w:val="99"/>
    <w:unhideWhenUsed/>
    <w:rsid w:val="0012542F"/>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12542F"/>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12542F"/>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12542F"/>
    <w:rPr>
      <w:rFonts w:ascii="Palatino Linotype" w:eastAsiaTheme="minorHAnsi" w:hAnsi="Palatino Linotype" w:cstheme="minorBidi"/>
      <w:sz w:val="22"/>
      <w:szCs w:val="22"/>
      <w:shd w:val="clear" w:color="auto" w:fill="E7E6E6" w:themeFill="background2"/>
      <w:lang w:eastAsia="en-US"/>
    </w:rPr>
  </w:style>
  <w:style w:type="character" w:customStyle="1" w:styleId="EncabezadoCar">
    <w:name w:val="Encabezado Car"/>
    <w:basedOn w:val="Fuentedeprrafopredeter"/>
    <w:link w:val="Encabezado"/>
    <w:uiPriority w:val="99"/>
    <w:rsid w:val="0012542F"/>
    <w:rPr>
      <w:rFonts w:ascii="Palatino Linotype" w:eastAsiaTheme="minorHAnsi" w:hAnsi="Palatino Linotype" w:cstheme="minorBidi"/>
      <w:sz w:val="22"/>
      <w:szCs w:val="22"/>
      <w:lang w:eastAsia="en-US"/>
    </w:rPr>
  </w:style>
  <w:style w:type="character" w:customStyle="1" w:styleId="TextodegloboCar">
    <w:name w:val="Texto de globo Car"/>
    <w:basedOn w:val="Fuentedeprrafopredeter"/>
    <w:link w:val="Textodeglobo"/>
    <w:uiPriority w:val="99"/>
    <w:semiHidden/>
    <w:rsid w:val="0012542F"/>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12542F"/>
    <w:rPr>
      <w:color w:val="605E5C"/>
      <w:shd w:val="clear" w:color="auto" w:fill="E1DFDD"/>
    </w:rPr>
  </w:style>
  <w:style w:type="paragraph" w:styleId="TDC5">
    <w:name w:val="toc 5"/>
    <w:basedOn w:val="Normal"/>
    <w:next w:val="FinTDC"/>
    <w:autoRedefine/>
    <w:uiPriority w:val="39"/>
    <w:unhideWhenUsed/>
    <w:rsid w:val="0012542F"/>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12542F"/>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12542F"/>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12542F"/>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12542F"/>
    <w:pPr>
      <w:spacing w:line="240" w:lineRule="auto"/>
      <w:ind w:left="567" w:hanging="567"/>
    </w:pPr>
  </w:style>
  <w:style w:type="paragraph" w:customStyle="1" w:styleId="Ttuloimagen">
    <w:name w:val="Título imagen"/>
    <w:basedOn w:val="PiedeImagen"/>
    <w:next w:val="Imagen"/>
    <w:link w:val="TtuloimagenCar"/>
    <w:qFormat/>
    <w:rsid w:val="0012542F"/>
    <w:pPr>
      <w:keepNext/>
      <w:spacing w:after="0"/>
    </w:pPr>
    <w:rPr>
      <w:i w:val="0"/>
      <w:smallCaps/>
      <w:sz w:val="20"/>
    </w:rPr>
  </w:style>
  <w:style w:type="character" w:customStyle="1" w:styleId="TtuloimagenCar">
    <w:name w:val="Título imagen Car"/>
    <w:basedOn w:val="ImagenCar"/>
    <w:link w:val="Ttuloimagen"/>
    <w:rsid w:val="0012542F"/>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12542F"/>
    <w:pPr>
      <w:ind w:left="1100"/>
    </w:pPr>
  </w:style>
  <w:style w:type="paragraph" w:styleId="Sinespaciado">
    <w:name w:val="No Spacing"/>
    <w:link w:val="SinespaciadoCar"/>
    <w:uiPriority w:val="1"/>
    <w:qFormat/>
    <w:rsid w:val="0012542F"/>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12542F"/>
    <w:rPr>
      <w:rFonts w:asciiTheme="minorHAnsi" w:eastAsiaTheme="minorEastAsia" w:hAnsiTheme="minorHAnsi" w:cstheme="minorBidi"/>
      <w:sz w:val="22"/>
      <w:szCs w:val="22"/>
    </w:rPr>
  </w:style>
  <w:style w:type="paragraph" w:customStyle="1" w:styleId="Nmeroromano">
    <w:name w:val="Número romano"/>
    <w:basedOn w:val="Prrafodelista"/>
    <w:qFormat/>
    <w:rsid w:val="0012542F"/>
    <w:pPr>
      <w:numPr>
        <w:numId w:val="8"/>
      </w:numPr>
      <w:spacing w:after="100"/>
      <w:ind w:left="567" w:hanging="113"/>
    </w:pPr>
  </w:style>
  <w:style w:type="paragraph" w:customStyle="1" w:styleId="Saltodettulos">
    <w:name w:val="Salto de títulos"/>
    <w:basedOn w:val="Normal"/>
    <w:rsid w:val="0012542F"/>
    <w:pPr>
      <w:spacing w:after="0" w:line="240" w:lineRule="auto"/>
    </w:pPr>
    <w:rPr>
      <w:color w:val="FFFFFF"/>
      <w:sz w:val="2"/>
    </w:rPr>
  </w:style>
  <w:style w:type="paragraph" w:styleId="TDC7">
    <w:name w:val="toc 7"/>
    <w:basedOn w:val="Normal"/>
    <w:next w:val="FinTDC"/>
    <w:autoRedefine/>
    <w:uiPriority w:val="39"/>
    <w:unhideWhenUsed/>
    <w:rsid w:val="0012542F"/>
    <w:pPr>
      <w:spacing w:after="0" w:line="20" w:lineRule="atLeast"/>
      <w:ind w:left="1418"/>
      <w:jc w:val="left"/>
    </w:pPr>
    <w:rPr>
      <w:i/>
      <w:color w:val="5F2987"/>
      <w:sz w:val="12"/>
    </w:rPr>
  </w:style>
  <w:style w:type="paragraph" w:customStyle="1" w:styleId="FinTDC">
    <w:name w:val="FinTDC"/>
    <w:basedOn w:val="Nivel1"/>
    <w:qFormat/>
    <w:rsid w:val="0012542F"/>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12542F"/>
    <w:pPr>
      <w:spacing w:after="0" w:line="240" w:lineRule="auto"/>
      <w:jc w:val="left"/>
    </w:pPr>
    <w:rPr>
      <w:sz w:val="15"/>
    </w:rPr>
  </w:style>
  <w:style w:type="paragraph" w:styleId="TDC9">
    <w:name w:val="toc 9"/>
    <w:basedOn w:val="TDC8"/>
    <w:next w:val="FinTDC"/>
    <w:autoRedefine/>
    <w:uiPriority w:val="39"/>
    <w:unhideWhenUsed/>
    <w:rsid w:val="0012542F"/>
    <w:pPr>
      <w:ind w:left="1760"/>
    </w:pPr>
  </w:style>
  <w:style w:type="paragraph" w:customStyle="1" w:styleId="Apartado0">
    <w:name w:val="Apartado 0"/>
    <w:basedOn w:val="Ttulo1"/>
    <w:next w:val="Normal"/>
    <w:link w:val="Apartado0Car"/>
    <w:qFormat/>
    <w:rsid w:val="0012542F"/>
    <w:pPr>
      <w:numPr>
        <w:numId w:val="7"/>
      </w:numPr>
      <w:ind w:left="357" w:hanging="357"/>
    </w:pPr>
  </w:style>
  <w:style w:type="character" w:customStyle="1" w:styleId="Apartado0Car">
    <w:name w:val="Apartado 0 Car"/>
    <w:basedOn w:val="Ttulo1Car"/>
    <w:link w:val="Apartado0"/>
    <w:rsid w:val="0012542F"/>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12542F"/>
    <w:pPr>
      <w:numPr>
        <w:ilvl w:val="3"/>
      </w:numPr>
      <w:ind w:left="1899" w:hanging="198"/>
    </w:pPr>
  </w:style>
  <w:style w:type="paragraph" w:customStyle="1" w:styleId="Nivel5">
    <w:name w:val="Nivel 5"/>
    <w:basedOn w:val="Nivel4"/>
    <w:link w:val="Nivel5Car"/>
    <w:qFormat/>
    <w:rsid w:val="0012542F"/>
    <w:pPr>
      <w:numPr>
        <w:ilvl w:val="4"/>
      </w:numPr>
      <w:ind w:left="2155" w:hanging="170"/>
    </w:pPr>
  </w:style>
  <w:style w:type="character" w:customStyle="1" w:styleId="Nivel2Car">
    <w:name w:val="Nivel 2 Car"/>
    <w:basedOn w:val="Fuentedeprrafopredeter"/>
    <w:link w:val="Nivel2"/>
    <w:rsid w:val="0012542F"/>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12542F"/>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12542F"/>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12542F"/>
    <w:pPr>
      <w:numPr>
        <w:ilvl w:val="5"/>
      </w:numPr>
      <w:ind w:left="2438" w:hanging="227"/>
    </w:pPr>
  </w:style>
  <w:style w:type="character" w:customStyle="1" w:styleId="Nivel5Car">
    <w:name w:val="Nivel 5 Car"/>
    <w:basedOn w:val="Nivel4Car"/>
    <w:link w:val="Nivel5"/>
    <w:rsid w:val="0012542F"/>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12542F"/>
    <w:pPr>
      <w:numPr>
        <w:ilvl w:val="6"/>
      </w:numPr>
      <w:ind w:left="2722" w:hanging="170"/>
    </w:pPr>
  </w:style>
  <w:style w:type="character" w:customStyle="1" w:styleId="Nivel6Car">
    <w:name w:val="Nivel 6 Car"/>
    <w:basedOn w:val="Nivel5Car"/>
    <w:link w:val="Nivel6"/>
    <w:rsid w:val="0012542F"/>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12542F"/>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12542F"/>
    <w:pPr>
      <w:spacing w:after="200" w:line="240" w:lineRule="auto"/>
    </w:pPr>
    <w:rPr>
      <w:i/>
      <w:iCs/>
      <w:color w:val="44546A" w:themeColor="text2"/>
      <w:sz w:val="18"/>
      <w:szCs w:val="18"/>
    </w:rPr>
  </w:style>
  <w:style w:type="paragraph" w:customStyle="1" w:styleId="Ttulo10">
    <w:name w:val="Título 10"/>
    <w:basedOn w:val="Ttulo9"/>
    <w:link w:val="Ttulo10Car"/>
    <w:qFormat/>
    <w:rsid w:val="0012542F"/>
    <w:pPr>
      <w:ind w:left="1276"/>
    </w:pPr>
    <w:rPr>
      <w:w w:val="97"/>
    </w:rPr>
  </w:style>
  <w:style w:type="character" w:customStyle="1" w:styleId="Ttulo10Car">
    <w:name w:val="Título 10 Car"/>
    <w:basedOn w:val="Ttulo9Car"/>
    <w:link w:val="Ttulo10"/>
    <w:rsid w:val="0012542F"/>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12542F"/>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12542F"/>
    <w:pPr>
      <w:numPr>
        <w:ilvl w:val="7"/>
      </w:numPr>
      <w:ind w:left="3005" w:hanging="170"/>
    </w:pPr>
  </w:style>
  <w:style w:type="character" w:customStyle="1" w:styleId="Nivel8Car">
    <w:name w:val="Nivel 8 Car"/>
    <w:basedOn w:val="Nivel7Car"/>
    <w:link w:val="Nivel8"/>
    <w:rsid w:val="0012542F"/>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12542F"/>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12542F"/>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12542F"/>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12542F"/>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12542F"/>
    <w:rPr>
      <w:vertAlign w:val="superscript"/>
    </w:rPr>
  </w:style>
  <w:style w:type="character" w:customStyle="1" w:styleId="PiedepginaCar">
    <w:name w:val="Pie de página Car"/>
    <w:link w:val="Piedepgina"/>
    <w:uiPriority w:val="99"/>
    <w:rsid w:val="00F5614D"/>
    <w:rPr>
      <w:rFonts w:ascii="Palatino Linotype" w:eastAsia="Calibri" w:hAnsi="Palatino Linotype" w:cs="Arial"/>
      <w:sz w:val="22"/>
      <w:szCs w:val="22"/>
      <w:lang w:eastAsia="en-US"/>
    </w:rPr>
  </w:style>
  <w:style w:type="paragraph" w:customStyle="1" w:styleId="titulo">
    <w:name w:val="titulo"/>
    <w:basedOn w:val="Normal"/>
    <w:rsid w:val="00A60A83"/>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styleId="Hipervnculovisitado">
    <w:name w:val="FollowedHyperlink"/>
    <w:basedOn w:val="Fuentedeprrafopredeter"/>
    <w:rsid w:val="006543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8293">
      <w:bodyDiv w:val="1"/>
      <w:marLeft w:val="0"/>
      <w:marRight w:val="0"/>
      <w:marTop w:val="0"/>
      <w:marBottom w:val="0"/>
      <w:divBdr>
        <w:top w:val="none" w:sz="0" w:space="0" w:color="auto"/>
        <w:left w:val="none" w:sz="0" w:space="0" w:color="auto"/>
        <w:bottom w:val="none" w:sz="0" w:space="0" w:color="auto"/>
        <w:right w:val="none" w:sz="0" w:space="0" w:color="auto"/>
      </w:divBdr>
      <w:divsChild>
        <w:div w:id="1877085472">
          <w:marLeft w:val="0"/>
          <w:marRight w:val="0"/>
          <w:marTop w:val="0"/>
          <w:marBottom w:val="0"/>
          <w:divBdr>
            <w:top w:val="none" w:sz="0" w:space="0" w:color="auto"/>
            <w:left w:val="none" w:sz="0" w:space="0" w:color="auto"/>
            <w:bottom w:val="none" w:sz="0" w:space="0" w:color="auto"/>
            <w:right w:val="none" w:sz="0" w:space="0" w:color="auto"/>
          </w:divBdr>
          <w:divsChild>
            <w:div w:id="1251428477">
              <w:marLeft w:val="0"/>
              <w:marRight w:val="0"/>
              <w:marTop w:val="0"/>
              <w:marBottom w:val="0"/>
              <w:divBdr>
                <w:top w:val="none" w:sz="0" w:space="0" w:color="auto"/>
                <w:left w:val="none" w:sz="0" w:space="0" w:color="auto"/>
                <w:bottom w:val="none" w:sz="0" w:space="0" w:color="auto"/>
                <w:right w:val="none" w:sz="0" w:space="0" w:color="auto"/>
              </w:divBdr>
              <w:divsChild>
                <w:div w:id="31525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13419">
      <w:bodyDiv w:val="1"/>
      <w:marLeft w:val="0"/>
      <w:marRight w:val="0"/>
      <w:marTop w:val="0"/>
      <w:marBottom w:val="0"/>
      <w:divBdr>
        <w:top w:val="none" w:sz="0" w:space="0" w:color="auto"/>
        <w:left w:val="none" w:sz="0" w:space="0" w:color="auto"/>
        <w:bottom w:val="none" w:sz="0" w:space="0" w:color="auto"/>
        <w:right w:val="none" w:sz="0" w:space="0" w:color="auto"/>
      </w:divBdr>
      <w:divsChild>
        <w:div w:id="1807772760">
          <w:marLeft w:val="0"/>
          <w:marRight w:val="0"/>
          <w:marTop w:val="30"/>
          <w:marBottom w:val="0"/>
          <w:divBdr>
            <w:top w:val="none" w:sz="0" w:space="0" w:color="auto"/>
            <w:left w:val="none" w:sz="0" w:space="0" w:color="auto"/>
            <w:bottom w:val="none" w:sz="0" w:space="0" w:color="auto"/>
            <w:right w:val="none" w:sz="0" w:space="0" w:color="auto"/>
          </w:divBdr>
          <w:divsChild>
            <w:div w:id="22611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36226">
      <w:bodyDiv w:val="1"/>
      <w:marLeft w:val="0"/>
      <w:marRight w:val="0"/>
      <w:marTop w:val="0"/>
      <w:marBottom w:val="0"/>
      <w:divBdr>
        <w:top w:val="none" w:sz="0" w:space="0" w:color="auto"/>
        <w:left w:val="none" w:sz="0" w:space="0" w:color="auto"/>
        <w:bottom w:val="none" w:sz="0" w:space="0" w:color="auto"/>
        <w:right w:val="none" w:sz="0" w:space="0" w:color="auto"/>
      </w:divBdr>
    </w:div>
    <w:div w:id="331880169">
      <w:bodyDiv w:val="1"/>
      <w:marLeft w:val="0"/>
      <w:marRight w:val="0"/>
      <w:marTop w:val="0"/>
      <w:marBottom w:val="0"/>
      <w:divBdr>
        <w:top w:val="none" w:sz="0" w:space="0" w:color="auto"/>
        <w:left w:val="none" w:sz="0" w:space="0" w:color="auto"/>
        <w:bottom w:val="none" w:sz="0" w:space="0" w:color="auto"/>
        <w:right w:val="none" w:sz="0" w:space="0" w:color="auto"/>
      </w:divBdr>
    </w:div>
    <w:div w:id="439955132">
      <w:bodyDiv w:val="1"/>
      <w:marLeft w:val="0"/>
      <w:marRight w:val="0"/>
      <w:marTop w:val="0"/>
      <w:marBottom w:val="0"/>
      <w:divBdr>
        <w:top w:val="none" w:sz="0" w:space="0" w:color="auto"/>
        <w:left w:val="none" w:sz="0" w:space="0" w:color="auto"/>
        <w:bottom w:val="none" w:sz="0" w:space="0" w:color="auto"/>
        <w:right w:val="none" w:sz="0" w:space="0" w:color="auto"/>
      </w:divBdr>
    </w:div>
    <w:div w:id="608314528">
      <w:bodyDiv w:val="1"/>
      <w:marLeft w:val="0"/>
      <w:marRight w:val="0"/>
      <w:marTop w:val="0"/>
      <w:marBottom w:val="0"/>
      <w:divBdr>
        <w:top w:val="none" w:sz="0" w:space="0" w:color="auto"/>
        <w:left w:val="none" w:sz="0" w:space="0" w:color="auto"/>
        <w:bottom w:val="none" w:sz="0" w:space="0" w:color="auto"/>
        <w:right w:val="none" w:sz="0" w:space="0" w:color="auto"/>
      </w:divBdr>
      <w:divsChild>
        <w:div w:id="574978421">
          <w:marLeft w:val="0"/>
          <w:marRight w:val="0"/>
          <w:marTop w:val="0"/>
          <w:marBottom w:val="0"/>
          <w:divBdr>
            <w:top w:val="none" w:sz="0" w:space="0" w:color="auto"/>
            <w:left w:val="none" w:sz="0" w:space="0" w:color="auto"/>
            <w:bottom w:val="none" w:sz="0" w:space="0" w:color="auto"/>
            <w:right w:val="none" w:sz="0" w:space="0" w:color="auto"/>
          </w:divBdr>
          <w:divsChild>
            <w:div w:id="1018117685">
              <w:marLeft w:val="0"/>
              <w:marRight w:val="0"/>
              <w:marTop w:val="0"/>
              <w:marBottom w:val="0"/>
              <w:divBdr>
                <w:top w:val="none" w:sz="0" w:space="0" w:color="auto"/>
                <w:left w:val="none" w:sz="0" w:space="0" w:color="auto"/>
                <w:bottom w:val="none" w:sz="0" w:space="0" w:color="auto"/>
                <w:right w:val="none" w:sz="0" w:space="0" w:color="auto"/>
              </w:divBdr>
              <w:divsChild>
                <w:div w:id="632297021">
                  <w:marLeft w:val="0"/>
                  <w:marRight w:val="0"/>
                  <w:marTop w:val="0"/>
                  <w:marBottom w:val="0"/>
                  <w:divBdr>
                    <w:top w:val="none" w:sz="0" w:space="0" w:color="auto"/>
                    <w:left w:val="none" w:sz="0" w:space="0" w:color="auto"/>
                    <w:bottom w:val="none" w:sz="0" w:space="0" w:color="auto"/>
                    <w:right w:val="none" w:sz="0" w:space="0" w:color="auto"/>
                  </w:divBdr>
                  <w:divsChild>
                    <w:div w:id="360085079">
                      <w:marLeft w:val="0"/>
                      <w:marRight w:val="0"/>
                      <w:marTop w:val="0"/>
                      <w:marBottom w:val="0"/>
                      <w:divBdr>
                        <w:top w:val="none" w:sz="0" w:space="0" w:color="auto"/>
                        <w:left w:val="none" w:sz="0" w:space="0" w:color="auto"/>
                        <w:bottom w:val="none" w:sz="0" w:space="0" w:color="auto"/>
                        <w:right w:val="none" w:sz="0" w:space="0" w:color="auto"/>
                      </w:divBdr>
                      <w:divsChild>
                        <w:div w:id="616369834">
                          <w:marLeft w:val="0"/>
                          <w:marRight w:val="0"/>
                          <w:marTop w:val="0"/>
                          <w:marBottom w:val="0"/>
                          <w:divBdr>
                            <w:top w:val="none" w:sz="0" w:space="0" w:color="auto"/>
                            <w:left w:val="none" w:sz="0" w:space="0" w:color="auto"/>
                            <w:bottom w:val="none" w:sz="0" w:space="0" w:color="auto"/>
                            <w:right w:val="none" w:sz="0" w:space="0" w:color="auto"/>
                          </w:divBdr>
                          <w:divsChild>
                            <w:div w:id="2060470825">
                              <w:marLeft w:val="0"/>
                              <w:marRight w:val="0"/>
                              <w:marTop w:val="0"/>
                              <w:marBottom w:val="0"/>
                              <w:divBdr>
                                <w:top w:val="none" w:sz="0" w:space="0" w:color="auto"/>
                                <w:left w:val="none" w:sz="0" w:space="0" w:color="auto"/>
                                <w:bottom w:val="none" w:sz="0" w:space="0" w:color="auto"/>
                                <w:right w:val="none" w:sz="0" w:space="0" w:color="auto"/>
                              </w:divBdr>
                              <w:divsChild>
                                <w:div w:id="489908875">
                                  <w:marLeft w:val="0"/>
                                  <w:marRight w:val="0"/>
                                  <w:marTop w:val="0"/>
                                  <w:marBottom w:val="0"/>
                                  <w:divBdr>
                                    <w:top w:val="none" w:sz="0" w:space="0" w:color="auto"/>
                                    <w:left w:val="none" w:sz="0" w:space="0" w:color="auto"/>
                                    <w:bottom w:val="none" w:sz="0" w:space="0" w:color="auto"/>
                                    <w:right w:val="none" w:sz="0" w:space="0" w:color="auto"/>
                                  </w:divBdr>
                                  <w:divsChild>
                                    <w:div w:id="1882744299">
                                      <w:marLeft w:val="0"/>
                                      <w:marRight w:val="0"/>
                                      <w:marTop w:val="0"/>
                                      <w:marBottom w:val="0"/>
                                      <w:divBdr>
                                        <w:top w:val="none" w:sz="0" w:space="0" w:color="auto"/>
                                        <w:left w:val="none" w:sz="0" w:space="0" w:color="auto"/>
                                        <w:bottom w:val="none" w:sz="0" w:space="0" w:color="auto"/>
                                        <w:right w:val="none" w:sz="0" w:space="0" w:color="auto"/>
                                      </w:divBdr>
                                      <w:divsChild>
                                        <w:div w:id="115109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57893327">
      <w:bodyDiv w:val="1"/>
      <w:marLeft w:val="0"/>
      <w:marRight w:val="0"/>
      <w:marTop w:val="0"/>
      <w:marBottom w:val="0"/>
      <w:divBdr>
        <w:top w:val="none" w:sz="0" w:space="0" w:color="auto"/>
        <w:left w:val="none" w:sz="0" w:space="0" w:color="auto"/>
        <w:bottom w:val="none" w:sz="0" w:space="0" w:color="auto"/>
        <w:right w:val="none" w:sz="0" w:space="0" w:color="auto"/>
      </w:divBdr>
      <w:divsChild>
        <w:div w:id="1940867605">
          <w:marLeft w:val="0"/>
          <w:marRight w:val="0"/>
          <w:marTop w:val="0"/>
          <w:marBottom w:val="0"/>
          <w:divBdr>
            <w:top w:val="none" w:sz="0" w:space="0" w:color="auto"/>
            <w:left w:val="none" w:sz="0" w:space="0" w:color="auto"/>
            <w:bottom w:val="none" w:sz="0" w:space="0" w:color="auto"/>
            <w:right w:val="none" w:sz="0" w:space="0" w:color="auto"/>
          </w:divBdr>
          <w:divsChild>
            <w:div w:id="854659496">
              <w:marLeft w:val="0"/>
              <w:marRight w:val="0"/>
              <w:marTop w:val="0"/>
              <w:marBottom w:val="0"/>
              <w:divBdr>
                <w:top w:val="none" w:sz="0" w:space="0" w:color="auto"/>
                <w:left w:val="none" w:sz="0" w:space="0" w:color="auto"/>
                <w:bottom w:val="none" w:sz="0" w:space="0" w:color="auto"/>
                <w:right w:val="none" w:sz="0" w:space="0" w:color="auto"/>
              </w:divBdr>
              <w:divsChild>
                <w:div w:id="17538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82783">
      <w:bodyDiv w:val="1"/>
      <w:marLeft w:val="0"/>
      <w:marRight w:val="0"/>
      <w:marTop w:val="0"/>
      <w:marBottom w:val="0"/>
      <w:divBdr>
        <w:top w:val="none" w:sz="0" w:space="0" w:color="auto"/>
        <w:left w:val="none" w:sz="0" w:space="0" w:color="auto"/>
        <w:bottom w:val="none" w:sz="0" w:space="0" w:color="auto"/>
        <w:right w:val="none" w:sz="0" w:space="0" w:color="auto"/>
      </w:divBdr>
    </w:div>
    <w:div w:id="996112171">
      <w:bodyDiv w:val="1"/>
      <w:marLeft w:val="0"/>
      <w:marRight w:val="0"/>
      <w:marTop w:val="0"/>
      <w:marBottom w:val="0"/>
      <w:divBdr>
        <w:top w:val="none" w:sz="0" w:space="0" w:color="auto"/>
        <w:left w:val="none" w:sz="0" w:space="0" w:color="auto"/>
        <w:bottom w:val="none" w:sz="0" w:space="0" w:color="auto"/>
        <w:right w:val="none" w:sz="0" w:space="0" w:color="auto"/>
      </w:divBdr>
      <w:divsChild>
        <w:div w:id="645823158">
          <w:marLeft w:val="0"/>
          <w:marRight w:val="0"/>
          <w:marTop w:val="0"/>
          <w:marBottom w:val="0"/>
          <w:divBdr>
            <w:top w:val="none" w:sz="0" w:space="0" w:color="auto"/>
            <w:left w:val="none" w:sz="0" w:space="0" w:color="auto"/>
            <w:bottom w:val="none" w:sz="0" w:space="0" w:color="auto"/>
            <w:right w:val="none" w:sz="0" w:space="0" w:color="auto"/>
          </w:divBdr>
          <w:divsChild>
            <w:div w:id="783038485">
              <w:marLeft w:val="0"/>
              <w:marRight w:val="0"/>
              <w:marTop w:val="0"/>
              <w:marBottom w:val="0"/>
              <w:divBdr>
                <w:top w:val="none" w:sz="0" w:space="0" w:color="auto"/>
                <w:left w:val="none" w:sz="0" w:space="0" w:color="auto"/>
                <w:bottom w:val="none" w:sz="0" w:space="0" w:color="auto"/>
                <w:right w:val="none" w:sz="0" w:space="0" w:color="auto"/>
              </w:divBdr>
              <w:divsChild>
                <w:div w:id="741366174">
                  <w:marLeft w:val="0"/>
                  <w:marRight w:val="0"/>
                  <w:marTop w:val="0"/>
                  <w:marBottom w:val="0"/>
                  <w:divBdr>
                    <w:top w:val="none" w:sz="0" w:space="0" w:color="auto"/>
                    <w:left w:val="none" w:sz="0" w:space="0" w:color="auto"/>
                    <w:bottom w:val="none" w:sz="0" w:space="0" w:color="auto"/>
                    <w:right w:val="none" w:sz="0" w:space="0" w:color="auto"/>
                  </w:divBdr>
                  <w:divsChild>
                    <w:div w:id="905606700">
                      <w:marLeft w:val="0"/>
                      <w:marRight w:val="0"/>
                      <w:marTop w:val="0"/>
                      <w:marBottom w:val="0"/>
                      <w:divBdr>
                        <w:top w:val="none" w:sz="0" w:space="0" w:color="auto"/>
                        <w:left w:val="none" w:sz="0" w:space="0" w:color="auto"/>
                        <w:bottom w:val="none" w:sz="0" w:space="0" w:color="auto"/>
                        <w:right w:val="none" w:sz="0" w:space="0" w:color="auto"/>
                      </w:divBdr>
                      <w:divsChild>
                        <w:div w:id="267204860">
                          <w:marLeft w:val="0"/>
                          <w:marRight w:val="0"/>
                          <w:marTop w:val="0"/>
                          <w:marBottom w:val="0"/>
                          <w:divBdr>
                            <w:top w:val="none" w:sz="0" w:space="0" w:color="auto"/>
                            <w:left w:val="none" w:sz="0" w:space="0" w:color="auto"/>
                            <w:bottom w:val="none" w:sz="0" w:space="0" w:color="auto"/>
                            <w:right w:val="none" w:sz="0" w:space="0" w:color="auto"/>
                          </w:divBdr>
                          <w:divsChild>
                            <w:div w:id="19535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226683">
      <w:bodyDiv w:val="1"/>
      <w:marLeft w:val="0"/>
      <w:marRight w:val="0"/>
      <w:marTop w:val="0"/>
      <w:marBottom w:val="0"/>
      <w:divBdr>
        <w:top w:val="none" w:sz="0" w:space="0" w:color="auto"/>
        <w:left w:val="none" w:sz="0" w:space="0" w:color="auto"/>
        <w:bottom w:val="none" w:sz="0" w:space="0" w:color="auto"/>
        <w:right w:val="none" w:sz="0" w:space="0" w:color="auto"/>
      </w:divBdr>
      <w:divsChild>
        <w:div w:id="1795513302">
          <w:marLeft w:val="0"/>
          <w:marRight w:val="0"/>
          <w:marTop w:val="0"/>
          <w:marBottom w:val="0"/>
          <w:divBdr>
            <w:top w:val="none" w:sz="0" w:space="0" w:color="auto"/>
            <w:left w:val="none" w:sz="0" w:space="0" w:color="auto"/>
            <w:bottom w:val="none" w:sz="0" w:space="0" w:color="auto"/>
            <w:right w:val="none" w:sz="0" w:space="0" w:color="auto"/>
          </w:divBdr>
          <w:divsChild>
            <w:div w:id="1737237709">
              <w:marLeft w:val="0"/>
              <w:marRight w:val="0"/>
              <w:marTop w:val="0"/>
              <w:marBottom w:val="0"/>
              <w:divBdr>
                <w:top w:val="none" w:sz="0" w:space="0" w:color="auto"/>
                <w:left w:val="none" w:sz="0" w:space="0" w:color="auto"/>
                <w:bottom w:val="none" w:sz="0" w:space="0" w:color="auto"/>
                <w:right w:val="none" w:sz="0" w:space="0" w:color="auto"/>
              </w:divBdr>
              <w:divsChild>
                <w:div w:id="139389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007910">
      <w:bodyDiv w:val="1"/>
      <w:marLeft w:val="0"/>
      <w:marRight w:val="0"/>
      <w:marTop w:val="0"/>
      <w:marBottom w:val="0"/>
      <w:divBdr>
        <w:top w:val="none" w:sz="0" w:space="0" w:color="auto"/>
        <w:left w:val="none" w:sz="0" w:space="0" w:color="auto"/>
        <w:bottom w:val="none" w:sz="0" w:space="0" w:color="auto"/>
        <w:right w:val="none" w:sz="0" w:space="0" w:color="auto"/>
      </w:divBdr>
      <w:divsChild>
        <w:div w:id="854461699">
          <w:marLeft w:val="-15"/>
          <w:marRight w:val="0"/>
          <w:marTop w:val="0"/>
          <w:marBottom w:val="0"/>
          <w:divBdr>
            <w:top w:val="none" w:sz="0" w:space="0" w:color="auto"/>
            <w:left w:val="none" w:sz="0" w:space="0" w:color="auto"/>
            <w:bottom w:val="none" w:sz="0" w:space="0" w:color="auto"/>
            <w:right w:val="none" w:sz="0" w:space="0" w:color="auto"/>
          </w:divBdr>
          <w:divsChild>
            <w:div w:id="394863159">
              <w:marLeft w:val="0"/>
              <w:marRight w:val="0"/>
              <w:marTop w:val="0"/>
              <w:marBottom w:val="0"/>
              <w:divBdr>
                <w:top w:val="none" w:sz="0" w:space="0" w:color="auto"/>
                <w:left w:val="none" w:sz="0" w:space="0" w:color="auto"/>
                <w:bottom w:val="none" w:sz="0" w:space="0" w:color="auto"/>
                <w:right w:val="none" w:sz="0" w:space="0" w:color="auto"/>
              </w:divBdr>
              <w:divsChild>
                <w:div w:id="996416858">
                  <w:marLeft w:val="0"/>
                  <w:marRight w:val="0"/>
                  <w:marTop w:val="0"/>
                  <w:marBottom w:val="0"/>
                  <w:divBdr>
                    <w:top w:val="none" w:sz="0" w:space="0" w:color="auto"/>
                    <w:left w:val="none" w:sz="0" w:space="0" w:color="auto"/>
                    <w:bottom w:val="none" w:sz="0" w:space="0" w:color="auto"/>
                    <w:right w:val="none" w:sz="0" w:space="0" w:color="auto"/>
                  </w:divBdr>
                  <w:divsChild>
                    <w:div w:id="357974839">
                      <w:marLeft w:val="0"/>
                      <w:marRight w:val="0"/>
                      <w:marTop w:val="0"/>
                      <w:marBottom w:val="0"/>
                      <w:divBdr>
                        <w:top w:val="none" w:sz="0" w:space="0" w:color="auto"/>
                        <w:left w:val="none" w:sz="0" w:space="0" w:color="auto"/>
                        <w:bottom w:val="none" w:sz="0" w:space="0" w:color="auto"/>
                        <w:right w:val="none" w:sz="0" w:space="0" w:color="auto"/>
                      </w:divBdr>
                      <w:divsChild>
                        <w:div w:id="1559586033">
                          <w:marLeft w:val="0"/>
                          <w:marRight w:val="0"/>
                          <w:marTop w:val="0"/>
                          <w:marBottom w:val="0"/>
                          <w:divBdr>
                            <w:top w:val="none" w:sz="0" w:space="0" w:color="auto"/>
                            <w:left w:val="none" w:sz="0" w:space="0" w:color="auto"/>
                            <w:bottom w:val="none" w:sz="0" w:space="0" w:color="auto"/>
                            <w:right w:val="none" w:sz="0" w:space="0" w:color="auto"/>
                          </w:divBdr>
                          <w:divsChild>
                            <w:div w:id="884027771">
                              <w:marLeft w:val="0"/>
                              <w:marRight w:val="0"/>
                              <w:marTop w:val="0"/>
                              <w:marBottom w:val="0"/>
                              <w:divBdr>
                                <w:top w:val="none" w:sz="0" w:space="0" w:color="auto"/>
                                <w:left w:val="none" w:sz="0" w:space="0" w:color="auto"/>
                                <w:bottom w:val="none" w:sz="0" w:space="0" w:color="auto"/>
                                <w:right w:val="none" w:sz="0" w:space="0" w:color="auto"/>
                              </w:divBdr>
                              <w:divsChild>
                                <w:div w:id="1922400206">
                                  <w:marLeft w:val="0"/>
                                  <w:marRight w:val="0"/>
                                  <w:marTop w:val="0"/>
                                  <w:marBottom w:val="0"/>
                                  <w:divBdr>
                                    <w:top w:val="none" w:sz="0" w:space="0" w:color="auto"/>
                                    <w:left w:val="none" w:sz="0" w:space="0" w:color="auto"/>
                                    <w:bottom w:val="none" w:sz="0" w:space="0" w:color="auto"/>
                                    <w:right w:val="none" w:sz="0" w:space="0" w:color="auto"/>
                                  </w:divBdr>
                                  <w:divsChild>
                                    <w:div w:id="110707360">
                                      <w:marLeft w:val="0"/>
                                      <w:marRight w:val="0"/>
                                      <w:marTop w:val="0"/>
                                      <w:marBottom w:val="0"/>
                                      <w:divBdr>
                                        <w:top w:val="none" w:sz="0" w:space="0" w:color="auto"/>
                                        <w:left w:val="none" w:sz="0" w:space="0" w:color="auto"/>
                                        <w:bottom w:val="none" w:sz="0" w:space="0" w:color="auto"/>
                                        <w:right w:val="none" w:sz="0" w:space="0" w:color="auto"/>
                                      </w:divBdr>
                                    </w:div>
                                    <w:div w:id="209996344">
                                      <w:marLeft w:val="0"/>
                                      <w:marRight w:val="0"/>
                                      <w:marTop w:val="0"/>
                                      <w:marBottom w:val="0"/>
                                      <w:divBdr>
                                        <w:top w:val="none" w:sz="0" w:space="0" w:color="auto"/>
                                        <w:left w:val="none" w:sz="0" w:space="0" w:color="auto"/>
                                        <w:bottom w:val="none" w:sz="0" w:space="0" w:color="auto"/>
                                        <w:right w:val="none" w:sz="0" w:space="0" w:color="auto"/>
                                      </w:divBdr>
                                    </w:div>
                                    <w:div w:id="512190188">
                                      <w:marLeft w:val="0"/>
                                      <w:marRight w:val="0"/>
                                      <w:marTop w:val="0"/>
                                      <w:marBottom w:val="0"/>
                                      <w:divBdr>
                                        <w:top w:val="none" w:sz="0" w:space="0" w:color="auto"/>
                                        <w:left w:val="none" w:sz="0" w:space="0" w:color="auto"/>
                                        <w:bottom w:val="none" w:sz="0" w:space="0" w:color="auto"/>
                                        <w:right w:val="none" w:sz="0" w:space="0" w:color="auto"/>
                                      </w:divBdr>
                                    </w:div>
                                    <w:div w:id="1343362456">
                                      <w:marLeft w:val="0"/>
                                      <w:marRight w:val="0"/>
                                      <w:marTop w:val="0"/>
                                      <w:marBottom w:val="0"/>
                                      <w:divBdr>
                                        <w:top w:val="none" w:sz="0" w:space="0" w:color="auto"/>
                                        <w:left w:val="none" w:sz="0" w:space="0" w:color="auto"/>
                                        <w:bottom w:val="none" w:sz="0" w:space="0" w:color="auto"/>
                                        <w:right w:val="none" w:sz="0" w:space="0" w:color="auto"/>
                                      </w:divBdr>
                                    </w:div>
                                    <w:div w:id="213381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397754">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89682">
      <w:bodyDiv w:val="1"/>
      <w:marLeft w:val="0"/>
      <w:marRight w:val="0"/>
      <w:marTop w:val="0"/>
      <w:marBottom w:val="0"/>
      <w:divBdr>
        <w:top w:val="none" w:sz="0" w:space="0" w:color="auto"/>
        <w:left w:val="none" w:sz="0" w:space="0" w:color="auto"/>
        <w:bottom w:val="none" w:sz="0" w:space="0" w:color="auto"/>
        <w:right w:val="none" w:sz="0" w:space="0" w:color="auto"/>
      </w:divBdr>
    </w:div>
    <w:div w:id="1798984948">
      <w:bodyDiv w:val="1"/>
      <w:marLeft w:val="0"/>
      <w:marRight w:val="0"/>
      <w:marTop w:val="0"/>
      <w:marBottom w:val="0"/>
      <w:divBdr>
        <w:top w:val="none" w:sz="0" w:space="0" w:color="auto"/>
        <w:left w:val="none" w:sz="0" w:space="0" w:color="auto"/>
        <w:bottom w:val="none" w:sz="0" w:space="0" w:color="auto"/>
        <w:right w:val="none" w:sz="0" w:space="0" w:color="auto"/>
      </w:divBdr>
    </w:div>
    <w:div w:id="2038849395">
      <w:bodyDiv w:val="1"/>
      <w:marLeft w:val="0"/>
      <w:marRight w:val="0"/>
      <w:marTop w:val="0"/>
      <w:marBottom w:val="0"/>
      <w:divBdr>
        <w:top w:val="none" w:sz="0" w:space="0" w:color="auto"/>
        <w:left w:val="none" w:sz="0" w:space="0" w:color="auto"/>
        <w:bottom w:val="none" w:sz="0" w:space="0" w:color="auto"/>
        <w:right w:val="none" w:sz="0" w:space="0" w:color="auto"/>
      </w:divBdr>
      <w:divsChild>
        <w:div w:id="1451584096">
          <w:marLeft w:val="0"/>
          <w:marRight w:val="0"/>
          <w:marTop w:val="0"/>
          <w:marBottom w:val="0"/>
          <w:divBdr>
            <w:top w:val="none" w:sz="0" w:space="0" w:color="auto"/>
            <w:left w:val="none" w:sz="0" w:space="0" w:color="auto"/>
            <w:bottom w:val="none" w:sz="0" w:space="0" w:color="auto"/>
            <w:right w:val="none" w:sz="0" w:space="0" w:color="auto"/>
          </w:divBdr>
          <w:divsChild>
            <w:div w:id="869102385">
              <w:marLeft w:val="0"/>
              <w:marRight w:val="0"/>
              <w:marTop w:val="0"/>
              <w:marBottom w:val="0"/>
              <w:divBdr>
                <w:top w:val="none" w:sz="0" w:space="0" w:color="auto"/>
                <w:left w:val="none" w:sz="0" w:space="0" w:color="auto"/>
                <w:bottom w:val="none" w:sz="0" w:space="0" w:color="auto"/>
                <w:right w:val="none" w:sz="0" w:space="0" w:color="auto"/>
              </w:divBdr>
              <w:divsChild>
                <w:div w:id="265692958">
                  <w:marLeft w:val="0"/>
                  <w:marRight w:val="0"/>
                  <w:marTop w:val="0"/>
                  <w:marBottom w:val="0"/>
                  <w:divBdr>
                    <w:top w:val="none" w:sz="0" w:space="0" w:color="auto"/>
                    <w:left w:val="none" w:sz="0" w:space="0" w:color="auto"/>
                    <w:bottom w:val="none" w:sz="0" w:space="0" w:color="auto"/>
                    <w:right w:val="none" w:sz="0" w:space="0" w:color="auto"/>
                  </w:divBdr>
                  <w:divsChild>
                    <w:div w:id="66035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tinsa.es/precio-vivienda/"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www.lamoncloa.gob.es/serviciosdeprensa/notasprensa/transportes/Paginas/2023/040523-nueva-ley-vivienda-2023.aspx"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auren.com/es-ES/blog/abogados-y-asesores-fiscales/2019-03-19/principales-novedades-del-decreto-ley-de-medidas-urgentes-en-materia-de-vivienda-y-alquil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insa.es/precio-vivienda/" TargetMode="External"/><Relationship Id="rId23"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funcas.es/wp-content/uploads/2022/10/Capitulo-8_El-sector-servicios.pdf" TargetMode="External"/><Relationship Id="rId2" Type="http://schemas.openxmlformats.org/officeDocument/2006/relationships/image" Target="media/image1.wmf"/><Relationship Id="rId1" Type="http://schemas.openxmlformats.org/officeDocument/2006/relationships/hyperlink" Target="https://www.ine.es/jaxiT3/Tabla.htm?t=32450" TargetMode="External"/><Relationship Id="rId6" Type="http://schemas.openxmlformats.org/officeDocument/2006/relationships/hyperlink" Target="https://cincodias.elpais.com/economia/2023-06-05/el-esfuerzo-para-comprar-vivienda-llega-a-maximos-desde-la-crisis-financiera.html" TargetMode="External"/><Relationship Id="rId5" Type="http://schemas.openxmlformats.org/officeDocument/2006/relationships/hyperlink" Target="https://www.europapress.es/economia/construccion-y-vivienda-00342/noticia-viviendas-vacias-espana-suponen-mas-14-parque-residencial-mitad-estan-14-provincias-20230920110025.html" TargetMode="External"/><Relationship Id="rId4" Type="http://schemas.openxmlformats.org/officeDocument/2006/relationships/hyperlink" Target="https://elpais.com/economia/2023-09-21/espana-pacta-con-bruselas-descartar-los-peajes-en-2024-por-el-uso-de-las-autovia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FDEA0F264C4C9CAECF4AE2C7AB86FA"/>
        <w:category>
          <w:name w:val="General"/>
          <w:gallery w:val="placeholder"/>
        </w:category>
        <w:types>
          <w:type w:val="bbPlcHdr"/>
        </w:types>
        <w:behaviors>
          <w:behavior w:val="content"/>
        </w:behaviors>
        <w:guid w:val="{00F93940-D6BD-44E0-B335-815892B34913}"/>
      </w:docPartPr>
      <w:docPartBody>
        <w:p w:rsidR="00DB33F8" w:rsidRDefault="00E36494" w:rsidP="00E36494">
          <w:pPr>
            <w:pStyle w:val="94FDEA0F264C4C9CAECF4AE2C7AB86FA"/>
          </w:pPr>
          <w:r w:rsidRPr="00722470">
            <w:rPr>
              <w:rStyle w:val="Textodelmarcadordeposicin"/>
            </w:rPr>
            <w:t>[Título]</w:t>
          </w:r>
        </w:p>
      </w:docPartBody>
    </w:docPart>
    <w:docPart>
      <w:docPartPr>
        <w:name w:val="1C60BC2FD8724D5E91D00092263AB5E5"/>
        <w:category>
          <w:name w:val="General"/>
          <w:gallery w:val="placeholder"/>
        </w:category>
        <w:types>
          <w:type w:val="bbPlcHdr"/>
        </w:types>
        <w:behaviors>
          <w:behavior w:val="content"/>
        </w:behaviors>
        <w:guid w:val="{D50CED98-6A82-4E40-A0F8-ED10B055F6FB}"/>
      </w:docPartPr>
      <w:docPartBody>
        <w:p w:rsidR="00C37C2D" w:rsidRDefault="00DB33F8" w:rsidP="00DB33F8">
          <w:pPr>
            <w:pStyle w:val="1C60BC2FD8724D5E91D00092263AB5E5"/>
          </w:pPr>
          <w:r w:rsidRPr="001B5103">
            <w:rPr>
              <w:rStyle w:val="Textodelmarcadordeposicin"/>
            </w:rPr>
            <w:t>[Title]</w:t>
          </w:r>
        </w:p>
      </w:docPartBody>
    </w:docPart>
    <w:docPart>
      <w:docPartPr>
        <w:name w:val="67D675BF471342D6AA962F34BB1F5B61"/>
        <w:category>
          <w:name w:val="General"/>
          <w:gallery w:val="placeholder"/>
        </w:category>
        <w:types>
          <w:type w:val="bbPlcHdr"/>
        </w:types>
        <w:behaviors>
          <w:behavior w:val="content"/>
        </w:behaviors>
        <w:guid w:val="{A7C9EB91-62D2-455E-935F-DEB1FFB4BD2D}"/>
      </w:docPartPr>
      <w:docPartBody>
        <w:p w:rsidR="00C37C2D" w:rsidRDefault="00DB33F8" w:rsidP="00DB33F8">
          <w:pPr>
            <w:pStyle w:val="67D675BF471342D6AA962F34BB1F5B61"/>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494"/>
    <w:rsid w:val="00006603"/>
    <w:rsid w:val="00121B60"/>
    <w:rsid w:val="001628A4"/>
    <w:rsid w:val="00162A96"/>
    <w:rsid w:val="0019322B"/>
    <w:rsid w:val="001B5C19"/>
    <w:rsid w:val="00375D65"/>
    <w:rsid w:val="003B2B8A"/>
    <w:rsid w:val="004A3804"/>
    <w:rsid w:val="004B4D7D"/>
    <w:rsid w:val="004E3728"/>
    <w:rsid w:val="00631AED"/>
    <w:rsid w:val="0077744A"/>
    <w:rsid w:val="00812B94"/>
    <w:rsid w:val="00914E54"/>
    <w:rsid w:val="009348EF"/>
    <w:rsid w:val="009951F7"/>
    <w:rsid w:val="009F2DBC"/>
    <w:rsid w:val="00A555B3"/>
    <w:rsid w:val="00A86D04"/>
    <w:rsid w:val="00C37C2D"/>
    <w:rsid w:val="00D63A01"/>
    <w:rsid w:val="00D65664"/>
    <w:rsid w:val="00DA22F6"/>
    <w:rsid w:val="00DB33F8"/>
    <w:rsid w:val="00DE7E8D"/>
    <w:rsid w:val="00E36494"/>
    <w:rsid w:val="00E82910"/>
    <w:rsid w:val="00EE0211"/>
    <w:rsid w:val="00F879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33F8"/>
    <w:rPr>
      <w:color w:val="808080"/>
    </w:rPr>
  </w:style>
  <w:style w:type="paragraph" w:customStyle="1" w:styleId="1C60BC2FD8724D5E91D00092263AB5E5">
    <w:name w:val="1C60BC2FD8724D5E91D00092263AB5E5"/>
    <w:rsid w:val="00DB33F8"/>
  </w:style>
  <w:style w:type="paragraph" w:customStyle="1" w:styleId="94FDEA0F264C4C9CAECF4AE2C7AB86FA">
    <w:name w:val="94FDEA0F264C4C9CAECF4AE2C7AB86FA"/>
    <w:rsid w:val="00E36494"/>
  </w:style>
  <w:style w:type="paragraph" w:customStyle="1" w:styleId="67D675BF471342D6AA962F34BB1F5B61">
    <w:name w:val="67D675BF471342D6AA962F34BB1F5B61"/>
    <w:rsid w:val="00DB33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7C425-1FFC-4F73-9131-D3FDD63D1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1877</TotalTime>
  <Pages>30</Pages>
  <Words>11169</Words>
  <Characters>61431</Characters>
  <Application>Microsoft Office Word</Application>
  <DocSecurity>0</DocSecurity>
  <Lines>511</Lines>
  <Paragraphs>144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4.A.11</vt:lpstr>
      <vt:lpstr>TEORÍA NEOCLASICA DE LA DEMANDA DEL CONSUMIDOR</vt:lpstr>
    </vt:vector>
  </TitlesOfParts>
  <Company/>
  <LinksUpToDate>false</LinksUpToDate>
  <CharactersWithSpaces>72456</CharactersWithSpaces>
  <SharedDoc>false</SharedDoc>
  <HLinks>
    <vt:vector size="6" baseType="variant">
      <vt:variant>
        <vt:i4>655437</vt:i4>
      </vt:variant>
      <vt:variant>
        <vt:i4>0</vt:i4>
      </vt:variant>
      <vt:variant>
        <vt:i4>0</vt:i4>
      </vt:variant>
      <vt:variant>
        <vt:i4>5</vt:i4>
      </vt:variant>
      <vt:variant>
        <vt:lpwstr>https://www.auren.com/es-ES/blog/abogados-y-asesores-fiscales/2019-03-19/principales-novedades-del-decreto-ley-de-medidas-urgentes-en-materia-de-vivienda-y-alquiler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4.A.11</dc:title>
  <dc:subject>El sector de la construcción en España. Problemas y política de vivienda y suelo.</dc:subject>
  <dc:creator>Víctor Gutiérrez Marcos</dc:creator>
  <cp:keywords/>
  <cp:lastModifiedBy>Víctor Gutiérrez Marcos</cp:lastModifiedBy>
  <dcterms:created xsi:type="dcterms:W3CDTF">2023-09-18T16:32:00Z</dcterms:created>
  <dcterms:modified xsi:type="dcterms:W3CDTF">2024-09-20T14:01:00Z</dcterms:modified>
</cp:coreProperties>
</file>